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492"/>
        <w:tblW w:w="10031" w:type="dxa"/>
        <w:tblLayout w:type="fixed"/>
        <w:tblLook w:val="0000" w:firstRow="0" w:lastRow="0" w:firstColumn="0" w:lastColumn="0" w:noHBand="0" w:noVBand="0"/>
      </w:tblPr>
      <w:tblGrid>
        <w:gridCol w:w="1985"/>
        <w:gridCol w:w="4678"/>
        <w:gridCol w:w="1842"/>
        <w:gridCol w:w="1526"/>
      </w:tblGrid>
      <w:tr w:rsidR="00526DAF" w:rsidRPr="00403C69" w14:paraId="5736F9B6" w14:textId="77777777" w:rsidTr="00857AC8">
        <w:trPr>
          <w:cantSplit/>
          <w:trHeight w:val="1134"/>
        </w:trPr>
        <w:tc>
          <w:tcPr>
            <w:tcW w:w="1985" w:type="dxa"/>
          </w:tcPr>
          <w:p w14:paraId="6C418AAC" w14:textId="19739AA2" w:rsidR="00526DAF" w:rsidRPr="009C2E05" w:rsidRDefault="00526DAF" w:rsidP="00AC62B6">
            <w:pPr>
              <w:spacing w:after="40"/>
              <w:ind w:left="34"/>
              <w:jc w:val="both"/>
              <w:rPr>
                <w:b/>
                <w:sz w:val="32"/>
                <w:szCs w:val="32"/>
                <w:lang w:val="en-US"/>
              </w:rPr>
            </w:pPr>
            <w:r w:rsidRPr="009C2E05">
              <w:rPr>
                <w:noProof/>
                <w:sz w:val="32"/>
                <w:szCs w:val="32"/>
                <w:lang w:val="en-US"/>
              </w:rPr>
              <w:drawing>
                <wp:inline distT="0" distB="0" distL="0" distR="0" wp14:anchorId="03000A14" wp14:editId="475A1AE8">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gridSpan w:val="2"/>
          </w:tcPr>
          <w:p w14:paraId="3779239F" w14:textId="77777777" w:rsidR="002C6B70" w:rsidRPr="009C2E05" w:rsidRDefault="00526DAF" w:rsidP="0022687F">
            <w:pPr>
              <w:tabs>
                <w:tab w:val="clear" w:pos="1134"/>
              </w:tabs>
              <w:spacing w:before="240" w:after="240"/>
              <w:rPr>
                <w:b/>
                <w:sz w:val="32"/>
                <w:szCs w:val="32"/>
                <w:lang w:val="en-US"/>
              </w:rPr>
            </w:pPr>
            <w:r w:rsidRPr="009C2E05">
              <w:rPr>
                <w:b/>
                <w:sz w:val="32"/>
                <w:szCs w:val="32"/>
                <w:lang w:val="en-US"/>
              </w:rPr>
              <w:t>Telecommunication Development</w:t>
            </w:r>
            <w:r w:rsidRPr="009C2E05">
              <w:rPr>
                <w:b/>
                <w:sz w:val="32"/>
                <w:szCs w:val="32"/>
                <w:lang w:val="en-US"/>
              </w:rPr>
              <w:br/>
              <w:t>Advisory Group (TDAG)</w:t>
            </w:r>
          </w:p>
          <w:p w14:paraId="2DCF59CB" w14:textId="03463558" w:rsidR="00526DAF" w:rsidRPr="009C2E05" w:rsidRDefault="00526DAF" w:rsidP="0022687F">
            <w:pPr>
              <w:tabs>
                <w:tab w:val="clear" w:pos="1134"/>
              </w:tabs>
              <w:spacing w:after="120"/>
              <w:rPr>
                <w:b/>
                <w:sz w:val="28"/>
                <w:szCs w:val="28"/>
                <w:lang w:val="en-US"/>
              </w:rPr>
            </w:pPr>
            <w:r w:rsidRPr="009C2E05">
              <w:rPr>
                <w:b/>
                <w:sz w:val="26"/>
                <w:szCs w:val="26"/>
                <w:lang w:val="en-US"/>
              </w:rPr>
              <w:t>32nd Meeting, Geneva, Switzerland, 12-16 May 2025</w:t>
            </w:r>
          </w:p>
        </w:tc>
        <w:tc>
          <w:tcPr>
            <w:tcW w:w="1526" w:type="dxa"/>
          </w:tcPr>
          <w:p w14:paraId="06B48AA1" w14:textId="516DD633" w:rsidR="00526DAF" w:rsidRPr="009C2E05" w:rsidRDefault="00526DAF" w:rsidP="001D78D5">
            <w:pPr>
              <w:spacing w:before="240" w:after="120"/>
              <w:jc w:val="right"/>
              <w:rPr>
                <w:rFonts w:cstheme="minorHAnsi"/>
                <w:lang w:val="en-US"/>
              </w:rPr>
            </w:pPr>
            <w:bookmarkStart w:id="0" w:name="ditulogo"/>
            <w:bookmarkEnd w:id="0"/>
            <w:r w:rsidRPr="009C2E05">
              <w:rPr>
                <w:noProof/>
                <w:lang w:val="en-US" w:eastAsia="fr-FR"/>
              </w:rPr>
              <w:drawing>
                <wp:inline distT="0" distB="0" distL="0" distR="0" wp14:anchorId="7DBF473A" wp14:editId="2E1C8112">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403C69" w14:paraId="6DE5ABA3" w14:textId="77777777" w:rsidTr="005C3173">
        <w:trPr>
          <w:cantSplit/>
        </w:trPr>
        <w:tc>
          <w:tcPr>
            <w:tcW w:w="6663" w:type="dxa"/>
            <w:gridSpan w:val="2"/>
            <w:tcBorders>
              <w:top w:val="single" w:sz="12" w:space="0" w:color="auto"/>
            </w:tcBorders>
          </w:tcPr>
          <w:p w14:paraId="73168FEF" w14:textId="77777777" w:rsidR="00D83BF5" w:rsidRPr="009C2E05" w:rsidRDefault="00D83BF5" w:rsidP="00403C69">
            <w:pPr>
              <w:spacing w:before="0" w:after="48" w:line="240" w:lineRule="atLeast"/>
              <w:rPr>
                <w:rFonts w:cstheme="minorHAnsi"/>
                <w:b/>
                <w:smallCaps/>
                <w:sz w:val="20"/>
                <w:lang w:val="en-US"/>
              </w:rPr>
            </w:pPr>
            <w:bookmarkStart w:id="1" w:name="dhead"/>
          </w:p>
        </w:tc>
        <w:tc>
          <w:tcPr>
            <w:tcW w:w="3368" w:type="dxa"/>
            <w:gridSpan w:val="2"/>
            <w:tcBorders>
              <w:top w:val="single" w:sz="12" w:space="0" w:color="auto"/>
            </w:tcBorders>
          </w:tcPr>
          <w:p w14:paraId="439CB557" w14:textId="716EF333" w:rsidR="00D83BF5" w:rsidRPr="009C2E05" w:rsidRDefault="00D83BF5" w:rsidP="00403C69">
            <w:pPr>
              <w:spacing w:before="0" w:line="240" w:lineRule="atLeast"/>
              <w:rPr>
                <w:rFonts w:cstheme="minorHAnsi"/>
                <w:sz w:val="20"/>
                <w:lang w:val="en-US"/>
              </w:rPr>
            </w:pPr>
          </w:p>
        </w:tc>
      </w:tr>
      <w:tr w:rsidR="005B718F" w:rsidRPr="00403C69" w14:paraId="02BC550A" w14:textId="77777777" w:rsidTr="005C3173">
        <w:trPr>
          <w:cantSplit/>
          <w:trHeight w:val="23"/>
        </w:trPr>
        <w:tc>
          <w:tcPr>
            <w:tcW w:w="6663" w:type="dxa"/>
            <w:gridSpan w:val="2"/>
            <w:shd w:val="clear" w:color="auto" w:fill="auto"/>
          </w:tcPr>
          <w:p w14:paraId="1EF66EAC" w14:textId="77777777" w:rsidR="005B718F" w:rsidRPr="009C2E05" w:rsidRDefault="005B718F" w:rsidP="005B718F">
            <w:pPr>
              <w:pStyle w:val="Committee"/>
              <w:framePr w:hSpace="0" w:wrap="auto" w:hAnchor="text" w:yAlign="inline"/>
              <w:rPr>
                <w:lang w:val="en-US"/>
              </w:rPr>
            </w:pPr>
            <w:bookmarkStart w:id="2" w:name="dnum" w:colFirst="1" w:colLast="1"/>
            <w:bookmarkStart w:id="3" w:name="dmeeting" w:colFirst="0" w:colLast="0"/>
            <w:bookmarkEnd w:id="1"/>
          </w:p>
        </w:tc>
        <w:tc>
          <w:tcPr>
            <w:tcW w:w="3368" w:type="dxa"/>
            <w:gridSpan w:val="2"/>
          </w:tcPr>
          <w:p w14:paraId="6F008A08" w14:textId="161BB0AD" w:rsidR="005B718F" w:rsidRPr="009C2E05" w:rsidRDefault="005B718F" w:rsidP="005B718F">
            <w:pPr>
              <w:tabs>
                <w:tab w:val="left" w:pos="851"/>
              </w:tabs>
              <w:spacing w:before="0" w:line="240" w:lineRule="atLeast"/>
              <w:rPr>
                <w:rFonts w:cstheme="minorBidi"/>
                <w:lang w:val="en-US"/>
              </w:rPr>
            </w:pPr>
            <w:r w:rsidRPr="00403C69">
              <w:rPr>
                <w:b/>
                <w:bCs/>
                <w:lang w:val="en-US"/>
              </w:rPr>
              <w:t xml:space="preserve">Document </w:t>
            </w:r>
            <w:bookmarkStart w:id="4" w:name="DocRef1"/>
            <w:bookmarkEnd w:id="4"/>
            <w:r w:rsidRPr="00403C69">
              <w:rPr>
                <w:b/>
                <w:bCs/>
                <w:lang w:val="en-US"/>
              </w:rPr>
              <w:t>TDAG-2</w:t>
            </w:r>
            <w:r>
              <w:rPr>
                <w:b/>
                <w:bCs/>
                <w:lang w:val="en-US"/>
              </w:rPr>
              <w:t>5</w:t>
            </w:r>
            <w:r w:rsidR="01A94E23" w:rsidRPr="5D5453D6">
              <w:rPr>
                <w:b/>
                <w:bCs/>
                <w:lang w:val="en-US"/>
              </w:rPr>
              <w:t>/</w:t>
            </w:r>
            <w:bookmarkStart w:id="5" w:name="DocNo1"/>
            <w:bookmarkEnd w:id="5"/>
            <w:r w:rsidR="1F35F7E5" w:rsidRPr="5D5453D6">
              <w:rPr>
                <w:b/>
                <w:bCs/>
                <w:lang w:val="en-US"/>
              </w:rPr>
              <w:t>15</w:t>
            </w:r>
            <w:r w:rsidR="01A94E23" w:rsidRPr="5D5453D6">
              <w:rPr>
                <w:b/>
                <w:bCs/>
                <w:lang w:val="en-US"/>
              </w:rPr>
              <w:t>-</w:t>
            </w:r>
            <w:r w:rsidRPr="00403C69">
              <w:rPr>
                <w:b/>
                <w:bCs/>
                <w:lang w:val="en-US"/>
              </w:rPr>
              <w:t>E</w:t>
            </w:r>
          </w:p>
        </w:tc>
      </w:tr>
      <w:tr w:rsidR="005B718F" w:rsidRPr="00403C69" w14:paraId="55AD5FBA" w14:textId="77777777" w:rsidTr="005C3173">
        <w:trPr>
          <w:cantSplit/>
          <w:trHeight w:val="23"/>
        </w:trPr>
        <w:tc>
          <w:tcPr>
            <w:tcW w:w="6663" w:type="dxa"/>
            <w:gridSpan w:val="2"/>
            <w:shd w:val="clear" w:color="auto" w:fill="auto"/>
          </w:tcPr>
          <w:p w14:paraId="0E170520" w14:textId="77777777" w:rsidR="005B718F" w:rsidRPr="009C2E05" w:rsidRDefault="005B718F" w:rsidP="005B718F">
            <w:pPr>
              <w:tabs>
                <w:tab w:val="left" w:pos="851"/>
              </w:tabs>
              <w:spacing w:before="0" w:line="240" w:lineRule="atLeast"/>
              <w:rPr>
                <w:rFonts w:cstheme="minorHAnsi"/>
                <w:b/>
                <w:szCs w:val="24"/>
                <w:lang w:val="en-US"/>
              </w:rPr>
            </w:pPr>
            <w:bookmarkStart w:id="6" w:name="ddate" w:colFirst="1" w:colLast="1"/>
            <w:bookmarkStart w:id="7" w:name="dblank" w:colFirst="0" w:colLast="0"/>
            <w:bookmarkEnd w:id="2"/>
            <w:bookmarkEnd w:id="3"/>
          </w:p>
        </w:tc>
        <w:tc>
          <w:tcPr>
            <w:tcW w:w="3368" w:type="dxa"/>
            <w:gridSpan w:val="2"/>
          </w:tcPr>
          <w:p w14:paraId="242C61B7" w14:textId="4D5F532E" w:rsidR="005B718F" w:rsidRPr="009C2E05" w:rsidRDefault="00D75875" w:rsidP="005B718F">
            <w:pPr>
              <w:spacing w:before="0" w:line="240" w:lineRule="atLeast"/>
              <w:rPr>
                <w:rFonts w:cstheme="minorBidi"/>
                <w:lang w:val="en-US"/>
              </w:rPr>
            </w:pPr>
            <w:r>
              <w:rPr>
                <w:b/>
                <w:bCs/>
                <w:lang w:val="en-US"/>
              </w:rPr>
              <w:t>2</w:t>
            </w:r>
            <w:r w:rsidR="0E44D61E" w:rsidRPr="009C2E05">
              <w:rPr>
                <w:b/>
                <w:bCs/>
                <w:lang w:val="en-US"/>
              </w:rPr>
              <w:t xml:space="preserve"> April</w:t>
            </w:r>
            <w:r w:rsidR="005B718F" w:rsidRPr="009C2E05">
              <w:rPr>
                <w:b/>
                <w:lang w:val="en-US"/>
              </w:rPr>
              <w:t xml:space="preserve"> 2025</w:t>
            </w:r>
          </w:p>
        </w:tc>
      </w:tr>
      <w:bookmarkEnd w:id="6"/>
      <w:bookmarkEnd w:id="7"/>
      <w:tr w:rsidR="005B718F" w:rsidRPr="00403C69" w14:paraId="07260C0B" w14:textId="77777777" w:rsidTr="005C3173">
        <w:trPr>
          <w:cantSplit/>
          <w:trHeight w:val="23"/>
        </w:trPr>
        <w:tc>
          <w:tcPr>
            <w:tcW w:w="6663" w:type="dxa"/>
            <w:gridSpan w:val="2"/>
            <w:shd w:val="clear" w:color="auto" w:fill="auto"/>
          </w:tcPr>
          <w:p w14:paraId="773E4FE3" w14:textId="77777777" w:rsidR="005B718F" w:rsidRPr="009C2E05" w:rsidRDefault="005B718F" w:rsidP="005B718F">
            <w:pPr>
              <w:tabs>
                <w:tab w:val="left" w:pos="851"/>
              </w:tabs>
              <w:spacing w:before="0" w:line="240" w:lineRule="atLeast"/>
              <w:rPr>
                <w:rFonts w:cstheme="minorHAnsi"/>
                <w:szCs w:val="24"/>
                <w:lang w:val="en-US"/>
              </w:rPr>
            </w:pPr>
          </w:p>
        </w:tc>
        <w:tc>
          <w:tcPr>
            <w:tcW w:w="3368" w:type="dxa"/>
            <w:gridSpan w:val="2"/>
          </w:tcPr>
          <w:p w14:paraId="2C8BB831" w14:textId="01DBF4F8" w:rsidR="005B718F" w:rsidRPr="009C2E05" w:rsidRDefault="005B718F" w:rsidP="005B718F">
            <w:pPr>
              <w:tabs>
                <w:tab w:val="left" w:pos="993"/>
              </w:tabs>
              <w:spacing w:before="0"/>
              <w:rPr>
                <w:rFonts w:cstheme="minorHAnsi"/>
                <w:b/>
                <w:szCs w:val="24"/>
                <w:lang w:val="en-US"/>
              </w:rPr>
            </w:pPr>
            <w:r w:rsidRPr="009C2E05">
              <w:rPr>
                <w:b/>
                <w:szCs w:val="24"/>
                <w:lang w:val="en-US"/>
              </w:rPr>
              <w:t>Original: English</w:t>
            </w:r>
          </w:p>
        </w:tc>
      </w:tr>
      <w:tr w:rsidR="003D1814" w:rsidRPr="00403C69" w14:paraId="35F96F24" w14:textId="77777777" w:rsidTr="00D87035">
        <w:trPr>
          <w:cantSplit/>
          <w:trHeight w:val="23"/>
        </w:trPr>
        <w:tc>
          <w:tcPr>
            <w:tcW w:w="10031" w:type="dxa"/>
            <w:gridSpan w:val="4"/>
            <w:shd w:val="clear" w:color="auto" w:fill="auto"/>
          </w:tcPr>
          <w:p w14:paraId="59A8A61C" w14:textId="6947B09A" w:rsidR="003D1814" w:rsidRPr="009C2E05" w:rsidRDefault="00F24339" w:rsidP="003D1814">
            <w:pPr>
              <w:pStyle w:val="Source"/>
              <w:spacing w:before="240" w:after="240"/>
              <w:rPr>
                <w:lang w:val="en-US"/>
              </w:rPr>
            </w:pPr>
            <w:bookmarkStart w:id="8" w:name="dbluepink" w:colFirst="0" w:colLast="0"/>
            <w:bookmarkStart w:id="9" w:name="dorlang" w:colFirst="1" w:colLast="1"/>
            <w:r w:rsidRPr="009C2E05">
              <w:rPr>
                <w:szCs w:val="28"/>
                <w:lang w:val="en-US"/>
              </w:rPr>
              <w:t>Chai</w:t>
            </w:r>
            <w:r w:rsidR="00421237" w:rsidRPr="009C2E05">
              <w:rPr>
                <w:szCs w:val="28"/>
                <w:lang w:val="en-US"/>
              </w:rPr>
              <w:t>r</w:t>
            </w:r>
            <w:r w:rsidRPr="009C2E05">
              <w:rPr>
                <w:szCs w:val="28"/>
                <w:lang w:val="en-US"/>
              </w:rPr>
              <w:t>, Telecommunication Development Advisory Group (TDAG)</w:t>
            </w:r>
          </w:p>
        </w:tc>
      </w:tr>
      <w:tr w:rsidR="003D1814" w:rsidRPr="00403C69" w14:paraId="7EDE1565" w14:textId="77777777">
        <w:trPr>
          <w:cantSplit/>
          <w:trHeight w:val="23"/>
        </w:trPr>
        <w:tc>
          <w:tcPr>
            <w:tcW w:w="10031" w:type="dxa"/>
            <w:gridSpan w:val="4"/>
            <w:shd w:val="clear" w:color="auto" w:fill="auto"/>
            <w:vAlign w:val="center"/>
          </w:tcPr>
          <w:p w14:paraId="3D29924B" w14:textId="2104D3D9" w:rsidR="003D1814" w:rsidRPr="009C2E05" w:rsidRDefault="00F24339" w:rsidP="003D1814">
            <w:pPr>
              <w:pStyle w:val="Title1"/>
              <w:spacing w:before="120" w:after="120"/>
              <w:rPr>
                <w:caps w:val="0"/>
                <w:lang w:val="en-US"/>
              </w:rPr>
            </w:pPr>
            <w:r w:rsidRPr="009C2E05">
              <w:rPr>
                <w:caps w:val="0"/>
                <w:lang w:val="en-US"/>
              </w:rPr>
              <w:t>Report on the Telecommunication Development Advisory Group (TDAG) Activities to WTDC, as mandated in WTDC Resolution 24</w:t>
            </w:r>
          </w:p>
        </w:tc>
      </w:tr>
      <w:tr w:rsidR="008A75AD" w:rsidRPr="00403C69" w14:paraId="4FBA7816" w14:textId="77777777">
        <w:trPr>
          <w:cantSplit/>
          <w:trHeight w:val="23"/>
        </w:trPr>
        <w:tc>
          <w:tcPr>
            <w:tcW w:w="10031" w:type="dxa"/>
            <w:gridSpan w:val="4"/>
            <w:shd w:val="clear" w:color="auto" w:fill="auto"/>
            <w:vAlign w:val="center"/>
          </w:tcPr>
          <w:p w14:paraId="0E683B60" w14:textId="77777777" w:rsidR="008A75AD" w:rsidRDefault="008A75AD" w:rsidP="00FA1D7B">
            <w:pPr>
              <w:pStyle w:val="Title1"/>
              <w:spacing w:before="120" w:after="120"/>
              <w:jc w:val="left"/>
              <w:rPr>
                <w:caps w:val="0"/>
                <w:szCs w:val="28"/>
                <w:lang w:val="en-US"/>
              </w:rPr>
            </w:pPr>
          </w:p>
        </w:tc>
      </w:tr>
      <w:tr w:rsidR="00C77589" w:rsidRPr="00403C69" w14:paraId="557B967D" w14:textId="77777777">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5BB25FB5" w14:textId="77777777" w:rsidR="00C77589" w:rsidRPr="009C2E05" w:rsidRDefault="00C77589" w:rsidP="00C77589">
            <w:pPr>
              <w:spacing w:after="120"/>
              <w:rPr>
                <w:b/>
                <w:szCs w:val="24"/>
                <w:lang w:val="en-US"/>
              </w:rPr>
            </w:pPr>
            <w:r w:rsidRPr="009C2E05">
              <w:rPr>
                <w:b/>
                <w:szCs w:val="24"/>
                <w:lang w:val="en-US"/>
              </w:rPr>
              <w:t>Summary:</w:t>
            </w:r>
          </w:p>
          <w:p w14:paraId="1281B27B" w14:textId="42C97726" w:rsidR="00F24339" w:rsidRDefault="00F24339" w:rsidP="00F24339">
            <w:pPr>
              <w:keepNext/>
              <w:spacing w:after="120"/>
            </w:pPr>
            <w:r w:rsidRPr="00741AED">
              <w:t>This report contains a summary of the work carried out by the Telecommunication Development Advisory Group (TDAG) during the period 20</w:t>
            </w:r>
            <w:r>
              <w:t>2</w:t>
            </w:r>
            <w:r w:rsidR="000A5BDC">
              <w:t>3</w:t>
            </w:r>
            <w:r w:rsidRPr="00741AED">
              <w:t>-20</w:t>
            </w:r>
            <w:r>
              <w:t>25</w:t>
            </w:r>
            <w:r w:rsidRPr="00741AED">
              <w:t>.</w:t>
            </w:r>
          </w:p>
          <w:p w14:paraId="7B6C3B3F" w14:textId="77777777" w:rsidR="00C77589" w:rsidRPr="009C2E05" w:rsidRDefault="00C77589" w:rsidP="00C77589">
            <w:pPr>
              <w:spacing w:after="120"/>
              <w:rPr>
                <w:b/>
              </w:rPr>
            </w:pPr>
            <w:r w:rsidRPr="00403C69">
              <w:rPr>
                <w:b/>
                <w:bCs/>
              </w:rPr>
              <w:t>Action required:</w:t>
            </w:r>
          </w:p>
          <w:p w14:paraId="0229C904" w14:textId="77777777" w:rsidR="00C77589" w:rsidRPr="009C2E05" w:rsidRDefault="00C77589" w:rsidP="00C77589">
            <w:pPr>
              <w:spacing w:after="120"/>
            </w:pPr>
            <w:r w:rsidRPr="00403C69">
              <w:t>TDAG is invited to note this document and provide guidance as deemed appropriate.</w:t>
            </w:r>
          </w:p>
          <w:p w14:paraId="18114BF0" w14:textId="77777777" w:rsidR="00C77589" w:rsidRPr="009C2E05" w:rsidRDefault="00C77589" w:rsidP="00C77589">
            <w:pPr>
              <w:spacing w:after="120"/>
              <w:rPr>
                <w:b/>
                <w:szCs w:val="24"/>
                <w:lang w:val="en-US"/>
              </w:rPr>
            </w:pPr>
            <w:r w:rsidRPr="009C2E05">
              <w:rPr>
                <w:b/>
                <w:szCs w:val="24"/>
                <w:lang w:val="en-US"/>
              </w:rPr>
              <w:t>References:</w:t>
            </w:r>
          </w:p>
          <w:p w14:paraId="6A9AF37B" w14:textId="287EED48" w:rsidR="00C77589" w:rsidRPr="009C2E05" w:rsidRDefault="007160E7" w:rsidP="00C77589">
            <w:pPr>
              <w:spacing w:after="120"/>
              <w:rPr>
                <w:lang w:val="en-US"/>
              </w:rPr>
            </w:pPr>
            <w:hyperlink r:id="rId13" w:history="1">
              <w:r w:rsidRPr="009C2E05">
                <w:rPr>
                  <w:rStyle w:val="Hyperlink"/>
                  <w:b/>
                  <w:lang w:val="en-US"/>
                </w:rPr>
                <w:t>TDAG-23/48</w:t>
              </w:r>
            </w:hyperlink>
            <w:r w:rsidRPr="009C2E05">
              <w:rPr>
                <w:b/>
                <w:lang w:val="en-US"/>
              </w:rPr>
              <w:t>,</w:t>
            </w:r>
            <w:r w:rsidR="00EE1B67">
              <w:rPr>
                <w:b/>
                <w:lang w:val="en-US"/>
              </w:rPr>
              <w:t xml:space="preserve"> </w:t>
            </w:r>
            <w:hyperlink r:id="rId14" w:history="1">
              <w:r w:rsidR="00CF2265" w:rsidRPr="009C2E05">
                <w:rPr>
                  <w:rStyle w:val="Hyperlink"/>
                  <w:b/>
                  <w:lang w:val="en-US"/>
                </w:rPr>
                <w:t>TDAG-24/51</w:t>
              </w:r>
            </w:hyperlink>
            <w:r w:rsidR="00CF2265" w:rsidRPr="009C2E05">
              <w:rPr>
                <w:b/>
                <w:lang w:val="en-US"/>
              </w:rPr>
              <w:t>,</w:t>
            </w:r>
            <w:r w:rsidR="00EE1B67">
              <w:rPr>
                <w:b/>
                <w:lang w:val="en-US"/>
              </w:rPr>
              <w:t xml:space="preserve"> </w:t>
            </w:r>
            <w:hyperlink r:id="rId15" w:history="1">
              <w:r w:rsidR="00CF2265" w:rsidRPr="009C2E05">
                <w:rPr>
                  <w:rStyle w:val="Hyperlink"/>
                  <w:b/>
                  <w:lang w:val="en-US"/>
                </w:rPr>
                <w:t>TDAG-</w:t>
              </w:r>
              <w:r w:rsidR="005F541F" w:rsidRPr="009C2E05">
                <w:rPr>
                  <w:rStyle w:val="Hyperlink"/>
                  <w:b/>
                  <w:lang w:val="en-US"/>
                </w:rPr>
                <w:t>E</w:t>
              </w:r>
              <w:r w:rsidR="009B4730" w:rsidRPr="009C2E05">
                <w:rPr>
                  <w:rStyle w:val="Hyperlink"/>
                  <w:b/>
                  <w:lang w:val="en-US"/>
                </w:rPr>
                <w:t>xtra</w:t>
              </w:r>
              <w:r w:rsidR="005F541F" w:rsidRPr="009C2E05">
                <w:rPr>
                  <w:rStyle w:val="Hyperlink"/>
                  <w:b/>
                  <w:lang w:val="en-US"/>
                </w:rPr>
                <w:t>/10</w:t>
              </w:r>
            </w:hyperlink>
          </w:p>
        </w:tc>
      </w:tr>
      <w:bookmarkEnd w:id="8"/>
      <w:bookmarkEnd w:id="9"/>
    </w:tbl>
    <w:p w14:paraId="295EAF1B" w14:textId="77777777" w:rsidR="001E252D" w:rsidRPr="009C2E05" w:rsidRDefault="001E252D" w:rsidP="00403C69">
      <w:pPr>
        <w:tabs>
          <w:tab w:val="clear" w:pos="1134"/>
          <w:tab w:val="clear" w:pos="1871"/>
          <w:tab w:val="clear" w:pos="2268"/>
        </w:tabs>
        <w:overflowPunct/>
        <w:autoSpaceDE/>
        <w:autoSpaceDN/>
        <w:adjustRightInd/>
        <w:spacing w:before="0"/>
        <w:textAlignment w:val="auto"/>
        <w:rPr>
          <w:szCs w:val="24"/>
          <w:lang w:val="en-US"/>
        </w:rPr>
      </w:pPr>
    </w:p>
    <w:p w14:paraId="3E1E2C62" w14:textId="26998B70" w:rsidR="00FF220A" w:rsidRPr="009C2E05" w:rsidRDefault="00FF220A">
      <w:pPr>
        <w:tabs>
          <w:tab w:val="clear" w:pos="1134"/>
          <w:tab w:val="clear" w:pos="1871"/>
          <w:tab w:val="clear" w:pos="2268"/>
        </w:tabs>
        <w:overflowPunct/>
        <w:autoSpaceDE/>
        <w:autoSpaceDN/>
        <w:adjustRightInd/>
        <w:spacing w:before="0"/>
        <w:textAlignment w:val="auto"/>
        <w:rPr>
          <w:szCs w:val="24"/>
          <w:lang w:val="en-US"/>
        </w:rPr>
      </w:pPr>
      <w:r w:rsidRPr="009C2E05">
        <w:rPr>
          <w:szCs w:val="24"/>
          <w:lang w:val="en-US"/>
        </w:rPr>
        <w:br w:type="page"/>
      </w:r>
    </w:p>
    <w:bookmarkStart w:id="10" w:name="_Toc482299457" w:displacedByCustomXml="next"/>
    <w:sdt>
      <w:sdtPr>
        <w:rPr>
          <w:rFonts w:asciiTheme="minorHAnsi" w:eastAsia="Times New Roman" w:hAnsiTheme="minorHAnsi" w:cs="Times New Roman"/>
          <w:color w:val="auto"/>
          <w:sz w:val="24"/>
          <w:szCs w:val="24"/>
          <w:highlight w:val="yellow"/>
          <w:lang w:val="en-US"/>
        </w:rPr>
        <w:id w:val="-1392270564"/>
        <w:docPartObj>
          <w:docPartGallery w:val="Table of Contents"/>
          <w:docPartUnique/>
        </w:docPartObj>
      </w:sdtPr>
      <w:sdtEndPr>
        <w:rPr>
          <w:rFonts w:eastAsia="Batang"/>
          <w:b/>
          <w:bCs/>
        </w:rPr>
      </w:sdtEndPr>
      <w:sdtContent>
        <w:p w14:paraId="045482BD" w14:textId="48288FAB" w:rsidR="00F24339" w:rsidRPr="00182E0D" w:rsidRDefault="00F24339" w:rsidP="00F24339">
          <w:pPr>
            <w:pStyle w:val="TOCHeading"/>
            <w:rPr>
              <w:rFonts w:asciiTheme="minorHAnsi" w:hAnsiTheme="minorHAnsi" w:cstheme="minorHAnsi"/>
              <w:b/>
              <w:bCs/>
              <w:color w:val="auto"/>
              <w:sz w:val="24"/>
              <w:szCs w:val="24"/>
              <w:lang w:val="en-US"/>
            </w:rPr>
          </w:pPr>
          <w:r w:rsidRPr="00182E0D">
            <w:rPr>
              <w:rFonts w:asciiTheme="minorHAnsi" w:hAnsiTheme="minorHAnsi" w:cstheme="minorHAnsi"/>
              <w:b/>
              <w:bCs/>
              <w:color w:val="auto"/>
              <w:sz w:val="24"/>
              <w:szCs w:val="24"/>
              <w:lang w:val="en-US"/>
            </w:rPr>
            <w:t>Table of Contents</w:t>
          </w:r>
        </w:p>
        <w:p w14:paraId="19AA0D31" w14:textId="5D31FE88" w:rsidR="00835C56" w:rsidRDefault="00F24339" w:rsidP="00F66357">
          <w:pPr>
            <w:pStyle w:val="TOC1"/>
            <w:tabs>
              <w:tab w:val="clear" w:pos="1871"/>
              <w:tab w:val="clear" w:pos="7938"/>
              <w:tab w:val="left" w:pos="1276"/>
              <w:tab w:val="left" w:leader="dot" w:pos="8647"/>
            </w:tabs>
            <w:spacing w:before="120" w:after="120"/>
            <w:rPr>
              <w:rFonts w:eastAsiaTheme="minorEastAsia" w:cstheme="minorBidi"/>
              <w:noProof/>
              <w:kern w:val="2"/>
              <w:szCs w:val="24"/>
              <w:lang w:eastAsia="en-GB"/>
              <w14:ligatures w14:val="standardContextual"/>
            </w:rPr>
          </w:pPr>
          <w:r w:rsidRPr="009C2E05">
            <w:rPr>
              <w:rFonts w:cstheme="minorHAnsi"/>
              <w:i/>
              <w:szCs w:val="24"/>
              <w:highlight w:val="yellow"/>
              <w:lang w:val="en-US"/>
            </w:rPr>
            <w:fldChar w:fldCharType="begin"/>
          </w:r>
          <w:r w:rsidRPr="009C2E05">
            <w:rPr>
              <w:highlight w:val="yellow"/>
              <w:lang w:val="en-US"/>
            </w:rPr>
            <w:instrText xml:space="preserve"> TOC \o "1-3" \h \z \u </w:instrText>
          </w:r>
          <w:r w:rsidRPr="009C2E05">
            <w:rPr>
              <w:rFonts w:cstheme="minorHAnsi"/>
              <w:i/>
              <w:szCs w:val="24"/>
              <w:highlight w:val="yellow"/>
              <w:lang w:val="en-US"/>
            </w:rPr>
            <w:fldChar w:fldCharType="separate"/>
          </w:r>
          <w:hyperlink w:anchor="_Toc194477916" w:history="1">
            <w:r w:rsidR="00835C56" w:rsidRPr="00A43B1B">
              <w:rPr>
                <w:rStyle w:val="Hyperlink"/>
                <w:noProof/>
                <w:lang w:val="en-US"/>
              </w:rPr>
              <w:t>Introduction</w:t>
            </w:r>
            <w:r w:rsidR="00835C56">
              <w:rPr>
                <w:noProof/>
                <w:webHidden/>
              </w:rPr>
              <w:tab/>
            </w:r>
            <w:r w:rsidR="00835C56">
              <w:rPr>
                <w:noProof/>
                <w:webHidden/>
              </w:rPr>
              <w:tab/>
            </w:r>
            <w:r w:rsidR="00835C56">
              <w:rPr>
                <w:noProof/>
                <w:webHidden/>
              </w:rPr>
              <w:fldChar w:fldCharType="begin"/>
            </w:r>
            <w:r w:rsidR="00835C56">
              <w:rPr>
                <w:noProof/>
                <w:webHidden/>
              </w:rPr>
              <w:instrText xml:space="preserve"> PAGEREF _Toc194477916 \h </w:instrText>
            </w:r>
            <w:r w:rsidR="00835C56">
              <w:rPr>
                <w:noProof/>
                <w:webHidden/>
              </w:rPr>
            </w:r>
            <w:r w:rsidR="00835C56">
              <w:rPr>
                <w:noProof/>
                <w:webHidden/>
              </w:rPr>
              <w:fldChar w:fldCharType="separate"/>
            </w:r>
            <w:r w:rsidR="00160487">
              <w:rPr>
                <w:noProof/>
                <w:webHidden/>
              </w:rPr>
              <w:t>3</w:t>
            </w:r>
            <w:r w:rsidR="00835C56">
              <w:rPr>
                <w:noProof/>
                <w:webHidden/>
              </w:rPr>
              <w:fldChar w:fldCharType="end"/>
            </w:r>
          </w:hyperlink>
        </w:p>
        <w:p w14:paraId="2BC8DD3B" w14:textId="775EE744"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17" w:history="1">
            <w:r w:rsidRPr="00A43B1B">
              <w:rPr>
                <w:rStyle w:val="Hyperlink"/>
                <w:noProof/>
                <w:lang w:val="en-US"/>
              </w:rPr>
              <w:t>Terms of Reference of TDAG</w:t>
            </w:r>
            <w:r>
              <w:rPr>
                <w:noProof/>
                <w:webHidden/>
              </w:rPr>
              <w:tab/>
            </w:r>
            <w:r>
              <w:rPr>
                <w:noProof/>
                <w:webHidden/>
              </w:rPr>
              <w:fldChar w:fldCharType="begin"/>
            </w:r>
            <w:r>
              <w:rPr>
                <w:noProof/>
                <w:webHidden/>
              </w:rPr>
              <w:instrText xml:space="preserve"> PAGEREF _Toc194477917 \h </w:instrText>
            </w:r>
            <w:r>
              <w:rPr>
                <w:noProof/>
                <w:webHidden/>
              </w:rPr>
            </w:r>
            <w:r>
              <w:rPr>
                <w:noProof/>
                <w:webHidden/>
              </w:rPr>
              <w:fldChar w:fldCharType="separate"/>
            </w:r>
            <w:r w:rsidR="00160487">
              <w:rPr>
                <w:noProof/>
                <w:webHidden/>
              </w:rPr>
              <w:t>3</w:t>
            </w:r>
            <w:r>
              <w:rPr>
                <w:noProof/>
                <w:webHidden/>
              </w:rPr>
              <w:fldChar w:fldCharType="end"/>
            </w:r>
          </w:hyperlink>
        </w:p>
        <w:p w14:paraId="53DBDE66" w14:textId="584DB80E"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18" w:history="1">
            <w:r w:rsidRPr="00A43B1B">
              <w:rPr>
                <w:rStyle w:val="Hyperlink"/>
                <w:noProof/>
                <w:lang w:val="en-US"/>
              </w:rPr>
              <w:t>Telecommunication Development Advisory Group Bureau</w:t>
            </w:r>
            <w:r>
              <w:rPr>
                <w:noProof/>
                <w:webHidden/>
              </w:rPr>
              <w:tab/>
            </w:r>
            <w:r>
              <w:rPr>
                <w:noProof/>
                <w:webHidden/>
              </w:rPr>
              <w:fldChar w:fldCharType="begin"/>
            </w:r>
            <w:r>
              <w:rPr>
                <w:noProof/>
                <w:webHidden/>
              </w:rPr>
              <w:instrText xml:space="preserve"> PAGEREF _Toc194477918 \h </w:instrText>
            </w:r>
            <w:r>
              <w:rPr>
                <w:noProof/>
                <w:webHidden/>
              </w:rPr>
            </w:r>
            <w:r>
              <w:rPr>
                <w:noProof/>
                <w:webHidden/>
              </w:rPr>
              <w:fldChar w:fldCharType="separate"/>
            </w:r>
            <w:r w:rsidR="00160487">
              <w:rPr>
                <w:noProof/>
                <w:webHidden/>
              </w:rPr>
              <w:t>3</w:t>
            </w:r>
            <w:r>
              <w:rPr>
                <w:noProof/>
                <w:webHidden/>
              </w:rPr>
              <w:fldChar w:fldCharType="end"/>
            </w:r>
          </w:hyperlink>
        </w:p>
        <w:p w14:paraId="34EFD136" w14:textId="7CFDBDE5" w:rsidR="00835C56" w:rsidRDefault="00835C56" w:rsidP="00F66357">
          <w:pPr>
            <w:pStyle w:val="TOC1"/>
            <w:tabs>
              <w:tab w:val="clear" w:pos="1871"/>
              <w:tab w:val="clear" w:pos="7938"/>
              <w:tab w:val="left" w:pos="1560"/>
              <w:tab w:val="left" w:leader="dot" w:pos="8647"/>
            </w:tabs>
            <w:spacing w:before="120" w:after="120"/>
            <w:rPr>
              <w:rFonts w:eastAsiaTheme="minorEastAsia" w:cstheme="minorBidi"/>
              <w:noProof/>
              <w:kern w:val="2"/>
              <w:szCs w:val="24"/>
              <w:lang w:eastAsia="en-GB"/>
              <w14:ligatures w14:val="standardContextual"/>
            </w:rPr>
          </w:pPr>
          <w:hyperlink w:anchor="_Toc194477919" w:history="1">
            <w:r w:rsidRPr="00A43B1B">
              <w:rPr>
                <w:rStyle w:val="Hyperlink"/>
                <w:noProof/>
                <w:lang w:val="en-US"/>
              </w:rPr>
              <w:t>TDAG Meetings</w:t>
            </w:r>
            <w:r>
              <w:rPr>
                <w:noProof/>
                <w:webHidden/>
              </w:rPr>
              <w:tab/>
            </w:r>
            <w:r>
              <w:rPr>
                <w:noProof/>
                <w:webHidden/>
              </w:rPr>
              <w:tab/>
            </w:r>
            <w:r>
              <w:rPr>
                <w:noProof/>
                <w:webHidden/>
              </w:rPr>
              <w:fldChar w:fldCharType="begin"/>
            </w:r>
            <w:r>
              <w:rPr>
                <w:noProof/>
                <w:webHidden/>
              </w:rPr>
              <w:instrText xml:space="preserve"> PAGEREF _Toc194477919 \h </w:instrText>
            </w:r>
            <w:r>
              <w:rPr>
                <w:noProof/>
                <w:webHidden/>
              </w:rPr>
            </w:r>
            <w:r>
              <w:rPr>
                <w:noProof/>
                <w:webHidden/>
              </w:rPr>
              <w:fldChar w:fldCharType="separate"/>
            </w:r>
            <w:r w:rsidR="00160487">
              <w:rPr>
                <w:noProof/>
                <w:webHidden/>
              </w:rPr>
              <w:t>4</w:t>
            </w:r>
            <w:r>
              <w:rPr>
                <w:noProof/>
                <w:webHidden/>
              </w:rPr>
              <w:fldChar w:fldCharType="end"/>
            </w:r>
          </w:hyperlink>
        </w:p>
        <w:p w14:paraId="6F39DC81" w14:textId="1FB27B8A"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20" w:history="1">
            <w:r w:rsidRPr="00A43B1B">
              <w:rPr>
                <w:rStyle w:val="Hyperlink"/>
                <w:noProof/>
                <w:lang w:val="en-US"/>
              </w:rPr>
              <w:t>30th TDAG Meeting</w:t>
            </w:r>
            <w:r>
              <w:rPr>
                <w:noProof/>
                <w:webHidden/>
              </w:rPr>
              <w:tab/>
            </w:r>
            <w:r>
              <w:rPr>
                <w:noProof/>
                <w:webHidden/>
              </w:rPr>
              <w:fldChar w:fldCharType="begin"/>
            </w:r>
            <w:r>
              <w:rPr>
                <w:noProof/>
                <w:webHidden/>
              </w:rPr>
              <w:instrText xml:space="preserve"> PAGEREF _Toc194477920 \h </w:instrText>
            </w:r>
            <w:r>
              <w:rPr>
                <w:noProof/>
                <w:webHidden/>
              </w:rPr>
            </w:r>
            <w:r>
              <w:rPr>
                <w:noProof/>
                <w:webHidden/>
              </w:rPr>
              <w:fldChar w:fldCharType="separate"/>
            </w:r>
            <w:r w:rsidR="00160487">
              <w:rPr>
                <w:noProof/>
                <w:webHidden/>
              </w:rPr>
              <w:t>4</w:t>
            </w:r>
            <w:r>
              <w:rPr>
                <w:noProof/>
                <w:webHidden/>
              </w:rPr>
              <w:fldChar w:fldCharType="end"/>
            </w:r>
          </w:hyperlink>
        </w:p>
        <w:p w14:paraId="19CD438A" w14:textId="423AAD1E"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21" w:history="1">
            <w:r w:rsidRPr="00A43B1B">
              <w:rPr>
                <w:rStyle w:val="Hyperlink"/>
                <w:noProof/>
                <w:lang w:val="en-US"/>
              </w:rPr>
              <w:t>31st TDAG Meeting</w:t>
            </w:r>
            <w:r>
              <w:rPr>
                <w:noProof/>
                <w:webHidden/>
              </w:rPr>
              <w:tab/>
            </w:r>
            <w:r>
              <w:rPr>
                <w:noProof/>
                <w:webHidden/>
              </w:rPr>
              <w:fldChar w:fldCharType="begin"/>
            </w:r>
            <w:r>
              <w:rPr>
                <w:noProof/>
                <w:webHidden/>
              </w:rPr>
              <w:instrText xml:space="preserve"> PAGEREF _Toc194477921 \h </w:instrText>
            </w:r>
            <w:r>
              <w:rPr>
                <w:noProof/>
                <w:webHidden/>
              </w:rPr>
            </w:r>
            <w:r>
              <w:rPr>
                <w:noProof/>
                <w:webHidden/>
              </w:rPr>
              <w:fldChar w:fldCharType="separate"/>
            </w:r>
            <w:r w:rsidR="00160487">
              <w:rPr>
                <w:noProof/>
                <w:webHidden/>
              </w:rPr>
              <w:t>8</w:t>
            </w:r>
            <w:r>
              <w:rPr>
                <w:noProof/>
                <w:webHidden/>
              </w:rPr>
              <w:fldChar w:fldCharType="end"/>
            </w:r>
          </w:hyperlink>
        </w:p>
        <w:p w14:paraId="72A4D694" w14:textId="6D861771"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22" w:history="1">
            <w:r w:rsidRPr="00A43B1B">
              <w:rPr>
                <w:rStyle w:val="Hyperlink"/>
                <w:noProof/>
                <w:lang w:val="en-US"/>
              </w:rPr>
              <w:t>Extraordinary Meeting of TDAG</w:t>
            </w:r>
            <w:r>
              <w:rPr>
                <w:noProof/>
                <w:webHidden/>
              </w:rPr>
              <w:tab/>
            </w:r>
            <w:r>
              <w:rPr>
                <w:noProof/>
                <w:webHidden/>
              </w:rPr>
              <w:fldChar w:fldCharType="begin"/>
            </w:r>
            <w:r>
              <w:rPr>
                <w:noProof/>
                <w:webHidden/>
              </w:rPr>
              <w:instrText xml:space="preserve"> PAGEREF _Toc194477922 \h </w:instrText>
            </w:r>
            <w:r>
              <w:rPr>
                <w:noProof/>
                <w:webHidden/>
              </w:rPr>
            </w:r>
            <w:r>
              <w:rPr>
                <w:noProof/>
                <w:webHidden/>
              </w:rPr>
              <w:fldChar w:fldCharType="separate"/>
            </w:r>
            <w:r w:rsidR="00160487">
              <w:rPr>
                <w:noProof/>
                <w:webHidden/>
              </w:rPr>
              <w:t>11</w:t>
            </w:r>
            <w:r>
              <w:rPr>
                <w:noProof/>
                <w:webHidden/>
              </w:rPr>
              <w:fldChar w:fldCharType="end"/>
            </w:r>
          </w:hyperlink>
        </w:p>
        <w:p w14:paraId="38C8D69D" w14:textId="5B088F76" w:rsidR="00835C56" w:rsidRDefault="00835C56" w:rsidP="00F66357">
          <w:pPr>
            <w:pStyle w:val="TOC2"/>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23" w:history="1">
            <w:r w:rsidRPr="00A43B1B">
              <w:rPr>
                <w:rStyle w:val="Hyperlink"/>
                <w:noProof/>
                <w:lang w:val="en-US"/>
              </w:rPr>
              <w:t>32nd TDAG Meeting</w:t>
            </w:r>
            <w:r>
              <w:rPr>
                <w:noProof/>
                <w:webHidden/>
              </w:rPr>
              <w:tab/>
            </w:r>
            <w:r>
              <w:rPr>
                <w:noProof/>
                <w:webHidden/>
              </w:rPr>
              <w:fldChar w:fldCharType="begin"/>
            </w:r>
            <w:r>
              <w:rPr>
                <w:noProof/>
                <w:webHidden/>
              </w:rPr>
              <w:instrText xml:space="preserve"> PAGEREF _Toc194477923 \h </w:instrText>
            </w:r>
            <w:r>
              <w:rPr>
                <w:noProof/>
                <w:webHidden/>
              </w:rPr>
            </w:r>
            <w:r>
              <w:rPr>
                <w:noProof/>
                <w:webHidden/>
              </w:rPr>
              <w:fldChar w:fldCharType="separate"/>
            </w:r>
            <w:r w:rsidR="00160487">
              <w:rPr>
                <w:noProof/>
                <w:webHidden/>
              </w:rPr>
              <w:t>14</w:t>
            </w:r>
            <w:r>
              <w:rPr>
                <w:noProof/>
                <w:webHidden/>
              </w:rPr>
              <w:fldChar w:fldCharType="end"/>
            </w:r>
          </w:hyperlink>
        </w:p>
        <w:p w14:paraId="0BDE1FC7" w14:textId="5F97D35F" w:rsidR="00835C56" w:rsidRDefault="00835C56" w:rsidP="00F66357">
          <w:pPr>
            <w:pStyle w:val="TOC1"/>
            <w:tabs>
              <w:tab w:val="clear" w:pos="7938"/>
              <w:tab w:val="left" w:leader="dot" w:pos="8647"/>
            </w:tabs>
            <w:spacing w:before="120" w:after="120"/>
            <w:rPr>
              <w:rFonts w:eastAsiaTheme="minorEastAsia" w:cstheme="minorBidi"/>
              <w:noProof/>
              <w:kern w:val="2"/>
              <w:szCs w:val="24"/>
              <w:lang w:eastAsia="en-GB"/>
              <w14:ligatures w14:val="standardContextual"/>
            </w:rPr>
          </w:pPr>
          <w:hyperlink w:anchor="_Toc194477924" w:history="1">
            <w:r w:rsidRPr="00A43B1B">
              <w:rPr>
                <w:rStyle w:val="Hyperlink"/>
                <w:noProof/>
                <w:lang w:val="en-US"/>
              </w:rPr>
              <w:t>TDAG Working Group Meetings</w:t>
            </w:r>
            <w:r>
              <w:rPr>
                <w:noProof/>
                <w:webHidden/>
              </w:rPr>
              <w:tab/>
            </w:r>
            <w:r>
              <w:rPr>
                <w:noProof/>
                <w:webHidden/>
              </w:rPr>
              <w:fldChar w:fldCharType="begin"/>
            </w:r>
            <w:r>
              <w:rPr>
                <w:noProof/>
                <w:webHidden/>
              </w:rPr>
              <w:instrText xml:space="preserve"> PAGEREF _Toc194477924 \h </w:instrText>
            </w:r>
            <w:r>
              <w:rPr>
                <w:noProof/>
                <w:webHidden/>
              </w:rPr>
            </w:r>
            <w:r>
              <w:rPr>
                <w:noProof/>
                <w:webHidden/>
              </w:rPr>
              <w:fldChar w:fldCharType="separate"/>
            </w:r>
            <w:r w:rsidR="00160487">
              <w:rPr>
                <w:noProof/>
                <w:webHidden/>
              </w:rPr>
              <w:t>14</w:t>
            </w:r>
            <w:r>
              <w:rPr>
                <w:noProof/>
                <w:webHidden/>
              </w:rPr>
              <w:fldChar w:fldCharType="end"/>
            </w:r>
          </w:hyperlink>
        </w:p>
        <w:p w14:paraId="6375C77E" w14:textId="1FA03575" w:rsidR="00835C56" w:rsidRDefault="00835C56" w:rsidP="00F66357">
          <w:pPr>
            <w:pStyle w:val="TOC1"/>
            <w:tabs>
              <w:tab w:val="clear" w:pos="7938"/>
              <w:tab w:val="left" w:leader="dot" w:pos="8647"/>
            </w:tabs>
            <w:spacing w:before="120" w:after="120"/>
            <w:rPr>
              <w:rFonts w:eastAsiaTheme="minorEastAsia" w:cstheme="minorBidi"/>
              <w:noProof/>
              <w:kern w:val="2"/>
              <w:szCs w:val="24"/>
              <w:lang w:eastAsia="en-GB"/>
              <w14:ligatures w14:val="standardContextual"/>
            </w:rPr>
          </w:pPr>
          <w:hyperlink w:anchor="_Toc194477925" w:history="1">
            <w:r w:rsidRPr="00A43B1B">
              <w:rPr>
                <w:rStyle w:val="Hyperlink"/>
                <w:noProof/>
                <w:lang w:val="en-US"/>
              </w:rPr>
              <w:t>Implementation of Resolutions 1, 2 and 24 by TDAG</w:t>
            </w:r>
            <w:r>
              <w:rPr>
                <w:noProof/>
                <w:webHidden/>
              </w:rPr>
              <w:tab/>
            </w:r>
            <w:r>
              <w:rPr>
                <w:noProof/>
                <w:webHidden/>
              </w:rPr>
              <w:fldChar w:fldCharType="begin"/>
            </w:r>
            <w:r>
              <w:rPr>
                <w:noProof/>
                <w:webHidden/>
              </w:rPr>
              <w:instrText xml:space="preserve"> PAGEREF _Toc194477925 \h </w:instrText>
            </w:r>
            <w:r>
              <w:rPr>
                <w:noProof/>
                <w:webHidden/>
              </w:rPr>
            </w:r>
            <w:r>
              <w:rPr>
                <w:noProof/>
                <w:webHidden/>
              </w:rPr>
              <w:fldChar w:fldCharType="separate"/>
            </w:r>
            <w:r w:rsidR="00160487">
              <w:rPr>
                <w:noProof/>
                <w:webHidden/>
              </w:rPr>
              <w:t>14</w:t>
            </w:r>
            <w:r>
              <w:rPr>
                <w:noProof/>
                <w:webHidden/>
              </w:rPr>
              <w:fldChar w:fldCharType="end"/>
            </w:r>
          </w:hyperlink>
        </w:p>
        <w:p w14:paraId="33D69869" w14:textId="5CB72019" w:rsidR="00835C56" w:rsidRDefault="00835C56" w:rsidP="00F66357">
          <w:pPr>
            <w:pStyle w:val="TOC3"/>
            <w:tabs>
              <w:tab w:val="clear" w:pos="7938"/>
              <w:tab w:val="left" w:leader="dot" w:pos="8647"/>
            </w:tabs>
            <w:spacing w:after="120"/>
            <w:rPr>
              <w:rFonts w:eastAsiaTheme="minorEastAsia" w:cstheme="minorBidi"/>
              <w:noProof/>
              <w:kern w:val="2"/>
              <w:szCs w:val="24"/>
              <w:lang w:eastAsia="en-GB"/>
              <w14:ligatures w14:val="standardContextual"/>
            </w:rPr>
          </w:pPr>
          <w:hyperlink w:anchor="_Toc194477927" w:history="1">
            <w:r w:rsidRPr="00A43B1B">
              <w:rPr>
                <w:rStyle w:val="Hyperlink"/>
                <w:rFonts w:ascii="Calibri" w:eastAsia="Times New Roman" w:hAnsi="Calibri" w:cs="Calibri"/>
                <w:b/>
                <w:noProof/>
                <w:lang w:val="en-US"/>
              </w:rPr>
              <w:t>Conclusion and Outlook</w:t>
            </w:r>
            <w:r>
              <w:rPr>
                <w:noProof/>
                <w:webHidden/>
              </w:rPr>
              <w:tab/>
            </w:r>
            <w:r>
              <w:rPr>
                <w:noProof/>
                <w:webHidden/>
              </w:rPr>
              <w:fldChar w:fldCharType="begin"/>
            </w:r>
            <w:r>
              <w:rPr>
                <w:noProof/>
                <w:webHidden/>
              </w:rPr>
              <w:instrText xml:space="preserve"> PAGEREF _Toc194477927 \h </w:instrText>
            </w:r>
            <w:r>
              <w:rPr>
                <w:noProof/>
                <w:webHidden/>
              </w:rPr>
            </w:r>
            <w:r>
              <w:rPr>
                <w:noProof/>
                <w:webHidden/>
              </w:rPr>
              <w:fldChar w:fldCharType="separate"/>
            </w:r>
            <w:r w:rsidR="00160487">
              <w:rPr>
                <w:noProof/>
                <w:webHidden/>
              </w:rPr>
              <w:t>19</w:t>
            </w:r>
            <w:r>
              <w:rPr>
                <w:noProof/>
                <w:webHidden/>
              </w:rPr>
              <w:fldChar w:fldCharType="end"/>
            </w:r>
          </w:hyperlink>
        </w:p>
        <w:p w14:paraId="0F4D779A" w14:textId="4AA1BC00" w:rsidR="00F24339" w:rsidRPr="009C2E05" w:rsidRDefault="00F24339" w:rsidP="00F24339">
          <w:pPr>
            <w:rPr>
              <w:lang w:val="en-US"/>
            </w:rPr>
          </w:pPr>
          <w:r w:rsidRPr="009C2E05">
            <w:rPr>
              <w:b/>
              <w:highlight w:val="yellow"/>
              <w:lang w:val="en-US"/>
            </w:rPr>
            <w:fldChar w:fldCharType="end"/>
          </w:r>
        </w:p>
      </w:sdtContent>
    </w:sdt>
    <w:p w14:paraId="29F216A7" w14:textId="77777777" w:rsidR="00F24339" w:rsidRPr="009C2E05" w:rsidRDefault="00F24339" w:rsidP="00F24339">
      <w:pPr>
        <w:tabs>
          <w:tab w:val="clear" w:pos="1134"/>
          <w:tab w:val="clear" w:pos="1871"/>
          <w:tab w:val="clear" w:pos="2268"/>
        </w:tabs>
        <w:overflowPunct/>
        <w:autoSpaceDE/>
        <w:autoSpaceDN/>
        <w:adjustRightInd/>
        <w:spacing w:before="0"/>
        <w:textAlignment w:val="auto"/>
        <w:rPr>
          <w:caps/>
          <w:lang w:val="en-US"/>
        </w:rPr>
      </w:pPr>
    </w:p>
    <w:p w14:paraId="475BD7FD" w14:textId="77777777" w:rsidR="00F24339" w:rsidRPr="009C2E05" w:rsidRDefault="00F24339" w:rsidP="00F24339">
      <w:pPr>
        <w:pStyle w:val="TOC2"/>
        <w:rPr>
          <w:caps/>
          <w:szCs w:val="24"/>
          <w:lang w:val="en-US"/>
        </w:rPr>
        <w:sectPr w:rsidR="00F24339" w:rsidRPr="009C2E05" w:rsidSect="00F24339">
          <w:headerReference w:type="default" r:id="rId16"/>
          <w:footerReference w:type="even" r:id="rId17"/>
          <w:footerReference w:type="first" r:id="rId18"/>
          <w:pgSz w:w="11907" w:h="16840" w:code="9"/>
          <w:pgMar w:top="1418" w:right="1559" w:bottom="851" w:left="1134" w:header="720" w:footer="720" w:gutter="0"/>
          <w:paperSrc w:first="15" w:other="15"/>
          <w:pgNumType w:start="1"/>
          <w:cols w:space="720"/>
          <w:titlePg/>
          <w:docGrid w:linePitch="326"/>
        </w:sectPr>
      </w:pPr>
    </w:p>
    <w:p w14:paraId="434C3E75" w14:textId="77777777" w:rsidR="00F24339" w:rsidRPr="008B71BD" w:rsidRDefault="00F24339" w:rsidP="007F74D3">
      <w:pPr>
        <w:pStyle w:val="Heading1"/>
        <w:keepNext w:val="0"/>
        <w:keepLines w:val="0"/>
        <w:spacing w:before="120" w:after="120"/>
        <w:ind w:left="567" w:hanging="567"/>
        <w:rPr>
          <w:lang w:val="en-US"/>
        </w:rPr>
      </w:pPr>
      <w:bookmarkStart w:id="11" w:name="_Toc482300234"/>
      <w:bookmarkStart w:id="12" w:name="_Toc194477916"/>
      <w:bookmarkEnd w:id="10"/>
      <w:r w:rsidRPr="008B71BD">
        <w:rPr>
          <w:lang w:val="en-US"/>
        </w:rPr>
        <w:lastRenderedPageBreak/>
        <w:t>Introduction</w:t>
      </w:r>
      <w:bookmarkEnd w:id="11"/>
      <w:bookmarkEnd w:id="12"/>
    </w:p>
    <w:p w14:paraId="5F04E27F" w14:textId="5FC1D98A" w:rsidR="00F24339" w:rsidRPr="009C2E05" w:rsidRDefault="00F24339" w:rsidP="007F74D3">
      <w:pPr>
        <w:spacing w:after="120"/>
        <w:rPr>
          <w:lang w:val="en-US"/>
        </w:rPr>
      </w:pPr>
      <w:r w:rsidRPr="009C2E05">
        <w:rPr>
          <w:szCs w:val="24"/>
          <w:lang w:val="en-US"/>
        </w:rPr>
        <w:t xml:space="preserve">This report contains a summary of the work carried out by the Telecommunication Development Advisory Group (TDAG) during the period </w:t>
      </w:r>
      <w:r w:rsidRPr="002C6D93">
        <w:rPr>
          <w:szCs w:val="24"/>
          <w:lang w:val="en-US"/>
        </w:rPr>
        <w:t>202</w:t>
      </w:r>
      <w:r w:rsidR="00AF298A" w:rsidRPr="002C6D93">
        <w:rPr>
          <w:szCs w:val="24"/>
          <w:lang w:val="en-US"/>
        </w:rPr>
        <w:t>3</w:t>
      </w:r>
      <w:r w:rsidRPr="002C6D93">
        <w:rPr>
          <w:szCs w:val="24"/>
          <w:lang w:val="en-US"/>
        </w:rPr>
        <w:t>-2025.</w:t>
      </w:r>
      <w:r w:rsidRPr="009C2E05">
        <w:rPr>
          <w:lang w:val="en-US"/>
        </w:rPr>
        <w:t xml:space="preserve"> </w:t>
      </w:r>
    </w:p>
    <w:p w14:paraId="597213BA" w14:textId="77777777" w:rsidR="00F24339" w:rsidRPr="007F74D3" w:rsidRDefault="00F24339" w:rsidP="007F74D3">
      <w:pPr>
        <w:pStyle w:val="Heading2"/>
        <w:keepNext w:val="0"/>
        <w:keepLines w:val="0"/>
        <w:spacing w:before="120" w:after="120"/>
        <w:rPr>
          <w:i/>
          <w:iCs/>
          <w:lang w:val="en-US"/>
        </w:rPr>
      </w:pPr>
      <w:bookmarkStart w:id="13" w:name="_Toc482300235"/>
      <w:bookmarkStart w:id="14" w:name="_Toc194477917"/>
      <w:r w:rsidRPr="007F74D3">
        <w:rPr>
          <w:i/>
          <w:iCs/>
          <w:lang w:val="en-US"/>
        </w:rPr>
        <w:t>Terms of Reference of TDAG</w:t>
      </w:r>
      <w:bookmarkEnd w:id="13"/>
      <w:bookmarkEnd w:id="14"/>
    </w:p>
    <w:p w14:paraId="086BAE80" w14:textId="77777777" w:rsidR="00F24339" w:rsidRPr="009C2E05" w:rsidRDefault="00F24339" w:rsidP="007F74D3">
      <w:pPr>
        <w:spacing w:after="120"/>
        <w:rPr>
          <w:lang w:val="en-US"/>
        </w:rPr>
      </w:pPr>
      <w:r w:rsidRPr="009C2E05">
        <w:rPr>
          <w:lang w:val="en-US"/>
        </w:rPr>
        <w:t xml:space="preserve">The terms of reference of TDAG can be found on the </w:t>
      </w:r>
      <w:hyperlink r:id="rId19" w:history="1">
        <w:r w:rsidRPr="009C2E05">
          <w:rPr>
            <w:rStyle w:val="Hyperlink"/>
            <w:lang w:val="en-US"/>
          </w:rPr>
          <w:t>TDAG webpage</w:t>
        </w:r>
      </w:hyperlink>
      <w:r w:rsidRPr="009C2E05">
        <w:rPr>
          <w:lang w:val="en-US"/>
        </w:rPr>
        <w:t>.</w:t>
      </w:r>
    </w:p>
    <w:p w14:paraId="26121581" w14:textId="77777777" w:rsidR="00F24339" w:rsidRPr="007F74D3" w:rsidRDefault="00F24339" w:rsidP="007F74D3">
      <w:pPr>
        <w:pStyle w:val="Heading2"/>
        <w:keepNext w:val="0"/>
        <w:keepLines w:val="0"/>
        <w:spacing w:before="120" w:after="120"/>
        <w:rPr>
          <w:i/>
          <w:iCs/>
          <w:lang w:val="en-US"/>
        </w:rPr>
      </w:pPr>
      <w:bookmarkStart w:id="15" w:name="_Toc482300236"/>
      <w:bookmarkStart w:id="16" w:name="_Toc194477918"/>
      <w:r w:rsidRPr="007F74D3">
        <w:rPr>
          <w:i/>
          <w:iCs/>
          <w:lang w:val="en-US"/>
        </w:rPr>
        <w:t>Telecommunication Development Advisory Group Bureau</w:t>
      </w:r>
      <w:bookmarkEnd w:id="15"/>
      <w:bookmarkEnd w:id="16"/>
    </w:p>
    <w:p w14:paraId="1ECFC7C3" w14:textId="7E8D697C" w:rsidR="00F24339" w:rsidRPr="009C2E05" w:rsidRDefault="00F24339" w:rsidP="007F74D3">
      <w:pPr>
        <w:tabs>
          <w:tab w:val="clear" w:pos="1134"/>
        </w:tabs>
        <w:spacing w:after="120"/>
        <w:rPr>
          <w:lang w:val="en-US"/>
        </w:rPr>
      </w:pPr>
      <w:r w:rsidRPr="009C2E05">
        <w:rPr>
          <w:szCs w:val="24"/>
          <w:lang w:val="en-US"/>
        </w:rPr>
        <w:t xml:space="preserve">In application of Resolution 208 (Rev. Dubai, 2018), WTDC-22 adopted the composition of the TDAG Bureau and appointed the TDAG chairman and </w:t>
      </w:r>
      <w:r w:rsidRPr="009C2E05">
        <w:rPr>
          <w:lang w:val="en-US"/>
        </w:rPr>
        <w:t>vice-chairmen</w:t>
      </w:r>
      <w:r w:rsidRPr="009C2E05">
        <w:rPr>
          <w:szCs w:val="24"/>
          <w:lang w:val="en-US"/>
        </w:rPr>
        <w:t>, as follows:</w:t>
      </w:r>
    </w:p>
    <w:tbl>
      <w:tblPr>
        <w:tblStyle w:val="TableGrid"/>
        <w:tblW w:w="9209" w:type="dxa"/>
        <w:tblLook w:val="04A0" w:firstRow="1" w:lastRow="0" w:firstColumn="1" w:lastColumn="0" w:noHBand="0" w:noVBand="1"/>
      </w:tblPr>
      <w:tblGrid>
        <w:gridCol w:w="1798"/>
        <w:gridCol w:w="3283"/>
        <w:gridCol w:w="2465"/>
        <w:gridCol w:w="1663"/>
      </w:tblGrid>
      <w:tr w:rsidR="00F24339" w:rsidRPr="00777074" w14:paraId="68CD0073" w14:textId="77777777">
        <w:trPr>
          <w:trHeight w:val="567"/>
        </w:trPr>
        <w:tc>
          <w:tcPr>
            <w:tcW w:w="1798" w:type="dxa"/>
            <w:shd w:val="clear" w:color="auto" w:fill="F2F2F2" w:themeFill="background1" w:themeFillShade="F2"/>
            <w:vAlign w:val="center"/>
          </w:tcPr>
          <w:p w14:paraId="242F4BC6" w14:textId="77777777" w:rsidR="00F24339" w:rsidRPr="00777074" w:rsidRDefault="00F24339">
            <w:pPr>
              <w:pStyle w:val="BDTNormal"/>
              <w:tabs>
                <w:tab w:val="left" w:pos="3375"/>
                <w:tab w:val="center" w:pos="4706"/>
              </w:tabs>
              <w:spacing w:before="0" w:after="0"/>
              <w:jc w:val="center"/>
              <w:rPr>
                <w:rFonts w:asciiTheme="minorHAnsi" w:hAnsiTheme="minorHAnsi" w:cstheme="minorHAnsi"/>
                <w:b/>
                <w:bCs/>
                <w:noProof/>
                <w:sz w:val="24"/>
                <w:szCs w:val="24"/>
                <w:lang w:val="en-US"/>
              </w:rPr>
            </w:pPr>
            <w:r w:rsidRPr="00777074">
              <w:rPr>
                <w:rFonts w:asciiTheme="minorHAnsi" w:hAnsiTheme="minorHAnsi" w:cstheme="minorHAnsi"/>
                <w:b/>
                <w:bCs/>
                <w:noProof/>
                <w:sz w:val="24"/>
                <w:szCs w:val="24"/>
                <w:lang w:val="en-US"/>
              </w:rPr>
              <w:t xml:space="preserve">Chairman/ </w:t>
            </w:r>
          </w:p>
          <w:p w14:paraId="457AACCB" w14:textId="77777777" w:rsidR="00F24339" w:rsidRPr="00777074" w:rsidRDefault="00F24339">
            <w:pPr>
              <w:pStyle w:val="BDTNormal"/>
              <w:tabs>
                <w:tab w:val="left" w:pos="3375"/>
                <w:tab w:val="center" w:pos="4706"/>
              </w:tabs>
              <w:spacing w:before="0" w:after="0"/>
              <w:jc w:val="center"/>
              <w:rPr>
                <w:rFonts w:asciiTheme="minorHAnsi" w:hAnsiTheme="minorHAnsi" w:cstheme="minorHAnsi"/>
                <w:b/>
                <w:bCs/>
                <w:noProof/>
                <w:sz w:val="24"/>
                <w:szCs w:val="24"/>
                <w:lang w:val="en-US"/>
              </w:rPr>
            </w:pPr>
            <w:r w:rsidRPr="00777074">
              <w:rPr>
                <w:rFonts w:asciiTheme="minorHAnsi" w:hAnsiTheme="minorHAnsi" w:cstheme="minorHAnsi"/>
                <w:b/>
                <w:bCs/>
                <w:noProof/>
                <w:sz w:val="24"/>
                <w:szCs w:val="24"/>
                <w:lang w:val="en-US"/>
              </w:rPr>
              <w:t>Vice-Chairmen</w:t>
            </w:r>
          </w:p>
        </w:tc>
        <w:tc>
          <w:tcPr>
            <w:tcW w:w="3283" w:type="dxa"/>
            <w:shd w:val="clear" w:color="auto" w:fill="F2F2F2" w:themeFill="background1" w:themeFillShade="F2"/>
            <w:vAlign w:val="center"/>
          </w:tcPr>
          <w:p w14:paraId="0E43B4A0" w14:textId="77777777" w:rsidR="00F24339" w:rsidRPr="00777074" w:rsidRDefault="00F24339">
            <w:pPr>
              <w:pStyle w:val="BDTNormal"/>
              <w:tabs>
                <w:tab w:val="left" w:pos="3375"/>
                <w:tab w:val="center" w:pos="4706"/>
              </w:tabs>
              <w:spacing w:before="0" w:after="0"/>
              <w:jc w:val="center"/>
              <w:rPr>
                <w:rFonts w:asciiTheme="minorHAnsi" w:hAnsiTheme="minorHAnsi" w:cstheme="minorHAnsi"/>
                <w:b/>
                <w:bCs/>
                <w:noProof/>
                <w:sz w:val="24"/>
                <w:szCs w:val="24"/>
                <w:lang w:val="en-US"/>
              </w:rPr>
            </w:pPr>
            <w:r w:rsidRPr="00777074">
              <w:rPr>
                <w:rFonts w:asciiTheme="minorHAnsi" w:hAnsiTheme="minorHAnsi" w:cstheme="minorHAnsi"/>
                <w:b/>
                <w:bCs/>
                <w:noProof/>
                <w:sz w:val="24"/>
                <w:szCs w:val="24"/>
                <w:lang w:val="en-US"/>
              </w:rPr>
              <w:t>Name</w:t>
            </w:r>
          </w:p>
        </w:tc>
        <w:tc>
          <w:tcPr>
            <w:tcW w:w="2465" w:type="dxa"/>
            <w:shd w:val="clear" w:color="auto" w:fill="F2F2F2" w:themeFill="background1" w:themeFillShade="F2"/>
            <w:vAlign w:val="center"/>
          </w:tcPr>
          <w:p w14:paraId="56751F89" w14:textId="77777777" w:rsidR="00F24339" w:rsidRPr="00777074" w:rsidRDefault="00F24339">
            <w:pPr>
              <w:pStyle w:val="BDTNormal"/>
              <w:tabs>
                <w:tab w:val="left" w:pos="3375"/>
                <w:tab w:val="center" w:pos="4706"/>
              </w:tabs>
              <w:spacing w:before="0" w:after="0"/>
              <w:jc w:val="center"/>
              <w:rPr>
                <w:rFonts w:asciiTheme="minorHAnsi" w:hAnsiTheme="minorHAnsi" w:cstheme="minorHAnsi"/>
                <w:b/>
                <w:bCs/>
                <w:noProof/>
                <w:sz w:val="24"/>
                <w:szCs w:val="24"/>
                <w:lang w:val="en-US"/>
              </w:rPr>
            </w:pPr>
            <w:r w:rsidRPr="00777074">
              <w:rPr>
                <w:rFonts w:asciiTheme="minorHAnsi" w:hAnsiTheme="minorHAnsi" w:cstheme="minorHAnsi"/>
                <w:b/>
                <w:bCs/>
                <w:noProof/>
                <w:sz w:val="24"/>
                <w:szCs w:val="24"/>
                <w:lang w:val="en-US"/>
              </w:rPr>
              <w:t>Country</w:t>
            </w:r>
          </w:p>
        </w:tc>
        <w:tc>
          <w:tcPr>
            <w:tcW w:w="1663" w:type="dxa"/>
            <w:shd w:val="clear" w:color="auto" w:fill="F2F2F2" w:themeFill="background1" w:themeFillShade="F2"/>
            <w:vAlign w:val="center"/>
          </w:tcPr>
          <w:p w14:paraId="6647BA8F" w14:textId="77777777" w:rsidR="00F24339" w:rsidRPr="00777074" w:rsidRDefault="00F24339">
            <w:pPr>
              <w:pStyle w:val="BDTNormal"/>
              <w:tabs>
                <w:tab w:val="left" w:pos="3375"/>
                <w:tab w:val="center" w:pos="4706"/>
              </w:tabs>
              <w:spacing w:before="0" w:after="0"/>
              <w:jc w:val="center"/>
              <w:rPr>
                <w:rFonts w:asciiTheme="minorHAnsi" w:hAnsiTheme="minorHAnsi" w:cstheme="minorHAnsi"/>
                <w:b/>
                <w:bCs/>
                <w:noProof/>
                <w:sz w:val="24"/>
                <w:szCs w:val="24"/>
                <w:lang w:val="en-US"/>
              </w:rPr>
            </w:pPr>
            <w:r w:rsidRPr="00777074">
              <w:rPr>
                <w:rFonts w:asciiTheme="minorHAnsi" w:hAnsiTheme="minorHAnsi" w:cstheme="minorHAnsi"/>
                <w:b/>
                <w:bCs/>
                <w:noProof/>
                <w:sz w:val="24"/>
                <w:szCs w:val="24"/>
                <w:lang w:val="en-US"/>
              </w:rPr>
              <w:t>BDT Region</w:t>
            </w:r>
          </w:p>
        </w:tc>
      </w:tr>
      <w:tr w:rsidR="00F24339" w:rsidRPr="00777074" w14:paraId="125CC8BD" w14:textId="77777777">
        <w:trPr>
          <w:trHeight w:val="397"/>
        </w:trPr>
        <w:tc>
          <w:tcPr>
            <w:tcW w:w="1798" w:type="dxa"/>
            <w:vAlign w:val="center"/>
          </w:tcPr>
          <w:p w14:paraId="1B972953" w14:textId="39CA8214" w:rsidR="00F24339" w:rsidRPr="009C2E05" w:rsidRDefault="00F24339">
            <w:pPr>
              <w:spacing w:before="0"/>
              <w:rPr>
                <w:rFonts w:cstheme="minorHAnsi"/>
                <w:szCs w:val="24"/>
                <w:lang w:val="en-US"/>
              </w:rPr>
            </w:pPr>
            <w:r w:rsidRPr="009C2E05">
              <w:rPr>
                <w:rFonts w:cstheme="minorHAnsi"/>
                <w:szCs w:val="24"/>
                <w:lang w:val="en-US"/>
              </w:rPr>
              <w:t>Chair</w:t>
            </w:r>
          </w:p>
        </w:tc>
        <w:tc>
          <w:tcPr>
            <w:tcW w:w="3283" w:type="dxa"/>
            <w:vAlign w:val="center"/>
          </w:tcPr>
          <w:p w14:paraId="11191E10" w14:textId="79552941" w:rsidR="00F24339" w:rsidRPr="009C2E05" w:rsidRDefault="00F24339">
            <w:pPr>
              <w:spacing w:before="0"/>
              <w:rPr>
                <w:rFonts w:cstheme="minorBidi"/>
                <w:lang w:val="en-US"/>
              </w:rPr>
            </w:pPr>
            <w:proofErr w:type="spellStart"/>
            <w:r w:rsidRPr="354D3EB0">
              <w:rPr>
                <w:rStyle w:val="Strong"/>
                <w:rFonts w:cstheme="minorBidi"/>
                <w:b w:val="0"/>
                <w:bdr w:val="none" w:sz="0" w:space="0" w:color="auto" w:frame="1"/>
                <w:lang w:val="en-US"/>
              </w:rPr>
              <w:t>Ms</w:t>
            </w:r>
            <w:proofErr w:type="spellEnd"/>
            <w:r w:rsidRPr="354D3EB0">
              <w:rPr>
                <w:rStyle w:val="Strong"/>
                <w:rFonts w:cstheme="minorBidi"/>
                <w:b w:val="0"/>
                <w:bdr w:val="none" w:sz="0" w:space="0" w:color="auto" w:frame="1"/>
                <w:lang w:val="en-US"/>
              </w:rPr>
              <w:t xml:space="preserve"> Roxanne </w:t>
            </w:r>
            <w:proofErr w:type="spellStart"/>
            <w:r w:rsidRPr="354D3EB0">
              <w:rPr>
                <w:rStyle w:val="Strong"/>
                <w:rFonts w:cstheme="minorBidi"/>
                <w:b w:val="0"/>
                <w:bdr w:val="none" w:sz="0" w:space="0" w:color="auto" w:frame="1"/>
                <w:lang w:val="en-US"/>
              </w:rPr>
              <w:t>McElvane</w:t>
            </w:r>
            <w:proofErr w:type="spellEnd"/>
            <w:r w:rsidRPr="354D3EB0">
              <w:rPr>
                <w:rStyle w:val="Strong"/>
                <w:rFonts w:cstheme="minorBidi"/>
                <w:b w:val="0"/>
                <w:bdr w:val="none" w:sz="0" w:space="0" w:color="auto" w:frame="1"/>
                <w:lang w:val="en-US"/>
              </w:rPr>
              <w:t xml:space="preserve"> </w:t>
            </w:r>
            <w:r w:rsidR="009457D8" w:rsidRPr="354D3EB0">
              <w:rPr>
                <w:rStyle w:val="Strong"/>
                <w:rFonts w:cstheme="minorBidi"/>
                <w:b w:val="0"/>
                <w:bdr w:val="none" w:sz="0" w:space="0" w:color="auto" w:frame="1"/>
                <w:lang w:val="en-US"/>
              </w:rPr>
              <w:t>WEBBER</w:t>
            </w:r>
          </w:p>
        </w:tc>
        <w:tc>
          <w:tcPr>
            <w:tcW w:w="2465" w:type="dxa"/>
            <w:vAlign w:val="center"/>
          </w:tcPr>
          <w:p w14:paraId="0BA2F52D" w14:textId="77777777" w:rsidR="00F24339" w:rsidRPr="009C2E05" w:rsidRDefault="00F24339">
            <w:pPr>
              <w:spacing w:before="0"/>
              <w:ind w:right="-113"/>
              <w:rPr>
                <w:rFonts w:cstheme="minorHAnsi"/>
                <w:szCs w:val="24"/>
                <w:lang w:val="en-US"/>
              </w:rPr>
            </w:pPr>
            <w:r w:rsidRPr="009C2E05">
              <w:rPr>
                <w:rFonts w:cstheme="minorHAnsi"/>
                <w:szCs w:val="24"/>
                <w:lang w:val="en-US"/>
              </w:rPr>
              <w:t>USA</w:t>
            </w:r>
          </w:p>
        </w:tc>
        <w:tc>
          <w:tcPr>
            <w:tcW w:w="1663" w:type="dxa"/>
            <w:vAlign w:val="center"/>
          </w:tcPr>
          <w:p w14:paraId="05A47D04" w14:textId="77777777" w:rsidR="00F24339" w:rsidRPr="009C2E05" w:rsidRDefault="00F24339">
            <w:pPr>
              <w:spacing w:before="0"/>
              <w:rPr>
                <w:rFonts w:cstheme="minorHAnsi"/>
                <w:szCs w:val="24"/>
                <w:lang w:val="en-US"/>
              </w:rPr>
            </w:pPr>
            <w:r w:rsidRPr="009C2E05">
              <w:rPr>
                <w:rFonts w:cstheme="minorHAnsi"/>
                <w:szCs w:val="24"/>
                <w:lang w:val="en-US"/>
              </w:rPr>
              <w:t>AMS</w:t>
            </w:r>
          </w:p>
        </w:tc>
      </w:tr>
      <w:tr w:rsidR="00F24339" w:rsidRPr="00777074" w14:paraId="04D2C403" w14:textId="77777777">
        <w:trPr>
          <w:trHeight w:val="397"/>
        </w:trPr>
        <w:tc>
          <w:tcPr>
            <w:tcW w:w="1798" w:type="dxa"/>
            <w:vAlign w:val="center"/>
          </w:tcPr>
          <w:p w14:paraId="0C8DBCAD" w14:textId="28ED0552"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348BED4C" w14:textId="05BCB1BA" w:rsidR="00F24339" w:rsidRPr="007F0309" w:rsidRDefault="00F24339">
            <w:pPr>
              <w:spacing w:before="0"/>
              <w:rPr>
                <w:rFonts w:cstheme="minorHAnsi"/>
                <w:szCs w:val="24"/>
                <w:lang w:val="fr-FR"/>
              </w:rPr>
            </w:pPr>
            <w:r w:rsidRPr="007F0309">
              <w:rPr>
                <w:rFonts w:cstheme="minorHAnsi"/>
                <w:szCs w:val="24"/>
                <w:lang w:val="fr-FR"/>
              </w:rPr>
              <w:t xml:space="preserve">Ms Regina Fleur Assoumou </w:t>
            </w:r>
            <w:r w:rsidR="009457D8" w:rsidRPr="007F0309">
              <w:rPr>
                <w:rFonts w:cstheme="minorHAnsi"/>
                <w:szCs w:val="24"/>
                <w:lang w:val="fr-FR"/>
              </w:rPr>
              <w:t>BESSOU</w:t>
            </w:r>
          </w:p>
        </w:tc>
        <w:tc>
          <w:tcPr>
            <w:tcW w:w="2465" w:type="dxa"/>
            <w:vAlign w:val="center"/>
          </w:tcPr>
          <w:p w14:paraId="771B5C24" w14:textId="77777777" w:rsidR="00F24339" w:rsidRPr="009C2E05" w:rsidRDefault="00F24339">
            <w:pPr>
              <w:spacing w:before="0"/>
              <w:rPr>
                <w:rFonts w:cstheme="minorHAnsi"/>
                <w:szCs w:val="24"/>
                <w:lang w:val="en-US"/>
              </w:rPr>
            </w:pPr>
            <w:r w:rsidRPr="009C2E05">
              <w:rPr>
                <w:rFonts w:cstheme="minorHAnsi"/>
                <w:szCs w:val="24"/>
                <w:lang w:val="en-US"/>
              </w:rPr>
              <w:t>Côte d'Ivoire</w:t>
            </w:r>
          </w:p>
        </w:tc>
        <w:tc>
          <w:tcPr>
            <w:tcW w:w="1663" w:type="dxa"/>
            <w:vAlign w:val="center"/>
          </w:tcPr>
          <w:p w14:paraId="6FAAC19E" w14:textId="77777777" w:rsidR="00F24339" w:rsidRPr="009C2E05" w:rsidRDefault="00F24339">
            <w:pPr>
              <w:spacing w:before="0"/>
              <w:rPr>
                <w:rFonts w:cstheme="minorHAnsi"/>
                <w:szCs w:val="24"/>
                <w:lang w:val="en-US"/>
              </w:rPr>
            </w:pPr>
            <w:r w:rsidRPr="009C2E05">
              <w:rPr>
                <w:rFonts w:cstheme="minorHAnsi"/>
                <w:szCs w:val="24"/>
                <w:lang w:val="en-US"/>
              </w:rPr>
              <w:t>Chairman, SG1</w:t>
            </w:r>
          </w:p>
        </w:tc>
      </w:tr>
      <w:tr w:rsidR="00F24339" w:rsidRPr="00777074" w14:paraId="137080AF" w14:textId="77777777">
        <w:trPr>
          <w:trHeight w:val="397"/>
        </w:trPr>
        <w:tc>
          <w:tcPr>
            <w:tcW w:w="1798" w:type="dxa"/>
            <w:vAlign w:val="center"/>
          </w:tcPr>
          <w:p w14:paraId="24B65313" w14:textId="27F1DC47"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019DCB49" w14:textId="29602B46" w:rsidR="00F24339" w:rsidRPr="009C2E05" w:rsidRDefault="00F24339">
            <w:pPr>
              <w:spacing w:before="0"/>
              <w:rPr>
                <w:rFonts w:cstheme="minorHAnsi"/>
                <w:szCs w:val="24"/>
                <w:lang w:val="en-US"/>
              </w:rPr>
            </w:pPr>
            <w:proofErr w:type="spellStart"/>
            <w:r w:rsidRPr="009C2E05">
              <w:rPr>
                <w:rFonts w:cstheme="minorHAnsi"/>
                <w:szCs w:val="24"/>
                <w:lang w:val="en-US"/>
              </w:rPr>
              <w:t>Mr</w:t>
            </w:r>
            <w:proofErr w:type="spellEnd"/>
            <w:r w:rsidRPr="009C2E05">
              <w:rPr>
                <w:rFonts w:cstheme="minorHAnsi"/>
                <w:szCs w:val="24"/>
                <w:lang w:val="en-US"/>
              </w:rPr>
              <w:t xml:space="preserve"> Fadel </w:t>
            </w:r>
            <w:r w:rsidRPr="00610D4F">
              <w:rPr>
                <w:rFonts w:cstheme="minorHAnsi"/>
                <w:caps/>
                <w:szCs w:val="24"/>
                <w:lang w:val="en-US"/>
              </w:rPr>
              <w:t>Digham</w:t>
            </w:r>
          </w:p>
        </w:tc>
        <w:tc>
          <w:tcPr>
            <w:tcW w:w="2465" w:type="dxa"/>
            <w:vAlign w:val="center"/>
          </w:tcPr>
          <w:p w14:paraId="1D8C58A8" w14:textId="67248720" w:rsidR="00F24339" w:rsidRPr="009C2E05" w:rsidRDefault="00F24339">
            <w:pPr>
              <w:spacing w:before="0"/>
              <w:rPr>
                <w:rFonts w:cstheme="minorHAnsi"/>
                <w:szCs w:val="24"/>
                <w:lang w:val="en-US"/>
              </w:rPr>
            </w:pPr>
            <w:r w:rsidRPr="009C2E05">
              <w:rPr>
                <w:rFonts w:cstheme="minorHAnsi"/>
                <w:szCs w:val="24"/>
                <w:lang w:val="en-US"/>
              </w:rPr>
              <w:t>Egypt</w:t>
            </w:r>
          </w:p>
        </w:tc>
        <w:tc>
          <w:tcPr>
            <w:tcW w:w="1663" w:type="dxa"/>
            <w:vAlign w:val="center"/>
          </w:tcPr>
          <w:p w14:paraId="2C31F429" w14:textId="77777777" w:rsidR="00F24339" w:rsidRPr="009C2E05" w:rsidRDefault="00F24339">
            <w:pPr>
              <w:spacing w:before="0"/>
              <w:rPr>
                <w:rFonts w:cstheme="minorHAnsi"/>
                <w:szCs w:val="24"/>
                <w:lang w:val="en-US"/>
              </w:rPr>
            </w:pPr>
            <w:r w:rsidRPr="009C2E05">
              <w:rPr>
                <w:rFonts w:cstheme="minorHAnsi"/>
                <w:szCs w:val="24"/>
                <w:lang w:val="en-US"/>
              </w:rPr>
              <w:t>Chairman, SG2</w:t>
            </w:r>
          </w:p>
        </w:tc>
      </w:tr>
      <w:tr w:rsidR="0057010E" w:rsidRPr="00777074" w14:paraId="54E8BA6B" w14:textId="77777777">
        <w:trPr>
          <w:trHeight w:val="397"/>
        </w:trPr>
        <w:tc>
          <w:tcPr>
            <w:tcW w:w="1798" w:type="dxa"/>
            <w:vAlign w:val="center"/>
          </w:tcPr>
          <w:p w14:paraId="295A010E" w14:textId="041162D2" w:rsidR="0057010E" w:rsidRPr="009C2E05" w:rsidRDefault="00726F54" w:rsidP="0057010E">
            <w:pPr>
              <w:spacing w:before="0"/>
              <w:rPr>
                <w:rFonts w:cstheme="minorHAnsi"/>
                <w:szCs w:val="24"/>
                <w:lang w:val="en-US"/>
              </w:rPr>
            </w:pPr>
            <w:r w:rsidRPr="009C2E05">
              <w:rPr>
                <w:rFonts w:cstheme="minorHAnsi"/>
                <w:szCs w:val="24"/>
                <w:lang w:val="en-US"/>
              </w:rPr>
              <w:t>Vice-Chair</w:t>
            </w:r>
          </w:p>
        </w:tc>
        <w:tc>
          <w:tcPr>
            <w:tcW w:w="3283" w:type="dxa"/>
            <w:vAlign w:val="center"/>
          </w:tcPr>
          <w:p w14:paraId="7CE72F1A" w14:textId="417A23B4" w:rsidR="0057010E" w:rsidRPr="009C2E05" w:rsidRDefault="001C6C28" w:rsidP="0057010E">
            <w:pPr>
              <w:spacing w:before="0"/>
              <w:rPr>
                <w:rFonts w:cstheme="minorHAnsi"/>
                <w:szCs w:val="24"/>
                <w:lang w:val="en-US"/>
              </w:rPr>
            </w:pPr>
            <w:proofErr w:type="spellStart"/>
            <w:r w:rsidRPr="00610D4F">
              <w:rPr>
                <w:bCs/>
                <w:lang w:val="en-US"/>
              </w:rPr>
              <w:t>Mr</w:t>
            </w:r>
            <w:proofErr w:type="spellEnd"/>
            <w:r w:rsidRPr="00610D4F">
              <w:rPr>
                <w:bCs/>
                <w:lang w:val="en-US"/>
              </w:rPr>
              <w:t xml:space="preserve"> </w:t>
            </w:r>
            <w:r>
              <w:rPr>
                <w:bCs/>
                <w:lang w:val="en-US"/>
              </w:rPr>
              <w:t>C</w:t>
            </w:r>
            <w:r w:rsidR="0057010E" w:rsidRPr="00610D4F">
              <w:rPr>
                <w:bCs/>
                <w:lang w:val="en-US"/>
              </w:rPr>
              <w:t>hristopher</w:t>
            </w:r>
            <w:r>
              <w:rPr>
                <w:bCs/>
                <w:lang w:val="en-US"/>
              </w:rPr>
              <w:t xml:space="preserve"> </w:t>
            </w:r>
            <w:r w:rsidR="0057010E" w:rsidRPr="00610D4F">
              <w:rPr>
                <w:bCs/>
                <w:lang w:val="en-US"/>
              </w:rPr>
              <w:t>Kipkoech</w:t>
            </w:r>
            <w:r>
              <w:rPr>
                <w:bCs/>
                <w:lang w:val="en-US"/>
              </w:rPr>
              <w:t xml:space="preserve"> </w:t>
            </w:r>
            <w:r w:rsidR="0057010E" w:rsidRPr="00610D4F">
              <w:rPr>
                <w:bCs/>
                <w:lang w:val="en-US"/>
              </w:rPr>
              <w:t>KEMEI</w:t>
            </w:r>
            <w:r w:rsidR="00726F54">
              <w:rPr>
                <w:bCs/>
                <w:lang w:val="en-US"/>
              </w:rPr>
              <w:t>*</w:t>
            </w:r>
          </w:p>
        </w:tc>
        <w:tc>
          <w:tcPr>
            <w:tcW w:w="2465" w:type="dxa"/>
            <w:vAlign w:val="center"/>
          </w:tcPr>
          <w:p w14:paraId="4C07016A" w14:textId="618E05EB" w:rsidR="0057010E" w:rsidRPr="009C2E05" w:rsidRDefault="00726F54" w:rsidP="0057010E">
            <w:pPr>
              <w:spacing w:before="0"/>
              <w:rPr>
                <w:rFonts w:cstheme="minorHAnsi"/>
                <w:szCs w:val="24"/>
                <w:lang w:val="en-US"/>
              </w:rPr>
            </w:pPr>
            <w:r w:rsidRPr="009C2E05">
              <w:rPr>
                <w:rFonts w:cstheme="minorHAnsi"/>
                <w:szCs w:val="24"/>
                <w:lang w:val="en-US"/>
              </w:rPr>
              <w:t>Kenya</w:t>
            </w:r>
          </w:p>
        </w:tc>
        <w:tc>
          <w:tcPr>
            <w:tcW w:w="1663" w:type="dxa"/>
            <w:vAlign w:val="center"/>
          </w:tcPr>
          <w:p w14:paraId="43CE1AD8" w14:textId="6086AEF0" w:rsidR="0057010E" w:rsidRPr="009C2E05" w:rsidRDefault="00726F54" w:rsidP="0057010E">
            <w:pPr>
              <w:spacing w:before="0"/>
              <w:rPr>
                <w:rFonts w:cstheme="minorHAnsi"/>
                <w:szCs w:val="24"/>
                <w:lang w:val="en-US"/>
              </w:rPr>
            </w:pPr>
            <w:r w:rsidRPr="009C2E05">
              <w:rPr>
                <w:rFonts w:cstheme="minorHAnsi"/>
                <w:szCs w:val="24"/>
                <w:lang w:val="en-US"/>
              </w:rPr>
              <w:t>AFR</w:t>
            </w:r>
          </w:p>
        </w:tc>
      </w:tr>
      <w:tr w:rsidR="00F24339" w:rsidRPr="00777074" w14:paraId="19821906" w14:textId="77777777">
        <w:trPr>
          <w:trHeight w:val="397"/>
        </w:trPr>
        <w:tc>
          <w:tcPr>
            <w:tcW w:w="1798" w:type="dxa"/>
            <w:vAlign w:val="center"/>
          </w:tcPr>
          <w:p w14:paraId="5E0562BF" w14:textId="049C6032"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0FAA1F2E" w14:textId="763A867E" w:rsidR="00F24339" w:rsidRPr="009C2E05" w:rsidRDefault="00F24339">
            <w:pPr>
              <w:spacing w:before="0"/>
              <w:rPr>
                <w:rFonts w:cstheme="minorHAnsi"/>
                <w:szCs w:val="24"/>
                <w:lang w:val="en-US"/>
              </w:rPr>
            </w:pPr>
            <w:proofErr w:type="spellStart"/>
            <w:r w:rsidRPr="009C2E05">
              <w:rPr>
                <w:rFonts w:cstheme="minorHAnsi"/>
                <w:szCs w:val="24"/>
                <w:lang w:val="en-US"/>
              </w:rPr>
              <w:t>Mr</w:t>
            </w:r>
            <w:proofErr w:type="spellEnd"/>
            <w:r w:rsidRPr="009C2E05">
              <w:rPr>
                <w:rFonts w:cstheme="minorHAnsi"/>
                <w:szCs w:val="24"/>
                <w:lang w:val="en-US"/>
              </w:rPr>
              <w:t xml:space="preserve"> Abdulkarim </w:t>
            </w:r>
            <w:proofErr w:type="spellStart"/>
            <w:r w:rsidRPr="009C2E05">
              <w:rPr>
                <w:rFonts w:cstheme="minorHAnsi"/>
                <w:szCs w:val="24"/>
                <w:lang w:val="en-US"/>
              </w:rPr>
              <w:t>Ayopo</w:t>
            </w:r>
            <w:proofErr w:type="spellEnd"/>
            <w:r w:rsidRPr="009C2E05">
              <w:rPr>
                <w:rFonts w:cstheme="minorHAnsi"/>
                <w:szCs w:val="24"/>
                <w:lang w:val="en-US"/>
              </w:rPr>
              <w:t xml:space="preserve"> OLOYEDE</w:t>
            </w:r>
          </w:p>
        </w:tc>
        <w:tc>
          <w:tcPr>
            <w:tcW w:w="2465" w:type="dxa"/>
            <w:vAlign w:val="center"/>
          </w:tcPr>
          <w:p w14:paraId="0C7AE528" w14:textId="41DF5F32" w:rsidR="00F24339" w:rsidRPr="009C2E05" w:rsidRDefault="00F24339">
            <w:pPr>
              <w:spacing w:before="0"/>
              <w:rPr>
                <w:rFonts w:cstheme="minorHAnsi"/>
                <w:szCs w:val="24"/>
                <w:lang w:val="en-US"/>
              </w:rPr>
            </w:pPr>
            <w:r w:rsidRPr="009C2E05">
              <w:rPr>
                <w:rFonts w:cstheme="minorHAnsi"/>
                <w:szCs w:val="24"/>
                <w:lang w:val="en-US"/>
              </w:rPr>
              <w:t>Nigeria</w:t>
            </w:r>
          </w:p>
        </w:tc>
        <w:tc>
          <w:tcPr>
            <w:tcW w:w="1663" w:type="dxa"/>
            <w:vAlign w:val="center"/>
          </w:tcPr>
          <w:p w14:paraId="61B5E0E8" w14:textId="77777777" w:rsidR="00F24339" w:rsidRPr="009C2E05" w:rsidRDefault="00F24339">
            <w:pPr>
              <w:spacing w:before="0"/>
              <w:rPr>
                <w:rFonts w:cstheme="minorHAnsi"/>
                <w:szCs w:val="24"/>
                <w:lang w:val="en-US"/>
              </w:rPr>
            </w:pPr>
            <w:r w:rsidRPr="009C2E05">
              <w:rPr>
                <w:rFonts w:cstheme="minorHAnsi"/>
                <w:szCs w:val="24"/>
                <w:lang w:val="en-US"/>
              </w:rPr>
              <w:t>AFR</w:t>
            </w:r>
          </w:p>
        </w:tc>
      </w:tr>
      <w:tr w:rsidR="00F24339" w:rsidRPr="00777074" w14:paraId="10CCCF45" w14:textId="77777777">
        <w:trPr>
          <w:trHeight w:val="397"/>
        </w:trPr>
        <w:tc>
          <w:tcPr>
            <w:tcW w:w="1798" w:type="dxa"/>
            <w:vAlign w:val="center"/>
          </w:tcPr>
          <w:p w14:paraId="2F06AE82" w14:textId="7E230DD1"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2E6174F7" w14:textId="1D643EE3" w:rsidR="00F24339" w:rsidRPr="009C2E05" w:rsidRDefault="00F24339">
            <w:pPr>
              <w:spacing w:before="0"/>
              <w:rPr>
                <w:rFonts w:cstheme="minorHAnsi"/>
                <w:szCs w:val="24"/>
                <w:lang w:val="en-US"/>
              </w:rPr>
            </w:pPr>
            <w:proofErr w:type="spellStart"/>
            <w:r w:rsidRPr="009C2E05">
              <w:rPr>
                <w:rFonts w:cstheme="minorHAnsi"/>
                <w:szCs w:val="24"/>
                <w:lang w:val="en-US"/>
              </w:rPr>
              <w:t>Ms</w:t>
            </w:r>
            <w:proofErr w:type="spellEnd"/>
            <w:r w:rsidRPr="009C2E05">
              <w:rPr>
                <w:rFonts w:cstheme="minorHAnsi"/>
                <w:szCs w:val="24"/>
                <w:lang w:val="en-US"/>
              </w:rPr>
              <w:t xml:space="preserve"> Agustina BRIZIO</w:t>
            </w:r>
          </w:p>
        </w:tc>
        <w:tc>
          <w:tcPr>
            <w:tcW w:w="2465" w:type="dxa"/>
            <w:vAlign w:val="center"/>
          </w:tcPr>
          <w:p w14:paraId="6BD0E2FF" w14:textId="2CFFC4A5" w:rsidR="00F24339" w:rsidRPr="009C2E05" w:rsidRDefault="00F24339">
            <w:pPr>
              <w:spacing w:before="0"/>
              <w:rPr>
                <w:rFonts w:cstheme="minorHAnsi"/>
                <w:szCs w:val="24"/>
                <w:lang w:val="en-US"/>
              </w:rPr>
            </w:pPr>
            <w:r w:rsidRPr="009C2E05">
              <w:rPr>
                <w:rFonts w:cstheme="minorHAnsi"/>
                <w:szCs w:val="24"/>
                <w:lang w:val="en-US"/>
              </w:rPr>
              <w:t>Argentina</w:t>
            </w:r>
          </w:p>
        </w:tc>
        <w:tc>
          <w:tcPr>
            <w:tcW w:w="1663" w:type="dxa"/>
            <w:vAlign w:val="center"/>
          </w:tcPr>
          <w:p w14:paraId="47A1447A" w14:textId="2808923C" w:rsidR="00F24339" w:rsidRPr="009C2E05" w:rsidRDefault="00F24339">
            <w:pPr>
              <w:spacing w:before="0"/>
              <w:rPr>
                <w:rFonts w:cstheme="minorHAnsi"/>
                <w:szCs w:val="24"/>
                <w:lang w:val="en-US"/>
              </w:rPr>
            </w:pPr>
            <w:r w:rsidRPr="009C2E05">
              <w:rPr>
                <w:rFonts w:cstheme="minorHAnsi"/>
                <w:szCs w:val="24"/>
                <w:lang w:val="en-US"/>
              </w:rPr>
              <w:t>AMS</w:t>
            </w:r>
          </w:p>
        </w:tc>
      </w:tr>
      <w:tr w:rsidR="00F24339" w:rsidRPr="00777074" w14:paraId="4C6249A5" w14:textId="77777777">
        <w:trPr>
          <w:trHeight w:val="397"/>
        </w:trPr>
        <w:tc>
          <w:tcPr>
            <w:tcW w:w="1798" w:type="dxa"/>
            <w:vAlign w:val="center"/>
          </w:tcPr>
          <w:p w14:paraId="1C384078" w14:textId="21D5F8D9"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350DEA20" w14:textId="69E9719C" w:rsidR="00F24339" w:rsidRPr="009C2E05" w:rsidRDefault="00F24339">
            <w:pPr>
              <w:spacing w:before="0"/>
              <w:rPr>
                <w:rFonts w:cstheme="minorHAnsi"/>
                <w:szCs w:val="24"/>
                <w:lang w:val="en-US"/>
              </w:rPr>
            </w:pPr>
            <w:proofErr w:type="spellStart"/>
            <w:r w:rsidRPr="009C2E05">
              <w:rPr>
                <w:rFonts w:cstheme="minorHAnsi"/>
                <w:szCs w:val="24"/>
                <w:lang w:val="en-US"/>
              </w:rPr>
              <w:t>Ms</w:t>
            </w:r>
            <w:proofErr w:type="spellEnd"/>
            <w:r w:rsidRPr="009C2E05">
              <w:rPr>
                <w:rFonts w:cstheme="minorHAnsi"/>
                <w:szCs w:val="24"/>
                <w:lang w:val="en-US"/>
              </w:rPr>
              <w:t xml:space="preserve"> Andrea Mamprim GRIPPA</w:t>
            </w:r>
          </w:p>
        </w:tc>
        <w:tc>
          <w:tcPr>
            <w:tcW w:w="2465" w:type="dxa"/>
            <w:vAlign w:val="center"/>
          </w:tcPr>
          <w:p w14:paraId="71DB9FBE" w14:textId="4101B7C1" w:rsidR="00F24339" w:rsidRPr="009C2E05" w:rsidRDefault="00F24339">
            <w:pPr>
              <w:spacing w:before="0"/>
              <w:rPr>
                <w:rFonts w:cstheme="minorHAnsi"/>
                <w:szCs w:val="24"/>
                <w:lang w:val="en-US"/>
              </w:rPr>
            </w:pPr>
            <w:r w:rsidRPr="009C2E05">
              <w:rPr>
                <w:rFonts w:cstheme="minorHAnsi"/>
                <w:szCs w:val="24"/>
                <w:lang w:val="en-US"/>
              </w:rPr>
              <w:t>Brazil</w:t>
            </w:r>
          </w:p>
        </w:tc>
        <w:tc>
          <w:tcPr>
            <w:tcW w:w="1663" w:type="dxa"/>
            <w:vAlign w:val="center"/>
          </w:tcPr>
          <w:p w14:paraId="118C3F3A" w14:textId="77777777" w:rsidR="00F24339" w:rsidRPr="009C2E05" w:rsidRDefault="00F24339">
            <w:pPr>
              <w:spacing w:before="0"/>
              <w:rPr>
                <w:rFonts w:cstheme="minorHAnsi"/>
                <w:szCs w:val="24"/>
                <w:lang w:val="en-US"/>
              </w:rPr>
            </w:pPr>
            <w:r w:rsidRPr="009C2E05">
              <w:rPr>
                <w:rFonts w:cstheme="minorHAnsi"/>
                <w:szCs w:val="24"/>
                <w:lang w:val="en-US"/>
              </w:rPr>
              <w:t>AMS</w:t>
            </w:r>
          </w:p>
        </w:tc>
      </w:tr>
      <w:tr w:rsidR="00F24339" w:rsidRPr="00777074" w14:paraId="4780BCE3" w14:textId="77777777">
        <w:trPr>
          <w:trHeight w:val="397"/>
        </w:trPr>
        <w:tc>
          <w:tcPr>
            <w:tcW w:w="1798" w:type="dxa"/>
            <w:vAlign w:val="center"/>
          </w:tcPr>
          <w:p w14:paraId="71B013E8" w14:textId="28B8624B"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0AF8AABD" w14:textId="5FCB6329" w:rsidR="00F24339" w:rsidRPr="009C2E05" w:rsidRDefault="00F24339">
            <w:pPr>
              <w:spacing w:before="0"/>
              <w:rPr>
                <w:rFonts w:cstheme="minorHAnsi"/>
                <w:szCs w:val="24"/>
                <w:lang w:val="en-US"/>
              </w:rPr>
            </w:pPr>
            <w:proofErr w:type="spellStart"/>
            <w:r w:rsidRPr="009C2E05">
              <w:rPr>
                <w:rFonts w:cstheme="minorHAnsi"/>
                <w:szCs w:val="24"/>
                <w:bdr w:val="none" w:sz="0" w:space="0" w:color="auto" w:frame="1"/>
                <w:lang w:val="en-US"/>
              </w:rPr>
              <w:t>Ms</w:t>
            </w:r>
            <w:proofErr w:type="spellEnd"/>
            <w:r w:rsidRPr="009C2E05">
              <w:rPr>
                <w:rFonts w:cstheme="minorHAnsi"/>
                <w:szCs w:val="24"/>
                <w:bdr w:val="none" w:sz="0" w:space="0" w:color="auto" w:frame="1"/>
                <w:lang w:val="en-US"/>
              </w:rPr>
              <w:t xml:space="preserve"> Ke WANG</w:t>
            </w:r>
          </w:p>
        </w:tc>
        <w:tc>
          <w:tcPr>
            <w:tcW w:w="2465" w:type="dxa"/>
            <w:vAlign w:val="center"/>
          </w:tcPr>
          <w:p w14:paraId="00BAC717" w14:textId="5AFAD983" w:rsidR="00F24339" w:rsidRPr="009C2E05" w:rsidRDefault="00F24339">
            <w:pPr>
              <w:spacing w:before="0"/>
              <w:rPr>
                <w:rFonts w:cstheme="minorHAnsi"/>
                <w:szCs w:val="24"/>
                <w:lang w:val="en-US"/>
              </w:rPr>
            </w:pPr>
            <w:r w:rsidRPr="009C2E05">
              <w:rPr>
                <w:rFonts w:cstheme="minorHAnsi"/>
                <w:szCs w:val="24"/>
                <w:lang w:val="en-US"/>
              </w:rPr>
              <w:t>China</w:t>
            </w:r>
          </w:p>
        </w:tc>
        <w:tc>
          <w:tcPr>
            <w:tcW w:w="1663" w:type="dxa"/>
            <w:vAlign w:val="center"/>
          </w:tcPr>
          <w:p w14:paraId="18747A33" w14:textId="03A7FDCF" w:rsidR="00F24339" w:rsidRPr="009C2E05" w:rsidRDefault="00F24339">
            <w:pPr>
              <w:spacing w:before="0"/>
              <w:rPr>
                <w:rFonts w:cstheme="minorHAnsi"/>
                <w:szCs w:val="24"/>
                <w:lang w:val="en-US"/>
              </w:rPr>
            </w:pPr>
            <w:r w:rsidRPr="009C2E05">
              <w:rPr>
                <w:rFonts w:cstheme="minorHAnsi"/>
                <w:szCs w:val="24"/>
                <w:lang w:val="en-US"/>
              </w:rPr>
              <w:t>ASP</w:t>
            </w:r>
          </w:p>
        </w:tc>
      </w:tr>
      <w:tr w:rsidR="00F24339" w:rsidRPr="00777074" w14:paraId="5674EB64" w14:textId="77777777">
        <w:trPr>
          <w:trHeight w:val="397"/>
        </w:trPr>
        <w:tc>
          <w:tcPr>
            <w:tcW w:w="1798" w:type="dxa"/>
            <w:vAlign w:val="center"/>
          </w:tcPr>
          <w:p w14:paraId="30DB24F3" w14:textId="449F9955"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62253D37" w14:textId="09B03C66" w:rsidR="00F24339" w:rsidRPr="009C2E05" w:rsidRDefault="00F24339">
            <w:pPr>
              <w:spacing w:before="0"/>
              <w:rPr>
                <w:rFonts w:cstheme="minorHAnsi"/>
                <w:szCs w:val="24"/>
                <w:lang w:val="en-US"/>
              </w:rPr>
            </w:pPr>
            <w:proofErr w:type="spellStart"/>
            <w:r w:rsidRPr="009C2E05">
              <w:rPr>
                <w:rFonts w:cstheme="minorHAnsi"/>
                <w:szCs w:val="24"/>
                <w:lang w:val="en-US"/>
              </w:rPr>
              <w:t>Mr</w:t>
            </w:r>
            <w:proofErr w:type="spellEnd"/>
            <w:r w:rsidRPr="009C2E05">
              <w:rPr>
                <w:rFonts w:cstheme="minorHAnsi"/>
                <w:szCs w:val="24"/>
                <w:lang w:val="en-US"/>
              </w:rPr>
              <w:t xml:space="preserve"> Ahmad Reza SHARAFAT</w:t>
            </w:r>
          </w:p>
        </w:tc>
        <w:tc>
          <w:tcPr>
            <w:tcW w:w="2465" w:type="dxa"/>
            <w:vAlign w:val="center"/>
          </w:tcPr>
          <w:p w14:paraId="49AA56FF" w14:textId="3ED8DB8C" w:rsidR="00F24339" w:rsidRPr="009C2E05" w:rsidRDefault="00F24339">
            <w:pPr>
              <w:spacing w:before="0"/>
              <w:rPr>
                <w:rFonts w:cstheme="minorHAnsi"/>
                <w:szCs w:val="24"/>
                <w:lang w:val="en-US"/>
              </w:rPr>
            </w:pPr>
            <w:r w:rsidRPr="009C2E05">
              <w:rPr>
                <w:rFonts w:cstheme="minorHAnsi"/>
                <w:szCs w:val="24"/>
                <w:lang w:val="en-US"/>
              </w:rPr>
              <w:t>Iran (Islamic Republic of)</w:t>
            </w:r>
          </w:p>
        </w:tc>
        <w:tc>
          <w:tcPr>
            <w:tcW w:w="1663" w:type="dxa"/>
            <w:vAlign w:val="center"/>
          </w:tcPr>
          <w:p w14:paraId="26D863AF" w14:textId="0EDFF672" w:rsidR="00F24339" w:rsidRPr="009C2E05" w:rsidRDefault="00F24339">
            <w:pPr>
              <w:spacing w:before="0"/>
              <w:rPr>
                <w:rFonts w:cstheme="minorHAnsi"/>
                <w:szCs w:val="24"/>
                <w:lang w:val="en-US"/>
              </w:rPr>
            </w:pPr>
            <w:r w:rsidRPr="009C2E05">
              <w:rPr>
                <w:rFonts w:cstheme="minorHAnsi"/>
                <w:szCs w:val="24"/>
                <w:lang w:val="en-US"/>
              </w:rPr>
              <w:t>ASP</w:t>
            </w:r>
          </w:p>
        </w:tc>
      </w:tr>
      <w:tr w:rsidR="00F24339" w:rsidRPr="00777074" w14:paraId="44083DDF" w14:textId="77777777">
        <w:trPr>
          <w:trHeight w:val="397"/>
        </w:trPr>
        <w:tc>
          <w:tcPr>
            <w:tcW w:w="1798" w:type="dxa"/>
            <w:vAlign w:val="center"/>
          </w:tcPr>
          <w:p w14:paraId="5E774BB8" w14:textId="39CA33A9"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21A0BD5E" w14:textId="63595BB5" w:rsidR="00F24339" w:rsidRPr="009C2E05" w:rsidRDefault="00F24339">
            <w:pPr>
              <w:spacing w:before="0"/>
              <w:rPr>
                <w:rFonts w:cstheme="minorHAnsi"/>
                <w:szCs w:val="24"/>
                <w:lang w:val="en-US"/>
              </w:rPr>
            </w:pPr>
            <w:proofErr w:type="spellStart"/>
            <w:r w:rsidRPr="009C2E05">
              <w:rPr>
                <w:rStyle w:val="Strong"/>
                <w:rFonts w:cstheme="minorHAnsi"/>
                <w:b w:val="0"/>
                <w:szCs w:val="24"/>
                <w:bdr w:val="none" w:sz="0" w:space="0" w:color="auto" w:frame="1"/>
                <w:lang w:val="en-US"/>
              </w:rPr>
              <w:t>Mr</w:t>
            </w:r>
            <w:proofErr w:type="spellEnd"/>
            <w:r w:rsidRPr="009C2E05">
              <w:rPr>
                <w:rStyle w:val="Strong"/>
                <w:rFonts w:cstheme="minorHAnsi"/>
                <w:b w:val="0"/>
                <w:szCs w:val="24"/>
                <w:bdr w:val="none" w:sz="0" w:space="0" w:color="auto" w:frame="1"/>
                <w:lang w:val="en-US"/>
              </w:rPr>
              <w:t xml:space="preserve"> </w:t>
            </w:r>
            <w:r w:rsidRPr="009C2E05">
              <w:rPr>
                <w:rFonts w:cstheme="minorHAnsi"/>
                <w:szCs w:val="24"/>
                <w:bdr w:val="none" w:sz="0" w:space="0" w:color="auto" w:frame="1"/>
                <w:lang w:val="en-US"/>
              </w:rPr>
              <w:t>Ahmed Abd El-Aziz GAD</w:t>
            </w:r>
          </w:p>
        </w:tc>
        <w:tc>
          <w:tcPr>
            <w:tcW w:w="2465" w:type="dxa"/>
            <w:vAlign w:val="center"/>
          </w:tcPr>
          <w:p w14:paraId="2E8D8BBA" w14:textId="55791D7D" w:rsidR="00F24339" w:rsidRPr="009C2E05" w:rsidRDefault="00F24339">
            <w:pPr>
              <w:spacing w:before="0" w:after="60"/>
              <w:ind w:right="-113"/>
              <w:rPr>
                <w:rFonts w:cstheme="minorHAnsi"/>
                <w:szCs w:val="24"/>
                <w:lang w:val="en-US"/>
              </w:rPr>
            </w:pPr>
            <w:r w:rsidRPr="009C2E05">
              <w:rPr>
                <w:rFonts w:cstheme="minorHAnsi"/>
                <w:szCs w:val="24"/>
                <w:lang w:val="en-US"/>
              </w:rPr>
              <w:t>Egypt</w:t>
            </w:r>
          </w:p>
        </w:tc>
        <w:tc>
          <w:tcPr>
            <w:tcW w:w="1663" w:type="dxa"/>
            <w:vAlign w:val="center"/>
          </w:tcPr>
          <w:p w14:paraId="07362A7A" w14:textId="77777777" w:rsidR="00F24339" w:rsidRPr="009C2E05" w:rsidRDefault="00F24339">
            <w:pPr>
              <w:spacing w:before="0"/>
              <w:rPr>
                <w:rFonts w:cstheme="minorHAnsi"/>
                <w:szCs w:val="24"/>
                <w:lang w:val="en-US"/>
              </w:rPr>
            </w:pPr>
            <w:r w:rsidRPr="009C2E05">
              <w:rPr>
                <w:rFonts w:cstheme="minorHAnsi"/>
                <w:szCs w:val="24"/>
                <w:lang w:val="en-US"/>
              </w:rPr>
              <w:t>ARB</w:t>
            </w:r>
          </w:p>
        </w:tc>
      </w:tr>
      <w:tr w:rsidR="00F24339" w:rsidRPr="00777074" w14:paraId="7B6D3DC4" w14:textId="77777777">
        <w:trPr>
          <w:trHeight w:val="397"/>
        </w:trPr>
        <w:tc>
          <w:tcPr>
            <w:tcW w:w="1798" w:type="dxa"/>
            <w:vAlign w:val="center"/>
          </w:tcPr>
          <w:p w14:paraId="0B3A6CA8" w14:textId="1D2CB5CF"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5B6717EF" w14:textId="7040F155" w:rsidR="00F24339" w:rsidRPr="009C2E05" w:rsidRDefault="00F24339">
            <w:pPr>
              <w:spacing w:before="0"/>
              <w:rPr>
                <w:rFonts w:cstheme="minorHAnsi"/>
                <w:szCs w:val="24"/>
                <w:lang w:val="en-US"/>
              </w:rPr>
            </w:pPr>
            <w:proofErr w:type="spellStart"/>
            <w:r w:rsidRPr="009C2E05">
              <w:rPr>
                <w:rFonts w:cstheme="minorHAnsi"/>
                <w:szCs w:val="24"/>
                <w:lang w:val="en-US"/>
              </w:rPr>
              <w:t>Ms</w:t>
            </w:r>
            <w:proofErr w:type="spellEnd"/>
            <w:r w:rsidRPr="009C2E05">
              <w:rPr>
                <w:rFonts w:cstheme="minorHAnsi"/>
                <w:szCs w:val="24"/>
                <w:lang w:val="en-US"/>
              </w:rPr>
              <w:t xml:space="preserve"> Shahad ALBALAWI</w:t>
            </w:r>
            <w:r w:rsidR="00EE1B67">
              <w:rPr>
                <w:rFonts w:cstheme="minorHAnsi"/>
                <w:szCs w:val="24"/>
                <w:lang w:val="en-US"/>
              </w:rPr>
              <w:t xml:space="preserve"> </w:t>
            </w:r>
          </w:p>
        </w:tc>
        <w:tc>
          <w:tcPr>
            <w:tcW w:w="2465" w:type="dxa"/>
            <w:vAlign w:val="center"/>
          </w:tcPr>
          <w:p w14:paraId="1D0E20CA" w14:textId="71B94E44" w:rsidR="00F24339" w:rsidRPr="009C2E05" w:rsidRDefault="00F24339">
            <w:pPr>
              <w:spacing w:before="0"/>
              <w:rPr>
                <w:rFonts w:cstheme="minorHAnsi"/>
                <w:szCs w:val="24"/>
                <w:lang w:val="en-US"/>
              </w:rPr>
            </w:pPr>
            <w:r w:rsidRPr="009C2E05">
              <w:rPr>
                <w:rFonts w:cstheme="minorHAnsi"/>
                <w:szCs w:val="24"/>
                <w:lang w:val="en-US"/>
              </w:rPr>
              <w:t>Saudi Arabia </w:t>
            </w:r>
          </w:p>
        </w:tc>
        <w:tc>
          <w:tcPr>
            <w:tcW w:w="1663" w:type="dxa"/>
            <w:vAlign w:val="center"/>
          </w:tcPr>
          <w:p w14:paraId="420CAD9D" w14:textId="31D6FFD7" w:rsidR="00F24339" w:rsidRPr="009C2E05" w:rsidRDefault="00F24339">
            <w:pPr>
              <w:spacing w:before="0"/>
              <w:rPr>
                <w:rFonts w:cstheme="minorHAnsi"/>
                <w:szCs w:val="24"/>
                <w:lang w:val="en-US"/>
              </w:rPr>
            </w:pPr>
            <w:r w:rsidRPr="009C2E05">
              <w:rPr>
                <w:rFonts w:cstheme="minorHAnsi"/>
                <w:szCs w:val="24"/>
                <w:lang w:val="en-US"/>
              </w:rPr>
              <w:t>ARB</w:t>
            </w:r>
          </w:p>
        </w:tc>
      </w:tr>
      <w:tr w:rsidR="00F24339" w:rsidRPr="00777074" w14:paraId="499940FF" w14:textId="77777777">
        <w:trPr>
          <w:trHeight w:val="397"/>
        </w:trPr>
        <w:tc>
          <w:tcPr>
            <w:tcW w:w="1798" w:type="dxa"/>
            <w:vAlign w:val="center"/>
          </w:tcPr>
          <w:p w14:paraId="28E79153" w14:textId="574790C0"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56BEE036" w14:textId="0677461D" w:rsidR="00F24339" w:rsidRPr="009C2E05" w:rsidRDefault="00F24339">
            <w:pPr>
              <w:spacing w:before="0"/>
              <w:rPr>
                <w:rFonts w:cstheme="minorHAnsi"/>
                <w:szCs w:val="24"/>
                <w:lang w:val="en-US"/>
              </w:rPr>
            </w:pPr>
            <w:proofErr w:type="spellStart"/>
            <w:r w:rsidRPr="009C2E05">
              <w:rPr>
                <w:rFonts w:cstheme="minorHAnsi"/>
                <w:szCs w:val="24"/>
                <w:lang w:val="en-US"/>
              </w:rPr>
              <w:t>Mr</w:t>
            </w:r>
            <w:proofErr w:type="spellEnd"/>
            <w:r w:rsidRPr="009C2E05">
              <w:rPr>
                <w:rFonts w:cstheme="minorHAnsi"/>
                <w:szCs w:val="24"/>
                <w:lang w:val="en-US"/>
              </w:rPr>
              <w:t xml:space="preserve"> </w:t>
            </w:r>
            <w:proofErr w:type="spellStart"/>
            <w:r w:rsidRPr="009C2E05">
              <w:rPr>
                <w:rFonts w:cstheme="minorHAnsi"/>
                <w:szCs w:val="24"/>
                <w:lang w:val="en-US"/>
              </w:rPr>
              <w:t>Orozobek</w:t>
            </w:r>
            <w:proofErr w:type="spellEnd"/>
            <w:r w:rsidRPr="009C2E05">
              <w:rPr>
                <w:rFonts w:cstheme="minorHAnsi"/>
                <w:szCs w:val="24"/>
                <w:lang w:val="en-US"/>
              </w:rPr>
              <w:t xml:space="preserve"> ZHAZYBAEVICH KAIYKOV</w:t>
            </w:r>
          </w:p>
        </w:tc>
        <w:tc>
          <w:tcPr>
            <w:tcW w:w="2465" w:type="dxa"/>
            <w:vAlign w:val="center"/>
          </w:tcPr>
          <w:p w14:paraId="73AC6742" w14:textId="77777777" w:rsidR="00F24339" w:rsidRPr="009C2E05" w:rsidRDefault="00F24339">
            <w:pPr>
              <w:spacing w:before="0"/>
              <w:rPr>
                <w:rFonts w:cstheme="minorHAnsi"/>
                <w:szCs w:val="24"/>
                <w:lang w:val="en-US"/>
              </w:rPr>
            </w:pPr>
            <w:r w:rsidRPr="009C2E05">
              <w:rPr>
                <w:rStyle w:val="ms-rtethemeforecolor-2-0"/>
                <w:rFonts w:cstheme="minorHAnsi"/>
                <w:bdr w:val="none" w:sz="0" w:space="0" w:color="auto" w:frame="1"/>
                <w:lang w:val="en-US"/>
              </w:rPr>
              <w:t>Kyrgyz Republic</w:t>
            </w:r>
          </w:p>
        </w:tc>
        <w:tc>
          <w:tcPr>
            <w:tcW w:w="1663" w:type="dxa"/>
            <w:vAlign w:val="center"/>
          </w:tcPr>
          <w:p w14:paraId="3802418B" w14:textId="77777777" w:rsidR="00F24339" w:rsidRPr="009C2E05" w:rsidRDefault="00F24339">
            <w:pPr>
              <w:spacing w:before="0"/>
              <w:rPr>
                <w:rFonts w:cstheme="minorHAnsi"/>
                <w:szCs w:val="24"/>
                <w:lang w:val="en-US"/>
              </w:rPr>
            </w:pPr>
            <w:r w:rsidRPr="009C2E05">
              <w:rPr>
                <w:rFonts w:cstheme="minorHAnsi"/>
                <w:szCs w:val="24"/>
                <w:lang w:val="en-US"/>
              </w:rPr>
              <w:t>CIS</w:t>
            </w:r>
          </w:p>
        </w:tc>
      </w:tr>
      <w:tr w:rsidR="00F24339" w:rsidRPr="00777074" w14:paraId="41836E7E" w14:textId="77777777">
        <w:trPr>
          <w:trHeight w:val="397"/>
        </w:trPr>
        <w:tc>
          <w:tcPr>
            <w:tcW w:w="1798" w:type="dxa"/>
            <w:vAlign w:val="center"/>
          </w:tcPr>
          <w:p w14:paraId="3F59D288" w14:textId="6F890BAF"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73EE7F9F" w14:textId="2A0AEF26" w:rsidR="00F24339" w:rsidRPr="009C2E05" w:rsidRDefault="00F24339">
            <w:pPr>
              <w:spacing w:before="0"/>
              <w:rPr>
                <w:rFonts w:cstheme="minorHAnsi"/>
                <w:b/>
                <w:szCs w:val="24"/>
                <w:lang w:val="en-US"/>
              </w:rPr>
            </w:pPr>
            <w:proofErr w:type="spellStart"/>
            <w:r w:rsidRPr="009C2E05">
              <w:rPr>
                <w:rStyle w:val="Strong"/>
                <w:rFonts w:cstheme="minorHAnsi"/>
                <w:b w:val="0"/>
                <w:szCs w:val="24"/>
                <w:bdr w:val="none" w:sz="0" w:space="0" w:color="auto" w:frame="1"/>
                <w:lang w:val="en-US"/>
              </w:rPr>
              <w:t>Ms</w:t>
            </w:r>
            <w:proofErr w:type="spellEnd"/>
            <w:r w:rsidRPr="009C2E05">
              <w:rPr>
                <w:rStyle w:val="Strong"/>
                <w:rFonts w:cstheme="minorHAnsi"/>
                <w:b w:val="0"/>
                <w:szCs w:val="24"/>
                <w:bdr w:val="none" w:sz="0" w:space="0" w:color="auto" w:frame="1"/>
                <w:lang w:val="en-US"/>
              </w:rPr>
              <w:t xml:space="preserve"> Blanca </w:t>
            </w:r>
            <w:r w:rsidR="009457D8" w:rsidRPr="009C2E05">
              <w:rPr>
                <w:rStyle w:val="Strong"/>
                <w:rFonts w:cstheme="minorHAnsi"/>
                <w:b w:val="0"/>
                <w:szCs w:val="24"/>
                <w:bdr w:val="none" w:sz="0" w:space="0" w:color="auto" w:frame="1"/>
                <w:lang w:val="en-US"/>
              </w:rPr>
              <w:t>GONZÁLEZ</w:t>
            </w:r>
          </w:p>
        </w:tc>
        <w:tc>
          <w:tcPr>
            <w:tcW w:w="2465" w:type="dxa"/>
            <w:vAlign w:val="center"/>
          </w:tcPr>
          <w:p w14:paraId="1FA2FD43" w14:textId="77777777" w:rsidR="00F24339" w:rsidRPr="009C2E05" w:rsidRDefault="00F24339">
            <w:pPr>
              <w:spacing w:before="0"/>
              <w:rPr>
                <w:rFonts w:cstheme="minorHAnsi"/>
                <w:szCs w:val="24"/>
                <w:lang w:val="en-US"/>
              </w:rPr>
            </w:pPr>
            <w:r w:rsidRPr="009C2E05">
              <w:rPr>
                <w:rFonts w:cstheme="minorHAnsi"/>
                <w:szCs w:val="24"/>
                <w:lang w:val="en-US"/>
              </w:rPr>
              <w:t>Spain</w:t>
            </w:r>
          </w:p>
        </w:tc>
        <w:tc>
          <w:tcPr>
            <w:tcW w:w="1663" w:type="dxa"/>
            <w:vAlign w:val="center"/>
          </w:tcPr>
          <w:p w14:paraId="4ADAA89D" w14:textId="77777777" w:rsidR="00F24339" w:rsidRPr="009C2E05" w:rsidRDefault="00F24339">
            <w:pPr>
              <w:spacing w:before="0"/>
              <w:rPr>
                <w:rFonts w:cstheme="minorHAnsi"/>
                <w:szCs w:val="24"/>
                <w:lang w:val="en-US"/>
              </w:rPr>
            </w:pPr>
            <w:r w:rsidRPr="009C2E05">
              <w:rPr>
                <w:rFonts w:cstheme="minorHAnsi"/>
                <w:szCs w:val="24"/>
                <w:lang w:val="en-US"/>
              </w:rPr>
              <w:t>EUR</w:t>
            </w:r>
          </w:p>
        </w:tc>
      </w:tr>
      <w:tr w:rsidR="00F24339" w:rsidRPr="00777074" w14:paraId="16EDCA89" w14:textId="77777777">
        <w:trPr>
          <w:trHeight w:val="397"/>
        </w:trPr>
        <w:tc>
          <w:tcPr>
            <w:tcW w:w="1798" w:type="dxa"/>
            <w:vAlign w:val="center"/>
          </w:tcPr>
          <w:p w14:paraId="175F45C4" w14:textId="77923507" w:rsidR="00F24339" w:rsidRPr="009C2E05" w:rsidRDefault="00F24339">
            <w:pPr>
              <w:spacing w:before="0"/>
              <w:rPr>
                <w:rFonts w:cstheme="minorHAnsi"/>
                <w:szCs w:val="24"/>
                <w:lang w:val="en-US"/>
              </w:rPr>
            </w:pPr>
            <w:r w:rsidRPr="009C2E05">
              <w:rPr>
                <w:rFonts w:cstheme="minorHAnsi"/>
                <w:szCs w:val="24"/>
                <w:lang w:val="en-US"/>
              </w:rPr>
              <w:t>Vice-Chair</w:t>
            </w:r>
          </w:p>
        </w:tc>
        <w:tc>
          <w:tcPr>
            <w:tcW w:w="3283" w:type="dxa"/>
            <w:vAlign w:val="center"/>
          </w:tcPr>
          <w:p w14:paraId="3D041C7C" w14:textId="10A843FE" w:rsidR="00F24339" w:rsidRPr="009C2E05" w:rsidRDefault="0057010E">
            <w:pPr>
              <w:spacing w:before="0"/>
              <w:rPr>
                <w:rFonts w:cstheme="minorHAnsi"/>
                <w:szCs w:val="24"/>
                <w:lang w:val="en-US"/>
              </w:rPr>
            </w:pPr>
            <w:r w:rsidRPr="009C2E05">
              <w:rPr>
                <w:rFonts w:cstheme="minorHAnsi"/>
                <w:szCs w:val="24"/>
                <w:lang w:val="en-US"/>
              </w:rPr>
              <w:t xml:space="preserve">Inga </w:t>
            </w:r>
            <w:r w:rsidR="009457D8" w:rsidRPr="009C2E05">
              <w:rPr>
                <w:rFonts w:cstheme="minorHAnsi"/>
                <w:szCs w:val="24"/>
                <w:lang w:val="en-US"/>
              </w:rPr>
              <w:t>RIMKEVIČIENĖ</w:t>
            </w:r>
          </w:p>
        </w:tc>
        <w:tc>
          <w:tcPr>
            <w:tcW w:w="2465" w:type="dxa"/>
            <w:vAlign w:val="center"/>
          </w:tcPr>
          <w:p w14:paraId="61C5A84C" w14:textId="52608746" w:rsidR="00F24339" w:rsidRPr="009C2E05" w:rsidRDefault="00F24339">
            <w:pPr>
              <w:spacing w:before="0"/>
              <w:rPr>
                <w:rFonts w:cstheme="minorHAnsi"/>
                <w:szCs w:val="24"/>
                <w:lang w:val="en-US"/>
              </w:rPr>
            </w:pPr>
            <w:r w:rsidRPr="009C2E05">
              <w:rPr>
                <w:rFonts w:cstheme="minorHAnsi"/>
                <w:szCs w:val="24"/>
                <w:lang w:val="en-US"/>
              </w:rPr>
              <w:t>Lithuania</w:t>
            </w:r>
          </w:p>
        </w:tc>
        <w:tc>
          <w:tcPr>
            <w:tcW w:w="1663" w:type="dxa"/>
            <w:vAlign w:val="center"/>
          </w:tcPr>
          <w:p w14:paraId="76D650FC" w14:textId="017C4BB0" w:rsidR="00F24339" w:rsidRPr="009C2E05" w:rsidRDefault="00F24339">
            <w:pPr>
              <w:spacing w:before="0"/>
              <w:rPr>
                <w:rFonts w:cstheme="minorHAnsi"/>
                <w:szCs w:val="24"/>
                <w:lang w:val="en-US"/>
              </w:rPr>
            </w:pPr>
            <w:r w:rsidRPr="009C2E05">
              <w:rPr>
                <w:rFonts w:cstheme="minorHAnsi"/>
                <w:szCs w:val="24"/>
                <w:lang w:val="en-US"/>
              </w:rPr>
              <w:t>EUR</w:t>
            </w:r>
          </w:p>
        </w:tc>
      </w:tr>
    </w:tbl>
    <w:p w14:paraId="5B443E8D" w14:textId="4CB85FB6" w:rsidR="00726F54" w:rsidRPr="007E07EE" w:rsidRDefault="31D739C0" w:rsidP="007F74D3">
      <w:pPr>
        <w:spacing w:after="120"/>
        <w:rPr>
          <w:sz w:val="22"/>
          <w:szCs w:val="22"/>
          <w:lang w:val="en-US"/>
        </w:rPr>
      </w:pPr>
      <w:bookmarkStart w:id="17" w:name="_Toc482300237"/>
      <w:r w:rsidRPr="007E07EE">
        <w:rPr>
          <w:sz w:val="22"/>
          <w:szCs w:val="22"/>
          <w:lang w:val="en-US"/>
        </w:rPr>
        <w:t xml:space="preserve">* </w:t>
      </w:r>
      <w:proofErr w:type="spellStart"/>
      <w:r w:rsidRPr="007E07EE">
        <w:rPr>
          <w:sz w:val="22"/>
          <w:szCs w:val="22"/>
          <w:lang w:val="en-US"/>
        </w:rPr>
        <w:t>Mr</w:t>
      </w:r>
      <w:proofErr w:type="spellEnd"/>
      <w:r w:rsidRPr="007E07EE">
        <w:rPr>
          <w:sz w:val="22"/>
          <w:szCs w:val="22"/>
          <w:lang w:val="en-US"/>
        </w:rPr>
        <w:t xml:space="preserve"> Kemei </w:t>
      </w:r>
      <w:r w:rsidR="0395EDCC" w:rsidRPr="007E07EE">
        <w:rPr>
          <w:sz w:val="22"/>
          <w:szCs w:val="22"/>
          <w:lang w:val="en-US"/>
        </w:rPr>
        <w:t xml:space="preserve">retired and stepped down as V. Chair of TDAG and Chair of </w:t>
      </w:r>
      <w:r w:rsidR="2820B169" w:rsidRPr="007E07EE">
        <w:rPr>
          <w:sz w:val="22"/>
          <w:szCs w:val="22"/>
          <w:lang w:val="en-US"/>
        </w:rPr>
        <w:t>TDAG Working Group on the ITU-D Priorities</w:t>
      </w:r>
      <w:r w:rsidR="07056549" w:rsidRPr="007E07EE">
        <w:rPr>
          <w:sz w:val="22"/>
          <w:szCs w:val="22"/>
          <w:lang w:val="en-US"/>
        </w:rPr>
        <w:t xml:space="preserve"> </w:t>
      </w:r>
      <w:r w:rsidR="2820B169" w:rsidRPr="007E07EE">
        <w:rPr>
          <w:sz w:val="22"/>
          <w:szCs w:val="22"/>
          <w:lang w:val="en-US"/>
        </w:rPr>
        <w:t>(TDAG-WG-ITUDP)</w:t>
      </w:r>
      <w:r w:rsidR="2B97D3EA" w:rsidRPr="007E07EE">
        <w:rPr>
          <w:sz w:val="22"/>
          <w:szCs w:val="22"/>
          <w:lang w:val="en-US"/>
        </w:rPr>
        <w:t>. His contribution to the work of TDAG was much appreciated.</w:t>
      </w:r>
    </w:p>
    <w:p w14:paraId="3660DC14" w14:textId="4B845E77" w:rsidR="00F24339" w:rsidRPr="008B71BD" w:rsidRDefault="00F24339" w:rsidP="007F74D3">
      <w:pPr>
        <w:pStyle w:val="Heading1"/>
        <w:keepNext w:val="0"/>
        <w:keepLines w:val="0"/>
        <w:spacing w:before="120" w:after="120"/>
        <w:ind w:left="567" w:hanging="567"/>
        <w:rPr>
          <w:szCs w:val="28"/>
          <w:lang w:val="en-US"/>
        </w:rPr>
      </w:pPr>
      <w:bookmarkStart w:id="18" w:name="_Toc194477919"/>
      <w:r w:rsidRPr="008B71BD">
        <w:rPr>
          <w:szCs w:val="28"/>
          <w:lang w:val="en-US"/>
        </w:rPr>
        <w:t>TDAG Meetings</w:t>
      </w:r>
      <w:bookmarkEnd w:id="17"/>
      <w:bookmarkEnd w:id="18"/>
    </w:p>
    <w:p w14:paraId="3CE7B6CB" w14:textId="112B412D" w:rsidR="00F24339" w:rsidRPr="007F74D3" w:rsidRDefault="4D32E0FF" w:rsidP="007F74D3">
      <w:pPr>
        <w:spacing w:after="120"/>
        <w:rPr>
          <w:szCs w:val="24"/>
          <w:lang w:val="en-US"/>
        </w:rPr>
      </w:pPr>
      <w:r w:rsidRPr="007F74D3">
        <w:rPr>
          <w:szCs w:val="24"/>
          <w:lang w:val="en-US"/>
        </w:rPr>
        <w:t xml:space="preserve">TDAG held </w:t>
      </w:r>
      <w:r w:rsidR="5D8C82D7" w:rsidRPr="007F74D3">
        <w:rPr>
          <w:szCs w:val="24"/>
          <w:lang w:val="en-US"/>
        </w:rPr>
        <w:t>three</w:t>
      </w:r>
      <w:r w:rsidR="24BD9C67" w:rsidRPr="007F74D3">
        <w:rPr>
          <w:szCs w:val="24"/>
          <w:lang w:val="en-US"/>
        </w:rPr>
        <w:t xml:space="preserve"> </w:t>
      </w:r>
      <w:r w:rsidR="2FA19AAB" w:rsidRPr="007F74D3">
        <w:rPr>
          <w:szCs w:val="24"/>
          <w:lang w:val="en-US"/>
        </w:rPr>
        <w:t>ordinar</w:t>
      </w:r>
      <w:r w:rsidR="355F4B0D" w:rsidRPr="007F74D3">
        <w:rPr>
          <w:szCs w:val="24"/>
          <w:lang w:val="en-US"/>
        </w:rPr>
        <w:t xml:space="preserve">y </w:t>
      </w:r>
      <w:r w:rsidRPr="007F74D3">
        <w:rPr>
          <w:szCs w:val="24"/>
          <w:lang w:val="en-US"/>
        </w:rPr>
        <w:t xml:space="preserve">meetings </w:t>
      </w:r>
      <w:r w:rsidR="355F4B0D" w:rsidRPr="007F74D3">
        <w:rPr>
          <w:szCs w:val="24"/>
          <w:lang w:val="en-US"/>
        </w:rPr>
        <w:t>and one extra-ordinary meeting</w:t>
      </w:r>
      <w:r w:rsidRPr="007F74D3">
        <w:rPr>
          <w:szCs w:val="24"/>
          <w:lang w:val="en-US"/>
        </w:rPr>
        <w:t xml:space="preserve"> during the period covered by this report under the chairmanship of Roxanne </w:t>
      </w:r>
      <w:proofErr w:type="spellStart"/>
      <w:r w:rsidRPr="007F74D3">
        <w:rPr>
          <w:szCs w:val="24"/>
          <w:lang w:val="en-US"/>
        </w:rPr>
        <w:t>McElvane</w:t>
      </w:r>
      <w:proofErr w:type="spellEnd"/>
      <w:r w:rsidRPr="007F74D3">
        <w:rPr>
          <w:szCs w:val="24"/>
          <w:lang w:val="en-US"/>
        </w:rPr>
        <w:t xml:space="preserve"> Webber (United States). The complete summary of conclusions of these meetings can be found at: </w:t>
      </w:r>
      <w:hyperlink r:id="rId20">
        <w:r w:rsidRPr="007F74D3">
          <w:rPr>
            <w:rStyle w:val="Hyperlink"/>
            <w:szCs w:val="24"/>
            <w:lang w:val="en-US"/>
          </w:rPr>
          <w:t>www.itu.int/ITU-D/tdag/</w:t>
        </w:r>
      </w:hyperlink>
      <w:r w:rsidRPr="007F74D3">
        <w:rPr>
          <w:szCs w:val="24"/>
          <w:lang w:val="en-US"/>
        </w:rPr>
        <w:t xml:space="preserve">. </w:t>
      </w:r>
    </w:p>
    <w:p w14:paraId="13EF3CF6" w14:textId="752AF0D4" w:rsidR="00F24339" w:rsidRPr="008B71BD" w:rsidRDefault="00AF298A" w:rsidP="007F74D3">
      <w:pPr>
        <w:pStyle w:val="Heading2"/>
        <w:keepLines w:val="0"/>
        <w:spacing w:before="120" w:after="120"/>
        <w:rPr>
          <w:szCs w:val="24"/>
          <w:lang w:val="en-US"/>
        </w:rPr>
      </w:pPr>
      <w:bookmarkStart w:id="19" w:name="_Toc482300238"/>
      <w:bookmarkStart w:id="20" w:name="_Toc194477920"/>
      <w:r w:rsidRPr="008B71BD">
        <w:rPr>
          <w:szCs w:val="24"/>
          <w:lang w:val="en-US"/>
        </w:rPr>
        <w:lastRenderedPageBreak/>
        <w:t>30</w:t>
      </w:r>
      <w:r w:rsidR="00EF598E" w:rsidRPr="008B71BD">
        <w:rPr>
          <w:szCs w:val="24"/>
          <w:lang w:val="en-US"/>
        </w:rPr>
        <w:t>th</w:t>
      </w:r>
      <w:r w:rsidR="00F24339" w:rsidRPr="008B71BD">
        <w:rPr>
          <w:szCs w:val="24"/>
          <w:lang w:val="en-US"/>
        </w:rPr>
        <w:t xml:space="preserve"> TDAG Meeting</w:t>
      </w:r>
      <w:bookmarkEnd w:id="19"/>
      <w:bookmarkEnd w:id="20"/>
    </w:p>
    <w:p w14:paraId="16857CFF" w14:textId="203ECA58" w:rsidR="00AD7518" w:rsidRPr="00AD7518" w:rsidRDefault="00AD7518" w:rsidP="00AD7518">
      <w:r w:rsidRPr="00AD7518">
        <w:rPr>
          <w:noProof/>
        </w:rPr>
        <w:drawing>
          <wp:inline distT="0" distB="0" distL="0" distR="0" wp14:anchorId="069829BA" wp14:editId="52AF5EAC">
            <wp:extent cx="6120765" cy="2787015"/>
            <wp:effectExtent l="0" t="0" r="0" b="0"/>
            <wp:docPr id="207085823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8236" name="Picture 2" descr="A group of people posing for a phot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787015"/>
                    </a:xfrm>
                    <a:prstGeom prst="rect">
                      <a:avLst/>
                    </a:prstGeom>
                    <a:noFill/>
                    <a:ln>
                      <a:noFill/>
                    </a:ln>
                  </pic:spPr>
                </pic:pic>
              </a:graphicData>
            </a:graphic>
          </wp:inline>
        </w:drawing>
      </w:r>
    </w:p>
    <w:p w14:paraId="2B68F199" w14:textId="4DA4F756" w:rsidR="004E336F" w:rsidRPr="007F74D3" w:rsidRDefault="004E336F" w:rsidP="007F74D3">
      <w:pPr>
        <w:pStyle w:val="ListParagraph"/>
        <w:numPr>
          <w:ilvl w:val="0"/>
          <w:numId w:val="5"/>
        </w:numPr>
        <w:tabs>
          <w:tab w:val="clear" w:pos="1134"/>
          <w:tab w:val="clear" w:pos="1871"/>
          <w:tab w:val="clear" w:pos="2268"/>
          <w:tab w:val="left" w:pos="567"/>
        </w:tabs>
        <w:spacing w:after="120"/>
        <w:ind w:left="0" w:firstLine="0"/>
        <w:contextualSpacing w:val="0"/>
        <w:rPr>
          <w:rFonts w:cstheme="minorBidi"/>
          <w:b/>
          <w:bCs/>
          <w:i/>
          <w:lang w:val="en-US"/>
        </w:rPr>
      </w:pPr>
      <w:r w:rsidRPr="007F74D3">
        <w:rPr>
          <w:rFonts w:cstheme="minorBidi"/>
          <w:b/>
          <w:bCs/>
          <w:i/>
          <w:lang w:val="en-US"/>
        </w:rPr>
        <w:t>Overview</w:t>
      </w:r>
    </w:p>
    <w:p w14:paraId="5C025666" w14:textId="70E27573" w:rsidR="00F24339" w:rsidRPr="007F74D3" w:rsidRDefault="6FCF8F7F" w:rsidP="007F74D3">
      <w:pPr>
        <w:pStyle w:val="ListParagraph"/>
        <w:tabs>
          <w:tab w:val="clear" w:pos="1134"/>
          <w:tab w:val="clear" w:pos="1871"/>
          <w:tab w:val="clear" w:pos="2268"/>
          <w:tab w:val="left" w:pos="567"/>
        </w:tabs>
        <w:spacing w:after="120"/>
        <w:ind w:left="0"/>
        <w:contextualSpacing w:val="0"/>
        <w:rPr>
          <w:rFonts w:cstheme="minorBidi"/>
          <w:lang w:val="en-US"/>
        </w:rPr>
      </w:pPr>
      <w:r w:rsidRPr="007F74D3">
        <w:rPr>
          <w:rFonts w:cstheme="minorBidi"/>
          <w:lang w:val="en-US"/>
        </w:rPr>
        <w:t>The 3</w:t>
      </w:r>
      <w:r w:rsidR="783F3DAB" w:rsidRPr="007F74D3">
        <w:rPr>
          <w:rFonts w:cstheme="minorBidi"/>
          <w:lang w:val="en-US"/>
        </w:rPr>
        <w:t>0th</w:t>
      </w:r>
      <w:r w:rsidRPr="007F74D3">
        <w:rPr>
          <w:rFonts w:cstheme="minorBidi"/>
          <w:lang w:val="en-US"/>
        </w:rPr>
        <w:t xml:space="preserve"> meeting of the Telecommunication Development Advisory Group (TDAG</w:t>
      </w:r>
      <w:r w:rsidR="192DF1EA" w:rsidRPr="007F74D3">
        <w:rPr>
          <w:rFonts w:cstheme="minorBidi"/>
          <w:lang w:val="en-US"/>
        </w:rPr>
        <w:t>-23</w:t>
      </w:r>
      <w:r w:rsidRPr="007F74D3">
        <w:rPr>
          <w:rFonts w:cstheme="minorBidi"/>
          <w:lang w:val="en-US"/>
        </w:rPr>
        <w:t xml:space="preserve">) was held physically in Geneva at the Centre International de </w:t>
      </w:r>
      <w:proofErr w:type="spellStart"/>
      <w:r w:rsidRPr="007F74D3">
        <w:rPr>
          <w:rFonts w:cstheme="minorBidi"/>
          <w:lang w:val="en-US"/>
        </w:rPr>
        <w:t>Conférences</w:t>
      </w:r>
      <w:proofErr w:type="spellEnd"/>
      <w:r w:rsidRPr="007F74D3">
        <w:rPr>
          <w:rFonts w:cstheme="minorBidi"/>
          <w:lang w:val="en-US"/>
        </w:rPr>
        <w:t xml:space="preserve"> de Genève (CICG), from 19 to 23</w:t>
      </w:r>
      <w:r w:rsidR="007F74D3">
        <w:rPr>
          <w:rFonts w:cstheme="minorBidi"/>
          <w:lang w:val="en-US"/>
        </w:rPr>
        <w:t> </w:t>
      </w:r>
      <w:r w:rsidRPr="007F74D3">
        <w:rPr>
          <w:rFonts w:cstheme="minorBidi"/>
          <w:lang w:val="en-US"/>
        </w:rPr>
        <w:t>June 2023</w:t>
      </w:r>
      <w:r w:rsidR="355F4B0D" w:rsidRPr="007F74D3">
        <w:rPr>
          <w:rFonts w:cstheme="minorBidi"/>
          <w:lang w:val="en-US"/>
        </w:rPr>
        <w:t>, chaired by</w:t>
      </w:r>
      <w:r w:rsidR="2C7E42FD" w:rsidRPr="007F74D3">
        <w:rPr>
          <w:rFonts w:cstheme="minorBidi"/>
          <w:lang w:val="en-US"/>
        </w:rPr>
        <w:t xml:space="preserve"> </w:t>
      </w:r>
      <w:proofErr w:type="spellStart"/>
      <w:r w:rsidR="4D32E0FF" w:rsidRPr="007F74D3">
        <w:rPr>
          <w:rFonts w:cstheme="minorBidi"/>
          <w:lang w:val="en-US"/>
        </w:rPr>
        <w:t>Ms</w:t>
      </w:r>
      <w:proofErr w:type="spellEnd"/>
      <w:r w:rsidR="4D32E0FF" w:rsidRPr="007F74D3">
        <w:rPr>
          <w:rFonts w:cstheme="minorBidi"/>
          <w:lang w:val="en-US"/>
        </w:rPr>
        <w:t xml:space="preserve"> Roxanne </w:t>
      </w:r>
      <w:proofErr w:type="spellStart"/>
      <w:r w:rsidR="4D32E0FF" w:rsidRPr="007F74D3">
        <w:rPr>
          <w:rFonts w:cstheme="minorBidi"/>
          <w:lang w:val="en-US"/>
        </w:rPr>
        <w:t>McElvane</w:t>
      </w:r>
      <w:proofErr w:type="spellEnd"/>
      <w:r w:rsidR="4D32E0FF" w:rsidRPr="007F74D3">
        <w:rPr>
          <w:rFonts w:cstheme="minorBidi"/>
          <w:lang w:val="en-US"/>
        </w:rPr>
        <w:t xml:space="preserve"> Webber.</w:t>
      </w:r>
    </w:p>
    <w:p w14:paraId="60B96743" w14:textId="77777777" w:rsidR="00F24339" w:rsidRPr="007F74D3" w:rsidRDefault="00F24339" w:rsidP="007F74D3">
      <w:pPr>
        <w:pStyle w:val="NormalWeb"/>
        <w:shd w:val="clear" w:color="auto" w:fill="FFFFFF"/>
        <w:spacing w:before="120" w:beforeAutospacing="0" w:after="120" w:afterAutospacing="0"/>
        <w:textAlignment w:val="baseline"/>
        <w:rPr>
          <w:rFonts w:asciiTheme="minorHAnsi" w:hAnsiTheme="minorHAnsi" w:cstheme="minorHAnsi"/>
          <w:lang w:val="en-US"/>
        </w:rPr>
      </w:pPr>
      <w:r w:rsidRPr="007F74D3">
        <w:rPr>
          <w:rFonts w:asciiTheme="minorHAnsi" w:hAnsiTheme="minorHAnsi" w:cstheme="minorHAnsi"/>
          <w:bdr w:val="none" w:sz="0" w:space="0" w:color="auto" w:frame="1"/>
          <w:shd w:val="clear" w:color="auto" w:fill="FFFFFF"/>
          <w:lang w:val="en-US"/>
        </w:rPr>
        <w:t>TDAG’s mandate ranges from reviewing priorities, strategies, operations and financial matters of the Telecommunication Development Sector (ITU-D), to advising the Director of the Telecommunication Development Bureau (BDT) on the implementation of Action Plans from world telecommunication development conferences (WTDCs).</w:t>
      </w:r>
    </w:p>
    <w:p w14:paraId="22477BC0" w14:textId="46041F96" w:rsidR="00AF298A" w:rsidRPr="009C2E05" w:rsidRDefault="00AF298A" w:rsidP="007F74D3">
      <w:pPr>
        <w:pStyle w:val="ListParagraph"/>
        <w:tabs>
          <w:tab w:val="clear" w:pos="1134"/>
          <w:tab w:val="clear" w:pos="1871"/>
          <w:tab w:val="clear" w:pos="2268"/>
          <w:tab w:val="left" w:pos="567"/>
        </w:tabs>
        <w:spacing w:after="120"/>
        <w:ind w:left="0"/>
        <w:contextualSpacing w:val="0"/>
        <w:rPr>
          <w:rFonts w:eastAsia="Times New Roman" w:cstheme="minorHAnsi"/>
          <w:color w:val="444444"/>
          <w:szCs w:val="24"/>
          <w:lang w:val="en-US" w:eastAsia="en-GB"/>
        </w:rPr>
      </w:pPr>
      <w:r w:rsidRPr="007F74D3">
        <w:rPr>
          <w:rFonts w:eastAsia="Times New Roman" w:cstheme="minorHAnsi"/>
          <w:szCs w:val="24"/>
          <w:lang w:val="en-US" w:eastAsia="en-GB"/>
        </w:rPr>
        <w:t>This meeting had</w:t>
      </w:r>
      <w:r w:rsidR="007F74D3" w:rsidRPr="007F74D3">
        <w:rPr>
          <w:rFonts w:eastAsia="Times New Roman" w:cstheme="minorHAnsi"/>
          <w:szCs w:val="24"/>
          <w:lang w:val="en-US" w:eastAsia="en-GB"/>
        </w:rPr>
        <w:t xml:space="preserve"> </w:t>
      </w:r>
      <w:r w:rsidRPr="007F74D3">
        <w:rPr>
          <w:rFonts w:eastAsia="Times New Roman" w:cstheme="minorHAnsi"/>
          <w:szCs w:val="24"/>
          <w:lang w:val="en-US" w:eastAsia="en-GB"/>
        </w:rPr>
        <w:t>a broad agenda as it marked</w:t>
      </w:r>
      <w:r w:rsidR="007F74D3" w:rsidRPr="007F74D3">
        <w:rPr>
          <w:rFonts w:eastAsia="Times New Roman" w:cstheme="minorHAnsi"/>
          <w:szCs w:val="24"/>
          <w:lang w:val="en-US" w:eastAsia="en-GB"/>
        </w:rPr>
        <w:t xml:space="preserve"> </w:t>
      </w:r>
      <w:r w:rsidRPr="007F74D3">
        <w:rPr>
          <w:rFonts w:eastAsia="Times New Roman" w:cstheme="minorHAnsi"/>
          <w:szCs w:val="24"/>
          <w:lang w:val="en-US" w:eastAsia="en-GB"/>
        </w:rPr>
        <w:t>the first meeting after</w:t>
      </w:r>
      <w:r w:rsidRPr="009C2E05">
        <w:rPr>
          <w:rFonts w:eastAsia="Times New Roman" w:cstheme="minorHAnsi"/>
          <w:color w:val="444444"/>
          <w:szCs w:val="24"/>
          <w:lang w:val="en-US" w:eastAsia="en-GB"/>
        </w:rPr>
        <w:t xml:space="preserve"> </w:t>
      </w:r>
      <w:hyperlink r:id="rId22" w:history="1">
        <w:r w:rsidRPr="009C2E05">
          <w:rPr>
            <w:rStyle w:val="Hyperlink"/>
            <w:rFonts w:eastAsia="Times New Roman" w:cstheme="minorHAnsi"/>
            <w:szCs w:val="24"/>
            <w:lang w:val="en-US" w:eastAsia="en-GB"/>
          </w:rPr>
          <w:t>the World Telecommunication Development Conference (WTDC-22)</w:t>
        </w:r>
      </w:hyperlink>
      <w:r w:rsidRPr="007F74D3">
        <w:rPr>
          <w:rFonts w:eastAsia="Times New Roman" w:cstheme="minorHAnsi"/>
          <w:szCs w:val="24"/>
          <w:lang w:val="en-US" w:eastAsia="en-GB"/>
        </w:rPr>
        <w:t>, which had taken place in Kigali, Rwanda, from 6 to 16 June 2022.</w:t>
      </w:r>
      <w:r w:rsidR="007F74D3">
        <w:rPr>
          <w:rFonts w:eastAsia="Times New Roman" w:cstheme="minorHAnsi"/>
          <w:szCs w:val="24"/>
          <w:lang w:val="en-US" w:eastAsia="en-GB"/>
        </w:rPr>
        <w:t xml:space="preserve"> </w:t>
      </w:r>
      <w:proofErr w:type="gramStart"/>
      <w:r w:rsidRPr="007F74D3">
        <w:rPr>
          <w:rFonts w:eastAsia="Times New Roman" w:cstheme="minorHAnsi"/>
          <w:szCs w:val="24"/>
          <w:lang w:val="en-US" w:eastAsia="en-GB"/>
        </w:rPr>
        <w:t>In particular, this</w:t>
      </w:r>
      <w:proofErr w:type="gramEnd"/>
      <w:r w:rsidRPr="007F74D3">
        <w:rPr>
          <w:rFonts w:eastAsia="Times New Roman" w:cstheme="minorHAnsi"/>
          <w:szCs w:val="24"/>
          <w:lang w:val="en-US" w:eastAsia="en-GB"/>
        </w:rPr>
        <w:t xml:space="preserve"> meeting reviewed the outcomes of WTDC-22 </w:t>
      </w:r>
      <w:r w:rsidR="00A80568" w:rsidRPr="007F74D3">
        <w:rPr>
          <w:rFonts w:eastAsia="Times New Roman" w:cstheme="minorHAnsi"/>
          <w:szCs w:val="24"/>
          <w:lang w:val="en-US" w:eastAsia="en-GB"/>
        </w:rPr>
        <w:t>a</w:t>
      </w:r>
      <w:r w:rsidRPr="007F74D3">
        <w:rPr>
          <w:rFonts w:eastAsia="Times New Roman" w:cstheme="minorHAnsi"/>
          <w:szCs w:val="24"/>
          <w:lang w:val="en-US" w:eastAsia="en-GB"/>
        </w:rPr>
        <w:t>nd assessed how they would guide the work of the ITU Telecommunication Development Sector (ITU-D) for the next three years.</w:t>
      </w:r>
    </w:p>
    <w:p w14:paraId="0526DA63" w14:textId="58C1AD3B" w:rsidR="00F24339" w:rsidRPr="007F74D3" w:rsidRDefault="00F24339" w:rsidP="007F74D3">
      <w:pPr>
        <w:pStyle w:val="ListParagraph"/>
        <w:keepNext/>
        <w:numPr>
          <w:ilvl w:val="0"/>
          <w:numId w:val="5"/>
        </w:numPr>
        <w:tabs>
          <w:tab w:val="clear" w:pos="1134"/>
          <w:tab w:val="clear" w:pos="1871"/>
          <w:tab w:val="clear" w:pos="2268"/>
          <w:tab w:val="left" w:pos="567"/>
        </w:tabs>
        <w:spacing w:after="120"/>
        <w:ind w:left="0" w:firstLine="0"/>
        <w:contextualSpacing w:val="0"/>
        <w:rPr>
          <w:b/>
          <w:bCs/>
          <w:i/>
          <w:lang w:val="en-US"/>
        </w:rPr>
      </w:pPr>
      <w:r w:rsidRPr="007F74D3">
        <w:rPr>
          <w:b/>
          <w:bCs/>
          <w:i/>
          <w:lang w:val="en-US"/>
        </w:rPr>
        <w:t>Participants</w:t>
      </w:r>
    </w:p>
    <w:p w14:paraId="3E94A94F" w14:textId="77777777" w:rsidR="00F24339" w:rsidRPr="009C2E05" w:rsidRDefault="00F24339" w:rsidP="007F74D3">
      <w:pPr>
        <w:keepNext/>
        <w:spacing w:after="120"/>
        <w:rPr>
          <w:lang w:val="en-US"/>
        </w:rPr>
      </w:pPr>
      <w:r w:rsidRPr="009C2E05">
        <w:rPr>
          <w:lang w:val="en-US"/>
        </w:rPr>
        <w:t>The following chart provides the breakdown of participants by category:</w:t>
      </w:r>
    </w:p>
    <w:p w14:paraId="6E406349" w14:textId="38F5D4AC" w:rsidR="0FFB5049" w:rsidRPr="009C2E05" w:rsidRDefault="0069775F" w:rsidP="007F74D3">
      <w:pPr>
        <w:spacing w:after="120"/>
        <w:rPr>
          <w:lang w:val="en-US"/>
        </w:rPr>
      </w:pPr>
      <w:r w:rsidRPr="009C2E05">
        <w:rPr>
          <w:noProof/>
          <w:lang w:val="en-US"/>
        </w:rPr>
        <w:drawing>
          <wp:inline distT="0" distB="0" distL="0" distR="0" wp14:anchorId="49ECAC1E" wp14:editId="63ED8537">
            <wp:extent cx="6120765" cy="2557863"/>
            <wp:effectExtent l="0" t="0" r="0" b="0"/>
            <wp:docPr id="583985290" name="Picture 1" descr="A blue circ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85290" name="Picture 1" descr="A blue circle with text and numbers&#10;&#10;AI-generated content may be incorrect."/>
                    <pic:cNvPicPr/>
                  </pic:nvPicPr>
                  <pic:blipFill rotWithShape="1">
                    <a:blip r:embed="rId23"/>
                    <a:srcRect t="5019"/>
                    <a:stretch/>
                  </pic:blipFill>
                  <pic:spPr bwMode="auto">
                    <a:xfrm>
                      <a:off x="0" y="0"/>
                      <a:ext cx="6120765" cy="2557863"/>
                    </a:xfrm>
                    <a:prstGeom prst="rect">
                      <a:avLst/>
                    </a:prstGeom>
                    <a:ln>
                      <a:noFill/>
                    </a:ln>
                    <a:extLst>
                      <a:ext uri="{53640926-AAD7-44D8-BBD7-CCE9431645EC}">
                        <a14:shadowObscured xmlns:a14="http://schemas.microsoft.com/office/drawing/2010/main"/>
                      </a:ext>
                    </a:extLst>
                  </pic:spPr>
                </pic:pic>
              </a:graphicData>
            </a:graphic>
          </wp:inline>
        </w:drawing>
      </w:r>
    </w:p>
    <w:p w14:paraId="067AA907" w14:textId="092AAFBB" w:rsidR="00D25438" w:rsidRPr="001C6431" w:rsidRDefault="00F24339" w:rsidP="007F74D3">
      <w:pPr>
        <w:keepNext/>
        <w:spacing w:after="120"/>
        <w:rPr>
          <w:noProof/>
          <w:lang w:val="en-US"/>
        </w:rPr>
      </w:pPr>
      <w:r w:rsidRPr="009C2E05">
        <w:rPr>
          <w:lang w:val="en-US"/>
        </w:rPr>
        <w:lastRenderedPageBreak/>
        <w:t>The following chart provides the breakdown of participants by region:</w:t>
      </w:r>
    </w:p>
    <w:p w14:paraId="27B34EAD" w14:textId="397CC760" w:rsidR="0C7D480E" w:rsidRPr="009C2E05" w:rsidRDefault="0C7D480E" w:rsidP="007F74D3">
      <w:pPr>
        <w:spacing w:after="120"/>
        <w:rPr>
          <w:lang w:val="en-US"/>
        </w:rPr>
      </w:pPr>
      <w:r w:rsidRPr="009C2E05">
        <w:rPr>
          <w:noProof/>
          <w:lang w:val="en-US"/>
        </w:rPr>
        <w:drawing>
          <wp:inline distT="0" distB="0" distL="0" distR="0" wp14:anchorId="28D84A03" wp14:editId="1948E87B">
            <wp:extent cx="6173196" cy="2663687"/>
            <wp:effectExtent l="0" t="0" r="0" b="3810"/>
            <wp:docPr id="494887076" name="Picture 4948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728" t="3004" r="3658" b="3568"/>
                    <a:stretch/>
                  </pic:blipFill>
                  <pic:spPr bwMode="auto">
                    <a:xfrm>
                      <a:off x="0" y="0"/>
                      <a:ext cx="6185491" cy="2668992"/>
                    </a:xfrm>
                    <a:prstGeom prst="rect">
                      <a:avLst/>
                    </a:prstGeom>
                    <a:ln>
                      <a:noFill/>
                    </a:ln>
                    <a:extLst>
                      <a:ext uri="{53640926-AAD7-44D8-BBD7-CCE9431645EC}">
                        <a14:shadowObscured xmlns:a14="http://schemas.microsoft.com/office/drawing/2010/main"/>
                      </a:ext>
                    </a:extLst>
                  </pic:spPr>
                </pic:pic>
              </a:graphicData>
            </a:graphic>
          </wp:inline>
        </w:drawing>
      </w:r>
    </w:p>
    <w:p w14:paraId="6D845BBC" w14:textId="77777777" w:rsidR="00F24339" w:rsidRPr="009C2E05" w:rsidRDefault="00F24339" w:rsidP="007F74D3">
      <w:pPr>
        <w:keepNext/>
        <w:spacing w:after="120"/>
        <w:rPr>
          <w:lang w:val="en-US"/>
        </w:rPr>
      </w:pPr>
      <w:r w:rsidRPr="009C2E05">
        <w:rPr>
          <w:lang w:val="en-US"/>
        </w:rPr>
        <w:t>The following chart provides the breakdown of participants by gender:</w:t>
      </w:r>
    </w:p>
    <w:p w14:paraId="378F6F4C" w14:textId="65A1E48C" w:rsidR="3C75DF76" w:rsidRDefault="3C75DF76" w:rsidP="007F74D3">
      <w:pPr>
        <w:spacing w:after="120"/>
        <w:rPr>
          <w:lang w:val="en-US"/>
        </w:rPr>
      </w:pPr>
      <w:r w:rsidRPr="009C2E05">
        <w:rPr>
          <w:noProof/>
          <w:lang w:val="en-US"/>
        </w:rPr>
        <w:drawing>
          <wp:inline distT="0" distB="0" distL="0" distR="0" wp14:anchorId="250DBEDE" wp14:editId="5609C485">
            <wp:extent cx="5474189" cy="2387600"/>
            <wp:effectExtent l="0" t="0" r="0" b="0"/>
            <wp:docPr id="1593130417" name="Picture 159313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468" t="3003" r="4940" b="3589"/>
                    <a:stretch/>
                  </pic:blipFill>
                  <pic:spPr bwMode="auto">
                    <a:xfrm>
                      <a:off x="0" y="0"/>
                      <a:ext cx="5510825" cy="2403579"/>
                    </a:xfrm>
                    <a:prstGeom prst="rect">
                      <a:avLst/>
                    </a:prstGeom>
                    <a:ln>
                      <a:noFill/>
                    </a:ln>
                    <a:extLst>
                      <a:ext uri="{53640926-AAD7-44D8-BBD7-CCE9431645EC}">
                        <a14:shadowObscured xmlns:a14="http://schemas.microsoft.com/office/drawing/2010/main"/>
                      </a:ext>
                    </a:extLst>
                  </pic:spPr>
                </pic:pic>
              </a:graphicData>
            </a:graphic>
          </wp:inline>
        </w:drawing>
      </w:r>
    </w:p>
    <w:p w14:paraId="13747473" w14:textId="77777777" w:rsidR="007F74D3" w:rsidRPr="009C2E05" w:rsidRDefault="007F74D3" w:rsidP="007F74D3">
      <w:pPr>
        <w:spacing w:after="120"/>
        <w:rPr>
          <w:lang w:val="en-US"/>
        </w:rPr>
      </w:pPr>
    </w:p>
    <w:p w14:paraId="2DD73956" w14:textId="77777777" w:rsidR="00F24339" w:rsidRPr="007F74D3" w:rsidRDefault="00F24339" w:rsidP="007F74D3">
      <w:pPr>
        <w:pStyle w:val="ListParagraph"/>
        <w:numPr>
          <w:ilvl w:val="0"/>
          <w:numId w:val="5"/>
        </w:numPr>
        <w:tabs>
          <w:tab w:val="clear" w:pos="1134"/>
          <w:tab w:val="clear" w:pos="1871"/>
          <w:tab w:val="clear" w:pos="2268"/>
          <w:tab w:val="left" w:pos="567"/>
        </w:tabs>
        <w:spacing w:after="120"/>
        <w:ind w:left="0" w:firstLine="0"/>
        <w:contextualSpacing w:val="0"/>
        <w:rPr>
          <w:b/>
          <w:bCs/>
          <w:i/>
          <w:lang w:val="en-US"/>
        </w:rPr>
      </w:pPr>
      <w:r w:rsidRPr="007F74D3">
        <w:rPr>
          <w:b/>
          <w:bCs/>
          <w:i/>
          <w:lang w:val="en-US"/>
        </w:rPr>
        <w:t>Documents</w:t>
      </w:r>
    </w:p>
    <w:p w14:paraId="34BF60C6" w14:textId="154B1E2B" w:rsidR="00F24339" w:rsidRPr="009C2E05" w:rsidRDefault="00F24339" w:rsidP="007F74D3">
      <w:pPr>
        <w:spacing w:after="120"/>
        <w:rPr>
          <w:lang w:val="en-US"/>
        </w:rPr>
      </w:pPr>
      <w:r w:rsidRPr="009C2E05">
        <w:rPr>
          <w:lang w:val="en-US"/>
        </w:rPr>
        <w:t>The following chart provides the number of documents broken down by category of documents:</w:t>
      </w:r>
    </w:p>
    <w:p w14:paraId="3BAF9AEC" w14:textId="43924801" w:rsidR="00D477C1" w:rsidRPr="009C2E05" w:rsidRDefault="00E66E70" w:rsidP="007F74D3">
      <w:pPr>
        <w:spacing w:after="120"/>
        <w:rPr>
          <w:lang w:val="en-US"/>
        </w:rPr>
      </w:pPr>
      <w:r w:rsidRPr="009C2E05">
        <w:rPr>
          <w:noProof/>
          <w:lang w:val="en-US"/>
        </w:rPr>
        <w:drawing>
          <wp:inline distT="0" distB="0" distL="0" distR="0" wp14:anchorId="5DE12787" wp14:editId="27BF86B4">
            <wp:extent cx="5676900" cy="2545447"/>
            <wp:effectExtent l="0" t="0" r="0" b="7620"/>
            <wp:docPr id="190961402" name="Picture 1" descr="A blue circ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1402" name="Picture 1" descr="A blue circle with text on it&#10;&#10;AI-generated content may be incorrect."/>
                    <pic:cNvPicPr/>
                  </pic:nvPicPr>
                  <pic:blipFill>
                    <a:blip r:embed="rId26"/>
                    <a:stretch>
                      <a:fillRect/>
                    </a:stretch>
                  </pic:blipFill>
                  <pic:spPr>
                    <a:xfrm>
                      <a:off x="0" y="0"/>
                      <a:ext cx="5686132" cy="2549587"/>
                    </a:xfrm>
                    <a:prstGeom prst="rect">
                      <a:avLst/>
                    </a:prstGeom>
                  </pic:spPr>
                </pic:pic>
              </a:graphicData>
            </a:graphic>
          </wp:inline>
        </w:drawing>
      </w:r>
    </w:p>
    <w:p w14:paraId="1C80139F" w14:textId="7F2A477A" w:rsidR="00F24339" w:rsidRPr="007F74D3" w:rsidRDefault="00AF298A" w:rsidP="007F74D3">
      <w:pPr>
        <w:pStyle w:val="ListParagraph"/>
        <w:keepNext/>
        <w:numPr>
          <w:ilvl w:val="0"/>
          <w:numId w:val="5"/>
        </w:numPr>
        <w:tabs>
          <w:tab w:val="clear" w:pos="1134"/>
          <w:tab w:val="clear" w:pos="1871"/>
          <w:tab w:val="clear" w:pos="2268"/>
          <w:tab w:val="left" w:pos="567"/>
        </w:tabs>
        <w:spacing w:after="120"/>
        <w:ind w:left="0" w:firstLine="0"/>
        <w:contextualSpacing w:val="0"/>
        <w:rPr>
          <w:b/>
          <w:bCs/>
          <w:i/>
          <w:lang w:val="en-US"/>
        </w:rPr>
      </w:pPr>
      <w:r w:rsidRPr="007F74D3">
        <w:rPr>
          <w:b/>
          <w:bCs/>
          <w:i/>
          <w:lang w:val="en-US"/>
        </w:rPr>
        <w:lastRenderedPageBreak/>
        <w:t>3</w:t>
      </w:r>
      <w:r w:rsidR="00EF598E" w:rsidRPr="007F74D3">
        <w:rPr>
          <w:b/>
          <w:bCs/>
          <w:i/>
          <w:lang w:val="en-US"/>
        </w:rPr>
        <w:t>0</w:t>
      </w:r>
      <w:r w:rsidRPr="007F74D3">
        <w:rPr>
          <w:b/>
          <w:bCs/>
          <w:i/>
          <w:lang w:val="en-US"/>
        </w:rPr>
        <w:t>th</w:t>
      </w:r>
      <w:r w:rsidR="00F24339" w:rsidRPr="007F74D3">
        <w:rPr>
          <w:b/>
          <w:bCs/>
          <w:i/>
          <w:lang w:val="en-US"/>
        </w:rPr>
        <w:t xml:space="preserve"> TDAG Meeting Outcomes</w:t>
      </w:r>
    </w:p>
    <w:p w14:paraId="1926B354" w14:textId="72899D7A" w:rsidR="00EF598E" w:rsidRPr="009C2E05" w:rsidRDefault="783F3DAB" w:rsidP="007F74D3">
      <w:pPr>
        <w:spacing w:after="120"/>
        <w:rPr>
          <w:lang w:val="en-US"/>
        </w:rPr>
      </w:pPr>
      <w:r w:rsidRPr="1E24F615">
        <w:rPr>
          <w:lang w:val="en-US"/>
        </w:rPr>
        <w:t>TDAG</w:t>
      </w:r>
      <w:r w:rsidR="08B8C220" w:rsidRPr="1E24F615">
        <w:rPr>
          <w:lang w:val="en-US"/>
        </w:rPr>
        <w:t>-23</w:t>
      </w:r>
      <w:r w:rsidRPr="1E24F615">
        <w:rPr>
          <w:lang w:val="en-US"/>
        </w:rPr>
        <w:t xml:space="preserve"> considered nearly 50 contributions and agreed on advice to the Director in </w:t>
      </w:r>
      <w:proofErr w:type="gramStart"/>
      <w:r w:rsidRPr="1E24F615">
        <w:rPr>
          <w:lang w:val="en-US"/>
        </w:rPr>
        <w:t>a number of</w:t>
      </w:r>
      <w:proofErr w:type="gramEnd"/>
      <w:r w:rsidRPr="1E24F615">
        <w:rPr>
          <w:lang w:val="en-US"/>
        </w:rPr>
        <w:t xml:space="preserve"> areas, including the following:</w:t>
      </w:r>
    </w:p>
    <w:p w14:paraId="1512174F" w14:textId="665914C5" w:rsidR="00EF598E" w:rsidRPr="009C2E05" w:rsidRDefault="00EF598E" w:rsidP="007F74D3">
      <w:pPr>
        <w:pStyle w:val="ListParagraph"/>
        <w:numPr>
          <w:ilvl w:val="0"/>
          <w:numId w:val="32"/>
        </w:numPr>
        <w:spacing w:before="60" w:after="60"/>
        <w:ind w:left="714" w:hanging="357"/>
        <w:contextualSpacing w:val="0"/>
        <w:rPr>
          <w:lang w:val="en-US"/>
        </w:rPr>
      </w:pPr>
      <w:r w:rsidRPr="009C2E05">
        <w:rPr>
          <w:lang w:val="en-US"/>
        </w:rPr>
        <w:t>Endorsed the ITU Telecommunication Development Sector (ITU-D) four-year rolling operational plan 2024–2027.</w:t>
      </w:r>
    </w:p>
    <w:p w14:paraId="25D9CA55" w14:textId="2B8B1A26" w:rsidR="00EF598E" w:rsidRPr="009C2E05" w:rsidRDefault="00EF598E" w:rsidP="007F74D3">
      <w:pPr>
        <w:pStyle w:val="ListParagraph"/>
        <w:numPr>
          <w:ilvl w:val="0"/>
          <w:numId w:val="32"/>
        </w:numPr>
        <w:spacing w:before="60" w:after="60"/>
        <w:ind w:left="714" w:hanging="357"/>
        <w:contextualSpacing w:val="0"/>
        <w:rPr>
          <w:lang w:val="en-US"/>
        </w:rPr>
      </w:pPr>
      <w:r w:rsidRPr="009C2E05">
        <w:rPr>
          <w:lang w:val="en-US"/>
        </w:rPr>
        <w:t>Approved the key performance indicators (KPIs) for the Kigali Action Plan (KAP) implementation framework.</w:t>
      </w:r>
    </w:p>
    <w:p w14:paraId="76470E9E" w14:textId="31AA0F5D" w:rsidR="00EF598E" w:rsidRPr="009C2E05" w:rsidRDefault="00EF598E" w:rsidP="007F74D3">
      <w:pPr>
        <w:pStyle w:val="ListParagraph"/>
        <w:numPr>
          <w:ilvl w:val="0"/>
          <w:numId w:val="32"/>
        </w:numPr>
        <w:spacing w:before="60" w:after="60"/>
        <w:ind w:left="714" w:hanging="357"/>
        <w:contextualSpacing w:val="0"/>
        <w:rPr>
          <w:lang w:val="en-US"/>
        </w:rPr>
      </w:pPr>
      <w:r w:rsidRPr="009C2E05">
        <w:rPr>
          <w:lang w:val="en-US"/>
        </w:rPr>
        <w:t>Agreed that the BDT would continue to prepare interactive dashboards to report on the progress in achieving the ITU-D priorities.</w:t>
      </w:r>
    </w:p>
    <w:p w14:paraId="2E6CFAE2" w14:textId="40512CFF" w:rsidR="00EF598E" w:rsidRPr="009C2E05" w:rsidRDefault="00EF598E" w:rsidP="007F74D3">
      <w:pPr>
        <w:pStyle w:val="ListParagraph"/>
        <w:numPr>
          <w:ilvl w:val="0"/>
          <w:numId w:val="32"/>
        </w:numPr>
        <w:spacing w:before="60" w:after="60"/>
        <w:ind w:left="714" w:hanging="357"/>
        <w:contextualSpacing w:val="0"/>
        <w:rPr>
          <w:lang w:val="en-US"/>
        </w:rPr>
      </w:pPr>
      <w:r w:rsidRPr="009C2E05">
        <w:rPr>
          <w:lang w:val="en-US"/>
        </w:rPr>
        <w:t>Approved a review of all relevant capacity-building activities under cybersecurity-related resolutions from WTDC-17 and WTDC-22 activities implemented and planned in this area up to WTDC-25 to be conducted by the BDT secretariat.</w:t>
      </w:r>
    </w:p>
    <w:p w14:paraId="568A2A56" w14:textId="66410837" w:rsidR="00EF598E" w:rsidRPr="009C2E05" w:rsidRDefault="00EF598E" w:rsidP="007F74D3">
      <w:pPr>
        <w:pStyle w:val="ListParagraph"/>
        <w:numPr>
          <w:ilvl w:val="0"/>
          <w:numId w:val="32"/>
        </w:numPr>
        <w:spacing w:before="60" w:after="60"/>
        <w:ind w:left="714" w:hanging="357"/>
        <w:contextualSpacing w:val="0"/>
        <w:rPr>
          <w:lang w:val="en-US"/>
        </w:rPr>
      </w:pPr>
      <w:r w:rsidRPr="009C2E05">
        <w:rPr>
          <w:lang w:val="en-US"/>
        </w:rPr>
        <w:t>Created and approved a TDAG Working Group to streamline WTDC Resolutions to be chaired by TDAG Vice Chair Andrea Mamprim Grippa with Vice Chairs to be determined.</w:t>
      </w:r>
    </w:p>
    <w:p w14:paraId="7AEAB4CA" w14:textId="152773F6" w:rsidR="00EF598E" w:rsidRPr="009C2E05" w:rsidRDefault="783F3DAB" w:rsidP="007F74D3">
      <w:pPr>
        <w:pStyle w:val="ListParagraph"/>
        <w:numPr>
          <w:ilvl w:val="0"/>
          <w:numId w:val="32"/>
        </w:numPr>
        <w:spacing w:before="60" w:after="60"/>
        <w:ind w:left="714" w:hanging="357"/>
        <w:contextualSpacing w:val="0"/>
        <w:rPr>
          <w:lang w:val="en-US"/>
        </w:rPr>
      </w:pPr>
      <w:r w:rsidRPr="1E24F615">
        <w:rPr>
          <w:lang w:val="en-US"/>
        </w:rPr>
        <w:t>Created a TDAG Working Group on the future ITU-D Questions to be chaired by Dr Ahmad Reza Sharafat from Iran with Vice Chairs to be determined and to begin work sometime after the next study group meetings to be held in October-November 2023.</w:t>
      </w:r>
    </w:p>
    <w:p w14:paraId="07F84B93" w14:textId="6D5F9022" w:rsidR="00EF598E" w:rsidRDefault="00EF598E" w:rsidP="007F74D3">
      <w:pPr>
        <w:spacing w:after="120"/>
        <w:rPr>
          <w:lang w:val="en-US"/>
        </w:rPr>
      </w:pPr>
      <w:r w:rsidRPr="009C2E05">
        <w:rPr>
          <w:lang w:val="en-US"/>
        </w:rPr>
        <w:t xml:space="preserve">The </w:t>
      </w:r>
      <w:r w:rsidR="00A80568" w:rsidRPr="009C2E05">
        <w:rPr>
          <w:lang w:val="en-US"/>
        </w:rPr>
        <w:t xml:space="preserve">full meeting </w:t>
      </w:r>
      <w:r w:rsidRPr="009C2E05">
        <w:rPr>
          <w:lang w:val="en-US"/>
        </w:rPr>
        <w:t xml:space="preserve">report of the meeting </w:t>
      </w:r>
      <w:r w:rsidR="00A80568" w:rsidRPr="009C2E05">
        <w:rPr>
          <w:lang w:val="en-US"/>
        </w:rPr>
        <w:t xml:space="preserve">in the six official languages of ITU, is available at this </w:t>
      </w:r>
      <w:hyperlink r:id="rId27" w:history="1">
        <w:r w:rsidR="00A80568" w:rsidRPr="009C2E05">
          <w:rPr>
            <w:rStyle w:val="Hyperlink"/>
            <w:lang w:val="en-US"/>
          </w:rPr>
          <w:t>link</w:t>
        </w:r>
      </w:hyperlink>
      <w:r w:rsidR="00A80568" w:rsidRPr="009C2E05">
        <w:rPr>
          <w:lang w:val="en-US"/>
        </w:rPr>
        <w:t xml:space="preserve">, </w:t>
      </w:r>
      <w:r w:rsidRPr="009C2E05">
        <w:rPr>
          <w:lang w:val="en-US"/>
        </w:rPr>
        <w:t xml:space="preserve">and highlights can be found </w:t>
      </w:r>
      <w:hyperlink r:id="rId28" w:history="1">
        <w:r w:rsidRPr="009C2E05">
          <w:rPr>
            <w:rStyle w:val="Hyperlink"/>
            <w:lang w:val="en-US"/>
          </w:rPr>
          <w:t>here</w:t>
        </w:r>
      </w:hyperlink>
      <w:r w:rsidRPr="009C2E05">
        <w:rPr>
          <w:lang w:val="en-US"/>
        </w:rPr>
        <w:t>.</w:t>
      </w:r>
    </w:p>
    <w:p w14:paraId="5211C703" w14:textId="449A58DB" w:rsidR="00F24339" w:rsidRPr="008B71BD" w:rsidRDefault="00EF598E" w:rsidP="007F74D3">
      <w:pPr>
        <w:pStyle w:val="Heading2"/>
        <w:keepNext w:val="0"/>
        <w:keepLines w:val="0"/>
        <w:spacing w:before="120" w:after="120"/>
        <w:rPr>
          <w:lang w:val="en-US"/>
        </w:rPr>
      </w:pPr>
      <w:bookmarkStart w:id="21" w:name="_Toc482300239"/>
      <w:bookmarkStart w:id="22" w:name="_Toc194477921"/>
      <w:r w:rsidRPr="008B71BD">
        <w:rPr>
          <w:lang w:val="en-US"/>
        </w:rPr>
        <w:t>31st</w:t>
      </w:r>
      <w:r w:rsidR="00F24339" w:rsidRPr="008B71BD">
        <w:rPr>
          <w:lang w:val="en-US"/>
        </w:rPr>
        <w:t xml:space="preserve"> TDAG Meeting</w:t>
      </w:r>
      <w:bookmarkEnd w:id="21"/>
      <w:bookmarkEnd w:id="22"/>
    </w:p>
    <w:p w14:paraId="03AF5FC1" w14:textId="45FCCEFC" w:rsidR="00271490" w:rsidRPr="00271490" w:rsidRDefault="00271490" w:rsidP="007F74D3">
      <w:pPr>
        <w:spacing w:after="120"/>
      </w:pPr>
      <w:r w:rsidRPr="00271490">
        <w:rPr>
          <w:noProof/>
        </w:rPr>
        <w:drawing>
          <wp:inline distT="0" distB="0" distL="0" distR="0" wp14:anchorId="18AEC45A" wp14:editId="771EE226">
            <wp:extent cx="6120765" cy="2476500"/>
            <wp:effectExtent l="0" t="0" r="0" b="0"/>
            <wp:docPr id="1474627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796" name="Picture 4" descr="A group of people posing for a phot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2476500"/>
                    </a:xfrm>
                    <a:prstGeom prst="rect">
                      <a:avLst/>
                    </a:prstGeom>
                    <a:noFill/>
                    <a:ln>
                      <a:noFill/>
                    </a:ln>
                  </pic:spPr>
                </pic:pic>
              </a:graphicData>
            </a:graphic>
          </wp:inline>
        </w:drawing>
      </w:r>
    </w:p>
    <w:p w14:paraId="7F88C9AA" w14:textId="7B41E742" w:rsidR="00260DFB" w:rsidRPr="007F74D3" w:rsidRDefault="00260DFB" w:rsidP="007F74D3">
      <w:pPr>
        <w:pStyle w:val="ListParagraph"/>
        <w:numPr>
          <w:ilvl w:val="0"/>
          <w:numId w:val="27"/>
        </w:numPr>
        <w:spacing w:after="120"/>
        <w:ind w:left="360"/>
        <w:contextualSpacing w:val="0"/>
        <w:rPr>
          <w:b/>
          <w:bCs/>
          <w:i/>
          <w:lang w:val="en-US"/>
        </w:rPr>
      </w:pPr>
      <w:r w:rsidRPr="007F74D3">
        <w:rPr>
          <w:b/>
          <w:bCs/>
          <w:i/>
          <w:lang w:val="en-US"/>
        </w:rPr>
        <w:t xml:space="preserve"> Overview</w:t>
      </w:r>
    </w:p>
    <w:p w14:paraId="5ADB5019" w14:textId="01D9B5C2" w:rsidR="00EF598E" w:rsidRPr="009C2E05" w:rsidRDefault="783F3DAB" w:rsidP="007F74D3">
      <w:pPr>
        <w:spacing w:after="120"/>
        <w:rPr>
          <w:lang w:val="en-US"/>
        </w:rPr>
      </w:pPr>
      <w:r w:rsidRPr="1E24F615">
        <w:rPr>
          <w:lang w:val="en-US"/>
        </w:rPr>
        <w:t xml:space="preserve">The 31st meeting of the Telecommunication Development </w:t>
      </w:r>
      <w:proofErr w:type="spellStart"/>
      <w:r w:rsidRPr="1E24F615">
        <w:rPr>
          <w:lang w:val="en-US"/>
        </w:rPr>
        <w:t>Adviso</w:t>
      </w:r>
      <w:proofErr w:type="spellEnd"/>
      <w:r w:rsidRPr="1E24F615">
        <w:rPr>
          <w:lang w:val="en-US"/>
        </w:rPr>
        <w:t>​</w:t>
      </w:r>
      <w:proofErr w:type="spellStart"/>
      <w:r w:rsidRPr="1E24F615">
        <w:rPr>
          <w:lang w:val="en-US"/>
        </w:rPr>
        <w:t>ry</w:t>
      </w:r>
      <w:proofErr w:type="spellEnd"/>
      <w:r w:rsidRPr="1E24F615">
        <w:rPr>
          <w:lang w:val="en-US"/>
        </w:rPr>
        <w:t xml:space="preserve"> Group (TDAG</w:t>
      </w:r>
      <w:r w:rsidR="280AE819" w:rsidRPr="1E24F615">
        <w:rPr>
          <w:lang w:val="en-US"/>
        </w:rPr>
        <w:t>-24</w:t>
      </w:r>
      <w:r w:rsidRPr="1E24F615">
        <w:rPr>
          <w:lang w:val="en-US"/>
        </w:rPr>
        <w:t xml:space="preserve">) was held physically in Geneva, at the ITU Headquarters, from 20 to 23 May 2024.​ During this TDAG meeting, membership was able to assess, through the various documents and reports </w:t>
      </w:r>
      <w:r w:rsidRPr="1E24F615">
        <w:rPr>
          <w:rFonts w:cstheme="minorBidi"/>
          <w:color w:val="444444"/>
          <w:lang w:val="en-US"/>
        </w:rPr>
        <w:t>submitted</w:t>
      </w:r>
      <w:r w:rsidRPr="1E24F615">
        <w:rPr>
          <w:lang w:val="en-US"/>
        </w:rPr>
        <w:t xml:space="preserve"> by the Secretariat, the alignment of the implementation of the Kigali Action Plan (KAP) with the Union's Strategic Plan. Reports were presented to TDAG</w:t>
      </w:r>
      <w:r w:rsidR="142C76ED" w:rsidRPr="1E24F615">
        <w:rPr>
          <w:lang w:val="en-US"/>
        </w:rPr>
        <w:t>-24</w:t>
      </w:r>
      <w:r w:rsidRPr="1E24F615">
        <w:rPr>
          <w:lang w:val="en-US"/>
        </w:rPr>
        <w:t xml:space="preserve"> on the progress made at the various Regional Development Forums held since its last meeting as well as the many initiatives launched, and partnerships signed. TDAG-24 also discussed and decided on preparations for WTDC-25.</w:t>
      </w:r>
      <w:r w:rsidR="00EE1B67">
        <w:rPr>
          <w:lang w:val="en-US"/>
        </w:rPr>
        <w:t xml:space="preserve"> </w:t>
      </w:r>
    </w:p>
    <w:p w14:paraId="571D5680" w14:textId="5C96EBAE" w:rsidR="00EF598E" w:rsidRPr="009C2E05" w:rsidRDefault="783F3DAB" w:rsidP="007F74D3">
      <w:pPr>
        <w:spacing w:after="120"/>
        <w:rPr>
          <w:lang w:val="en-US"/>
        </w:rPr>
      </w:pPr>
      <w:r w:rsidRPr="1E24F615">
        <w:rPr>
          <w:lang w:val="en-US"/>
        </w:rPr>
        <w:t>Following the creation of two TDAG Working Groups on</w:t>
      </w:r>
      <w:r w:rsidR="580C1812" w:rsidRPr="1E24F615">
        <w:rPr>
          <w:lang w:val="en-US"/>
        </w:rPr>
        <w:t>:</w:t>
      </w:r>
      <w:r w:rsidRPr="1E24F615">
        <w:rPr>
          <w:lang w:val="en-US"/>
        </w:rPr>
        <w:t xml:space="preserve"> Streamlining Resolutions (TDAG-WG-SR) and on the future of Study Group Questions (TDAG-WG-</w:t>
      </w:r>
      <w:proofErr w:type="spellStart"/>
      <w:r w:rsidRPr="1E24F615">
        <w:rPr>
          <w:lang w:val="en-US"/>
        </w:rPr>
        <w:t>futureSGQ</w:t>
      </w:r>
      <w:proofErr w:type="spellEnd"/>
      <w:r w:rsidRPr="1E24F615">
        <w:rPr>
          <w:lang w:val="en-US"/>
        </w:rPr>
        <w:t xml:space="preserve">) during the 30th meeting of </w:t>
      </w:r>
      <w:r w:rsidRPr="1E24F615">
        <w:rPr>
          <w:lang w:val="en-US"/>
        </w:rPr>
        <w:lastRenderedPageBreak/>
        <w:t>TDAG</w:t>
      </w:r>
      <w:r w:rsidR="38F9578C" w:rsidRPr="1E24F615">
        <w:rPr>
          <w:lang w:val="en-US"/>
        </w:rPr>
        <w:t xml:space="preserve"> (TDAG-23)</w:t>
      </w:r>
      <w:r w:rsidRPr="1E24F615">
        <w:rPr>
          <w:lang w:val="en-US"/>
        </w:rPr>
        <w:t>, held in Geneva, from 19 to 23 June 2023, the chairs of these groups reported on the progress related to their work.</w:t>
      </w:r>
    </w:p>
    <w:p w14:paraId="10785E21" w14:textId="3A882AC3" w:rsidR="00F24339" w:rsidRPr="007F74D3" w:rsidRDefault="00F24339" w:rsidP="007F74D3">
      <w:pPr>
        <w:pStyle w:val="ListParagraph"/>
        <w:numPr>
          <w:ilvl w:val="0"/>
          <w:numId w:val="27"/>
        </w:numPr>
        <w:spacing w:after="120"/>
        <w:ind w:left="360"/>
        <w:contextualSpacing w:val="0"/>
        <w:rPr>
          <w:b/>
          <w:bCs/>
          <w:i/>
          <w:lang w:val="en-US"/>
        </w:rPr>
      </w:pPr>
      <w:r w:rsidRPr="007F74D3">
        <w:rPr>
          <w:b/>
          <w:bCs/>
          <w:i/>
          <w:lang w:val="en-US"/>
        </w:rPr>
        <w:t>Participants</w:t>
      </w:r>
    </w:p>
    <w:p w14:paraId="74BFDC18" w14:textId="77777777" w:rsidR="00F24339" w:rsidRPr="009C2E05" w:rsidRDefault="00F24339" w:rsidP="007F74D3">
      <w:pPr>
        <w:spacing w:after="120"/>
        <w:rPr>
          <w:lang w:val="en-US"/>
        </w:rPr>
      </w:pPr>
      <w:r w:rsidRPr="009C2E05">
        <w:rPr>
          <w:lang w:val="en-US"/>
        </w:rPr>
        <w:t>The following chart provides the breakdown of participants by category:</w:t>
      </w:r>
    </w:p>
    <w:p w14:paraId="08059A79" w14:textId="77777777" w:rsidR="007F74D3" w:rsidRDefault="00D25438" w:rsidP="007F74D3">
      <w:pPr>
        <w:spacing w:after="120"/>
        <w:rPr>
          <w:lang w:val="en-US"/>
        </w:rPr>
      </w:pPr>
      <w:r w:rsidRPr="009C2E05">
        <w:rPr>
          <w:noProof/>
          <w:lang w:val="en-US"/>
        </w:rPr>
        <w:drawing>
          <wp:inline distT="0" distB="0" distL="0" distR="0" wp14:anchorId="4FBDEE3A" wp14:editId="28A015C4">
            <wp:extent cx="6420485" cy="2652764"/>
            <wp:effectExtent l="0" t="0" r="0" b="0"/>
            <wp:docPr id="698537253" name="Picture 2"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7253" name="Picture 2" descr="A blue circle with black text&#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l="910" t="3661" r="1270" b="1413"/>
                    <a:stretch/>
                  </pic:blipFill>
                  <pic:spPr bwMode="auto">
                    <a:xfrm>
                      <a:off x="0" y="0"/>
                      <a:ext cx="6420828" cy="2652906"/>
                    </a:xfrm>
                    <a:prstGeom prst="rect">
                      <a:avLst/>
                    </a:prstGeom>
                    <a:noFill/>
                    <a:ln>
                      <a:noFill/>
                    </a:ln>
                    <a:extLst>
                      <a:ext uri="{53640926-AAD7-44D8-BBD7-CCE9431645EC}">
                        <a14:shadowObscured xmlns:a14="http://schemas.microsoft.com/office/drawing/2010/main"/>
                      </a:ext>
                    </a:extLst>
                  </pic:spPr>
                </pic:pic>
              </a:graphicData>
            </a:graphic>
          </wp:inline>
        </w:drawing>
      </w:r>
    </w:p>
    <w:p w14:paraId="69C84304" w14:textId="77777777" w:rsidR="007F74D3" w:rsidRDefault="007F74D3" w:rsidP="007F74D3">
      <w:pPr>
        <w:spacing w:after="120"/>
        <w:rPr>
          <w:lang w:val="en-US"/>
        </w:rPr>
      </w:pPr>
    </w:p>
    <w:p w14:paraId="5B7AFC09" w14:textId="3460346F" w:rsidR="00F24339" w:rsidRPr="009C2E05" w:rsidRDefault="00F24339" w:rsidP="007F74D3">
      <w:pPr>
        <w:spacing w:after="120"/>
        <w:rPr>
          <w:lang w:val="en-US"/>
        </w:rPr>
      </w:pPr>
      <w:r w:rsidRPr="009C2E05">
        <w:rPr>
          <w:lang w:val="en-US"/>
        </w:rPr>
        <w:t>The following chart provides the breakdown of participants by region:</w:t>
      </w:r>
    </w:p>
    <w:p w14:paraId="3DA83718" w14:textId="2EA38DED" w:rsidR="4DF1EC21" w:rsidRPr="009C2E05" w:rsidRDefault="4DF1EC21" w:rsidP="007F74D3">
      <w:pPr>
        <w:spacing w:after="120"/>
        <w:rPr>
          <w:lang w:val="en-US"/>
        </w:rPr>
      </w:pPr>
      <w:r w:rsidRPr="009C2E05">
        <w:rPr>
          <w:noProof/>
          <w:lang w:val="en-US"/>
        </w:rPr>
        <w:drawing>
          <wp:inline distT="0" distB="0" distL="0" distR="0" wp14:anchorId="1E5660AC" wp14:editId="1B1F9A01">
            <wp:extent cx="5979381" cy="2506004"/>
            <wp:effectExtent l="0" t="0" r="2540" b="8890"/>
            <wp:docPr id="1023699281" name="Picture 102369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468" t="3933" r="2715" b="3487"/>
                    <a:stretch/>
                  </pic:blipFill>
                  <pic:spPr bwMode="auto">
                    <a:xfrm>
                      <a:off x="0" y="0"/>
                      <a:ext cx="6000129" cy="2514699"/>
                    </a:xfrm>
                    <a:prstGeom prst="rect">
                      <a:avLst/>
                    </a:prstGeom>
                    <a:ln>
                      <a:noFill/>
                    </a:ln>
                    <a:extLst>
                      <a:ext uri="{53640926-AAD7-44D8-BBD7-CCE9431645EC}">
                        <a14:shadowObscured xmlns:a14="http://schemas.microsoft.com/office/drawing/2010/main"/>
                      </a:ext>
                    </a:extLst>
                  </pic:spPr>
                </pic:pic>
              </a:graphicData>
            </a:graphic>
          </wp:inline>
        </w:drawing>
      </w:r>
    </w:p>
    <w:p w14:paraId="3CCFF404" w14:textId="641C9203" w:rsidR="6EB85459" w:rsidRPr="009C2E05" w:rsidRDefault="00F24339" w:rsidP="007F74D3">
      <w:pPr>
        <w:keepNext/>
        <w:spacing w:after="120"/>
        <w:rPr>
          <w:highlight w:val="yellow"/>
          <w:lang w:val="en-US"/>
        </w:rPr>
      </w:pPr>
      <w:r w:rsidRPr="009C2E05">
        <w:rPr>
          <w:lang w:val="en-US"/>
        </w:rPr>
        <w:lastRenderedPageBreak/>
        <w:t>The following chart provides the breakdown of participants by gender:</w:t>
      </w:r>
    </w:p>
    <w:p w14:paraId="456AC405" w14:textId="6A359250" w:rsidR="2C58F318" w:rsidRPr="009C2E05" w:rsidRDefault="00C246B1" w:rsidP="007F74D3">
      <w:pPr>
        <w:spacing w:after="120"/>
        <w:rPr>
          <w:lang w:val="en-US"/>
        </w:rPr>
      </w:pPr>
      <w:r w:rsidRPr="009C2E05">
        <w:rPr>
          <w:noProof/>
          <w:lang w:val="en-US"/>
        </w:rPr>
        <w:drawing>
          <wp:inline distT="0" distB="0" distL="0" distR="0" wp14:anchorId="61468407" wp14:editId="59AF2E02">
            <wp:extent cx="5783283" cy="2627843"/>
            <wp:effectExtent l="0" t="0" r="8255" b="1270"/>
            <wp:docPr id="1318722676"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22676" name="Picture 1" descr="A yellow circle with black text&#10;&#10;AI-generated content may be incorrect."/>
                    <pic:cNvPicPr/>
                  </pic:nvPicPr>
                  <pic:blipFill rotWithShape="1">
                    <a:blip r:embed="rId32"/>
                    <a:srcRect t="2236"/>
                    <a:stretch/>
                  </pic:blipFill>
                  <pic:spPr bwMode="auto">
                    <a:xfrm>
                      <a:off x="0" y="0"/>
                      <a:ext cx="5791898" cy="2631757"/>
                    </a:xfrm>
                    <a:prstGeom prst="rect">
                      <a:avLst/>
                    </a:prstGeom>
                    <a:ln>
                      <a:noFill/>
                    </a:ln>
                    <a:extLst>
                      <a:ext uri="{53640926-AAD7-44D8-BBD7-CCE9431645EC}">
                        <a14:shadowObscured xmlns:a14="http://schemas.microsoft.com/office/drawing/2010/main"/>
                      </a:ext>
                    </a:extLst>
                  </pic:spPr>
                </pic:pic>
              </a:graphicData>
            </a:graphic>
          </wp:inline>
        </w:drawing>
      </w:r>
    </w:p>
    <w:p w14:paraId="052D254C" w14:textId="0A9B66ED" w:rsidR="00F24339" w:rsidRPr="009C2E05" w:rsidRDefault="00F24339" w:rsidP="007F74D3">
      <w:pPr>
        <w:spacing w:after="120"/>
        <w:rPr>
          <w:rFonts w:ascii="Calibri" w:hAnsi="Calibri"/>
          <w:highlight w:val="yellow"/>
          <w:lang w:val="en-US"/>
        </w:rPr>
      </w:pPr>
    </w:p>
    <w:p w14:paraId="2FFC895C" w14:textId="77777777" w:rsidR="00F24339" w:rsidRPr="007F74D3" w:rsidRDefault="00F24339" w:rsidP="007F74D3">
      <w:pPr>
        <w:pStyle w:val="ListParagraph"/>
        <w:numPr>
          <w:ilvl w:val="0"/>
          <w:numId w:val="27"/>
        </w:numPr>
        <w:spacing w:after="120"/>
        <w:ind w:left="360"/>
        <w:contextualSpacing w:val="0"/>
        <w:rPr>
          <w:b/>
          <w:bCs/>
          <w:i/>
          <w:lang w:val="en-US"/>
        </w:rPr>
      </w:pPr>
      <w:r w:rsidRPr="007F74D3">
        <w:rPr>
          <w:b/>
          <w:bCs/>
          <w:i/>
          <w:lang w:val="en-US"/>
        </w:rPr>
        <w:t>Documents</w:t>
      </w:r>
    </w:p>
    <w:p w14:paraId="062E6378" w14:textId="77777777" w:rsidR="00F24339" w:rsidRPr="009C2E05" w:rsidRDefault="00F24339" w:rsidP="007F74D3">
      <w:pPr>
        <w:spacing w:after="120"/>
        <w:rPr>
          <w:lang w:val="en-US"/>
        </w:rPr>
      </w:pPr>
      <w:r w:rsidRPr="009C2E05">
        <w:rPr>
          <w:lang w:val="en-US"/>
        </w:rPr>
        <w:t>The following chart provides the number of documents broken down by category of documents:</w:t>
      </w:r>
    </w:p>
    <w:p w14:paraId="3CAAAC4A" w14:textId="5B19393D" w:rsidR="00F24339" w:rsidRPr="009C2E05" w:rsidRDefault="005F227B" w:rsidP="007F74D3">
      <w:pPr>
        <w:spacing w:after="120"/>
        <w:rPr>
          <w:highlight w:val="yellow"/>
          <w:lang w:val="en-US"/>
        </w:rPr>
      </w:pPr>
      <w:r w:rsidRPr="009C2E05">
        <w:rPr>
          <w:noProof/>
          <w:lang w:val="en-US"/>
        </w:rPr>
        <w:drawing>
          <wp:inline distT="0" distB="0" distL="0" distR="0" wp14:anchorId="0E7944F0" wp14:editId="33D4E6A2">
            <wp:extent cx="6120765" cy="2893695"/>
            <wp:effectExtent l="0" t="0" r="0" b="1905"/>
            <wp:docPr id="791173533" name="Picture 1" descr="A blue pie 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73533" name="Picture 1" descr="A blue pie chart with white text&#10;&#10;AI-generated content may be incorrect."/>
                    <pic:cNvPicPr/>
                  </pic:nvPicPr>
                  <pic:blipFill>
                    <a:blip r:embed="rId33"/>
                    <a:stretch>
                      <a:fillRect/>
                    </a:stretch>
                  </pic:blipFill>
                  <pic:spPr>
                    <a:xfrm>
                      <a:off x="0" y="0"/>
                      <a:ext cx="6120765" cy="2893695"/>
                    </a:xfrm>
                    <a:prstGeom prst="rect">
                      <a:avLst/>
                    </a:prstGeom>
                  </pic:spPr>
                </pic:pic>
              </a:graphicData>
            </a:graphic>
          </wp:inline>
        </w:drawing>
      </w:r>
    </w:p>
    <w:p w14:paraId="7AA06779" w14:textId="1FF9CA5F" w:rsidR="00F24339" w:rsidRPr="007F74D3" w:rsidRDefault="00A80568" w:rsidP="007F74D3">
      <w:pPr>
        <w:pStyle w:val="ListParagraph"/>
        <w:numPr>
          <w:ilvl w:val="0"/>
          <w:numId w:val="27"/>
        </w:numPr>
        <w:spacing w:after="120"/>
        <w:ind w:left="360"/>
        <w:contextualSpacing w:val="0"/>
        <w:rPr>
          <w:b/>
          <w:bCs/>
          <w:i/>
          <w:lang w:val="en-US"/>
        </w:rPr>
      </w:pPr>
      <w:r w:rsidRPr="007F74D3">
        <w:rPr>
          <w:b/>
          <w:bCs/>
          <w:i/>
          <w:lang w:val="en-US"/>
        </w:rPr>
        <w:t>31st</w:t>
      </w:r>
      <w:r w:rsidR="00F24339" w:rsidRPr="007F74D3">
        <w:rPr>
          <w:b/>
          <w:bCs/>
          <w:i/>
          <w:lang w:val="en-US"/>
        </w:rPr>
        <w:t xml:space="preserve"> TDAG Meeting Outcomes</w:t>
      </w:r>
    </w:p>
    <w:p w14:paraId="4547D89E" w14:textId="2C4ABABF" w:rsidR="00A80568" w:rsidRPr="009C2E05" w:rsidRDefault="7DECDB08" w:rsidP="007F74D3">
      <w:pPr>
        <w:spacing w:after="120"/>
        <w:rPr>
          <w:lang w:val="en-US"/>
        </w:rPr>
      </w:pPr>
      <w:r w:rsidRPr="1E24F615">
        <w:rPr>
          <w:lang w:val="en-US"/>
        </w:rPr>
        <w:t>TDAG</w:t>
      </w:r>
      <w:r w:rsidR="280AE819" w:rsidRPr="1E24F615">
        <w:rPr>
          <w:lang w:val="en-US"/>
        </w:rPr>
        <w:t>-24</w:t>
      </w:r>
      <w:r w:rsidRPr="1E24F615">
        <w:rPr>
          <w:lang w:val="en-US"/>
        </w:rPr>
        <w:t xml:space="preserve"> discussed various facets of digital transformation, strategic planning, and inclusivity within the ITU-D framework, and reflected on the following key categories of achievements by the BDT:</w:t>
      </w:r>
    </w:p>
    <w:p w14:paraId="704E1125" w14:textId="03CD84A1"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t>Significant progress in implementing the Kigali Action Plan, which aims to enhance digital connectivity and bridge the digital divide.</w:t>
      </w:r>
    </w:p>
    <w:p w14:paraId="7DF499EB" w14:textId="0C41A1C2"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t>Advancements in digital connectivity projects providing improved access to digital services in underserved and remote regions.</w:t>
      </w:r>
    </w:p>
    <w:p w14:paraId="2BC1D8B7" w14:textId="0907E04A"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t>Resource mobilization as mentioned above to support important digital transformation initiatives which involved securing funding and forming strategic partnerships with member states, private sector entities, and international organizations.</w:t>
      </w:r>
    </w:p>
    <w:p w14:paraId="46A3A033" w14:textId="0FC8F96F"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lastRenderedPageBreak/>
        <w:t>Ramped up efforts in capacity building and digital skills training for stakeholders in different regions.</w:t>
      </w:r>
    </w:p>
    <w:p w14:paraId="0E459574" w14:textId="61C69257"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t>Innovative Solutions and Partnerships to develop and implement cutting-edge solutions that address the challenges of digital transformation.</w:t>
      </w:r>
    </w:p>
    <w:p w14:paraId="1E833D36" w14:textId="77A3DDF0" w:rsidR="00A80568" w:rsidRPr="009C2E05" w:rsidRDefault="00A80568" w:rsidP="007F74D3">
      <w:pPr>
        <w:pStyle w:val="ListParagraph"/>
        <w:numPr>
          <w:ilvl w:val="0"/>
          <w:numId w:val="33"/>
        </w:numPr>
        <w:spacing w:before="60" w:after="60"/>
        <w:ind w:left="714" w:hanging="357"/>
        <w:contextualSpacing w:val="0"/>
        <w:rPr>
          <w:lang w:val="en-US"/>
        </w:rPr>
      </w:pPr>
      <w:r w:rsidRPr="009C2E05">
        <w:rPr>
          <w:lang w:val="en-US"/>
        </w:rPr>
        <w:t>Impactful Initiatives, demonstrating tangible benefits in the regions, including projects related to e-waste management, early warning systems, and broadband infrastructure mapping.</w:t>
      </w:r>
    </w:p>
    <w:p w14:paraId="5953D875" w14:textId="6C5DF0B6" w:rsidR="00A80568" w:rsidRPr="009C2E05" w:rsidRDefault="00A80568" w:rsidP="007F74D3">
      <w:pPr>
        <w:spacing w:after="120"/>
        <w:rPr>
          <w:lang w:val="en-US"/>
        </w:rPr>
      </w:pPr>
      <w:r w:rsidRPr="009C2E05">
        <w:rPr>
          <w:lang w:val="en-US"/>
        </w:rPr>
        <w:t>Other outcomes included:</w:t>
      </w:r>
    </w:p>
    <w:p w14:paraId="412B1F98" w14:textId="4621A1B3" w:rsidR="00F7033D" w:rsidRPr="009C2E05" w:rsidRDefault="7DECDB08" w:rsidP="007F74D3">
      <w:pPr>
        <w:pStyle w:val="ListParagraph"/>
        <w:numPr>
          <w:ilvl w:val="0"/>
          <w:numId w:val="34"/>
        </w:numPr>
        <w:spacing w:before="60" w:after="60"/>
        <w:ind w:hanging="357"/>
        <w:contextualSpacing w:val="0"/>
        <w:rPr>
          <w:lang w:val="en-US"/>
        </w:rPr>
      </w:pPr>
      <w:r w:rsidRPr="1E24F615">
        <w:rPr>
          <w:lang w:val="en-US"/>
        </w:rPr>
        <w:t>TDAG</w:t>
      </w:r>
      <w:r w:rsidR="280AE819" w:rsidRPr="1E24F615">
        <w:rPr>
          <w:lang w:val="en-US"/>
        </w:rPr>
        <w:t>-24</w:t>
      </w:r>
      <w:r w:rsidRPr="1E24F615">
        <w:rPr>
          <w:lang w:val="en-US"/>
        </w:rPr>
        <w:t xml:space="preserve"> endorsed a draft agenda for WTDC-25, appointed </w:t>
      </w:r>
      <w:proofErr w:type="spellStart"/>
      <w:r w:rsidR="008B71BD">
        <w:rPr>
          <w:lang w:val="en-US"/>
        </w:rPr>
        <w:t>Ms</w:t>
      </w:r>
      <w:proofErr w:type="spellEnd"/>
      <w:r w:rsidR="008B71BD">
        <w:rPr>
          <w:lang w:val="en-US"/>
        </w:rPr>
        <w:t xml:space="preserve"> </w:t>
      </w:r>
      <w:r w:rsidRPr="1E24F615">
        <w:rPr>
          <w:lang w:val="en-US"/>
        </w:rPr>
        <w:t xml:space="preserve">Blanca Gonzalez (Spain) and </w:t>
      </w:r>
      <w:proofErr w:type="spellStart"/>
      <w:r w:rsidR="008B71BD">
        <w:rPr>
          <w:lang w:val="en-US"/>
        </w:rPr>
        <w:t>Ms</w:t>
      </w:r>
      <w:proofErr w:type="spellEnd"/>
      <w:r w:rsidR="008B71BD">
        <w:rPr>
          <w:lang w:val="en-US"/>
        </w:rPr>
        <w:t xml:space="preserve"> </w:t>
      </w:r>
      <w:r w:rsidRPr="1E24F615">
        <w:rPr>
          <w:lang w:val="en-US"/>
        </w:rPr>
        <w:t xml:space="preserve">Shahad </w:t>
      </w:r>
      <w:proofErr w:type="spellStart"/>
      <w:r w:rsidRPr="1E24F615">
        <w:rPr>
          <w:lang w:val="en-US"/>
        </w:rPr>
        <w:t>Albalawi</w:t>
      </w:r>
      <w:proofErr w:type="spellEnd"/>
      <w:r w:rsidRPr="1E24F615">
        <w:rPr>
          <w:lang w:val="en-US"/>
        </w:rPr>
        <w:t xml:space="preserve"> (Saudi Arabia) as ITU-D representatives to the Inter-Sector Coordination Group (ISCG) on the topic of digital transformation, approved two reply liaison statements -- one to the ITU Council on the criteria for establishing future ITU area and regional offices, and the other to the Telecommunication Standardization Advisory Group (TSAG) confirming Digital Transformation as an integral part of the ITU-D mandate established by WTDC-22</w:t>
      </w:r>
      <w:r w:rsidR="4FEA149F" w:rsidRPr="1E24F615">
        <w:rPr>
          <w:lang w:val="en-US"/>
        </w:rPr>
        <w:t>.</w:t>
      </w:r>
    </w:p>
    <w:p w14:paraId="7FD5B8B8" w14:textId="3CA2A18E" w:rsidR="00A80568" w:rsidRPr="009C2E05" w:rsidRDefault="4FEA149F" w:rsidP="007F74D3">
      <w:pPr>
        <w:pStyle w:val="ListParagraph"/>
        <w:numPr>
          <w:ilvl w:val="0"/>
          <w:numId w:val="34"/>
        </w:numPr>
        <w:spacing w:before="60" w:after="60"/>
        <w:ind w:hanging="357"/>
        <w:contextualSpacing w:val="0"/>
        <w:rPr>
          <w:lang w:val="en-US"/>
        </w:rPr>
      </w:pPr>
      <w:r w:rsidRPr="1E24F615">
        <w:rPr>
          <w:lang w:val="en-US"/>
        </w:rPr>
        <w:t>TDAG</w:t>
      </w:r>
      <w:r w:rsidR="280AE819" w:rsidRPr="1E24F615">
        <w:rPr>
          <w:lang w:val="en-US"/>
        </w:rPr>
        <w:t>-24</w:t>
      </w:r>
      <w:r w:rsidRPr="1E24F615">
        <w:rPr>
          <w:lang w:val="en-US"/>
        </w:rPr>
        <w:t xml:space="preserve"> c</w:t>
      </w:r>
      <w:r w:rsidR="7DECDB08" w:rsidRPr="1E24F615">
        <w:rPr>
          <w:lang w:val="en-US"/>
        </w:rPr>
        <w:t xml:space="preserve">reated three additional groups to </w:t>
      </w:r>
      <w:r w:rsidRPr="1E24F615">
        <w:rPr>
          <w:lang w:val="en-US"/>
        </w:rPr>
        <w:t>augment those created at TDAG</w:t>
      </w:r>
      <w:r w:rsidR="280AE819" w:rsidRPr="1E24F615">
        <w:rPr>
          <w:lang w:val="en-US"/>
        </w:rPr>
        <w:t>-23</w:t>
      </w:r>
      <w:r w:rsidRPr="1E24F615">
        <w:rPr>
          <w:lang w:val="en-US"/>
        </w:rPr>
        <w:t xml:space="preserve"> (TDAG-WG-</w:t>
      </w:r>
      <w:proofErr w:type="spellStart"/>
      <w:r w:rsidRPr="1E24F615">
        <w:rPr>
          <w:lang w:val="en-US"/>
        </w:rPr>
        <w:t>futureSGQ</w:t>
      </w:r>
      <w:proofErr w:type="spellEnd"/>
      <w:r w:rsidRPr="1E24F615">
        <w:rPr>
          <w:lang w:val="en-US"/>
        </w:rPr>
        <w:t xml:space="preserve"> and TDAG-WG-SR) to </w:t>
      </w:r>
      <w:r w:rsidR="7DECDB08" w:rsidRPr="1E24F615">
        <w:rPr>
          <w:lang w:val="en-US"/>
        </w:rPr>
        <w:t>prepare for the 2025 World Telecommunication Development Conference (WTDC-25):</w:t>
      </w:r>
    </w:p>
    <w:p w14:paraId="1C4AA1F4" w14:textId="423167C6" w:rsidR="00A80568" w:rsidRPr="009C2E05" w:rsidRDefault="00A80568" w:rsidP="007F74D3">
      <w:pPr>
        <w:pStyle w:val="ListParagraph"/>
        <w:numPr>
          <w:ilvl w:val="1"/>
          <w:numId w:val="14"/>
        </w:numPr>
        <w:spacing w:before="60" w:after="60"/>
        <w:ind w:hanging="357"/>
        <w:contextualSpacing w:val="0"/>
        <w:rPr>
          <w:lang w:val="en-US"/>
        </w:rPr>
      </w:pPr>
      <w:r w:rsidRPr="009C2E05">
        <w:rPr>
          <w:lang w:val="en-US"/>
        </w:rPr>
        <w:t xml:space="preserve">TDAG Working Group on ITU-D Priorities (TDAG-WG-ITUDP) led by TDAG Vice Chair </w:t>
      </w:r>
      <w:proofErr w:type="spellStart"/>
      <w:r w:rsidRPr="009C2E05">
        <w:rPr>
          <w:lang w:val="en-US"/>
        </w:rPr>
        <w:t>Mr</w:t>
      </w:r>
      <w:proofErr w:type="spellEnd"/>
      <w:r w:rsidRPr="009C2E05">
        <w:rPr>
          <w:lang w:val="en-US"/>
        </w:rPr>
        <w:t xml:space="preserve"> Christopher Kemei (Kenya) with assistance from TDAG Vice Chairs Blanca Gonzalez (Spain) and Dr Ahmad Sharafat (Iran</w:t>
      </w:r>
      <w:proofErr w:type="gramStart"/>
      <w:r w:rsidRPr="009C2E05">
        <w:rPr>
          <w:lang w:val="en-US"/>
        </w:rPr>
        <w:t>);</w:t>
      </w:r>
      <w:proofErr w:type="gramEnd"/>
    </w:p>
    <w:p w14:paraId="3BDD5E0D" w14:textId="7C66ECDE" w:rsidR="00A80568" w:rsidRPr="009C2E05" w:rsidRDefault="00A80568" w:rsidP="007F74D3">
      <w:pPr>
        <w:pStyle w:val="ListParagraph"/>
        <w:numPr>
          <w:ilvl w:val="1"/>
          <w:numId w:val="14"/>
        </w:numPr>
        <w:spacing w:before="60" w:after="60"/>
        <w:ind w:hanging="357"/>
        <w:contextualSpacing w:val="0"/>
        <w:rPr>
          <w:lang w:val="en-US"/>
        </w:rPr>
      </w:pPr>
      <w:r w:rsidRPr="009C2E05">
        <w:rPr>
          <w:lang w:val="en-US"/>
        </w:rPr>
        <w:t xml:space="preserve">TDAG Working Group on the WTDC Declaration (TDAG-WG-DEC) led by TDAG Vice Chair </w:t>
      </w:r>
      <w:proofErr w:type="spellStart"/>
      <w:r w:rsidRPr="009C2E05">
        <w:rPr>
          <w:lang w:val="en-US"/>
        </w:rPr>
        <w:t>Mr</w:t>
      </w:r>
      <w:proofErr w:type="spellEnd"/>
      <w:r w:rsidRPr="009C2E05">
        <w:rPr>
          <w:lang w:val="en-US"/>
        </w:rPr>
        <w:t xml:space="preserve"> Abdulkarim Oloyede (Nigeria); and the</w:t>
      </w:r>
    </w:p>
    <w:p w14:paraId="019E3749" w14:textId="13CC1E61" w:rsidR="00A80568" w:rsidRPr="009C2E05" w:rsidRDefault="00A80568" w:rsidP="007F74D3">
      <w:pPr>
        <w:pStyle w:val="ListParagraph"/>
        <w:numPr>
          <w:ilvl w:val="1"/>
          <w:numId w:val="14"/>
        </w:numPr>
        <w:spacing w:before="60" w:after="60"/>
        <w:ind w:hanging="357"/>
        <w:contextualSpacing w:val="0"/>
        <w:rPr>
          <w:lang w:val="en-US"/>
        </w:rPr>
      </w:pPr>
      <w:r w:rsidRPr="009C2E05">
        <w:rPr>
          <w:lang w:val="en-US"/>
        </w:rPr>
        <w:t xml:space="preserve">TDAG Informal Coordination Group on the Global Youth Summit (TDAG-ICG-GYS) coordinated by TDAG Vice Chairs </w:t>
      </w:r>
      <w:proofErr w:type="spellStart"/>
      <w:r w:rsidR="008B71BD">
        <w:rPr>
          <w:lang w:val="en-US"/>
        </w:rPr>
        <w:t>Ms</w:t>
      </w:r>
      <w:proofErr w:type="spellEnd"/>
      <w:r w:rsidR="008B71BD">
        <w:rPr>
          <w:lang w:val="en-US"/>
        </w:rPr>
        <w:t xml:space="preserve"> </w:t>
      </w:r>
      <w:r w:rsidRPr="009C2E05">
        <w:rPr>
          <w:lang w:val="en-US"/>
        </w:rPr>
        <w:t xml:space="preserve">Agustina BRIZIO (Argentina), Ms. Ke WANG (China), </w:t>
      </w:r>
      <w:proofErr w:type="spellStart"/>
      <w:r w:rsidR="008B71BD">
        <w:rPr>
          <w:lang w:val="en-US"/>
        </w:rPr>
        <w:t>Mr</w:t>
      </w:r>
      <w:proofErr w:type="spellEnd"/>
      <w:r w:rsidR="008B71BD">
        <w:rPr>
          <w:lang w:val="en-US"/>
        </w:rPr>
        <w:t xml:space="preserve"> </w:t>
      </w:r>
      <w:r w:rsidRPr="009C2E05">
        <w:rPr>
          <w:lang w:val="en-US"/>
        </w:rPr>
        <w:t xml:space="preserve">Abdoulkarim OLOYEDE (Nigeria) and </w:t>
      </w:r>
      <w:proofErr w:type="spellStart"/>
      <w:r w:rsidR="008B71BD">
        <w:rPr>
          <w:lang w:val="en-US"/>
        </w:rPr>
        <w:t>Ms</w:t>
      </w:r>
      <w:proofErr w:type="spellEnd"/>
      <w:r w:rsidR="008B71BD">
        <w:rPr>
          <w:lang w:val="en-US"/>
        </w:rPr>
        <w:t xml:space="preserve"> </w:t>
      </w:r>
      <w:r w:rsidRPr="009C2E05">
        <w:rPr>
          <w:lang w:val="en-US"/>
        </w:rPr>
        <w:t>Shahad ALBALAWI (Saudi Arabia).</w:t>
      </w:r>
    </w:p>
    <w:p w14:paraId="6503691F" w14:textId="427609EC" w:rsidR="00F7033D" w:rsidRPr="009C2E05" w:rsidRDefault="00F7033D" w:rsidP="007F74D3">
      <w:pPr>
        <w:spacing w:after="120"/>
        <w:rPr>
          <w:lang w:val="en-US"/>
        </w:rPr>
      </w:pPr>
      <w:r w:rsidRPr="009C2E05">
        <w:rPr>
          <w:lang w:val="en-US"/>
        </w:rPr>
        <w:t xml:space="preserve">The full meeting report, in the six official languages of ITU, is available at this </w:t>
      </w:r>
      <w:hyperlink r:id="rId34" w:history="1">
        <w:r w:rsidRPr="009C2E05">
          <w:rPr>
            <w:rStyle w:val="Hyperlink"/>
            <w:lang w:val="en-US"/>
          </w:rPr>
          <w:t>link</w:t>
        </w:r>
      </w:hyperlink>
      <w:r w:rsidRPr="009C2E05">
        <w:rPr>
          <w:lang w:val="en-US"/>
        </w:rPr>
        <w:t xml:space="preserve"> and highlights can be found </w:t>
      </w:r>
      <w:hyperlink r:id="rId35" w:history="1">
        <w:r w:rsidRPr="009C2E05">
          <w:rPr>
            <w:rStyle w:val="Hyperlink"/>
            <w:lang w:val="en-US"/>
          </w:rPr>
          <w:t>here</w:t>
        </w:r>
      </w:hyperlink>
      <w:r w:rsidRPr="009C2E05">
        <w:rPr>
          <w:lang w:val="en-US"/>
        </w:rPr>
        <w:t>.</w:t>
      </w:r>
    </w:p>
    <w:p w14:paraId="77F8D807" w14:textId="59C75DBB" w:rsidR="00144461" w:rsidRPr="008B71BD" w:rsidRDefault="00144461" w:rsidP="007F74D3">
      <w:pPr>
        <w:pStyle w:val="Heading2"/>
        <w:keepLines w:val="0"/>
        <w:spacing w:before="120" w:after="120"/>
        <w:rPr>
          <w:lang w:val="en-US"/>
        </w:rPr>
      </w:pPr>
      <w:bookmarkStart w:id="23" w:name="_Toc194477922"/>
      <w:r w:rsidRPr="008B71BD">
        <w:rPr>
          <w:lang w:val="en-US"/>
        </w:rPr>
        <w:lastRenderedPageBreak/>
        <w:t>Extraordinary Meeting of TDAG</w:t>
      </w:r>
      <w:bookmarkEnd w:id="23"/>
    </w:p>
    <w:p w14:paraId="183DB884" w14:textId="66BCF7DB" w:rsidR="307BC7D6" w:rsidRDefault="307BC7D6" w:rsidP="007F74D3">
      <w:pPr>
        <w:spacing w:after="120"/>
      </w:pPr>
      <w:r>
        <w:rPr>
          <w:noProof/>
        </w:rPr>
        <w:drawing>
          <wp:inline distT="0" distB="0" distL="0" distR="0" wp14:anchorId="08C1C5BC" wp14:editId="47B1F0B1">
            <wp:extent cx="5763186" cy="2886075"/>
            <wp:effectExtent l="0" t="0" r="0" b="0"/>
            <wp:docPr id="50862234" name="Picture 508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63186" cy="2886075"/>
                    </a:xfrm>
                    <a:prstGeom prst="rect">
                      <a:avLst/>
                    </a:prstGeom>
                  </pic:spPr>
                </pic:pic>
              </a:graphicData>
            </a:graphic>
          </wp:inline>
        </w:drawing>
      </w:r>
    </w:p>
    <w:p w14:paraId="39300220" w14:textId="77777777" w:rsidR="00EB6D0F" w:rsidRPr="008B71BD" w:rsidRDefault="00EB6D0F" w:rsidP="007F74D3">
      <w:pPr>
        <w:pStyle w:val="ListParagraph"/>
        <w:numPr>
          <w:ilvl w:val="0"/>
          <w:numId w:val="25"/>
        </w:numPr>
        <w:spacing w:after="120"/>
        <w:ind w:left="360"/>
        <w:contextualSpacing w:val="0"/>
        <w:rPr>
          <w:b/>
          <w:bCs/>
          <w:i/>
          <w:lang w:val="en-US"/>
        </w:rPr>
      </w:pPr>
      <w:r w:rsidRPr="008B71BD">
        <w:rPr>
          <w:b/>
          <w:bCs/>
          <w:i/>
          <w:lang w:val="en-US"/>
        </w:rPr>
        <w:t>Overview</w:t>
      </w:r>
    </w:p>
    <w:p w14:paraId="5C9EDF51" w14:textId="66516EA2" w:rsidR="00144461" w:rsidRPr="009C2E05" w:rsidRDefault="00144461" w:rsidP="007F74D3">
      <w:pPr>
        <w:spacing w:after="120"/>
        <w:rPr>
          <w:lang w:val="en-US"/>
        </w:rPr>
      </w:pPr>
      <w:r w:rsidRPr="009C2E05">
        <w:rPr>
          <w:lang w:val="en-US"/>
        </w:rPr>
        <w:t>A virtual Extra-ordinary Meeting of the Telecommunication Development Advisory Group (TDAG) was held on 23 January 2025 from 1300 to 1600 hours (CEST).</w:t>
      </w:r>
      <w:r w:rsidR="00EE1B67">
        <w:rPr>
          <w:lang w:val="en-US"/>
        </w:rPr>
        <w:t xml:space="preserve"> </w:t>
      </w:r>
      <w:r w:rsidRPr="009C2E05">
        <w:rPr>
          <w:lang w:val="en-US"/>
        </w:rPr>
        <w:t>This meeting aimed at giving the Informal Coordination Group on the Youth Summit and the Global Celebration (TDAG-ICG-GYS) an opportunity to report to TDAG on its work prior to the holding of the GYS to be held in Varadero, Cuba from 11 to 13 March 2025. ​Taking this opportunity, the four Working Groups of TDAG also reported on their ongoing work.​</w:t>
      </w:r>
    </w:p>
    <w:p w14:paraId="35230628" w14:textId="1DB24F74" w:rsidR="009F03EE" w:rsidRPr="008B71BD" w:rsidRDefault="009F03EE" w:rsidP="007F74D3">
      <w:pPr>
        <w:pStyle w:val="ListParagraph"/>
        <w:numPr>
          <w:ilvl w:val="0"/>
          <w:numId w:val="25"/>
        </w:numPr>
        <w:spacing w:after="120"/>
        <w:ind w:left="360"/>
        <w:contextualSpacing w:val="0"/>
        <w:rPr>
          <w:b/>
          <w:bCs/>
          <w:i/>
          <w:lang w:val="en-US"/>
        </w:rPr>
      </w:pPr>
      <w:r w:rsidRPr="008B71BD">
        <w:rPr>
          <w:b/>
          <w:bCs/>
          <w:i/>
          <w:lang w:val="en-US"/>
        </w:rPr>
        <w:t>Participants</w:t>
      </w:r>
    </w:p>
    <w:p w14:paraId="1BAFF6CA" w14:textId="77777777" w:rsidR="009F03EE" w:rsidRPr="009C2E05" w:rsidRDefault="009F03EE" w:rsidP="007F74D3">
      <w:pPr>
        <w:spacing w:after="120"/>
        <w:rPr>
          <w:lang w:val="en-US"/>
        </w:rPr>
      </w:pPr>
      <w:r w:rsidRPr="009C2E05">
        <w:rPr>
          <w:lang w:val="en-US"/>
        </w:rPr>
        <w:t>The following chart provides the breakdown of participants by category:</w:t>
      </w:r>
    </w:p>
    <w:p w14:paraId="0A68A736" w14:textId="2EDF18F0" w:rsidR="009F03EE" w:rsidRPr="009C2E05" w:rsidRDefault="00F00F9D" w:rsidP="007F74D3">
      <w:pPr>
        <w:spacing w:after="120"/>
        <w:rPr>
          <w:lang w:val="en-US"/>
        </w:rPr>
      </w:pPr>
      <w:r w:rsidRPr="009C2E05">
        <w:rPr>
          <w:noProof/>
          <w:lang w:val="en-US"/>
        </w:rPr>
        <w:drawing>
          <wp:inline distT="0" distB="0" distL="0" distR="0" wp14:anchorId="3FCC8654" wp14:editId="5DB88BDA">
            <wp:extent cx="6120765" cy="2684145"/>
            <wp:effectExtent l="0" t="0" r="0" b="1905"/>
            <wp:docPr id="574756025" name="Picture 1"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6025" name="Picture 1" descr="A blue circle with black text&#10;&#10;AI-generated content may be incorrect."/>
                    <pic:cNvPicPr/>
                  </pic:nvPicPr>
                  <pic:blipFill>
                    <a:blip r:embed="rId37"/>
                    <a:stretch>
                      <a:fillRect/>
                    </a:stretch>
                  </pic:blipFill>
                  <pic:spPr>
                    <a:xfrm>
                      <a:off x="0" y="0"/>
                      <a:ext cx="6120765" cy="2684145"/>
                    </a:xfrm>
                    <a:prstGeom prst="rect">
                      <a:avLst/>
                    </a:prstGeom>
                  </pic:spPr>
                </pic:pic>
              </a:graphicData>
            </a:graphic>
          </wp:inline>
        </w:drawing>
      </w:r>
    </w:p>
    <w:p w14:paraId="4961EE15" w14:textId="77777777" w:rsidR="009F03EE" w:rsidRPr="009C2E05" w:rsidRDefault="009F03EE" w:rsidP="008B71BD">
      <w:pPr>
        <w:keepNext/>
        <w:spacing w:after="120"/>
        <w:rPr>
          <w:lang w:val="en-US"/>
        </w:rPr>
      </w:pPr>
      <w:r w:rsidRPr="009C2E05">
        <w:rPr>
          <w:lang w:val="en-US"/>
        </w:rPr>
        <w:lastRenderedPageBreak/>
        <w:t>The following chart provides the breakdown of participants by region:</w:t>
      </w:r>
    </w:p>
    <w:p w14:paraId="4F398D8C" w14:textId="78F5E740" w:rsidR="009F03EE" w:rsidRPr="009C2E05" w:rsidRDefault="00FC69DC" w:rsidP="007F74D3">
      <w:pPr>
        <w:spacing w:after="120"/>
        <w:rPr>
          <w:lang w:val="en-US"/>
        </w:rPr>
      </w:pPr>
      <w:r w:rsidRPr="009C2E05">
        <w:rPr>
          <w:noProof/>
          <w:lang w:val="en-US"/>
        </w:rPr>
        <w:drawing>
          <wp:inline distT="0" distB="0" distL="0" distR="0" wp14:anchorId="0CB5854E" wp14:editId="5E581B49">
            <wp:extent cx="5283076" cy="2670313"/>
            <wp:effectExtent l="0" t="0" r="635" b="0"/>
            <wp:docPr id="1776371075" name="Picture 1" descr="A pie char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71075" name="Picture 1" descr="A pie chart with numbers and letters&#10;&#10;AI-generated content may be incorrect."/>
                    <pic:cNvPicPr/>
                  </pic:nvPicPr>
                  <pic:blipFill>
                    <a:blip r:embed="rId38"/>
                    <a:stretch>
                      <a:fillRect/>
                    </a:stretch>
                  </pic:blipFill>
                  <pic:spPr>
                    <a:xfrm>
                      <a:off x="0" y="0"/>
                      <a:ext cx="5334574" cy="2696342"/>
                    </a:xfrm>
                    <a:prstGeom prst="rect">
                      <a:avLst/>
                    </a:prstGeom>
                  </pic:spPr>
                </pic:pic>
              </a:graphicData>
            </a:graphic>
          </wp:inline>
        </w:drawing>
      </w:r>
    </w:p>
    <w:p w14:paraId="5F1B8A3E" w14:textId="77777777" w:rsidR="009F03EE" w:rsidRPr="009C2E05" w:rsidRDefault="009F03EE" w:rsidP="007F74D3">
      <w:pPr>
        <w:spacing w:after="120"/>
        <w:rPr>
          <w:rFonts w:ascii="Calibri" w:hAnsi="Calibri"/>
          <w:highlight w:val="yellow"/>
          <w:lang w:val="en-US"/>
        </w:rPr>
      </w:pPr>
    </w:p>
    <w:p w14:paraId="3E935619" w14:textId="77777777" w:rsidR="009F03EE" w:rsidRPr="009C2E05" w:rsidRDefault="009F03EE" w:rsidP="007F74D3">
      <w:pPr>
        <w:spacing w:after="120"/>
        <w:rPr>
          <w:lang w:val="en-US"/>
        </w:rPr>
      </w:pPr>
      <w:r w:rsidRPr="009C2E05">
        <w:rPr>
          <w:lang w:val="en-US"/>
        </w:rPr>
        <w:t>The following chart provides the breakdown of participants by gender:</w:t>
      </w:r>
    </w:p>
    <w:p w14:paraId="788F51EE" w14:textId="75714FF3" w:rsidR="009F03EE" w:rsidRPr="009C2E05" w:rsidRDefault="00DA320E" w:rsidP="007F74D3">
      <w:pPr>
        <w:spacing w:after="120"/>
        <w:rPr>
          <w:lang w:val="en-US"/>
        </w:rPr>
      </w:pPr>
      <w:r w:rsidRPr="009C2E05">
        <w:rPr>
          <w:noProof/>
          <w:lang w:val="en-US"/>
        </w:rPr>
        <w:drawing>
          <wp:inline distT="0" distB="0" distL="0" distR="0" wp14:anchorId="1715092D" wp14:editId="5DE7C03B">
            <wp:extent cx="6120765" cy="3053715"/>
            <wp:effectExtent l="0" t="0" r="0" b="0"/>
            <wp:docPr id="1416809672"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09672" name="Picture 1" descr="A yellow circle with black text&#10;&#10;AI-generated content may be incorrect."/>
                    <pic:cNvPicPr/>
                  </pic:nvPicPr>
                  <pic:blipFill>
                    <a:blip r:embed="rId39"/>
                    <a:stretch>
                      <a:fillRect/>
                    </a:stretch>
                  </pic:blipFill>
                  <pic:spPr>
                    <a:xfrm>
                      <a:off x="0" y="0"/>
                      <a:ext cx="6120765" cy="3053715"/>
                    </a:xfrm>
                    <a:prstGeom prst="rect">
                      <a:avLst/>
                    </a:prstGeom>
                  </pic:spPr>
                </pic:pic>
              </a:graphicData>
            </a:graphic>
          </wp:inline>
        </w:drawing>
      </w:r>
    </w:p>
    <w:p w14:paraId="19F0D744" w14:textId="77777777" w:rsidR="00930E82" w:rsidRPr="009C2E05" w:rsidRDefault="00930E82" w:rsidP="007F74D3">
      <w:pPr>
        <w:spacing w:after="120"/>
        <w:rPr>
          <w:rFonts w:ascii="Calibri" w:hAnsi="Calibri"/>
          <w:highlight w:val="yellow"/>
          <w:lang w:val="en-US"/>
        </w:rPr>
      </w:pPr>
    </w:p>
    <w:p w14:paraId="477F0732" w14:textId="77777777" w:rsidR="00930E82" w:rsidRPr="008B71BD" w:rsidRDefault="00930E82" w:rsidP="008B71BD">
      <w:pPr>
        <w:pStyle w:val="ListParagraph"/>
        <w:keepNext/>
        <w:numPr>
          <w:ilvl w:val="0"/>
          <w:numId w:val="25"/>
        </w:numPr>
        <w:spacing w:after="120"/>
        <w:ind w:left="360"/>
        <w:contextualSpacing w:val="0"/>
        <w:rPr>
          <w:b/>
          <w:bCs/>
          <w:i/>
          <w:lang w:val="en-US"/>
        </w:rPr>
      </w:pPr>
      <w:r w:rsidRPr="008B71BD">
        <w:rPr>
          <w:b/>
          <w:bCs/>
          <w:i/>
          <w:lang w:val="en-US"/>
        </w:rPr>
        <w:lastRenderedPageBreak/>
        <w:t>Documents</w:t>
      </w:r>
    </w:p>
    <w:p w14:paraId="6F43EB8B" w14:textId="77777777" w:rsidR="009F03EE" w:rsidRPr="009C2E05" w:rsidRDefault="009F03EE" w:rsidP="008B71BD">
      <w:pPr>
        <w:keepNext/>
        <w:spacing w:after="120"/>
        <w:rPr>
          <w:lang w:val="en-US"/>
        </w:rPr>
      </w:pPr>
      <w:r w:rsidRPr="009C2E05">
        <w:rPr>
          <w:lang w:val="en-US"/>
        </w:rPr>
        <w:t>The following chart provides the number of documents broken down by category of documents:</w:t>
      </w:r>
    </w:p>
    <w:p w14:paraId="4ED3AD32" w14:textId="16E912C1" w:rsidR="009F03EE" w:rsidRPr="009C2E05" w:rsidRDefault="00403ABD" w:rsidP="007F74D3">
      <w:pPr>
        <w:spacing w:after="120"/>
        <w:rPr>
          <w:lang w:val="en-US"/>
        </w:rPr>
      </w:pPr>
      <w:r w:rsidRPr="009C2E05">
        <w:rPr>
          <w:noProof/>
          <w:lang w:val="en-US"/>
        </w:rPr>
        <w:drawing>
          <wp:inline distT="0" distB="0" distL="0" distR="0" wp14:anchorId="06812CE4" wp14:editId="127EFC74">
            <wp:extent cx="6120765" cy="2725420"/>
            <wp:effectExtent l="0" t="0" r="0" b="0"/>
            <wp:docPr id="1946149233" name="Picture 1" descr="A blue circ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9233" name="Picture 1" descr="A blue circle with text on it&#10;&#10;AI-generated content may be incorrect."/>
                    <pic:cNvPicPr/>
                  </pic:nvPicPr>
                  <pic:blipFill>
                    <a:blip r:embed="rId40"/>
                    <a:stretch>
                      <a:fillRect/>
                    </a:stretch>
                  </pic:blipFill>
                  <pic:spPr>
                    <a:xfrm>
                      <a:off x="0" y="0"/>
                      <a:ext cx="6120765" cy="2725420"/>
                    </a:xfrm>
                    <a:prstGeom prst="rect">
                      <a:avLst/>
                    </a:prstGeom>
                  </pic:spPr>
                </pic:pic>
              </a:graphicData>
            </a:graphic>
          </wp:inline>
        </w:drawing>
      </w:r>
    </w:p>
    <w:p w14:paraId="1A216106" w14:textId="77777777" w:rsidR="00930E82" w:rsidRPr="009C2E05" w:rsidRDefault="00930E82" w:rsidP="007F74D3">
      <w:pPr>
        <w:pStyle w:val="ListParagraph"/>
        <w:spacing w:after="120"/>
        <w:contextualSpacing w:val="0"/>
        <w:rPr>
          <w:i/>
          <w:highlight w:val="yellow"/>
          <w:lang w:val="en-US"/>
        </w:rPr>
      </w:pPr>
    </w:p>
    <w:p w14:paraId="40BB0584" w14:textId="2A51B81A" w:rsidR="00930E82" w:rsidRPr="008B71BD" w:rsidRDefault="00A053FD" w:rsidP="007F74D3">
      <w:pPr>
        <w:pStyle w:val="ListParagraph"/>
        <w:numPr>
          <w:ilvl w:val="0"/>
          <w:numId w:val="25"/>
        </w:numPr>
        <w:spacing w:after="120"/>
        <w:ind w:left="360"/>
        <w:contextualSpacing w:val="0"/>
        <w:rPr>
          <w:b/>
          <w:bCs/>
          <w:i/>
          <w:lang w:val="en-US"/>
        </w:rPr>
      </w:pPr>
      <w:r w:rsidRPr="008B71BD">
        <w:rPr>
          <w:b/>
          <w:bCs/>
          <w:i/>
          <w:lang w:val="en-US"/>
        </w:rPr>
        <w:t>Extra</w:t>
      </w:r>
      <w:r w:rsidR="007F0309" w:rsidRPr="008B71BD">
        <w:rPr>
          <w:b/>
          <w:bCs/>
          <w:i/>
          <w:lang w:val="en-US"/>
        </w:rPr>
        <w:t>-</w:t>
      </w:r>
      <w:r w:rsidRPr="008B71BD">
        <w:rPr>
          <w:b/>
          <w:bCs/>
          <w:i/>
          <w:lang w:val="en-US"/>
        </w:rPr>
        <w:t>ordinary</w:t>
      </w:r>
      <w:r w:rsidR="00930E82" w:rsidRPr="008B71BD">
        <w:rPr>
          <w:b/>
          <w:bCs/>
          <w:i/>
          <w:lang w:val="en-US"/>
        </w:rPr>
        <w:t xml:space="preserve"> TDAG Meeting Outcomes</w:t>
      </w:r>
    </w:p>
    <w:p w14:paraId="166C0925" w14:textId="01A3094E" w:rsidR="00250FA2" w:rsidRPr="009C2E05" w:rsidRDefault="00250FA2" w:rsidP="007F74D3">
      <w:pPr>
        <w:spacing w:after="120"/>
        <w:rPr>
          <w:lang w:val="en-US"/>
        </w:rPr>
      </w:pPr>
      <w:r w:rsidRPr="009C2E05">
        <w:rPr>
          <w:lang w:val="en-US"/>
        </w:rPr>
        <w:t xml:space="preserve">TDAG considered </w:t>
      </w:r>
      <w:r w:rsidR="00F36450" w:rsidRPr="009C2E05">
        <w:rPr>
          <w:lang w:val="en-US"/>
        </w:rPr>
        <w:t>9 contributions</w:t>
      </w:r>
      <w:r w:rsidR="00E56958" w:rsidRPr="009C2E05">
        <w:rPr>
          <w:lang w:val="en-US"/>
        </w:rPr>
        <w:t>.</w:t>
      </w:r>
      <w:r w:rsidR="00EE1B67">
        <w:rPr>
          <w:lang w:val="en-US"/>
        </w:rPr>
        <w:t xml:space="preserve"> </w:t>
      </w:r>
      <w:r w:rsidR="00E56958" w:rsidRPr="009C2E05">
        <w:rPr>
          <w:lang w:val="en-US"/>
        </w:rPr>
        <w:t>Outcomes included</w:t>
      </w:r>
      <w:r w:rsidRPr="009C2E05">
        <w:rPr>
          <w:lang w:val="en-US"/>
        </w:rPr>
        <w:t>:</w:t>
      </w:r>
    </w:p>
    <w:p w14:paraId="12AE437A" w14:textId="0B082088" w:rsidR="0047751C" w:rsidRPr="009C2E05" w:rsidRDefault="0047751C" w:rsidP="008B71BD">
      <w:pPr>
        <w:pStyle w:val="ListParagraph"/>
        <w:numPr>
          <w:ilvl w:val="0"/>
          <w:numId w:val="35"/>
        </w:numPr>
        <w:spacing w:before="60" w:after="60"/>
        <w:ind w:left="714" w:hanging="357"/>
        <w:contextualSpacing w:val="0"/>
        <w:rPr>
          <w:lang w:val="en-US"/>
        </w:rPr>
      </w:pPr>
      <w:r w:rsidRPr="009C2E05">
        <w:rPr>
          <w:lang w:val="en-US"/>
        </w:rPr>
        <w:t xml:space="preserve">TDAG agreed to the agenda of GYS-25, as presented in document </w:t>
      </w:r>
      <w:hyperlink r:id="rId41" w:history="1">
        <w:r w:rsidRPr="009C2E05">
          <w:rPr>
            <w:rStyle w:val="Hyperlink"/>
            <w:lang w:val="en-US"/>
          </w:rPr>
          <w:t>TDAG-ICG-GYS/12</w:t>
        </w:r>
      </w:hyperlink>
    </w:p>
    <w:p w14:paraId="3828B1EB" w14:textId="2E2CB432" w:rsidR="00467BA9" w:rsidRPr="009C2E05" w:rsidRDefault="00467BA9" w:rsidP="008B71BD">
      <w:pPr>
        <w:pStyle w:val="ListParagraph"/>
        <w:numPr>
          <w:ilvl w:val="0"/>
          <w:numId w:val="35"/>
        </w:numPr>
        <w:spacing w:before="60" w:after="60"/>
        <w:ind w:left="714" w:hanging="357"/>
        <w:contextualSpacing w:val="0"/>
        <w:rPr>
          <w:lang w:val="en-US"/>
        </w:rPr>
      </w:pPr>
      <w:r w:rsidRPr="009C2E05">
        <w:rPr>
          <w:lang w:val="en-US"/>
        </w:rPr>
        <w:t>TDAG noted with appreciation the report</w:t>
      </w:r>
      <w:r w:rsidR="00FA3C20" w:rsidRPr="009C2E05">
        <w:rPr>
          <w:lang w:val="en-US"/>
        </w:rPr>
        <w:t>s</w:t>
      </w:r>
      <w:r w:rsidRPr="009C2E05">
        <w:rPr>
          <w:lang w:val="en-US"/>
        </w:rPr>
        <w:t xml:space="preserve"> of the Chair</w:t>
      </w:r>
      <w:r w:rsidR="00FA3C20" w:rsidRPr="009C2E05">
        <w:rPr>
          <w:lang w:val="en-US"/>
        </w:rPr>
        <w:t>s</w:t>
      </w:r>
      <w:r w:rsidRPr="009C2E05">
        <w:rPr>
          <w:lang w:val="en-US"/>
        </w:rPr>
        <w:t xml:space="preserve"> of the TDAG Working Group on the Declaration (TDAG-WG-DEC</w:t>
      </w:r>
      <w:r w:rsidR="00FA3C20" w:rsidRPr="009C2E05">
        <w:rPr>
          <w:lang w:val="en-US"/>
        </w:rPr>
        <w:t xml:space="preserve">), </w:t>
      </w:r>
      <w:r w:rsidR="00A46A9C" w:rsidRPr="009C2E05">
        <w:rPr>
          <w:lang w:val="en-US"/>
        </w:rPr>
        <w:t>the TDAG Working Group on</w:t>
      </w:r>
      <w:r w:rsidR="00FA3C20" w:rsidRPr="009C2E05">
        <w:rPr>
          <w:lang w:val="en-US"/>
        </w:rPr>
        <w:t xml:space="preserve"> the Future of Study Group Questions (TDAG-WG-</w:t>
      </w:r>
      <w:proofErr w:type="spellStart"/>
      <w:r w:rsidR="00FA3C20" w:rsidRPr="009C2E05">
        <w:rPr>
          <w:lang w:val="en-US"/>
        </w:rPr>
        <w:t>futureSGQ</w:t>
      </w:r>
      <w:proofErr w:type="spellEnd"/>
      <w:r w:rsidR="00FA3C20" w:rsidRPr="009C2E05">
        <w:rPr>
          <w:lang w:val="en-US"/>
        </w:rPr>
        <w:t>)</w:t>
      </w:r>
      <w:r w:rsidR="00A46A9C" w:rsidRPr="009C2E05">
        <w:rPr>
          <w:lang w:val="en-US"/>
        </w:rPr>
        <w:t xml:space="preserve">, the TDAG Working Group on the ITU-D Priorities (TDAG-WG-ITUDP) and </w:t>
      </w:r>
      <w:r w:rsidR="00D41927" w:rsidRPr="009C2E05">
        <w:rPr>
          <w:lang w:val="en-US"/>
        </w:rPr>
        <w:t xml:space="preserve">the TDAG Working Group on Streamlining Resolutions (TDAG-WG-SR and </w:t>
      </w:r>
      <w:r w:rsidR="00A46A9C" w:rsidRPr="009C2E05">
        <w:rPr>
          <w:lang w:val="en-US"/>
        </w:rPr>
        <w:t>acknowledged the progress mad</w:t>
      </w:r>
      <w:r w:rsidR="00D41927" w:rsidRPr="009C2E05">
        <w:rPr>
          <w:lang w:val="en-US"/>
        </w:rPr>
        <w:t>e in each of the Working Groups</w:t>
      </w:r>
      <w:r w:rsidR="00715F71" w:rsidRPr="009C2E05">
        <w:rPr>
          <w:lang w:val="en-US"/>
        </w:rPr>
        <w:t xml:space="preserve">. </w:t>
      </w:r>
    </w:p>
    <w:p w14:paraId="1108D278" w14:textId="17C19E59" w:rsidR="000C4A9A" w:rsidRPr="009C2E05" w:rsidRDefault="55827D65" w:rsidP="008B71BD">
      <w:pPr>
        <w:pStyle w:val="ListParagraph"/>
        <w:numPr>
          <w:ilvl w:val="0"/>
          <w:numId w:val="35"/>
        </w:numPr>
        <w:spacing w:before="60" w:after="60"/>
        <w:ind w:left="714" w:hanging="357"/>
        <w:contextualSpacing w:val="0"/>
        <w:rPr>
          <w:lang w:val="en-US"/>
        </w:rPr>
      </w:pPr>
      <w:r w:rsidRPr="1E24F615">
        <w:rPr>
          <w:lang w:val="en-US"/>
        </w:rPr>
        <w:t>TDAG noted the APT’s contributio</w:t>
      </w:r>
      <w:r w:rsidR="78017F76" w:rsidRPr="1E24F615">
        <w:rPr>
          <w:lang w:val="en-US"/>
        </w:rPr>
        <w:t xml:space="preserve">ns on the Declaration </w:t>
      </w:r>
      <w:r w:rsidRPr="1E24F615">
        <w:rPr>
          <w:lang w:val="en-US"/>
        </w:rPr>
        <w:t>and its alignment with ongoing efforts to finalize the declaration’s theme and structure</w:t>
      </w:r>
      <w:r w:rsidR="78017F76" w:rsidRPr="1E24F615">
        <w:rPr>
          <w:lang w:val="en-US"/>
        </w:rPr>
        <w:t>.</w:t>
      </w:r>
      <w:r w:rsidR="00EE1B67">
        <w:rPr>
          <w:lang w:val="en-US"/>
        </w:rPr>
        <w:t xml:space="preserve"> </w:t>
      </w:r>
      <w:r w:rsidR="78017F76" w:rsidRPr="1E24F615">
        <w:rPr>
          <w:lang w:val="en-US"/>
        </w:rPr>
        <w:t>TDAG</w:t>
      </w:r>
      <w:r w:rsidR="119E8633" w:rsidRPr="1E24F615">
        <w:rPr>
          <w:lang w:val="en-US"/>
        </w:rPr>
        <w:t xml:space="preserve"> also </w:t>
      </w:r>
      <w:r w:rsidR="40364384" w:rsidRPr="1E24F615">
        <w:rPr>
          <w:lang w:val="en-US"/>
        </w:rPr>
        <w:t xml:space="preserve">took note of the APT’s contribution </w:t>
      </w:r>
      <w:r w:rsidR="0E21462A" w:rsidRPr="1E24F615">
        <w:rPr>
          <w:lang w:val="en-US"/>
        </w:rPr>
        <w:t>to</w:t>
      </w:r>
      <w:r w:rsidR="40364384" w:rsidRPr="1E24F615">
        <w:rPr>
          <w:lang w:val="en-US"/>
        </w:rPr>
        <w:t xml:space="preserve"> the TDAG Working Group on the Future of Study Group Questions.</w:t>
      </w:r>
      <w:r w:rsidR="00EE1B67">
        <w:rPr>
          <w:lang w:val="en-US"/>
        </w:rPr>
        <w:t xml:space="preserve"> </w:t>
      </w:r>
      <w:r w:rsidR="40364384" w:rsidRPr="1E24F615">
        <w:rPr>
          <w:lang w:val="en-US"/>
        </w:rPr>
        <w:t>Both contributions were welcomed as a valuable input into the ongoing deliberations and a</w:t>
      </w:r>
      <w:r w:rsidR="00EE1B67">
        <w:rPr>
          <w:lang w:val="en-US"/>
        </w:rPr>
        <w:t xml:space="preserve"> </w:t>
      </w:r>
      <w:proofErr w:type="spellStart"/>
      <w:r w:rsidRPr="1E24F615">
        <w:rPr>
          <w:lang w:val="en-US"/>
        </w:rPr>
        <w:t>a</w:t>
      </w:r>
      <w:proofErr w:type="spellEnd"/>
      <w:r w:rsidRPr="1E24F615">
        <w:rPr>
          <w:lang w:val="en-US"/>
        </w:rPr>
        <w:t xml:space="preserve"> valuable addition to the preparatory process for WTDC-25.</w:t>
      </w:r>
    </w:p>
    <w:p w14:paraId="2C383B70" w14:textId="25D783C5" w:rsidR="00B4478C" w:rsidRPr="009C2E05" w:rsidRDefault="00E82BCE" w:rsidP="007F74D3">
      <w:pPr>
        <w:spacing w:after="120"/>
        <w:rPr>
          <w:lang w:val="en-US"/>
        </w:rPr>
      </w:pPr>
      <w:r w:rsidRPr="009C2E05">
        <w:rPr>
          <w:lang w:val="en-US"/>
        </w:rPr>
        <w:t xml:space="preserve">The full meeting report, in the six official languages of ITU, is available at this </w:t>
      </w:r>
      <w:hyperlink r:id="rId42" w:history="1">
        <w:r w:rsidRPr="009C2E05">
          <w:rPr>
            <w:rStyle w:val="Hyperlink"/>
            <w:lang w:val="en-US"/>
          </w:rPr>
          <w:t>link</w:t>
        </w:r>
      </w:hyperlink>
      <w:r w:rsidRPr="009C2E05">
        <w:rPr>
          <w:lang w:val="en-US"/>
        </w:rPr>
        <w:t>.</w:t>
      </w:r>
    </w:p>
    <w:p w14:paraId="3DAD9CDF" w14:textId="420246E0" w:rsidR="00B4478C" w:rsidRPr="008B71BD" w:rsidRDefault="00B4478C" w:rsidP="007F74D3">
      <w:pPr>
        <w:pStyle w:val="Heading2"/>
        <w:keepNext w:val="0"/>
        <w:keepLines w:val="0"/>
        <w:spacing w:before="120" w:after="120"/>
        <w:rPr>
          <w:lang w:val="en-US"/>
        </w:rPr>
      </w:pPr>
      <w:bookmarkStart w:id="24" w:name="_Toc194477923"/>
      <w:r w:rsidRPr="008B71BD">
        <w:rPr>
          <w:lang w:val="en-US"/>
        </w:rPr>
        <w:t>3</w:t>
      </w:r>
      <w:r w:rsidR="0008636C" w:rsidRPr="008B71BD">
        <w:rPr>
          <w:lang w:val="en-US"/>
        </w:rPr>
        <w:t>2nd</w:t>
      </w:r>
      <w:r w:rsidRPr="008B71BD">
        <w:rPr>
          <w:lang w:val="en-US"/>
        </w:rPr>
        <w:t xml:space="preserve"> TDAG Meeting</w:t>
      </w:r>
      <w:bookmarkEnd w:id="24"/>
    </w:p>
    <w:p w14:paraId="15290222" w14:textId="0A3CDF01" w:rsidR="00930E82" w:rsidRPr="004203BA" w:rsidRDefault="349A55A0" w:rsidP="007F74D3">
      <w:pPr>
        <w:spacing w:after="120"/>
        <w:rPr>
          <w:i/>
          <w:iCs/>
          <w:lang w:val="en-US"/>
        </w:rPr>
      </w:pPr>
      <w:r w:rsidRPr="6A827756">
        <w:rPr>
          <w:lang w:val="en-US"/>
        </w:rPr>
        <w:t>This section of the report will be completed with the revision of this document once the 32</w:t>
      </w:r>
      <w:r w:rsidRPr="6A827756">
        <w:rPr>
          <w:vertAlign w:val="superscript"/>
          <w:lang w:val="en-US"/>
        </w:rPr>
        <w:t>nd</w:t>
      </w:r>
      <w:r w:rsidRPr="6A827756">
        <w:rPr>
          <w:lang w:val="en-US"/>
        </w:rPr>
        <w:t xml:space="preserve"> </w:t>
      </w:r>
      <w:r w:rsidR="630A986F" w:rsidRPr="6A827756">
        <w:rPr>
          <w:lang w:val="en-US"/>
        </w:rPr>
        <w:t>meeting of the TDAG takes place in Geneva between 12 and 16 May 2025.</w:t>
      </w:r>
    </w:p>
    <w:p w14:paraId="7CD558D7" w14:textId="77777777" w:rsidR="00F24339" w:rsidRPr="009C2E05" w:rsidRDefault="00F24339" w:rsidP="007F74D3">
      <w:pPr>
        <w:pStyle w:val="Heading1"/>
        <w:keepNext w:val="0"/>
        <w:keepLines w:val="0"/>
        <w:spacing w:before="120" w:after="120"/>
        <w:ind w:left="567" w:hanging="567"/>
        <w:rPr>
          <w:lang w:val="en-US"/>
        </w:rPr>
      </w:pPr>
      <w:bookmarkStart w:id="25" w:name="_Toc379236732"/>
      <w:bookmarkStart w:id="26" w:name="_Toc482300241"/>
      <w:bookmarkStart w:id="27" w:name="_Toc194477924"/>
      <w:r w:rsidRPr="009C2E05">
        <w:rPr>
          <w:lang w:val="en-US"/>
        </w:rPr>
        <w:t>TDAG Working Group Meetings</w:t>
      </w:r>
      <w:bookmarkEnd w:id="25"/>
      <w:bookmarkEnd w:id="26"/>
      <w:bookmarkEnd w:id="27"/>
      <w:r w:rsidRPr="009C2E05">
        <w:rPr>
          <w:lang w:val="en-US"/>
        </w:rPr>
        <w:t xml:space="preserve"> </w:t>
      </w:r>
    </w:p>
    <w:p w14:paraId="45F5C716" w14:textId="284A161B" w:rsidR="0013675C" w:rsidRPr="009C2E05" w:rsidRDefault="00F24339" w:rsidP="007F74D3">
      <w:pPr>
        <w:tabs>
          <w:tab w:val="clear" w:pos="1134"/>
          <w:tab w:val="left" w:pos="567"/>
        </w:tabs>
        <w:spacing w:after="120"/>
        <w:rPr>
          <w:lang w:val="en-US"/>
        </w:rPr>
      </w:pPr>
      <w:r w:rsidRPr="009C2E05">
        <w:rPr>
          <w:lang w:val="en-US"/>
        </w:rPr>
        <w:t>TDAG</w:t>
      </w:r>
      <w:r w:rsidR="0013675C" w:rsidRPr="009C2E05">
        <w:rPr>
          <w:lang w:val="en-US"/>
        </w:rPr>
        <w:t>, at its meetings on 19 to 23 June 2023 and 20 to 23 May 2024, decided to establish five Working Groups:</w:t>
      </w:r>
    </w:p>
    <w:p w14:paraId="4A94E8E5" w14:textId="63E8F1E7" w:rsidR="00D63BEF" w:rsidRPr="009C2E05" w:rsidRDefault="00D63BEF" w:rsidP="008B71BD">
      <w:pPr>
        <w:pStyle w:val="ListParagraph"/>
        <w:numPr>
          <w:ilvl w:val="0"/>
          <w:numId w:val="36"/>
        </w:numPr>
        <w:spacing w:before="60" w:after="60"/>
        <w:ind w:left="714" w:hanging="357"/>
        <w:contextualSpacing w:val="0"/>
        <w:rPr>
          <w:lang w:val="en-US"/>
        </w:rPr>
      </w:pPr>
      <w:r w:rsidRPr="009C2E05">
        <w:rPr>
          <w:lang w:val="en-US"/>
        </w:rPr>
        <w:t xml:space="preserve">TDAG Working Group </w:t>
      </w:r>
      <w:r w:rsidR="002D193E" w:rsidRPr="009C2E05">
        <w:rPr>
          <w:lang w:val="en-US"/>
        </w:rPr>
        <w:t>on</w:t>
      </w:r>
      <w:r w:rsidRPr="009C2E05">
        <w:rPr>
          <w:lang w:val="en-US"/>
        </w:rPr>
        <w:t xml:space="preserve"> streamlin</w:t>
      </w:r>
      <w:r w:rsidR="002D193E" w:rsidRPr="009C2E05">
        <w:rPr>
          <w:lang w:val="en-US"/>
        </w:rPr>
        <w:t>ing</w:t>
      </w:r>
      <w:r w:rsidRPr="009C2E05">
        <w:rPr>
          <w:lang w:val="en-US"/>
        </w:rPr>
        <w:t xml:space="preserve"> Resolutions (TDAG-WG-SR)</w:t>
      </w:r>
      <w:r w:rsidR="00BF4BCE" w:rsidRPr="009C2E05">
        <w:rPr>
          <w:lang w:val="en-US"/>
        </w:rPr>
        <w:t xml:space="preserve"> – </w:t>
      </w:r>
      <w:hyperlink r:id="rId43" w:history="1">
        <w:r w:rsidR="00BF4BCE" w:rsidRPr="009C2E05">
          <w:rPr>
            <w:rStyle w:val="Hyperlink"/>
            <w:lang w:val="en-US"/>
          </w:rPr>
          <w:t>webpage</w:t>
        </w:r>
      </w:hyperlink>
      <w:r w:rsidR="00BF4BCE" w:rsidRPr="009C2E05">
        <w:rPr>
          <w:lang w:val="en-US"/>
        </w:rPr>
        <w:t xml:space="preserve"> </w:t>
      </w:r>
    </w:p>
    <w:p w14:paraId="4DB76E29" w14:textId="4312EE46" w:rsidR="00D63BEF" w:rsidRPr="009C2E05" w:rsidRDefault="00D63BEF" w:rsidP="008B71BD">
      <w:pPr>
        <w:pStyle w:val="ListParagraph"/>
        <w:numPr>
          <w:ilvl w:val="0"/>
          <w:numId w:val="36"/>
        </w:numPr>
        <w:spacing w:before="60" w:after="60"/>
        <w:ind w:left="714" w:hanging="357"/>
        <w:contextualSpacing w:val="0"/>
        <w:rPr>
          <w:lang w:val="en-US"/>
        </w:rPr>
      </w:pPr>
      <w:r w:rsidRPr="009C2E05">
        <w:rPr>
          <w:lang w:val="en-US"/>
        </w:rPr>
        <w:t>TDAG Working Group on the future ITU-D Questions (TDAG-WG-</w:t>
      </w:r>
      <w:proofErr w:type="spellStart"/>
      <w:r w:rsidRPr="009C2E05">
        <w:rPr>
          <w:lang w:val="en-US"/>
        </w:rPr>
        <w:t>futureSGQ</w:t>
      </w:r>
      <w:proofErr w:type="spellEnd"/>
      <w:r w:rsidRPr="009C2E05">
        <w:rPr>
          <w:lang w:val="en-US"/>
        </w:rPr>
        <w:t>)</w:t>
      </w:r>
      <w:r w:rsidR="00BF4BCE" w:rsidRPr="009C2E05">
        <w:rPr>
          <w:lang w:val="en-US"/>
        </w:rPr>
        <w:t xml:space="preserve"> - </w:t>
      </w:r>
      <w:hyperlink r:id="rId44" w:history="1">
        <w:r w:rsidR="00BF4BCE" w:rsidRPr="009C2E05">
          <w:rPr>
            <w:rStyle w:val="Hyperlink"/>
            <w:lang w:val="en-US"/>
          </w:rPr>
          <w:t>webpage</w:t>
        </w:r>
      </w:hyperlink>
    </w:p>
    <w:p w14:paraId="1AE3E852" w14:textId="4B524A15" w:rsidR="00D63BEF" w:rsidRPr="009C2E05" w:rsidRDefault="00D63BEF" w:rsidP="008B71BD">
      <w:pPr>
        <w:pStyle w:val="ListParagraph"/>
        <w:numPr>
          <w:ilvl w:val="0"/>
          <w:numId w:val="36"/>
        </w:numPr>
        <w:spacing w:before="60" w:after="60"/>
        <w:ind w:left="714" w:hanging="357"/>
        <w:contextualSpacing w:val="0"/>
        <w:rPr>
          <w:lang w:val="en-US"/>
        </w:rPr>
      </w:pPr>
      <w:r w:rsidRPr="009C2E05">
        <w:rPr>
          <w:lang w:val="en-US"/>
        </w:rPr>
        <w:t>TDAG Working Group on ITU-D Priorities (TDAG-WG-ITUDP)</w:t>
      </w:r>
      <w:r w:rsidR="00A230B2" w:rsidRPr="009C2E05">
        <w:rPr>
          <w:lang w:val="en-US"/>
        </w:rPr>
        <w:t xml:space="preserve"> - </w:t>
      </w:r>
      <w:hyperlink r:id="rId45" w:history="1">
        <w:r w:rsidR="00A230B2" w:rsidRPr="009C2E05">
          <w:rPr>
            <w:rStyle w:val="Hyperlink"/>
            <w:lang w:val="en-US"/>
          </w:rPr>
          <w:t>webpage</w:t>
        </w:r>
      </w:hyperlink>
    </w:p>
    <w:p w14:paraId="345452AE" w14:textId="065125FF" w:rsidR="00D63BEF" w:rsidRPr="009C2E05" w:rsidRDefault="00D63BEF" w:rsidP="008B71BD">
      <w:pPr>
        <w:pStyle w:val="ListParagraph"/>
        <w:numPr>
          <w:ilvl w:val="0"/>
          <w:numId w:val="36"/>
        </w:numPr>
        <w:spacing w:before="60" w:after="60"/>
        <w:ind w:left="714" w:hanging="357"/>
        <w:contextualSpacing w:val="0"/>
        <w:rPr>
          <w:lang w:val="en-US"/>
        </w:rPr>
      </w:pPr>
      <w:r w:rsidRPr="009C2E05">
        <w:rPr>
          <w:lang w:val="en-US"/>
        </w:rPr>
        <w:t>TDAG Working Group on the WTDC Declaration (TDAG-WG-DEC)</w:t>
      </w:r>
      <w:r w:rsidR="00A230B2" w:rsidRPr="009C2E05">
        <w:rPr>
          <w:lang w:val="en-US"/>
        </w:rPr>
        <w:t xml:space="preserve"> - </w:t>
      </w:r>
      <w:hyperlink r:id="rId46" w:history="1">
        <w:r w:rsidR="00A230B2" w:rsidRPr="009C2E05">
          <w:rPr>
            <w:rStyle w:val="Hyperlink"/>
            <w:lang w:val="en-US"/>
          </w:rPr>
          <w:t>webpage</w:t>
        </w:r>
      </w:hyperlink>
    </w:p>
    <w:p w14:paraId="7C58CB6C" w14:textId="2AEFF6DD" w:rsidR="00D63BEF" w:rsidRPr="009C2E05" w:rsidRDefault="00D63BEF" w:rsidP="008B71BD">
      <w:pPr>
        <w:pStyle w:val="ListParagraph"/>
        <w:numPr>
          <w:ilvl w:val="0"/>
          <w:numId w:val="36"/>
        </w:numPr>
        <w:spacing w:before="60" w:after="60"/>
        <w:ind w:left="714" w:hanging="357"/>
        <w:contextualSpacing w:val="0"/>
        <w:rPr>
          <w:lang w:val="en-US"/>
        </w:rPr>
      </w:pPr>
      <w:r w:rsidRPr="009C2E05">
        <w:rPr>
          <w:lang w:val="en-US"/>
        </w:rPr>
        <w:lastRenderedPageBreak/>
        <w:t>TDAG Informal Coordination Group on the Global Youth Summit (TDAG-ICG-GYS)</w:t>
      </w:r>
      <w:r w:rsidR="00A230B2" w:rsidRPr="009C2E05">
        <w:rPr>
          <w:lang w:val="en-US"/>
        </w:rPr>
        <w:t xml:space="preserve"> - </w:t>
      </w:r>
      <w:hyperlink r:id="rId47" w:history="1">
        <w:r w:rsidR="00A230B2" w:rsidRPr="009C2E05">
          <w:rPr>
            <w:rStyle w:val="Hyperlink"/>
            <w:lang w:val="en-US"/>
          </w:rPr>
          <w:t>webpage</w:t>
        </w:r>
      </w:hyperlink>
    </w:p>
    <w:p w14:paraId="656BCFEC" w14:textId="52DE4231" w:rsidR="00F24339" w:rsidRPr="009C2E05" w:rsidRDefault="00F24339" w:rsidP="007F74D3">
      <w:pPr>
        <w:tabs>
          <w:tab w:val="clear" w:pos="1134"/>
        </w:tabs>
        <w:spacing w:after="120"/>
        <w:rPr>
          <w:lang w:val="en-US"/>
        </w:rPr>
      </w:pPr>
      <w:r w:rsidRPr="6A827756">
        <w:rPr>
          <w:lang w:val="en-US"/>
        </w:rPr>
        <w:t xml:space="preserve">The Groups worked through electronic means and </w:t>
      </w:r>
      <w:r w:rsidR="007044B2" w:rsidRPr="6A827756">
        <w:rPr>
          <w:lang w:val="en-US"/>
        </w:rPr>
        <w:t xml:space="preserve">virtual </w:t>
      </w:r>
      <w:r w:rsidRPr="6A827756">
        <w:rPr>
          <w:lang w:val="en-US"/>
        </w:rPr>
        <w:t>meetings, and their reports were presented to TDAG</w:t>
      </w:r>
      <w:r w:rsidR="001B2773" w:rsidRPr="6A827756">
        <w:rPr>
          <w:lang w:val="en-US"/>
        </w:rPr>
        <w:t xml:space="preserve"> and to the Regional Preparatory Meetings across the regions</w:t>
      </w:r>
      <w:r w:rsidRPr="6A827756">
        <w:rPr>
          <w:lang w:val="en-US"/>
        </w:rPr>
        <w:t xml:space="preserve"> and are reflected within TDAG’s reports as </w:t>
      </w:r>
      <w:proofErr w:type="spellStart"/>
      <w:r w:rsidRPr="6A827756">
        <w:rPr>
          <w:lang w:val="en-US"/>
        </w:rPr>
        <w:t>summarised</w:t>
      </w:r>
      <w:proofErr w:type="spellEnd"/>
      <w:r w:rsidRPr="6A827756">
        <w:rPr>
          <w:lang w:val="en-US"/>
        </w:rPr>
        <w:t xml:space="preserve"> in section 2 above</w:t>
      </w:r>
      <w:r w:rsidR="001B2773" w:rsidRPr="6A827756">
        <w:rPr>
          <w:lang w:val="en-US"/>
        </w:rPr>
        <w:t xml:space="preserve"> and within the reports of the RPM</w:t>
      </w:r>
      <w:r w:rsidR="00062B7A" w:rsidRPr="6A827756">
        <w:rPr>
          <w:lang w:val="en-US"/>
        </w:rPr>
        <w:t xml:space="preserve"> for each region (</w:t>
      </w:r>
      <w:r w:rsidR="003F0E36" w:rsidRPr="6A827756">
        <w:rPr>
          <w:lang w:val="en-US"/>
        </w:rPr>
        <w:t>A</w:t>
      </w:r>
      <w:r w:rsidR="00B825CB" w:rsidRPr="6A827756">
        <w:rPr>
          <w:lang w:val="en-US"/>
        </w:rPr>
        <w:t xml:space="preserve">frica, Americas, </w:t>
      </w:r>
      <w:hyperlink r:id="rId48">
        <w:r w:rsidR="0E622AD8" w:rsidRPr="6A827756">
          <w:rPr>
            <w:rStyle w:val="Hyperlink"/>
            <w:lang w:val="en-US"/>
          </w:rPr>
          <w:t>Arab Region</w:t>
        </w:r>
      </w:hyperlink>
      <w:r w:rsidR="00B825CB" w:rsidRPr="6A827756">
        <w:rPr>
          <w:lang w:val="en-US"/>
        </w:rPr>
        <w:t xml:space="preserve">, </w:t>
      </w:r>
      <w:hyperlink r:id="rId49">
        <w:r w:rsidR="0E622AD8" w:rsidRPr="6A827756">
          <w:rPr>
            <w:rStyle w:val="Hyperlink"/>
            <w:lang w:val="en-US"/>
          </w:rPr>
          <w:t>Asia and the Pacific</w:t>
        </w:r>
      </w:hyperlink>
      <w:r w:rsidR="00B825CB" w:rsidRPr="6A827756">
        <w:rPr>
          <w:lang w:val="en-US"/>
        </w:rPr>
        <w:t xml:space="preserve">, CIS, </w:t>
      </w:r>
      <w:hyperlink r:id="rId50">
        <w:r w:rsidR="0E622AD8" w:rsidRPr="6A827756">
          <w:rPr>
            <w:rStyle w:val="Hyperlink"/>
            <w:lang w:val="en-US"/>
          </w:rPr>
          <w:t>Europe</w:t>
        </w:r>
      </w:hyperlink>
      <w:r w:rsidR="00B825CB" w:rsidRPr="6A827756">
        <w:rPr>
          <w:lang w:val="en-US"/>
        </w:rPr>
        <w:t>)</w:t>
      </w:r>
      <w:r w:rsidR="000F0308" w:rsidRPr="6A827756">
        <w:rPr>
          <w:lang w:val="en-US"/>
        </w:rPr>
        <w:t>.</w:t>
      </w:r>
    </w:p>
    <w:p w14:paraId="70C0BA2C" w14:textId="1C32613A" w:rsidR="00324A24" w:rsidRPr="009C2E05" w:rsidRDefault="002225C2" w:rsidP="007F74D3">
      <w:pPr>
        <w:pStyle w:val="Heading1"/>
        <w:keepNext w:val="0"/>
        <w:keepLines w:val="0"/>
        <w:spacing w:before="120" w:after="120"/>
        <w:ind w:left="567" w:hanging="567"/>
        <w:rPr>
          <w:lang w:val="en-US"/>
        </w:rPr>
      </w:pPr>
      <w:bookmarkStart w:id="28" w:name="_Toc194477925"/>
      <w:r w:rsidRPr="009C2E05">
        <w:rPr>
          <w:lang w:val="en-US"/>
        </w:rPr>
        <w:t>Implementation of Resolution</w:t>
      </w:r>
      <w:r w:rsidR="00F2166D" w:rsidRPr="009C2E05">
        <w:rPr>
          <w:lang w:val="en-US"/>
        </w:rPr>
        <w:t>s</w:t>
      </w:r>
      <w:r w:rsidR="00A73D5B" w:rsidRPr="009C2E05">
        <w:rPr>
          <w:lang w:val="en-US"/>
        </w:rPr>
        <w:t xml:space="preserve"> 1, 2 and</w:t>
      </w:r>
      <w:r w:rsidRPr="009C2E05">
        <w:rPr>
          <w:lang w:val="en-US"/>
        </w:rPr>
        <w:t xml:space="preserve"> 24 by TDAG</w:t>
      </w:r>
      <w:bookmarkEnd w:id="28"/>
    </w:p>
    <w:p w14:paraId="570729E3" w14:textId="77777777" w:rsidR="0058495E" w:rsidRPr="00610D4F" w:rsidRDefault="0058495E" w:rsidP="007F74D3">
      <w:pPr>
        <w:pStyle w:val="Heading2"/>
        <w:keepNext w:val="0"/>
        <w:keepLines w:val="0"/>
        <w:spacing w:before="120" w:after="120"/>
        <w:rPr>
          <w:lang w:val="en-US"/>
        </w:rPr>
      </w:pPr>
      <w:bookmarkStart w:id="29" w:name="_Toc194477926"/>
      <w:r w:rsidRPr="00610D4F">
        <w:rPr>
          <w:lang w:val="en-US"/>
        </w:rPr>
        <w:t>Background</w:t>
      </w:r>
      <w:bookmarkEnd w:id="29"/>
    </w:p>
    <w:p w14:paraId="48DECE3E" w14:textId="77777777" w:rsidR="0058495E" w:rsidRPr="00610D4F" w:rsidRDefault="0058495E" w:rsidP="007F74D3">
      <w:pPr>
        <w:pStyle w:val="CEONormal"/>
        <w:spacing w:before="120" w:after="120"/>
        <w:rPr>
          <w:rFonts w:ascii="Calibri" w:hAnsi="Calibri" w:cs="Calibri"/>
          <w:sz w:val="24"/>
          <w:szCs w:val="24"/>
        </w:rPr>
      </w:pPr>
      <w:r w:rsidRPr="00610D4F">
        <w:rPr>
          <w:rFonts w:ascii="Calibri" w:hAnsi="Calibri" w:cs="Calibri"/>
          <w:sz w:val="24"/>
          <w:szCs w:val="24"/>
        </w:rPr>
        <w:t>According to provision No. 215JA of Article 17 of the Convention of the International Telecommunication Union, the Telecommunication Development Advisory Group (TDAG) shall submit a report to the World Telecommunication Development Conference (WTDC-17) on the specific matters assigned to it by WTDC, in accordance with provision No. 213A of Article 16 of the Convention.</w:t>
      </w:r>
    </w:p>
    <w:p w14:paraId="68F73ABB" w14:textId="398669ED" w:rsidR="002225C2" w:rsidRPr="009C2E05" w:rsidRDefault="00771883" w:rsidP="007F74D3">
      <w:pPr>
        <w:spacing w:after="120"/>
        <w:rPr>
          <w:lang w:val="en-US"/>
        </w:rPr>
      </w:pPr>
      <w:r w:rsidRPr="00864E24">
        <w:rPr>
          <w:rFonts w:ascii="Calibri" w:eastAsia="SimSun" w:hAnsi="Calibri" w:cs="Calibri"/>
          <w:szCs w:val="24"/>
          <w:lang w:val="en-US"/>
        </w:rPr>
        <w:t>Resolution 24 sets forth specific responsibilities for TDAG, mandating it to oversee the Telecommunication Development Sector (ITU-D) work between two consecutive World Telecommunication Development Conferences (WTDC). This report presents a structured analysis that highlights TDAG's actions, decisions, and continuous improvements, emphasizing transparency, efficiency, and inclusivity in meeting the strategic objectives outlined by the ITU.</w:t>
      </w:r>
    </w:p>
    <w:p w14:paraId="376B3FC5" w14:textId="4183FBFC"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lang w:val="en-US"/>
        </w:rPr>
      </w:pPr>
      <w:r w:rsidRPr="003D55C4">
        <w:rPr>
          <w:rFonts w:ascii="Calibri" w:eastAsia="Times New Roman" w:hAnsi="Calibri" w:cs="Calibri"/>
          <w:b/>
          <w:color w:val="000000" w:themeColor="text1"/>
          <w:lang w:val="en-US"/>
        </w:rPr>
        <w:t>Maintenance of Efficient and Flexible Working Guidelines (Resolution 24 resolves 1.i)</w:t>
      </w:r>
    </w:p>
    <w:p w14:paraId="2086228A" w14:textId="77777777" w:rsidR="00342307" w:rsidRDefault="00E41C75" w:rsidP="007F74D3">
      <w:pPr>
        <w:spacing w:after="120"/>
        <w:rPr>
          <w:rFonts w:ascii="Calibri" w:eastAsia="Times New Roman" w:hAnsi="Calibri" w:cs="Calibri"/>
          <w:color w:val="000000" w:themeColor="text1"/>
          <w:lang w:val="en-US"/>
        </w:rPr>
      </w:pPr>
      <w:r w:rsidRPr="00610D4F">
        <w:rPr>
          <w:rFonts w:ascii="Calibri" w:eastAsia="Times New Roman" w:hAnsi="Calibri" w:cs="Calibri"/>
          <w:color w:val="000000" w:themeColor="text1"/>
          <w:lang w:val="en-US"/>
        </w:rPr>
        <w:t xml:space="preserve">Throughout the 2023-2025 cycle, TDAG continuously reviewed and updated its working guidelines to ensure efficiency and flexibility. </w:t>
      </w:r>
    </w:p>
    <w:p w14:paraId="60E89B3A" w14:textId="2207ADFF" w:rsidR="00F35235" w:rsidRDefault="00342307" w:rsidP="007F74D3">
      <w:pPr>
        <w:spacing w:after="120"/>
        <w:rPr>
          <w:rFonts w:ascii="Calibri" w:eastAsia="Times New Roman" w:hAnsi="Calibri" w:cs="Calibri"/>
          <w:color w:val="000000" w:themeColor="text1"/>
          <w:lang w:val="en-US"/>
        </w:rPr>
      </w:pPr>
      <w:r w:rsidRPr="00342307">
        <w:rPr>
          <w:rFonts w:ascii="Calibri" w:eastAsia="Times New Roman" w:hAnsi="Calibri" w:cs="Calibri"/>
          <w:color w:val="000000" w:themeColor="text1"/>
          <w:lang w:val="en-US"/>
        </w:rPr>
        <w:t xml:space="preserve">At </w:t>
      </w:r>
      <w:r w:rsidR="00A039E0">
        <w:rPr>
          <w:rFonts w:ascii="Calibri" w:eastAsia="Times New Roman" w:hAnsi="Calibri" w:cs="Calibri"/>
          <w:color w:val="000000" w:themeColor="text1"/>
          <w:lang w:val="en-US"/>
        </w:rPr>
        <w:t>TDAG-23</w:t>
      </w:r>
      <w:r w:rsidRPr="00342307">
        <w:rPr>
          <w:rFonts w:ascii="Calibri" w:eastAsia="Times New Roman" w:hAnsi="Calibri" w:cs="Calibri"/>
          <w:color w:val="000000" w:themeColor="text1"/>
          <w:lang w:val="en-US"/>
        </w:rPr>
        <w:t xml:space="preserve"> (2023), the Working Group on Streamlining Resolutions (TDAG-WG-SR) was established under </w:t>
      </w:r>
      <w:proofErr w:type="spellStart"/>
      <w:r w:rsidR="008B71BD">
        <w:rPr>
          <w:rFonts w:ascii="Calibri" w:eastAsia="Times New Roman" w:hAnsi="Calibri" w:cs="Calibri"/>
          <w:color w:val="000000" w:themeColor="text1"/>
          <w:lang w:val="en-US"/>
        </w:rPr>
        <w:t>Ms</w:t>
      </w:r>
      <w:proofErr w:type="spellEnd"/>
      <w:r w:rsidR="008B71BD">
        <w:rPr>
          <w:rFonts w:ascii="Calibri" w:eastAsia="Times New Roman" w:hAnsi="Calibri" w:cs="Calibri"/>
          <w:color w:val="000000" w:themeColor="text1"/>
          <w:lang w:val="en-US"/>
        </w:rPr>
        <w:t xml:space="preserve"> </w:t>
      </w:r>
      <w:r w:rsidRPr="00342307">
        <w:rPr>
          <w:rFonts w:ascii="Calibri" w:eastAsia="Times New Roman" w:hAnsi="Calibri" w:cs="Calibri"/>
          <w:color w:val="000000" w:themeColor="text1"/>
          <w:lang w:val="en-US"/>
        </w:rPr>
        <w:t xml:space="preserve">Andrea Mamprim Grippa to eliminate redundancy and align ITU-D resolutions with sector priorities. The group operationalized its collaborative workspace via Microsoft Teams, facilitating real-time cooperation among members. </w:t>
      </w:r>
      <w:r w:rsidR="00A039E0">
        <w:rPr>
          <w:rFonts w:ascii="Calibri" w:eastAsia="Times New Roman" w:hAnsi="Calibri" w:cs="Calibri"/>
          <w:color w:val="000000" w:themeColor="text1"/>
          <w:lang w:val="en-US"/>
        </w:rPr>
        <w:t>TDAG-24</w:t>
      </w:r>
      <w:r w:rsidRPr="00342307">
        <w:rPr>
          <w:rFonts w:ascii="Calibri" w:eastAsia="Times New Roman" w:hAnsi="Calibri" w:cs="Calibri"/>
          <w:color w:val="000000" w:themeColor="text1"/>
          <w:lang w:val="en-US"/>
        </w:rPr>
        <w:t xml:space="preserve"> (2024) approved revised terms of reference, integrating proposals from Member States to harmonize resolutions across ITU sectors. </w:t>
      </w:r>
    </w:p>
    <w:p w14:paraId="516BDD72" w14:textId="4AC41F11" w:rsidR="00342307" w:rsidRDefault="00342307" w:rsidP="007F74D3">
      <w:pPr>
        <w:spacing w:after="120"/>
        <w:rPr>
          <w:rFonts w:ascii="Calibri" w:eastAsia="Times New Roman" w:hAnsi="Calibri" w:cs="Calibri"/>
          <w:color w:val="000000" w:themeColor="text1"/>
          <w:lang w:val="en-US"/>
        </w:rPr>
      </w:pPr>
      <w:r w:rsidRPr="00342307">
        <w:rPr>
          <w:rFonts w:ascii="Calibri" w:eastAsia="Times New Roman" w:hAnsi="Calibri" w:cs="Calibri"/>
          <w:color w:val="000000" w:themeColor="text1"/>
          <w:lang w:val="en-US"/>
        </w:rPr>
        <w:t>Enhanced cross-regional collaboration was further supported through interactive Regional Development Forums (RDFs) and operational dashboards that provided Member States with comprehensive tracking capabilities on the Kigali Action Plan (KAP) implementation</w:t>
      </w:r>
      <w:r>
        <w:rPr>
          <w:rFonts w:ascii="Calibri" w:eastAsia="Times New Roman" w:hAnsi="Calibri" w:cs="Calibri"/>
          <w:color w:val="000000" w:themeColor="text1"/>
          <w:lang w:val="en-US"/>
        </w:rPr>
        <w:t>.</w:t>
      </w:r>
    </w:p>
    <w:p w14:paraId="705F3D36" w14:textId="646F8056" w:rsidR="00FE41D1" w:rsidRPr="00610D4F" w:rsidRDefault="00E41C75" w:rsidP="007F74D3">
      <w:pPr>
        <w:spacing w:after="120"/>
        <w:rPr>
          <w:rFonts w:ascii="Calibri" w:eastAsia="Times New Roman" w:hAnsi="Calibri" w:cs="Calibri"/>
          <w:color w:val="000000" w:themeColor="text1"/>
          <w:lang w:val="en-US"/>
        </w:rPr>
      </w:pPr>
      <w:r w:rsidRPr="00610D4F">
        <w:rPr>
          <w:rFonts w:ascii="Calibri" w:eastAsia="Times New Roman" w:hAnsi="Calibri" w:cs="Calibri"/>
          <w:color w:val="000000" w:themeColor="text1"/>
          <w:lang w:val="en-US"/>
        </w:rPr>
        <w:t xml:space="preserve">Notable enhancements included the creation and endorsement of comprehensive dashboards to monitor the implementation of the Kigali Action Plan (KAP) and the ITU-D Operational Plans (2024-2027). These dashboards, endorsed during </w:t>
      </w:r>
      <w:r w:rsidR="00A039E0">
        <w:rPr>
          <w:rFonts w:ascii="Calibri" w:eastAsia="Times New Roman" w:hAnsi="Calibri" w:cs="Calibri"/>
          <w:color w:val="000000" w:themeColor="text1"/>
          <w:lang w:val="en-US"/>
        </w:rPr>
        <w:t>TDAG-23</w:t>
      </w:r>
      <w:r w:rsidRPr="00610D4F">
        <w:rPr>
          <w:rFonts w:ascii="Calibri" w:eastAsia="Times New Roman" w:hAnsi="Calibri" w:cs="Calibri"/>
          <w:color w:val="000000" w:themeColor="text1"/>
          <w:lang w:val="en-US"/>
        </w:rPr>
        <w:t xml:space="preserve"> in June 2023 and </w:t>
      </w:r>
      <w:r w:rsidR="00A039E0">
        <w:rPr>
          <w:rFonts w:ascii="Calibri" w:eastAsia="Times New Roman" w:hAnsi="Calibri" w:cs="Calibri"/>
          <w:color w:val="000000" w:themeColor="text1"/>
          <w:lang w:val="en-US"/>
        </w:rPr>
        <w:t>TDAG-24</w:t>
      </w:r>
      <w:r w:rsidRPr="00610D4F">
        <w:rPr>
          <w:rFonts w:ascii="Calibri" w:eastAsia="Times New Roman" w:hAnsi="Calibri" w:cs="Calibri"/>
          <w:color w:val="000000" w:themeColor="text1"/>
          <w:lang w:val="en-US"/>
        </w:rPr>
        <w:t xml:space="preserve"> in May 2024, provided transparent and real-time updates on project and budgetary implementation. Furthermore, TDAG introduced a new Project Dashboard at the Extra-Ordinary meeting in January 2025, significantly improving project transparency and accountability.</w:t>
      </w:r>
    </w:p>
    <w:p w14:paraId="73867624" w14:textId="20596583"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610D4F">
        <w:rPr>
          <w:rFonts w:ascii="Calibri" w:eastAsia="Times New Roman" w:hAnsi="Calibri" w:cs="Calibri"/>
          <w:b/>
          <w:color w:val="000000" w:themeColor="text1"/>
          <w:lang w:val="en-US"/>
        </w:rPr>
        <w:t>Review of Objectives and Budgetary Appropriations (Resolution 24 resolves 1.ii)</w:t>
      </w:r>
    </w:p>
    <w:p w14:paraId="6F381F57" w14:textId="19FFB3D1" w:rsidR="003F02EF" w:rsidRDefault="00E41C75" w:rsidP="007F74D3">
      <w:pPr>
        <w:spacing w:after="120"/>
        <w:rPr>
          <w:rFonts w:ascii="Calibri" w:eastAsia="Times New Roman" w:hAnsi="Calibri" w:cs="Calibri"/>
          <w:color w:val="000000" w:themeColor="text1"/>
          <w:lang w:val="en-US"/>
        </w:rPr>
      </w:pPr>
      <w:r w:rsidRPr="00610D4F">
        <w:rPr>
          <w:rFonts w:ascii="Calibri" w:eastAsia="Times New Roman" w:hAnsi="Calibri" w:cs="Calibri"/>
          <w:color w:val="000000" w:themeColor="text1"/>
          <w:lang w:val="en-US"/>
        </w:rPr>
        <w:t xml:space="preserve">TDAG actively reviewed and advised on the correlation between ITU-D strategic objectives and budget allocations. At </w:t>
      </w:r>
      <w:r>
        <w:rPr>
          <w:rFonts w:ascii="Calibri" w:eastAsia="Times New Roman" w:hAnsi="Calibri" w:cs="Calibri"/>
          <w:color w:val="000000" w:themeColor="text1"/>
          <w:lang w:val="en-US"/>
        </w:rPr>
        <w:t>TDAG-</w:t>
      </w:r>
      <w:r w:rsidR="00A039E0">
        <w:rPr>
          <w:rFonts w:ascii="Calibri" w:eastAsia="Times New Roman" w:hAnsi="Calibri" w:cs="Calibri"/>
          <w:color w:val="000000" w:themeColor="text1"/>
          <w:lang w:val="en-US"/>
        </w:rPr>
        <w:t>23</w:t>
      </w:r>
      <w:r w:rsidRPr="00610D4F">
        <w:rPr>
          <w:rFonts w:ascii="Calibri" w:eastAsia="Times New Roman" w:hAnsi="Calibri" w:cs="Calibri"/>
          <w:color w:val="000000" w:themeColor="text1"/>
          <w:lang w:val="en-US"/>
        </w:rPr>
        <w:t xml:space="preserve">, the 2024 Operational Plan, featuring detailed regional budget distributions, was thoroughly reviewed and endorsed. </w:t>
      </w:r>
      <w:r w:rsidR="00927E6B" w:rsidRPr="00927E6B">
        <w:rPr>
          <w:rFonts w:ascii="Calibri" w:eastAsia="Times New Roman" w:hAnsi="Calibri" w:cs="Calibri"/>
          <w:color w:val="000000" w:themeColor="text1"/>
          <w:lang w:val="en-US"/>
        </w:rPr>
        <w:t xml:space="preserve">During </w:t>
      </w:r>
      <w:r w:rsidR="00A039E0">
        <w:rPr>
          <w:rFonts w:ascii="Calibri" w:eastAsia="Times New Roman" w:hAnsi="Calibri" w:cs="Calibri"/>
          <w:color w:val="000000" w:themeColor="text1"/>
          <w:lang w:val="en-US"/>
        </w:rPr>
        <w:t>TDAG-23</w:t>
      </w:r>
      <w:r w:rsidR="00927E6B" w:rsidRPr="00927E6B">
        <w:rPr>
          <w:rFonts w:ascii="Calibri" w:eastAsia="Times New Roman" w:hAnsi="Calibri" w:cs="Calibri"/>
          <w:color w:val="000000" w:themeColor="text1"/>
          <w:lang w:val="en-US"/>
        </w:rPr>
        <w:t xml:space="preserve">, the comprehensive </w:t>
      </w:r>
      <w:r w:rsidR="00C249EE">
        <w:rPr>
          <w:rFonts w:ascii="Calibri" w:eastAsia="Times New Roman" w:hAnsi="Calibri" w:cs="Calibri"/>
          <w:color w:val="000000" w:themeColor="text1"/>
          <w:lang w:val="en-US"/>
        </w:rPr>
        <w:t>review</w:t>
      </w:r>
      <w:r w:rsidR="00927E6B" w:rsidRPr="00927E6B">
        <w:rPr>
          <w:rFonts w:ascii="Calibri" w:eastAsia="Times New Roman" w:hAnsi="Calibri" w:cs="Calibri"/>
          <w:color w:val="000000" w:themeColor="text1"/>
          <w:lang w:val="en-US"/>
        </w:rPr>
        <w:t xml:space="preserve"> of the ITU-D Operational Plan 2024–2027 featured detailed financial mapping and regional budget allocations, ensuring priorities such as digital transformation, cybersecurity, and regional initiatives were sufficiently funded. </w:t>
      </w:r>
    </w:p>
    <w:p w14:paraId="2854CCC1" w14:textId="624253F1" w:rsidR="00E41C75" w:rsidRPr="00610D4F" w:rsidRDefault="00927E6B" w:rsidP="007F74D3">
      <w:pPr>
        <w:spacing w:after="120"/>
        <w:rPr>
          <w:rFonts w:ascii="Calibri" w:eastAsia="Times New Roman" w:hAnsi="Calibri" w:cs="Calibri"/>
          <w:color w:val="000000" w:themeColor="text1"/>
        </w:rPr>
      </w:pPr>
      <w:r w:rsidRPr="248CB2EC">
        <w:rPr>
          <w:rFonts w:ascii="Calibri" w:eastAsia="Times New Roman" w:hAnsi="Calibri" w:cs="Calibri"/>
          <w:color w:val="000000" w:themeColor="text1"/>
        </w:rPr>
        <w:lastRenderedPageBreak/>
        <w:t xml:space="preserve">The operational plan dashboard presented at </w:t>
      </w:r>
      <w:r w:rsidR="00A039E0" w:rsidRPr="248CB2EC">
        <w:rPr>
          <w:rFonts w:ascii="Calibri" w:eastAsia="Times New Roman" w:hAnsi="Calibri" w:cs="Calibri"/>
          <w:color w:val="000000" w:themeColor="text1"/>
        </w:rPr>
        <w:t>TDAG-24</w:t>
      </w:r>
      <w:r w:rsidRPr="248CB2EC">
        <w:rPr>
          <w:rFonts w:ascii="Calibri" w:eastAsia="Times New Roman" w:hAnsi="Calibri" w:cs="Calibri"/>
          <w:color w:val="000000" w:themeColor="text1"/>
        </w:rPr>
        <w:t xml:space="preserve"> provided robust financial monitoring, real-time tracking, and facilitated the introduction of biannual donor reporting</w:t>
      </w:r>
      <w:r w:rsidR="003F02EF" w:rsidRPr="248CB2EC">
        <w:rPr>
          <w:rFonts w:ascii="Calibri" w:eastAsia="Times New Roman" w:hAnsi="Calibri" w:cs="Calibri"/>
          <w:color w:val="000000" w:themeColor="text1"/>
        </w:rPr>
        <w:t xml:space="preserve"> for the projects under implementation</w:t>
      </w:r>
      <w:r w:rsidRPr="248CB2EC">
        <w:rPr>
          <w:rFonts w:ascii="Calibri" w:eastAsia="Times New Roman" w:hAnsi="Calibri" w:cs="Calibri"/>
          <w:color w:val="000000" w:themeColor="text1"/>
        </w:rPr>
        <w:t>.</w:t>
      </w:r>
    </w:p>
    <w:p w14:paraId="3077A744" w14:textId="0481117A"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Guidance on ITU-D Four-Year Operational Plan (Resolution 24 resolves 1.iii)</w:t>
      </w:r>
    </w:p>
    <w:p w14:paraId="7958A26F" w14:textId="4BE446E5" w:rsidR="00E41C75" w:rsidRPr="00610D4F" w:rsidRDefault="00E41C75" w:rsidP="007F74D3">
      <w:pPr>
        <w:spacing w:after="120"/>
        <w:rPr>
          <w:rFonts w:ascii="Calibri" w:eastAsia="Times New Roman" w:hAnsi="Calibri" w:cs="Calibri"/>
          <w:color w:val="000000"/>
        </w:rPr>
      </w:pPr>
      <w:r w:rsidRPr="00610D4F">
        <w:rPr>
          <w:rFonts w:ascii="Calibri" w:eastAsia="Times New Roman" w:hAnsi="Calibri" w:cs="Calibri"/>
          <w:color w:val="000000" w:themeColor="text1"/>
        </w:rPr>
        <w:t xml:space="preserve">TDAG provided continuous and substantive guidance on the ITU-D rolling four-year operational plan. Key performance indicators (KPIs) developed for monitoring the Kigali Action Plan were approved at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23</w:t>
      </w:r>
      <w:r w:rsidRPr="00610D4F">
        <w:rPr>
          <w:rFonts w:ascii="Calibri" w:eastAsia="Times New Roman" w:hAnsi="Calibri" w:cs="Calibri"/>
          <w:color w:val="000000" w:themeColor="text1"/>
        </w:rPr>
        <w:t>.</w:t>
      </w:r>
      <w:r w:rsidR="00EE1B67">
        <w:rPr>
          <w:rFonts w:ascii="Calibri" w:eastAsia="Times New Roman" w:hAnsi="Calibri" w:cs="Calibri"/>
          <w:color w:val="000000" w:themeColor="text1"/>
        </w:rPr>
        <w:t xml:space="preserve"> </w:t>
      </w:r>
      <w:r w:rsidR="00EE57C3" w:rsidRPr="248CB2EC">
        <w:rPr>
          <w:rFonts w:ascii="Calibri" w:eastAsia="Times New Roman" w:hAnsi="Calibri" w:cs="Calibri"/>
          <w:color w:val="000000" w:themeColor="text1"/>
        </w:rPr>
        <w:t xml:space="preserve">This involved a rolling four-year operational plan aligned with the KAP, endorsing 45 Key Performance Indicators (KPIs) at </w:t>
      </w:r>
      <w:r w:rsidR="00A039E0" w:rsidRPr="248CB2EC">
        <w:rPr>
          <w:rFonts w:ascii="Calibri" w:eastAsia="Times New Roman" w:hAnsi="Calibri" w:cs="Calibri"/>
          <w:color w:val="000000" w:themeColor="text1"/>
        </w:rPr>
        <w:t>TDAG-23</w:t>
      </w:r>
      <w:r w:rsidR="00EE57C3" w:rsidRPr="248CB2EC">
        <w:rPr>
          <w:rFonts w:ascii="Calibri" w:eastAsia="Times New Roman" w:hAnsi="Calibri" w:cs="Calibri"/>
          <w:color w:val="000000" w:themeColor="text1"/>
        </w:rPr>
        <w:t>. These KPIs, comprising 18 outcome indicators and 27 output indicators, allowed for precise progress measurement</w:t>
      </w:r>
      <w:r w:rsidR="0056725E" w:rsidRPr="248CB2EC">
        <w:rPr>
          <w:rFonts w:ascii="Calibri" w:eastAsia="Times New Roman" w:hAnsi="Calibri" w:cs="Calibri"/>
          <w:color w:val="000000" w:themeColor="text1"/>
        </w:rPr>
        <w:t>.</w:t>
      </w:r>
      <w:r w:rsidRPr="248CB2EC">
        <w:rPr>
          <w:rFonts w:ascii="Calibri" w:eastAsia="Times New Roman" w:hAnsi="Calibri" w:cs="Calibri"/>
          <w:color w:val="000000" w:themeColor="text1"/>
        </w:rPr>
        <w:t xml:space="preserve"> </w:t>
      </w:r>
      <w:r w:rsidRPr="00610D4F">
        <w:rPr>
          <w:rFonts w:ascii="Calibri" w:eastAsia="Times New Roman" w:hAnsi="Calibri" w:cs="Calibri"/>
          <w:color w:val="000000" w:themeColor="text1"/>
        </w:rPr>
        <w:t xml:space="preserve">Regular monitoring via comprehensive dashboards presented at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24</w:t>
      </w:r>
      <w:r w:rsidRPr="00610D4F">
        <w:rPr>
          <w:rFonts w:ascii="Calibri" w:eastAsia="Times New Roman" w:hAnsi="Calibri" w:cs="Calibri"/>
          <w:color w:val="000000" w:themeColor="text1"/>
        </w:rPr>
        <w:t xml:space="preserve"> ensured alignment with strategic objectives and enabled effective tracking of progress toward established targets.</w:t>
      </w:r>
    </w:p>
    <w:p w14:paraId="585C6825" w14:textId="095E408F"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610D4F">
        <w:rPr>
          <w:rFonts w:ascii="Calibri" w:eastAsia="Times New Roman" w:hAnsi="Calibri" w:cs="Calibri"/>
          <w:b/>
          <w:color w:val="000000" w:themeColor="text1"/>
          <w:lang w:val="en-US"/>
        </w:rPr>
        <w:t>Periodic Evaluation of Working Methods and WTDC Action Plan Implementation (Resolution 24 resolves 1.iv)</w:t>
      </w:r>
    </w:p>
    <w:p w14:paraId="583FCD45" w14:textId="789937E7" w:rsidR="00E41C75" w:rsidRDefault="00E41C75" w:rsidP="007F74D3">
      <w:pPr>
        <w:spacing w:after="120"/>
        <w:rPr>
          <w:rFonts w:ascii="Calibri" w:eastAsia="Times New Roman" w:hAnsi="Calibri" w:cs="Calibri"/>
          <w:color w:val="000000" w:themeColor="text1"/>
          <w:lang w:val="en-US"/>
        </w:rPr>
      </w:pPr>
      <w:r w:rsidRPr="00610D4F">
        <w:rPr>
          <w:rFonts w:ascii="Calibri" w:eastAsia="Times New Roman" w:hAnsi="Calibri" w:cs="Calibri"/>
          <w:color w:val="000000" w:themeColor="text1"/>
          <w:lang w:val="en-US"/>
        </w:rPr>
        <w:t xml:space="preserve">TDAG regularly assessed its working methods, focusing on enhancing the implementation of the WTDC Action Plan. The establishment of the TDAG Working Group on Streamlining Resolutions (WG-SR) during </w:t>
      </w:r>
      <w:r>
        <w:rPr>
          <w:rFonts w:ascii="Calibri" w:eastAsia="Times New Roman" w:hAnsi="Calibri" w:cs="Calibri"/>
          <w:color w:val="000000" w:themeColor="text1"/>
          <w:lang w:val="en-US"/>
        </w:rPr>
        <w:t>TDAG-</w:t>
      </w:r>
      <w:r w:rsidR="00A039E0">
        <w:rPr>
          <w:rFonts w:ascii="Calibri" w:eastAsia="Times New Roman" w:hAnsi="Calibri" w:cs="Calibri"/>
          <w:color w:val="000000" w:themeColor="text1"/>
          <w:lang w:val="en-US"/>
        </w:rPr>
        <w:t>23</w:t>
      </w:r>
      <w:r w:rsidRPr="00610D4F">
        <w:rPr>
          <w:rFonts w:ascii="Calibri" w:eastAsia="Times New Roman" w:hAnsi="Calibri" w:cs="Calibri"/>
          <w:color w:val="000000" w:themeColor="text1"/>
          <w:lang w:val="en-US"/>
        </w:rPr>
        <w:t xml:space="preserve"> exemplified TDAG’s commitment to operational efficiency. Interactive sessions at </w:t>
      </w:r>
      <w:r>
        <w:rPr>
          <w:rFonts w:ascii="Calibri" w:eastAsia="Times New Roman" w:hAnsi="Calibri" w:cs="Calibri"/>
          <w:color w:val="000000" w:themeColor="text1"/>
          <w:lang w:val="en-US"/>
        </w:rPr>
        <w:t>TDAG-</w:t>
      </w:r>
      <w:r w:rsidR="00A039E0">
        <w:rPr>
          <w:rFonts w:ascii="Calibri" w:eastAsia="Times New Roman" w:hAnsi="Calibri" w:cs="Calibri"/>
          <w:color w:val="000000" w:themeColor="text1"/>
          <w:lang w:val="en-US"/>
        </w:rPr>
        <w:t>24</w:t>
      </w:r>
      <w:r w:rsidRPr="00610D4F">
        <w:rPr>
          <w:rFonts w:ascii="Calibri" w:eastAsia="Times New Roman" w:hAnsi="Calibri" w:cs="Calibri"/>
          <w:color w:val="000000" w:themeColor="text1"/>
          <w:lang w:val="en-US"/>
        </w:rPr>
        <w:t xml:space="preserve"> further evaluated the effectiveness and impact of ITU-D activities, resulting in practical recommendations for improvement.</w:t>
      </w:r>
    </w:p>
    <w:p w14:paraId="7B4BB2ED" w14:textId="1989D000" w:rsidR="00EA4C7B" w:rsidRPr="009C2E05" w:rsidRDefault="00EA4C7B" w:rsidP="007F74D3">
      <w:pPr>
        <w:spacing w:after="120"/>
        <w:rPr>
          <w:rFonts w:ascii="Calibri" w:eastAsia="Times New Roman" w:hAnsi="Calibri" w:cs="Calibri"/>
          <w:color w:val="000000" w:themeColor="text1"/>
          <w:lang w:val="en-US"/>
        </w:rPr>
      </w:pPr>
      <w:r>
        <w:rPr>
          <w:rFonts w:ascii="Calibri" w:eastAsia="Times New Roman" w:hAnsi="Calibri" w:cs="Calibri"/>
          <w:color w:val="000000" w:themeColor="text1"/>
          <w:lang w:val="en-US"/>
        </w:rPr>
        <w:t>Another notable development was the establishment of</w:t>
      </w:r>
      <w:r w:rsidRPr="00EA4C7B">
        <w:rPr>
          <w:rFonts w:ascii="Calibri" w:eastAsia="Times New Roman" w:hAnsi="Calibri" w:cs="Calibri"/>
          <w:color w:val="000000" w:themeColor="text1"/>
          <w:lang w:val="en-US"/>
        </w:rPr>
        <w:t xml:space="preserve"> the Working Group on Future Study Group Questions (TDAG-WG-</w:t>
      </w:r>
      <w:proofErr w:type="spellStart"/>
      <w:r w:rsidRPr="00EA4C7B">
        <w:rPr>
          <w:rFonts w:ascii="Calibri" w:eastAsia="Times New Roman" w:hAnsi="Calibri" w:cs="Calibri"/>
          <w:color w:val="000000" w:themeColor="text1"/>
          <w:lang w:val="en-US"/>
        </w:rPr>
        <w:t>futureSGQ</w:t>
      </w:r>
      <w:proofErr w:type="spellEnd"/>
      <w:r w:rsidRPr="00EA4C7B">
        <w:rPr>
          <w:rFonts w:ascii="Calibri" w:eastAsia="Times New Roman" w:hAnsi="Calibri" w:cs="Calibri"/>
          <w:color w:val="000000" w:themeColor="text1"/>
          <w:lang w:val="en-US"/>
        </w:rPr>
        <w:t xml:space="preserve">) to </w:t>
      </w:r>
      <w:r w:rsidR="002B7DCD">
        <w:rPr>
          <w:rFonts w:ascii="Calibri" w:eastAsia="Times New Roman" w:hAnsi="Calibri" w:cs="Calibri"/>
          <w:color w:val="000000" w:themeColor="text1"/>
          <w:lang w:val="en-US"/>
        </w:rPr>
        <w:t>review</w:t>
      </w:r>
      <w:r w:rsidRPr="00EA4C7B">
        <w:rPr>
          <w:rFonts w:ascii="Calibri" w:eastAsia="Times New Roman" w:hAnsi="Calibri" w:cs="Calibri"/>
          <w:color w:val="000000" w:themeColor="text1"/>
          <w:lang w:val="en-US"/>
        </w:rPr>
        <w:t xml:space="preserve"> study group mandates</w:t>
      </w:r>
      <w:r w:rsidR="002B7DCD">
        <w:rPr>
          <w:rFonts w:ascii="Calibri" w:eastAsia="Times New Roman" w:hAnsi="Calibri" w:cs="Calibri"/>
          <w:color w:val="000000" w:themeColor="text1"/>
          <w:lang w:val="en-US"/>
        </w:rPr>
        <w:t xml:space="preserve"> and questions</w:t>
      </w:r>
      <w:r w:rsidRPr="00EA4C7B">
        <w:rPr>
          <w:rFonts w:ascii="Calibri" w:eastAsia="Times New Roman" w:hAnsi="Calibri" w:cs="Calibri"/>
          <w:color w:val="000000" w:themeColor="text1"/>
          <w:lang w:val="en-US"/>
        </w:rPr>
        <w:t xml:space="preserve">. By </w:t>
      </w:r>
      <w:r w:rsidR="00A039E0">
        <w:rPr>
          <w:rFonts w:ascii="Calibri" w:eastAsia="Times New Roman" w:hAnsi="Calibri" w:cs="Calibri"/>
          <w:color w:val="000000" w:themeColor="text1"/>
          <w:lang w:val="en-US"/>
        </w:rPr>
        <w:t>TDAG-24</w:t>
      </w:r>
      <w:r w:rsidRPr="00EA4C7B">
        <w:rPr>
          <w:rFonts w:ascii="Calibri" w:eastAsia="Times New Roman" w:hAnsi="Calibri" w:cs="Calibri"/>
          <w:color w:val="000000" w:themeColor="text1"/>
          <w:lang w:val="en-US"/>
        </w:rPr>
        <w:t xml:space="preserve">, concrete proposals emerged, recommending a reduction from 14 to 10 study questions, effectively merging overlapping issues. Furthermore, </w:t>
      </w:r>
      <w:r w:rsidR="00A039E0">
        <w:rPr>
          <w:rFonts w:ascii="Calibri" w:eastAsia="Times New Roman" w:hAnsi="Calibri" w:cs="Calibri"/>
          <w:color w:val="000000" w:themeColor="text1"/>
          <w:lang w:val="en-US"/>
        </w:rPr>
        <w:t>TDAG-24</w:t>
      </w:r>
      <w:r w:rsidRPr="00EA4C7B">
        <w:rPr>
          <w:rFonts w:ascii="Calibri" w:eastAsia="Times New Roman" w:hAnsi="Calibri" w:cs="Calibri"/>
          <w:color w:val="000000" w:themeColor="text1"/>
          <w:lang w:val="en-US"/>
        </w:rPr>
        <w:t xml:space="preserve"> approved robust guidelines for hybrid participation at WTDC-25, incorporating legal and operational frameworks tailored for inclusivity, particularly benefiting developing countries. Initiatives like proposal on survey streamlining, presented at </w:t>
      </w:r>
      <w:r w:rsidR="00A039E0">
        <w:rPr>
          <w:rFonts w:ascii="Calibri" w:eastAsia="Times New Roman" w:hAnsi="Calibri" w:cs="Calibri"/>
          <w:color w:val="000000" w:themeColor="text1"/>
          <w:lang w:val="en-US"/>
        </w:rPr>
        <w:t>TDAG-24</w:t>
      </w:r>
      <w:r w:rsidRPr="00EA4C7B">
        <w:rPr>
          <w:rFonts w:ascii="Calibri" w:eastAsia="Times New Roman" w:hAnsi="Calibri" w:cs="Calibri"/>
          <w:color w:val="000000" w:themeColor="text1"/>
          <w:lang w:val="en-US"/>
        </w:rPr>
        <w:t>, further reduced administrative burdens by synchronizing data collection cycles</w:t>
      </w:r>
    </w:p>
    <w:p w14:paraId="4E24B08E" w14:textId="5678372D" w:rsidR="00C46B64" w:rsidRPr="00610D4F" w:rsidRDefault="003325D3" w:rsidP="007F74D3">
      <w:pPr>
        <w:pStyle w:val="CEONormal"/>
        <w:tabs>
          <w:tab w:val="left" w:pos="794"/>
          <w:tab w:val="left" w:pos="1191"/>
          <w:tab w:val="left" w:pos="1588"/>
          <w:tab w:val="left" w:pos="1985"/>
        </w:tabs>
        <w:overflowPunct w:val="0"/>
        <w:autoSpaceDE w:val="0"/>
        <w:autoSpaceDN w:val="0"/>
        <w:adjustRightInd w:val="0"/>
        <w:spacing w:before="120" w:after="120"/>
        <w:textAlignment w:val="baseline"/>
        <w:rPr>
          <w:rFonts w:ascii="Calibri" w:hAnsi="Calibri" w:cs="Calibri"/>
          <w:sz w:val="24"/>
          <w:szCs w:val="24"/>
        </w:rPr>
      </w:pPr>
      <w:r w:rsidRPr="00610D4F">
        <w:rPr>
          <w:rFonts w:ascii="Calibri" w:hAnsi="Calibri" w:cs="Calibri"/>
          <w:sz w:val="24"/>
          <w:szCs w:val="24"/>
        </w:rPr>
        <w:t>Throughout the period since WTDC-22 the BDT Director has reported systematically to TDAG at each meeting on BDT’s progress on its implementation of the four-year ITU-D operational plan as well as on BDT’s efforts in strengthening partnerships and resource mobilization for implementation of larger scale and more impactful projects and initiatives.</w:t>
      </w:r>
      <w:r w:rsidR="00EE1B67">
        <w:rPr>
          <w:rFonts w:ascii="Calibri" w:hAnsi="Calibri" w:cs="Calibri"/>
          <w:sz w:val="24"/>
          <w:szCs w:val="24"/>
        </w:rPr>
        <w:t xml:space="preserve"> </w:t>
      </w:r>
    </w:p>
    <w:p w14:paraId="32F9C657" w14:textId="0A21CEB2" w:rsidR="003325D3" w:rsidRPr="00610D4F" w:rsidRDefault="003325D3" w:rsidP="007F74D3">
      <w:pPr>
        <w:pStyle w:val="CEONormal"/>
        <w:tabs>
          <w:tab w:val="left" w:pos="794"/>
          <w:tab w:val="left" w:pos="1191"/>
          <w:tab w:val="left" w:pos="1588"/>
          <w:tab w:val="left" w:pos="1985"/>
        </w:tabs>
        <w:overflowPunct w:val="0"/>
        <w:autoSpaceDE w:val="0"/>
        <w:autoSpaceDN w:val="0"/>
        <w:adjustRightInd w:val="0"/>
        <w:spacing w:before="120" w:after="120"/>
        <w:textAlignment w:val="baseline"/>
        <w:rPr>
          <w:rFonts w:ascii="Calibri" w:hAnsi="Calibri" w:cs="Calibri"/>
        </w:rPr>
      </w:pPr>
      <w:r w:rsidRPr="00610D4F">
        <w:rPr>
          <w:rFonts w:ascii="Calibri" w:hAnsi="Calibri" w:cs="Calibri"/>
          <w:sz w:val="24"/>
          <w:szCs w:val="24"/>
        </w:rPr>
        <w:t>The BDT Director has also regularly informed TDAG of new initiatives created and implemented by BDT including related to inclusion of youth, women and other specific sectors of the society.</w:t>
      </w:r>
      <w:r w:rsidR="00EE1B67">
        <w:rPr>
          <w:rFonts w:ascii="Calibri" w:hAnsi="Calibri" w:cs="Calibri"/>
          <w:sz w:val="24"/>
          <w:szCs w:val="24"/>
        </w:rPr>
        <w:t xml:space="preserve"> </w:t>
      </w:r>
      <w:r w:rsidRPr="00610D4F">
        <w:rPr>
          <w:rFonts w:ascii="Calibri" w:hAnsi="Calibri" w:cs="Calibri"/>
          <w:sz w:val="24"/>
          <w:szCs w:val="24"/>
        </w:rPr>
        <w:t xml:space="preserve">This regular reporting has also included information extracted from a series of interactive dashboards which have been implemented by BDT management and which track, in real time, the status of activities and projects and the use of the resources assigned to BDT. TDAG has welcomed and analysed these reports throughout the period and has been able to monitor delivery, and to provide invaluable oversight and advice to the BDT Director on ways to improve and enhance the delivery of activities, including projects, programmes and regional initiatives. </w:t>
      </w:r>
    </w:p>
    <w:p w14:paraId="5F4D5B7B" w14:textId="77BE0A10"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 xml:space="preserve">Evaluation of Study Group Methods and Synergies (Resolution </w:t>
      </w:r>
      <w:r w:rsidR="00870A1B" w:rsidRPr="003D55C4">
        <w:rPr>
          <w:rFonts w:ascii="Calibri" w:eastAsia="Times New Roman" w:hAnsi="Calibri" w:cs="Calibri"/>
          <w:b/>
          <w:color w:val="000000" w:themeColor="text1"/>
          <w:lang w:val="en-US"/>
        </w:rPr>
        <w:t xml:space="preserve">1, 2, and Resolution </w:t>
      </w:r>
      <w:r w:rsidRPr="003D55C4">
        <w:rPr>
          <w:rFonts w:ascii="Calibri" w:eastAsia="Times New Roman" w:hAnsi="Calibri" w:cs="Calibri"/>
          <w:b/>
          <w:color w:val="000000" w:themeColor="text1"/>
          <w:lang w:val="en-US"/>
        </w:rPr>
        <w:t xml:space="preserve">24 resolves </w:t>
      </w:r>
      <w:proofErr w:type="gramStart"/>
      <w:r w:rsidRPr="003D55C4">
        <w:rPr>
          <w:rFonts w:ascii="Calibri" w:eastAsia="Times New Roman" w:hAnsi="Calibri" w:cs="Calibri"/>
          <w:b/>
          <w:color w:val="000000" w:themeColor="text1"/>
          <w:lang w:val="en-US"/>
        </w:rPr>
        <w:t>1.v</w:t>
      </w:r>
      <w:proofErr w:type="gramEnd"/>
      <w:r w:rsidRPr="003D55C4">
        <w:rPr>
          <w:rFonts w:ascii="Calibri" w:eastAsia="Times New Roman" w:hAnsi="Calibri" w:cs="Calibri"/>
          <w:b/>
          <w:color w:val="000000" w:themeColor="text1"/>
          <w:lang w:val="en-US"/>
        </w:rPr>
        <w:t xml:space="preserve"> &amp; 1.vi)</w:t>
      </w:r>
    </w:p>
    <w:p w14:paraId="459C17FB" w14:textId="77777777" w:rsidR="00511FE7" w:rsidRDefault="00511FE7" w:rsidP="007F74D3">
      <w:pPr>
        <w:spacing w:after="120"/>
        <w:rPr>
          <w:rFonts w:ascii="Calibri" w:eastAsia="Times New Roman" w:hAnsi="Calibri" w:cs="Calibri"/>
          <w:color w:val="000000" w:themeColor="text1"/>
          <w:szCs w:val="24"/>
          <w:lang w:val="en-US"/>
        </w:rPr>
      </w:pPr>
      <w:r w:rsidRPr="000E6452">
        <w:rPr>
          <w:rFonts w:ascii="Calibri" w:eastAsia="Times New Roman" w:hAnsi="Calibri" w:cs="Calibri"/>
          <w:color w:val="000000" w:themeColor="text1"/>
          <w:szCs w:val="24"/>
          <w:lang w:val="en-US"/>
        </w:rPr>
        <w:t xml:space="preserve">TDAG continuously assessed and optimized study group structures to enhance effectiveness. </w:t>
      </w:r>
      <w:r>
        <w:rPr>
          <w:rFonts w:ascii="Calibri" w:eastAsia="Times New Roman" w:hAnsi="Calibri" w:cs="Calibri"/>
          <w:color w:val="000000" w:themeColor="text1"/>
          <w:szCs w:val="24"/>
          <w:lang w:val="en-US"/>
        </w:rPr>
        <w:t>TDAG-24</w:t>
      </w:r>
      <w:r w:rsidRPr="000E6452">
        <w:rPr>
          <w:rFonts w:ascii="Calibri" w:eastAsia="Times New Roman" w:hAnsi="Calibri" w:cs="Calibri"/>
          <w:color w:val="000000" w:themeColor="text1"/>
          <w:szCs w:val="24"/>
          <w:lang w:val="en-US"/>
        </w:rPr>
        <w:t xml:space="preserve"> actively reviewed significant restructuring proposals</w:t>
      </w:r>
      <w:r>
        <w:rPr>
          <w:rFonts w:ascii="Calibri" w:eastAsia="Times New Roman" w:hAnsi="Calibri" w:cs="Calibri"/>
          <w:color w:val="000000" w:themeColor="text1"/>
          <w:szCs w:val="24"/>
          <w:lang w:val="en-US"/>
        </w:rPr>
        <w:t xml:space="preserve"> by the Member States</w:t>
      </w:r>
      <w:r w:rsidRPr="000E6452">
        <w:rPr>
          <w:rFonts w:ascii="Calibri" w:eastAsia="Times New Roman" w:hAnsi="Calibri" w:cs="Calibri"/>
          <w:color w:val="000000" w:themeColor="text1"/>
          <w:szCs w:val="24"/>
          <w:lang w:val="en-US"/>
        </w:rPr>
        <w:t xml:space="preserve">. TDAG ensured the regular monitoring of performance metrics, noting improved gender balance, particularly a commendable 45% female participation rate in Study Group 1 meetings. Synergy enhancements mandated at </w:t>
      </w:r>
      <w:r>
        <w:rPr>
          <w:rFonts w:ascii="Calibri" w:eastAsia="Times New Roman" w:hAnsi="Calibri" w:cs="Calibri"/>
          <w:color w:val="000000" w:themeColor="text1"/>
          <w:szCs w:val="24"/>
          <w:lang w:val="en-US"/>
        </w:rPr>
        <w:t>TDAG-24</w:t>
      </w:r>
      <w:r w:rsidRPr="000E6452">
        <w:rPr>
          <w:rFonts w:ascii="Calibri" w:eastAsia="Times New Roman" w:hAnsi="Calibri" w:cs="Calibri"/>
          <w:color w:val="000000" w:themeColor="text1"/>
          <w:szCs w:val="24"/>
          <w:lang w:val="en-US"/>
        </w:rPr>
        <w:t xml:space="preserve"> fostered closer collaboration among ITU sectors through </w:t>
      </w:r>
      <w:r w:rsidRPr="000E6452">
        <w:rPr>
          <w:rFonts w:ascii="Calibri" w:eastAsia="Times New Roman" w:hAnsi="Calibri" w:cs="Calibri"/>
          <w:color w:val="000000" w:themeColor="text1"/>
          <w:szCs w:val="24"/>
          <w:lang w:val="en-US"/>
        </w:rPr>
        <w:lastRenderedPageBreak/>
        <w:t>liaison rapporteurs and joint thematic workshops, such as those on satellite connectivity and spectrum management.</w:t>
      </w:r>
    </w:p>
    <w:p w14:paraId="08CF53C2" w14:textId="6E0327CD" w:rsidR="00511FE7" w:rsidRPr="009C2E05" w:rsidRDefault="00511FE7" w:rsidP="007F74D3">
      <w:pPr>
        <w:spacing w:after="120"/>
        <w:rPr>
          <w:rFonts w:ascii="Calibri" w:eastAsia="Times New Roman" w:hAnsi="Calibri" w:cs="Calibri"/>
          <w:color w:val="000000" w:themeColor="text1"/>
          <w:szCs w:val="24"/>
          <w:lang w:val="en-US"/>
        </w:rPr>
      </w:pPr>
      <w:r w:rsidRPr="00B61D6C">
        <w:rPr>
          <w:rFonts w:ascii="Calibri" w:eastAsia="Times New Roman" w:hAnsi="Calibri" w:cs="Calibri"/>
          <w:color w:val="000000" w:themeColor="text1"/>
          <w:szCs w:val="24"/>
          <w:lang w:val="en-US"/>
        </w:rPr>
        <w:t>In a concerted effort to optimize the study group structure, TDAG established the Working Group on the Future of Study Group Questions (WG-</w:t>
      </w:r>
      <w:proofErr w:type="spellStart"/>
      <w:r w:rsidRPr="00B61D6C">
        <w:rPr>
          <w:rFonts w:ascii="Calibri" w:eastAsia="Times New Roman" w:hAnsi="Calibri" w:cs="Calibri"/>
          <w:color w:val="000000" w:themeColor="text1"/>
          <w:szCs w:val="24"/>
          <w:lang w:val="en-US"/>
        </w:rPr>
        <w:t>futureSGQ</w:t>
      </w:r>
      <w:proofErr w:type="spellEnd"/>
      <w:r w:rsidRPr="00B61D6C">
        <w:rPr>
          <w:rFonts w:ascii="Calibri" w:eastAsia="Times New Roman" w:hAnsi="Calibri" w:cs="Calibri"/>
          <w:color w:val="000000" w:themeColor="text1"/>
          <w:szCs w:val="24"/>
          <w:lang w:val="en-US"/>
        </w:rPr>
        <w:t xml:space="preserve">) at </w:t>
      </w:r>
      <w:r>
        <w:rPr>
          <w:rFonts w:ascii="Calibri" w:eastAsia="Times New Roman" w:hAnsi="Calibri" w:cs="Calibri"/>
          <w:color w:val="000000" w:themeColor="text1"/>
          <w:szCs w:val="24"/>
          <w:lang w:val="en-US"/>
        </w:rPr>
        <w:t>TDAG-23</w:t>
      </w:r>
      <w:r w:rsidRPr="00B61D6C">
        <w:rPr>
          <w:rFonts w:ascii="Calibri" w:eastAsia="Times New Roman" w:hAnsi="Calibri" w:cs="Calibri"/>
          <w:color w:val="000000" w:themeColor="text1"/>
          <w:szCs w:val="24"/>
          <w:lang w:val="en-US"/>
        </w:rPr>
        <w:t>. The group undertook extensive analysis and consultations, proposing a consolidation of study group questions from 14 to 10, which was discussed during the Extra-Ordinary TDAG meeting in January 2025. These actions significantly enhanced the strategic alignment and efficiency of ITU-D study groups.</w:t>
      </w:r>
    </w:p>
    <w:p w14:paraId="540CB833" w14:textId="6D7D0686" w:rsidR="00511FE7" w:rsidRPr="001F6734" w:rsidRDefault="00511FE7" w:rsidP="007F74D3">
      <w:pPr>
        <w:pStyle w:val="CEONormal"/>
        <w:spacing w:before="120" w:after="120"/>
        <w:rPr>
          <w:rFonts w:ascii="Calibri" w:hAnsi="Calibri" w:cs="Calibri"/>
          <w:szCs w:val="24"/>
          <w:lang w:val="en-US"/>
        </w:rPr>
      </w:pPr>
      <w:r w:rsidRPr="001F6734">
        <w:rPr>
          <w:rFonts w:ascii="Calibri" w:hAnsi="Calibri" w:cs="Calibri"/>
          <w:sz w:val="24"/>
          <w:szCs w:val="24"/>
          <w:lang w:val="en-US"/>
        </w:rPr>
        <w:t>The TDAG Working Group on Future of Study Group Questions has worked very closely with ITU-D Study Groups through the vice Chairs of the working group (namely SG1 and SG2 Chairs) and the SG1 and SG2 Coordinators appointed as per the terms of reference</w:t>
      </w:r>
      <w:r w:rsidRPr="00EA444C">
        <w:rPr>
          <w:rStyle w:val="FootnoteReference"/>
          <w:lang w:val="en-US"/>
        </w:rPr>
        <w:footnoteReference w:id="2"/>
      </w:r>
      <w:r w:rsidR="00EE1B67">
        <w:rPr>
          <w:rStyle w:val="FootnoteReference"/>
          <w:lang w:val="en-US"/>
        </w:rPr>
        <w:t xml:space="preserve"> </w:t>
      </w:r>
      <w:r w:rsidRPr="001F6734">
        <w:rPr>
          <w:rFonts w:ascii="Calibri" w:hAnsi="Calibri" w:cs="Calibri"/>
          <w:sz w:val="24"/>
          <w:szCs w:val="24"/>
          <w:lang w:val="en-US"/>
        </w:rPr>
        <w:t xml:space="preserve">of the working group. The main outcome of this collaboration are the </w:t>
      </w:r>
      <w:r w:rsidRPr="009C2E05">
        <w:rPr>
          <w:rFonts w:ascii="Calibri" w:hAnsi="Calibri" w:cs="Calibri"/>
          <w:sz w:val="24"/>
          <w:szCs w:val="24"/>
          <w:lang w:val="en-US"/>
        </w:rPr>
        <w:t xml:space="preserve">draft </w:t>
      </w:r>
      <w:r w:rsidRPr="001F6734">
        <w:rPr>
          <w:rFonts w:ascii="Calibri" w:hAnsi="Calibri" w:cs="Calibri"/>
          <w:sz w:val="24"/>
          <w:szCs w:val="24"/>
          <w:lang w:val="en-US"/>
        </w:rPr>
        <w:t>proposals</w:t>
      </w:r>
      <w:r w:rsidRPr="00EA444C">
        <w:rPr>
          <w:rStyle w:val="FootnoteReference"/>
          <w:rFonts w:cs="Calibri"/>
          <w:sz w:val="16"/>
          <w:szCs w:val="16"/>
          <w:lang w:val="en-US"/>
        </w:rPr>
        <w:footnoteReference w:id="3"/>
      </w:r>
      <w:r w:rsidRPr="001F6734">
        <w:rPr>
          <w:rFonts w:ascii="Calibri" w:hAnsi="Calibri" w:cs="Calibri"/>
          <w:sz w:val="16"/>
          <w:szCs w:val="16"/>
          <w:lang w:val="en-US"/>
        </w:rPr>
        <w:t xml:space="preserve"> </w:t>
      </w:r>
      <w:r w:rsidRPr="001F6734">
        <w:rPr>
          <w:rFonts w:ascii="Calibri" w:hAnsi="Calibri" w:cs="Calibri"/>
          <w:sz w:val="24"/>
          <w:szCs w:val="24"/>
          <w:lang w:val="en-US"/>
        </w:rPr>
        <w:t>made to update annexes to Resolution 2 and to the terms of reference of study Questions, after extensive consultations.</w:t>
      </w:r>
    </w:p>
    <w:p w14:paraId="14CCF7AC" w14:textId="77777777" w:rsidR="00511FE7" w:rsidRPr="001F6734" w:rsidRDefault="00511FE7" w:rsidP="007F74D3">
      <w:pPr>
        <w:spacing w:after="120"/>
        <w:rPr>
          <w:rFonts w:ascii="Calibri" w:eastAsia="Times New Roman" w:hAnsi="Calibri" w:cs="Calibri"/>
          <w:color w:val="000000" w:themeColor="text1"/>
          <w:szCs w:val="24"/>
          <w:lang w:val="en-US"/>
        </w:rPr>
      </w:pPr>
      <w:r w:rsidRPr="001F6734">
        <w:rPr>
          <w:rFonts w:ascii="Calibri" w:eastAsia="SimSun" w:hAnsi="Calibri" w:cs="Calibri"/>
          <w:szCs w:val="24"/>
          <w:lang w:val="en-US"/>
        </w:rPr>
        <w:t xml:space="preserve">At TDAG-23, an interview style segment </w:t>
      </w:r>
      <w:r w:rsidRPr="009C2E05">
        <w:rPr>
          <w:rFonts w:ascii="Calibri" w:hAnsi="Calibri" w:cs="Calibri"/>
          <w:szCs w:val="24"/>
          <w:lang w:val="en-US"/>
        </w:rPr>
        <w:t xml:space="preserve">led by vice Chair of TDAG </w:t>
      </w:r>
      <w:proofErr w:type="spellStart"/>
      <w:r w:rsidRPr="009C2E05">
        <w:rPr>
          <w:rFonts w:ascii="Calibri" w:hAnsi="Calibri" w:cs="Calibri"/>
          <w:szCs w:val="24"/>
          <w:lang w:val="en-US"/>
        </w:rPr>
        <w:t>Ms</w:t>
      </w:r>
      <w:proofErr w:type="spellEnd"/>
      <w:r w:rsidRPr="009C2E05">
        <w:rPr>
          <w:rFonts w:ascii="Calibri" w:hAnsi="Calibri" w:cs="Calibri"/>
          <w:szCs w:val="24"/>
          <w:lang w:val="en-US"/>
        </w:rPr>
        <w:t xml:space="preserve"> Inga Rimkevičienė (Lihtuania) was held </w:t>
      </w:r>
      <w:r w:rsidRPr="001F6734">
        <w:rPr>
          <w:rFonts w:ascii="Calibri" w:eastAsia="SimSun" w:hAnsi="Calibri" w:cs="Calibri"/>
          <w:szCs w:val="24"/>
          <w:lang w:val="en-US"/>
        </w:rPr>
        <w:t xml:space="preserve">on </w:t>
      </w:r>
      <w:r w:rsidRPr="009C2E05">
        <w:rPr>
          <w:rFonts w:ascii="Calibri" w:hAnsi="Calibri" w:cs="Calibri"/>
          <w:szCs w:val="24"/>
          <w:lang w:val="en-US"/>
        </w:rPr>
        <w:t xml:space="preserve">the current and future work of </w:t>
      </w:r>
      <w:r w:rsidRPr="001F6734">
        <w:rPr>
          <w:rFonts w:ascii="Calibri" w:eastAsia="SimSun" w:hAnsi="Calibri" w:cs="Calibri"/>
          <w:szCs w:val="24"/>
          <w:lang w:val="en-US"/>
        </w:rPr>
        <w:t xml:space="preserve">ITU-D </w:t>
      </w:r>
      <w:r w:rsidRPr="009C2E05">
        <w:rPr>
          <w:rFonts w:ascii="Calibri" w:hAnsi="Calibri" w:cs="Calibri"/>
          <w:szCs w:val="24"/>
          <w:lang w:val="en-US"/>
        </w:rPr>
        <w:t>S</w:t>
      </w:r>
      <w:r w:rsidRPr="001F6734">
        <w:rPr>
          <w:rFonts w:ascii="Calibri" w:eastAsia="SimSun" w:hAnsi="Calibri" w:cs="Calibri"/>
          <w:szCs w:val="24"/>
          <w:lang w:val="en-US"/>
        </w:rPr>
        <w:t xml:space="preserve">tudy </w:t>
      </w:r>
      <w:r w:rsidRPr="009C2E05">
        <w:rPr>
          <w:rFonts w:ascii="Calibri" w:hAnsi="Calibri" w:cs="Calibri"/>
          <w:szCs w:val="24"/>
          <w:lang w:val="en-US"/>
        </w:rPr>
        <w:t>G</w:t>
      </w:r>
      <w:r w:rsidRPr="001F6734">
        <w:rPr>
          <w:rFonts w:ascii="Calibri" w:eastAsia="SimSun" w:hAnsi="Calibri" w:cs="Calibri"/>
          <w:szCs w:val="24"/>
          <w:lang w:val="en-US"/>
        </w:rPr>
        <w:t>roups</w:t>
      </w:r>
      <w:r w:rsidRPr="009C2E05">
        <w:rPr>
          <w:rFonts w:ascii="Calibri" w:hAnsi="Calibri" w:cs="Calibri"/>
          <w:szCs w:val="24"/>
          <w:lang w:val="en-US"/>
        </w:rPr>
        <w:t xml:space="preserve"> (SG).</w:t>
      </w:r>
      <w:r w:rsidRPr="001F6734">
        <w:rPr>
          <w:rFonts w:ascii="Calibri" w:eastAsia="SimSun" w:hAnsi="Calibri" w:cs="Calibri"/>
          <w:szCs w:val="24"/>
          <w:lang w:val="en-US"/>
        </w:rPr>
        <w:t xml:space="preserve"> This interactive session aligned with innovation at the level of study groups in terms of cross cutting and joint workshops </w:t>
      </w:r>
      <w:proofErr w:type="spellStart"/>
      <w:r w:rsidRPr="001F6734">
        <w:rPr>
          <w:rFonts w:ascii="Calibri" w:eastAsia="SimSun" w:hAnsi="Calibri" w:cs="Calibri"/>
          <w:szCs w:val="24"/>
          <w:lang w:val="en-US"/>
        </w:rPr>
        <w:t>organised</w:t>
      </w:r>
      <w:proofErr w:type="spellEnd"/>
      <w:r w:rsidRPr="001F6734">
        <w:rPr>
          <w:rFonts w:ascii="Calibri" w:eastAsia="SimSun" w:hAnsi="Calibri" w:cs="Calibri"/>
          <w:szCs w:val="24"/>
          <w:lang w:val="en-US"/>
        </w:rPr>
        <w:t xml:space="preserve"> in conjunction with Rapporteur Group Meetings held between 2023 and 2025 (see TDAG-25/5 and TDAG-25/6).</w:t>
      </w:r>
    </w:p>
    <w:p w14:paraId="1D0BE2D2" w14:textId="00DE0348" w:rsidR="00511FE7" w:rsidRPr="001F6734" w:rsidRDefault="00511FE7" w:rsidP="007F74D3">
      <w:pPr>
        <w:pStyle w:val="CEONormal"/>
        <w:spacing w:before="120" w:after="120"/>
        <w:rPr>
          <w:rFonts w:ascii="Calibri" w:hAnsi="Calibri" w:cs="Calibri"/>
          <w:lang w:val="en-US"/>
        </w:rPr>
      </w:pPr>
      <w:r w:rsidRPr="001F6734">
        <w:rPr>
          <w:rFonts w:ascii="Calibri" w:hAnsi="Calibri" w:cs="Calibri"/>
          <w:sz w:val="24"/>
          <w:szCs w:val="24"/>
          <w:lang w:val="en-US"/>
        </w:rPr>
        <w:t xml:space="preserve">To implement new sections in Resolution 1, SG1 and SG2 Chairs shared updates on the attendance of Study Group Management teams and on the work of coordinators (additional roles for vice Chairs) in their respective reports to TDAG. This information provided insights </w:t>
      </w:r>
      <w:r w:rsidR="09EDB134" w:rsidRPr="484BC96F">
        <w:rPr>
          <w:rFonts w:ascii="Calibri" w:hAnsi="Calibri" w:cs="Calibri"/>
          <w:sz w:val="24"/>
          <w:szCs w:val="24"/>
          <w:lang w:val="en-US"/>
        </w:rPr>
        <w:t>into</w:t>
      </w:r>
      <w:r w:rsidRPr="001F6734">
        <w:rPr>
          <w:rFonts w:ascii="Calibri" w:hAnsi="Calibri" w:cs="Calibri"/>
          <w:sz w:val="24"/>
          <w:szCs w:val="24"/>
          <w:lang w:val="en-US"/>
        </w:rPr>
        <w:t xml:space="preserve"> potential challenges pertaining to attendance</w:t>
      </w:r>
      <w:r w:rsidRPr="009C2E05">
        <w:rPr>
          <w:rFonts w:ascii="Calibri" w:hAnsi="Calibri" w:cs="Calibri"/>
          <w:sz w:val="24"/>
          <w:szCs w:val="24"/>
          <w:lang w:val="en-US"/>
        </w:rPr>
        <w:t>,</w:t>
      </w:r>
      <w:r w:rsidRPr="001F6734">
        <w:rPr>
          <w:rFonts w:ascii="Calibri" w:hAnsi="Calibri" w:cs="Calibri"/>
          <w:sz w:val="24"/>
          <w:szCs w:val="24"/>
          <w:lang w:val="en-US"/>
        </w:rPr>
        <w:t xml:space="preserve"> which were attended to through the intervention of </w:t>
      </w:r>
      <w:r w:rsidRPr="009C2E05">
        <w:rPr>
          <w:rFonts w:ascii="Calibri" w:hAnsi="Calibri" w:cs="Calibri"/>
          <w:sz w:val="24"/>
          <w:szCs w:val="24"/>
          <w:lang w:val="en-US"/>
        </w:rPr>
        <w:t xml:space="preserve">the </w:t>
      </w:r>
      <w:r w:rsidRPr="001F6734">
        <w:rPr>
          <w:rFonts w:ascii="Calibri" w:hAnsi="Calibri" w:cs="Calibri"/>
          <w:sz w:val="24"/>
          <w:szCs w:val="24"/>
          <w:lang w:val="en-US"/>
        </w:rPr>
        <w:t xml:space="preserve">BDT Director in the form of letters to those who nominated SG management </w:t>
      </w:r>
      <w:proofErr w:type="spellStart"/>
      <w:r w:rsidRPr="001F6734">
        <w:rPr>
          <w:rFonts w:ascii="Calibri" w:hAnsi="Calibri" w:cs="Calibri"/>
          <w:sz w:val="24"/>
          <w:szCs w:val="24"/>
          <w:lang w:val="en-US"/>
        </w:rPr>
        <w:t>tea</w:t>
      </w:r>
      <w:r w:rsidR="008B71BD">
        <w:rPr>
          <w:rFonts w:ascii="Calibri" w:hAnsi="Calibri" w:cs="Calibri"/>
          <w:sz w:val="24"/>
          <w:szCs w:val="24"/>
          <w:lang w:val="en-US"/>
        </w:rPr>
        <w:t>Ms</w:t>
      </w:r>
      <w:proofErr w:type="spellEnd"/>
      <w:r w:rsidR="008B71BD">
        <w:rPr>
          <w:rFonts w:ascii="Calibri" w:hAnsi="Calibri" w:cs="Calibri"/>
          <w:sz w:val="24"/>
          <w:szCs w:val="24"/>
          <w:lang w:val="en-US"/>
        </w:rPr>
        <w:t xml:space="preserve"> </w:t>
      </w:r>
    </w:p>
    <w:p w14:paraId="6C09495C" w14:textId="18FFE0AF" w:rsidR="00511FE7" w:rsidRPr="008B71BD" w:rsidRDefault="00511FE7" w:rsidP="007F74D3">
      <w:pPr>
        <w:pStyle w:val="CEONormal"/>
        <w:spacing w:before="120" w:after="120"/>
        <w:rPr>
          <w:rFonts w:ascii="Calibri" w:hAnsi="Calibri" w:cs="Calibri"/>
          <w:szCs w:val="24"/>
          <w:lang w:val="en-US"/>
        </w:rPr>
      </w:pPr>
      <w:r w:rsidRPr="001F6734">
        <w:rPr>
          <w:rFonts w:ascii="Calibri" w:hAnsi="Calibri" w:cs="Calibri"/>
          <w:sz w:val="24"/>
          <w:szCs w:val="24"/>
          <w:lang w:val="en-US"/>
        </w:rPr>
        <w:t>Synergies with</w:t>
      </w:r>
      <w:r w:rsidRPr="008B71BD">
        <w:rPr>
          <w:rFonts w:ascii="Calibri" w:hAnsi="Calibri" w:cs="Calibri"/>
          <w:sz w:val="24"/>
          <w:szCs w:val="24"/>
          <w:lang w:val="en-US"/>
        </w:rPr>
        <w:t>in ITU-D Study Groups and with other ITU teams, are continuously sought. Joint workshops and joint interim deliverables pool expertise together, optimizes costs and strengthens collaboration. Three joint workshops and eight cross cutting ones were organized during rapporteur group Question meetings in 2023 and 2024.</w:t>
      </w:r>
      <w:r w:rsidR="00EE1B67">
        <w:rPr>
          <w:rFonts w:ascii="Calibri" w:hAnsi="Calibri" w:cs="Calibri"/>
          <w:sz w:val="24"/>
          <w:szCs w:val="24"/>
          <w:lang w:val="en-US"/>
        </w:rPr>
        <w:t xml:space="preserve"> </w:t>
      </w:r>
      <w:r w:rsidRPr="008B71BD">
        <w:rPr>
          <w:rFonts w:ascii="Calibri" w:hAnsi="Calibri" w:cs="Calibri"/>
          <w:sz w:val="24"/>
          <w:szCs w:val="24"/>
          <w:lang w:val="en-US"/>
        </w:rPr>
        <w:t>A joint Q6/1 and Q3/2 workshop</w:t>
      </w:r>
      <w:r w:rsidRPr="008B71BD">
        <w:rPr>
          <w:rStyle w:val="FootnoteReference"/>
          <w:lang w:val="en-US"/>
        </w:rPr>
        <w:footnoteReference w:id="4"/>
      </w:r>
      <w:r w:rsidRPr="008B71BD">
        <w:rPr>
          <w:rFonts w:cstheme="minorBidi"/>
          <w:sz w:val="24"/>
          <w:szCs w:val="24"/>
          <w:lang w:val="en-US"/>
        </w:rPr>
        <w:t xml:space="preserve"> </w:t>
      </w:r>
      <w:r w:rsidRPr="008B71BD">
        <w:rPr>
          <w:rFonts w:ascii="Calibri" w:hAnsi="Calibri" w:cs="Calibri"/>
          <w:sz w:val="24"/>
          <w:szCs w:val="24"/>
          <w:lang w:val="en-US"/>
        </w:rPr>
        <w:t xml:space="preserve">on Increasing Consumer Awareness was held from 18 to 20 June 2024 in Brasilia and was hosted by ANATEL in collaboration with the ITU Regional Office for Americas. </w:t>
      </w:r>
    </w:p>
    <w:p w14:paraId="3B503BAB" w14:textId="77777777" w:rsidR="00511FE7" w:rsidRPr="008B71BD" w:rsidRDefault="00511FE7" w:rsidP="007F74D3">
      <w:pPr>
        <w:pStyle w:val="CEONormal"/>
        <w:spacing w:before="120" w:after="120"/>
        <w:rPr>
          <w:rFonts w:ascii="Calibri" w:hAnsi="Calibri" w:cs="Calibri"/>
          <w:szCs w:val="24"/>
          <w:lang w:val="en-US"/>
        </w:rPr>
      </w:pPr>
      <w:r w:rsidRPr="008B71BD">
        <w:rPr>
          <w:rFonts w:ascii="Calibri" w:hAnsi="Calibri" w:cs="Calibri"/>
          <w:sz w:val="24"/>
          <w:szCs w:val="24"/>
          <w:lang w:val="en-US"/>
        </w:rPr>
        <w:t xml:space="preserve">Joint ITU-D Study Groups management team meetings under the chairmanship of the Director of the Telecommunication Development Bureau, ensure coordination and collaborative work between ITU-D Study Groups. Two guiding documents are under preparation on the following items that require a joint reflection to make study group work more efficient and effective: </w:t>
      </w:r>
    </w:p>
    <w:p w14:paraId="100DE2AB" w14:textId="63A170DD" w:rsidR="00511FE7" w:rsidRPr="008B71BD" w:rsidRDefault="00511FE7" w:rsidP="008B71BD">
      <w:pPr>
        <w:pStyle w:val="enumlev1"/>
        <w:numPr>
          <w:ilvl w:val="1"/>
          <w:numId w:val="37"/>
        </w:numPr>
        <w:tabs>
          <w:tab w:val="clear" w:pos="1134"/>
        </w:tabs>
        <w:spacing w:before="120" w:after="120"/>
        <w:ind w:left="714" w:hanging="357"/>
        <w:rPr>
          <w:rFonts w:eastAsiaTheme="minorEastAsia" w:cstheme="minorBidi"/>
          <w:szCs w:val="24"/>
          <w:lang w:val="en-US"/>
        </w:rPr>
      </w:pPr>
      <w:r w:rsidRPr="008B71BD">
        <w:rPr>
          <w:rFonts w:eastAsiaTheme="minorEastAsia" w:cstheme="minorBidi"/>
          <w:szCs w:val="24"/>
          <w:lang w:val="en-US"/>
        </w:rPr>
        <w:t xml:space="preserve">Addressing challenges that impact on the effective use of ITU-D Study Group products </w:t>
      </w:r>
    </w:p>
    <w:p w14:paraId="7FBD81E6" w14:textId="1DB295DB" w:rsidR="00511FE7" w:rsidRPr="008B71BD" w:rsidRDefault="00511FE7" w:rsidP="008B71BD">
      <w:pPr>
        <w:pStyle w:val="enumlev1"/>
        <w:numPr>
          <w:ilvl w:val="1"/>
          <w:numId w:val="37"/>
        </w:numPr>
        <w:tabs>
          <w:tab w:val="clear" w:pos="1134"/>
        </w:tabs>
        <w:spacing w:before="120" w:after="120"/>
        <w:ind w:left="714" w:hanging="357"/>
        <w:rPr>
          <w:rFonts w:eastAsiaTheme="minorEastAsia" w:cstheme="minorBidi"/>
          <w:szCs w:val="24"/>
          <w:lang w:val="en-US"/>
        </w:rPr>
      </w:pPr>
      <w:r w:rsidRPr="008B71BD">
        <w:rPr>
          <w:rFonts w:eastAsiaTheme="minorEastAsia" w:cstheme="minorBidi"/>
          <w:szCs w:val="24"/>
          <w:lang w:val="en-US"/>
        </w:rPr>
        <w:t>Guidelines for ITU-D membership on submitting candidatures for positions of Rapporteurs and Vice Rapporteurs, and for evaluating the candidates</w:t>
      </w:r>
    </w:p>
    <w:p w14:paraId="242D5535" w14:textId="77777777" w:rsidR="00511FE7" w:rsidRPr="001F6734" w:rsidRDefault="00511FE7" w:rsidP="007F74D3">
      <w:pPr>
        <w:pStyle w:val="CEONormal"/>
        <w:spacing w:before="120" w:after="120"/>
        <w:rPr>
          <w:rFonts w:ascii="Calibri" w:hAnsi="Calibri" w:cs="Calibri"/>
          <w:szCs w:val="24"/>
          <w:lang w:val="en-US"/>
        </w:rPr>
      </w:pPr>
      <w:r w:rsidRPr="001F6734">
        <w:rPr>
          <w:rFonts w:ascii="Calibri" w:hAnsi="Calibri" w:cs="Calibri"/>
          <w:sz w:val="24"/>
          <w:szCs w:val="24"/>
          <w:lang w:val="en-US"/>
        </w:rPr>
        <w:t>The reflection was initiated in co-creation sessions</w:t>
      </w:r>
      <w:r w:rsidRPr="00EA444C">
        <w:rPr>
          <w:rStyle w:val="FootnoteReference"/>
          <w:lang w:val="en-US"/>
        </w:rPr>
        <w:footnoteReference w:id="5"/>
      </w:r>
      <w:r w:rsidRPr="001F6734">
        <w:rPr>
          <w:rFonts w:ascii="Calibri" w:hAnsi="Calibri" w:cs="Calibri"/>
          <w:sz w:val="24"/>
          <w:szCs w:val="24"/>
          <w:lang w:val="en-US"/>
        </w:rPr>
        <w:t xml:space="preserve"> on “innovation in study group work” held at in conjunction with the first Rapporteur Group meeting.</w:t>
      </w:r>
    </w:p>
    <w:p w14:paraId="7A2AA772" w14:textId="77777777" w:rsidR="00511FE7" w:rsidRPr="00B61D6C" w:rsidRDefault="00511FE7" w:rsidP="007F74D3">
      <w:pPr>
        <w:pStyle w:val="CEONormal"/>
        <w:spacing w:before="120" w:after="120"/>
        <w:rPr>
          <w:rFonts w:ascii="Calibri" w:hAnsi="Calibri" w:cs="Calibri"/>
          <w:szCs w:val="24"/>
          <w:lang w:val="en-US"/>
        </w:rPr>
      </w:pPr>
      <w:r w:rsidRPr="001F6734">
        <w:rPr>
          <w:rFonts w:ascii="Calibri" w:hAnsi="Calibri" w:cs="Calibri"/>
          <w:sz w:val="24"/>
          <w:szCs w:val="24"/>
          <w:lang w:val="en-US"/>
        </w:rPr>
        <w:lastRenderedPageBreak/>
        <w:t xml:space="preserve">ITU-D </w:t>
      </w:r>
      <w:r w:rsidRPr="009C2E05">
        <w:rPr>
          <w:rFonts w:ascii="Calibri" w:hAnsi="Calibri" w:cs="Calibri"/>
          <w:sz w:val="24"/>
          <w:szCs w:val="24"/>
          <w:lang w:val="en-US"/>
        </w:rPr>
        <w:t>SGs</w:t>
      </w:r>
      <w:r w:rsidRPr="001F6734">
        <w:rPr>
          <w:rFonts w:ascii="Calibri" w:hAnsi="Calibri" w:cs="Calibri"/>
          <w:sz w:val="24"/>
          <w:szCs w:val="24"/>
          <w:lang w:val="en-US"/>
        </w:rPr>
        <w:t xml:space="preserve"> continued collaboration on the implementation of WTDC Resolution 9 (Rev. Kigali, 2022) through appointed Coordinators namely are </w:t>
      </w:r>
      <w:proofErr w:type="spellStart"/>
      <w:r w:rsidRPr="001F6734">
        <w:rPr>
          <w:rFonts w:ascii="Calibri" w:hAnsi="Calibri" w:cs="Calibri"/>
          <w:sz w:val="24"/>
          <w:szCs w:val="24"/>
          <w:lang w:val="en-US"/>
        </w:rPr>
        <w:t>Mr</w:t>
      </w:r>
      <w:proofErr w:type="spellEnd"/>
      <w:r w:rsidRPr="001F6734">
        <w:rPr>
          <w:rFonts w:ascii="Calibri" w:hAnsi="Calibri" w:cs="Calibri"/>
          <w:sz w:val="24"/>
          <w:szCs w:val="24"/>
          <w:lang w:val="en-US"/>
        </w:rPr>
        <w:t xml:space="preserve"> Roberto Hirayama (Brazil) for SG1</w:t>
      </w:r>
      <w:r w:rsidRPr="009C2E05">
        <w:rPr>
          <w:rFonts w:ascii="Calibri" w:hAnsi="Calibri" w:cs="Calibri"/>
          <w:sz w:val="24"/>
          <w:szCs w:val="24"/>
          <w:lang w:val="en-US"/>
        </w:rPr>
        <w:t xml:space="preserve">, and </w:t>
      </w:r>
      <w:proofErr w:type="spellStart"/>
      <w:r w:rsidRPr="009C2E05">
        <w:rPr>
          <w:rFonts w:ascii="Calibri" w:hAnsi="Calibri" w:cs="Calibri"/>
          <w:sz w:val="24"/>
          <w:szCs w:val="24"/>
          <w:lang w:val="en-US"/>
        </w:rPr>
        <w:t>Mr</w:t>
      </w:r>
      <w:proofErr w:type="spellEnd"/>
      <w:r w:rsidRPr="009C2E05">
        <w:rPr>
          <w:rFonts w:ascii="Calibri" w:hAnsi="Calibri" w:cs="Calibri"/>
          <w:sz w:val="24"/>
          <w:szCs w:val="24"/>
          <w:lang w:val="en-US"/>
        </w:rPr>
        <w:t xml:space="preserve"> Hideo </w:t>
      </w:r>
      <w:proofErr w:type="spellStart"/>
      <w:r w:rsidRPr="009C2E05">
        <w:rPr>
          <w:rFonts w:ascii="Calibri" w:hAnsi="Calibri" w:cs="Calibri"/>
          <w:sz w:val="24"/>
          <w:szCs w:val="24"/>
          <w:lang w:val="en-US"/>
        </w:rPr>
        <w:t>Imanaka</w:t>
      </w:r>
      <w:proofErr w:type="spellEnd"/>
      <w:r w:rsidRPr="001F6734">
        <w:rPr>
          <w:rFonts w:ascii="Calibri" w:hAnsi="Calibri" w:cs="Calibri"/>
          <w:sz w:val="24"/>
          <w:szCs w:val="24"/>
          <w:lang w:val="en-US"/>
        </w:rPr>
        <w:t xml:space="preserve"> </w:t>
      </w:r>
      <w:r w:rsidRPr="009C2E05">
        <w:rPr>
          <w:rFonts w:ascii="Calibri" w:hAnsi="Calibri" w:cs="Calibri"/>
          <w:sz w:val="24"/>
          <w:szCs w:val="24"/>
          <w:lang w:val="en-US"/>
        </w:rPr>
        <w:t xml:space="preserve">(Japan) </w:t>
      </w:r>
      <w:r w:rsidRPr="001F6734">
        <w:rPr>
          <w:rFonts w:ascii="Calibri" w:hAnsi="Calibri" w:cs="Calibri"/>
          <w:sz w:val="24"/>
          <w:szCs w:val="24"/>
          <w:lang w:val="en-US"/>
        </w:rPr>
        <w:t xml:space="preserve">and </w:t>
      </w:r>
      <w:proofErr w:type="spellStart"/>
      <w:r w:rsidRPr="001F6734">
        <w:rPr>
          <w:rFonts w:ascii="Calibri" w:hAnsi="Calibri" w:cs="Calibri"/>
          <w:sz w:val="24"/>
          <w:szCs w:val="24"/>
          <w:lang w:val="en-US"/>
        </w:rPr>
        <w:t>Mr</w:t>
      </w:r>
      <w:proofErr w:type="spellEnd"/>
      <w:r w:rsidRPr="001F6734">
        <w:rPr>
          <w:rFonts w:ascii="Calibri" w:hAnsi="Calibri" w:cs="Calibri"/>
          <w:sz w:val="24"/>
          <w:szCs w:val="24"/>
          <w:lang w:val="en-US"/>
        </w:rPr>
        <w:t xml:space="preserve"> Haim Mazar (Israel) for SG2. The coordinators worked closely with the Future of Network and Spectrum team and the rapporteurs of study Questions</w:t>
      </w:r>
      <w:r w:rsidRPr="00EA444C">
        <w:rPr>
          <w:rStyle w:val="FootnoteReference"/>
          <w:lang w:val="en-US"/>
        </w:rPr>
        <w:footnoteReference w:id="6"/>
      </w:r>
      <w:r w:rsidRPr="001F6734">
        <w:rPr>
          <w:rStyle w:val="FootnoteReference"/>
          <w:lang w:val="en-US"/>
        </w:rPr>
        <w:t xml:space="preserve"> </w:t>
      </w:r>
      <w:r w:rsidRPr="001F6734">
        <w:rPr>
          <w:rFonts w:ascii="Calibri" w:hAnsi="Calibri" w:cs="Calibri"/>
          <w:sz w:val="24"/>
          <w:szCs w:val="24"/>
          <w:lang w:val="en-US"/>
        </w:rPr>
        <w:t>with direct relevance to Resolution 9.</w:t>
      </w:r>
      <w:r w:rsidRPr="009C2E05">
        <w:rPr>
          <w:rFonts w:ascii="Calibri" w:hAnsi="Calibri" w:cs="Calibri"/>
          <w:sz w:val="24"/>
          <w:szCs w:val="24"/>
          <w:lang w:val="en-US"/>
        </w:rPr>
        <w:t xml:space="preserve"> </w:t>
      </w:r>
      <w:r w:rsidRPr="001F6734">
        <w:rPr>
          <w:rFonts w:ascii="Calibri" w:hAnsi="Calibri" w:cs="Calibri"/>
          <w:sz w:val="24"/>
          <w:szCs w:val="24"/>
          <w:lang w:val="en-US"/>
        </w:rPr>
        <w:t xml:space="preserve">Information related to spectrum management received through contributions were mapped to the list of topics from the Annex 1 of WTDC </w:t>
      </w:r>
      <w:r w:rsidRPr="00B61D6C">
        <w:rPr>
          <w:rFonts w:ascii="Calibri" w:hAnsi="Calibri" w:cs="Calibri"/>
          <w:sz w:val="24"/>
          <w:szCs w:val="24"/>
          <w:lang w:val="en-US"/>
        </w:rPr>
        <w:t>Resolution 9 and will be submitted</w:t>
      </w:r>
      <w:r w:rsidRPr="00EA444C">
        <w:rPr>
          <w:rStyle w:val="FootnoteReference"/>
          <w:lang w:val="en-US"/>
        </w:rPr>
        <w:footnoteReference w:id="7"/>
      </w:r>
      <w:r w:rsidRPr="00B61D6C">
        <w:rPr>
          <w:rStyle w:val="FootnoteReference"/>
          <w:lang w:val="en-US"/>
        </w:rPr>
        <w:t xml:space="preserve"> </w:t>
      </w:r>
      <w:r w:rsidRPr="00B61D6C">
        <w:rPr>
          <w:rFonts w:ascii="Calibri" w:hAnsi="Calibri" w:cs="Calibri"/>
          <w:sz w:val="24"/>
          <w:szCs w:val="24"/>
          <w:lang w:val="en-US"/>
        </w:rPr>
        <w:t>to TDAG and to the Directors of BDT and BR, for their consideration, as appropriate.</w:t>
      </w:r>
    </w:p>
    <w:p w14:paraId="54D072C4" w14:textId="5E922F8C" w:rsidR="00511FE7" w:rsidRPr="009C2E05" w:rsidRDefault="136767CD" w:rsidP="007F74D3">
      <w:pPr>
        <w:spacing w:after="120"/>
        <w:rPr>
          <w:rFonts w:ascii="Calibri" w:eastAsia="Calibri" w:hAnsi="Calibri" w:cs="Calibri"/>
          <w:lang w:val="en-US"/>
        </w:rPr>
      </w:pPr>
      <w:r w:rsidRPr="1E24F615">
        <w:rPr>
          <w:rFonts w:ascii="Calibri" w:eastAsia="Calibri" w:hAnsi="Calibri" w:cs="Calibri"/>
          <w:lang w:val="en-US"/>
        </w:rPr>
        <w:t>SG plenaries received updates on key initiatives including UMC (Promoting and Measuring Universal Meaningful Digital Connectivity)</w:t>
      </w:r>
      <w:r w:rsidR="00511FE7" w:rsidRPr="001F6734">
        <w:rPr>
          <w:rStyle w:val="FootnoteReference"/>
        </w:rPr>
        <w:footnoteReference w:id="8"/>
      </w:r>
      <w:r w:rsidRPr="1E24F615">
        <w:rPr>
          <w:rStyle w:val="FootnoteReference"/>
          <w:sz w:val="24"/>
          <w:szCs w:val="24"/>
        </w:rPr>
        <w:t>,</w:t>
      </w:r>
      <w:r w:rsidR="00EE1B67">
        <w:rPr>
          <w:rFonts w:ascii="Calibri" w:eastAsia="Calibri" w:hAnsi="Calibri" w:cs="Calibri"/>
          <w:lang w:val="en-US"/>
        </w:rPr>
        <w:t xml:space="preserve"> </w:t>
      </w:r>
      <w:r w:rsidRPr="1E24F615">
        <w:rPr>
          <w:rFonts w:ascii="Calibri" w:eastAsia="Calibri" w:hAnsi="Calibri" w:cs="Calibri"/>
          <w:lang w:val="en-US"/>
        </w:rPr>
        <w:t>PRIDA (Policy and Regulation Initiative for Digital Africa)</w:t>
      </w:r>
      <w:r w:rsidR="00511FE7" w:rsidRPr="001F6734">
        <w:rPr>
          <w:rStyle w:val="FootnoteReference"/>
        </w:rPr>
        <w:footnoteReference w:id="9"/>
      </w:r>
      <w:r w:rsidRPr="001F6734">
        <w:rPr>
          <w:rStyle w:val="FootnoteReference"/>
          <w:sz w:val="24"/>
          <w:szCs w:val="24"/>
        </w:rPr>
        <w:t xml:space="preserve"> </w:t>
      </w:r>
      <w:r w:rsidRPr="1E24F615">
        <w:rPr>
          <w:rFonts w:ascii="Calibri" w:eastAsia="Calibri" w:hAnsi="Calibri" w:cs="Calibri"/>
          <w:lang w:val="en-US"/>
        </w:rPr>
        <w:t>and Generation Connect</w:t>
      </w:r>
      <w:r w:rsidR="00511FE7" w:rsidRPr="001F6734">
        <w:rPr>
          <w:rStyle w:val="FootnoteReference"/>
        </w:rPr>
        <w:footnoteReference w:id="10"/>
      </w:r>
      <w:r w:rsidRPr="00EA444C">
        <w:rPr>
          <w:rStyle w:val="FootnoteReference"/>
          <w:lang w:val="en-US"/>
        </w:rPr>
        <w:t xml:space="preserve"> </w:t>
      </w:r>
      <w:r w:rsidRPr="1E24F615">
        <w:rPr>
          <w:rFonts w:ascii="Calibri" w:eastAsia="Calibri" w:hAnsi="Calibri" w:cs="Calibri"/>
          <w:lang w:val="en-US"/>
        </w:rPr>
        <w:t xml:space="preserve">with a call for meaningful participation in these activities. SG management team </w:t>
      </w:r>
      <w:r w:rsidR="4E956393" w:rsidRPr="1E24F615">
        <w:rPr>
          <w:rFonts w:ascii="Calibri" w:eastAsia="Calibri" w:hAnsi="Calibri" w:cs="Calibri"/>
          <w:lang w:val="en-US"/>
        </w:rPr>
        <w:t>members</w:t>
      </w:r>
      <w:r w:rsidRPr="1E24F615">
        <w:rPr>
          <w:rFonts w:ascii="Calibri" w:eastAsia="Calibri" w:hAnsi="Calibri" w:cs="Calibri"/>
          <w:lang w:val="en-US"/>
        </w:rPr>
        <w:t xml:space="preserve"> continue to </w:t>
      </w:r>
      <w:r w:rsidR="585DBC2D" w:rsidRPr="1E24F615">
        <w:rPr>
          <w:rFonts w:ascii="Calibri" w:eastAsia="Calibri" w:hAnsi="Calibri" w:cs="Calibri"/>
          <w:lang w:val="en-US"/>
        </w:rPr>
        <w:t>be</w:t>
      </w:r>
      <w:r w:rsidRPr="1E24F615">
        <w:rPr>
          <w:rFonts w:ascii="Calibri" w:eastAsia="Calibri" w:hAnsi="Calibri" w:cs="Calibri"/>
          <w:lang w:val="en-US"/>
        </w:rPr>
        <w:t xml:space="preserve"> speakers in ITU events including REDs, RDFs, RPMs, WSIS and in the one ITU series on the Future of Cable TV.</w:t>
      </w:r>
      <w:r w:rsidR="00EE1B67">
        <w:rPr>
          <w:rFonts w:ascii="Calibri" w:eastAsia="Calibri" w:hAnsi="Calibri" w:cs="Calibri"/>
          <w:lang w:val="en-US"/>
        </w:rPr>
        <w:t xml:space="preserve"> </w:t>
      </w:r>
    </w:p>
    <w:p w14:paraId="05B17470" w14:textId="2EBBD325" w:rsidR="3AC202DB" w:rsidRPr="00B61D6C" w:rsidRDefault="136767CD" w:rsidP="007F74D3">
      <w:pPr>
        <w:spacing w:after="120"/>
        <w:rPr>
          <w:rFonts w:ascii="Calibri" w:eastAsia="Times New Roman" w:hAnsi="Calibri" w:cs="Calibri"/>
          <w:color w:val="000000"/>
          <w:lang w:val="en-US"/>
        </w:rPr>
      </w:pPr>
      <w:r w:rsidRPr="6A827756">
        <w:rPr>
          <w:rFonts w:ascii="Calibri" w:hAnsi="Calibri"/>
          <w:lang w:val="en-US"/>
        </w:rPr>
        <w:t xml:space="preserve">In line with Resolutions 1 and 2, fourteen final output reports for 2022-2025, a revised edition of a final output report </w:t>
      </w:r>
      <w:r w:rsidR="68536E52" w:rsidRPr="6A827756">
        <w:rPr>
          <w:rFonts w:ascii="Calibri" w:hAnsi="Calibri"/>
          <w:lang w:val="en-US"/>
        </w:rPr>
        <w:t>for</w:t>
      </w:r>
      <w:r w:rsidRPr="6A827756">
        <w:rPr>
          <w:rFonts w:ascii="Calibri" w:hAnsi="Calibri"/>
          <w:lang w:val="en-US"/>
        </w:rPr>
        <w:t xml:space="preserve"> 2018-2021 and six interim (annual) </w:t>
      </w:r>
      <w:r w:rsidR="6CEAF47D" w:rsidRPr="6A827756">
        <w:rPr>
          <w:rFonts w:ascii="Calibri" w:hAnsi="Calibri"/>
          <w:lang w:val="en-US"/>
        </w:rPr>
        <w:t>deliverables were</w:t>
      </w:r>
      <w:r w:rsidRPr="6A827756">
        <w:rPr>
          <w:rFonts w:ascii="Calibri" w:hAnsi="Calibri"/>
          <w:lang w:val="en-US"/>
        </w:rPr>
        <w:t xml:space="preserve"> elaborated based on contributions received and workshops held. The interim deliverables are available as free publications in all UN official languages while the final output reports are being prepared as publications. The number and quality of contributions received were appreciated. The engagement of ITU-D sector members and associations was positively noted</w:t>
      </w:r>
      <w:r w:rsidR="355F364A" w:rsidRPr="6A827756">
        <w:rPr>
          <w:rFonts w:ascii="Calibri" w:eastAsia="Times New Roman" w:hAnsi="Calibri" w:cs="Calibri"/>
          <w:color w:val="000000" w:themeColor="text1"/>
          <w:lang w:val="en-US"/>
        </w:rPr>
        <w:t>.</w:t>
      </w:r>
    </w:p>
    <w:p w14:paraId="6EB7C5BF" w14:textId="6A155D3E"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 xml:space="preserve">Restructuring </w:t>
      </w:r>
      <w:r w:rsidR="00CD5994" w:rsidRPr="003D55C4">
        <w:rPr>
          <w:rFonts w:ascii="Calibri" w:eastAsia="Times New Roman" w:hAnsi="Calibri" w:cs="Calibri"/>
          <w:b/>
          <w:color w:val="000000" w:themeColor="text1"/>
          <w:lang w:val="en-US"/>
        </w:rPr>
        <w:t xml:space="preserve">of TDAG Working Groups </w:t>
      </w:r>
      <w:r w:rsidRPr="003D55C4">
        <w:rPr>
          <w:rFonts w:ascii="Calibri" w:eastAsia="Times New Roman" w:hAnsi="Calibri" w:cs="Calibri"/>
          <w:b/>
          <w:color w:val="000000" w:themeColor="text1"/>
          <w:lang w:val="en-US"/>
        </w:rPr>
        <w:t>and Appointments (Resolution 24 resolves 1.vii &amp; 1.xi)</w:t>
      </w:r>
    </w:p>
    <w:p w14:paraId="342ED07F" w14:textId="1DDDED8C" w:rsidR="006D0F7B" w:rsidRDefault="1AC303B9" w:rsidP="007F74D3">
      <w:pPr>
        <w:spacing w:after="120"/>
        <w:rPr>
          <w:rFonts w:ascii="Calibri" w:eastAsia="Times New Roman" w:hAnsi="Calibri" w:cs="Calibri"/>
          <w:color w:val="000000"/>
          <w:lang w:val="en-US"/>
        </w:rPr>
      </w:pPr>
      <w:r w:rsidRPr="6A827756">
        <w:rPr>
          <w:rFonts w:ascii="Calibri" w:eastAsia="Times New Roman" w:hAnsi="Calibri" w:cs="Calibri"/>
          <w:color w:val="000000" w:themeColor="text1"/>
          <w:lang w:val="en-US"/>
        </w:rPr>
        <w:t>Recognizing evolving needs, TDAG proactively initiated structural adjustments and appointed leaders to newly established working groups. TDAG-</w:t>
      </w:r>
      <w:r w:rsidR="05BD6DE4" w:rsidRPr="6A827756">
        <w:rPr>
          <w:rFonts w:ascii="Calibri" w:eastAsia="Times New Roman" w:hAnsi="Calibri" w:cs="Calibri"/>
          <w:color w:val="000000" w:themeColor="text1"/>
          <w:lang w:val="en-US"/>
        </w:rPr>
        <w:t>23</w:t>
      </w:r>
      <w:r w:rsidRPr="6A827756">
        <w:rPr>
          <w:rFonts w:ascii="Calibri" w:eastAsia="Times New Roman" w:hAnsi="Calibri" w:cs="Calibri"/>
          <w:color w:val="000000" w:themeColor="text1"/>
          <w:lang w:val="en-US"/>
        </w:rPr>
        <w:t xml:space="preserve"> and TDAG-</w:t>
      </w:r>
      <w:r w:rsidR="05BD6DE4" w:rsidRPr="6A827756">
        <w:rPr>
          <w:rFonts w:ascii="Calibri" w:eastAsia="Times New Roman" w:hAnsi="Calibri" w:cs="Calibri"/>
          <w:color w:val="000000" w:themeColor="text1"/>
          <w:lang w:val="en-US"/>
        </w:rPr>
        <w:t>24</w:t>
      </w:r>
      <w:r w:rsidRPr="6A827756">
        <w:rPr>
          <w:rFonts w:ascii="Calibri" w:eastAsia="Times New Roman" w:hAnsi="Calibri" w:cs="Calibri"/>
          <w:color w:val="000000" w:themeColor="text1"/>
          <w:lang w:val="en-US"/>
        </w:rPr>
        <w:t xml:space="preserve"> saw the formation of </w:t>
      </w:r>
      <w:r w:rsidR="1A5DCBD8" w:rsidRPr="6A827756">
        <w:rPr>
          <w:rFonts w:ascii="Calibri" w:eastAsia="Times New Roman" w:hAnsi="Calibri" w:cs="Calibri"/>
          <w:color w:val="000000" w:themeColor="text1"/>
          <w:lang w:val="en-US"/>
        </w:rPr>
        <w:t xml:space="preserve">working </w:t>
      </w:r>
      <w:r w:rsidRPr="6A827756">
        <w:rPr>
          <w:rFonts w:ascii="Calibri" w:eastAsia="Times New Roman" w:hAnsi="Calibri" w:cs="Calibri"/>
          <w:color w:val="000000" w:themeColor="text1"/>
          <w:lang w:val="en-US"/>
        </w:rPr>
        <w:t>groups dedicated to</w:t>
      </w:r>
      <w:r w:rsidR="1A5DCBD8" w:rsidRPr="6A827756">
        <w:rPr>
          <w:rFonts w:ascii="Calibri" w:eastAsia="Times New Roman" w:hAnsi="Calibri" w:cs="Calibri"/>
          <w:color w:val="000000" w:themeColor="text1"/>
          <w:lang w:val="en-US"/>
        </w:rPr>
        <w:t xml:space="preserve">: </w:t>
      </w:r>
      <w:r w:rsidR="5DDEDAD2" w:rsidRPr="6A827756">
        <w:rPr>
          <w:rFonts w:ascii="Calibri" w:eastAsia="Times New Roman" w:hAnsi="Calibri" w:cs="Calibri"/>
          <w:color w:val="000000" w:themeColor="text1"/>
        </w:rPr>
        <w:t>future of Study Group Questions</w:t>
      </w:r>
      <w:r w:rsidR="6C0A894E" w:rsidRPr="6A827756">
        <w:rPr>
          <w:rFonts w:ascii="Calibri" w:eastAsia="Times New Roman" w:hAnsi="Calibri" w:cs="Calibri"/>
          <w:color w:val="000000" w:themeColor="text1"/>
        </w:rPr>
        <w:t xml:space="preserve"> (</w:t>
      </w:r>
      <w:r w:rsidR="5DDEDAD2" w:rsidRPr="6A827756">
        <w:rPr>
          <w:rFonts w:ascii="Calibri" w:eastAsia="Times New Roman" w:hAnsi="Calibri" w:cs="Calibri"/>
          <w:color w:val="000000" w:themeColor="text1"/>
        </w:rPr>
        <w:t>TDAG-WG-</w:t>
      </w:r>
      <w:proofErr w:type="spellStart"/>
      <w:r w:rsidR="5DDEDAD2" w:rsidRPr="6A827756">
        <w:rPr>
          <w:rFonts w:ascii="Calibri" w:eastAsia="Times New Roman" w:hAnsi="Calibri" w:cs="Calibri"/>
          <w:color w:val="000000" w:themeColor="text1"/>
        </w:rPr>
        <w:t>futureSGQ</w:t>
      </w:r>
      <w:proofErr w:type="spellEnd"/>
      <w:r w:rsidR="6C0A894E" w:rsidRPr="6A827756">
        <w:rPr>
          <w:rFonts w:ascii="Calibri" w:eastAsia="Times New Roman" w:hAnsi="Calibri" w:cs="Calibri"/>
          <w:color w:val="000000" w:themeColor="text1"/>
        </w:rPr>
        <w:t xml:space="preserve">, </w:t>
      </w:r>
      <w:r w:rsidR="5DDEDAD2" w:rsidRPr="6A827756">
        <w:rPr>
          <w:rFonts w:ascii="Calibri" w:eastAsia="Times New Roman" w:hAnsi="Calibri" w:cs="Calibri"/>
          <w:color w:val="000000" w:themeColor="text1"/>
        </w:rPr>
        <w:t xml:space="preserve">chaired by </w:t>
      </w:r>
      <w:r w:rsidR="22B571B9" w:rsidRPr="6A827756">
        <w:rPr>
          <w:rFonts w:ascii="Calibri" w:eastAsia="Times New Roman" w:hAnsi="Calibri" w:cs="Calibri"/>
          <w:color w:val="000000" w:themeColor="text1"/>
        </w:rPr>
        <w:t xml:space="preserve">Dr Ahmad </w:t>
      </w:r>
      <w:r w:rsidR="26D5431B" w:rsidRPr="6A827756">
        <w:rPr>
          <w:rFonts w:ascii="Calibri" w:eastAsia="Times New Roman" w:hAnsi="Calibri" w:cs="Calibri"/>
          <w:color w:val="000000" w:themeColor="text1"/>
        </w:rPr>
        <w:t xml:space="preserve">Reza </w:t>
      </w:r>
      <w:r w:rsidR="22B571B9" w:rsidRPr="6A827756">
        <w:rPr>
          <w:rFonts w:ascii="Calibri" w:eastAsia="Times New Roman" w:hAnsi="Calibri" w:cs="Calibri"/>
          <w:color w:val="000000" w:themeColor="text1"/>
        </w:rPr>
        <w:t>Sharafat, Ira</w:t>
      </w:r>
      <w:r w:rsidR="5DDEDAD2" w:rsidRPr="6A827756">
        <w:rPr>
          <w:rFonts w:ascii="Calibri" w:eastAsia="Times New Roman" w:hAnsi="Calibri" w:cs="Calibri"/>
          <w:color w:val="000000" w:themeColor="text1"/>
        </w:rPr>
        <w:t>n),</w:t>
      </w:r>
      <w:r w:rsidR="00EE1B67">
        <w:rPr>
          <w:rFonts w:ascii="Calibri" w:eastAsia="Times New Roman" w:hAnsi="Calibri" w:cs="Calibri"/>
          <w:color w:val="000000" w:themeColor="text1"/>
        </w:rPr>
        <w:t xml:space="preserve"> </w:t>
      </w:r>
      <w:r w:rsidRPr="6A827756">
        <w:rPr>
          <w:rFonts w:ascii="Calibri" w:eastAsia="Times New Roman" w:hAnsi="Calibri" w:cs="Calibri"/>
          <w:color w:val="000000" w:themeColor="text1"/>
          <w:lang w:val="en-US"/>
        </w:rPr>
        <w:t>ITU-D priorities</w:t>
      </w:r>
      <w:r w:rsidR="1A5DCBD8" w:rsidRPr="6A827756">
        <w:rPr>
          <w:rFonts w:ascii="Calibri" w:eastAsia="Times New Roman" w:hAnsi="Calibri" w:cs="Calibri"/>
          <w:color w:val="000000" w:themeColor="text1"/>
          <w:lang w:val="en-US"/>
        </w:rPr>
        <w:t xml:space="preserve"> </w:t>
      </w:r>
      <w:r w:rsidR="6C0A894E" w:rsidRPr="6A827756">
        <w:rPr>
          <w:rFonts w:ascii="Calibri" w:eastAsia="Times New Roman" w:hAnsi="Calibri" w:cs="Calibri"/>
          <w:color w:val="000000" w:themeColor="text1"/>
          <w:lang w:val="en-US"/>
        </w:rPr>
        <w:t>(</w:t>
      </w:r>
      <w:r w:rsidR="1A5DCBD8" w:rsidRPr="6A827756">
        <w:rPr>
          <w:rFonts w:ascii="Calibri" w:eastAsia="Times New Roman" w:hAnsi="Calibri" w:cs="Calibri"/>
          <w:color w:val="000000" w:themeColor="text1"/>
        </w:rPr>
        <w:t>TDAG-WG-ITUDP</w:t>
      </w:r>
      <w:r w:rsidR="6C0A894E" w:rsidRPr="6A827756">
        <w:rPr>
          <w:rFonts w:ascii="Calibri" w:eastAsia="Times New Roman" w:hAnsi="Calibri" w:cs="Calibri"/>
          <w:color w:val="000000" w:themeColor="text1"/>
        </w:rPr>
        <w:t xml:space="preserve">, </w:t>
      </w:r>
      <w:r w:rsidR="1A5DCBD8" w:rsidRPr="6A827756">
        <w:rPr>
          <w:rFonts w:ascii="Calibri" w:eastAsia="Times New Roman" w:hAnsi="Calibri" w:cs="Calibri"/>
          <w:color w:val="000000" w:themeColor="text1"/>
        </w:rPr>
        <w:t xml:space="preserve">chaired by </w:t>
      </w:r>
      <w:r w:rsidR="212A7B55" w:rsidRPr="6A827756">
        <w:rPr>
          <w:rFonts w:ascii="Calibri" w:eastAsia="Times New Roman" w:hAnsi="Calibri" w:cs="Calibri"/>
          <w:color w:val="000000" w:themeColor="text1"/>
        </w:rPr>
        <w:t>Ms Inga Rimkevičienė</w:t>
      </w:r>
      <w:r w:rsidR="212A7B55" w:rsidRPr="6A827756">
        <w:rPr>
          <w:rFonts w:ascii="Calibri" w:eastAsia="Times New Roman" w:hAnsi="Calibri" w:cs="Calibri"/>
          <w:b/>
          <w:bCs/>
          <w:color w:val="000000" w:themeColor="text1"/>
        </w:rPr>
        <w:t xml:space="preserve">, </w:t>
      </w:r>
      <w:r w:rsidR="1A5DCBD8" w:rsidRPr="6A827756">
        <w:rPr>
          <w:rFonts w:ascii="Calibri" w:eastAsia="Times New Roman" w:hAnsi="Calibri" w:cs="Calibri"/>
          <w:color w:val="000000" w:themeColor="text1"/>
        </w:rPr>
        <w:t>Lithuania)</w:t>
      </w:r>
      <w:r w:rsidRPr="6A827756">
        <w:rPr>
          <w:rFonts w:ascii="Calibri" w:eastAsia="Times New Roman" w:hAnsi="Calibri" w:cs="Calibri"/>
          <w:color w:val="000000" w:themeColor="text1"/>
          <w:lang w:val="en-US"/>
        </w:rPr>
        <w:t>, drafting of the WTDC Declaration</w:t>
      </w:r>
      <w:r w:rsidR="1A5DCBD8" w:rsidRPr="6A827756">
        <w:rPr>
          <w:rFonts w:ascii="Calibri" w:eastAsia="Times New Roman" w:hAnsi="Calibri" w:cs="Calibri"/>
          <w:color w:val="000000" w:themeColor="text1"/>
          <w:lang w:val="en-US"/>
        </w:rPr>
        <w:t xml:space="preserve"> </w:t>
      </w:r>
      <w:r w:rsidR="6C0A894E" w:rsidRPr="6A827756">
        <w:rPr>
          <w:rFonts w:ascii="Calibri" w:eastAsia="Times New Roman" w:hAnsi="Calibri" w:cs="Calibri"/>
          <w:color w:val="000000" w:themeColor="text1"/>
          <w:lang w:val="en-US"/>
        </w:rPr>
        <w:t>(</w:t>
      </w:r>
      <w:r w:rsidR="1A5DCBD8" w:rsidRPr="6A827756">
        <w:rPr>
          <w:rFonts w:ascii="Calibri" w:eastAsia="Times New Roman" w:hAnsi="Calibri" w:cs="Calibri"/>
          <w:color w:val="000000" w:themeColor="text1"/>
        </w:rPr>
        <w:t>TDAG-WG-DEC</w:t>
      </w:r>
      <w:r w:rsidR="6C0A894E" w:rsidRPr="6A827756">
        <w:rPr>
          <w:rFonts w:ascii="Calibri" w:eastAsia="Times New Roman" w:hAnsi="Calibri" w:cs="Calibri"/>
          <w:color w:val="000000" w:themeColor="text1"/>
        </w:rPr>
        <w:t xml:space="preserve">, </w:t>
      </w:r>
      <w:r w:rsidR="1A5DCBD8" w:rsidRPr="6A827756">
        <w:rPr>
          <w:rFonts w:ascii="Calibri" w:eastAsia="Times New Roman" w:hAnsi="Calibri" w:cs="Calibri"/>
          <w:color w:val="000000" w:themeColor="text1"/>
        </w:rPr>
        <w:t xml:space="preserve">chaired by </w:t>
      </w:r>
      <w:r w:rsidR="497ADEF4" w:rsidRPr="6A827756">
        <w:rPr>
          <w:rFonts w:ascii="Calibri" w:eastAsia="Times New Roman" w:hAnsi="Calibri" w:cs="Calibri"/>
          <w:color w:val="000000" w:themeColor="text1"/>
        </w:rPr>
        <w:t>Mr Abdulkarim Oloyede</w:t>
      </w:r>
      <w:r w:rsidR="497ADEF4" w:rsidRPr="007F74D3">
        <w:rPr>
          <w:rFonts w:ascii="Calibri" w:eastAsia="Times New Roman" w:hAnsi="Calibri" w:cs="Calibri"/>
          <w:color w:val="000000" w:themeColor="text1"/>
        </w:rPr>
        <w:t>,</w:t>
      </w:r>
      <w:r w:rsidR="497ADEF4" w:rsidRPr="6A827756">
        <w:rPr>
          <w:rFonts w:ascii="Calibri" w:eastAsia="Times New Roman" w:hAnsi="Calibri" w:cs="Calibri"/>
          <w:b/>
          <w:bCs/>
          <w:color w:val="000000" w:themeColor="text1"/>
        </w:rPr>
        <w:t xml:space="preserve"> </w:t>
      </w:r>
      <w:r w:rsidR="1A5DCBD8" w:rsidRPr="6A827756">
        <w:rPr>
          <w:rFonts w:ascii="Calibri" w:eastAsia="Times New Roman" w:hAnsi="Calibri" w:cs="Calibri"/>
          <w:color w:val="000000" w:themeColor="text1"/>
        </w:rPr>
        <w:t>Nigeria)</w:t>
      </w:r>
      <w:r w:rsidRPr="6A827756">
        <w:rPr>
          <w:rFonts w:ascii="Calibri" w:eastAsia="Times New Roman" w:hAnsi="Calibri" w:cs="Calibri"/>
          <w:color w:val="000000" w:themeColor="text1"/>
          <w:lang w:val="en-US"/>
        </w:rPr>
        <w:t xml:space="preserve">, </w:t>
      </w:r>
      <w:r w:rsidR="4650C03B" w:rsidRPr="6A827756">
        <w:rPr>
          <w:rFonts w:ascii="Calibri" w:eastAsia="Times New Roman" w:hAnsi="Calibri" w:cs="Calibri"/>
          <w:color w:val="000000" w:themeColor="text1"/>
          <w:lang w:val="en-US"/>
        </w:rPr>
        <w:t xml:space="preserve">and </w:t>
      </w:r>
      <w:r w:rsidR="2F04E820" w:rsidRPr="6A827756">
        <w:rPr>
          <w:rFonts w:ascii="Calibri" w:eastAsia="Times New Roman" w:hAnsi="Calibri" w:cs="Calibri"/>
          <w:color w:val="000000" w:themeColor="text1"/>
          <w:lang w:val="en-US"/>
        </w:rPr>
        <w:t>the streamlining of resolutions</w:t>
      </w:r>
      <w:r w:rsidR="2F04E820" w:rsidRPr="6A827756">
        <w:rPr>
          <w:rFonts w:ascii="Calibri" w:eastAsia="Times New Roman" w:hAnsi="Calibri" w:cs="Calibri"/>
          <w:color w:val="000000" w:themeColor="text1"/>
        </w:rPr>
        <w:t xml:space="preserve"> (TDAG-WG-SR, chaired by </w:t>
      </w:r>
      <w:r w:rsidR="008B71BD">
        <w:rPr>
          <w:rFonts w:ascii="Calibri" w:eastAsia="Times New Roman" w:hAnsi="Calibri" w:cs="Calibri"/>
          <w:color w:val="000000" w:themeColor="text1"/>
        </w:rPr>
        <w:t xml:space="preserve">Ms </w:t>
      </w:r>
      <w:r w:rsidR="2F04E820" w:rsidRPr="6A827756">
        <w:rPr>
          <w:rFonts w:ascii="Calibri" w:eastAsia="Times New Roman" w:hAnsi="Calibri" w:cs="Calibri"/>
          <w:color w:val="000000" w:themeColor="text1"/>
        </w:rPr>
        <w:t>Andrea Grippa, Brazil)</w:t>
      </w:r>
      <w:r w:rsidR="4650C03B" w:rsidRPr="6A827756">
        <w:rPr>
          <w:rFonts w:ascii="Calibri" w:eastAsia="Times New Roman" w:hAnsi="Calibri" w:cs="Calibri"/>
          <w:color w:val="000000" w:themeColor="text1"/>
        </w:rPr>
        <w:t>.</w:t>
      </w:r>
      <w:r w:rsidR="00EE1B67">
        <w:rPr>
          <w:rFonts w:ascii="Calibri" w:eastAsia="Times New Roman" w:hAnsi="Calibri" w:cs="Calibri"/>
          <w:color w:val="000000" w:themeColor="text1"/>
        </w:rPr>
        <w:t xml:space="preserve"> </w:t>
      </w:r>
      <w:r w:rsidR="79AD98BE" w:rsidRPr="6A827756">
        <w:rPr>
          <w:rFonts w:ascii="Calibri" w:eastAsia="Times New Roman" w:hAnsi="Calibri" w:cs="Calibri"/>
          <w:color w:val="000000" w:themeColor="text1"/>
        </w:rPr>
        <w:t>TDAG-24 also established</w:t>
      </w:r>
      <w:r w:rsidR="2F04E820" w:rsidRPr="6A827756">
        <w:rPr>
          <w:rFonts w:ascii="Calibri" w:eastAsia="Times New Roman" w:hAnsi="Calibri" w:cs="Calibri"/>
          <w:color w:val="000000" w:themeColor="text1"/>
        </w:rPr>
        <w:t xml:space="preserve"> </w:t>
      </w:r>
      <w:r w:rsidR="7C7BB061" w:rsidRPr="6A827756">
        <w:rPr>
          <w:rFonts w:ascii="Calibri" w:eastAsia="Times New Roman" w:hAnsi="Calibri" w:cs="Calibri"/>
          <w:color w:val="000000" w:themeColor="text1"/>
        </w:rPr>
        <w:t>the TDAG Informal Coordination Group on the Youth Summit and the Global Celebration (TDAG-ICG-GYS</w:t>
      </w:r>
      <w:r w:rsidR="6C0A894E" w:rsidRPr="6A827756">
        <w:rPr>
          <w:rFonts w:ascii="Calibri" w:eastAsia="Times New Roman" w:hAnsi="Calibri" w:cs="Calibri"/>
          <w:color w:val="000000" w:themeColor="text1"/>
        </w:rPr>
        <w:t xml:space="preserve">, </w:t>
      </w:r>
      <w:r w:rsidR="1A5DCBD8" w:rsidRPr="6A827756">
        <w:rPr>
          <w:rFonts w:ascii="Calibri" w:eastAsia="Times New Roman" w:hAnsi="Calibri" w:cs="Calibri"/>
          <w:color w:val="000000" w:themeColor="text1"/>
        </w:rPr>
        <w:t>coordinated by representatives from Argentina, China, Nigeria, and Saudi Arabia)</w:t>
      </w:r>
      <w:r w:rsidRPr="6A827756">
        <w:rPr>
          <w:rFonts w:ascii="Calibri" w:eastAsia="Times New Roman" w:hAnsi="Calibri" w:cs="Calibri"/>
          <w:color w:val="000000" w:themeColor="text1"/>
          <w:lang w:val="en-US"/>
        </w:rPr>
        <w:t xml:space="preserve">. </w:t>
      </w:r>
      <w:r w:rsidR="1A5DCBD8" w:rsidRPr="6A827756">
        <w:rPr>
          <w:rFonts w:ascii="Calibri" w:eastAsia="Times New Roman" w:hAnsi="Calibri" w:cs="Calibri"/>
          <w:color w:val="000000" w:themeColor="text1"/>
        </w:rPr>
        <w:t>These groups played a critical role in preparing for the forthcoming WTDC-25.</w:t>
      </w:r>
    </w:p>
    <w:p w14:paraId="1B2A22CE" w14:textId="4C49420A" w:rsidR="00E41C75" w:rsidRPr="00610D4F" w:rsidRDefault="1701F32C" w:rsidP="007F74D3">
      <w:pPr>
        <w:spacing w:after="120"/>
        <w:rPr>
          <w:rFonts w:ascii="Calibri" w:eastAsia="Times New Roman" w:hAnsi="Calibri" w:cs="Calibri"/>
          <w:color w:val="000000"/>
        </w:rPr>
      </w:pPr>
      <w:r w:rsidRPr="1E24F615">
        <w:rPr>
          <w:rFonts w:ascii="Calibri" w:eastAsia="Times New Roman" w:hAnsi="Calibri" w:cs="Calibri"/>
          <w:color w:val="000000" w:themeColor="text1"/>
        </w:rPr>
        <w:t xml:space="preserve">TDAG-31 appointed </w:t>
      </w:r>
      <w:r w:rsidR="008B71BD">
        <w:rPr>
          <w:rFonts w:ascii="Calibri" w:eastAsia="Times New Roman" w:hAnsi="Calibri" w:cs="Calibri"/>
          <w:color w:val="000000" w:themeColor="text1"/>
        </w:rPr>
        <w:t xml:space="preserve">Ms </w:t>
      </w:r>
      <w:r w:rsidRPr="1E24F615">
        <w:rPr>
          <w:rFonts w:ascii="Calibri" w:eastAsia="Times New Roman" w:hAnsi="Calibri" w:cs="Calibri"/>
          <w:color w:val="000000" w:themeColor="text1"/>
        </w:rPr>
        <w:t xml:space="preserve">Blanca González (Spain) and </w:t>
      </w:r>
      <w:r w:rsidR="008B71BD">
        <w:rPr>
          <w:rFonts w:ascii="Calibri" w:eastAsia="Times New Roman" w:hAnsi="Calibri" w:cs="Calibri"/>
          <w:color w:val="000000" w:themeColor="text1"/>
        </w:rPr>
        <w:t xml:space="preserve">Ms </w:t>
      </w:r>
      <w:r w:rsidRPr="1E24F615">
        <w:rPr>
          <w:rFonts w:ascii="Calibri" w:eastAsia="Times New Roman" w:hAnsi="Calibri" w:cs="Calibri"/>
          <w:color w:val="000000" w:themeColor="text1"/>
        </w:rPr>
        <w:t xml:space="preserve">Shahad </w:t>
      </w:r>
      <w:proofErr w:type="spellStart"/>
      <w:r w:rsidRPr="1E24F615">
        <w:rPr>
          <w:rFonts w:ascii="Calibri" w:eastAsia="Times New Roman" w:hAnsi="Calibri" w:cs="Calibri"/>
          <w:color w:val="000000" w:themeColor="text1"/>
        </w:rPr>
        <w:t>Albalawi</w:t>
      </w:r>
      <w:proofErr w:type="spellEnd"/>
      <w:r w:rsidRPr="1E24F615">
        <w:rPr>
          <w:rFonts w:ascii="Calibri" w:eastAsia="Times New Roman" w:hAnsi="Calibri" w:cs="Calibri"/>
          <w:color w:val="000000" w:themeColor="text1"/>
        </w:rPr>
        <w:t xml:space="preserve"> (Saudi Arabia) as ITU-D representatives to the Inter-Sector Coordination Group (ISCG), reinforcing cross-sector cooperation. </w:t>
      </w:r>
    </w:p>
    <w:p w14:paraId="3A85FA66" w14:textId="095B0CAC" w:rsidR="00E41C75" w:rsidRPr="003D55C4" w:rsidRDefault="00E41C75" w:rsidP="003D55C4">
      <w:pPr>
        <w:pStyle w:val="ListParagraph"/>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Advising on Study Group Schedules (Resolution 24 resolves 1.viii)</w:t>
      </w:r>
    </w:p>
    <w:p w14:paraId="40E3F26C" w14:textId="7F919559" w:rsidR="00E41C75" w:rsidRPr="00610D4F" w:rsidRDefault="00E41C75" w:rsidP="007F74D3">
      <w:pPr>
        <w:spacing w:after="120"/>
        <w:rPr>
          <w:rFonts w:ascii="Calibri" w:eastAsia="Times New Roman" w:hAnsi="Calibri" w:cs="Calibri"/>
          <w:color w:val="000000"/>
          <w:szCs w:val="24"/>
          <w:lang w:val="en-US"/>
        </w:rPr>
      </w:pPr>
      <w:r w:rsidRPr="00610D4F">
        <w:rPr>
          <w:rFonts w:ascii="Calibri" w:eastAsia="Times New Roman" w:hAnsi="Calibri" w:cs="Calibri"/>
          <w:color w:val="000000"/>
          <w:szCs w:val="24"/>
          <w:lang w:val="en-US"/>
        </w:rPr>
        <w:t xml:space="preserve">TDAG meticulously reviewed and approved detailed agendas and time management plans, ensuring study group schedules aligned effectively with ITU-D strategic priorities. Explicit approvals were recorded at </w:t>
      </w:r>
      <w:r>
        <w:rPr>
          <w:rFonts w:ascii="Calibri" w:eastAsia="Times New Roman" w:hAnsi="Calibri" w:cs="Calibri"/>
          <w:color w:val="000000"/>
          <w:szCs w:val="24"/>
          <w:lang w:val="en-US"/>
        </w:rPr>
        <w:t>TDAG-</w:t>
      </w:r>
      <w:r w:rsidR="00A039E0">
        <w:rPr>
          <w:rFonts w:ascii="Calibri" w:eastAsia="Times New Roman" w:hAnsi="Calibri" w:cs="Calibri"/>
          <w:color w:val="000000"/>
          <w:szCs w:val="24"/>
          <w:lang w:val="en-US"/>
        </w:rPr>
        <w:t>23</w:t>
      </w:r>
      <w:r w:rsidRPr="00610D4F">
        <w:rPr>
          <w:rFonts w:ascii="Calibri" w:eastAsia="Times New Roman" w:hAnsi="Calibri" w:cs="Calibri"/>
          <w:color w:val="000000"/>
          <w:szCs w:val="24"/>
          <w:lang w:val="en-US"/>
        </w:rPr>
        <w:t xml:space="preserve">, </w:t>
      </w:r>
      <w:r>
        <w:rPr>
          <w:rFonts w:ascii="Calibri" w:eastAsia="Times New Roman" w:hAnsi="Calibri" w:cs="Calibri"/>
          <w:color w:val="000000"/>
          <w:szCs w:val="24"/>
          <w:lang w:val="en-US"/>
        </w:rPr>
        <w:t>TDAG-</w:t>
      </w:r>
      <w:r w:rsidR="00A039E0">
        <w:rPr>
          <w:rFonts w:ascii="Calibri" w:eastAsia="Times New Roman" w:hAnsi="Calibri" w:cs="Calibri"/>
          <w:color w:val="000000"/>
          <w:szCs w:val="24"/>
          <w:lang w:val="en-US"/>
        </w:rPr>
        <w:t>24</w:t>
      </w:r>
      <w:r w:rsidRPr="00610D4F">
        <w:rPr>
          <w:rFonts w:ascii="Calibri" w:eastAsia="Times New Roman" w:hAnsi="Calibri" w:cs="Calibri"/>
          <w:color w:val="000000"/>
          <w:szCs w:val="24"/>
          <w:lang w:val="en-US"/>
        </w:rPr>
        <w:t>, and the Extra-Ordinary TDAG meeting.</w:t>
      </w:r>
    </w:p>
    <w:p w14:paraId="03D7EB23" w14:textId="6D2BC65A" w:rsidR="00E41C75" w:rsidRPr="003D55C4" w:rsidRDefault="00E41C75" w:rsidP="003D55C4">
      <w:pPr>
        <w:pStyle w:val="ListParagraph"/>
        <w:keepNext/>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lastRenderedPageBreak/>
        <w:t>Financial and Operational Advice to BDT Director (Resolution 24 resolves 1.ix)</w:t>
      </w:r>
    </w:p>
    <w:p w14:paraId="0D643F49" w14:textId="2B8C171B" w:rsidR="00E41C75" w:rsidRPr="009C2E05" w:rsidRDefault="00E41C75" w:rsidP="007F74D3">
      <w:pPr>
        <w:spacing w:after="120"/>
        <w:rPr>
          <w:rFonts w:ascii="Calibri" w:eastAsia="Times New Roman" w:hAnsi="Calibri" w:cs="Calibri"/>
          <w:color w:val="000000"/>
        </w:rPr>
      </w:pPr>
      <w:r w:rsidRPr="00610D4F">
        <w:rPr>
          <w:rFonts w:ascii="Calibri" w:eastAsia="Times New Roman" w:hAnsi="Calibri" w:cs="Calibri"/>
          <w:color w:val="000000" w:themeColor="text1"/>
        </w:rPr>
        <w:t xml:space="preserve">TDAG consistently provided comprehensive financial and operational guidance to the BDT Director. This included reviewing budget allocations, advising on resource mobilization strategies, and endorsing transparent financial management practices. The mobilization of significant financial contributions and strategic partnerships, detailed during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23</w:t>
      </w:r>
      <w:r w:rsidRPr="00610D4F">
        <w:rPr>
          <w:rFonts w:ascii="Calibri" w:eastAsia="Times New Roman" w:hAnsi="Calibri" w:cs="Calibri"/>
          <w:color w:val="000000" w:themeColor="text1"/>
        </w:rPr>
        <w:t xml:space="preserve"> and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24</w:t>
      </w:r>
      <w:r w:rsidRPr="00610D4F">
        <w:rPr>
          <w:rFonts w:ascii="Calibri" w:eastAsia="Times New Roman" w:hAnsi="Calibri" w:cs="Calibri"/>
          <w:color w:val="000000" w:themeColor="text1"/>
        </w:rPr>
        <w:t>, exemplified the positive impact of this guidance.</w:t>
      </w:r>
    </w:p>
    <w:p w14:paraId="2EB76C10" w14:textId="30C837FC" w:rsidR="003325D3" w:rsidRPr="00610D4F" w:rsidRDefault="5918701D" w:rsidP="007F74D3">
      <w:pPr>
        <w:pStyle w:val="CEONormal"/>
        <w:spacing w:before="120" w:after="120"/>
        <w:rPr>
          <w:rFonts w:ascii="Calibri" w:hAnsi="Calibri" w:cs="Calibri"/>
          <w:sz w:val="24"/>
          <w:szCs w:val="24"/>
        </w:rPr>
      </w:pPr>
      <w:r w:rsidRPr="1E24F615">
        <w:rPr>
          <w:rFonts w:ascii="Calibri" w:hAnsi="Calibri" w:cs="Calibri"/>
          <w:sz w:val="24"/>
          <w:szCs w:val="24"/>
        </w:rPr>
        <w:t xml:space="preserve">Throughout its various meetings, TDAG stressed the important role of ITU-D membership (Sector Members, Associates and </w:t>
      </w:r>
      <w:r w:rsidR="3D47D280" w:rsidRPr="1E24F615">
        <w:rPr>
          <w:rFonts w:ascii="Calibri" w:hAnsi="Calibri" w:cs="Calibri"/>
          <w:sz w:val="24"/>
          <w:szCs w:val="24"/>
        </w:rPr>
        <w:t>Academia) in</w:t>
      </w:r>
      <w:r w:rsidRPr="1E24F615">
        <w:rPr>
          <w:rFonts w:ascii="Calibri" w:hAnsi="Calibri" w:cs="Calibri"/>
          <w:sz w:val="24"/>
          <w:szCs w:val="24"/>
        </w:rPr>
        <w:t xml:space="preserve"> the work of ITU-D. It </w:t>
      </w:r>
      <w:r w:rsidR="3E8887DC" w:rsidRPr="1E24F615">
        <w:rPr>
          <w:rFonts w:ascii="Calibri" w:hAnsi="Calibri" w:cs="Calibri"/>
          <w:sz w:val="24"/>
          <w:szCs w:val="24"/>
        </w:rPr>
        <w:t>recognized the</w:t>
      </w:r>
      <w:r w:rsidRPr="1E24F615">
        <w:rPr>
          <w:rFonts w:ascii="Calibri" w:hAnsi="Calibri" w:cs="Calibri"/>
          <w:sz w:val="24"/>
          <w:szCs w:val="24"/>
        </w:rPr>
        <w:t xml:space="preserve"> sustained growth and diversification of ITU-D membership during the years </w:t>
      </w:r>
      <w:proofErr w:type="gramStart"/>
      <w:r w:rsidRPr="1E24F615">
        <w:rPr>
          <w:rFonts w:ascii="Calibri" w:hAnsi="Calibri" w:cs="Calibri"/>
          <w:sz w:val="24"/>
          <w:szCs w:val="24"/>
        </w:rPr>
        <w:t>as a result of</w:t>
      </w:r>
      <w:proofErr w:type="gramEnd"/>
      <w:r w:rsidRPr="1E24F615">
        <w:rPr>
          <w:rFonts w:ascii="Calibri" w:hAnsi="Calibri" w:cs="Calibri"/>
          <w:sz w:val="24"/>
          <w:szCs w:val="24"/>
        </w:rPr>
        <w:t xml:space="preserve"> concerted outreach efforts to new members, along with initiatives for retention of existing ones.</w:t>
      </w:r>
      <w:r w:rsidR="00EE1B67">
        <w:rPr>
          <w:rFonts w:ascii="Calibri" w:hAnsi="Calibri" w:cs="Calibri"/>
          <w:sz w:val="24"/>
          <w:szCs w:val="24"/>
        </w:rPr>
        <w:t xml:space="preserve"> </w:t>
      </w:r>
      <w:r w:rsidRPr="1E24F615">
        <w:rPr>
          <w:rFonts w:ascii="Calibri" w:hAnsi="Calibri" w:cs="Calibri"/>
          <w:sz w:val="24"/>
          <w:szCs w:val="24"/>
        </w:rPr>
        <w:t>TDAG also took note of the increased engagement and contributions from the industry and the private sector with the work of ITU-D, in particular Industry Advisory Group on Development Issues and Private Sector Chief Regulatory Officers (IAGDI-CRO) meetings and high-level outcome statements. TDAG also noted with appreciation the actions carried out at global and regional levels to encourage partnerships, including public-private partnerships.</w:t>
      </w:r>
    </w:p>
    <w:p w14:paraId="1229D9EB" w14:textId="38FCB30B" w:rsidR="00AC28E6" w:rsidRPr="00610D4F" w:rsidRDefault="5918701D" w:rsidP="007F74D3">
      <w:pPr>
        <w:pStyle w:val="CEONormal"/>
        <w:spacing w:before="120" w:after="120"/>
        <w:rPr>
          <w:rFonts w:ascii="Calibri" w:hAnsi="Calibri" w:cs="Calibri"/>
          <w:sz w:val="24"/>
          <w:szCs w:val="24"/>
          <w:lang w:val="en-US"/>
        </w:rPr>
      </w:pPr>
      <w:r w:rsidRPr="1E24F615">
        <w:rPr>
          <w:rFonts w:ascii="Calibri" w:hAnsi="Calibri" w:cs="Calibri"/>
          <w:sz w:val="24"/>
          <w:szCs w:val="24"/>
          <w:lang w:val="en-US"/>
        </w:rPr>
        <w:t xml:space="preserve">BDT’s resource mobilization efforts have significantly increased over the period, driven by on-going BDT-wide initiatives to foster, develop, and strengthen partnership with a diverse range of stakeholders from both developed and developing countries. Key strategic actions have included nurturing and strengthening </w:t>
      </w:r>
      <w:r w:rsidR="51C4AEDD" w:rsidRPr="1E24F615">
        <w:rPr>
          <w:rFonts w:ascii="Calibri" w:hAnsi="Calibri" w:cs="Calibri"/>
          <w:sz w:val="24"/>
          <w:szCs w:val="24"/>
          <w:lang w:val="en-US"/>
        </w:rPr>
        <w:t>relationships</w:t>
      </w:r>
      <w:r w:rsidRPr="1E24F615">
        <w:rPr>
          <w:rFonts w:ascii="Calibri" w:hAnsi="Calibri" w:cs="Calibri"/>
          <w:sz w:val="24"/>
          <w:szCs w:val="24"/>
          <w:lang w:val="en-US"/>
        </w:rPr>
        <w:t xml:space="preserve"> with longstanding partners, enhancing collaboration with UN agencies, and actively reaching out to and engaging new partners. </w:t>
      </w:r>
    </w:p>
    <w:p w14:paraId="59DC9561" w14:textId="0D215FF0" w:rsidR="00E41C75" w:rsidRPr="003D55C4" w:rsidRDefault="00E41C75" w:rsidP="003D55C4">
      <w:pPr>
        <w:pStyle w:val="ListParagraph"/>
        <w:keepNext/>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 xml:space="preserve">Approval of Work </w:t>
      </w:r>
      <w:proofErr w:type="spellStart"/>
      <w:r w:rsidRPr="003D55C4">
        <w:rPr>
          <w:rFonts w:ascii="Calibri" w:eastAsia="Times New Roman" w:hAnsi="Calibri" w:cs="Calibri"/>
          <w:b/>
          <w:color w:val="000000" w:themeColor="text1"/>
          <w:lang w:val="en-US"/>
        </w:rPr>
        <w:t>Programme</w:t>
      </w:r>
      <w:proofErr w:type="spellEnd"/>
      <w:r w:rsidRPr="003D55C4">
        <w:rPr>
          <w:rFonts w:ascii="Calibri" w:eastAsia="Times New Roman" w:hAnsi="Calibri" w:cs="Calibri"/>
          <w:b/>
          <w:color w:val="000000" w:themeColor="text1"/>
          <w:lang w:val="en-US"/>
        </w:rPr>
        <w:t xml:space="preserve"> and Priorities (Resolution 24 resolves 1.x)</w:t>
      </w:r>
    </w:p>
    <w:p w14:paraId="7E5B9D79" w14:textId="3554BF1D" w:rsidR="00E41C75" w:rsidRPr="00610D4F" w:rsidRDefault="00E41C75" w:rsidP="007F74D3">
      <w:pPr>
        <w:spacing w:after="120"/>
        <w:rPr>
          <w:rFonts w:ascii="Calibri" w:eastAsia="Times New Roman" w:hAnsi="Calibri" w:cs="Calibri"/>
          <w:color w:val="000000"/>
        </w:rPr>
      </w:pPr>
      <w:r w:rsidRPr="00610D4F">
        <w:rPr>
          <w:rFonts w:ascii="Calibri" w:eastAsia="Times New Roman" w:hAnsi="Calibri" w:cs="Calibri"/>
          <w:color w:val="000000" w:themeColor="text1"/>
        </w:rPr>
        <w:t xml:space="preserve">TDAG systematically endorsed strategic work programmes and defined clear priorities for ITU-D activities. Major areas such as cybersecurity, digital transformation, capacity building, and regional initiatives were emphasized across operational plans endorsed at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23</w:t>
      </w:r>
      <w:r w:rsidRPr="00610D4F">
        <w:rPr>
          <w:rFonts w:ascii="Calibri" w:eastAsia="Times New Roman" w:hAnsi="Calibri" w:cs="Calibri"/>
          <w:color w:val="000000" w:themeColor="text1"/>
        </w:rPr>
        <w:t xml:space="preserve"> and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24</w:t>
      </w:r>
      <w:r w:rsidRPr="00610D4F">
        <w:rPr>
          <w:rFonts w:ascii="Calibri" w:eastAsia="Times New Roman" w:hAnsi="Calibri" w:cs="Calibri"/>
          <w:color w:val="000000" w:themeColor="text1"/>
        </w:rPr>
        <w:t>, highlighting TDAG's commitment to impactful and regionally relevant outcomes.</w:t>
      </w:r>
    </w:p>
    <w:p w14:paraId="1BB53919" w14:textId="08B75300" w:rsidR="00E41C75" w:rsidRPr="003D55C4" w:rsidRDefault="00E41C75" w:rsidP="003D55C4">
      <w:pPr>
        <w:pStyle w:val="ListParagraph"/>
        <w:keepNext/>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Electronic Working Methods (Resolution 24 resolves 1.xii)</w:t>
      </w:r>
    </w:p>
    <w:p w14:paraId="125C3D97" w14:textId="419314D7" w:rsidR="00E41C75" w:rsidRPr="00610D4F" w:rsidRDefault="00E41C75" w:rsidP="007F74D3">
      <w:pPr>
        <w:spacing w:after="120"/>
        <w:rPr>
          <w:rFonts w:ascii="Calibri" w:eastAsia="Times New Roman" w:hAnsi="Calibri" w:cs="Calibri"/>
          <w:color w:val="000000"/>
        </w:rPr>
      </w:pPr>
      <w:r w:rsidRPr="00610D4F">
        <w:rPr>
          <w:rFonts w:ascii="Calibri" w:eastAsia="Times New Roman" w:hAnsi="Calibri" w:cs="Calibri"/>
          <w:color w:val="000000" w:themeColor="text1"/>
        </w:rPr>
        <w:t xml:space="preserve">TDAG strongly advocated the adoption and enhancement of electronic working methods, emphasizing inclusivity and broad participation. Guidelines and tools for remote participation, virtual engagement, and electronic documentation management were discussed and refined during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24</w:t>
      </w:r>
      <w:r w:rsidRPr="00610D4F">
        <w:rPr>
          <w:rFonts w:ascii="Calibri" w:eastAsia="Times New Roman" w:hAnsi="Calibri" w:cs="Calibri"/>
          <w:color w:val="000000" w:themeColor="text1"/>
        </w:rPr>
        <w:t xml:space="preserve"> and the Extra-Ordinary TDAG meeting, facilitating greater involvement from developing regions and enhancing operational effectiveness.</w:t>
      </w:r>
    </w:p>
    <w:p w14:paraId="77B38499" w14:textId="05B0A48E" w:rsidR="00E41C75" w:rsidRPr="003D55C4" w:rsidRDefault="00E41C75" w:rsidP="003D55C4">
      <w:pPr>
        <w:pStyle w:val="ListParagraph"/>
        <w:keepNext/>
        <w:numPr>
          <w:ilvl w:val="0"/>
          <w:numId w:val="39"/>
        </w:numPr>
        <w:spacing w:after="120"/>
        <w:ind w:left="357" w:hanging="357"/>
        <w:contextualSpacing w:val="0"/>
        <w:outlineLvl w:val="3"/>
        <w:rPr>
          <w:rFonts w:ascii="Calibri" w:eastAsia="Times New Roman" w:hAnsi="Calibri" w:cs="Calibri"/>
          <w:b/>
          <w:color w:val="000000" w:themeColor="text1"/>
          <w:lang w:val="en-US"/>
        </w:rPr>
      </w:pPr>
      <w:r w:rsidRPr="003D55C4">
        <w:rPr>
          <w:rFonts w:ascii="Calibri" w:eastAsia="Times New Roman" w:hAnsi="Calibri" w:cs="Calibri"/>
          <w:b/>
          <w:color w:val="000000" w:themeColor="text1"/>
          <w:lang w:val="en-US"/>
        </w:rPr>
        <w:t>Coordination with Other Sectors (Resolution 24 resolves 3 &amp; 4)</w:t>
      </w:r>
    </w:p>
    <w:p w14:paraId="3CF2CB02" w14:textId="26E532A7" w:rsidR="00E41C75" w:rsidRPr="00261259" w:rsidRDefault="00E41C75" w:rsidP="007F74D3">
      <w:pPr>
        <w:spacing w:after="120"/>
        <w:rPr>
          <w:rFonts w:ascii="Calibri" w:eastAsia="Times New Roman" w:hAnsi="Calibri" w:cs="Calibri"/>
          <w:color w:val="000000"/>
        </w:rPr>
      </w:pPr>
      <w:r w:rsidRPr="00610D4F">
        <w:rPr>
          <w:rFonts w:ascii="Calibri" w:eastAsia="Times New Roman" w:hAnsi="Calibri" w:cs="Calibri"/>
          <w:color w:val="000000" w:themeColor="text1"/>
        </w:rPr>
        <w:t xml:space="preserve">TDAG actively promoted cross-sector coordination within ITU, ensuring strategic alignment and reducing duplication of efforts. Liaison with the Telecommunication Standardization Advisory Group (TSAG) reinforced ITU-D's role in digital transformation, as evidenced at </w:t>
      </w:r>
      <w:r w:rsidRPr="248CB2EC">
        <w:rPr>
          <w:rFonts w:ascii="Calibri" w:eastAsia="Times New Roman" w:hAnsi="Calibri" w:cs="Calibri"/>
          <w:color w:val="000000" w:themeColor="text1"/>
        </w:rPr>
        <w:t>TDAG-</w:t>
      </w:r>
      <w:r w:rsidR="00A039E0" w:rsidRPr="248CB2EC">
        <w:rPr>
          <w:rFonts w:ascii="Calibri" w:eastAsia="Times New Roman" w:hAnsi="Calibri" w:cs="Calibri"/>
          <w:color w:val="000000" w:themeColor="text1"/>
        </w:rPr>
        <w:t>24</w:t>
      </w:r>
      <w:r w:rsidRPr="00610D4F">
        <w:rPr>
          <w:rFonts w:ascii="Calibri" w:eastAsia="Times New Roman" w:hAnsi="Calibri" w:cs="Calibri"/>
          <w:color w:val="000000" w:themeColor="text1"/>
        </w:rPr>
        <w:t>. Regular interactions and joint discussions facilitated cooperation and coherence across ITU’s various sectors throughout the cycle.</w:t>
      </w:r>
    </w:p>
    <w:p w14:paraId="17041DD7" w14:textId="7C3C2CD4" w:rsidR="000B6FBD" w:rsidRPr="00261259" w:rsidRDefault="000B6FBD" w:rsidP="007F74D3">
      <w:pPr>
        <w:spacing w:after="120"/>
        <w:rPr>
          <w:rFonts w:ascii="Calibri" w:eastAsia="Times New Roman" w:hAnsi="Calibri" w:cs="Calibri"/>
          <w:color w:val="000000"/>
          <w:szCs w:val="24"/>
          <w:lang w:val="en-US"/>
        </w:rPr>
      </w:pPr>
      <w:r w:rsidRPr="000B6FBD">
        <w:rPr>
          <w:rFonts w:ascii="Calibri" w:eastAsia="Times New Roman" w:hAnsi="Calibri" w:cs="Calibri"/>
          <w:color w:val="000000"/>
          <w:szCs w:val="24"/>
          <w:lang w:val="en-US"/>
        </w:rPr>
        <w:t>TDAG actively cultivated inter-sector collaboration, significantly enhancing strategic coherence within the ITU framework. TDAG-31 approved strategic liaison statements to TSAG and ISCG, effectively aligning digital transformation initiatives across sectors and mapping overlapping study questions to eliminate redundancies. Noteworthy joint initiatives included cooperation with ITU-R on spectrum management strategies and ITU-T on standards for smart sustainable cities and communities (SSCC)</w:t>
      </w:r>
      <w:r w:rsidR="006F5C71">
        <w:rPr>
          <w:rFonts w:ascii="Calibri" w:eastAsia="Times New Roman" w:hAnsi="Calibri" w:cs="Calibri"/>
          <w:color w:val="000000"/>
          <w:szCs w:val="24"/>
          <w:lang w:val="en-US"/>
        </w:rPr>
        <w:t>.</w:t>
      </w:r>
    </w:p>
    <w:p w14:paraId="0EA0E229" w14:textId="15B1AF03" w:rsidR="001F6813" w:rsidRPr="00610D4F" w:rsidRDefault="00E54C6C" w:rsidP="007F74D3">
      <w:pPr>
        <w:spacing w:after="120"/>
        <w:rPr>
          <w:rFonts w:ascii="Calibri" w:eastAsia="Calibri" w:hAnsi="Calibri" w:cs="Calibri"/>
          <w:szCs w:val="24"/>
          <w:lang w:val="en-US"/>
        </w:rPr>
      </w:pPr>
      <w:r w:rsidRPr="00261259">
        <w:rPr>
          <w:rFonts w:ascii="Calibri" w:eastAsia="Times New Roman" w:hAnsi="Calibri" w:cs="Calibri"/>
          <w:color w:val="000000"/>
          <w:szCs w:val="24"/>
          <w:lang w:val="en-US"/>
        </w:rPr>
        <w:lastRenderedPageBreak/>
        <w:t xml:space="preserve">TDAG consistently reviewed the reports of the </w:t>
      </w:r>
      <w:r w:rsidR="0030579B" w:rsidRPr="00261259">
        <w:rPr>
          <w:rFonts w:ascii="Calibri" w:eastAsia="Times New Roman" w:hAnsi="Calibri" w:cs="Calibri"/>
          <w:color w:val="000000"/>
          <w:szCs w:val="24"/>
          <w:lang w:val="en-US"/>
        </w:rPr>
        <w:t>Inter-Sector Coordination Group on Issues of Mutual Interest (ISCG)</w:t>
      </w:r>
      <w:r w:rsidR="005543A5" w:rsidRPr="00261259">
        <w:rPr>
          <w:rFonts w:ascii="Calibri" w:eastAsia="Times New Roman" w:hAnsi="Calibri" w:cs="Calibri"/>
          <w:color w:val="000000"/>
          <w:szCs w:val="24"/>
          <w:lang w:val="en-US"/>
        </w:rPr>
        <w:t xml:space="preserve">. </w:t>
      </w:r>
      <w:r w:rsidR="00974A94" w:rsidRPr="00261259">
        <w:rPr>
          <w:rFonts w:ascii="Calibri" w:eastAsia="Times New Roman" w:hAnsi="Calibri" w:cs="Calibri"/>
          <w:color w:val="000000"/>
          <w:szCs w:val="24"/>
          <w:lang w:val="en-US"/>
        </w:rPr>
        <w:t xml:space="preserve">This Group </w:t>
      </w:r>
      <w:r w:rsidR="00974A94" w:rsidRPr="00610D4F">
        <w:rPr>
          <w:rFonts w:ascii="Calibri" w:eastAsia="Calibri" w:hAnsi="Calibri" w:cs="Calibri"/>
          <w:szCs w:val="24"/>
          <w:lang w:val="en-US"/>
        </w:rPr>
        <w:t xml:space="preserve">is composed by representatives of the Radiocommunication Advisory Group (RAG), the Telecommunication Standardization Advisory Group (TSAG) and the Telecommunication Development Advisory Group (TDAG), </w:t>
      </w:r>
      <w:r w:rsidR="000A0804">
        <w:rPr>
          <w:rFonts w:ascii="Calibri" w:eastAsia="Calibri" w:hAnsi="Calibri" w:cs="Calibri"/>
          <w:szCs w:val="24"/>
          <w:lang w:val="en-US"/>
        </w:rPr>
        <w:t xml:space="preserve">and </w:t>
      </w:r>
      <w:r w:rsidR="00974A94" w:rsidRPr="00610D4F">
        <w:rPr>
          <w:rFonts w:ascii="Calibri" w:eastAsia="Calibri" w:hAnsi="Calibri" w:cs="Calibri"/>
          <w:szCs w:val="24"/>
          <w:lang w:val="en-US"/>
        </w:rPr>
        <w:t xml:space="preserve">works to identify subjects common to the three Sectors and the General Secretariat, and mechanisms to enhance cooperation and collaboration in all Sectors on matters of mutual interest, in order to avoid duplication of effort and optimize the use of resources of the Union, in line with </w:t>
      </w:r>
      <w:hyperlink r:id="rId51" w:history="1">
        <w:r w:rsidR="00974A94" w:rsidRPr="00610D4F">
          <w:rPr>
            <w:rFonts w:ascii="Calibri" w:eastAsia="Calibri" w:hAnsi="Calibri" w:cs="Calibri"/>
            <w:szCs w:val="24"/>
            <w:lang w:val="en-US"/>
          </w:rPr>
          <w:t>Resolution 191 (Rev. Bucharest, 2022)</w:t>
        </w:r>
      </w:hyperlink>
      <w:r w:rsidR="001F6813" w:rsidRPr="00261259">
        <w:rPr>
          <w:lang w:val="en-US"/>
        </w:rPr>
        <w:t xml:space="preserve">. </w:t>
      </w:r>
      <w:r w:rsidR="001F6813" w:rsidRPr="00610D4F">
        <w:rPr>
          <w:rFonts w:ascii="Calibri" w:eastAsia="Calibri" w:hAnsi="Calibri" w:cs="Calibri"/>
          <w:szCs w:val="24"/>
          <w:lang w:val="en-US"/>
        </w:rPr>
        <w:t>The ISCG considers current and new activities and their distribution among ITU-R, ITU-T and ITU-D for approval by the ITU Member States in accordance with the procedures for approval of new and revised Questions. It also considers the reports by the three Directors and the Inter-Sectoral Coordination Task Force (ISC-TF) on options for improving cooperation at the secretariat level to ensure that close coordination is maximized.</w:t>
      </w:r>
    </w:p>
    <w:p w14:paraId="090EE74B" w14:textId="1C24C8D3" w:rsidR="001071DC" w:rsidRPr="00261259" w:rsidRDefault="1BC35EDC" w:rsidP="007F74D3">
      <w:pPr>
        <w:spacing w:after="120"/>
        <w:rPr>
          <w:rFonts w:ascii="Calibri" w:eastAsia="Times New Roman" w:hAnsi="Calibri" w:cs="Calibri"/>
          <w:color w:val="000000"/>
          <w:lang w:val="en-US"/>
        </w:rPr>
      </w:pPr>
      <w:r w:rsidRPr="1E24F615">
        <w:rPr>
          <w:rFonts w:ascii="Calibri" w:eastAsia="Times New Roman" w:hAnsi="Calibri" w:cs="Calibri"/>
          <w:color w:val="000000" w:themeColor="text1"/>
          <w:lang w:val="en-US"/>
        </w:rPr>
        <w:t xml:space="preserve">Updates were provided and TDAG </w:t>
      </w:r>
      <w:r w:rsidR="0F403C75" w:rsidRPr="1E24F615">
        <w:rPr>
          <w:rFonts w:ascii="Calibri" w:eastAsia="Times New Roman" w:hAnsi="Calibri" w:cs="Calibri"/>
          <w:color w:val="000000" w:themeColor="text1"/>
          <w:lang w:val="en-US"/>
        </w:rPr>
        <w:t>deliberated o</w:t>
      </w:r>
      <w:r w:rsidR="775642A6" w:rsidRPr="1E24F615">
        <w:rPr>
          <w:rFonts w:ascii="Calibri" w:eastAsia="Times New Roman" w:hAnsi="Calibri" w:cs="Calibri"/>
          <w:color w:val="000000" w:themeColor="text1"/>
          <w:lang w:val="en-US"/>
        </w:rPr>
        <w:t>n</w:t>
      </w:r>
      <w:r w:rsidR="0F403C75" w:rsidRPr="1E24F615">
        <w:rPr>
          <w:rFonts w:ascii="Calibri" w:eastAsia="Times New Roman" w:hAnsi="Calibri" w:cs="Calibri"/>
          <w:color w:val="000000" w:themeColor="text1"/>
          <w:lang w:val="en-US"/>
        </w:rPr>
        <w:t xml:space="preserve"> these updates submitted to its sessions.</w:t>
      </w:r>
      <w:r w:rsidR="05BD6DE4" w:rsidRPr="1E24F615">
        <w:rPr>
          <w:rFonts w:ascii="Calibri" w:eastAsia="Times New Roman" w:hAnsi="Calibri" w:cs="Calibri"/>
          <w:color w:val="000000" w:themeColor="text1"/>
          <w:lang w:val="en-US"/>
        </w:rPr>
        <w:t xml:space="preserve"> </w:t>
      </w:r>
      <w:r w:rsidR="0F403C75" w:rsidRPr="1E24F615">
        <w:rPr>
          <w:rFonts w:ascii="Calibri" w:eastAsia="Times New Roman" w:hAnsi="Calibri" w:cs="Calibri"/>
          <w:color w:val="000000" w:themeColor="text1"/>
          <w:lang w:val="en-US"/>
        </w:rPr>
        <w:t xml:space="preserve">In specific </w:t>
      </w:r>
      <w:r w:rsidR="1381A6F0" w:rsidRPr="1E24F615">
        <w:rPr>
          <w:rFonts w:ascii="Calibri" w:eastAsia="Times New Roman" w:hAnsi="Calibri" w:cs="Calibri"/>
          <w:color w:val="000000" w:themeColor="text1"/>
          <w:lang w:val="en-US"/>
        </w:rPr>
        <w:t xml:space="preserve">the following activities </w:t>
      </w:r>
      <w:r w:rsidR="228BD924" w:rsidRPr="1E24F615">
        <w:rPr>
          <w:rFonts w:ascii="Calibri" w:eastAsia="Times New Roman" w:hAnsi="Calibri" w:cs="Calibri"/>
          <w:color w:val="000000" w:themeColor="text1"/>
          <w:lang w:val="en-US"/>
        </w:rPr>
        <w:t xml:space="preserve">of the ISCG </w:t>
      </w:r>
      <w:r w:rsidR="1381A6F0" w:rsidRPr="1E24F615">
        <w:rPr>
          <w:rFonts w:ascii="Calibri" w:eastAsia="Times New Roman" w:hAnsi="Calibri" w:cs="Calibri"/>
          <w:color w:val="000000" w:themeColor="text1"/>
          <w:lang w:val="en-US"/>
        </w:rPr>
        <w:t xml:space="preserve">were reviewed by TDAG during the reporting period: </w:t>
      </w:r>
    </w:p>
    <w:p w14:paraId="5574DF8D" w14:textId="77777777" w:rsidR="00EC6FC1" w:rsidRPr="00610D4F" w:rsidRDefault="00EC6FC1" w:rsidP="007F74D3">
      <w:pPr>
        <w:spacing w:after="120"/>
        <w:rPr>
          <w:rFonts w:ascii="Calibri" w:hAnsi="Calibri"/>
          <w:szCs w:val="24"/>
          <w:lang w:val="en-US"/>
        </w:rPr>
      </w:pPr>
      <w:r w:rsidRPr="00610D4F">
        <w:rPr>
          <w:rFonts w:ascii="Calibri" w:eastAsia="Calibri" w:hAnsi="Calibri" w:cs="Calibri"/>
          <w:szCs w:val="24"/>
          <w:lang w:val="en-US"/>
        </w:rPr>
        <w:t>ISCG has met five times since WTDC-22:</w:t>
      </w:r>
    </w:p>
    <w:p w14:paraId="7FB11968" w14:textId="77777777" w:rsidR="00EC6FC1" w:rsidRPr="00610D4F" w:rsidRDefault="00EC6FC1" w:rsidP="00581118">
      <w:pPr>
        <w:pStyle w:val="ListParagraph"/>
        <w:numPr>
          <w:ilvl w:val="0"/>
          <w:numId w:val="38"/>
        </w:numPr>
        <w:spacing w:before="60" w:after="60"/>
        <w:ind w:left="714" w:hanging="357"/>
        <w:contextualSpacing w:val="0"/>
        <w:rPr>
          <w:rFonts w:eastAsiaTheme="minorEastAsia" w:cstheme="minorBidi"/>
          <w:szCs w:val="24"/>
          <w:lang w:val="en-US"/>
        </w:rPr>
      </w:pPr>
      <w:r w:rsidRPr="00610D4F">
        <w:rPr>
          <w:rFonts w:ascii="Calibri" w:eastAsia="Calibri" w:hAnsi="Calibri" w:cs="Calibri"/>
          <w:szCs w:val="24"/>
          <w:lang w:val="en-US"/>
        </w:rPr>
        <w:t>2 May 2023 (</w:t>
      </w:r>
      <w:hyperlink r:id="rId52" w:history="1">
        <w:r w:rsidRPr="00610D4F">
          <w:rPr>
            <w:rStyle w:val="Hyperlink"/>
            <w:szCs w:val="24"/>
            <w:lang w:val="en-US"/>
          </w:rPr>
          <w:t>ISCG/23-1/09</w:t>
        </w:r>
      </w:hyperlink>
      <w:r w:rsidRPr="00610D4F">
        <w:rPr>
          <w:szCs w:val="24"/>
          <w:lang w:val="en-US"/>
        </w:rPr>
        <w:t>)</w:t>
      </w:r>
      <w:r w:rsidRPr="00610D4F">
        <w:rPr>
          <w:b/>
          <w:bCs/>
          <w:szCs w:val="24"/>
          <w:lang w:val="en-US"/>
        </w:rPr>
        <w:t xml:space="preserve"> </w:t>
      </w:r>
    </w:p>
    <w:p w14:paraId="4828AE48" w14:textId="77777777" w:rsidR="00EC6FC1" w:rsidRPr="00610D4F" w:rsidRDefault="00EC6FC1" w:rsidP="00581118">
      <w:pPr>
        <w:pStyle w:val="ListParagraph"/>
        <w:numPr>
          <w:ilvl w:val="0"/>
          <w:numId w:val="38"/>
        </w:numPr>
        <w:spacing w:before="60" w:after="60"/>
        <w:ind w:left="714" w:hanging="357"/>
        <w:contextualSpacing w:val="0"/>
        <w:rPr>
          <w:szCs w:val="24"/>
          <w:lang w:val="en-US"/>
        </w:rPr>
      </w:pPr>
      <w:r w:rsidRPr="00610D4F">
        <w:rPr>
          <w:rFonts w:ascii="Calibri" w:eastAsia="Calibri" w:hAnsi="Calibri" w:cs="Calibri"/>
          <w:szCs w:val="24"/>
          <w:lang w:val="en-US"/>
        </w:rPr>
        <w:t>24 January 2024 (</w:t>
      </w:r>
      <w:hyperlink r:id="rId53" w:history="1">
        <w:r w:rsidRPr="00610D4F">
          <w:rPr>
            <w:rStyle w:val="Hyperlink"/>
            <w:szCs w:val="24"/>
            <w:lang w:val="en-US"/>
          </w:rPr>
          <w:t>ISCG/24-2/02</w:t>
        </w:r>
      </w:hyperlink>
      <w:r w:rsidRPr="00610D4F">
        <w:rPr>
          <w:szCs w:val="24"/>
          <w:lang w:val="en-US"/>
        </w:rPr>
        <w:t>)</w:t>
      </w:r>
    </w:p>
    <w:p w14:paraId="5BB2D19A" w14:textId="77777777" w:rsidR="00EC6FC1" w:rsidRPr="00610D4F" w:rsidRDefault="00EC6FC1" w:rsidP="00581118">
      <w:pPr>
        <w:pStyle w:val="ListParagraph"/>
        <w:numPr>
          <w:ilvl w:val="0"/>
          <w:numId w:val="38"/>
        </w:numPr>
        <w:spacing w:before="60" w:after="60"/>
        <w:ind w:left="714" w:hanging="357"/>
        <w:contextualSpacing w:val="0"/>
        <w:rPr>
          <w:szCs w:val="24"/>
          <w:lang w:val="en-US"/>
        </w:rPr>
      </w:pPr>
      <w:r w:rsidRPr="00610D4F">
        <w:rPr>
          <w:rFonts w:ascii="Calibri" w:eastAsia="Calibri" w:hAnsi="Calibri" w:cs="Calibri"/>
          <w:szCs w:val="24"/>
          <w:lang w:val="en-US"/>
        </w:rPr>
        <w:t>21 May 2024 (</w:t>
      </w:r>
      <w:hyperlink r:id="rId54" w:history="1">
        <w:r w:rsidRPr="00610D4F">
          <w:rPr>
            <w:rStyle w:val="Hyperlink"/>
            <w:szCs w:val="24"/>
            <w:lang w:val="en-US"/>
          </w:rPr>
          <w:t>ISCG/24-3/02</w:t>
        </w:r>
      </w:hyperlink>
      <w:r w:rsidRPr="00610D4F">
        <w:rPr>
          <w:szCs w:val="24"/>
          <w:lang w:val="en-US"/>
        </w:rPr>
        <w:t>)</w:t>
      </w:r>
    </w:p>
    <w:p w14:paraId="761FEBCA" w14:textId="77777777" w:rsidR="00EC6FC1" w:rsidRPr="00610D4F" w:rsidRDefault="00EC6FC1" w:rsidP="00581118">
      <w:pPr>
        <w:pStyle w:val="ListParagraph"/>
        <w:numPr>
          <w:ilvl w:val="0"/>
          <w:numId w:val="38"/>
        </w:numPr>
        <w:spacing w:before="60" w:after="60"/>
        <w:ind w:left="714" w:hanging="357"/>
        <w:contextualSpacing w:val="0"/>
        <w:rPr>
          <w:szCs w:val="24"/>
          <w:lang w:val="en-US"/>
        </w:rPr>
      </w:pPr>
      <w:r w:rsidRPr="00610D4F">
        <w:rPr>
          <w:rFonts w:ascii="Calibri" w:eastAsia="Calibri" w:hAnsi="Calibri" w:cs="Calibri"/>
          <w:szCs w:val="24"/>
          <w:lang w:val="en-US"/>
        </w:rPr>
        <w:t>13 November 2024 (</w:t>
      </w:r>
      <w:hyperlink r:id="rId55" w:history="1">
        <w:r w:rsidRPr="00610D4F">
          <w:rPr>
            <w:rStyle w:val="Hyperlink"/>
            <w:szCs w:val="24"/>
            <w:lang w:val="en-US"/>
          </w:rPr>
          <w:t>ISCG/25-1/02</w:t>
        </w:r>
      </w:hyperlink>
      <w:r w:rsidRPr="00610D4F">
        <w:rPr>
          <w:szCs w:val="24"/>
          <w:lang w:val="en-US"/>
        </w:rPr>
        <w:t>)</w:t>
      </w:r>
    </w:p>
    <w:p w14:paraId="14AC59E3" w14:textId="5D6721B0" w:rsidR="00EC6FC1" w:rsidRPr="00610D4F" w:rsidRDefault="00EC6FC1" w:rsidP="00581118">
      <w:pPr>
        <w:pStyle w:val="ListParagraph"/>
        <w:numPr>
          <w:ilvl w:val="0"/>
          <w:numId w:val="38"/>
        </w:numPr>
        <w:spacing w:before="60" w:after="60"/>
        <w:ind w:left="714" w:hanging="357"/>
        <w:contextualSpacing w:val="0"/>
        <w:rPr>
          <w:szCs w:val="24"/>
          <w:lang w:val="en-US"/>
        </w:rPr>
      </w:pPr>
      <w:r w:rsidRPr="00610D4F">
        <w:rPr>
          <w:rFonts w:ascii="Calibri" w:eastAsia="Calibri" w:hAnsi="Calibri" w:cs="Calibri"/>
          <w:szCs w:val="24"/>
          <w:lang w:val="en-US"/>
        </w:rPr>
        <w:t>12 February 2025</w:t>
      </w:r>
      <w:r w:rsidR="00751755">
        <w:rPr>
          <w:rFonts w:ascii="Calibri" w:eastAsia="Calibri" w:hAnsi="Calibri" w:cs="Calibri"/>
          <w:szCs w:val="24"/>
          <w:lang w:val="en-US"/>
        </w:rPr>
        <w:t xml:space="preserve"> (ISCG February documents </w:t>
      </w:r>
      <w:hyperlink r:id="rId56" w:history="1">
        <w:r w:rsidR="00751755" w:rsidRPr="00751755">
          <w:rPr>
            <w:rStyle w:val="Hyperlink"/>
            <w:rFonts w:ascii="Calibri" w:eastAsia="Calibri" w:hAnsi="Calibri" w:cs="Calibri"/>
            <w:szCs w:val="24"/>
            <w:lang w:val="en-US"/>
          </w:rPr>
          <w:t>here</w:t>
        </w:r>
      </w:hyperlink>
      <w:r w:rsidR="00751755">
        <w:rPr>
          <w:rFonts w:ascii="Calibri" w:eastAsia="Calibri" w:hAnsi="Calibri" w:cs="Calibri"/>
          <w:szCs w:val="24"/>
          <w:lang w:val="en-US"/>
        </w:rPr>
        <w:t>)</w:t>
      </w:r>
    </w:p>
    <w:p w14:paraId="6A8CFD96" w14:textId="77777777" w:rsidR="00E41C75" w:rsidRPr="003D55C4" w:rsidRDefault="00E41C75" w:rsidP="007F74D3">
      <w:pPr>
        <w:spacing w:after="120"/>
        <w:outlineLvl w:val="2"/>
        <w:rPr>
          <w:rFonts w:ascii="Calibri" w:eastAsia="Times New Roman" w:hAnsi="Calibri" w:cs="Calibri"/>
          <w:b/>
          <w:color w:val="000000"/>
          <w:sz w:val="28"/>
          <w:szCs w:val="28"/>
          <w:lang w:val="en-US"/>
        </w:rPr>
      </w:pPr>
      <w:bookmarkStart w:id="30" w:name="_Toc194477927"/>
      <w:r w:rsidRPr="003D55C4">
        <w:rPr>
          <w:rFonts w:ascii="Calibri" w:eastAsia="Times New Roman" w:hAnsi="Calibri" w:cs="Calibri"/>
          <w:b/>
          <w:color w:val="000000"/>
          <w:sz w:val="28"/>
          <w:szCs w:val="28"/>
          <w:lang w:val="en-US"/>
        </w:rPr>
        <w:t>Conclusion and Outlook</w:t>
      </w:r>
      <w:bookmarkEnd w:id="30"/>
    </w:p>
    <w:p w14:paraId="47AD679C" w14:textId="7BC77287" w:rsidR="00FF15AD" w:rsidRPr="009C2E05" w:rsidRDefault="00E41C75" w:rsidP="007F74D3">
      <w:pPr>
        <w:spacing w:after="120"/>
        <w:rPr>
          <w:rFonts w:eastAsiaTheme="minorEastAsia" w:cstheme="minorBidi"/>
          <w:szCs w:val="24"/>
          <w:highlight w:val="yellow"/>
          <w:lang w:val="en-US"/>
        </w:rPr>
      </w:pPr>
      <w:r w:rsidRPr="00610D4F">
        <w:rPr>
          <w:rFonts w:ascii="Calibri" w:eastAsia="Times New Roman" w:hAnsi="Calibri" w:cs="Calibri"/>
          <w:color w:val="000000" w:themeColor="text1"/>
        </w:rPr>
        <w:t>Throughout the 2023-2025 cycle, TDAG effectively fulfilled the responsibilities outlined in Resolution 24, enhancing operational efficiency, financial accountability, strategic alignment, and inclusivity. The outcomes of TDAG-25 (scheduled for 12-16 May 2025) will further refine this report and provide additional insights, ensuring continued alignment with ITU's strategic goals and Member States' priorities</w:t>
      </w:r>
      <w:r w:rsidR="00E027C0" w:rsidRPr="248CB2EC">
        <w:rPr>
          <w:rFonts w:ascii="Calibri" w:eastAsia="Times New Roman" w:hAnsi="Calibri" w:cs="Calibri"/>
          <w:color w:val="000000" w:themeColor="text1"/>
        </w:rPr>
        <w:t>.</w:t>
      </w:r>
    </w:p>
    <w:p w14:paraId="6B870760" w14:textId="4BF3E3D5" w:rsidR="00FF220A" w:rsidRPr="009C2E05" w:rsidRDefault="4D32E0FF" w:rsidP="1E24F615">
      <w:pPr>
        <w:spacing w:before="0"/>
        <w:jc w:val="center"/>
        <w:rPr>
          <w:lang w:val="en-US"/>
        </w:rPr>
      </w:pPr>
      <w:r w:rsidRPr="1E24F615">
        <w:rPr>
          <w:lang w:val="en-US"/>
        </w:rPr>
        <w:t>_______________</w:t>
      </w:r>
    </w:p>
    <w:sectPr w:rsidR="00FF220A" w:rsidRPr="009C2E05" w:rsidSect="0081159E">
      <w:headerReference w:type="default" r:id="rId57"/>
      <w:headerReference w:type="first" r:id="rId58"/>
      <w:footerReference w:type="first" r:id="rId59"/>
      <w:pgSz w:w="11907" w:h="16840" w:code="9"/>
      <w:pgMar w:top="1418"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209C1" w14:textId="77777777" w:rsidR="00B00526" w:rsidRDefault="00B00526">
      <w:r>
        <w:separator/>
      </w:r>
    </w:p>
    <w:p w14:paraId="679D1092" w14:textId="77777777" w:rsidR="00B00526" w:rsidRDefault="00B00526"/>
  </w:endnote>
  <w:endnote w:type="continuationSeparator" w:id="0">
    <w:p w14:paraId="5FE55040" w14:textId="77777777" w:rsidR="00B00526" w:rsidRDefault="00B00526">
      <w:r>
        <w:continuationSeparator/>
      </w:r>
    </w:p>
    <w:p w14:paraId="7B449192" w14:textId="77777777" w:rsidR="00B00526" w:rsidRDefault="00B00526"/>
  </w:endnote>
  <w:endnote w:type="continuationNotice" w:id="1">
    <w:p w14:paraId="3997E307" w14:textId="77777777" w:rsidR="00B00526" w:rsidRDefault="00B00526">
      <w:pPr>
        <w:spacing w:before="0"/>
      </w:pPr>
    </w:p>
    <w:p w14:paraId="12ED6567" w14:textId="77777777" w:rsidR="00B00526" w:rsidRDefault="00B00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Gulim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93BD" w14:textId="49775410" w:rsidR="00F24339" w:rsidRDefault="00F24339">
    <w:pPr>
      <w:framePr w:wrap="around" w:vAnchor="text" w:hAnchor="margin" w:xAlign="right" w:y="1"/>
    </w:pPr>
    <w:r>
      <w:fldChar w:fldCharType="begin"/>
    </w:r>
    <w:r>
      <w:instrText xml:space="preserve">PAGE  </w:instrText>
    </w:r>
    <w:r>
      <w:fldChar w:fldCharType="end"/>
    </w:r>
  </w:p>
  <w:p w14:paraId="10E2874A" w14:textId="437518B0" w:rsidR="00F24339" w:rsidRPr="00BF0BF0" w:rsidRDefault="00F24339">
    <w:pPr>
      <w:ind w:right="360"/>
      <w:rPr>
        <w:lang w:val="fr-CH"/>
      </w:rPr>
    </w:pPr>
    <w:r>
      <w:fldChar w:fldCharType="begin"/>
    </w:r>
    <w:r w:rsidRPr="00BF0BF0">
      <w:rPr>
        <w:lang w:val="fr-CH"/>
      </w:rPr>
      <w:instrText xml:space="preserve"> FILENAME \p  \* MERGEFORMAT </w:instrText>
    </w:r>
    <w:r>
      <w:fldChar w:fldCharType="separate"/>
    </w:r>
    <w:r w:rsidRPr="00BF0BF0">
      <w:rPr>
        <w:noProof/>
        <w:lang w:val="fr-CH"/>
      </w:rPr>
      <w:t>C:\Users\torigoe\Documents\01 TDAG-17\Documents\D14-TDAG22-170509-TD-0009!R1 v6.docx</w:t>
    </w:r>
    <w:r>
      <w:fldChar w:fldCharType="end"/>
    </w:r>
    <w:r w:rsidRPr="00BF0BF0">
      <w:rPr>
        <w:lang w:val="fr-CH"/>
      </w:rPr>
      <w:tab/>
    </w:r>
    <w:r>
      <w:fldChar w:fldCharType="begin"/>
    </w:r>
    <w:r>
      <w:instrText xml:space="preserve"> SAVEDATE \@ DD.MM.YY </w:instrText>
    </w:r>
    <w:r>
      <w:fldChar w:fldCharType="separate"/>
    </w:r>
    <w:r w:rsidR="0090361B">
      <w:rPr>
        <w:noProof/>
      </w:rPr>
      <w:t>.04.25</w:t>
    </w:r>
    <w:r>
      <w:fldChar w:fldCharType="end"/>
    </w:r>
    <w:r w:rsidRPr="00BF0BF0">
      <w:rPr>
        <w:lang w:val="fr-CH"/>
      </w:rPr>
      <w:tab/>
    </w:r>
    <w:r>
      <w:fldChar w:fldCharType="begin"/>
    </w:r>
    <w:r>
      <w:instrText xml:space="preserve"> PRINTDATE \@ DD.MM.YY </w:instrText>
    </w:r>
    <w:r>
      <w:fldChar w:fldCharType="separate"/>
    </w:r>
    <w:r>
      <w:rPr>
        <w:noProof/>
      </w:rPr>
      <w:t>11.05.17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1692" w14:textId="77777777" w:rsidR="00F24339" w:rsidRPr="00A925ED" w:rsidRDefault="00F24339">
    <w:pPr>
      <w:rPr>
        <w:sz w:val="16"/>
        <w:szCs w:val="16"/>
      </w:rPr>
    </w:pPr>
  </w:p>
  <w:tbl>
    <w:tblPr>
      <w:tblW w:w="9923" w:type="dxa"/>
      <w:tblLayout w:type="fixed"/>
      <w:tblLook w:val="04A0" w:firstRow="1" w:lastRow="0" w:firstColumn="1" w:lastColumn="0" w:noHBand="0" w:noVBand="1"/>
    </w:tblPr>
    <w:tblGrid>
      <w:gridCol w:w="1526"/>
      <w:gridCol w:w="2410"/>
      <w:gridCol w:w="5987"/>
    </w:tblGrid>
    <w:tr w:rsidR="00F24339" w:rsidRPr="001B09A2" w14:paraId="79E29E68" w14:textId="77777777">
      <w:tc>
        <w:tcPr>
          <w:tcW w:w="1526" w:type="dxa"/>
          <w:tcBorders>
            <w:top w:val="single" w:sz="4" w:space="0" w:color="000000" w:themeColor="text1"/>
          </w:tcBorders>
        </w:tcPr>
        <w:p w14:paraId="1D0FAC71" w14:textId="77777777" w:rsidR="00F24339" w:rsidRPr="004D495C" w:rsidRDefault="00F24339">
          <w:pPr>
            <w:pStyle w:val="FirstFooter"/>
            <w:tabs>
              <w:tab w:val="left" w:pos="1559"/>
              <w:tab w:val="left" w:pos="3828"/>
            </w:tabs>
            <w:rPr>
              <w:sz w:val="18"/>
              <w:szCs w:val="18"/>
            </w:rPr>
          </w:pPr>
          <w:r w:rsidRPr="25A7936B">
            <w:rPr>
              <w:sz w:val="18"/>
              <w:szCs w:val="18"/>
              <w:lang w:val="en-US"/>
            </w:rPr>
            <w:t>Contact:</w:t>
          </w:r>
        </w:p>
      </w:tc>
      <w:tc>
        <w:tcPr>
          <w:tcW w:w="2410" w:type="dxa"/>
          <w:tcBorders>
            <w:top w:val="single" w:sz="4" w:space="0" w:color="000000" w:themeColor="text1"/>
          </w:tcBorders>
        </w:tcPr>
        <w:p w14:paraId="7D5736E0" w14:textId="77777777" w:rsidR="00F24339" w:rsidRPr="004D495C" w:rsidRDefault="00F24339">
          <w:pPr>
            <w:pStyle w:val="FirstFooter"/>
            <w:tabs>
              <w:tab w:val="left" w:pos="2302"/>
            </w:tabs>
            <w:ind w:left="2302" w:hanging="2302"/>
            <w:rPr>
              <w:sz w:val="18"/>
              <w:szCs w:val="18"/>
              <w:lang w:val="en-US"/>
            </w:rPr>
          </w:pPr>
          <w:r w:rsidRPr="25A7936B">
            <w:rPr>
              <w:sz w:val="18"/>
              <w:szCs w:val="18"/>
              <w:lang w:val="en-US"/>
            </w:rPr>
            <w:t>Name/Organization/Entity:</w:t>
          </w:r>
        </w:p>
      </w:tc>
      <w:tc>
        <w:tcPr>
          <w:tcW w:w="5987" w:type="dxa"/>
          <w:tcBorders>
            <w:top w:val="single" w:sz="4" w:space="0" w:color="000000" w:themeColor="text1"/>
          </w:tcBorders>
        </w:tcPr>
        <w:p w14:paraId="15E128B0" w14:textId="2E8FC202" w:rsidR="00F24339" w:rsidRPr="0028390B" w:rsidRDefault="00F24339">
          <w:pPr>
            <w:pStyle w:val="FirstFooter"/>
            <w:tabs>
              <w:tab w:val="left" w:pos="2302"/>
            </w:tabs>
            <w:rPr>
              <w:sz w:val="18"/>
              <w:szCs w:val="18"/>
              <w:highlight w:val="yellow"/>
              <w:lang w:val="en-US"/>
            </w:rPr>
          </w:pPr>
          <w:proofErr w:type="spellStart"/>
          <w:r w:rsidRPr="00537B1C">
            <w:rPr>
              <w:sz w:val="18"/>
              <w:szCs w:val="18"/>
              <w:lang w:val="en-US"/>
            </w:rPr>
            <w:t>Ms</w:t>
          </w:r>
          <w:proofErr w:type="spellEnd"/>
          <w:r w:rsidRPr="00537B1C">
            <w:rPr>
              <w:sz w:val="18"/>
              <w:szCs w:val="18"/>
              <w:lang w:val="en-US"/>
            </w:rPr>
            <w:t xml:space="preserve"> Roxanne </w:t>
          </w:r>
          <w:proofErr w:type="spellStart"/>
          <w:r w:rsidRPr="00537B1C">
            <w:rPr>
              <w:sz w:val="18"/>
              <w:szCs w:val="18"/>
              <w:lang w:val="en-US"/>
            </w:rPr>
            <w:t>McElvane</w:t>
          </w:r>
          <w:proofErr w:type="spellEnd"/>
          <w:r w:rsidRPr="00537B1C">
            <w:rPr>
              <w:sz w:val="18"/>
              <w:szCs w:val="18"/>
              <w:lang w:val="en-US"/>
            </w:rPr>
            <w:t xml:space="preserve"> Webber, Chair, Telecommunication Development Advisory Group</w:t>
          </w:r>
        </w:p>
      </w:tc>
    </w:tr>
    <w:tr w:rsidR="00F24339" w:rsidRPr="004D495C" w14:paraId="46CB50C7" w14:textId="77777777">
      <w:tc>
        <w:tcPr>
          <w:tcW w:w="1526" w:type="dxa"/>
        </w:tcPr>
        <w:p w14:paraId="05E3FE03" w14:textId="77777777" w:rsidR="00F24339" w:rsidRPr="0028390B" w:rsidRDefault="00F24339">
          <w:pPr>
            <w:pStyle w:val="FirstFooter"/>
            <w:tabs>
              <w:tab w:val="left" w:pos="1559"/>
              <w:tab w:val="left" w:pos="3828"/>
            </w:tabs>
            <w:rPr>
              <w:sz w:val="20"/>
              <w:lang w:val="en-US"/>
            </w:rPr>
          </w:pPr>
        </w:p>
      </w:tc>
      <w:tc>
        <w:tcPr>
          <w:tcW w:w="2410" w:type="dxa"/>
        </w:tcPr>
        <w:p w14:paraId="169460E1" w14:textId="77777777" w:rsidR="00F24339" w:rsidRPr="004D495C" w:rsidRDefault="00F24339">
          <w:pPr>
            <w:pStyle w:val="FirstFooter"/>
            <w:tabs>
              <w:tab w:val="left" w:pos="2302"/>
            </w:tabs>
            <w:rPr>
              <w:sz w:val="18"/>
              <w:szCs w:val="18"/>
              <w:lang w:val="en-US"/>
            </w:rPr>
          </w:pPr>
          <w:r w:rsidRPr="25A7936B">
            <w:rPr>
              <w:sz w:val="18"/>
              <w:szCs w:val="18"/>
              <w:lang w:val="en-US"/>
            </w:rPr>
            <w:t>Phone number:</w:t>
          </w:r>
        </w:p>
      </w:tc>
      <w:tc>
        <w:tcPr>
          <w:tcW w:w="5987" w:type="dxa"/>
        </w:tcPr>
        <w:p w14:paraId="55555C85" w14:textId="77777777" w:rsidR="00F24339" w:rsidRPr="00537B1C" w:rsidRDefault="00F24339">
          <w:pPr>
            <w:pStyle w:val="FirstFooter"/>
            <w:tabs>
              <w:tab w:val="left" w:pos="2302"/>
            </w:tabs>
            <w:rPr>
              <w:sz w:val="18"/>
              <w:szCs w:val="18"/>
              <w:highlight w:val="yellow"/>
            </w:rPr>
          </w:pPr>
          <w:r w:rsidRPr="00537B1C">
            <w:rPr>
              <w:sz w:val="18"/>
              <w:szCs w:val="18"/>
              <w:lang w:val="en-US"/>
            </w:rPr>
            <w:t>+1 202 418 1489</w:t>
          </w:r>
        </w:p>
      </w:tc>
    </w:tr>
    <w:tr w:rsidR="00F24339" w:rsidRPr="004D495C" w14:paraId="6B3765CF" w14:textId="77777777">
      <w:tc>
        <w:tcPr>
          <w:tcW w:w="1526" w:type="dxa"/>
        </w:tcPr>
        <w:p w14:paraId="00E6C2CE" w14:textId="77777777" w:rsidR="00F24339" w:rsidRPr="004D495C" w:rsidRDefault="00F24339">
          <w:pPr>
            <w:pStyle w:val="FirstFooter"/>
            <w:tabs>
              <w:tab w:val="left" w:pos="1559"/>
              <w:tab w:val="left" w:pos="3828"/>
            </w:tabs>
            <w:rPr>
              <w:sz w:val="20"/>
              <w:lang w:val="en-US"/>
            </w:rPr>
          </w:pPr>
        </w:p>
      </w:tc>
      <w:tc>
        <w:tcPr>
          <w:tcW w:w="2410" w:type="dxa"/>
        </w:tcPr>
        <w:p w14:paraId="2FCC0A84" w14:textId="77777777" w:rsidR="00F24339" w:rsidRPr="004D495C" w:rsidRDefault="00F24339">
          <w:pPr>
            <w:pStyle w:val="FirstFooter"/>
            <w:tabs>
              <w:tab w:val="left" w:pos="2302"/>
            </w:tabs>
            <w:rPr>
              <w:sz w:val="18"/>
              <w:szCs w:val="18"/>
              <w:lang w:val="en-US"/>
            </w:rPr>
          </w:pPr>
          <w:r w:rsidRPr="25A7936B">
            <w:rPr>
              <w:sz w:val="18"/>
              <w:szCs w:val="18"/>
              <w:lang w:val="en-US"/>
            </w:rPr>
            <w:t>E-mail:</w:t>
          </w:r>
        </w:p>
      </w:tc>
      <w:tc>
        <w:tcPr>
          <w:tcW w:w="5987" w:type="dxa"/>
        </w:tcPr>
        <w:p w14:paraId="41BC2DD7" w14:textId="77777777" w:rsidR="00F24339" w:rsidRPr="00537B1C" w:rsidRDefault="00F24339">
          <w:pPr>
            <w:pStyle w:val="FirstFooter"/>
            <w:tabs>
              <w:tab w:val="left" w:pos="2302"/>
            </w:tabs>
            <w:rPr>
              <w:sz w:val="18"/>
              <w:szCs w:val="18"/>
              <w:highlight w:val="yellow"/>
            </w:rPr>
          </w:pPr>
          <w:hyperlink r:id="rId1" w:history="1">
            <w:r w:rsidRPr="00537B1C">
              <w:rPr>
                <w:rStyle w:val="Hyperlink"/>
                <w:sz w:val="18"/>
                <w:szCs w:val="18"/>
                <w:lang w:val="en-US"/>
              </w:rPr>
              <w:t>Roxanne.Webber@fcc.gov</w:t>
            </w:r>
          </w:hyperlink>
        </w:p>
      </w:tc>
    </w:tr>
  </w:tbl>
  <w:p w14:paraId="7104494E" w14:textId="4821A262" w:rsidR="00F24339" w:rsidRPr="00CD53ED" w:rsidRDefault="00F24339" w:rsidP="00182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20CD" w14:textId="77777777" w:rsidR="003447A8" w:rsidRPr="007F74D3" w:rsidRDefault="003447A8" w:rsidP="007F7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4C356" w14:textId="77777777" w:rsidR="00B00526" w:rsidRPr="0054377E" w:rsidRDefault="00B00526" w:rsidP="0054377E">
      <w:pPr>
        <w:spacing w:before="0"/>
      </w:pPr>
      <w:r w:rsidRPr="0054377E">
        <w:rPr>
          <w:b/>
        </w:rPr>
        <w:t>_______________</w:t>
      </w:r>
    </w:p>
  </w:footnote>
  <w:footnote w:type="continuationSeparator" w:id="0">
    <w:p w14:paraId="57AB55A0" w14:textId="77777777" w:rsidR="00B00526" w:rsidRDefault="00B00526" w:rsidP="0054377E">
      <w:pPr>
        <w:spacing w:before="0"/>
      </w:pPr>
      <w:r>
        <w:continuationSeparator/>
      </w:r>
    </w:p>
    <w:p w14:paraId="6300C5AC" w14:textId="77777777" w:rsidR="00B00526" w:rsidRDefault="00B00526"/>
  </w:footnote>
  <w:footnote w:type="continuationNotice" w:id="1">
    <w:p w14:paraId="7D9C3B6C" w14:textId="77777777" w:rsidR="00B00526" w:rsidRDefault="00B00526">
      <w:pPr>
        <w:spacing w:before="0"/>
      </w:pPr>
    </w:p>
    <w:p w14:paraId="6DA099A4" w14:textId="77777777" w:rsidR="00B00526" w:rsidRDefault="00B00526"/>
  </w:footnote>
  <w:footnote w:id="2">
    <w:p w14:paraId="07035971" w14:textId="2DC759FC" w:rsidR="00511FE7" w:rsidRPr="00573D73" w:rsidRDefault="00511FE7" w:rsidP="00511FE7">
      <w:pPr>
        <w:pStyle w:val="FootnoteText"/>
        <w:spacing w:before="0"/>
        <w:rPr>
          <w:sz w:val="20"/>
          <w:lang w:val="en-US"/>
        </w:rPr>
      </w:pPr>
      <w:r w:rsidRPr="00EC136A">
        <w:rPr>
          <w:rStyle w:val="FootnoteReference"/>
          <w:szCs w:val="18"/>
        </w:rPr>
        <w:footnoteRef/>
      </w:r>
      <w:r w:rsidRPr="00573D73">
        <w:rPr>
          <w:sz w:val="20"/>
        </w:rPr>
        <w:t xml:space="preserve"> </w:t>
      </w:r>
      <w:hyperlink r:id="rId1" w:history="1">
        <w:r w:rsidR="008B71BD" w:rsidRPr="00FE789C">
          <w:rPr>
            <w:rStyle w:val="Hyperlink"/>
            <w:sz w:val="20"/>
          </w:rPr>
          <w:t>https://www.itu.int/en/ITU-D/Conferences/TDAG/Pages/2024/TDAG_WG_futureSGQ.aspx</w:t>
        </w:r>
      </w:hyperlink>
      <w:r w:rsidR="008B71BD">
        <w:rPr>
          <w:sz w:val="20"/>
        </w:rPr>
        <w:t xml:space="preserve"> </w:t>
      </w:r>
    </w:p>
  </w:footnote>
  <w:footnote w:id="3">
    <w:p w14:paraId="268B0085" w14:textId="77777777" w:rsidR="00511FE7" w:rsidRPr="00B61D6C" w:rsidRDefault="00511FE7" w:rsidP="00511FE7">
      <w:pPr>
        <w:pStyle w:val="FootnoteText"/>
        <w:spacing w:before="0"/>
        <w:rPr>
          <w:sz w:val="20"/>
          <w:lang w:val="en-US"/>
        </w:rPr>
      </w:pPr>
      <w:r w:rsidRPr="00573D73">
        <w:rPr>
          <w:rStyle w:val="FootnoteReference"/>
          <w:sz w:val="20"/>
        </w:rPr>
        <w:footnoteRef/>
      </w:r>
      <w:r w:rsidRPr="00573D73">
        <w:rPr>
          <w:sz w:val="20"/>
        </w:rPr>
        <w:t xml:space="preserve"> </w:t>
      </w:r>
      <w:r w:rsidRPr="00B61D6C">
        <w:rPr>
          <w:sz w:val="20"/>
          <w:lang w:val="en-US"/>
        </w:rPr>
        <w:t xml:space="preserve">See document </w:t>
      </w:r>
      <w:hyperlink r:id="rId2" w:history="1">
        <w:r w:rsidRPr="00B61D6C">
          <w:rPr>
            <w:rStyle w:val="Hyperlink"/>
            <w:sz w:val="20"/>
          </w:rPr>
          <w:t>TDAG-WG-</w:t>
        </w:r>
        <w:proofErr w:type="spellStart"/>
        <w:r w:rsidRPr="00B61D6C">
          <w:rPr>
            <w:rStyle w:val="Hyperlink"/>
            <w:sz w:val="20"/>
          </w:rPr>
          <w:t>futureSGQ</w:t>
        </w:r>
        <w:proofErr w:type="spellEnd"/>
        <w:r w:rsidRPr="00B61D6C">
          <w:rPr>
            <w:rStyle w:val="Hyperlink"/>
            <w:sz w:val="20"/>
          </w:rPr>
          <w:t>/</w:t>
        </w:r>
        <w:r w:rsidRPr="00B61D6C">
          <w:rPr>
            <w:rStyle w:val="Hyperlink"/>
            <w:rFonts w:eastAsia="Malgun Gothic"/>
            <w:sz w:val="20"/>
            <w:lang w:eastAsia="ko-KR"/>
          </w:rPr>
          <w:t>29</w:t>
        </w:r>
      </w:hyperlink>
    </w:p>
  </w:footnote>
  <w:footnote w:id="4">
    <w:p w14:paraId="5BBB9CBB" w14:textId="77777777" w:rsidR="00511FE7" w:rsidRPr="00573D73" w:rsidRDefault="00511FE7" w:rsidP="00511FE7">
      <w:pPr>
        <w:pStyle w:val="FootnoteText"/>
        <w:spacing w:before="0"/>
        <w:rPr>
          <w:sz w:val="20"/>
        </w:rPr>
      </w:pPr>
      <w:r w:rsidRPr="00573D73">
        <w:rPr>
          <w:rStyle w:val="FootnoteReference"/>
          <w:sz w:val="20"/>
        </w:rPr>
        <w:footnoteRef/>
      </w:r>
      <w:r w:rsidRPr="00573D73">
        <w:rPr>
          <w:sz w:val="20"/>
        </w:rPr>
        <w:t xml:space="preserve"> </w:t>
      </w:r>
      <w:hyperlink r:id="rId3" w:history="1">
        <w:r w:rsidRPr="00573D73">
          <w:rPr>
            <w:rStyle w:val="Hyperlink"/>
            <w:sz w:val="20"/>
          </w:rPr>
          <w:t>https://www.itu.int/en/ITU-D/Regional-Presence/Americas/Pages/EVENTS/2024/cons-awa-2024.aspx</w:t>
        </w:r>
      </w:hyperlink>
      <w:r w:rsidRPr="00573D73">
        <w:rPr>
          <w:sz w:val="20"/>
        </w:rPr>
        <w:t xml:space="preserve"> </w:t>
      </w:r>
    </w:p>
  </w:footnote>
  <w:footnote w:id="5">
    <w:p w14:paraId="47789A9C" w14:textId="77777777" w:rsidR="00511FE7" w:rsidRPr="00573D73" w:rsidRDefault="00511FE7" w:rsidP="00511FE7">
      <w:pPr>
        <w:pStyle w:val="FootnoteText"/>
        <w:spacing w:before="0"/>
        <w:rPr>
          <w:sz w:val="20"/>
          <w:lang w:val="en-US"/>
        </w:rPr>
      </w:pPr>
      <w:r w:rsidRPr="00573D73">
        <w:rPr>
          <w:rStyle w:val="FootnoteReference"/>
          <w:sz w:val="20"/>
        </w:rPr>
        <w:footnoteRef/>
      </w:r>
      <w:r w:rsidRPr="00573D73">
        <w:rPr>
          <w:sz w:val="20"/>
        </w:rPr>
        <w:t xml:space="preserve"> </w:t>
      </w:r>
      <w:r w:rsidRPr="00573D73">
        <w:rPr>
          <w:sz w:val="20"/>
          <w:lang w:val="en-US"/>
        </w:rPr>
        <w:t xml:space="preserve">See </w:t>
      </w:r>
      <w:hyperlink r:id="rId4" w:history="1">
        <w:r w:rsidRPr="00573D73">
          <w:rPr>
            <w:rStyle w:val="Hyperlink"/>
            <w:sz w:val="20"/>
            <w:lang w:val="en-US"/>
          </w:rPr>
          <w:t>https://www.itu.int/en/ITU-D/Study-Groups/2022-2025/Pages/meetings/workshop-innovation-may23.aspx</w:t>
        </w:r>
      </w:hyperlink>
      <w:r w:rsidRPr="00573D73">
        <w:rPr>
          <w:sz w:val="20"/>
          <w:lang w:val="en-US"/>
        </w:rPr>
        <w:t xml:space="preserve"> and </w:t>
      </w:r>
      <w:hyperlink r:id="rId5" w:history="1">
        <w:r w:rsidRPr="00573D73">
          <w:rPr>
            <w:rStyle w:val="Hyperlink"/>
            <w:sz w:val="20"/>
            <w:lang w:val="en-US"/>
          </w:rPr>
          <w:t>https://www.itu.int/en/ITU-D/Study-Groups/2022-2025/Pages/meetings/workshop-products_usage-may23.aspx</w:t>
        </w:r>
      </w:hyperlink>
      <w:r w:rsidRPr="00573D73">
        <w:rPr>
          <w:sz w:val="20"/>
          <w:lang w:val="en-US"/>
        </w:rPr>
        <w:t xml:space="preserve"> </w:t>
      </w:r>
    </w:p>
  </w:footnote>
  <w:footnote w:id="6">
    <w:p w14:paraId="78D022FE" w14:textId="69D9A1A1" w:rsidR="00511FE7" w:rsidRPr="00B61D6C" w:rsidRDefault="00511FE7" w:rsidP="00511FE7">
      <w:pPr>
        <w:spacing w:before="0"/>
        <w:rPr>
          <w:sz w:val="20"/>
        </w:rPr>
      </w:pPr>
      <w:r w:rsidRPr="7EFBF91E">
        <w:rPr>
          <w:sz w:val="20"/>
        </w:rPr>
        <w:footnoteRef/>
      </w:r>
      <w:r w:rsidRPr="00B61D6C">
        <w:rPr>
          <w:sz w:val="20"/>
        </w:rPr>
        <w:t xml:space="preserve"> ITU-D Q1/1 (Broadband), Q3/1 (Emergency telco), Q4/1 (Economic aspects), Q5/1(Remote connectivity), Q1/2 (Smart cities and communities), Q2/2 (E-services and applications), Q7/2 (EMF).</w:t>
      </w:r>
    </w:p>
  </w:footnote>
  <w:footnote w:id="7">
    <w:p w14:paraId="63DB5FAF" w14:textId="77777777" w:rsidR="00511FE7" w:rsidRPr="00B61D6C" w:rsidRDefault="00511FE7" w:rsidP="00511FE7">
      <w:pPr>
        <w:pStyle w:val="FootnoteText"/>
        <w:spacing w:before="0"/>
        <w:rPr>
          <w:sz w:val="20"/>
          <w:lang w:val="en-US"/>
        </w:rPr>
      </w:pPr>
      <w:r w:rsidRPr="00573D73">
        <w:rPr>
          <w:rStyle w:val="FootnoteReference"/>
          <w:sz w:val="20"/>
        </w:rPr>
        <w:footnoteRef/>
      </w:r>
      <w:r w:rsidRPr="00573D73">
        <w:rPr>
          <w:sz w:val="20"/>
        </w:rPr>
        <w:t xml:space="preserve"> </w:t>
      </w:r>
      <w:r w:rsidRPr="00B61D6C">
        <w:rPr>
          <w:rFonts w:cstheme="minorHAnsi"/>
          <w:color w:val="000000"/>
          <w:sz w:val="20"/>
        </w:rPr>
        <w:t xml:space="preserve">see document </w:t>
      </w:r>
      <w:hyperlink r:id="rId6" w:history="1">
        <w:r w:rsidRPr="00B61D6C">
          <w:rPr>
            <w:rStyle w:val="Hyperlink"/>
            <w:rFonts w:cstheme="minorHAnsi"/>
            <w:sz w:val="20"/>
          </w:rPr>
          <w:t>1/329</w:t>
        </w:r>
      </w:hyperlink>
    </w:p>
  </w:footnote>
  <w:footnote w:id="8">
    <w:p w14:paraId="71F2AEB0" w14:textId="51CFDD54" w:rsidR="00511FE7" w:rsidRPr="00B61D6C" w:rsidRDefault="00511FE7" w:rsidP="00511FE7">
      <w:pPr>
        <w:spacing w:before="0"/>
        <w:rPr>
          <w:sz w:val="20"/>
        </w:rPr>
      </w:pPr>
      <w:r w:rsidRPr="00B61D6C">
        <w:rPr>
          <w:sz w:val="20"/>
        </w:rPr>
        <w:footnoteRef/>
      </w:r>
      <w:r w:rsidRPr="00B61D6C">
        <w:rPr>
          <w:sz w:val="20"/>
        </w:rPr>
        <w:t xml:space="preserve"> </w:t>
      </w:r>
      <w:hyperlink r:id="rId7" w:history="1">
        <w:r w:rsidR="008B71BD" w:rsidRPr="00FE789C">
          <w:rPr>
            <w:rStyle w:val="Hyperlink"/>
            <w:sz w:val="20"/>
          </w:rPr>
          <w:t>https://www.itu.int/itu-d/sites/projectumc/home/the-umc-project/</w:t>
        </w:r>
      </w:hyperlink>
      <w:r w:rsidR="008B71BD">
        <w:rPr>
          <w:sz w:val="20"/>
        </w:rPr>
        <w:t xml:space="preserve"> </w:t>
      </w:r>
    </w:p>
  </w:footnote>
  <w:footnote w:id="9">
    <w:p w14:paraId="06248848" w14:textId="661CB7AC" w:rsidR="00511FE7" w:rsidRPr="00B61D6C" w:rsidRDefault="00511FE7" w:rsidP="00511FE7">
      <w:pPr>
        <w:spacing w:before="0"/>
        <w:rPr>
          <w:sz w:val="20"/>
        </w:rPr>
      </w:pPr>
      <w:r w:rsidRPr="00B61D6C">
        <w:rPr>
          <w:sz w:val="20"/>
        </w:rPr>
        <w:footnoteRef/>
      </w:r>
      <w:r w:rsidRPr="00B61D6C">
        <w:rPr>
          <w:sz w:val="20"/>
        </w:rPr>
        <w:t xml:space="preserve"> </w:t>
      </w:r>
      <w:hyperlink r:id="rId8" w:history="1">
        <w:r w:rsidR="008B71BD" w:rsidRPr="00FE789C">
          <w:rPr>
            <w:rStyle w:val="Hyperlink"/>
            <w:sz w:val="20"/>
          </w:rPr>
          <w:t>https://www.itu.int/en/ITU-D/Projects/ITU-EC-ACP/PRIDA/Pages/default.aspx</w:t>
        </w:r>
      </w:hyperlink>
      <w:r w:rsidR="008B71BD">
        <w:rPr>
          <w:sz w:val="20"/>
        </w:rPr>
        <w:t xml:space="preserve"> </w:t>
      </w:r>
    </w:p>
  </w:footnote>
  <w:footnote w:id="10">
    <w:p w14:paraId="428CECD3" w14:textId="375ED5CF" w:rsidR="00511FE7" w:rsidRDefault="00511FE7" w:rsidP="00511FE7">
      <w:pPr>
        <w:spacing w:before="0"/>
      </w:pPr>
      <w:r w:rsidRPr="00B61D6C">
        <w:rPr>
          <w:sz w:val="20"/>
        </w:rPr>
        <w:footnoteRef/>
      </w:r>
      <w:r w:rsidRPr="00B61D6C">
        <w:rPr>
          <w:sz w:val="20"/>
        </w:rPr>
        <w:t xml:space="preserve"> </w:t>
      </w:r>
      <w:hyperlink r:id="rId9" w:history="1">
        <w:r w:rsidR="008B71BD" w:rsidRPr="00FE789C">
          <w:rPr>
            <w:rStyle w:val="Hyperlink"/>
            <w:sz w:val="20"/>
          </w:rPr>
          <w:t>https://www.itu.int/generationconnect/</w:t>
        </w:r>
      </w:hyperlink>
      <w:r w:rsidR="008B71BD">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9623" w14:textId="16FE22F5" w:rsidR="00F24339" w:rsidRPr="006D271A" w:rsidRDefault="00F24339">
    <w:pPr>
      <w:tabs>
        <w:tab w:val="clear" w:pos="1134"/>
        <w:tab w:val="clear" w:pos="1871"/>
        <w:tab w:val="clear" w:pos="2268"/>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w:t>
    </w:r>
    <w:r w:rsidR="00BB4133">
      <w:rPr>
        <w:sz w:val="22"/>
        <w:szCs w:val="22"/>
        <w:lang w:val="de-CH"/>
      </w:rPr>
      <w:t>5</w:t>
    </w:r>
    <w:r w:rsidRPr="00A54E72">
      <w:rPr>
        <w:sz w:val="22"/>
        <w:szCs w:val="22"/>
        <w:lang w:val="de-CH"/>
      </w:rPr>
      <w:t>/</w:t>
    </w:r>
    <w:r>
      <w:rPr>
        <w:sz w:val="22"/>
        <w:szCs w:val="22"/>
        <w:lang w:val="de-CH"/>
      </w:rPr>
      <w:t>1</w:t>
    </w:r>
    <w:r w:rsidR="00BB4133">
      <w:rPr>
        <w:sz w:val="22"/>
        <w:szCs w:val="22"/>
        <w:lang w:val="de-CH"/>
      </w:rPr>
      <w:t>5</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p>
  <w:p w14:paraId="29028EC3" w14:textId="77777777" w:rsidR="00F24339" w:rsidRPr="008D68AD" w:rsidRDefault="00F24339">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1B53" w14:textId="4C3EAC55" w:rsidR="00636181" w:rsidRPr="00A7027A" w:rsidRDefault="00A7027A" w:rsidP="00A7027A">
    <w:pPr>
      <w:tabs>
        <w:tab w:val="clear" w:pos="1134"/>
        <w:tab w:val="clear" w:pos="1871"/>
        <w:tab w:val="clear" w:pos="2268"/>
        <w:tab w:val="center" w:pos="4820"/>
        <w:tab w:val="right" w:pos="14003"/>
      </w:tabs>
      <w:ind w:right="1"/>
      <w:rPr>
        <w:smallCaps/>
        <w:spacing w:val="24"/>
        <w:sz w:val="22"/>
        <w:szCs w:val="22"/>
        <w:lang w:val="es-ES_tradnl"/>
      </w:rPr>
    </w:pPr>
    <w:r w:rsidRPr="004D495C">
      <w:rPr>
        <w:sz w:val="22"/>
        <w:szCs w:val="22"/>
      </w:rPr>
      <w:tab/>
    </w:r>
    <w:r>
      <w:rPr>
        <w:sz w:val="22"/>
        <w:szCs w:val="22"/>
        <w:lang w:val="es-ES_tradnl"/>
      </w:rPr>
      <w:t>TDAG-25</w:t>
    </w:r>
    <w:r w:rsidRPr="00FF089C">
      <w:rPr>
        <w:sz w:val="22"/>
        <w:szCs w:val="22"/>
        <w:lang w:val="es-ES_tradnl"/>
      </w:rPr>
      <w:t>/</w:t>
    </w:r>
    <w:r w:rsidR="0041787E">
      <w:rPr>
        <w:sz w:val="22"/>
        <w:szCs w:val="22"/>
        <w:lang w:val="es-ES_tradnl"/>
      </w:rPr>
      <w:t>15</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Pr>
        <w:sz w:val="22"/>
        <w:szCs w:val="22"/>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0028" w14:textId="77777777" w:rsidR="007F74D3" w:rsidRPr="006D271A" w:rsidRDefault="007F74D3" w:rsidP="007F74D3">
    <w:pPr>
      <w:tabs>
        <w:tab w:val="clear" w:pos="1134"/>
        <w:tab w:val="clear" w:pos="1871"/>
        <w:tab w:val="clear" w:pos="2268"/>
        <w:tab w:val="center" w:pos="4820"/>
        <w:tab w:val="right" w:pos="9639"/>
      </w:tabs>
      <w:ind w:right="1"/>
      <w:rPr>
        <w:smallCaps/>
        <w:spacing w:val="24"/>
        <w:sz w:val="22"/>
        <w:szCs w:val="22"/>
        <w:lang w:val="de-CH"/>
      </w:rPr>
    </w:pPr>
    <w:r w:rsidRPr="00972BCD">
      <w:rPr>
        <w:sz w:val="22"/>
        <w:szCs w:val="22"/>
      </w:rPr>
      <w:tab/>
    </w:r>
    <w:r w:rsidRPr="00A54E72">
      <w:rPr>
        <w:sz w:val="22"/>
        <w:szCs w:val="22"/>
        <w:lang w:val="de-CH"/>
      </w:rPr>
      <w:t>TDAG</w:t>
    </w:r>
    <w:r>
      <w:rPr>
        <w:sz w:val="22"/>
        <w:szCs w:val="22"/>
        <w:lang w:val="de-CH"/>
      </w:rPr>
      <w:t>-25</w:t>
    </w:r>
    <w:r w:rsidRPr="00A54E72">
      <w:rPr>
        <w:sz w:val="22"/>
        <w:szCs w:val="22"/>
        <w:lang w:val="de-CH"/>
      </w:rPr>
      <w:t>/</w:t>
    </w:r>
    <w:r>
      <w:rPr>
        <w:sz w:val="22"/>
        <w:szCs w:val="22"/>
        <w:lang w:val="de-CH"/>
      </w:rPr>
      <w:t>15</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sz w:val="22"/>
        <w:szCs w:val="22"/>
      </w:rPr>
      <w:t>2</w:t>
    </w:r>
    <w:r w:rsidRPr="00972BCD">
      <w:rPr>
        <w:sz w:val="22"/>
        <w:szCs w:val="22"/>
      </w:rPr>
      <w:fldChar w:fldCharType="end"/>
    </w:r>
  </w:p>
  <w:p w14:paraId="33D503F1" w14:textId="77777777" w:rsidR="007F74D3" w:rsidRDefault="007F74D3" w:rsidP="007F74D3">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407F"/>
    <w:multiLevelType w:val="hybridMultilevel"/>
    <w:tmpl w:val="4A3C487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C56B8"/>
    <w:multiLevelType w:val="hybridMultilevel"/>
    <w:tmpl w:val="3B4C5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A0544"/>
    <w:multiLevelType w:val="hybridMultilevel"/>
    <w:tmpl w:val="BD82B1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B6273"/>
    <w:multiLevelType w:val="hybridMultilevel"/>
    <w:tmpl w:val="60CE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6" w15:restartNumberingAfterBreak="0">
    <w:nsid w:val="1D950439"/>
    <w:multiLevelType w:val="hybridMultilevel"/>
    <w:tmpl w:val="2B884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8156EA"/>
    <w:multiLevelType w:val="hybridMultilevel"/>
    <w:tmpl w:val="BF3E45F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1A0BC8"/>
    <w:multiLevelType w:val="hybridMultilevel"/>
    <w:tmpl w:val="4846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F500B"/>
    <w:multiLevelType w:val="hybridMultilevel"/>
    <w:tmpl w:val="FFFFFFFF"/>
    <w:lvl w:ilvl="0" w:tplc="D66A1BF4">
      <w:start w:val="1"/>
      <w:numFmt w:val="bullet"/>
      <w:lvlText w:val="-"/>
      <w:lvlJc w:val="left"/>
      <w:pPr>
        <w:ind w:left="360" w:hanging="360"/>
      </w:pPr>
      <w:rPr>
        <w:rFonts w:ascii="Symbol" w:hAnsi="Symbol" w:hint="default"/>
      </w:rPr>
    </w:lvl>
    <w:lvl w:ilvl="1" w:tplc="D40C852C">
      <w:start w:val="1"/>
      <w:numFmt w:val="bullet"/>
      <w:lvlText w:val="o"/>
      <w:lvlJc w:val="left"/>
      <w:pPr>
        <w:ind w:left="1080" w:hanging="360"/>
      </w:pPr>
      <w:rPr>
        <w:rFonts w:ascii="Courier New" w:hAnsi="Courier New" w:hint="default"/>
      </w:rPr>
    </w:lvl>
    <w:lvl w:ilvl="2" w:tplc="8E4C94D2">
      <w:start w:val="1"/>
      <w:numFmt w:val="bullet"/>
      <w:lvlText w:val=""/>
      <w:lvlJc w:val="left"/>
      <w:pPr>
        <w:ind w:left="1800" w:hanging="360"/>
      </w:pPr>
      <w:rPr>
        <w:rFonts w:ascii="Wingdings" w:hAnsi="Wingdings" w:hint="default"/>
      </w:rPr>
    </w:lvl>
    <w:lvl w:ilvl="3" w:tplc="C28E3922">
      <w:start w:val="1"/>
      <w:numFmt w:val="bullet"/>
      <w:lvlText w:val=""/>
      <w:lvlJc w:val="left"/>
      <w:pPr>
        <w:ind w:left="2520" w:hanging="360"/>
      </w:pPr>
      <w:rPr>
        <w:rFonts w:ascii="Symbol" w:hAnsi="Symbol" w:hint="default"/>
      </w:rPr>
    </w:lvl>
    <w:lvl w:ilvl="4" w:tplc="395CD052">
      <w:start w:val="1"/>
      <w:numFmt w:val="bullet"/>
      <w:lvlText w:val="o"/>
      <w:lvlJc w:val="left"/>
      <w:pPr>
        <w:ind w:left="3240" w:hanging="360"/>
      </w:pPr>
      <w:rPr>
        <w:rFonts w:ascii="Courier New" w:hAnsi="Courier New" w:hint="default"/>
      </w:rPr>
    </w:lvl>
    <w:lvl w:ilvl="5" w:tplc="78FA6DC6">
      <w:start w:val="1"/>
      <w:numFmt w:val="bullet"/>
      <w:lvlText w:val=""/>
      <w:lvlJc w:val="left"/>
      <w:pPr>
        <w:ind w:left="3960" w:hanging="360"/>
      </w:pPr>
      <w:rPr>
        <w:rFonts w:ascii="Wingdings" w:hAnsi="Wingdings" w:hint="default"/>
      </w:rPr>
    </w:lvl>
    <w:lvl w:ilvl="6" w:tplc="BAC479BC">
      <w:start w:val="1"/>
      <w:numFmt w:val="bullet"/>
      <w:lvlText w:val=""/>
      <w:lvlJc w:val="left"/>
      <w:pPr>
        <w:ind w:left="4680" w:hanging="360"/>
      </w:pPr>
      <w:rPr>
        <w:rFonts w:ascii="Symbol" w:hAnsi="Symbol" w:hint="default"/>
      </w:rPr>
    </w:lvl>
    <w:lvl w:ilvl="7" w:tplc="BE1830F6">
      <w:start w:val="1"/>
      <w:numFmt w:val="bullet"/>
      <w:lvlText w:val="o"/>
      <w:lvlJc w:val="left"/>
      <w:pPr>
        <w:ind w:left="5400" w:hanging="360"/>
      </w:pPr>
      <w:rPr>
        <w:rFonts w:ascii="Courier New" w:hAnsi="Courier New" w:hint="default"/>
      </w:rPr>
    </w:lvl>
    <w:lvl w:ilvl="8" w:tplc="9CE80856">
      <w:start w:val="1"/>
      <w:numFmt w:val="bullet"/>
      <w:lvlText w:val=""/>
      <w:lvlJc w:val="left"/>
      <w:pPr>
        <w:ind w:left="6120" w:hanging="360"/>
      </w:pPr>
      <w:rPr>
        <w:rFonts w:ascii="Wingdings" w:hAnsi="Wingdings" w:hint="default"/>
      </w:rPr>
    </w:lvl>
  </w:abstractNum>
  <w:abstractNum w:abstractNumId="10" w15:restartNumberingAfterBreak="0">
    <w:nsid w:val="351474BC"/>
    <w:multiLevelType w:val="hybridMultilevel"/>
    <w:tmpl w:val="31BC50BA"/>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C532F9"/>
    <w:multiLevelType w:val="hybridMultilevel"/>
    <w:tmpl w:val="56E26E14"/>
    <w:lvl w:ilvl="0" w:tplc="01845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D22D6F"/>
    <w:multiLevelType w:val="hybridMultilevel"/>
    <w:tmpl w:val="867A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43F1F"/>
    <w:multiLevelType w:val="hybridMultilevel"/>
    <w:tmpl w:val="E44E478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7C6987"/>
    <w:multiLevelType w:val="hybridMultilevel"/>
    <w:tmpl w:val="FFFFFFFF"/>
    <w:lvl w:ilvl="0" w:tplc="810045CC">
      <w:start w:val="1"/>
      <w:numFmt w:val="bullet"/>
      <w:lvlText w:val="-"/>
      <w:lvlJc w:val="left"/>
      <w:pPr>
        <w:ind w:left="360" w:hanging="360"/>
      </w:pPr>
      <w:rPr>
        <w:rFonts w:ascii="Calibri" w:hAnsi="Calibri" w:hint="default"/>
      </w:rPr>
    </w:lvl>
    <w:lvl w:ilvl="1" w:tplc="11CC2D50">
      <w:start w:val="1"/>
      <w:numFmt w:val="bullet"/>
      <w:lvlText w:val="o"/>
      <w:lvlJc w:val="left"/>
      <w:pPr>
        <w:ind w:left="1080" w:hanging="360"/>
      </w:pPr>
      <w:rPr>
        <w:rFonts w:ascii="Courier New" w:hAnsi="Courier New" w:hint="default"/>
      </w:rPr>
    </w:lvl>
    <w:lvl w:ilvl="2" w:tplc="AFF61E28">
      <w:start w:val="1"/>
      <w:numFmt w:val="bullet"/>
      <w:lvlText w:val=""/>
      <w:lvlJc w:val="left"/>
      <w:pPr>
        <w:ind w:left="1800" w:hanging="360"/>
      </w:pPr>
      <w:rPr>
        <w:rFonts w:ascii="Wingdings" w:hAnsi="Wingdings" w:hint="default"/>
      </w:rPr>
    </w:lvl>
    <w:lvl w:ilvl="3" w:tplc="4D401ACE">
      <w:start w:val="1"/>
      <w:numFmt w:val="bullet"/>
      <w:lvlText w:val=""/>
      <w:lvlJc w:val="left"/>
      <w:pPr>
        <w:ind w:left="2520" w:hanging="360"/>
      </w:pPr>
      <w:rPr>
        <w:rFonts w:ascii="Symbol" w:hAnsi="Symbol" w:hint="default"/>
      </w:rPr>
    </w:lvl>
    <w:lvl w:ilvl="4" w:tplc="D2D4B9D0">
      <w:start w:val="1"/>
      <w:numFmt w:val="bullet"/>
      <w:lvlText w:val="o"/>
      <w:lvlJc w:val="left"/>
      <w:pPr>
        <w:ind w:left="3240" w:hanging="360"/>
      </w:pPr>
      <w:rPr>
        <w:rFonts w:ascii="Courier New" w:hAnsi="Courier New" w:hint="default"/>
      </w:rPr>
    </w:lvl>
    <w:lvl w:ilvl="5" w:tplc="038A15D2">
      <w:start w:val="1"/>
      <w:numFmt w:val="bullet"/>
      <w:lvlText w:val=""/>
      <w:lvlJc w:val="left"/>
      <w:pPr>
        <w:ind w:left="3960" w:hanging="360"/>
      </w:pPr>
      <w:rPr>
        <w:rFonts w:ascii="Wingdings" w:hAnsi="Wingdings" w:hint="default"/>
      </w:rPr>
    </w:lvl>
    <w:lvl w:ilvl="6" w:tplc="9F7AAAD6">
      <w:start w:val="1"/>
      <w:numFmt w:val="bullet"/>
      <w:lvlText w:val=""/>
      <w:lvlJc w:val="left"/>
      <w:pPr>
        <w:ind w:left="4680" w:hanging="360"/>
      </w:pPr>
      <w:rPr>
        <w:rFonts w:ascii="Symbol" w:hAnsi="Symbol" w:hint="default"/>
      </w:rPr>
    </w:lvl>
    <w:lvl w:ilvl="7" w:tplc="75800A2E">
      <w:start w:val="1"/>
      <w:numFmt w:val="bullet"/>
      <w:lvlText w:val="o"/>
      <w:lvlJc w:val="left"/>
      <w:pPr>
        <w:ind w:left="5400" w:hanging="360"/>
      </w:pPr>
      <w:rPr>
        <w:rFonts w:ascii="Courier New" w:hAnsi="Courier New" w:hint="default"/>
      </w:rPr>
    </w:lvl>
    <w:lvl w:ilvl="8" w:tplc="CC1E16B2">
      <w:start w:val="1"/>
      <w:numFmt w:val="bullet"/>
      <w:lvlText w:val=""/>
      <w:lvlJc w:val="left"/>
      <w:pPr>
        <w:ind w:left="6120" w:hanging="360"/>
      </w:pPr>
      <w:rPr>
        <w:rFonts w:ascii="Wingdings" w:hAnsi="Wingdings" w:hint="default"/>
      </w:rPr>
    </w:lvl>
  </w:abstractNum>
  <w:abstractNum w:abstractNumId="15" w15:restartNumberingAfterBreak="0">
    <w:nsid w:val="40E131A5"/>
    <w:multiLevelType w:val="hybridMultilevel"/>
    <w:tmpl w:val="AB3468C8"/>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8603F7"/>
    <w:multiLevelType w:val="hybridMultilevel"/>
    <w:tmpl w:val="B3705D7C"/>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5CB413D"/>
    <w:multiLevelType w:val="hybridMultilevel"/>
    <w:tmpl w:val="2B884D6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7C76E8D"/>
    <w:multiLevelType w:val="hybridMultilevel"/>
    <w:tmpl w:val="636A782C"/>
    <w:lvl w:ilvl="0" w:tplc="FFFFFFFF">
      <w:start w:val="1"/>
      <w:numFmt w:val="lowerLetter"/>
      <w:lvlText w:val="%1)"/>
      <w:lvlJc w:val="left"/>
      <w:pPr>
        <w:ind w:left="720" w:hanging="360"/>
      </w:pPr>
      <w:rPr>
        <w:rFonts w:hint="default"/>
      </w:rPr>
    </w:lvl>
    <w:lvl w:ilvl="1" w:tplc="89E0F2AC">
      <w:numFmt w:val="bullet"/>
      <w:lvlText w:val="-"/>
      <w:lvlJc w:val="left"/>
      <w:pPr>
        <w:ind w:left="1650" w:hanging="570"/>
      </w:pPr>
      <w:rPr>
        <w:rFonts w:ascii="Calibri" w:eastAsiaTheme="minorEastAsia" w:hAnsi="Calibri" w:cs="Calibri" w:hint="default"/>
      </w:rPr>
    </w:lvl>
    <w:lvl w:ilvl="2" w:tplc="A0985CA2">
      <w:start w:val="1"/>
      <w:numFmt w:val="decimal"/>
      <w:lvlText w:val="%3."/>
      <w:lvlJc w:val="left"/>
      <w:pPr>
        <w:ind w:left="2340" w:hanging="360"/>
      </w:pPr>
      <w:rPr>
        <w:rFonts w:hint="default"/>
        <w:color w:val="000000" w:themeColor="tex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2FFE40"/>
    <w:multiLevelType w:val="hybridMultilevel"/>
    <w:tmpl w:val="60A4D3B2"/>
    <w:lvl w:ilvl="0" w:tplc="FE32578A">
      <w:start w:val="1"/>
      <w:numFmt w:val="bullet"/>
      <w:lvlText w:val="-"/>
      <w:lvlJc w:val="left"/>
      <w:pPr>
        <w:ind w:left="720" w:hanging="360"/>
      </w:pPr>
      <w:rPr>
        <w:rFonts w:ascii="Symbol" w:hAnsi="Symbol" w:hint="default"/>
      </w:rPr>
    </w:lvl>
    <w:lvl w:ilvl="1" w:tplc="B9429DAA">
      <w:start w:val="1"/>
      <w:numFmt w:val="bullet"/>
      <w:lvlText w:val="o"/>
      <w:lvlJc w:val="left"/>
      <w:pPr>
        <w:ind w:left="1440" w:hanging="360"/>
      </w:pPr>
      <w:rPr>
        <w:rFonts w:ascii="Courier New" w:hAnsi="Courier New" w:hint="default"/>
      </w:rPr>
    </w:lvl>
    <w:lvl w:ilvl="2" w:tplc="228E03AA">
      <w:start w:val="1"/>
      <w:numFmt w:val="bullet"/>
      <w:lvlText w:val=""/>
      <w:lvlJc w:val="left"/>
      <w:pPr>
        <w:ind w:left="2160" w:hanging="360"/>
      </w:pPr>
      <w:rPr>
        <w:rFonts w:ascii="Wingdings" w:hAnsi="Wingdings" w:hint="default"/>
      </w:rPr>
    </w:lvl>
    <w:lvl w:ilvl="3" w:tplc="0A98B920">
      <w:start w:val="1"/>
      <w:numFmt w:val="bullet"/>
      <w:lvlText w:val=""/>
      <w:lvlJc w:val="left"/>
      <w:pPr>
        <w:ind w:left="2880" w:hanging="360"/>
      </w:pPr>
      <w:rPr>
        <w:rFonts w:ascii="Symbol" w:hAnsi="Symbol" w:hint="default"/>
      </w:rPr>
    </w:lvl>
    <w:lvl w:ilvl="4" w:tplc="B5867FD4">
      <w:start w:val="1"/>
      <w:numFmt w:val="bullet"/>
      <w:lvlText w:val="o"/>
      <w:lvlJc w:val="left"/>
      <w:pPr>
        <w:ind w:left="3600" w:hanging="360"/>
      </w:pPr>
      <w:rPr>
        <w:rFonts w:ascii="Courier New" w:hAnsi="Courier New" w:hint="default"/>
      </w:rPr>
    </w:lvl>
    <w:lvl w:ilvl="5" w:tplc="7390CB6C">
      <w:start w:val="1"/>
      <w:numFmt w:val="bullet"/>
      <w:lvlText w:val=""/>
      <w:lvlJc w:val="left"/>
      <w:pPr>
        <w:ind w:left="4320" w:hanging="360"/>
      </w:pPr>
      <w:rPr>
        <w:rFonts w:ascii="Wingdings" w:hAnsi="Wingdings" w:hint="default"/>
      </w:rPr>
    </w:lvl>
    <w:lvl w:ilvl="6" w:tplc="A87296B2">
      <w:start w:val="1"/>
      <w:numFmt w:val="bullet"/>
      <w:lvlText w:val=""/>
      <w:lvlJc w:val="left"/>
      <w:pPr>
        <w:ind w:left="5040" w:hanging="360"/>
      </w:pPr>
      <w:rPr>
        <w:rFonts w:ascii="Symbol" w:hAnsi="Symbol" w:hint="default"/>
      </w:rPr>
    </w:lvl>
    <w:lvl w:ilvl="7" w:tplc="A57CF464">
      <w:start w:val="1"/>
      <w:numFmt w:val="bullet"/>
      <w:lvlText w:val="o"/>
      <w:lvlJc w:val="left"/>
      <w:pPr>
        <w:ind w:left="5760" w:hanging="360"/>
      </w:pPr>
      <w:rPr>
        <w:rFonts w:ascii="Courier New" w:hAnsi="Courier New" w:hint="default"/>
      </w:rPr>
    </w:lvl>
    <w:lvl w:ilvl="8" w:tplc="528ADE9C">
      <w:start w:val="1"/>
      <w:numFmt w:val="bullet"/>
      <w:lvlText w:val=""/>
      <w:lvlJc w:val="left"/>
      <w:pPr>
        <w:ind w:left="6480" w:hanging="360"/>
      </w:pPr>
      <w:rPr>
        <w:rFonts w:ascii="Wingdings" w:hAnsi="Wingdings" w:hint="default"/>
      </w:rPr>
    </w:lvl>
  </w:abstractNum>
  <w:abstractNum w:abstractNumId="20" w15:restartNumberingAfterBreak="0">
    <w:nsid w:val="52E43931"/>
    <w:multiLevelType w:val="hybridMultilevel"/>
    <w:tmpl w:val="2B884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D31C0A"/>
    <w:multiLevelType w:val="hybridMultilevel"/>
    <w:tmpl w:val="2B884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876789"/>
    <w:multiLevelType w:val="hybridMultilevel"/>
    <w:tmpl w:val="BD82B1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82598F"/>
    <w:multiLevelType w:val="hybridMultilevel"/>
    <w:tmpl w:val="940E6DE6"/>
    <w:lvl w:ilvl="0" w:tplc="93E6492E">
      <w:start w:val="1"/>
      <w:numFmt w:val="bullet"/>
      <w:lvlText w:val=""/>
      <w:lvlJc w:val="left"/>
      <w:pPr>
        <w:ind w:left="720" w:hanging="360"/>
      </w:pPr>
      <w:rPr>
        <w:rFonts w:ascii="Symbol" w:hAnsi="Symbol" w:hint="default"/>
      </w:rPr>
    </w:lvl>
    <w:lvl w:ilvl="1" w:tplc="93E6492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F3104"/>
    <w:multiLevelType w:val="hybridMultilevel"/>
    <w:tmpl w:val="80001736"/>
    <w:lvl w:ilvl="0" w:tplc="99802DA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7E66B5"/>
    <w:multiLevelType w:val="hybridMultilevel"/>
    <w:tmpl w:val="BD82B1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04667B"/>
    <w:multiLevelType w:val="multilevel"/>
    <w:tmpl w:val="7E2E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D030F8"/>
    <w:multiLevelType w:val="hybridMultilevel"/>
    <w:tmpl w:val="FFFFFFFF"/>
    <w:lvl w:ilvl="0" w:tplc="97E6D098">
      <w:start w:val="1"/>
      <w:numFmt w:val="bullet"/>
      <w:lvlText w:val="-"/>
      <w:lvlJc w:val="left"/>
      <w:pPr>
        <w:ind w:left="720" w:hanging="360"/>
      </w:pPr>
      <w:rPr>
        <w:rFonts w:ascii="Symbol" w:hAnsi="Symbol" w:hint="default"/>
      </w:rPr>
    </w:lvl>
    <w:lvl w:ilvl="1" w:tplc="F77AB6D6">
      <w:start w:val="1"/>
      <w:numFmt w:val="bullet"/>
      <w:lvlText w:val="o"/>
      <w:lvlJc w:val="left"/>
      <w:pPr>
        <w:ind w:left="1440" w:hanging="360"/>
      </w:pPr>
      <w:rPr>
        <w:rFonts w:ascii="Courier New" w:hAnsi="Courier New" w:hint="default"/>
      </w:rPr>
    </w:lvl>
    <w:lvl w:ilvl="2" w:tplc="D6647ACE">
      <w:start w:val="1"/>
      <w:numFmt w:val="bullet"/>
      <w:lvlText w:val=""/>
      <w:lvlJc w:val="left"/>
      <w:pPr>
        <w:ind w:left="2160" w:hanging="360"/>
      </w:pPr>
      <w:rPr>
        <w:rFonts w:ascii="Wingdings" w:hAnsi="Wingdings" w:hint="default"/>
      </w:rPr>
    </w:lvl>
    <w:lvl w:ilvl="3" w:tplc="A530A5F0">
      <w:start w:val="1"/>
      <w:numFmt w:val="bullet"/>
      <w:lvlText w:val=""/>
      <w:lvlJc w:val="left"/>
      <w:pPr>
        <w:ind w:left="2880" w:hanging="360"/>
      </w:pPr>
      <w:rPr>
        <w:rFonts w:ascii="Symbol" w:hAnsi="Symbol" w:hint="default"/>
      </w:rPr>
    </w:lvl>
    <w:lvl w:ilvl="4" w:tplc="9C2CEAE2">
      <w:start w:val="1"/>
      <w:numFmt w:val="bullet"/>
      <w:lvlText w:val="o"/>
      <w:lvlJc w:val="left"/>
      <w:pPr>
        <w:ind w:left="3600" w:hanging="360"/>
      </w:pPr>
      <w:rPr>
        <w:rFonts w:ascii="Courier New" w:hAnsi="Courier New" w:hint="default"/>
      </w:rPr>
    </w:lvl>
    <w:lvl w:ilvl="5" w:tplc="7EC01F1C">
      <w:start w:val="1"/>
      <w:numFmt w:val="bullet"/>
      <w:lvlText w:val=""/>
      <w:lvlJc w:val="left"/>
      <w:pPr>
        <w:ind w:left="4320" w:hanging="360"/>
      </w:pPr>
      <w:rPr>
        <w:rFonts w:ascii="Wingdings" w:hAnsi="Wingdings" w:hint="default"/>
      </w:rPr>
    </w:lvl>
    <w:lvl w:ilvl="6" w:tplc="BE22C62C">
      <w:start w:val="1"/>
      <w:numFmt w:val="bullet"/>
      <w:lvlText w:val=""/>
      <w:lvlJc w:val="left"/>
      <w:pPr>
        <w:ind w:left="5040" w:hanging="360"/>
      </w:pPr>
      <w:rPr>
        <w:rFonts w:ascii="Symbol" w:hAnsi="Symbol" w:hint="default"/>
      </w:rPr>
    </w:lvl>
    <w:lvl w:ilvl="7" w:tplc="38E62982">
      <w:start w:val="1"/>
      <w:numFmt w:val="bullet"/>
      <w:lvlText w:val="o"/>
      <w:lvlJc w:val="left"/>
      <w:pPr>
        <w:ind w:left="5760" w:hanging="360"/>
      </w:pPr>
      <w:rPr>
        <w:rFonts w:ascii="Courier New" w:hAnsi="Courier New" w:hint="default"/>
      </w:rPr>
    </w:lvl>
    <w:lvl w:ilvl="8" w:tplc="A426B254">
      <w:start w:val="1"/>
      <w:numFmt w:val="bullet"/>
      <w:lvlText w:val=""/>
      <w:lvlJc w:val="left"/>
      <w:pPr>
        <w:ind w:left="6480" w:hanging="360"/>
      </w:pPr>
      <w:rPr>
        <w:rFonts w:ascii="Wingdings" w:hAnsi="Wingdings" w:hint="default"/>
      </w:rPr>
    </w:lvl>
  </w:abstractNum>
  <w:abstractNum w:abstractNumId="28" w15:restartNumberingAfterBreak="0">
    <w:nsid w:val="62A77C74"/>
    <w:multiLevelType w:val="hybridMultilevel"/>
    <w:tmpl w:val="5184AA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495A00"/>
    <w:multiLevelType w:val="hybridMultilevel"/>
    <w:tmpl w:val="E050EF24"/>
    <w:lvl w:ilvl="0" w:tplc="1286ED30">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6331D8"/>
    <w:multiLevelType w:val="hybridMultilevel"/>
    <w:tmpl w:val="34E0F3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975F61"/>
    <w:multiLevelType w:val="hybridMultilevel"/>
    <w:tmpl w:val="BB72A2D6"/>
    <w:lvl w:ilvl="0" w:tplc="D0C21C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975DA2"/>
    <w:multiLevelType w:val="hybridMultilevel"/>
    <w:tmpl w:val="B00A06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D57C8E"/>
    <w:multiLevelType w:val="hybridMultilevel"/>
    <w:tmpl w:val="27B48C3C"/>
    <w:lvl w:ilvl="0" w:tplc="D10E8EF6">
      <w:start w:val="1"/>
      <w:numFmt w:val="lowerLetter"/>
      <w:lvlText w:val="%1)"/>
      <w:lvlJc w:val="left"/>
      <w:pPr>
        <w:ind w:left="720" w:hanging="360"/>
      </w:pPr>
      <w:rPr>
        <w:rFonts w:hint="default"/>
      </w:rPr>
    </w:lvl>
    <w:lvl w:ilvl="1" w:tplc="5E0C70C6">
      <w:numFmt w:val="bullet"/>
      <w:lvlText w:val="-"/>
      <w:lvlJc w:val="left"/>
      <w:pPr>
        <w:ind w:left="1440" w:hanging="360"/>
      </w:pPr>
      <w:rPr>
        <w:rFonts w:ascii="Calibri" w:eastAsia="Batang"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2179DA"/>
    <w:multiLevelType w:val="hybridMultilevel"/>
    <w:tmpl w:val="108C4DFE"/>
    <w:lvl w:ilvl="0" w:tplc="2B70D97C">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6" w15:restartNumberingAfterBreak="0">
    <w:nsid w:val="7C9C41F4"/>
    <w:multiLevelType w:val="hybridMultilevel"/>
    <w:tmpl w:val="126659C0"/>
    <w:lvl w:ilvl="0" w:tplc="FFFFFFFF">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24548"/>
    <w:multiLevelType w:val="hybridMultilevel"/>
    <w:tmpl w:val="2570C3E8"/>
    <w:lvl w:ilvl="0" w:tplc="F4A282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3866C0"/>
    <w:multiLevelType w:val="hybridMultilevel"/>
    <w:tmpl w:val="CFE61F56"/>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8124671">
    <w:abstractNumId w:val="9"/>
  </w:num>
  <w:num w:numId="2" w16cid:durableId="1937515710">
    <w:abstractNumId w:val="27"/>
  </w:num>
  <w:num w:numId="3" w16cid:durableId="1009872391">
    <w:abstractNumId w:val="5"/>
  </w:num>
  <w:num w:numId="4" w16cid:durableId="1192258379">
    <w:abstractNumId w:val="29"/>
  </w:num>
  <w:num w:numId="5" w16cid:durableId="299313078">
    <w:abstractNumId w:val="3"/>
  </w:num>
  <w:num w:numId="6" w16cid:durableId="1635060334">
    <w:abstractNumId w:val="33"/>
  </w:num>
  <w:num w:numId="7" w16cid:durableId="1607035103">
    <w:abstractNumId w:val="37"/>
  </w:num>
  <w:num w:numId="8" w16cid:durableId="1712995070">
    <w:abstractNumId w:val="24"/>
  </w:num>
  <w:num w:numId="9" w16cid:durableId="178013246">
    <w:abstractNumId w:val="14"/>
  </w:num>
  <w:num w:numId="10" w16cid:durableId="1085417622">
    <w:abstractNumId w:val="4"/>
  </w:num>
  <w:num w:numId="11" w16cid:durableId="698513119">
    <w:abstractNumId w:val="35"/>
  </w:num>
  <w:num w:numId="12" w16cid:durableId="706029650">
    <w:abstractNumId w:val="2"/>
  </w:num>
  <w:num w:numId="13" w16cid:durableId="256908188">
    <w:abstractNumId w:val="31"/>
  </w:num>
  <w:num w:numId="14" w16cid:durableId="1830292017">
    <w:abstractNumId w:val="30"/>
  </w:num>
  <w:num w:numId="15" w16cid:durableId="932321834">
    <w:abstractNumId w:val="1"/>
  </w:num>
  <w:num w:numId="16" w16cid:durableId="2111243274">
    <w:abstractNumId w:val="8"/>
  </w:num>
  <w:num w:numId="17" w16cid:durableId="23094658">
    <w:abstractNumId w:val="36"/>
  </w:num>
  <w:num w:numId="18" w16cid:durableId="1934586335">
    <w:abstractNumId w:val="17"/>
  </w:num>
  <w:num w:numId="19" w16cid:durableId="1463157357">
    <w:abstractNumId w:val="21"/>
  </w:num>
  <w:num w:numId="20" w16cid:durableId="630089948">
    <w:abstractNumId w:val="6"/>
  </w:num>
  <w:num w:numId="21" w16cid:durableId="1539968888">
    <w:abstractNumId w:val="28"/>
  </w:num>
  <w:num w:numId="22" w16cid:durableId="1137845000">
    <w:abstractNumId w:val="20"/>
  </w:num>
  <w:num w:numId="23" w16cid:durableId="81613222">
    <w:abstractNumId w:val="25"/>
  </w:num>
  <w:num w:numId="24" w16cid:durableId="847788651">
    <w:abstractNumId w:val="0"/>
  </w:num>
  <w:num w:numId="25" w16cid:durableId="1847942158">
    <w:abstractNumId w:val="18"/>
  </w:num>
  <w:num w:numId="26" w16cid:durableId="853615423">
    <w:abstractNumId w:val="22"/>
  </w:num>
  <w:num w:numId="27" w16cid:durableId="1990671440">
    <w:abstractNumId w:val="11"/>
  </w:num>
  <w:num w:numId="28" w16cid:durableId="244923608">
    <w:abstractNumId w:val="26"/>
  </w:num>
  <w:num w:numId="29" w16cid:durableId="190808002">
    <w:abstractNumId w:val="34"/>
  </w:num>
  <w:num w:numId="30" w16cid:durableId="743337602">
    <w:abstractNumId w:val="12"/>
  </w:num>
  <w:num w:numId="31" w16cid:durableId="433474141">
    <w:abstractNumId w:val="19"/>
  </w:num>
  <w:num w:numId="32" w16cid:durableId="906770477">
    <w:abstractNumId w:val="15"/>
  </w:num>
  <w:num w:numId="33" w16cid:durableId="704867193">
    <w:abstractNumId w:val="7"/>
  </w:num>
  <w:num w:numId="34" w16cid:durableId="532038812">
    <w:abstractNumId w:val="38"/>
  </w:num>
  <w:num w:numId="35" w16cid:durableId="657995903">
    <w:abstractNumId w:val="10"/>
  </w:num>
  <w:num w:numId="36" w16cid:durableId="1092700357">
    <w:abstractNumId w:val="13"/>
  </w:num>
  <w:num w:numId="37" w16cid:durableId="825972947">
    <w:abstractNumId w:val="23"/>
  </w:num>
  <w:num w:numId="38" w16cid:durableId="1161964778">
    <w:abstractNumId w:val="16"/>
  </w:num>
  <w:num w:numId="39" w16cid:durableId="2099786347">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2BBA"/>
    <w:rsid w:val="000041EA"/>
    <w:rsid w:val="00004EB7"/>
    <w:rsid w:val="00005A53"/>
    <w:rsid w:val="00005FBD"/>
    <w:rsid w:val="00006323"/>
    <w:rsid w:val="00011AC2"/>
    <w:rsid w:val="00011DB0"/>
    <w:rsid w:val="00011ECB"/>
    <w:rsid w:val="00012AD4"/>
    <w:rsid w:val="000150B0"/>
    <w:rsid w:val="00015B1D"/>
    <w:rsid w:val="00015E52"/>
    <w:rsid w:val="0002138D"/>
    <w:rsid w:val="00022A29"/>
    <w:rsid w:val="00025926"/>
    <w:rsid w:val="00025965"/>
    <w:rsid w:val="000267F0"/>
    <w:rsid w:val="00027501"/>
    <w:rsid w:val="00027D21"/>
    <w:rsid w:val="00030989"/>
    <w:rsid w:val="000346E1"/>
    <w:rsid w:val="000355FD"/>
    <w:rsid w:val="0003588F"/>
    <w:rsid w:val="0003589F"/>
    <w:rsid w:val="00041594"/>
    <w:rsid w:val="0005184F"/>
    <w:rsid w:val="000518B8"/>
    <w:rsid w:val="00051E39"/>
    <w:rsid w:val="00053725"/>
    <w:rsid w:val="00054B72"/>
    <w:rsid w:val="0005581A"/>
    <w:rsid w:val="0005619C"/>
    <w:rsid w:val="000569C9"/>
    <w:rsid w:val="0005747E"/>
    <w:rsid w:val="000604E5"/>
    <w:rsid w:val="000617DF"/>
    <w:rsid w:val="00061B8B"/>
    <w:rsid w:val="00062B7A"/>
    <w:rsid w:val="0006550B"/>
    <w:rsid w:val="0007000B"/>
    <w:rsid w:val="000728FA"/>
    <w:rsid w:val="000735FD"/>
    <w:rsid w:val="00074109"/>
    <w:rsid w:val="00074C4D"/>
    <w:rsid w:val="00075C63"/>
    <w:rsid w:val="00076288"/>
    <w:rsid w:val="0007684A"/>
    <w:rsid w:val="00076B38"/>
    <w:rsid w:val="00077239"/>
    <w:rsid w:val="000778CA"/>
    <w:rsid w:val="00077BD6"/>
    <w:rsid w:val="000805BB"/>
    <w:rsid w:val="00080905"/>
    <w:rsid w:val="000812F3"/>
    <w:rsid w:val="00081C9D"/>
    <w:rsid w:val="00081E4D"/>
    <w:rsid w:val="000822BE"/>
    <w:rsid w:val="000829BB"/>
    <w:rsid w:val="00082B11"/>
    <w:rsid w:val="000840A7"/>
    <w:rsid w:val="00085C6A"/>
    <w:rsid w:val="0008636C"/>
    <w:rsid w:val="00086491"/>
    <w:rsid w:val="00086D42"/>
    <w:rsid w:val="000904F9"/>
    <w:rsid w:val="000909ED"/>
    <w:rsid w:val="00091346"/>
    <w:rsid w:val="00091C80"/>
    <w:rsid w:val="0009581F"/>
    <w:rsid w:val="00095901"/>
    <w:rsid w:val="00095BE6"/>
    <w:rsid w:val="00097074"/>
    <w:rsid w:val="00097F94"/>
    <w:rsid w:val="000A0804"/>
    <w:rsid w:val="000A3B54"/>
    <w:rsid w:val="000A59AE"/>
    <w:rsid w:val="000A5BDC"/>
    <w:rsid w:val="000B325E"/>
    <w:rsid w:val="000B3DBC"/>
    <w:rsid w:val="000B6FBD"/>
    <w:rsid w:val="000B738A"/>
    <w:rsid w:val="000B7EC8"/>
    <w:rsid w:val="000C03F4"/>
    <w:rsid w:val="000C17EA"/>
    <w:rsid w:val="000C2592"/>
    <w:rsid w:val="000C2F73"/>
    <w:rsid w:val="000C42BA"/>
    <w:rsid w:val="000C4A9A"/>
    <w:rsid w:val="000C4C3E"/>
    <w:rsid w:val="000C4FD1"/>
    <w:rsid w:val="000D1759"/>
    <w:rsid w:val="000D1B36"/>
    <w:rsid w:val="000D1F61"/>
    <w:rsid w:val="000D38EB"/>
    <w:rsid w:val="000D4875"/>
    <w:rsid w:val="000D6891"/>
    <w:rsid w:val="000D6E8D"/>
    <w:rsid w:val="000E15B9"/>
    <w:rsid w:val="000E1BCD"/>
    <w:rsid w:val="000E6452"/>
    <w:rsid w:val="000E71F8"/>
    <w:rsid w:val="000F02FD"/>
    <w:rsid w:val="000F0308"/>
    <w:rsid w:val="000F2250"/>
    <w:rsid w:val="000F29EC"/>
    <w:rsid w:val="000F38EA"/>
    <w:rsid w:val="000F4B12"/>
    <w:rsid w:val="000F542E"/>
    <w:rsid w:val="000F641B"/>
    <w:rsid w:val="000F73FF"/>
    <w:rsid w:val="000F7F1C"/>
    <w:rsid w:val="00102175"/>
    <w:rsid w:val="00102343"/>
    <w:rsid w:val="001029B3"/>
    <w:rsid w:val="00105DCD"/>
    <w:rsid w:val="001066B3"/>
    <w:rsid w:val="001071DC"/>
    <w:rsid w:val="001114AC"/>
    <w:rsid w:val="00111B9C"/>
    <w:rsid w:val="00114584"/>
    <w:rsid w:val="00114CF7"/>
    <w:rsid w:val="00115411"/>
    <w:rsid w:val="00115B33"/>
    <w:rsid w:val="00116B95"/>
    <w:rsid w:val="00117233"/>
    <w:rsid w:val="00117288"/>
    <w:rsid w:val="00121EFC"/>
    <w:rsid w:val="00123B68"/>
    <w:rsid w:val="00123E6B"/>
    <w:rsid w:val="00124AF4"/>
    <w:rsid w:val="00124CAA"/>
    <w:rsid w:val="00124CB6"/>
    <w:rsid w:val="00125E69"/>
    <w:rsid w:val="00126491"/>
    <w:rsid w:val="00126942"/>
    <w:rsid w:val="00126F2E"/>
    <w:rsid w:val="00127FC6"/>
    <w:rsid w:val="0013297C"/>
    <w:rsid w:val="001344A9"/>
    <w:rsid w:val="0013675C"/>
    <w:rsid w:val="00137A3C"/>
    <w:rsid w:val="00142128"/>
    <w:rsid w:val="001424DC"/>
    <w:rsid w:val="00143A87"/>
    <w:rsid w:val="00144428"/>
    <w:rsid w:val="00144461"/>
    <w:rsid w:val="00144E69"/>
    <w:rsid w:val="00145A52"/>
    <w:rsid w:val="00146AA3"/>
    <w:rsid w:val="00146F6F"/>
    <w:rsid w:val="0014714E"/>
    <w:rsid w:val="00147DA1"/>
    <w:rsid w:val="00149A45"/>
    <w:rsid w:val="001512BE"/>
    <w:rsid w:val="00152957"/>
    <w:rsid w:val="001561B8"/>
    <w:rsid w:val="00160487"/>
    <w:rsid w:val="0016183A"/>
    <w:rsid w:val="001655E8"/>
    <w:rsid w:val="00166196"/>
    <w:rsid w:val="001664A7"/>
    <w:rsid w:val="00167327"/>
    <w:rsid w:val="00167A9D"/>
    <w:rsid w:val="00170C5A"/>
    <w:rsid w:val="0017171C"/>
    <w:rsid w:val="00171758"/>
    <w:rsid w:val="00173450"/>
    <w:rsid w:val="00174191"/>
    <w:rsid w:val="0017500F"/>
    <w:rsid w:val="001757DE"/>
    <w:rsid w:val="001757FE"/>
    <w:rsid w:val="00176991"/>
    <w:rsid w:val="00180444"/>
    <w:rsid w:val="00182E0D"/>
    <w:rsid w:val="001832B9"/>
    <w:rsid w:val="00183910"/>
    <w:rsid w:val="00184C10"/>
    <w:rsid w:val="00185737"/>
    <w:rsid w:val="00187BD9"/>
    <w:rsid w:val="0019060A"/>
    <w:rsid w:val="00190B55"/>
    <w:rsid w:val="00191F5C"/>
    <w:rsid w:val="00192FA9"/>
    <w:rsid w:val="001944B0"/>
    <w:rsid w:val="00194CFB"/>
    <w:rsid w:val="00194F96"/>
    <w:rsid w:val="001A1FFD"/>
    <w:rsid w:val="001A3858"/>
    <w:rsid w:val="001A399D"/>
    <w:rsid w:val="001A4BD2"/>
    <w:rsid w:val="001B0BB7"/>
    <w:rsid w:val="001B2773"/>
    <w:rsid w:val="001B2ED3"/>
    <w:rsid w:val="001B54BC"/>
    <w:rsid w:val="001B643A"/>
    <w:rsid w:val="001B6675"/>
    <w:rsid w:val="001B7B52"/>
    <w:rsid w:val="001B7EA3"/>
    <w:rsid w:val="001C3B5F"/>
    <w:rsid w:val="001C61EA"/>
    <w:rsid w:val="001C6431"/>
    <w:rsid w:val="001C6C28"/>
    <w:rsid w:val="001D0487"/>
    <w:rsid w:val="001D058F"/>
    <w:rsid w:val="001D2025"/>
    <w:rsid w:val="001D2A13"/>
    <w:rsid w:val="001D3CF1"/>
    <w:rsid w:val="001D520B"/>
    <w:rsid w:val="001D5746"/>
    <w:rsid w:val="001D6875"/>
    <w:rsid w:val="001D78D5"/>
    <w:rsid w:val="001E0384"/>
    <w:rsid w:val="001E0FE9"/>
    <w:rsid w:val="001E24AF"/>
    <w:rsid w:val="001E252D"/>
    <w:rsid w:val="001E43DC"/>
    <w:rsid w:val="001F6813"/>
    <w:rsid w:val="002000CB"/>
    <w:rsid w:val="002009EA"/>
    <w:rsid w:val="00202CA0"/>
    <w:rsid w:val="00207A5D"/>
    <w:rsid w:val="00207AFD"/>
    <w:rsid w:val="00210A8C"/>
    <w:rsid w:val="00213DE7"/>
    <w:rsid w:val="002154A6"/>
    <w:rsid w:val="002162CD"/>
    <w:rsid w:val="00216478"/>
    <w:rsid w:val="00220634"/>
    <w:rsid w:val="00221C1D"/>
    <w:rsid w:val="002225C2"/>
    <w:rsid w:val="002226B9"/>
    <w:rsid w:val="002237A7"/>
    <w:rsid w:val="00224B7C"/>
    <w:rsid w:val="00224CDD"/>
    <w:rsid w:val="002255B3"/>
    <w:rsid w:val="0022687F"/>
    <w:rsid w:val="00226E9D"/>
    <w:rsid w:val="0023164A"/>
    <w:rsid w:val="002319F6"/>
    <w:rsid w:val="002320C4"/>
    <w:rsid w:val="0023409C"/>
    <w:rsid w:val="002346C7"/>
    <w:rsid w:val="002351D4"/>
    <w:rsid w:val="00236E8A"/>
    <w:rsid w:val="00236E8B"/>
    <w:rsid w:val="00240BC8"/>
    <w:rsid w:val="0024156C"/>
    <w:rsid w:val="002420D0"/>
    <w:rsid w:val="00242474"/>
    <w:rsid w:val="00242487"/>
    <w:rsid w:val="00243411"/>
    <w:rsid w:val="00246B32"/>
    <w:rsid w:val="00247DF4"/>
    <w:rsid w:val="00250FA2"/>
    <w:rsid w:val="00251A53"/>
    <w:rsid w:val="0025380B"/>
    <w:rsid w:val="0025489C"/>
    <w:rsid w:val="002562E0"/>
    <w:rsid w:val="002604EE"/>
    <w:rsid w:val="00260DFB"/>
    <w:rsid w:val="00261259"/>
    <w:rsid w:val="00263670"/>
    <w:rsid w:val="00263CC4"/>
    <w:rsid w:val="0026406F"/>
    <w:rsid w:val="002653F2"/>
    <w:rsid w:val="00266589"/>
    <w:rsid w:val="00267792"/>
    <w:rsid w:val="002712A9"/>
    <w:rsid w:val="00271316"/>
    <w:rsid w:val="00271490"/>
    <w:rsid w:val="002717BC"/>
    <w:rsid w:val="00271E10"/>
    <w:rsid w:val="00272417"/>
    <w:rsid w:val="00274CC3"/>
    <w:rsid w:val="00276414"/>
    <w:rsid w:val="0027691A"/>
    <w:rsid w:val="00283F74"/>
    <w:rsid w:val="0028461C"/>
    <w:rsid w:val="00286C1D"/>
    <w:rsid w:val="00286C4C"/>
    <w:rsid w:val="00294BF6"/>
    <w:rsid w:val="00294D5A"/>
    <w:rsid w:val="002951B3"/>
    <w:rsid w:val="002955DA"/>
    <w:rsid w:val="00295A71"/>
    <w:rsid w:val="00296313"/>
    <w:rsid w:val="00296DA0"/>
    <w:rsid w:val="00296E41"/>
    <w:rsid w:val="00297006"/>
    <w:rsid w:val="002A0A7A"/>
    <w:rsid w:val="002A0D8C"/>
    <w:rsid w:val="002A27F8"/>
    <w:rsid w:val="002A51DF"/>
    <w:rsid w:val="002A684E"/>
    <w:rsid w:val="002B035F"/>
    <w:rsid w:val="002B074A"/>
    <w:rsid w:val="002B0B30"/>
    <w:rsid w:val="002B10D5"/>
    <w:rsid w:val="002B3296"/>
    <w:rsid w:val="002B3C84"/>
    <w:rsid w:val="002B5490"/>
    <w:rsid w:val="002B74E2"/>
    <w:rsid w:val="002B7DCD"/>
    <w:rsid w:val="002C12ED"/>
    <w:rsid w:val="002C1CDB"/>
    <w:rsid w:val="002C225C"/>
    <w:rsid w:val="002C49BA"/>
    <w:rsid w:val="002C4B75"/>
    <w:rsid w:val="002C6B70"/>
    <w:rsid w:val="002C6D93"/>
    <w:rsid w:val="002C73F6"/>
    <w:rsid w:val="002C7D5E"/>
    <w:rsid w:val="002C7ED3"/>
    <w:rsid w:val="002D193E"/>
    <w:rsid w:val="002D1FEF"/>
    <w:rsid w:val="002D5768"/>
    <w:rsid w:val="002D58BE"/>
    <w:rsid w:val="002D5CE8"/>
    <w:rsid w:val="002D7C8D"/>
    <w:rsid w:val="002E4375"/>
    <w:rsid w:val="002E4D1D"/>
    <w:rsid w:val="002E4DAC"/>
    <w:rsid w:val="002E51E0"/>
    <w:rsid w:val="002E51F2"/>
    <w:rsid w:val="002E5411"/>
    <w:rsid w:val="002E7A84"/>
    <w:rsid w:val="002F1BD0"/>
    <w:rsid w:val="00300963"/>
    <w:rsid w:val="003013EE"/>
    <w:rsid w:val="00304031"/>
    <w:rsid w:val="0030579B"/>
    <w:rsid w:val="00305AE0"/>
    <w:rsid w:val="00307192"/>
    <w:rsid w:val="0031062D"/>
    <w:rsid w:val="00311808"/>
    <w:rsid w:val="00311851"/>
    <w:rsid w:val="00311CD5"/>
    <w:rsid w:val="00316725"/>
    <w:rsid w:val="00316A69"/>
    <w:rsid w:val="003231C6"/>
    <w:rsid w:val="00323E49"/>
    <w:rsid w:val="003247A5"/>
    <w:rsid w:val="00324A24"/>
    <w:rsid w:val="00325939"/>
    <w:rsid w:val="0032677F"/>
    <w:rsid w:val="003272CA"/>
    <w:rsid w:val="003273BC"/>
    <w:rsid w:val="00330DFC"/>
    <w:rsid w:val="00331F05"/>
    <w:rsid w:val="003325D3"/>
    <w:rsid w:val="0033301B"/>
    <w:rsid w:val="0033460B"/>
    <w:rsid w:val="00334FE8"/>
    <w:rsid w:val="00335759"/>
    <w:rsid w:val="00337750"/>
    <w:rsid w:val="00342074"/>
    <w:rsid w:val="00342307"/>
    <w:rsid w:val="0034384D"/>
    <w:rsid w:val="00343E5C"/>
    <w:rsid w:val="003447A8"/>
    <w:rsid w:val="003447F5"/>
    <w:rsid w:val="0034564B"/>
    <w:rsid w:val="00345D42"/>
    <w:rsid w:val="00346224"/>
    <w:rsid w:val="0034636C"/>
    <w:rsid w:val="0035089A"/>
    <w:rsid w:val="003511BC"/>
    <w:rsid w:val="003518D6"/>
    <w:rsid w:val="003533C4"/>
    <w:rsid w:val="00356083"/>
    <w:rsid w:val="003572D4"/>
    <w:rsid w:val="00361609"/>
    <w:rsid w:val="003635BD"/>
    <w:rsid w:val="00364098"/>
    <w:rsid w:val="00366978"/>
    <w:rsid w:val="0037003F"/>
    <w:rsid w:val="00372BCF"/>
    <w:rsid w:val="00373365"/>
    <w:rsid w:val="003773FA"/>
    <w:rsid w:val="00377BD3"/>
    <w:rsid w:val="003807EA"/>
    <w:rsid w:val="003829D8"/>
    <w:rsid w:val="0038304D"/>
    <w:rsid w:val="00384088"/>
    <w:rsid w:val="0038489B"/>
    <w:rsid w:val="00385BE9"/>
    <w:rsid w:val="00386CA9"/>
    <w:rsid w:val="0039169B"/>
    <w:rsid w:val="0039212D"/>
    <w:rsid w:val="00392277"/>
    <w:rsid w:val="00392DEA"/>
    <w:rsid w:val="00394B90"/>
    <w:rsid w:val="003968CC"/>
    <w:rsid w:val="00397B60"/>
    <w:rsid w:val="003A0204"/>
    <w:rsid w:val="003A03FF"/>
    <w:rsid w:val="003A04F5"/>
    <w:rsid w:val="003A0B0F"/>
    <w:rsid w:val="003A1B4D"/>
    <w:rsid w:val="003A201B"/>
    <w:rsid w:val="003A22FC"/>
    <w:rsid w:val="003A2596"/>
    <w:rsid w:val="003A260A"/>
    <w:rsid w:val="003A3427"/>
    <w:rsid w:val="003A5137"/>
    <w:rsid w:val="003A6BAC"/>
    <w:rsid w:val="003A6BED"/>
    <w:rsid w:val="003A7F8C"/>
    <w:rsid w:val="003B08DA"/>
    <w:rsid w:val="003B11F9"/>
    <w:rsid w:val="003B1F2F"/>
    <w:rsid w:val="003B211C"/>
    <w:rsid w:val="003B2B56"/>
    <w:rsid w:val="003B39E2"/>
    <w:rsid w:val="003B49EE"/>
    <w:rsid w:val="003B532E"/>
    <w:rsid w:val="003B6306"/>
    <w:rsid w:val="003B6602"/>
    <w:rsid w:val="003B6F14"/>
    <w:rsid w:val="003B6F60"/>
    <w:rsid w:val="003C1870"/>
    <w:rsid w:val="003C50B5"/>
    <w:rsid w:val="003C5197"/>
    <w:rsid w:val="003C6136"/>
    <w:rsid w:val="003D0F8B"/>
    <w:rsid w:val="003D1814"/>
    <w:rsid w:val="003D37FB"/>
    <w:rsid w:val="003D39F2"/>
    <w:rsid w:val="003D55C4"/>
    <w:rsid w:val="003D5A63"/>
    <w:rsid w:val="003D6425"/>
    <w:rsid w:val="003D66A7"/>
    <w:rsid w:val="003D7EE8"/>
    <w:rsid w:val="003F02EF"/>
    <w:rsid w:val="003F0400"/>
    <w:rsid w:val="003F0A6C"/>
    <w:rsid w:val="003F0E36"/>
    <w:rsid w:val="003F0F49"/>
    <w:rsid w:val="003F1363"/>
    <w:rsid w:val="003F77CC"/>
    <w:rsid w:val="00402B9F"/>
    <w:rsid w:val="00403ABD"/>
    <w:rsid w:val="00403C69"/>
    <w:rsid w:val="00404A25"/>
    <w:rsid w:val="00405EC2"/>
    <w:rsid w:val="00406278"/>
    <w:rsid w:val="00406297"/>
    <w:rsid w:val="00406357"/>
    <w:rsid w:val="00412C81"/>
    <w:rsid w:val="004131D4"/>
    <w:rsid w:val="0041348E"/>
    <w:rsid w:val="00413FA2"/>
    <w:rsid w:val="00414647"/>
    <w:rsid w:val="00414895"/>
    <w:rsid w:val="00415192"/>
    <w:rsid w:val="00416736"/>
    <w:rsid w:val="0041787E"/>
    <w:rsid w:val="004203BA"/>
    <w:rsid w:val="00420650"/>
    <w:rsid w:val="004208C6"/>
    <w:rsid w:val="00420D64"/>
    <w:rsid w:val="00421237"/>
    <w:rsid w:val="00421605"/>
    <w:rsid w:val="00423F1B"/>
    <w:rsid w:val="004269E6"/>
    <w:rsid w:val="00426D99"/>
    <w:rsid w:val="00433357"/>
    <w:rsid w:val="00435762"/>
    <w:rsid w:val="00435E45"/>
    <w:rsid w:val="004364D9"/>
    <w:rsid w:val="00437819"/>
    <w:rsid w:val="00437A8D"/>
    <w:rsid w:val="004402C1"/>
    <w:rsid w:val="00440C4F"/>
    <w:rsid w:val="00441E8B"/>
    <w:rsid w:val="00442D61"/>
    <w:rsid w:val="004445FD"/>
    <w:rsid w:val="00445D94"/>
    <w:rsid w:val="00446FBA"/>
    <w:rsid w:val="00447308"/>
    <w:rsid w:val="00447990"/>
    <w:rsid w:val="00447D2B"/>
    <w:rsid w:val="004500BC"/>
    <w:rsid w:val="00450B7E"/>
    <w:rsid w:val="00451B1B"/>
    <w:rsid w:val="00451DC5"/>
    <w:rsid w:val="004552B4"/>
    <w:rsid w:val="004558A1"/>
    <w:rsid w:val="004579EC"/>
    <w:rsid w:val="00460CF8"/>
    <w:rsid w:val="00462253"/>
    <w:rsid w:val="00462CB2"/>
    <w:rsid w:val="004631CC"/>
    <w:rsid w:val="00464EF7"/>
    <w:rsid w:val="00467BA9"/>
    <w:rsid w:val="00467DB2"/>
    <w:rsid w:val="00472FC1"/>
    <w:rsid w:val="00474E5F"/>
    <w:rsid w:val="004755BA"/>
    <w:rsid w:val="004765FF"/>
    <w:rsid w:val="0047751C"/>
    <w:rsid w:val="00481E58"/>
    <w:rsid w:val="00483F59"/>
    <w:rsid w:val="0048520E"/>
    <w:rsid w:val="00486163"/>
    <w:rsid w:val="00492075"/>
    <w:rsid w:val="0049304E"/>
    <w:rsid w:val="00493E15"/>
    <w:rsid w:val="00495290"/>
    <w:rsid w:val="004955F3"/>
    <w:rsid w:val="004969AD"/>
    <w:rsid w:val="00496E2A"/>
    <w:rsid w:val="0049782C"/>
    <w:rsid w:val="004A0244"/>
    <w:rsid w:val="004A202F"/>
    <w:rsid w:val="004A2670"/>
    <w:rsid w:val="004A3FF4"/>
    <w:rsid w:val="004A7674"/>
    <w:rsid w:val="004A783D"/>
    <w:rsid w:val="004A7938"/>
    <w:rsid w:val="004B0AAA"/>
    <w:rsid w:val="004B13CB"/>
    <w:rsid w:val="004B2466"/>
    <w:rsid w:val="004B340C"/>
    <w:rsid w:val="004B3C6F"/>
    <w:rsid w:val="004B412B"/>
    <w:rsid w:val="004B4FDF"/>
    <w:rsid w:val="004B4FF2"/>
    <w:rsid w:val="004B5F82"/>
    <w:rsid w:val="004B60CA"/>
    <w:rsid w:val="004B6A9D"/>
    <w:rsid w:val="004B716F"/>
    <w:rsid w:val="004B7C16"/>
    <w:rsid w:val="004B7C1F"/>
    <w:rsid w:val="004B7E77"/>
    <w:rsid w:val="004C1E34"/>
    <w:rsid w:val="004C3355"/>
    <w:rsid w:val="004C4424"/>
    <w:rsid w:val="004C4A8B"/>
    <w:rsid w:val="004C5769"/>
    <w:rsid w:val="004C66F3"/>
    <w:rsid w:val="004D04E2"/>
    <w:rsid w:val="004D4243"/>
    <w:rsid w:val="004D5D5C"/>
    <w:rsid w:val="004D6B01"/>
    <w:rsid w:val="004D752D"/>
    <w:rsid w:val="004D7763"/>
    <w:rsid w:val="004E0767"/>
    <w:rsid w:val="004E27DE"/>
    <w:rsid w:val="004E2F10"/>
    <w:rsid w:val="004E3276"/>
    <w:rsid w:val="004E336F"/>
    <w:rsid w:val="004E34D2"/>
    <w:rsid w:val="004E47A1"/>
    <w:rsid w:val="004E4F74"/>
    <w:rsid w:val="004E50B3"/>
    <w:rsid w:val="004E5959"/>
    <w:rsid w:val="004E5B63"/>
    <w:rsid w:val="004E704A"/>
    <w:rsid w:val="004E7E4A"/>
    <w:rsid w:val="004F042B"/>
    <w:rsid w:val="004F051F"/>
    <w:rsid w:val="004F1FA0"/>
    <w:rsid w:val="004F3D95"/>
    <w:rsid w:val="004F660E"/>
    <w:rsid w:val="004F7270"/>
    <w:rsid w:val="005004A4"/>
    <w:rsid w:val="0050139F"/>
    <w:rsid w:val="0050460C"/>
    <w:rsid w:val="005048DF"/>
    <w:rsid w:val="0050712D"/>
    <w:rsid w:val="005071EB"/>
    <w:rsid w:val="00507A7E"/>
    <w:rsid w:val="00510692"/>
    <w:rsid w:val="00510F4D"/>
    <w:rsid w:val="00511FE7"/>
    <w:rsid w:val="0051568E"/>
    <w:rsid w:val="005166A2"/>
    <w:rsid w:val="00516722"/>
    <w:rsid w:val="00517624"/>
    <w:rsid w:val="00520565"/>
    <w:rsid w:val="00521223"/>
    <w:rsid w:val="00523934"/>
    <w:rsid w:val="00523D3E"/>
    <w:rsid w:val="00524DF1"/>
    <w:rsid w:val="005252E6"/>
    <w:rsid w:val="00526DAF"/>
    <w:rsid w:val="0052716E"/>
    <w:rsid w:val="00531317"/>
    <w:rsid w:val="00533CBA"/>
    <w:rsid w:val="005358BC"/>
    <w:rsid w:val="00536513"/>
    <w:rsid w:val="00536DB4"/>
    <w:rsid w:val="00541D24"/>
    <w:rsid w:val="00543159"/>
    <w:rsid w:val="0054377E"/>
    <w:rsid w:val="0054450F"/>
    <w:rsid w:val="0055140B"/>
    <w:rsid w:val="00552F9E"/>
    <w:rsid w:val="005543A5"/>
    <w:rsid w:val="00554C4F"/>
    <w:rsid w:val="00561334"/>
    <w:rsid w:val="00561D72"/>
    <w:rsid w:val="00564F36"/>
    <w:rsid w:val="00565977"/>
    <w:rsid w:val="0056604B"/>
    <w:rsid w:val="0056643E"/>
    <w:rsid w:val="00566EEB"/>
    <w:rsid w:val="0056725E"/>
    <w:rsid w:val="00567789"/>
    <w:rsid w:val="0057010E"/>
    <w:rsid w:val="00570FA3"/>
    <w:rsid w:val="00571767"/>
    <w:rsid w:val="00573D73"/>
    <w:rsid w:val="00575A45"/>
    <w:rsid w:val="00576FB4"/>
    <w:rsid w:val="00581118"/>
    <w:rsid w:val="00581664"/>
    <w:rsid w:val="005831CA"/>
    <w:rsid w:val="00584322"/>
    <w:rsid w:val="0058495E"/>
    <w:rsid w:val="00585238"/>
    <w:rsid w:val="005855FC"/>
    <w:rsid w:val="005862DC"/>
    <w:rsid w:val="00586EB9"/>
    <w:rsid w:val="005913B6"/>
    <w:rsid w:val="00592321"/>
    <w:rsid w:val="005933B2"/>
    <w:rsid w:val="00593B87"/>
    <w:rsid w:val="0059577B"/>
    <w:rsid w:val="005961DD"/>
    <w:rsid w:val="005964AB"/>
    <w:rsid w:val="005A1410"/>
    <w:rsid w:val="005A2BEB"/>
    <w:rsid w:val="005A3485"/>
    <w:rsid w:val="005A3518"/>
    <w:rsid w:val="005A4147"/>
    <w:rsid w:val="005A5E0C"/>
    <w:rsid w:val="005A62E2"/>
    <w:rsid w:val="005A6739"/>
    <w:rsid w:val="005B0278"/>
    <w:rsid w:val="005B0AA3"/>
    <w:rsid w:val="005B25C3"/>
    <w:rsid w:val="005B2DD6"/>
    <w:rsid w:val="005B41B7"/>
    <w:rsid w:val="005B44F5"/>
    <w:rsid w:val="005B666D"/>
    <w:rsid w:val="005B6791"/>
    <w:rsid w:val="005B6D88"/>
    <w:rsid w:val="005B718F"/>
    <w:rsid w:val="005B752A"/>
    <w:rsid w:val="005C099A"/>
    <w:rsid w:val="005C116F"/>
    <w:rsid w:val="005C13B5"/>
    <w:rsid w:val="005C26D1"/>
    <w:rsid w:val="005C3173"/>
    <w:rsid w:val="005C31A5"/>
    <w:rsid w:val="005C3248"/>
    <w:rsid w:val="005C39E1"/>
    <w:rsid w:val="005C3F17"/>
    <w:rsid w:val="005C4740"/>
    <w:rsid w:val="005C5A45"/>
    <w:rsid w:val="005C6F78"/>
    <w:rsid w:val="005D0BEA"/>
    <w:rsid w:val="005D0FFC"/>
    <w:rsid w:val="005D251A"/>
    <w:rsid w:val="005D4916"/>
    <w:rsid w:val="005D52F0"/>
    <w:rsid w:val="005D703D"/>
    <w:rsid w:val="005D79E1"/>
    <w:rsid w:val="005E0641"/>
    <w:rsid w:val="005E0968"/>
    <w:rsid w:val="005E0D2B"/>
    <w:rsid w:val="005E10C9"/>
    <w:rsid w:val="005E1B95"/>
    <w:rsid w:val="005E1F0A"/>
    <w:rsid w:val="005E61DD"/>
    <w:rsid w:val="005E6321"/>
    <w:rsid w:val="005E681F"/>
    <w:rsid w:val="005F01CF"/>
    <w:rsid w:val="005F227B"/>
    <w:rsid w:val="005F5413"/>
    <w:rsid w:val="005F541F"/>
    <w:rsid w:val="005F661A"/>
    <w:rsid w:val="005F6EE8"/>
    <w:rsid w:val="005F7C6F"/>
    <w:rsid w:val="00600B9C"/>
    <w:rsid w:val="006018E0"/>
    <w:rsid w:val="006023DF"/>
    <w:rsid w:val="00602433"/>
    <w:rsid w:val="00602E96"/>
    <w:rsid w:val="0060398F"/>
    <w:rsid w:val="00605394"/>
    <w:rsid w:val="0060693B"/>
    <w:rsid w:val="006072BC"/>
    <w:rsid w:val="00610D4F"/>
    <w:rsid w:val="006117C6"/>
    <w:rsid w:val="00611CD2"/>
    <w:rsid w:val="00613AC6"/>
    <w:rsid w:val="00615AB9"/>
    <w:rsid w:val="00617602"/>
    <w:rsid w:val="00620ECD"/>
    <w:rsid w:val="00621FDD"/>
    <w:rsid w:val="00622B63"/>
    <w:rsid w:val="00622D62"/>
    <w:rsid w:val="00624A81"/>
    <w:rsid w:val="0062697F"/>
    <w:rsid w:val="00627881"/>
    <w:rsid w:val="00627F56"/>
    <w:rsid w:val="0063086D"/>
    <w:rsid w:val="00636181"/>
    <w:rsid w:val="00636BA9"/>
    <w:rsid w:val="0063727C"/>
    <w:rsid w:val="00637E99"/>
    <w:rsid w:val="006422AD"/>
    <w:rsid w:val="006430DA"/>
    <w:rsid w:val="0064322F"/>
    <w:rsid w:val="006449A5"/>
    <w:rsid w:val="00644F99"/>
    <w:rsid w:val="006463EE"/>
    <w:rsid w:val="00647A09"/>
    <w:rsid w:val="00650556"/>
    <w:rsid w:val="00654961"/>
    <w:rsid w:val="0065699B"/>
    <w:rsid w:val="00657DE0"/>
    <w:rsid w:val="006608C4"/>
    <w:rsid w:val="006612C2"/>
    <w:rsid w:val="00661400"/>
    <w:rsid w:val="00661FB8"/>
    <w:rsid w:val="00662548"/>
    <w:rsid w:val="006632F5"/>
    <w:rsid w:val="00665B75"/>
    <w:rsid w:val="00667F38"/>
    <w:rsid w:val="0067199F"/>
    <w:rsid w:val="006747D8"/>
    <w:rsid w:val="00674AEF"/>
    <w:rsid w:val="00675DB5"/>
    <w:rsid w:val="00676183"/>
    <w:rsid w:val="00676ED7"/>
    <w:rsid w:val="00677048"/>
    <w:rsid w:val="00680225"/>
    <w:rsid w:val="006807A5"/>
    <w:rsid w:val="006816BE"/>
    <w:rsid w:val="00685313"/>
    <w:rsid w:val="00690B44"/>
    <w:rsid w:val="006912F3"/>
    <w:rsid w:val="0069264A"/>
    <w:rsid w:val="00696E7A"/>
    <w:rsid w:val="0069775F"/>
    <w:rsid w:val="006A0900"/>
    <w:rsid w:val="006A0D14"/>
    <w:rsid w:val="006A47E5"/>
    <w:rsid w:val="006A59A5"/>
    <w:rsid w:val="006A6E9B"/>
    <w:rsid w:val="006A747C"/>
    <w:rsid w:val="006B1038"/>
    <w:rsid w:val="006B502E"/>
    <w:rsid w:val="006B56DC"/>
    <w:rsid w:val="006B5949"/>
    <w:rsid w:val="006B5AA9"/>
    <w:rsid w:val="006B7343"/>
    <w:rsid w:val="006B73C2"/>
    <w:rsid w:val="006B7C2A"/>
    <w:rsid w:val="006C03CD"/>
    <w:rsid w:val="006C23DA"/>
    <w:rsid w:val="006C250D"/>
    <w:rsid w:val="006C7898"/>
    <w:rsid w:val="006C7CA9"/>
    <w:rsid w:val="006D0F7B"/>
    <w:rsid w:val="006D1C5C"/>
    <w:rsid w:val="006D2A63"/>
    <w:rsid w:val="006D2DD5"/>
    <w:rsid w:val="006D4843"/>
    <w:rsid w:val="006D5824"/>
    <w:rsid w:val="006D6130"/>
    <w:rsid w:val="006D6DDA"/>
    <w:rsid w:val="006E099C"/>
    <w:rsid w:val="006E2055"/>
    <w:rsid w:val="006E2EBB"/>
    <w:rsid w:val="006E3D45"/>
    <w:rsid w:val="006E62B2"/>
    <w:rsid w:val="006E64F1"/>
    <w:rsid w:val="006E7629"/>
    <w:rsid w:val="006E7D58"/>
    <w:rsid w:val="006F0C99"/>
    <w:rsid w:val="006F1889"/>
    <w:rsid w:val="006F2801"/>
    <w:rsid w:val="006F5C71"/>
    <w:rsid w:val="006F7874"/>
    <w:rsid w:val="006F7BD3"/>
    <w:rsid w:val="007034D9"/>
    <w:rsid w:val="007044B2"/>
    <w:rsid w:val="00705932"/>
    <w:rsid w:val="007059DE"/>
    <w:rsid w:val="00712149"/>
    <w:rsid w:val="007149F9"/>
    <w:rsid w:val="0071531C"/>
    <w:rsid w:val="0071541F"/>
    <w:rsid w:val="007155F5"/>
    <w:rsid w:val="00715F71"/>
    <w:rsid w:val="007160E7"/>
    <w:rsid w:val="007162F2"/>
    <w:rsid w:val="007167D5"/>
    <w:rsid w:val="0071B66F"/>
    <w:rsid w:val="00720DD1"/>
    <w:rsid w:val="00722183"/>
    <w:rsid w:val="00723B7B"/>
    <w:rsid w:val="0072400B"/>
    <w:rsid w:val="007265FE"/>
    <w:rsid w:val="00726ACE"/>
    <w:rsid w:val="00726F54"/>
    <w:rsid w:val="00730009"/>
    <w:rsid w:val="00731192"/>
    <w:rsid w:val="00731353"/>
    <w:rsid w:val="00733A30"/>
    <w:rsid w:val="007372E2"/>
    <w:rsid w:val="007379E5"/>
    <w:rsid w:val="00742447"/>
    <w:rsid w:val="00743072"/>
    <w:rsid w:val="007450BF"/>
    <w:rsid w:val="00745AEE"/>
    <w:rsid w:val="00747028"/>
    <w:rsid w:val="007479EA"/>
    <w:rsid w:val="00747A98"/>
    <w:rsid w:val="00750F10"/>
    <w:rsid w:val="00751755"/>
    <w:rsid w:val="0075242F"/>
    <w:rsid w:val="00754F8B"/>
    <w:rsid w:val="00755B08"/>
    <w:rsid w:val="00756569"/>
    <w:rsid w:val="00756ADC"/>
    <w:rsid w:val="00757A58"/>
    <w:rsid w:val="00761CEF"/>
    <w:rsid w:val="007654FE"/>
    <w:rsid w:val="00765BA5"/>
    <w:rsid w:val="007664D4"/>
    <w:rsid w:val="00770D7E"/>
    <w:rsid w:val="00771293"/>
    <w:rsid w:val="00771883"/>
    <w:rsid w:val="007742CA"/>
    <w:rsid w:val="0077509B"/>
    <w:rsid w:val="00776DB1"/>
    <w:rsid w:val="0077768B"/>
    <w:rsid w:val="0077794B"/>
    <w:rsid w:val="00777FFB"/>
    <w:rsid w:val="00780CAD"/>
    <w:rsid w:val="00785474"/>
    <w:rsid w:val="00792DB8"/>
    <w:rsid w:val="00793BB0"/>
    <w:rsid w:val="00793C3E"/>
    <w:rsid w:val="00794ABD"/>
    <w:rsid w:val="00794DAE"/>
    <w:rsid w:val="00795C00"/>
    <w:rsid w:val="0079605E"/>
    <w:rsid w:val="0079618D"/>
    <w:rsid w:val="007A3F28"/>
    <w:rsid w:val="007A4C7D"/>
    <w:rsid w:val="007A7FAF"/>
    <w:rsid w:val="007B12EB"/>
    <w:rsid w:val="007B2EB6"/>
    <w:rsid w:val="007B3BF6"/>
    <w:rsid w:val="007B4578"/>
    <w:rsid w:val="007C00E8"/>
    <w:rsid w:val="007C0A4D"/>
    <w:rsid w:val="007C2360"/>
    <w:rsid w:val="007C5A7B"/>
    <w:rsid w:val="007C64EC"/>
    <w:rsid w:val="007C7F78"/>
    <w:rsid w:val="007D06F0"/>
    <w:rsid w:val="007D1713"/>
    <w:rsid w:val="007D35D0"/>
    <w:rsid w:val="007D3C25"/>
    <w:rsid w:val="007D45E3"/>
    <w:rsid w:val="007D5320"/>
    <w:rsid w:val="007D714B"/>
    <w:rsid w:val="007E065B"/>
    <w:rsid w:val="007E07EE"/>
    <w:rsid w:val="007E0A1D"/>
    <w:rsid w:val="007E28A9"/>
    <w:rsid w:val="007E4027"/>
    <w:rsid w:val="007E713F"/>
    <w:rsid w:val="007E7362"/>
    <w:rsid w:val="007E7404"/>
    <w:rsid w:val="007E7819"/>
    <w:rsid w:val="007E799D"/>
    <w:rsid w:val="007F0309"/>
    <w:rsid w:val="007F236E"/>
    <w:rsid w:val="007F2668"/>
    <w:rsid w:val="007F26E3"/>
    <w:rsid w:val="007F535C"/>
    <w:rsid w:val="007F54EB"/>
    <w:rsid w:val="007F5787"/>
    <w:rsid w:val="007F735C"/>
    <w:rsid w:val="007F74D3"/>
    <w:rsid w:val="00800556"/>
    <w:rsid w:val="00800972"/>
    <w:rsid w:val="00804475"/>
    <w:rsid w:val="0081159E"/>
    <w:rsid w:val="00811633"/>
    <w:rsid w:val="00814C00"/>
    <w:rsid w:val="00817E98"/>
    <w:rsid w:val="00821CEF"/>
    <w:rsid w:val="00823208"/>
    <w:rsid w:val="00823BDC"/>
    <w:rsid w:val="008251F8"/>
    <w:rsid w:val="00832828"/>
    <w:rsid w:val="00833049"/>
    <w:rsid w:val="008334AF"/>
    <w:rsid w:val="00834AEA"/>
    <w:rsid w:val="00835060"/>
    <w:rsid w:val="00835C28"/>
    <w:rsid w:val="00835C56"/>
    <w:rsid w:val="00835EF0"/>
    <w:rsid w:val="0083634B"/>
    <w:rsid w:val="0083645A"/>
    <w:rsid w:val="00836899"/>
    <w:rsid w:val="0083797D"/>
    <w:rsid w:val="00837AB9"/>
    <w:rsid w:val="00840B0F"/>
    <w:rsid w:val="00840FD0"/>
    <w:rsid w:val="0084590A"/>
    <w:rsid w:val="00845C0D"/>
    <w:rsid w:val="008512B1"/>
    <w:rsid w:val="008529D3"/>
    <w:rsid w:val="00854840"/>
    <w:rsid w:val="00854B10"/>
    <w:rsid w:val="0085555B"/>
    <w:rsid w:val="00855770"/>
    <w:rsid w:val="00855FDC"/>
    <w:rsid w:val="008573EC"/>
    <w:rsid w:val="00857AC8"/>
    <w:rsid w:val="00860F8A"/>
    <w:rsid w:val="0086143E"/>
    <w:rsid w:val="00861F63"/>
    <w:rsid w:val="00862963"/>
    <w:rsid w:val="0086299C"/>
    <w:rsid w:val="00862B74"/>
    <w:rsid w:val="00863578"/>
    <w:rsid w:val="00863FC4"/>
    <w:rsid w:val="008649DB"/>
    <w:rsid w:val="00867B8E"/>
    <w:rsid w:val="008703D3"/>
    <w:rsid w:val="00870A1B"/>
    <w:rsid w:val="008711AE"/>
    <w:rsid w:val="00872C63"/>
    <w:rsid w:val="00872FC8"/>
    <w:rsid w:val="00874817"/>
    <w:rsid w:val="00877397"/>
    <w:rsid w:val="00877D80"/>
    <w:rsid w:val="008801D3"/>
    <w:rsid w:val="00880325"/>
    <w:rsid w:val="008806F3"/>
    <w:rsid w:val="00881DBB"/>
    <w:rsid w:val="00882996"/>
    <w:rsid w:val="00883866"/>
    <w:rsid w:val="008845D0"/>
    <w:rsid w:val="0089014D"/>
    <w:rsid w:val="0089151A"/>
    <w:rsid w:val="00891EA6"/>
    <w:rsid w:val="00893B2C"/>
    <w:rsid w:val="00894F96"/>
    <w:rsid w:val="008A0784"/>
    <w:rsid w:val="008A0BFE"/>
    <w:rsid w:val="008A2753"/>
    <w:rsid w:val="008A3933"/>
    <w:rsid w:val="008A3942"/>
    <w:rsid w:val="008A7165"/>
    <w:rsid w:val="008A75AD"/>
    <w:rsid w:val="008B20A4"/>
    <w:rsid w:val="008B3713"/>
    <w:rsid w:val="008B43F2"/>
    <w:rsid w:val="008B54AB"/>
    <w:rsid w:val="008B54D9"/>
    <w:rsid w:val="008B61EA"/>
    <w:rsid w:val="008B63AA"/>
    <w:rsid w:val="008B6CFF"/>
    <w:rsid w:val="008B71BD"/>
    <w:rsid w:val="008B77A0"/>
    <w:rsid w:val="008C0C24"/>
    <w:rsid w:val="008C28A0"/>
    <w:rsid w:val="008C3D02"/>
    <w:rsid w:val="008C4ADD"/>
    <w:rsid w:val="008D06CB"/>
    <w:rsid w:val="008D0785"/>
    <w:rsid w:val="008D206E"/>
    <w:rsid w:val="008D279B"/>
    <w:rsid w:val="008D2B46"/>
    <w:rsid w:val="008D2E95"/>
    <w:rsid w:val="008D678E"/>
    <w:rsid w:val="008E33DA"/>
    <w:rsid w:val="008E3A7F"/>
    <w:rsid w:val="008E5F74"/>
    <w:rsid w:val="008E6B36"/>
    <w:rsid w:val="008E7DF8"/>
    <w:rsid w:val="008F04EE"/>
    <w:rsid w:val="008F0AB1"/>
    <w:rsid w:val="008F238A"/>
    <w:rsid w:val="008F2B3F"/>
    <w:rsid w:val="008F3284"/>
    <w:rsid w:val="008F36FB"/>
    <w:rsid w:val="008F5CC1"/>
    <w:rsid w:val="008F76BB"/>
    <w:rsid w:val="009006A0"/>
    <w:rsid w:val="00900E22"/>
    <w:rsid w:val="009023DF"/>
    <w:rsid w:val="0090293E"/>
    <w:rsid w:val="0090361B"/>
    <w:rsid w:val="00906A44"/>
    <w:rsid w:val="00907FB1"/>
    <w:rsid w:val="0091016B"/>
    <w:rsid w:val="00910408"/>
    <w:rsid w:val="00910B26"/>
    <w:rsid w:val="00912004"/>
    <w:rsid w:val="00912C73"/>
    <w:rsid w:val="0091352B"/>
    <w:rsid w:val="00914AE7"/>
    <w:rsid w:val="009238B9"/>
    <w:rsid w:val="00923A26"/>
    <w:rsid w:val="009274B4"/>
    <w:rsid w:val="00927E6B"/>
    <w:rsid w:val="00930E82"/>
    <w:rsid w:val="00933B0A"/>
    <w:rsid w:val="00934743"/>
    <w:rsid w:val="00934EA2"/>
    <w:rsid w:val="009373C9"/>
    <w:rsid w:val="00937C95"/>
    <w:rsid w:val="009403DD"/>
    <w:rsid w:val="00941B98"/>
    <w:rsid w:val="00942FC1"/>
    <w:rsid w:val="00943171"/>
    <w:rsid w:val="00943545"/>
    <w:rsid w:val="009440E6"/>
    <w:rsid w:val="00944410"/>
    <w:rsid w:val="00944A5C"/>
    <w:rsid w:val="00944A99"/>
    <w:rsid w:val="009457D8"/>
    <w:rsid w:val="00951816"/>
    <w:rsid w:val="00952A66"/>
    <w:rsid w:val="00953C32"/>
    <w:rsid w:val="00954D8D"/>
    <w:rsid w:val="00957F62"/>
    <w:rsid w:val="00961C9D"/>
    <w:rsid w:val="00964C68"/>
    <w:rsid w:val="009663A5"/>
    <w:rsid w:val="009666ED"/>
    <w:rsid w:val="00970A12"/>
    <w:rsid w:val="00970BD9"/>
    <w:rsid w:val="00970C3D"/>
    <w:rsid w:val="009737F9"/>
    <w:rsid w:val="009739BC"/>
    <w:rsid w:val="00974A94"/>
    <w:rsid w:val="00980394"/>
    <w:rsid w:val="00980AD1"/>
    <w:rsid w:val="00980AD6"/>
    <w:rsid w:val="009828A4"/>
    <w:rsid w:val="00985001"/>
    <w:rsid w:val="00986EBB"/>
    <w:rsid w:val="009907F3"/>
    <w:rsid w:val="00990A55"/>
    <w:rsid w:val="00992F9A"/>
    <w:rsid w:val="009944A9"/>
    <w:rsid w:val="009944BE"/>
    <w:rsid w:val="00996913"/>
    <w:rsid w:val="00996ACA"/>
    <w:rsid w:val="00997678"/>
    <w:rsid w:val="009A04EC"/>
    <w:rsid w:val="009A234F"/>
    <w:rsid w:val="009A291A"/>
    <w:rsid w:val="009A75C8"/>
    <w:rsid w:val="009B1C7C"/>
    <w:rsid w:val="009B28F2"/>
    <w:rsid w:val="009B35D4"/>
    <w:rsid w:val="009B364D"/>
    <w:rsid w:val="009B4730"/>
    <w:rsid w:val="009B5126"/>
    <w:rsid w:val="009B71C3"/>
    <w:rsid w:val="009B75FF"/>
    <w:rsid w:val="009C01DA"/>
    <w:rsid w:val="009C2E05"/>
    <w:rsid w:val="009C39A2"/>
    <w:rsid w:val="009C4821"/>
    <w:rsid w:val="009C492D"/>
    <w:rsid w:val="009C4D44"/>
    <w:rsid w:val="009C56E5"/>
    <w:rsid w:val="009C62DF"/>
    <w:rsid w:val="009C6F7B"/>
    <w:rsid w:val="009C733C"/>
    <w:rsid w:val="009D3343"/>
    <w:rsid w:val="009D3429"/>
    <w:rsid w:val="009D4C17"/>
    <w:rsid w:val="009E3086"/>
    <w:rsid w:val="009E3F7C"/>
    <w:rsid w:val="009E5FC8"/>
    <w:rsid w:val="009E687A"/>
    <w:rsid w:val="009E72E7"/>
    <w:rsid w:val="009F03EE"/>
    <w:rsid w:val="009F1542"/>
    <w:rsid w:val="00A00693"/>
    <w:rsid w:val="00A00AC6"/>
    <w:rsid w:val="00A019EE"/>
    <w:rsid w:val="00A02E5B"/>
    <w:rsid w:val="00A03335"/>
    <w:rsid w:val="00A039E0"/>
    <w:rsid w:val="00A03C5C"/>
    <w:rsid w:val="00A04FB0"/>
    <w:rsid w:val="00A053FD"/>
    <w:rsid w:val="00A066F1"/>
    <w:rsid w:val="00A1280A"/>
    <w:rsid w:val="00A1347B"/>
    <w:rsid w:val="00A141AF"/>
    <w:rsid w:val="00A1501B"/>
    <w:rsid w:val="00A1507C"/>
    <w:rsid w:val="00A15958"/>
    <w:rsid w:val="00A16D29"/>
    <w:rsid w:val="00A177DF"/>
    <w:rsid w:val="00A20E5E"/>
    <w:rsid w:val="00A20EE1"/>
    <w:rsid w:val="00A2101B"/>
    <w:rsid w:val="00A21E18"/>
    <w:rsid w:val="00A230B2"/>
    <w:rsid w:val="00A235FD"/>
    <w:rsid w:val="00A2618D"/>
    <w:rsid w:val="00A267CE"/>
    <w:rsid w:val="00A27146"/>
    <w:rsid w:val="00A30305"/>
    <w:rsid w:val="00A31315"/>
    <w:rsid w:val="00A31AC4"/>
    <w:rsid w:val="00A31D2D"/>
    <w:rsid w:val="00A32267"/>
    <w:rsid w:val="00A32291"/>
    <w:rsid w:val="00A33D45"/>
    <w:rsid w:val="00A34611"/>
    <w:rsid w:val="00A34772"/>
    <w:rsid w:val="00A35D6D"/>
    <w:rsid w:val="00A37733"/>
    <w:rsid w:val="00A4049B"/>
    <w:rsid w:val="00A40718"/>
    <w:rsid w:val="00A42711"/>
    <w:rsid w:val="00A43642"/>
    <w:rsid w:val="00A44D51"/>
    <w:rsid w:val="00A4600A"/>
    <w:rsid w:val="00A46A9C"/>
    <w:rsid w:val="00A51BA9"/>
    <w:rsid w:val="00A524E6"/>
    <w:rsid w:val="00A538A6"/>
    <w:rsid w:val="00A54C25"/>
    <w:rsid w:val="00A56C71"/>
    <w:rsid w:val="00A612BB"/>
    <w:rsid w:val="00A62F73"/>
    <w:rsid w:val="00A66411"/>
    <w:rsid w:val="00A67FB8"/>
    <w:rsid w:val="00A7027A"/>
    <w:rsid w:val="00A710E7"/>
    <w:rsid w:val="00A7140C"/>
    <w:rsid w:val="00A7372E"/>
    <w:rsid w:val="00A7380B"/>
    <w:rsid w:val="00A73D5B"/>
    <w:rsid w:val="00A74739"/>
    <w:rsid w:val="00A7486C"/>
    <w:rsid w:val="00A76372"/>
    <w:rsid w:val="00A76BD5"/>
    <w:rsid w:val="00A80568"/>
    <w:rsid w:val="00A807F0"/>
    <w:rsid w:val="00A80D65"/>
    <w:rsid w:val="00A81102"/>
    <w:rsid w:val="00A81F59"/>
    <w:rsid w:val="00A8365B"/>
    <w:rsid w:val="00A83E00"/>
    <w:rsid w:val="00A853F5"/>
    <w:rsid w:val="00A9138A"/>
    <w:rsid w:val="00A9323C"/>
    <w:rsid w:val="00A93364"/>
    <w:rsid w:val="00A93B85"/>
    <w:rsid w:val="00A96F7D"/>
    <w:rsid w:val="00AA01B4"/>
    <w:rsid w:val="00AA0550"/>
    <w:rsid w:val="00AA05FD"/>
    <w:rsid w:val="00AA0B18"/>
    <w:rsid w:val="00AA2657"/>
    <w:rsid w:val="00AA4774"/>
    <w:rsid w:val="00AA5C90"/>
    <w:rsid w:val="00AA666F"/>
    <w:rsid w:val="00AA7A11"/>
    <w:rsid w:val="00AA7C27"/>
    <w:rsid w:val="00AB012C"/>
    <w:rsid w:val="00AB15BE"/>
    <w:rsid w:val="00AB4006"/>
    <w:rsid w:val="00AB4927"/>
    <w:rsid w:val="00AB4EF9"/>
    <w:rsid w:val="00AB6BED"/>
    <w:rsid w:val="00AC007A"/>
    <w:rsid w:val="00AC034F"/>
    <w:rsid w:val="00AC0A7A"/>
    <w:rsid w:val="00AC1A8E"/>
    <w:rsid w:val="00AC25F9"/>
    <w:rsid w:val="00AC28E6"/>
    <w:rsid w:val="00AC4C17"/>
    <w:rsid w:val="00AC4DB5"/>
    <w:rsid w:val="00AC62B6"/>
    <w:rsid w:val="00AD0AEB"/>
    <w:rsid w:val="00AD0FBB"/>
    <w:rsid w:val="00AD28BE"/>
    <w:rsid w:val="00AD3068"/>
    <w:rsid w:val="00AD4C7B"/>
    <w:rsid w:val="00AD61D4"/>
    <w:rsid w:val="00AD70F8"/>
    <w:rsid w:val="00AD736B"/>
    <w:rsid w:val="00AD7518"/>
    <w:rsid w:val="00AD7519"/>
    <w:rsid w:val="00AE6C3C"/>
    <w:rsid w:val="00AF17A2"/>
    <w:rsid w:val="00AF2081"/>
    <w:rsid w:val="00AF2664"/>
    <w:rsid w:val="00AF298A"/>
    <w:rsid w:val="00AF3DED"/>
    <w:rsid w:val="00AF5785"/>
    <w:rsid w:val="00AF57EF"/>
    <w:rsid w:val="00AF6406"/>
    <w:rsid w:val="00B004E5"/>
    <w:rsid w:val="00B00526"/>
    <w:rsid w:val="00B00F59"/>
    <w:rsid w:val="00B0365E"/>
    <w:rsid w:val="00B053F3"/>
    <w:rsid w:val="00B060DE"/>
    <w:rsid w:val="00B0782B"/>
    <w:rsid w:val="00B10A09"/>
    <w:rsid w:val="00B124F9"/>
    <w:rsid w:val="00B12BDB"/>
    <w:rsid w:val="00B136AA"/>
    <w:rsid w:val="00B13FFC"/>
    <w:rsid w:val="00B15F9D"/>
    <w:rsid w:val="00B17325"/>
    <w:rsid w:val="00B17BDC"/>
    <w:rsid w:val="00B20035"/>
    <w:rsid w:val="00B20480"/>
    <w:rsid w:val="00B20F6D"/>
    <w:rsid w:val="00B21BEA"/>
    <w:rsid w:val="00B2212C"/>
    <w:rsid w:val="00B232A2"/>
    <w:rsid w:val="00B247C3"/>
    <w:rsid w:val="00B254B2"/>
    <w:rsid w:val="00B27180"/>
    <w:rsid w:val="00B27EA8"/>
    <w:rsid w:val="00B305A6"/>
    <w:rsid w:val="00B30ECC"/>
    <w:rsid w:val="00B33002"/>
    <w:rsid w:val="00B33B94"/>
    <w:rsid w:val="00B35A1C"/>
    <w:rsid w:val="00B35BC5"/>
    <w:rsid w:val="00B3676E"/>
    <w:rsid w:val="00B36A3C"/>
    <w:rsid w:val="00B4012B"/>
    <w:rsid w:val="00B41367"/>
    <w:rsid w:val="00B4144D"/>
    <w:rsid w:val="00B423AE"/>
    <w:rsid w:val="00B435C4"/>
    <w:rsid w:val="00B43B8E"/>
    <w:rsid w:val="00B43D73"/>
    <w:rsid w:val="00B44083"/>
    <w:rsid w:val="00B441B1"/>
    <w:rsid w:val="00B4478C"/>
    <w:rsid w:val="00B45182"/>
    <w:rsid w:val="00B45C98"/>
    <w:rsid w:val="00B461DE"/>
    <w:rsid w:val="00B47CD6"/>
    <w:rsid w:val="00B50520"/>
    <w:rsid w:val="00B5159A"/>
    <w:rsid w:val="00B521A2"/>
    <w:rsid w:val="00B5544A"/>
    <w:rsid w:val="00B56B21"/>
    <w:rsid w:val="00B578BA"/>
    <w:rsid w:val="00B57C1A"/>
    <w:rsid w:val="00B602FF"/>
    <w:rsid w:val="00B61D6C"/>
    <w:rsid w:val="00B623B9"/>
    <w:rsid w:val="00B639E9"/>
    <w:rsid w:val="00B6598C"/>
    <w:rsid w:val="00B6607A"/>
    <w:rsid w:val="00B66F17"/>
    <w:rsid w:val="00B67EE9"/>
    <w:rsid w:val="00B71863"/>
    <w:rsid w:val="00B7226E"/>
    <w:rsid w:val="00B7345F"/>
    <w:rsid w:val="00B76093"/>
    <w:rsid w:val="00B817CD"/>
    <w:rsid w:val="00B81D00"/>
    <w:rsid w:val="00B825BC"/>
    <w:rsid w:val="00B825CB"/>
    <w:rsid w:val="00B82601"/>
    <w:rsid w:val="00B830CC"/>
    <w:rsid w:val="00B850F8"/>
    <w:rsid w:val="00B8601E"/>
    <w:rsid w:val="00B86916"/>
    <w:rsid w:val="00B87DA1"/>
    <w:rsid w:val="00B9027C"/>
    <w:rsid w:val="00B9105F"/>
    <w:rsid w:val="00B911B2"/>
    <w:rsid w:val="00B917E9"/>
    <w:rsid w:val="00B92195"/>
    <w:rsid w:val="00B92520"/>
    <w:rsid w:val="00B93B4D"/>
    <w:rsid w:val="00B951D0"/>
    <w:rsid w:val="00B95DA2"/>
    <w:rsid w:val="00B97BE8"/>
    <w:rsid w:val="00B97C6E"/>
    <w:rsid w:val="00BA2049"/>
    <w:rsid w:val="00BA231A"/>
    <w:rsid w:val="00BA2D00"/>
    <w:rsid w:val="00BA2FE8"/>
    <w:rsid w:val="00BA7127"/>
    <w:rsid w:val="00BB0CD0"/>
    <w:rsid w:val="00BB11B2"/>
    <w:rsid w:val="00BB1F53"/>
    <w:rsid w:val="00BB29C8"/>
    <w:rsid w:val="00BB2CB2"/>
    <w:rsid w:val="00BB3A95"/>
    <w:rsid w:val="00BB4133"/>
    <w:rsid w:val="00BB42AD"/>
    <w:rsid w:val="00BB4491"/>
    <w:rsid w:val="00BB66AA"/>
    <w:rsid w:val="00BB66DD"/>
    <w:rsid w:val="00BB6DD0"/>
    <w:rsid w:val="00BC00FB"/>
    <w:rsid w:val="00BC0382"/>
    <w:rsid w:val="00BC1DBF"/>
    <w:rsid w:val="00BC31AC"/>
    <w:rsid w:val="00BC401E"/>
    <w:rsid w:val="00BC6488"/>
    <w:rsid w:val="00BD11D6"/>
    <w:rsid w:val="00BD1B9C"/>
    <w:rsid w:val="00BD239D"/>
    <w:rsid w:val="00BD2CA3"/>
    <w:rsid w:val="00BD31E7"/>
    <w:rsid w:val="00BD4A2B"/>
    <w:rsid w:val="00BD50BD"/>
    <w:rsid w:val="00BD618D"/>
    <w:rsid w:val="00BD62C6"/>
    <w:rsid w:val="00BE34A3"/>
    <w:rsid w:val="00BE4BF4"/>
    <w:rsid w:val="00BE7042"/>
    <w:rsid w:val="00BE7870"/>
    <w:rsid w:val="00BF095D"/>
    <w:rsid w:val="00BF0F64"/>
    <w:rsid w:val="00BF3618"/>
    <w:rsid w:val="00BF4BCE"/>
    <w:rsid w:val="00BF4F16"/>
    <w:rsid w:val="00BF55D5"/>
    <w:rsid w:val="00BF65C9"/>
    <w:rsid w:val="00C0018F"/>
    <w:rsid w:val="00C002F9"/>
    <w:rsid w:val="00C02828"/>
    <w:rsid w:val="00C03779"/>
    <w:rsid w:val="00C04579"/>
    <w:rsid w:val="00C05634"/>
    <w:rsid w:val="00C0630E"/>
    <w:rsid w:val="00C06C35"/>
    <w:rsid w:val="00C07B4E"/>
    <w:rsid w:val="00C10393"/>
    <w:rsid w:val="00C124A3"/>
    <w:rsid w:val="00C14872"/>
    <w:rsid w:val="00C14874"/>
    <w:rsid w:val="00C166D0"/>
    <w:rsid w:val="00C16D39"/>
    <w:rsid w:val="00C20466"/>
    <w:rsid w:val="00C214ED"/>
    <w:rsid w:val="00C227EF"/>
    <w:rsid w:val="00C234E6"/>
    <w:rsid w:val="00C246B1"/>
    <w:rsid w:val="00C249EE"/>
    <w:rsid w:val="00C24E20"/>
    <w:rsid w:val="00C27B17"/>
    <w:rsid w:val="00C31059"/>
    <w:rsid w:val="00C31F71"/>
    <w:rsid w:val="00C324A8"/>
    <w:rsid w:val="00C349B4"/>
    <w:rsid w:val="00C35C13"/>
    <w:rsid w:val="00C363D7"/>
    <w:rsid w:val="00C36662"/>
    <w:rsid w:val="00C40DF2"/>
    <w:rsid w:val="00C41586"/>
    <w:rsid w:val="00C41858"/>
    <w:rsid w:val="00C46B64"/>
    <w:rsid w:val="00C50089"/>
    <w:rsid w:val="00C53701"/>
    <w:rsid w:val="00C54517"/>
    <w:rsid w:val="00C55DBA"/>
    <w:rsid w:val="00C562D3"/>
    <w:rsid w:val="00C56E3C"/>
    <w:rsid w:val="00C57B08"/>
    <w:rsid w:val="00C60AEF"/>
    <w:rsid w:val="00C6240E"/>
    <w:rsid w:val="00C6439C"/>
    <w:rsid w:val="00C64CD8"/>
    <w:rsid w:val="00C6697E"/>
    <w:rsid w:val="00C703D4"/>
    <w:rsid w:val="00C720B0"/>
    <w:rsid w:val="00C73347"/>
    <w:rsid w:val="00C75E0E"/>
    <w:rsid w:val="00C75FF8"/>
    <w:rsid w:val="00C76A69"/>
    <w:rsid w:val="00C76A6C"/>
    <w:rsid w:val="00C77589"/>
    <w:rsid w:val="00C80652"/>
    <w:rsid w:val="00C80A64"/>
    <w:rsid w:val="00C843A7"/>
    <w:rsid w:val="00C84814"/>
    <w:rsid w:val="00C8656E"/>
    <w:rsid w:val="00C87447"/>
    <w:rsid w:val="00C90579"/>
    <w:rsid w:val="00C911AC"/>
    <w:rsid w:val="00C9525E"/>
    <w:rsid w:val="00C976EE"/>
    <w:rsid w:val="00C97C68"/>
    <w:rsid w:val="00CA18A2"/>
    <w:rsid w:val="00CA1A47"/>
    <w:rsid w:val="00CA36C5"/>
    <w:rsid w:val="00CA48CF"/>
    <w:rsid w:val="00CB04C0"/>
    <w:rsid w:val="00CB07B0"/>
    <w:rsid w:val="00CB10B7"/>
    <w:rsid w:val="00CB1404"/>
    <w:rsid w:val="00CB1D84"/>
    <w:rsid w:val="00CB3537"/>
    <w:rsid w:val="00CB40E5"/>
    <w:rsid w:val="00CB5561"/>
    <w:rsid w:val="00CB615D"/>
    <w:rsid w:val="00CB6664"/>
    <w:rsid w:val="00CB765D"/>
    <w:rsid w:val="00CC1236"/>
    <w:rsid w:val="00CC14EF"/>
    <w:rsid w:val="00CC247A"/>
    <w:rsid w:val="00CC41F6"/>
    <w:rsid w:val="00CC4AC5"/>
    <w:rsid w:val="00CC55E7"/>
    <w:rsid w:val="00CC7881"/>
    <w:rsid w:val="00CD0952"/>
    <w:rsid w:val="00CD0B25"/>
    <w:rsid w:val="00CD14ED"/>
    <w:rsid w:val="00CD2733"/>
    <w:rsid w:val="00CD2A68"/>
    <w:rsid w:val="00CD2BC1"/>
    <w:rsid w:val="00CD2D42"/>
    <w:rsid w:val="00CD3139"/>
    <w:rsid w:val="00CD325A"/>
    <w:rsid w:val="00CD4117"/>
    <w:rsid w:val="00CD5994"/>
    <w:rsid w:val="00CD6E5D"/>
    <w:rsid w:val="00CD7BC2"/>
    <w:rsid w:val="00CD7EC4"/>
    <w:rsid w:val="00CE1F1F"/>
    <w:rsid w:val="00CE5ACA"/>
    <w:rsid w:val="00CE5DEC"/>
    <w:rsid w:val="00CE5E47"/>
    <w:rsid w:val="00CE71ED"/>
    <w:rsid w:val="00CE7A25"/>
    <w:rsid w:val="00CF020F"/>
    <w:rsid w:val="00CF0DB3"/>
    <w:rsid w:val="00CF2265"/>
    <w:rsid w:val="00CF269A"/>
    <w:rsid w:val="00CF2A29"/>
    <w:rsid w:val="00CF2B5B"/>
    <w:rsid w:val="00CF33C0"/>
    <w:rsid w:val="00CF397D"/>
    <w:rsid w:val="00CF4A84"/>
    <w:rsid w:val="00CF77BE"/>
    <w:rsid w:val="00D00C3D"/>
    <w:rsid w:val="00D00E2A"/>
    <w:rsid w:val="00D02C81"/>
    <w:rsid w:val="00D0723D"/>
    <w:rsid w:val="00D10D23"/>
    <w:rsid w:val="00D12080"/>
    <w:rsid w:val="00D12A27"/>
    <w:rsid w:val="00D147E8"/>
    <w:rsid w:val="00D14CE0"/>
    <w:rsid w:val="00D15E0D"/>
    <w:rsid w:val="00D217E0"/>
    <w:rsid w:val="00D227A4"/>
    <w:rsid w:val="00D22A68"/>
    <w:rsid w:val="00D233CB"/>
    <w:rsid w:val="00D25438"/>
    <w:rsid w:val="00D2632F"/>
    <w:rsid w:val="00D278B9"/>
    <w:rsid w:val="00D27D0F"/>
    <w:rsid w:val="00D30756"/>
    <w:rsid w:val="00D31FDA"/>
    <w:rsid w:val="00D3351B"/>
    <w:rsid w:val="00D33DC1"/>
    <w:rsid w:val="00D34451"/>
    <w:rsid w:val="00D36333"/>
    <w:rsid w:val="00D364C7"/>
    <w:rsid w:val="00D371E9"/>
    <w:rsid w:val="00D41927"/>
    <w:rsid w:val="00D42CDE"/>
    <w:rsid w:val="00D42FEE"/>
    <w:rsid w:val="00D44DE2"/>
    <w:rsid w:val="00D45A9C"/>
    <w:rsid w:val="00D460C4"/>
    <w:rsid w:val="00D46F1F"/>
    <w:rsid w:val="00D477C1"/>
    <w:rsid w:val="00D47ADA"/>
    <w:rsid w:val="00D51165"/>
    <w:rsid w:val="00D53EAE"/>
    <w:rsid w:val="00D541E4"/>
    <w:rsid w:val="00D5651D"/>
    <w:rsid w:val="00D56836"/>
    <w:rsid w:val="00D61378"/>
    <w:rsid w:val="00D62D8E"/>
    <w:rsid w:val="00D62DE7"/>
    <w:rsid w:val="00D634E2"/>
    <w:rsid w:val="00D635D3"/>
    <w:rsid w:val="00D63BEF"/>
    <w:rsid w:val="00D652D3"/>
    <w:rsid w:val="00D67A2E"/>
    <w:rsid w:val="00D71278"/>
    <w:rsid w:val="00D717BE"/>
    <w:rsid w:val="00D724BE"/>
    <w:rsid w:val="00D73CFE"/>
    <w:rsid w:val="00D74898"/>
    <w:rsid w:val="00D75875"/>
    <w:rsid w:val="00D75941"/>
    <w:rsid w:val="00D75EB3"/>
    <w:rsid w:val="00D7646C"/>
    <w:rsid w:val="00D801ED"/>
    <w:rsid w:val="00D82FB3"/>
    <w:rsid w:val="00D83BF5"/>
    <w:rsid w:val="00D8609B"/>
    <w:rsid w:val="00D864B0"/>
    <w:rsid w:val="00D867A2"/>
    <w:rsid w:val="00D87035"/>
    <w:rsid w:val="00D87914"/>
    <w:rsid w:val="00D87E9C"/>
    <w:rsid w:val="00D90747"/>
    <w:rsid w:val="00D91F0E"/>
    <w:rsid w:val="00D925C2"/>
    <w:rsid w:val="00D936BC"/>
    <w:rsid w:val="00D95281"/>
    <w:rsid w:val="00D95534"/>
    <w:rsid w:val="00D95BDD"/>
    <w:rsid w:val="00D9621A"/>
    <w:rsid w:val="00D96530"/>
    <w:rsid w:val="00D96B4B"/>
    <w:rsid w:val="00D96E3E"/>
    <w:rsid w:val="00D970CE"/>
    <w:rsid w:val="00DA2345"/>
    <w:rsid w:val="00DA273A"/>
    <w:rsid w:val="00DA320E"/>
    <w:rsid w:val="00DA3AC1"/>
    <w:rsid w:val="00DA3AC4"/>
    <w:rsid w:val="00DA453A"/>
    <w:rsid w:val="00DA5583"/>
    <w:rsid w:val="00DA561A"/>
    <w:rsid w:val="00DA5924"/>
    <w:rsid w:val="00DA5C6F"/>
    <w:rsid w:val="00DA6B46"/>
    <w:rsid w:val="00DA7078"/>
    <w:rsid w:val="00DA720D"/>
    <w:rsid w:val="00DA7B53"/>
    <w:rsid w:val="00DB1086"/>
    <w:rsid w:val="00DB2FB8"/>
    <w:rsid w:val="00DB350A"/>
    <w:rsid w:val="00DB4598"/>
    <w:rsid w:val="00DB48D2"/>
    <w:rsid w:val="00DB4E0A"/>
    <w:rsid w:val="00DB6B9C"/>
    <w:rsid w:val="00DB71F7"/>
    <w:rsid w:val="00DB750F"/>
    <w:rsid w:val="00DC19DC"/>
    <w:rsid w:val="00DC2A65"/>
    <w:rsid w:val="00DC3758"/>
    <w:rsid w:val="00DC3FC1"/>
    <w:rsid w:val="00DC574F"/>
    <w:rsid w:val="00DC6EEA"/>
    <w:rsid w:val="00DD08B4"/>
    <w:rsid w:val="00DD3A3B"/>
    <w:rsid w:val="00DD3A46"/>
    <w:rsid w:val="00DD44AF"/>
    <w:rsid w:val="00DD603D"/>
    <w:rsid w:val="00DE2AC3"/>
    <w:rsid w:val="00DE3A8C"/>
    <w:rsid w:val="00DE434C"/>
    <w:rsid w:val="00DE5692"/>
    <w:rsid w:val="00DE5E67"/>
    <w:rsid w:val="00DE7766"/>
    <w:rsid w:val="00DE79F1"/>
    <w:rsid w:val="00DF02A0"/>
    <w:rsid w:val="00DF1D17"/>
    <w:rsid w:val="00DF1E46"/>
    <w:rsid w:val="00DF21DF"/>
    <w:rsid w:val="00DF250A"/>
    <w:rsid w:val="00DF2D37"/>
    <w:rsid w:val="00DF2D60"/>
    <w:rsid w:val="00DF511E"/>
    <w:rsid w:val="00DF6F8E"/>
    <w:rsid w:val="00E02014"/>
    <w:rsid w:val="00E027C0"/>
    <w:rsid w:val="00E037D3"/>
    <w:rsid w:val="00E03C94"/>
    <w:rsid w:val="00E03CF8"/>
    <w:rsid w:val="00E05ED3"/>
    <w:rsid w:val="00E06465"/>
    <w:rsid w:val="00E06AEA"/>
    <w:rsid w:val="00E07105"/>
    <w:rsid w:val="00E07FB0"/>
    <w:rsid w:val="00E11094"/>
    <w:rsid w:val="00E11115"/>
    <w:rsid w:val="00E11D32"/>
    <w:rsid w:val="00E12074"/>
    <w:rsid w:val="00E1307C"/>
    <w:rsid w:val="00E156C2"/>
    <w:rsid w:val="00E17BAD"/>
    <w:rsid w:val="00E21022"/>
    <w:rsid w:val="00E21B22"/>
    <w:rsid w:val="00E239BD"/>
    <w:rsid w:val="00E241C9"/>
    <w:rsid w:val="00E25D92"/>
    <w:rsid w:val="00E26226"/>
    <w:rsid w:val="00E2698C"/>
    <w:rsid w:val="00E31B77"/>
    <w:rsid w:val="00E35525"/>
    <w:rsid w:val="00E358BA"/>
    <w:rsid w:val="00E36E67"/>
    <w:rsid w:val="00E378D8"/>
    <w:rsid w:val="00E4021C"/>
    <w:rsid w:val="00E4059F"/>
    <w:rsid w:val="00E407FC"/>
    <w:rsid w:val="00E41101"/>
    <w:rsid w:val="00E4165C"/>
    <w:rsid w:val="00E41C75"/>
    <w:rsid w:val="00E422AC"/>
    <w:rsid w:val="00E425D0"/>
    <w:rsid w:val="00E45D05"/>
    <w:rsid w:val="00E528F8"/>
    <w:rsid w:val="00E5442B"/>
    <w:rsid w:val="00E54C6C"/>
    <w:rsid w:val="00E55816"/>
    <w:rsid w:val="00E55AEF"/>
    <w:rsid w:val="00E56958"/>
    <w:rsid w:val="00E60430"/>
    <w:rsid w:val="00E6123A"/>
    <w:rsid w:val="00E61442"/>
    <w:rsid w:val="00E641C1"/>
    <w:rsid w:val="00E648B3"/>
    <w:rsid w:val="00E64B4B"/>
    <w:rsid w:val="00E66A93"/>
    <w:rsid w:val="00E66E70"/>
    <w:rsid w:val="00E67E9B"/>
    <w:rsid w:val="00E70972"/>
    <w:rsid w:val="00E71B64"/>
    <w:rsid w:val="00E7675B"/>
    <w:rsid w:val="00E77DE2"/>
    <w:rsid w:val="00E81961"/>
    <w:rsid w:val="00E81AE3"/>
    <w:rsid w:val="00E82167"/>
    <w:rsid w:val="00E82877"/>
    <w:rsid w:val="00E82BCE"/>
    <w:rsid w:val="00E83BBB"/>
    <w:rsid w:val="00E84088"/>
    <w:rsid w:val="00E84F5F"/>
    <w:rsid w:val="00E8621A"/>
    <w:rsid w:val="00E90BE9"/>
    <w:rsid w:val="00E90C5D"/>
    <w:rsid w:val="00E974C5"/>
    <w:rsid w:val="00E976C1"/>
    <w:rsid w:val="00EA025D"/>
    <w:rsid w:val="00EA07F0"/>
    <w:rsid w:val="00EA12E5"/>
    <w:rsid w:val="00EA2136"/>
    <w:rsid w:val="00EA36A2"/>
    <w:rsid w:val="00EA3D99"/>
    <w:rsid w:val="00EA444C"/>
    <w:rsid w:val="00EA4C7B"/>
    <w:rsid w:val="00EA66A4"/>
    <w:rsid w:val="00EB00F7"/>
    <w:rsid w:val="00EB0E5E"/>
    <w:rsid w:val="00EB2238"/>
    <w:rsid w:val="00EB4C45"/>
    <w:rsid w:val="00EB6528"/>
    <w:rsid w:val="00EB6D0F"/>
    <w:rsid w:val="00EC00DF"/>
    <w:rsid w:val="00EC0FC2"/>
    <w:rsid w:val="00EC136A"/>
    <w:rsid w:val="00EC1927"/>
    <w:rsid w:val="00EC328F"/>
    <w:rsid w:val="00EC3585"/>
    <w:rsid w:val="00EC6B65"/>
    <w:rsid w:val="00EC6FC1"/>
    <w:rsid w:val="00ED086C"/>
    <w:rsid w:val="00ED29AB"/>
    <w:rsid w:val="00ED335C"/>
    <w:rsid w:val="00ED3F51"/>
    <w:rsid w:val="00ED44A8"/>
    <w:rsid w:val="00ED5AAF"/>
    <w:rsid w:val="00ED7EFB"/>
    <w:rsid w:val="00EE1B67"/>
    <w:rsid w:val="00EE3198"/>
    <w:rsid w:val="00EE4646"/>
    <w:rsid w:val="00EE4CB3"/>
    <w:rsid w:val="00EE50A2"/>
    <w:rsid w:val="00EE57C3"/>
    <w:rsid w:val="00EE67EC"/>
    <w:rsid w:val="00EF0DFB"/>
    <w:rsid w:val="00EF1D82"/>
    <w:rsid w:val="00EF240E"/>
    <w:rsid w:val="00EF33D5"/>
    <w:rsid w:val="00EF481F"/>
    <w:rsid w:val="00EF598E"/>
    <w:rsid w:val="00F000EA"/>
    <w:rsid w:val="00F00F9D"/>
    <w:rsid w:val="00F01205"/>
    <w:rsid w:val="00F02766"/>
    <w:rsid w:val="00F03EB7"/>
    <w:rsid w:val="00F03F4A"/>
    <w:rsid w:val="00F04067"/>
    <w:rsid w:val="00F0520E"/>
    <w:rsid w:val="00F0540E"/>
    <w:rsid w:val="00F05BD4"/>
    <w:rsid w:val="00F05DC1"/>
    <w:rsid w:val="00F07F46"/>
    <w:rsid w:val="00F11A98"/>
    <w:rsid w:val="00F13242"/>
    <w:rsid w:val="00F1337E"/>
    <w:rsid w:val="00F1463E"/>
    <w:rsid w:val="00F14693"/>
    <w:rsid w:val="00F147AB"/>
    <w:rsid w:val="00F15368"/>
    <w:rsid w:val="00F15E05"/>
    <w:rsid w:val="00F16CE0"/>
    <w:rsid w:val="00F16F35"/>
    <w:rsid w:val="00F20CA2"/>
    <w:rsid w:val="00F20D72"/>
    <w:rsid w:val="00F2166D"/>
    <w:rsid w:val="00F219A2"/>
    <w:rsid w:val="00F21A1D"/>
    <w:rsid w:val="00F21D10"/>
    <w:rsid w:val="00F24339"/>
    <w:rsid w:val="00F25E6D"/>
    <w:rsid w:val="00F277F4"/>
    <w:rsid w:val="00F277F9"/>
    <w:rsid w:val="00F278B7"/>
    <w:rsid w:val="00F339E3"/>
    <w:rsid w:val="00F340C8"/>
    <w:rsid w:val="00F349CB"/>
    <w:rsid w:val="00F35235"/>
    <w:rsid w:val="00F354F7"/>
    <w:rsid w:val="00F357E0"/>
    <w:rsid w:val="00F36450"/>
    <w:rsid w:val="00F425FA"/>
    <w:rsid w:val="00F45892"/>
    <w:rsid w:val="00F50932"/>
    <w:rsid w:val="00F53615"/>
    <w:rsid w:val="00F56BC6"/>
    <w:rsid w:val="00F579D6"/>
    <w:rsid w:val="00F57A01"/>
    <w:rsid w:val="00F6078F"/>
    <w:rsid w:val="00F61818"/>
    <w:rsid w:val="00F623D9"/>
    <w:rsid w:val="00F64274"/>
    <w:rsid w:val="00F64DBC"/>
    <w:rsid w:val="00F659A6"/>
    <w:rsid w:val="00F659E0"/>
    <w:rsid w:val="00F65C19"/>
    <w:rsid w:val="00F66357"/>
    <w:rsid w:val="00F6660F"/>
    <w:rsid w:val="00F66B3A"/>
    <w:rsid w:val="00F67276"/>
    <w:rsid w:val="00F7033D"/>
    <w:rsid w:val="00F7338B"/>
    <w:rsid w:val="00F7440E"/>
    <w:rsid w:val="00F76603"/>
    <w:rsid w:val="00F772D4"/>
    <w:rsid w:val="00F806C6"/>
    <w:rsid w:val="00F808C6"/>
    <w:rsid w:val="00F826D7"/>
    <w:rsid w:val="00F8326E"/>
    <w:rsid w:val="00F83F60"/>
    <w:rsid w:val="00F8439A"/>
    <w:rsid w:val="00F8476E"/>
    <w:rsid w:val="00F848EE"/>
    <w:rsid w:val="00F84DF8"/>
    <w:rsid w:val="00F91898"/>
    <w:rsid w:val="00F927C3"/>
    <w:rsid w:val="00F94FEF"/>
    <w:rsid w:val="00F96056"/>
    <w:rsid w:val="00F96B16"/>
    <w:rsid w:val="00F971FB"/>
    <w:rsid w:val="00FA1D7B"/>
    <w:rsid w:val="00FA21D1"/>
    <w:rsid w:val="00FA3C20"/>
    <w:rsid w:val="00FA4CD4"/>
    <w:rsid w:val="00FA579C"/>
    <w:rsid w:val="00FA668B"/>
    <w:rsid w:val="00FA7820"/>
    <w:rsid w:val="00FA7A21"/>
    <w:rsid w:val="00FB00AB"/>
    <w:rsid w:val="00FB017E"/>
    <w:rsid w:val="00FB10C4"/>
    <w:rsid w:val="00FB17BB"/>
    <w:rsid w:val="00FB20E0"/>
    <w:rsid w:val="00FB34B9"/>
    <w:rsid w:val="00FC0981"/>
    <w:rsid w:val="00FC0BEF"/>
    <w:rsid w:val="00FC24DA"/>
    <w:rsid w:val="00FC4678"/>
    <w:rsid w:val="00FC6545"/>
    <w:rsid w:val="00FC69DC"/>
    <w:rsid w:val="00FC73AE"/>
    <w:rsid w:val="00FD0183"/>
    <w:rsid w:val="00FD037B"/>
    <w:rsid w:val="00FD0CA1"/>
    <w:rsid w:val="00FD130D"/>
    <w:rsid w:val="00FD2546"/>
    <w:rsid w:val="00FD3663"/>
    <w:rsid w:val="00FD3A5B"/>
    <w:rsid w:val="00FD717C"/>
    <w:rsid w:val="00FD772E"/>
    <w:rsid w:val="00FE3346"/>
    <w:rsid w:val="00FE3926"/>
    <w:rsid w:val="00FE399E"/>
    <w:rsid w:val="00FE41D1"/>
    <w:rsid w:val="00FE43D6"/>
    <w:rsid w:val="00FE48BE"/>
    <w:rsid w:val="00FE7205"/>
    <w:rsid w:val="00FE78C7"/>
    <w:rsid w:val="00FF15AD"/>
    <w:rsid w:val="00FF21ED"/>
    <w:rsid w:val="00FF220A"/>
    <w:rsid w:val="00FF2A26"/>
    <w:rsid w:val="00FF3C51"/>
    <w:rsid w:val="00FF3D55"/>
    <w:rsid w:val="00FF3EC0"/>
    <w:rsid w:val="00FF43AC"/>
    <w:rsid w:val="00FF44F4"/>
    <w:rsid w:val="00FF791D"/>
    <w:rsid w:val="00FF7C84"/>
    <w:rsid w:val="012021FB"/>
    <w:rsid w:val="01A94E23"/>
    <w:rsid w:val="02222AE6"/>
    <w:rsid w:val="02509F3B"/>
    <w:rsid w:val="0394AD04"/>
    <w:rsid w:val="0395EDCC"/>
    <w:rsid w:val="0442FF4A"/>
    <w:rsid w:val="051484DE"/>
    <w:rsid w:val="0516397E"/>
    <w:rsid w:val="05855252"/>
    <w:rsid w:val="05BD6DE4"/>
    <w:rsid w:val="07056549"/>
    <w:rsid w:val="07164835"/>
    <w:rsid w:val="07870492"/>
    <w:rsid w:val="082BF2A6"/>
    <w:rsid w:val="08B8C220"/>
    <w:rsid w:val="08EEB2FD"/>
    <w:rsid w:val="09788610"/>
    <w:rsid w:val="09DB9136"/>
    <w:rsid w:val="09DED0A9"/>
    <w:rsid w:val="09EDB134"/>
    <w:rsid w:val="0A411EF2"/>
    <w:rsid w:val="0A4F9578"/>
    <w:rsid w:val="0C1D8EDF"/>
    <w:rsid w:val="0C3D847B"/>
    <w:rsid w:val="0C5A199E"/>
    <w:rsid w:val="0C7D480E"/>
    <w:rsid w:val="0C85A126"/>
    <w:rsid w:val="0D0B5F4E"/>
    <w:rsid w:val="0D5B228A"/>
    <w:rsid w:val="0DCC2B8D"/>
    <w:rsid w:val="0DD0991F"/>
    <w:rsid w:val="0DE59C04"/>
    <w:rsid w:val="0E21462A"/>
    <w:rsid w:val="0E44D61E"/>
    <w:rsid w:val="0E622AD8"/>
    <w:rsid w:val="0EED195B"/>
    <w:rsid w:val="0F403C75"/>
    <w:rsid w:val="0F452C0E"/>
    <w:rsid w:val="0F4AB08E"/>
    <w:rsid w:val="0FFB5049"/>
    <w:rsid w:val="10028176"/>
    <w:rsid w:val="104DAF82"/>
    <w:rsid w:val="10DAD52D"/>
    <w:rsid w:val="11702D41"/>
    <w:rsid w:val="119E8633"/>
    <w:rsid w:val="11BB1E62"/>
    <w:rsid w:val="11F88F29"/>
    <w:rsid w:val="1260DF1B"/>
    <w:rsid w:val="12D5E79E"/>
    <w:rsid w:val="12D73876"/>
    <w:rsid w:val="131A3592"/>
    <w:rsid w:val="136767CD"/>
    <w:rsid w:val="136B3D64"/>
    <w:rsid w:val="1381A6F0"/>
    <w:rsid w:val="142C76ED"/>
    <w:rsid w:val="1544A9C9"/>
    <w:rsid w:val="161CB20C"/>
    <w:rsid w:val="1701F32C"/>
    <w:rsid w:val="17535908"/>
    <w:rsid w:val="179B86D7"/>
    <w:rsid w:val="17D74A20"/>
    <w:rsid w:val="17F84AC5"/>
    <w:rsid w:val="17FB1B4C"/>
    <w:rsid w:val="18046514"/>
    <w:rsid w:val="18D6876B"/>
    <w:rsid w:val="192DF1EA"/>
    <w:rsid w:val="197770F7"/>
    <w:rsid w:val="19F89773"/>
    <w:rsid w:val="1A5DCBD8"/>
    <w:rsid w:val="1A87143D"/>
    <w:rsid w:val="1AC303B9"/>
    <w:rsid w:val="1B0463B5"/>
    <w:rsid w:val="1B13B60D"/>
    <w:rsid w:val="1B481BE2"/>
    <w:rsid w:val="1B527D88"/>
    <w:rsid w:val="1B743336"/>
    <w:rsid w:val="1BC35EDC"/>
    <w:rsid w:val="1CF3E756"/>
    <w:rsid w:val="1E24F615"/>
    <w:rsid w:val="1EB57E6A"/>
    <w:rsid w:val="1EC920F7"/>
    <w:rsid w:val="1EDEEF9F"/>
    <w:rsid w:val="1F070386"/>
    <w:rsid w:val="1F35F7E5"/>
    <w:rsid w:val="1FDC8E5B"/>
    <w:rsid w:val="20A7F0D2"/>
    <w:rsid w:val="211DAF78"/>
    <w:rsid w:val="212A7B55"/>
    <w:rsid w:val="21B0A3A1"/>
    <w:rsid w:val="21B66D06"/>
    <w:rsid w:val="21DBFCEB"/>
    <w:rsid w:val="223230E6"/>
    <w:rsid w:val="2265681B"/>
    <w:rsid w:val="228BD924"/>
    <w:rsid w:val="22B571B9"/>
    <w:rsid w:val="22EDE0A3"/>
    <w:rsid w:val="2333C836"/>
    <w:rsid w:val="2366D4DD"/>
    <w:rsid w:val="24678429"/>
    <w:rsid w:val="248CB2EC"/>
    <w:rsid w:val="24BD9C67"/>
    <w:rsid w:val="250E274F"/>
    <w:rsid w:val="251BFD6B"/>
    <w:rsid w:val="25339D06"/>
    <w:rsid w:val="26040B6D"/>
    <w:rsid w:val="26732623"/>
    <w:rsid w:val="26A60759"/>
    <w:rsid w:val="26B4A170"/>
    <w:rsid w:val="26B5C14F"/>
    <w:rsid w:val="26C0E5D1"/>
    <w:rsid w:val="26D5431B"/>
    <w:rsid w:val="2733B133"/>
    <w:rsid w:val="273A1CC7"/>
    <w:rsid w:val="279491C5"/>
    <w:rsid w:val="280AE819"/>
    <w:rsid w:val="281A3B09"/>
    <w:rsid w:val="2820B169"/>
    <w:rsid w:val="282DDC41"/>
    <w:rsid w:val="284BDA1B"/>
    <w:rsid w:val="2881AA57"/>
    <w:rsid w:val="28AF0F48"/>
    <w:rsid w:val="28B4D8B6"/>
    <w:rsid w:val="296BF963"/>
    <w:rsid w:val="2996A1AA"/>
    <w:rsid w:val="29BC5832"/>
    <w:rsid w:val="2A45ABFB"/>
    <w:rsid w:val="2AF93E88"/>
    <w:rsid w:val="2B10D5E1"/>
    <w:rsid w:val="2B4DF544"/>
    <w:rsid w:val="2B97D3EA"/>
    <w:rsid w:val="2C58F318"/>
    <w:rsid w:val="2C7E42FD"/>
    <w:rsid w:val="2CD6A7E8"/>
    <w:rsid w:val="2CE34016"/>
    <w:rsid w:val="2D20BEE9"/>
    <w:rsid w:val="2D99B19D"/>
    <w:rsid w:val="2DA6C036"/>
    <w:rsid w:val="2DBCA4B8"/>
    <w:rsid w:val="2DE146D0"/>
    <w:rsid w:val="2DFED273"/>
    <w:rsid w:val="2E2710C3"/>
    <w:rsid w:val="2E61431C"/>
    <w:rsid w:val="2EA89035"/>
    <w:rsid w:val="2ED42CB0"/>
    <w:rsid w:val="2F04E820"/>
    <w:rsid w:val="2F575022"/>
    <w:rsid w:val="2FA19AAB"/>
    <w:rsid w:val="2FFE1883"/>
    <w:rsid w:val="300ED8CA"/>
    <w:rsid w:val="3020E624"/>
    <w:rsid w:val="307BC7D6"/>
    <w:rsid w:val="30860B5E"/>
    <w:rsid w:val="30CBEEDF"/>
    <w:rsid w:val="311427BB"/>
    <w:rsid w:val="31AE16F1"/>
    <w:rsid w:val="31D739C0"/>
    <w:rsid w:val="322FA1D1"/>
    <w:rsid w:val="326F5B39"/>
    <w:rsid w:val="327EBF77"/>
    <w:rsid w:val="3319BA85"/>
    <w:rsid w:val="33202049"/>
    <w:rsid w:val="3325FAF2"/>
    <w:rsid w:val="349A55A0"/>
    <w:rsid w:val="35171F28"/>
    <w:rsid w:val="3520E2E2"/>
    <w:rsid w:val="3544C546"/>
    <w:rsid w:val="354D3EB0"/>
    <w:rsid w:val="355F364A"/>
    <w:rsid w:val="355F4B0D"/>
    <w:rsid w:val="3644E14D"/>
    <w:rsid w:val="367A7CFB"/>
    <w:rsid w:val="36BDDDD5"/>
    <w:rsid w:val="389F00A2"/>
    <w:rsid w:val="38F9578C"/>
    <w:rsid w:val="3A1C98AA"/>
    <w:rsid w:val="3AC202DB"/>
    <w:rsid w:val="3ACA63D4"/>
    <w:rsid w:val="3B2B1A17"/>
    <w:rsid w:val="3B475751"/>
    <w:rsid w:val="3C6B48D0"/>
    <w:rsid w:val="3C75DF76"/>
    <w:rsid w:val="3D00E7BF"/>
    <w:rsid w:val="3D47D280"/>
    <w:rsid w:val="3D8D751C"/>
    <w:rsid w:val="3DBD201E"/>
    <w:rsid w:val="3E1CEDF2"/>
    <w:rsid w:val="3E8887DC"/>
    <w:rsid w:val="3F077527"/>
    <w:rsid w:val="3F38CFE6"/>
    <w:rsid w:val="3FBE927F"/>
    <w:rsid w:val="3FDEBFD5"/>
    <w:rsid w:val="3FED7D25"/>
    <w:rsid w:val="40364384"/>
    <w:rsid w:val="40504810"/>
    <w:rsid w:val="41E36D3B"/>
    <w:rsid w:val="432F0F09"/>
    <w:rsid w:val="4391C9A7"/>
    <w:rsid w:val="43D99ADF"/>
    <w:rsid w:val="440037C0"/>
    <w:rsid w:val="44C96DD1"/>
    <w:rsid w:val="460ECFE7"/>
    <w:rsid w:val="461F2993"/>
    <w:rsid w:val="4650C03B"/>
    <w:rsid w:val="46FDBDFF"/>
    <w:rsid w:val="47E9FDAD"/>
    <w:rsid w:val="480C8581"/>
    <w:rsid w:val="481195EE"/>
    <w:rsid w:val="484BC96F"/>
    <w:rsid w:val="4891E247"/>
    <w:rsid w:val="492B3666"/>
    <w:rsid w:val="497ADEF4"/>
    <w:rsid w:val="49DD3156"/>
    <w:rsid w:val="49E16FAD"/>
    <w:rsid w:val="4A80501B"/>
    <w:rsid w:val="4AB6D66C"/>
    <w:rsid w:val="4AC59A67"/>
    <w:rsid w:val="4B6C60E7"/>
    <w:rsid w:val="4BB0CA30"/>
    <w:rsid w:val="4BB2294D"/>
    <w:rsid w:val="4C5E18C7"/>
    <w:rsid w:val="4D0BC263"/>
    <w:rsid w:val="4D16E0BE"/>
    <w:rsid w:val="4D32E0FF"/>
    <w:rsid w:val="4D64C7D8"/>
    <w:rsid w:val="4D82D709"/>
    <w:rsid w:val="4DCF2A79"/>
    <w:rsid w:val="4DF1EC21"/>
    <w:rsid w:val="4E02CCB0"/>
    <w:rsid w:val="4E1D3C62"/>
    <w:rsid w:val="4E22DE67"/>
    <w:rsid w:val="4E956393"/>
    <w:rsid w:val="4EAD6806"/>
    <w:rsid w:val="4EE2AD73"/>
    <w:rsid w:val="4F8663A9"/>
    <w:rsid w:val="4FCA7385"/>
    <w:rsid w:val="4FEA149F"/>
    <w:rsid w:val="50AD35EE"/>
    <w:rsid w:val="50FC381E"/>
    <w:rsid w:val="5128CF50"/>
    <w:rsid w:val="51607282"/>
    <w:rsid w:val="51C4AEDD"/>
    <w:rsid w:val="51ED2EAA"/>
    <w:rsid w:val="51FE0D76"/>
    <w:rsid w:val="52A681C6"/>
    <w:rsid w:val="535D5151"/>
    <w:rsid w:val="53BE29C6"/>
    <w:rsid w:val="543F4751"/>
    <w:rsid w:val="54D14D53"/>
    <w:rsid w:val="55827D65"/>
    <w:rsid w:val="560DBA10"/>
    <w:rsid w:val="565AC962"/>
    <w:rsid w:val="565CF647"/>
    <w:rsid w:val="5666EB1B"/>
    <w:rsid w:val="580C1812"/>
    <w:rsid w:val="585DBC2D"/>
    <w:rsid w:val="5918701D"/>
    <w:rsid w:val="594AA852"/>
    <w:rsid w:val="5965ADD5"/>
    <w:rsid w:val="5966D3B3"/>
    <w:rsid w:val="59AC21C2"/>
    <w:rsid w:val="59EA340D"/>
    <w:rsid w:val="5A4C4C2C"/>
    <w:rsid w:val="5AD53F3A"/>
    <w:rsid w:val="5B2D2C32"/>
    <w:rsid w:val="5B72AFAF"/>
    <w:rsid w:val="5C08CB37"/>
    <w:rsid w:val="5C9723B2"/>
    <w:rsid w:val="5C995B5A"/>
    <w:rsid w:val="5CAE0B2E"/>
    <w:rsid w:val="5CB7F706"/>
    <w:rsid w:val="5D200DC4"/>
    <w:rsid w:val="5D5453D6"/>
    <w:rsid w:val="5D8C82D7"/>
    <w:rsid w:val="5DDEDAD2"/>
    <w:rsid w:val="5F50EF4C"/>
    <w:rsid w:val="5F60B181"/>
    <w:rsid w:val="5F61C357"/>
    <w:rsid w:val="5FA373BE"/>
    <w:rsid w:val="5FDB5908"/>
    <w:rsid w:val="606F49B6"/>
    <w:rsid w:val="607B00C3"/>
    <w:rsid w:val="619C82BD"/>
    <w:rsid w:val="61AB6DC4"/>
    <w:rsid w:val="62A692BE"/>
    <w:rsid w:val="62AF381B"/>
    <w:rsid w:val="62DBFA10"/>
    <w:rsid w:val="630A986F"/>
    <w:rsid w:val="632773FD"/>
    <w:rsid w:val="6392BF3D"/>
    <w:rsid w:val="6431F568"/>
    <w:rsid w:val="646A1337"/>
    <w:rsid w:val="6498E9A2"/>
    <w:rsid w:val="652F536C"/>
    <w:rsid w:val="6566A84A"/>
    <w:rsid w:val="663CAD68"/>
    <w:rsid w:val="675EE7CB"/>
    <w:rsid w:val="67AD361B"/>
    <w:rsid w:val="682F1729"/>
    <w:rsid w:val="68376000"/>
    <w:rsid w:val="683FF93B"/>
    <w:rsid w:val="68536E52"/>
    <w:rsid w:val="68A48C8D"/>
    <w:rsid w:val="69101AD2"/>
    <w:rsid w:val="6991DEA6"/>
    <w:rsid w:val="69CED47F"/>
    <w:rsid w:val="6A0712CE"/>
    <w:rsid w:val="6A64D67E"/>
    <w:rsid w:val="6A827756"/>
    <w:rsid w:val="6AAC64B1"/>
    <w:rsid w:val="6B270291"/>
    <w:rsid w:val="6B579C51"/>
    <w:rsid w:val="6B5887FE"/>
    <w:rsid w:val="6B70379F"/>
    <w:rsid w:val="6BCCA1AB"/>
    <w:rsid w:val="6C0A894E"/>
    <w:rsid w:val="6C42532E"/>
    <w:rsid w:val="6C773BC4"/>
    <w:rsid w:val="6CEAF47D"/>
    <w:rsid w:val="6D086868"/>
    <w:rsid w:val="6D3F468D"/>
    <w:rsid w:val="6D9DC2D0"/>
    <w:rsid w:val="6DD7EA6C"/>
    <w:rsid w:val="6E2165CC"/>
    <w:rsid w:val="6EB85459"/>
    <w:rsid w:val="6EC1FFC6"/>
    <w:rsid w:val="6F10AC0A"/>
    <w:rsid w:val="6F4D0FB9"/>
    <w:rsid w:val="6FCF8F7F"/>
    <w:rsid w:val="70173422"/>
    <w:rsid w:val="703FC5D2"/>
    <w:rsid w:val="70583EE3"/>
    <w:rsid w:val="70E16CA9"/>
    <w:rsid w:val="7288BE15"/>
    <w:rsid w:val="72E0BFB5"/>
    <w:rsid w:val="72F36849"/>
    <w:rsid w:val="7372171C"/>
    <w:rsid w:val="738D5B2D"/>
    <w:rsid w:val="73D80604"/>
    <w:rsid w:val="7422631E"/>
    <w:rsid w:val="749EF745"/>
    <w:rsid w:val="74A46A35"/>
    <w:rsid w:val="74F8F369"/>
    <w:rsid w:val="7507B22E"/>
    <w:rsid w:val="750DF190"/>
    <w:rsid w:val="758481F1"/>
    <w:rsid w:val="75BA9DAD"/>
    <w:rsid w:val="763AA57B"/>
    <w:rsid w:val="768926C0"/>
    <w:rsid w:val="76AA011E"/>
    <w:rsid w:val="76C1B867"/>
    <w:rsid w:val="76E4B1FC"/>
    <w:rsid w:val="775642A6"/>
    <w:rsid w:val="77E50E92"/>
    <w:rsid w:val="78017F76"/>
    <w:rsid w:val="783F3DAB"/>
    <w:rsid w:val="78F6168C"/>
    <w:rsid w:val="796F8698"/>
    <w:rsid w:val="7997CC57"/>
    <w:rsid w:val="79A74851"/>
    <w:rsid w:val="79AD98BE"/>
    <w:rsid w:val="79BAD434"/>
    <w:rsid w:val="79C6035C"/>
    <w:rsid w:val="79C66B7B"/>
    <w:rsid w:val="79EAAFDA"/>
    <w:rsid w:val="7AE00C22"/>
    <w:rsid w:val="7C4C044F"/>
    <w:rsid w:val="7C591F2F"/>
    <w:rsid w:val="7C7BB061"/>
    <w:rsid w:val="7DCB3B9F"/>
    <w:rsid w:val="7DECDB08"/>
    <w:rsid w:val="7E618BCE"/>
    <w:rsid w:val="7E7E0241"/>
    <w:rsid w:val="7EC70492"/>
    <w:rsid w:val="7EFBF91E"/>
    <w:rsid w:val="7F02D4BC"/>
    <w:rsid w:val="7F060401"/>
    <w:rsid w:val="7F5AA8EC"/>
    <w:rsid w:val="7FCE4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024FD"/>
  <w15:docId w15:val="{C45F28F7-5B9B-421A-AB16-6A063024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Batang"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CB3537"/>
    <w:pPr>
      <w:keepNext/>
      <w:keepLines/>
      <w:spacing w:before="280"/>
      <w:ind w:left="1134" w:hanging="1134"/>
      <w:outlineLvl w:val="0"/>
    </w:pPr>
    <w:rPr>
      <w:b/>
      <w:sz w:val="28"/>
    </w:rPr>
  </w:style>
  <w:style w:type="paragraph" w:styleId="Heading2">
    <w:name w:val="heading 2"/>
    <w:basedOn w:val="Heading1"/>
    <w:next w:val="Normal"/>
    <w:qFormat/>
    <w:rsid w:val="00CB3537"/>
    <w:pPr>
      <w:spacing w:before="200"/>
      <w:outlineLvl w:val="1"/>
    </w:pPr>
    <w:rPr>
      <w:sz w:val="24"/>
    </w:rPr>
  </w:style>
  <w:style w:type="paragraph" w:styleId="Heading3">
    <w:name w:val="heading 3"/>
    <w:basedOn w:val="Heading1"/>
    <w:next w:val="Normal"/>
    <w:qFormat/>
    <w:rsid w:val="00CB3537"/>
    <w:pPr>
      <w:tabs>
        <w:tab w:val="clear" w:pos="1134"/>
      </w:tabs>
      <w:spacing w:before="200"/>
      <w:outlineLvl w:val="2"/>
    </w:pPr>
    <w:rPr>
      <w:sz w:val="24"/>
    </w:rPr>
  </w:style>
  <w:style w:type="paragraph" w:styleId="Heading4">
    <w:name w:val="heading 4"/>
    <w:basedOn w:val="Heading3"/>
    <w:next w:val="Normal"/>
    <w:qFormat/>
    <w:rsid w:val="00CB3537"/>
    <w:pPr>
      <w:outlineLvl w:val="3"/>
    </w:pPr>
  </w:style>
  <w:style w:type="paragraph" w:styleId="Heading5">
    <w:name w:val="heading 5"/>
    <w:basedOn w:val="Heading4"/>
    <w:next w:val="Normal"/>
    <w:qFormat/>
    <w:rsid w:val="00CB3537"/>
    <w:pPr>
      <w:outlineLvl w:val="4"/>
    </w:pPr>
  </w:style>
  <w:style w:type="paragraph" w:styleId="Heading6">
    <w:name w:val="heading 6"/>
    <w:basedOn w:val="Heading4"/>
    <w:next w:val="Normal"/>
    <w:qFormat/>
    <w:rsid w:val="00CB3537"/>
    <w:pPr>
      <w:outlineLvl w:val="5"/>
    </w:pPr>
  </w:style>
  <w:style w:type="paragraph" w:styleId="Heading7">
    <w:name w:val="heading 7"/>
    <w:basedOn w:val="Heading6"/>
    <w:next w:val="Normal"/>
    <w:qFormat/>
    <w:rsid w:val="00CB3537"/>
    <w:pPr>
      <w:outlineLvl w:val="6"/>
    </w:pPr>
  </w:style>
  <w:style w:type="paragraph" w:styleId="Heading8">
    <w:name w:val="heading 8"/>
    <w:basedOn w:val="Heading6"/>
    <w:next w:val="Normal"/>
    <w:qFormat/>
    <w:rsid w:val="00CB3537"/>
    <w:pPr>
      <w:outlineLvl w:val="7"/>
    </w:pPr>
  </w:style>
  <w:style w:type="paragraph" w:styleId="Heading9">
    <w:name w:val="heading 9"/>
    <w:basedOn w:val="Heading6"/>
    <w:next w:val="Normal"/>
    <w:qFormat/>
    <w:rsid w:val="00CB35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O5,Para_sk,Resume Title,- Bullets,Equipment,Numbered Indented Text,Figure_name,Citation List,List Paragraph Char Char,Bullets,list1,b1,Number_1,Normal Sentence,Colorful List - Accent 11,new"/>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超??级链Ú,fL????,fL?级,超??级链,超?级链ïÈ,õ±?级链,õ±链ïÈ1,õ±???,超?级链Ú,’´?级链,’´????,’´??级链Ú,’´??级"/>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Citation List Char,List Paragraph Char Char Char,b1 Char"/>
    <w:link w:val="ListParagraph"/>
    <w:uiPriority w:val="34"/>
    <w:qFormat/>
    <w:rsid w:val="003F1363"/>
    <w:rPr>
      <w:rFonts w:asciiTheme="minorHAnsi" w:hAnsiTheme="minorHAnsi"/>
      <w:sz w:val="24"/>
      <w:lang w:val="en-GB" w:eastAsia="en-US"/>
    </w:rPr>
  </w:style>
  <w:style w:type="character" w:styleId="FollowedHyperlink">
    <w:name w:val="FollowedHyperlink"/>
    <w:basedOn w:val="DefaultParagraphFont"/>
    <w:semiHidden/>
    <w:unhideWhenUsed/>
    <w:rsid w:val="00412C81"/>
    <w:rPr>
      <w:color w:val="800080" w:themeColor="followedHyperlink"/>
      <w:u w:val="single"/>
    </w:rPr>
  </w:style>
  <w:style w:type="paragraph" w:customStyle="1" w:styleId="Default">
    <w:name w:val="Default"/>
    <w:rsid w:val="00DB4598"/>
    <w:pPr>
      <w:autoSpaceDE w:val="0"/>
      <w:autoSpaceDN w:val="0"/>
      <w:adjustRightInd w:val="0"/>
    </w:pPr>
    <w:rPr>
      <w:rFonts w:ascii="Verdana" w:hAnsi="Verdana" w:cs="Verdana"/>
      <w:color w:val="000000"/>
      <w:sz w:val="24"/>
      <w:szCs w:val="24"/>
      <w:lang w:val="en-GB"/>
    </w:rPr>
  </w:style>
  <w:style w:type="paragraph" w:customStyle="1" w:styleId="CEOcontributionStart">
    <w:name w:val="CEO_contributionStart"/>
    <w:basedOn w:val="Normal"/>
    <w:qFormat/>
    <w:rsid w:val="003C1870"/>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semiHidden/>
    <w:unhideWhenUsed/>
    <w:rsid w:val="006747D8"/>
    <w:rPr>
      <w:sz w:val="16"/>
      <w:szCs w:val="16"/>
    </w:rPr>
  </w:style>
  <w:style w:type="paragraph" w:styleId="CommentText">
    <w:name w:val="annotation text"/>
    <w:basedOn w:val="Normal"/>
    <w:link w:val="CommentTextChar"/>
    <w:unhideWhenUsed/>
    <w:rsid w:val="006747D8"/>
    <w:rPr>
      <w:sz w:val="20"/>
    </w:rPr>
  </w:style>
  <w:style w:type="character" w:customStyle="1" w:styleId="CommentTextChar">
    <w:name w:val="Comment Text Char"/>
    <w:basedOn w:val="DefaultParagraphFont"/>
    <w:link w:val="CommentText"/>
    <w:rsid w:val="006747D8"/>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6747D8"/>
    <w:rPr>
      <w:b/>
      <w:bCs/>
    </w:rPr>
  </w:style>
  <w:style w:type="character" w:customStyle="1" w:styleId="CommentSubjectChar">
    <w:name w:val="Comment Subject Char"/>
    <w:basedOn w:val="CommentTextChar"/>
    <w:link w:val="CommentSubject"/>
    <w:semiHidden/>
    <w:rsid w:val="006747D8"/>
    <w:rPr>
      <w:rFonts w:asciiTheme="minorHAnsi" w:hAnsiTheme="minorHAnsi"/>
      <w:b/>
      <w:bCs/>
      <w:lang w:val="en-GB" w:eastAsia="en-US"/>
    </w:rPr>
  </w:style>
  <w:style w:type="paragraph" w:styleId="Revision">
    <w:name w:val="Revision"/>
    <w:hidden/>
    <w:uiPriority w:val="99"/>
    <w:semiHidden/>
    <w:rsid w:val="006747D8"/>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6449A5"/>
    <w:rPr>
      <w:color w:val="605E5C"/>
      <w:shd w:val="clear" w:color="auto" w:fill="E1DFDD"/>
    </w:rPr>
  </w:style>
  <w:style w:type="paragraph" w:customStyle="1" w:styleId="CEOAgendaItemN">
    <w:name w:val="CEO_AgendaItemN°"/>
    <w:basedOn w:val="Normal"/>
    <w:rsid w:val="00BF4F16"/>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character" w:customStyle="1" w:styleId="enumlev1Char">
    <w:name w:val="enumlev1 Char"/>
    <w:link w:val="enumlev1"/>
    <w:qFormat/>
    <w:rsid w:val="00A62F73"/>
    <w:rPr>
      <w:rFonts w:asciiTheme="minorHAnsi" w:hAnsiTheme="minorHAnsi"/>
      <w:sz w:val="24"/>
      <w:lang w:val="en-GB" w:eastAsia="en-US"/>
    </w:rPr>
  </w:style>
  <w:style w:type="character" w:customStyle="1" w:styleId="UnresolvedMention2">
    <w:name w:val="Unresolved Mention2"/>
    <w:basedOn w:val="DefaultParagraphFont"/>
    <w:uiPriority w:val="99"/>
    <w:semiHidden/>
    <w:unhideWhenUsed/>
    <w:rsid w:val="00B7345F"/>
    <w:rPr>
      <w:color w:val="605E5C"/>
      <w:shd w:val="clear" w:color="auto" w:fill="E1DFDD"/>
    </w:rPr>
  </w:style>
  <w:style w:type="paragraph" w:styleId="HTMLPreformatted">
    <w:name w:val="HTML Preformatted"/>
    <w:basedOn w:val="Normal"/>
    <w:link w:val="HTMLPreformattedChar"/>
    <w:uiPriority w:val="99"/>
    <w:unhideWhenUsed/>
    <w:qFormat/>
    <w:rsid w:val="006361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GulimChe" w:eastAsia="GulimChe" w:hAnsi="GulimChe"/>
      <w:szCs w:val="24"/>
      <w:lang w:val="zh-CN" w:eastAsia="zh-CN"/>
    </w:rPr>
  </w:style>
  <w:style w:type="character" w:customStyle="1" w:styleId="HTMLPreformattedChar">
    <w:name w:val="HTML Preformatted Char"/>
    <w:basedOn w:val="DefaultParagraphFont"/>
    <w:link w:val="HTMLPreformatted"/>
    <w:uiPriority w:val="99"/>
    <w:qFormat/>
    <w:rsid w:val="00636181"/>
    <w:rPr>
      <w:rFonts w:ascii="GulimChe" w:eastAsia="GulimChe" w:hAnsi="GulimChe"/>
      <w:sz w:val="24"/>
      <w:szCs w:val="24"/>
      <w:lang w:val="zh-CN"/>
    </w:rPr>
  </w:style>
  <w:style w:type="character" w:styleId="UnresolvedMention">
    <w:name w:val="Unresolved Mention"/>
    <w:basedOn w:val="DefaultParagraphFont"/>
    <w:uiPriority w:val="99"/>
    <w:unhideWhenUsed/>
    <w:rsid w:val="00D10D23"/>
    <w:rPr>
      <w:color w:val="605E5C"/>
      <w:shd w:val="clear" w:color="auto" w:fill="E1DFDD"/>
    </w:rPr>
  </w:style>
  <w:style w:type="paragraph" w:styleId="TOCHeading">
    <w:name w:val="TOC Heading"/>
    <w:basedOn w:val="Heading1"/>
    <w:next w:val="Normal"/>
    <w:uiPriority w:val="39"/>
    <w:unhideWhenUsed/>
    <w:qFormat/>
    <w:rsid w:val="00F24339"/>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basedOn w:val="DefaultParagraphFont"/>
    <w:link w:val="Heading1"/>
    <w:rsid w:val="00F24339"/>
    <w:rPr>
      <w:rFonts w:asciiTheme="minorHAnsi" w:hAnsiTheme="minorHAnsi"/>
      <w:b/>
      <w:sz w:val="28"/>
      <w:lang w:val="en-GB" w:eastAsia="en-US"/>
    </w:rPr>
  </w:style>
  <w:style w:type="table" w:customStyle="1" w:styleId="TableGrid1">
    <w:name w:val="Table Grid1"/>
    <w:basedOn w:val="TableNormal"/>
    <w:next w:val="TableGrid"/>
    <w:uiPriority w:val="59"/>
    <w:rsid w:val="00F24339"/>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Normal">
    <w:name w:val="BDT_Normal"/>
    <w:link w:val="BDTNormalChar"/>
    <w:uiPriority w:val="99"/>
    <w:rsid w:val="00F24339"/>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F24339"/>
    <w:rPr>
      <w:rFonts w:ascii="Calibri" w:eastAsia="SimSun" w:hAnsi="Calibri" w:cs="Traditional Arabic"/>
      <w:sz w:val="22"/>
      <w:szCs w:val="30"/>
      <w:lang w:val="es-ES" w:eastAsia="en-US"/>
    </w:rPr>
  </w:style>
  <w:style w:type="table" w:customStyle="1" w:styleId="TableGrid2">
    <w:name w:val="Table Grid2"/>
    <w:basedOn w:val="TableNormal"/>
    <w:next w:val="TableGrid"/>
    <w:locked/>
    <w:rsid w:val="00F24339"/>
    <w:rPr>
      <w:rFonts w:ascii="Calibri" w:eastAsia="MS Mincho"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ONormal">
    <w:name w:val="CEO_Normal"/>
    <w:link w:val="CEONormalChar"/>
    <w:qFormat/>
    <w:rsid w:val="00F24339"/>
    <w:rPr>
      <w:rFonts w:ascii="Verdana" w:eastAsia="SimSun" w:hAnsi="Verdana"/>
      <w:sz w:val="19"/>
      <w:szCs w:val="19"/>
      <w:lang w:val="en-GB" w:eastAsia="en-US"/>
    </w:rPr>
  </w:style>
  <w:style w:type="character" w:customStyle="1" w:styleId="CEONormalChar">
    <w:name w:val="CEO_Normal Char"/>
    <w:link w:val="CEONormal"/>
    <w:rsid w:val="00F24339"/>
    <w:rPr>
      <w:rFonts w:ascii="Verdana" w:eastAsia="SimSun" w:hAnsi="Verdana"/>
      <w:sz w:val="19"/>
      <w:szCs w:val="19"/>
      <w:lang w:val="en-GB" w:eastAsia="en-US"/>
    </w:rPr>
  </w:style>
  <w:style w:type="paragraph" w:styleId="TOC9">
    <w:name w:val="toc 9"/>
    <w:basedOn w:val="Normal"/>
    <w:next w:val="Normal"/>
    <w:autoRedefine/>
    <w:unhideWhenUsed/>
    <w:rsid w:val="00F24339"/>
    <w:pPr>
      <w:tabs>
        <w:tab w:val="clear" w:pos="1134"/>
        <w:tab w:val="clear" w:pos="1871"/>
        <w:tab w:val="clear" w:pos="2268"/>
      </w:tabs>
      <w:spacing w:before="0"/>
      <w:ind w:left="1920"/>
    </w:pPr>
    <w:rPr>
      <w:rFonts w:eastAsia="Times New Roman" w:cstheme="minorHAnsi"/>
      <w:sz w:val="20"/>
    </w:rPr>
  </w:style>
  <w:style w:type="paragraph" w:styleId="PlainText">
    <w:name w:val="Plain Text"/>
    <w:basedOn w:val="Normal"/>
    <w:link w:val="PlainTextChar"/>
    <w:uiPriority w:val="99"/>
    <w:unhideWhenUsed/>
    <w:rsid w:val="00F2433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F24339"/>
    <w:rPr>
      <w:rFonts w:ascii="Calibri" w:eastAsia="SimSun" w:hAnsi="Calibri" w:cs="Arial"/>
      <w:sz w:val="22"/>
      <w:szCs w:val="21"/>
    </w:rPr>
  </w:style>
  <w:style w:type="paragraph" w:styleId="NormalWeb">
    <w:name w:val="Normal (Web)"/>
    <w:basedOn w:val="Normal"/>
    <w:uiPriority w:val="99"/>
    <w:unhideWhenUsed/>
    <w:rsid w:val="00F2433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StyleComplexBodyCSArialBoldCustomColorRGB686868">
    <w:name w:val="Style (Complex) +Body CS (Arial) Bold Custom Color(RGB(686868))"/>
    <w:basedOn w:val="DefaultParagraphFont"/>
    <w:rsid w:val="00F24339"/>
    <w:rPr>
      <w:rFonts w:asciiTheme="minorHAnsi" w:hAnsiTheme="minorHAnsi" w:cs="Calibri"/>
      <w:b/>
      <w:bCs/>
      <w:iCs w:val="0"/>
      <w:color w:val="444444"/>
    </w:rPr>
  </w:style>
  <w:style w:type="character" w:customStyle="1" w:styleId="StyleComplexBodyCSArial">
    <w:name w:val="Style (Complex) +Body CS (Arial)"/>
    <w:basedOn w:val="DefaultParagraphFont"/>
    <w:rsid w:val="00F24339"/>
    <w:rPr>
      <w:rFonts w:asciiTheme="minorHAnsi" w:hAnsiTheme="minorHAnsi" w:cstheme="minorBidi"/>
    </w:rPr>
  </w:style>
  <w:style w:type="character" w:customStyle="1" w:styleId="StyleComplex12pt">
    <w:name w:val="Style (Complex) 12 pt"/>
    <w:basedOn w:val="DefaultParagraphFont"/>
    <w:rsid w:val="00F24339"/>
    <w:rPr>
      <w:rFonts w:asciiTheme="minorHAnsi" w:hAnsiTheme="minorHAnsi" w:cs="Calibri"/>
      <w:szCs w:val="24"/>
    </w:rPr>
  </w:style>
  <w:style w:type="paragraph" w:customStyle="1" w:styleId="Colloquy1">
    <w:name w:val="Colloquy 1"/>
    <w:basedOn w:val="Normal"/>
    <w:next w:val="Normal"/>
    <w:uiPriority w:val="99"/>
    <w:rsid w:val="00F24339"/>
    <w:pPr>
      <w:widowControl w:val="0"/>
      <w:tabs>
        <w:tab w:val="clear" w:pos="1134"/>
        <w:tab w:val="clear" w:pos="1871"/>
        <w:tab w:val="clear" w:pos="2268"/>
        <w:tab w:val="left" w:pos="2160"/>
        <w:tab w:val="left" w:pos="2880"/>
        <w:tab w:val="left" w:pos="3600"/>
        <w:tab w:val="left" w:pos="4320"/>
        <w:tab w:val="left" w:pos="5040"/>
        <w:tab w:val="left" w:pos="5760"/>
        <w:tab w:val="left" w:pos="6480"/>
        <w:tab w:val="left" w:pos="7200"/>
        <w:tab w:val="left" w:pos="7920"/>
        <w:tab w:val="left" w:pos="8640"/>
      </w:tabs>
      <w:overflowPunct/>
      <w:spacing w:before="0"/>
      <w:ind w:hanging="1"/>
      <w:textAlignment w:val="auto"/>
    </w:pPr>
    <w:rPr>
      <w:rFonts w:ascii="Courier New" w:eastAsiaTheme="minorEastAsia" w:hAnsi="Courier New" w:cs="Courier New"/>
      <w:szCs w:val="24"/>
      <w:lang w:val="en-US"/>
    </w:rPr>
  </w:style>
  <w:style w:type="character" w:styleId="Strong">
    <w:name w:val="Strong"/>
    <w:basedOn w:val="DefaultParagraphFont"/>
    <w:uiPriority w:val="22"/>
    <w:qFormat/>
    <w:rsid w:val="00F24339"/>
    <w:rPr>
      <w:b/>
      <w:bCs/>
    </w:rPr>
  </w:style>
  <w:style w:type="character" w:styleId="PageNumber">
    <w:name w:val="page number"/>
    <w:basedOn w:val="DefaultParagraphFont"/>
    <w:rsid w:val="00F24339"/>
    <w:rPr>
      <w:rFonts w:asciiTheme="minorHAnsi" w:hAnsiTheme="minorHAnsi"/>
    </w:rPr>
  </w:style>
  <w:style w:type="character" w:customStyle="1" w:styleId="enumlev2Char">
    <w:name w:val="enumlev2 Char"/>
    <w:basedOn w:val="enumlev1Char"/>
    <w:link w:val="enumlev2"/>
    <w:rsid w:val="00F24339"/>
    <w:rPr>
      <w:rFonts w:asciiTheme="minorHAnsi" w:hAnsiTheme="minorHAnsi"/>
      <w:sz w:val="24"/>
      <w:lang w:val="en-GB" w:eastAsia="en-US"/>
    </w:rPr>
  </w:style>
  <w:style w:type="character" w:styleId="Mention">
    <w:name w:val="Mention"/>
    <w:basedOn w:val="DefaultParagraphFont"/>
    <w:uiPriority w:val="99"/>
    <w:unhideWhenUsed/>
    <w:rsid w:val="00F24339"/>
    <w:rPr>
      <w:color w:val="2B579A"/>
      <w:shd w:val="clear" w:color="auto" w:fill="E1DFDD"/>
    </w:rPr>
  </w:style>
  <w:style w:type="character" w:customStyle="1" w:styleId="ms-rtethemeforecolor-2-0">
    <w:name w:val="ms-rtethemeforecolor-2-0"/>
    <w:basedOn w:val="DefaultParagraphFont"/>
    <w:rsid w:val="00F24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9412">
      <w:bodyDiv w:val="1"/>
      <w:marLeft w:val="0"/>
      <w:marRight w:val="0"/>
      <w:marTop w:val="0"/>
      <w:marBottom w:val="0"/>
      <w:divBdr>
        <w:top w:val="none" w:sz="0" w:space="0" w:color="auto"/>
        <w:left w:val="none" w:sz="0" w:space="0" w:color="auto"/>
        <w:bottom w:val="none" w:sz="0" w:space="0" w:color="auto"/>
        <w:right w:val="none" w:sz="0" w:space="0" w:color="auto"/>
      </w:divBdr>
    </w:div>
    <w:div w:id="101806998">
      <w:bodyDiv w:val="1"/>
      <w:marLeft w:val="0"/>
      <w:marRight w:val="0"/>
      <w:marTop w:val="0"/>
      <w:marBottom w:val="0"/>
      <w:divBdr>
        <w:top w:val="none" w:sz="0" w:space="0" w:color="auto"/>
        <w:left w:val="none" w:sz="0" w:space="0" w:color="auto"/>
        <w:bottom w:val="none" w:sz="0" w:space="0" w:color="auto"/>
        <w:right w:val="none" w:sz="0" w:space="0" w:color="auto"/>
      </w:divBdr>
    </w:div>
    <w:div w:id="262542978">
      <w:bodyDiv w:val="1"/>
      <w:marLeft w:val="0"/>
      <w:marRight w:val="0"/>
      <w:marTop w:val="0"/>
      <w:marBottom w:val="0"/>
      <w:divBdr>
        <w:top w:val="none" w:sz="0" w:space="0" w:color="auto"/>
        <w:left w:val="none" w:sz="0" w:space="0" w:color="auto"/>
        <w:bottom w:val="none" w:sz="0" w:space="0" w:color="auto"/>
        <w:right w:val="none" w:sz="0" w:space="0" w:color="auto"/>
      </w:divBdr>
    </w:div>
    <w:div w:id="297612129">
      <w:bodyDiv w:val="1"/>
      <w:marLeft w:val="0"/>
      <w:marRight w:val="0"/>
      <w:marTop w:val="0"/>
      <w:marBottom w:val="0"/>
      <w:divBdr>
        <w:top w:val="none" w:sz="0" w:space="0" w:color="auto"/>
        <w:left w:val="none" w:sz="0" w:space="0" w:color="auto"/>
        <w:bottom w:val="none" w:sz="0" w:space="0" w:color="auto"/>
        <w:right w:val="none" w:sz="0" w:space="0" w:color="auto"/>
      </w:divBdr>
    </w:div>
    <w:div w:id="306012684">
      <w:bodyDiv w:val="1"/>
      <w:marLeft w:val="0"/>
      <w:marRight w:val="0"/>
      <w:marTop w:val="0"/>
      <w:marBottom w:val="0"/>
      <w:divBdr>
        <w:top w:val="none" w:sz="0" w:space="0" w:color="auto"/>
        <w:left w:val="none" w:sz="0" w:space="0" w:color="auto"/>
        <w:bottom w:val="none" w:sz="0" w:space="0" w:color="auto"/>
        <w:right w:val="none" w:sz="0" w:space="0" w:color="auto"/>
      </w:divBdr>
      <w:divsChild>
        <w:div w:id="831717630">
          <w:marLeft w:val="0"/>
          <w:marRight w:val="0"/>
          <w:marTop w:val="0"/>
          <w:marBottom w:val="0"/>
          <w:divBdr>
            <w:top w:val="none" w:sz="0" w:space="0" w:color="auto"/>
            <w:left w:val="none" w:sz="0" w:space="0" w:color="auto"/>
            <w:bottom w:val="none" w:sz="0" w:space="0" w:color="auto"/>
            <w:right w:val="none" w:sz="0" w:space="0" w:color="auto"/>
          </w:divBdr>
        </w:div>
      </w:divsChild>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81370346">
      <w:bodyDiv w:val="1"/>
      <w:marLeft w:val="0"/>
      <w:marRight w:val="0"/>
      <w:marTop w:val="0"/>
      <w:marBottom w:val="0"/>
      <w:divBdr>
        <w:top w:val="none" w:sz="0" w:space="0" w:color="auto"/>
        <w:left w:val="none" w:sz="0" w:space="0" w:color="auto"/>
        <w:bottom w:val="none" w:sz="0" w:space="0" w:color="auto"/>
        <w:right w:val="none" w:sz="0" w:space="0" w:color="auto"/>
      </w:divBdr>
    </w:div>
    <w:div w:id="395275601">
      <w:bodyDiv w:val="1"/>
      <w:marLeft w:val="0"/>
      <w:marRight w:val="0"/>
      <w:marTop w:val="0"/>
      <w:marBottom w:val="0"/>
      <w:divBdr>
        <w:top w:val="none" w:sz="0" w:space="0" w:color="auto"/>
        <w:left w:val="none" w:sz="0" w:space="0" w:color="auto"/>
        <w:bottom w:val="none" w:sz="0" w:space="0" w:color="auto"/>
        <w:right w:val="none" w:sz="0" w:space="0" w:color="auto"/>
      </w:divBdr>
      <w:divsChild>
        <w:div w:id="193009342">
          <w:marLeft w:val="0"/>
          <w:marRight w:val="0"/>
          <w:marTop w:val="0"/>
          <w:marBottom w:val="0"/>
          <w:divBdr>
            <w:top w:val="none" w:sz="0" w:space="0" w:color="auto"/>
            <w:left w:val="none" w:sz="0" w:space="0" w:color="auto"/>
            <w:bottom w:val="none" w:sz="0" w:space="0" w:color="auto"/>
            <w:right w:val="none" w:sz="0" w:space="0" w:color="auto"/>
          </w:divBdr>
        </w:div>
      </w:divsChild>
    </w:div>
    <w:div w:id="403188541">
      <w:bodyDiv w:val="1"/>
      <w:marLeft w:val="0"/>
      <w:marRight w:val="0"/>
      <w:marTop w:val="0"/>
      <w:marBottom w:val="0"/>
      <w:divBdr>
        <w:top w:val="none" w:sz="0" w:space="0" w:color="auto"/>
        <w:left w:val="none" w:sz="0" w:space="0" w:color="auto"/>
        <w:bottom w:val="none" w:sz="0" w:space="0" w:color="auto"/>
        <w:right w:val="none" w:sz="0" w:space="0" w:color="auto"/>
      </w:divBdr>
    </w:div>
    <w:div w:id="414934250">
      <w:bodyDiv w:val="1"/>
      <w:marLeft w:val="0"/>
      <w:marRight w:val="0"/>
      <w:marTop w:val="0"/>
      <w:marBottom w:val="0"/>
      <w:divBdr>
        <w:top w:val="none" w:sz="0" w:space="0" w:color="auto"/>
        <w:left w:val="none" w:sz="0" w:space="0" w:color="auto"/>
        <w:bottom w:val="none" w:sz="0" w:space="0" w:color="auto"/>
        <w:right w:val="none" w:sz="0" w:space="0" w:color="auto"/>
      </w:divBdr>
      <w:divsChild>
        <w:div w:id="550072962">
          <w:marLeft w:val="0"/>
          <w:marRight w:val="0"/>
          <w:marTop w:val="0"/>
          <w:marBottom w:val="0"/>
          <w:divBdr>
            <w:top w:val="none" w:sz="0" w:space="0" w:color="auto"/>
            <w:left w:val="none" w:sz="0" w:space="0" w:color="auto"/>
            <w:bottom w:val="none" w:sz="0" w:space="0" w:color="auto"/>
            <w:right w:val="none" w:sz="0" w:space="0" w:color="auto"/>
          </w:divBdr>
        </w:div>
      </w:divsChild>
    </w:div>
    <w:div w:id="436215318">
      <w:bodyDiv w:val="1"/>
      <w:marLeft w:val="0"/>
      <w:marRight w:val="0"/>
      <w:marTop w:val="0"/>
      <w:marBottom w:val="0"/>
      <w:divBdr>
        <w:top w:val="none" w:sz="0" w:space="0" w:color="auto"/>
        <w:left w:val="none" w:sz="0" w:space="0" w:color="auto"/>
        <w:bottom w:val="none" w:sz="0" w:space="0" w:color="auto"/>
        <w:right w:val="none" w:sz="0" w:space="0" w:color="auto"/>
      </w:divBdr>
      <w:divsChild>
        <w:div w:id="665670679">
          <w:marLeft w:val="0"/>
          <w:marRight w:val="0"/>
          <w:marTop w:val="0"/>
          <w:marBottom w:val="0"/>
          <w:divBdr>
            <w:top w:val="none" w:sz="0" w:space="0" w:color="auto"/>
            <w:left w:val="none" w:sz="0" w:space="0" w:color="auto"/>
            <w:bottom w:val="none" w:sz="0" w:space="0" w:color="auto"/>
            <w:right w:val="none" w:sz="0" w:space="0" w:color="auto"/>
          </w:divBdr>
          <w:divsChild>
            <w:div w:id="1169979918">
              <w:marLeft w:val="0"/>
              <w:marRight w:val="0"/>
              <w:marTop w:val="0"/>
              <w:marBottom w:val="0"/>
              <w:divBdr>
                <w:top w:val="none" w:sz="0" w:space="0" w:color="auto"/>
                <w:left w:val="none" w:sz="0" w:space="0" w:color="auto"/>
                <w:bottom w:val="none" w:sz="0" w:space="0" w:color="auto"/>
                <w:right w:val="none" w:sz="0" w:space="0" w:color="auto"/>
              </w:divBdr>
              <w:divsChild>
                <w:div w:id="1883903653">
                  <w:marLeft w:val="0"/>
                  <w:marRight w:val="0"/>
                  <w:marTop w:val="0"/>
                  <w:marBottom w:val="0"/>
                  <w:divBdr>
                    <w:top w:val="none" w:sz="0" w:space="0" w:color="auto"/>
                    <w:left w:val="none" w:sz="0" w:space="0" w:color="auto"/>
                    <w:bottom w:val="none" w:sz="0" w:space="0" w:color="auto"/>
                    <w:right w:val="none" w:sz="0" w:space="0" w:color="auto"/>
                  </w:divBdr>
                  <w:divsChild>
                    <w:div w:id="17612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11256">
          <w:marLeft w:val="0"/>
          <w:marRight w:val="0"/>
          <w:marTop w:val="0"/>
          <w:marBottom w:val="0"/>
          <w:divBdr>
            <w:top w:val="none" w:sz="0" w:space="0" w:color="auto"/>
            <w:left w:val="none" w:sz="0" w:space="0" w:color="auto"/>
            <w:bottom w:val="none" w:sz="0" w:space="0" w:color="auto"/>
            <w:right w:val="none" w:sz="0" w:space="0" w:color="auto"/>
          </w:divBdr>
          <w:divsChild>
            <w:div w:id="402459608">
              <w:marLeft w:val="0"/>
              <w:marRight w:val="0"/>
              <w:marTop w:val="0"/>
              <w:marBottom w:val="0"/>
              <w:divBdr>
                <w:top w:val="none" w:sz="0" w:space="0" w:color="auto"/>
                <w:left w:val="none" w:sz="0" w:space="0" w:color="auto"/>
                <w:bottom w:val="none" w:sz="0" w:space="0" w:color="auto"/>
                <w:right w:val="none" w:sz="0" w:space="0" w:color="auto"/>
              </w:divBdr>
              <w:divsChild>
                <w:div w:id="1926768703">
                  <w:marLeft w:val="0"/>
                  <w:marRight w:val="0"/>
                  <w:marTop w:val="0"/>
                  <w:marBottom w:val="0"/>
                  <w:divBdr>
                    <w:top w:val="none" w:sz="0" w:space="0" w:color="auto"/>
                    <w:left w:val="none" w:sz="0" w:space="0" w:color="auto"/>
                    <w:bottom w:val="none" w:sz="0" w:space="0" w:color="auto"/>
                    <w:right w:val="none" w:sz="0" w:space="0" w:color="auto"/>
                  </w:divBdr>
                  <w:divsChild>
                    <w:div w:id="21374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2559">
      <w:bodyDiv w:val="1"/>
      <w:marLeft w:val="0"/>
      <w:marRight w:val="0"/>
      <w:marTop w:val="0"/>
      <w:marBottom w:val="0"/>
      <w:divBdr>
        <w:top w:val="none" w:sz="0" w:space="0" w:color="auto"/>
        <w:left w:val="none" w:sz="0" w:space="0" w:color="auto"/>
        <w:bottom w:val="none" w:sz="0" w:space="0" w:color="auto"/>
        <w:right w:val="none" w:sz="0" w:space="0" w:color="auto"/>
      </w:divBdr>
    </w:div>
    <w:div w:id="452796831">
      <w:bodyDiv w:val="1"/>
      <w:marLeft w:val="0"/>
      <w:marRight w:val="0"/>
      <w:marTop w:val="0"/>
      <w:marBottom w:val="0"/>
      <w:divBdr>
        <w:top w:val="none" w:sz="0" w:space="0" w:color="auto"/>
        <w:left w:val="none" w:sz="0" w:space="0" w:color="auto"/>
        <w:bottom w:val="none" w:sz="0" w:space="0" w:color="auto"/>
        <w:right w:val="none" w:sz="0" w:space="0" w:color="auto"/>
      </w:divBdr>
    </w:div>
    <w:div w:id="468786113">
      <w:bodyDiv w:val="1"/>
      <w:marLeft w:val="0"/>
      <w:marRight w:val="0"/>
      <w:marTop w:val="0"/>
      <w:marBottom w:val="0"/>
      <w:divBdr>
        <w:top w:val="none" w:sz="0" w:space="0" w:color="auto"/>
        <w:left w:val="none" w:sz="0" w:space="0" w:color="auto"/>
        <w:bottom w:val="none" w:sz="0" w:space="0" w:color="auto"/>
        <w:right w:val="none" w:sz="0" w:space="0" w:color="auto"/>
      </w:divBdr>
      <w:divsChild>
        <w:div w:id="1518230722">
          <w:marLeft w:val="0"/>
          <w:marRight w:val="0"/>
          <w:marTop w:val="0"/>
          <w:marBottom w:val="0"/>
          <w:divBdr>
            <w:top w:val="none" w:sz="0" w:space="0" w:color="auto"/>
            <w:left w:val="none" w:sz="0" w:space="0" w:color="auto"/>
            <w:bottom w:val="none" w:sz="0" w:space="0" w:color="auto"/>
            <w:right w:val="none" w:sz="0" w:space="0" w:color="auto"/>
          </w:divBdr>
          <w:divsChild>
            <w:div w:id="1244294651">
              <w:marLeft w:val="0"/>
              <w:marRight w:val="0"/>
              <w:marTop w:val="0"/>
              <w:marBottom w:val="0"/>
              <w:divBdr>
                <w:top w:val="none" w:sz="0" w:space="0" w:color="auto"/>
                <w:left w:val="none" w:sz="0" w:space="0" w:color="auto"/>
                <w:bottom w:val="none" w:sz="0" w:space="0" w:color="auto"/>
                <w:right w:val="none" w:sz="0" w:space="0" w:color="auto"/>
              </w:divBdr>
              <w:divsChild>
                <w:div w:id="1806728263">
                  <w:marLeft w:val="0"/>
                  <w:marRight w:val="0"/>
                  <w:marTop w:val="0"/>
                  <w:marBottom w:val="0"/>
                  <w:divBdr>
                    <w:top w:val="none" w:sz="0" w:space="0" w:color="auto"/>
                    <w:left w:val="none" w:sz="0" w:space="0" w:color="auto"/>
                    <w:bottom w:val="none" w:sz="0" w:space="0" w:color="auto"/>
                    <w:right w:val="none" w:sz="0" w:space="0" w:color="auto"/>
                  </w:divBdr>
                  <w:divsChild>
                    <w:div w:id="18561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9153">
          <w:marLeft w:val="0"/>
          <w:marRight w:val="0"/>
          <w:marTop w:val="0"/>
          <w:marBottom w:val="0"/>
          <w:divBdr>
            <w:top w:val="none" w:sz="0" w:space="0" w:color="auto"/>
            <w:left w:val="none" w:sz="0" w:space="0" w:color="auto"/>
            <w:bottom w:val="none" w:sz="0" w:space="0" w:color="auto"/>
            <w:right w:val="none" w:sz="0" w:space="0" w:color="auto"/>
          </w:divBdr>
          <w:divsChild>
            <w:div w:id="1617173846">
              <w:marLeft w:val="0"/>
              <w:marRight w:val="0"/>
              <w:marTop w:val="0"/>
              <w:marBottom w:val="0"/>
              <w:divBdr>
                <w:top w:val="none" w:sz="0" w:space="0" w:color="auto"/>
                <w:left w:val="none" w:sz="0" w:space="0" w:color="auto"/>
                <w:bottom w:val="none" w:sz="0" w:space="0" w:color="auto"/>
                <w:right w:val="none" w:sz="0" w:space="0" w:color="auto"/>
              </w:divBdr>
              <w:divsChild>
                <w:div w:id="1971327593">
                  <w:marLeft w:val="0"/>
                  <w:marRight w:val="0"/>
                  <w:marTop w:val="0"/>
                  <w:marBottom w:val="0"/>
                  <w:divBdr>
                    <w:top w:val="none" w:sz="0" w:space="0" w:color="auto"/>
                    <w:left w:val="none" w:sz="0" w:space="0" w:color="auto"/>
                    <w:bottom w:val="none" w:sz="0" w:space="0" w:color="auto"/>
                    <w:right w:val="none" w:sz="0" w:space="0" w:color="auto"/>
                  </w:divBdr>
                  <w:divsChild>
                    <w:div w:id="3303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78332">
      <w:bodyDiv w:val="1"/>
      <w:marLeft w:val="0"/>
      <w:marRight w:val="0"/>
      <w:marTop w:val="0"/>
      <w:marBottom w:val="0"/>
      <w:divBdr>
        <w:top w:val="none" w:sz="0" w:space="0" w:color="auto"/>
        <w:left w:val="none" w:sz="0" w:space="0" w:color="auto"/>
        <w:bottom w:val="none" w:sz="0" w:space="0" w:color="auto"/>
        <w:right w:val="none" w:sz="0" w:space="0" w:color="auto"/>
      </w:divBdr>
      <w:divsChild>
        <w:div w:id="409818242">
          <w:marLeft w:val="0"/>
          <w:marRight w:val="0"/>
          <w:marTop w:val="0"/>
          <w:marBottom w:val="0"/>
          <w:divBdr>
            <w:top w:val="none" w:sz="0" w:space="0" w:color="auto"/>
            <w:left w:val="none" w:sz="0" w:space="0" w:color="auto"/>
            <w:bottom w:val="none" w:sz="0" w:space="0" w:color="auto"/>
            <w:right w:val="none" w:sz="0" w:space="0" w:color="auto"/>
          </w:divBdr>
        </w:div>
      </w:divsChild>
    </w:div>
    <w:div w:id="667026217">
      <w:bodyDiv w:val="1"/>
      <w:marLeft w:val="0"/>
      <w:marRight w:val="0"/>
      <w:marTop w:val="0"/>
      <w:marBottom w:val="0"/>
      <w:divBdr>
        <w:top w:val="none" w:sz="0" w:space="0" w:color="auto"/>
        <w:left w:val="none" w:sz="0" w:space="0" w:color="auto"/>
        <w:bottom w:val="none" w:sz="0" w:space="0" w:color="auto"/>
        <w:right w:val="none" w:sz="0" w:space="0" w:color="auto"/>
      </w:divBdr>
    </w:div>
    <w:div w:id="954481956">
      <w:bodyDiv w:val="1"/>
      <w:marLeft w:val="0"/>
      <w:marRight w:val="0"/>
      <w:marTop w:val="0"/>
      <w:marBottom w:val="0"/>
      <w:divBdr>
        <w:top w:val="none" w:sz="0" w:space="0" w:color="auto"/>
        <w:left w:val="none" w:sz="0" w:space="0" w:color="auto"/>
        <w:bottom w:val="none" w:sz="0" w:space="0" w:color="auto"/>
        <w:right w:val="none" w:sz="0" w:space="0" w:color="auto"/>
      </w:divBdr>
      <w:divsChild>
        <w:div w:id="152379459">
          <w:marLeft w:val="0"/>
          <w:marRight w:val="0"/>
          <w:marTop w:val="0"/>
          <w:marBottom w:val="0"/>
          <w:divBdr>
            <w:top w:val="none" w:sz="0" w:space="0" w:color="auto"/>
            <w:left w:val="none" w:sz="0" w:space="0" w:color="auto"/>
            <w:bottom w:val="none" w:sz="0" w:space="0" w:color="auto"/>
            <w:right w:val="none" w:sz="0" w:space="0" w:color="auto"/>
          </w:divBdr>
        </w:div>
        <w:div w:id="1098988908">
          <w:marLeft w:val="0"/>
          <w:marRight w:val="0"/>
          <w:marTop w:val="0"/>
          <w:marBottom w:val="0"/>
          <w:divBdr>
            <w:top w:val="none" w:sz="0" w:space="0" w:color="auto"/>
            <w:left w:val="none" w:sz="0" w:space="0" w:color="auto"/>
            <w:bottom w:val="none" w:sz="0" w:space="0" w:color="auto"/>
            <w:right w:val="none" w:sz="0" w:space="0" w:color="auto"/>
          </w:divBdr>
        </w:div>
        <w:div w:id="1577128252">
          <w:marLeft w:val="0"/>
          <w:marRight w:val="0"/>
          <w:marTop w:val="0"/>
          <w:marBottom w:val="0"/>
          <w:divBdr>
            <w:top w:val="none" w:sz="0" w:space="0" w:color="auto"/>
            <w:left w:val="none" w:sz="0" w:space="0" w:color="auto"/>
            <w:bottom w:val="none" w:sz="0" w:space="0" w:color="auto"/>
            <w:right w:val="none" w:sz="0" w:space="0" w:color="auto"/>
          </w:divBdr>
        </w:div>
        <w:div w:id="1802724124">
          <w:marLeft w:val="0"/>
          <w:marRight w:val="0"/>
          <w:marTop w:val="0"/>
          <w:marBottom w:val="0"/>
          <w:divBdr>
            <w:top w:val="none" w:sz="0" w:space="0" w:color="auto"/>
            <w:left w:val="none" w:sz="0" w:space="0" w:color="auto"/>
            <w:bottom w:val="none" w:sz="0" w:space="0" w:color="auto"/>
            <w:right w:val="none" w:sz="0" w:space="0" w:color="auto"/>
          </w:divBdr>
        </w:div>
      </w:divsChild>
    </w:div>
    <w:div w:id="1048990521">
      <w:bodyDiv w:val="1"/>
      <w:marLeft w:val="0"/>
      <w:marRight w:val="0"/>
      <w:marTop w:val="0"/>
      <w:marBottom w:val="0"/>
      <w:divBdr>
        <w:top w:val="none" w:sz="0" w:space="0" w:color="auto"/>
        <w:left w:val="none" w:sz="0" w:space="0" w:color="auto"/>
        <w:bottom w:val="none" w:sz="0" w:space="0" w:color="auto"/>
        <w:right w:val="none" w:sz="0" w:space="0" w:color="auto"/>
      </w:divBdr>
    </w:div>
    <w:div w:id="1071732075">
      <w:bodyDiv w:val="1"/>
      <w:marLeft w:val="0"/>
      <w:marRight w:val="0"/>
      <w:marTop w:val="0"/>
      <w:marBottom w:val="0"/>
      <w:divBdr>
        <w:top w:val="none" w:sz="0" w:space="0" w:color="auto"/>
        <w:left w:val="none" w:sz="0" w:space="0" w:color="auto"/>
        <w:bottom w:val="none" w:sz="0" w:space="0" w:color="auto"/>
        <w:right w:val="none" w:sz="0" w:space="0" w:color="auto"/>
      </w:divBdr>
    </w:div>
    <w:div w:id="1155146031">
      <w:bodyDiv w:val="1"/>
      <w:marLeft w:val="0"/>
      <w:marRight w:val="0"/>
      <w:marTop w:val="0"/>
      <w:marBottom w:val="0"/>
      <w:divBdr>
        <w:top w:val="none" w:sz="0" w:space="0" w:color="auto"/>
        <w:left w:val="none" w:sz="0" w:space="0" w:color="auto"/>
        <w:bottom w:val="none" w:sz="0" w:space="0" w:color="auto"/>
        <w:right w:val="none" w:sz="0" w:space="0" w:color="auto"/>
      </w:divBdr>
      <w:divsChild>
        <w:div w:id="336999710">
          <w:marLeft w:val="0"/>
          <w:marRight w:val="0"/>
          <w:marTop w:val="0"/>
          <w:marBottom w:val="0"/>
          <w:divBdr>
            <w:top w:val="none" w:sz="0" w:space="0" w:color="auto"/>
            <w:left w:val="none" w:sz="0" w:space="0" w:color="auto"/>
            <w:bottom w:val="none" w:sz="0" w:space="0" w:color="auto"/>
            <w:right w:val="none" w:sz="0" w:space="0" w:color="auto"/>
          </w:divBdr>
        </w:div>
      </w:divsChild>
    </w:div>
    <w:div w:id="1197229445">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251349524">
      <w:bodyDiv w:val="1"/>
      <w:marLeft w:val="0"/>
      <w:marRight w:val="0"/>
      <w:marTop w:val="0"/>
      <w:marBottom w:val="0"/>
      <w:divBdr>
        <w:top w:val="none" w:sz="0" w:space="0" w:color="auto"/>
        <w:left w:val="none" w:sz="0" w:space="0" w:color="auto"/>
        <w:bottom w:val="none" w:sz="0" w:space="0" w:color="auto"/>
        <w:right w:val="none" w:sz="0" w:space="0" w:color="auto"/>
      </w:divBdr>
    </w:div>
    <w:div w:id="1423532328">
      <w:bodyDiv w:val="1"/>
      <w:marLeft w:val="0"/>
      <w:marRight w:val="0"/>
      <w:marTop w:val="0"/>
      <w:marBottom w:val="0"/>
      <w:divBdr>
        <w:top w:val="none" w:sz="0" w:space="0" w:color="auto"/>
        <w:left w:val="none" w:sz="0" w:space="0" w:color="auto"/>
        <w:bottom w:val="none" w:sz="0" w:space="0" w:color="auto"/>
        <w:right w:val="none" w:sz="0" w:space="0" w:color="auto"/>
      </w:divBdr>
      <w:divsChild>
        <w:div w:id="809059251">
          <w:marLeft w:val="0"/>
          <w:marRight w:val="0"/>
          <w:marTop w:val="0"/>
          <w:marBottom w:val="0"/>
          <w:divBdr>
            <w:top w:val="none" w:sz="0" w:space="0" w:color="auto"/>
            <w:left w:val="none" w:sz="0" w:space="0" w:color="auto"/>
            <w:bottom w:val="none" w:sz="0" w:space="0" w:color="auto"/>
            <w:right w:val="none" w:sz="0" w:space="0" w:color="auto"/>
          </w:divBdr>
        </w:div>
      </w:divsChild>
    </w:div>
    <w:div w:id="1509903392">
      <w:bodyDiv w:val="1"/>
      <w:marLeft w:val="0"/>
      <w:marRight w:val="0"/>
      <w:marTop w:val="0"/>
      <w:marBottom w:val="0"/>
      <w:divBdr>
        <w:top w:val="none" w:sz="0" w:space="0" w:color="auto"/>
        <w:left w:val="none" w:sz="0" w:space="0" w:color="auto"/>
        <w:bottom w:val="none" w:sz="0" w:space="0" w:color="auto"/>
        <w:right w:val="none" w:sz="0" w:space="0" w:color="auto"/>
      </w:divBdr>
    </w:div>
    <w:div w:id="1633516485">
      <w:bodyDiv w:val="1"/>
      <w:marLeft w:val="0"/>
      <w:marRight w:val="0"/>
      <w:marTop w:val="0"/>
      <w:marBottom w:val="0"/>
      <w:divBdr>
        <w:top w:val="none" w:sz="0" w:space="0" w:color="auto"/>
        <w:left w:val="none" w:sz="0" w:space="0" w:color="auto"/>
        <w:bottom w:val="none" w:sz="0" w:space="0" w:color="auto"/>
        <w:right w:val="none" w:sz="0" w:space="0" w:color="auto"/>
      </w:divBdr>
    </w:div>
    <w:div w:id="1852600065">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45725718">
      <w:bodyDiv w:val="1"/>
      <w:marLeft w:val="0"/>
      <w:marRight w:val="0"/>
      <w:marTop w:val="0"/>
      <w:marBottom w:val="0"/>
      <w:divBdr>
        <w:top w:val="none" w:sz="0" w:space="0" w:color="auto"/>
        <w:left w:val="none" w:sz="0" w:space="0" w:color="auto"/>
        <w:bottom w:val="none" w:sz="0" w:space="0" w:color="auto"/>
        <w:right w:val="none" w:sz="0" w:space="0" w:color="auto"/>
      </w:divBdr>
    </w:div>
    <w:div w:id="2000844044">
      <w:bodyDiv w:val="1"/>
      <w:marLeft w:val="0"/>
      <w:marRight w:val="0"/>
      <w:marTop w:val="0"/>
      <w:marBottom w:val="0"/>
      <w:divBdr>
        <w:top w:val="none" w:sz="0" w:space="0" w:color="auto"/>
        <w:left w:val="none" w:sz="0" w:space="0" w:color="auto"/>
        <w:bottom w:val="none" w:sz="0" w:space="0" w:color="auto"/>
        <w:right w:val="none" w:sz="0" w:space="0" w:color="auto"/>
      </w:divBdr>
    </w:div>
    <w:div w:id="2047484630">
      <w:bodyDiv w:val="1"/>
      <w:marLeft w:val="0"/>
      <w:marRight w:val="0"/>
      <w:marTop w:val="0"/>
      <w:marBottom w:val="0"/>
      <w:divBdr>
        <w:top w:val="none" w:sz="0" w:space="0" w:color="auto"/>
        <w:left w:val="none" w:sz="0" w:space="0" w:color="auto"/>
        <w:bottom w:val="none" w:sz="0" w:space="0" w:color="auto"/>
        <w:right w:val="none" w:sz="0" w:space="0" w:color="auto"/>
      </w:divBdr>
      <w:divsChild>
        <w:div w:id="1065642865">
          <w:marLeft w:val="0"/>
          <w:marRight w:val="0"/>
          <w:marTop w:val="0"/>
          <w:marBottom w:val="0"/>
          <w:divBdr>
            <w:top w:val="none" w:sz="0" w:space="0" w:color="auto"/>
            <w:left w:val="none" w:sz="0" w:space="0" w:color="auto"/>
            <w:bottom w:val="none" w:sz="0" w:space="0" w:color="auto"/>
            <w:right w:val="none" w:sz="0" w:space="0" w:color="auto"/>
          </w:divBdr>
        </w:div>
      </w:divsChild>
    </w:div>
    <w:div w:id="2065058156">
      <w:bodyDiv w:val="1"/>
      <w:marLeft w:val="0"/>
      <w:marRight w:val="0"/>
      <w:marTop w:val="0"/>
      <w:marBottom w:val="0"/>
      <w:divBdr>
        <w:top w:val="none" w:sz="0" w:space="0" w:color="auto"/>
        <w:left w:val="none" w:sz="0" w:space="0" w:color="auto"/>
        <w:bottom w:val="none" w:sz="0" w:space="0" w:color="auto"/>
        <w:right w:val="none" w:sz="0" w:space="0" w:color="auto"/>
      </w:divBdr>
      <w:divsChild>
        <w:div w:id="678309184">
          <w:marLeft w:val="0"/>
          <w:marRight w:val="0"/>
          <w:marTop w:val="0"/>
          <w:marBottom w:val="0"/>
          <w:divBdr>
            <w:top w:val="none" w:sz="0" w:space="0" w:color="auto"/>
            <w:left w:val="none" w:sz="0" w:space="0" w:color="auto"/>
            <w:bottom w:val="none" w:sz="0" w:space="0" w:color="auto"/>
            <w:right w:val="none" w:sz="0" w:space="0" w:color="auto"/>
          </w:divBdr>
        </w:div>
        <w:div w:id="1096752494">
          <w:marLeft w:val="0"/>
          <w:marRight w:val="0"/>
          <w:marTop w:val="0"/>
          <w:marBottom w:val="0"/>
          <w:divBdr>
            <w:top w:val="none" w:sz="0" w:space="0" w:color="auto"/>
            <w:left w:val="none" w:sz="0" w:space="0" w:color="auto"/>
            <w:bottom w:val="none" w:sz="0" w:space="0" w:color="auto"/>
            <w:right w:val="none" w:sz="0" w:space="0" w:color="auto"/>
          </w:divBdr>
        </w:div>
        <w:div w:id="1264414156">
          <w:marLeft w:val="0"/>
          <w:marRight w:val="0"/>
          <w:marTop w:val="0"/>
          <w:marBottom w:val="0"/>
          <w:divBdr>
            <w:top w:val="none" w:sz="0" w:space="0" w:color="auto"/>
            <w:left w:val="none" w:sz="0" w:space="0" w:color="auto"/>
            <w:bottom w:val="none" w:sz="0" w:space="0" w:color="auto"/>
            <w:right w:val="none" w:sz="0" w:space="0" w:color="auto"/>
          </w:divBdr>
        </w:div>
        <w:div w:id="1366367886">
          <w:marLeft w:val="0"/>
          <w:marRight w:val="0"/>
          <w:marTop w:val="0"/>
          <w:marBottom w:val="0"/>
          <w:divBdr>
            <w:top w:val="none" w:sz="0" w:space="0" w:color="auto"/>
            <w:left w:val="none" w:sz="0" w:space="0" w:color="auto"/>
            <w:bottom w:val="none" w:sz="0" w:space="0" w:color="auto"/>
            <w:right w:val="none" w:sz="0" w:space="0" w:color="auto"/>
          </w:divBdr>
        </w:div>
      </w:divsChild>
    </w:div>
    <w:div w:id="2076320463">
      <w:bodyDiv w:val="1"/>
      <w:marLeft w:val="0"/>
      <w:marRight w:val="0"/>
      <w:marTop w:val="0"/>
      <w:marBottom w:val="0"/>
      <w:divBdr>
        <w:top w:val="none" w:sz="0" w:space="0" w:color="auto"/>
        <w:left w:val="none" w:sz="0" w:space="0" w:color="auto"/>
        <w:bottom w:val="none" w:sz="0" w:space="0" w:color="auto"/>
        <w:right w:val="none" w:sz="0" w:space="0" w:color="auto"/>
      </w:divBdr>
    </w:div>
    <w:div w:id="2103722829">
      <w:bodyDiv w:val="1"/>
      <w:marLeft w:val="0"/>
      <w:marRight w:val="0"/>
      <w:marTop w:val="0"/>
      <w:marBottom w:val="0"/>
      <w:divBdr>
        <w:top w:val="none" w:sz="0" w:space="0" w:color="auto"/>
        <w:left w:val="none" w:sz="0" w:space="0" w:color="auto"/>
        <w:bottom w:val="none" w:sz="0" w:space="0" w:color="auto"/>
        <w:right w:val="none" w:sz="0" w:space="0" w:color="auto"/>
      </w:divBdr>
      <w:divsChild>
        <w:div w:id="278680338">
          <w:marLeft w:val="0"/>
          <w:marRight w:val="0"/>
          <w:marTop w:val="0"/>
          <w:marBottom w:val="0"/>
          <w:divBdr>
            <w:top w:val="none" w:sz="0" w:space="0" w:color="auto"/>
            <w:left w:val="none" w:sz="0" w:space="0" w:color="auto"/>
            <w:bottom w:val="none" w:sz="0" w:space="0" w:color="auto"/>
            <w:right w:val="none" w:sz="0" w:space="0" w:color="auto"/>
          </w:divBdr>
        </w:div>
      </w:divsChild>
    </w:div>
    <w:div w:id="210884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D22-TDAG30-C-0048/"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hyperlink" Target="https://www.itu.int/md/meetingdoc.asp?lang=en&amp;parent=D22-TDAG31-C-0051" TargetMode="External"/><Relationship Id="rId42" Type="http://schemas.openxmlformats.org/officeDocument/2006/relationships/hyperlink" Target="https://www.itu.int/dms_pub/itu-d/md/22/tdag.extra/c/D22-TDAG.EXTRA-C-0010!R1!MSW-E.docx" TargetMode="External"/><Relationship Id="rId47" Type="http://schemas.openxmlformats.org/officeDocument/2006/relationships/hyperlink" Target="https://www.itu.int/en/ITU-D/Conferences/TDAG/Pages/2024/TDAG_ICG_GYS.aspx" TargetMode="External"/><Relationship Id="rId50" Type="http://schemas.openxmlformats.org/officeDocument/2006/relationships/hyperlink" Target="https://www.itu.int/md/meetingdoc.asp?lang=en&amp;parent=D22-RPMEUR-C-0030" TargetMode="External"/><Relationship Id="rId55" Type="http://schemas.openxmlformats.org/officeDocument/2006/relationships/hyperlink" Target="https://www.itu.int/en/general-secretariat/ties/ISCGDocumentLibrary/1st%20Meeting%202025/ISCG-25-1-02-Final%20Report-3rd%20Meeting%202024-Final.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itu.int/en/ITU-D/Conferences/TDAG/Pages/2024/TDAG_WG_ITUDP.aspx" TargetMode="External"/><Relationship Id="rId53" Type="http://schemas.openxmlformats.org/officeDocument/2006/relationships/hyperlink" Target="https://www.itu.int/en/general-secretariat/ties/ISCGDocumentLibrary/2nd%20Meeting%202024/ISCG-24-2-02-1st%20Meeting%202024-Final%20Report.docx"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itu.int/ITU-D/tdag/" TargetMode="External"/><Relationship Id="rId14" Type="http://schemas.openxmlformats.org/officeDocument/2006/relationships/hyperlink" Target="https://www.itu.int/md/D22-TDAG31-C-0051/" TargetMode="External"/><Relationship Id="rId22" Type="http://schemas.openxmlformats.org/officeDocument/2006/relationships/hyperlink" Target="https://www.itu.int/en/ITU-D/conferences/WTDC/WTDC21/Pages/default.aspx" TargetMode="External"/><Relationship Id="rId27" Type="http://schemas.openxmlformats.org/officeDocument/2006/relationships/hyperlink" Target="https://www.itu.int/dms_pub/itu-d/md/22/tdag30/c/D22-TDAG30-C-0048!R2!MSW-E.docx" TargetMode="External"/><Relationship Id="rId30" Type="http://schemas.openxmlformats.org/officeDocument/2006/relationships/image" Target="media/image9.png"/><Relationship Id="rId35" Type="http://schemas.openxmlformats.org/officeDocument/2006/relationships/hyperlink" Target="https://youtu.be/INyooRqdJo4" TargetMode="External"/><Relationship Id="rId43" Type="http://schemas.openxmlformats.org/officeDocument/2006/relationships/hyperlink" Target="https://www.itu.int/en/ITU-D/Conferences/TDAG/Pages/2024/TDAG_WG_SR.aspx" TargetMode="External"/><Relationship Id="rId48" Type="http://schemas.openxmlformats.org/officeDocument/2006/relationships/hyperlink" Target="https://www.itu.int/md/meetingdoc.asp?lang=en&amp;parent=D22-RPMARB-C-0020" TargetMode="External"/><Relationship Id="rId56" Type="http://schemas.openxmlformats.org/officeDocument/2006/relationships/hyperlink" Target="https://www.itu.int/en/general-secretariat/ties/Pages/ISCG-documents.aspx" TargetMode="External"/><Relationship Id="rId8" Type="http://schemas.openxmlformats.org/officeDocument/2006/relationships/webSettings" Target="webSettings.xml"/><Relationship Id="rId51" Type="http://schemas.openxmlformats.org/officeDocument/2006/relationships/hyperlink" Target="https://www.itu.int/en/council/Documents/basic-texts/RES-191-E.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itu.int/en/ITU-D/Conferences/TDAG/Pages/2024/TDAG_WG_DEC.aspx" TargetMode="External"/><Relationship Id="rId59" Type="http://schemas.openxmlformats.org/officeDocument/2006/relationships/footer" Target="footer3.xml"/><Relationship Id="rId20" Type="http://schemas.openxmlformats.org/officeDocument/2006/relationships/hyperlink" Target="http://www.itu.int/ITU-D/tdag/" TargetMode="External"/><Relationship Id="rId41" Type="http://schemas.openxmlformats.org/officeDocument/2006/relationships/hyperlink" Target="https://www.itu.int/md/D22-TDAG.ICG.GYS-C-0012/" TargetMode="External"/><Relationship Id="rId54" Type="http://schemas.openxmlformats.org/officeDocument/2006/relationships/hyperlink" Target="https://www.itu.int/en/general-secretariat/ties/ISCGDocumentLibrary/3rd%20Meeting%202024/ISCG-24-3-02-2nd%20Meeting%202024-Final%20Report_tsb-R1.docx" TargetMode="Externa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D22-TDAG.EXTRA-C-0010/en" TargetMode="External"/><Relationship Id="rId23" Type="http://schemas.openxmlformats.org/officeDocument/2006/relationships/image" Target="media/image4.png"/><Relationship Id="rId28" Type="http://schemas.openxmlformats.org/officeDocument/2006/relationships/hyperlink" Target="https://youtu.be/zGo4gpVbtSQ" TargetMode="External"/><Relationship Id="rId36" Type="http://schemas.openxmlformats.org/officeDocument/2006/relationships/image" Target="media/image13.png"/><Relationship Id="rId49" Type="http://schemas.openxmlformats.org/officeDocument/2006/relationships/hyperlink" Target="https://www.itu.int/md/meetingdoc.asp?lang=en&amp;parent=D22-RPMASP-C-0018"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www.itu.int/en/ITU-D/Conferences/TDAG/Pages/2024/TDAG_WG_futureSGQ.aspx" TargetMode="External"/><Relationship Id="rId52" Type="http://schemas.openxmlformats.org/officeDocument/2006/relationships/hyperlink" Target="https://www.itu.int/en/general-secretariat/ties/ISCGDocumentLibrary/1st%20Meeting%202024/ISCG-24-1-02-1st%20Meeting%202023-Final%20Report.doc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Projects/ITU-EC-ACP/PRIDA/Pages/default.aspx" TargetMode="External"/><Relationship Id="rId3" Type="http://schemas.openxmlformats.org/officeDocument/2006/relationships/hyperlink" Target="https://www.itu.int/en/ITU-D/Regional-Presence/Americas/Pages/EVENTS/2024/cons-awa-2024.aspx" TargetMode="External"/><Relationship Id="rId7" Type="http://schemas.openxmlformats.org/officeDocument/2006/relationships/hyperlink" Target="https://www.itu.int/itu-d/sites/projectumc/home/the-umc-project/" TargetMode="External"/><Relationship Id="rId2" Type="http://schemas.openxmlformats.org/officeDocument/2006/relationships/hyperlink" Target="https://www.itu.int/md/D22-TDAG.WG.SGQ-C-0029/en" TargetMode="External"/><Relationship Id="rId1" Type="http://schemas.openxmlformats.org/officeDocument/2006/relationships/hyperlink" Target="https://www.itu.int/en/ITU-D/Conferences/TDAG/Pages/2024/TDAG_WG_futureSGQ.aspx" TargetMode="External"/><Relationship Id="rId6" Type="http://schemas.openxmlformats.org/officeDocument/2006/relationships/hyperlink" Target="https://www.itu.int/md/D22-SG01-C-0329/" TargetMode="External"/><Relationship Id="rId5" Type="http://schemas.openxmlformats.org/officeDocument/2006/relationships/hyperlink" Target="https://www.itu.int/en/ITU-D/Study-Groups/2022-2025/Pages/meetings/workshop-products_usage-may23.aspx" TargetMode="External"/><Relationship Id="rId4" Type="http://schemas.openxmlformats.org/officeDocument/2006/relationships/hyperlink" Target="https://www.itu.int/en/ITU-D/Study-Groups/2022-2025/Pages/meetings/workshop-innovation-may23.aspx" TargetMode="External"/><Relationship Id="rId9" Type="http://schemas.openxmlformats.org/officeDocument/2006/relationships/hyperlink" Target="https://www.itu.int/generationconnect/" TargetMode="External"/></Relationships>
</file>

<file path=word/documenttasks/documenttasks1.xml><?xml version="1.0" encoding="utf-8"?>
<t:Tasks xmlns:t="http://schemas.microsoft.com/office/tasks/2019/documenttasks" xmlns:oel="http://schemas.microsoft.com/office/2019/extlst">
  <t:Task id="{5383C4D5-5EEC-429C-B770-CE28DE9C23B0}">
    <t:Anchor>
      <t:Comment id="49943486"/>
    </t:Anchor>
    <t:History>
      <t:Event id="{E2D1A58F-4D77-4DEE-AD45-59137709CD4B}" time="2025-04-03T11:52:10.667Z">
        <t:Attribution userId="S::sofie.maddens@itu.int::ba7d7ed8-deb7-423a-8287-1bc28534fd39" userProvider="AD" userName="Maddens, Sofie"/>
        <t:Anchor>
          <t:Comment id="49943486"/>
        </t:Anchor>
        <t:Create/>
      </t:Event>
      <t:Event id="{72E889A6-110F-46E4-AD38-4C57E61181F8}" time="2025-04-03T11:52:10.667Z">
        <t:Attribution userId="S::sofie.maddens@itu.int::ba7d7ed8-deb7-423a-8287-1bc28534fd39" userProvider="AD" userName="Maddens, Sofie"/>
        <t:Anchor>
          <t:Comment id="49943486"/>
        </t:Anchor>
        <t:Assign userId="S::rosheen.awotar@itu.int::708ca6f8-0531-4c97-a74c-2d8ef23ae834" userProvider="AD" userName="Awotar-Mauree, Rosheen"/>
      </t:Event>
      <t:Event id="{6ECF8DBB-933D-45A2-BAA7-BDA29A142E10}" time="2025-04-03T11:52:10.667Z">
        <t:Attribution userId="S::sofie.maddens@itu.int::ba7d7ed8-deb7-423a-8287-1bc28534fd39" userProvider="AD" userName="Maddens, Sofie"/>
        <t:Anchor>
          <t:Comment id="49943486"/>
        </t:Anchor>
        <t:SetTitle title="@Awotar-Mauree, Rosheen what about future SGQ?"/>
      </t:Event>
    </t:History>
  </t:Task>
  <t:Task id="{D7F51C16-7B34-4F48-9A9D-9A5ECF6324DF}">
    <t:Anchor>
      <t:Comment id="669513425"/>
    </t:Anchor>
    <t:History>
      <t:Event id="{8D92558C-B003-40EA-A5A9-715E82B42C7C}" time="2025-04-03T11:52:54.681Z">
        <t:Attribution userId="S::sofie.maddens@itu.int::ba7d7ed8-deb7-423a-8287-1bc28534fd39" userProvider="AD" userName="Maddens, Sofie"/>
        <t:Anchor>
          <t:Comment id="669513425"/>
        </t:Anchor>
        <t:Create/>
      </t:Event>
      <t:Event id="{56253EEC-3B4A-465C-836F-A9EEEE6DBB08}" time="2025-04-03T11:52:54.681Z">
        <t:Attribution userId="S::sofie.maddens@itu.int::ba7d7ed8-deb7-423a-8287-1bc28534fd39" userProvider="AD" userName="Maddens, Sofie"/>
        <t:Anchor>
          <t:Comment id="669513425"/>
        </t:Anchor>
        <t:Assign userId="S::rosheen.awotar@itu.int::708ca6f8-0531-4c97-a74c-2d8ef23ae834" userProvider="AD" userName="Awotar-Mauree, Rosheen"/>
      </t:Event>
      <t:Event id="{D666999A-FD9C-4004-B7D8-A99FA98276FC}" time="2025-04-03T11:52:54.681Z">
        <t:Attribution userId="S::sofie.maddens@itu.int::ba7d7ed8-deb7-423a-8287-1bc28534fd39" userProvider="AD" userName="Maddens, Sofie"/>
        <t:Anchor>
          <t:Comment id="669513425"/>
        </t:Anchor>
        <t:SetTitle title="@Awotar-Mauree, Rosheen - I think there are more - no?"/>
      </t:Event>
      <t:Event id="{523EDFC3-3F1C-44D4-9F3F-264340986D10}" time="2025-04-03T12:43:32.111Z">
        <t:Attribution userId="S::rosheen.awotar@itu.int::708ca6f8-0531-4c97-a74c-2d8ef23ae834" userProvider="AD" userName="Awotar-Mauree, Rosheen"/>
        <t:Progress percentComplete="100"/>
      </t:Event>
    </t:History>
  </t:Task>
  <t:Task id="{635AC7A6-3617-42AE-98AE-4673233FC8F9}">
    <t:Anchor>
      <t:Comment id="432554540"/>
    </t:Anchor>
    <t:History>
      <t:Event id="{8D92558C-B003-40EA-A5A9-715E82B42C7C}" time="2025-04-03T11:52:54.681Z">
        <t:Attribution userId="S::sofie.maddens@itu.int::ba7d7ed8-deb7-423a-8287-1bc28534fd39" userProvider="AD" userName="Maddens, Sofie"/>
        <t:Anchor>
          <t:Comment id="432554540"/>
        </t:Anchor>
        <t:Create/>
      </t:Event>
      <t:Event id="{56253EEC-3B4A-465C-836F-A9EEEE6DBB08}" time="2025-04-03T11:52:54.681Z">
        <t:Attribution userId="S::sofie.maddens@itu.int::ba7d7ed8-deb7-423a-8287-1bc28534fd39" userProvider="AD" userName="Maddens, Sofie"/>
        <t:Anchor>
          <t:Comment id="432554540"/>
        </t:Anchor>
        <t:Assign userId="S::rosheen.awotar@itu.int::708ca6f8-0531-4c97-a74c-2d8ef23ae834" userProvider="AD" userName="Awotar-Mauree, Rosheen"/>
      </t:Event>
      <t:Event id="{D666999A-FD9C-4004-B7D8-A99FA98276FC}" time="2025-04-03T11:52:54.681Z">
        <t:Attribution userId="S::sofie.maddens@itu.int::ba7d7ed8-deb7-423a-8287-1bc28534fd39" userProvider="AD" userName="Maddens, Sofie"/>
        <t:Anchor>
          <t:Comment id="432554540"/>
        </t:Anchor>
        <t:SetTitle title="@Awotar-Mauree, Rosheen - I think there are more - no?"/>
      </t:Event>
      <t:Event id="{3BA8986A-36BB-4F58-A5E8-B957F69BA568}" time="2025-04-03T12:43:35.041Z">
        <t:Attribution userId="S::rosheen.awotar@itu.int::708ca6f8-0531-4c97-a74c-2d8ef23ae834" userProvider="AD" userName="Awotar-Mauree, Rosheen"/>
        <t:Progress percentComplete="100"/>
      </t:Event>
    </t:History>
  </t:Task>
  <t:Task id="{788AB6A4-3DE3-4FD2-8ABD-5443992708B9}">
    <t:Anchor>
      <t:Comment id="1925180325"/>
    </t:Anchor>
    <t:History>
      <t:Event id="{E2D1A58F-4D77-4DEE-AD45-59137709CD4B}" time="2025-04-03T11:52:10.667Z">
        <t:Attribution userId="S::sofie.maddens@itu.int::ba7d7ed8-deb7-423a-8287-1bc28534fd39" userProvider="AD" userName="Maddens, Sofie"/>
        <t:Anchor>
          <t:Comment id="1925180325"/>
        </t:Anchor>
        <t:Create/>
      </t:Event>
      <t:Event id="{72E889A6-110F-46E4-AD38-4C57E61181F8}" time="2025-04-03T11:52:10.667Z">
        <t:Attribution userId="S::sofie.maddens@itu.int::ba7d7ed8-deb7-423a-8287-1bc28534fd39" userProvider="AD" userName="Maddens, Sofie"/>
        <t:Anchor>
          <t:Comment id="1925180325"/>
        </t:Anchor>
        <t:Assign userId="S::rosheen.awotar@itu.int::708ca6f8-0531-4c97-a74c-2d8ef23ae834" userProvider="AD" userName="Awotar-Mauree, Rosheen"/>
      </t:Event>
      <t:Event id="{6ECF8DBB-933D-45A2-BAA7-BDA29A142E10}" time="2025-04-03T11:52:10.667Z">
        <t:Attribution userId="S::sofie.maddens@itu.int::ba7d7ed8-deb7-423a-8287-1bc28534fd39" userProvider="AD" userName="Maddens, Sofie"/>
        <t:Anchor>
          <t:Comment id="1925180325"/>
        </t:Anchor>
        <t:SetTitle title="@Awotar-Mauree, Rosheen what about future SGQ?"/>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DB95C1-E24B-4AEA-8CFD-3CD416BEE0CB}">
  <we:reference id="wa104380773" version="1.0.0.2" store="en-GB" storeType="OMEX"/>
  <we:alternateReferences>
    <we:reference id="wa104380773" version="1.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12" ma:contentTypeDescription="Create a new document." ma:contentTypeScope="" ma:versionID="c49fd03f119fe2623b7823d101cc7060">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27ae6710a8408fec3d5e7ff7ec192687"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2A876-AB41-4784-9C7F-CAA56FAF5040}">
  <ds:schemaRefs>
    <ds:schemaRef ds:uri="http://schemas.openxmlformats.org/officeDocument/2006/bibliography"/>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2C92F3-E08B-4615-B5CD-643EA8710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a696a-cca3-460b-a983-57ac2621983a"/>
    <ds:schemaRef ds:uri="29399490-13b9-4c73-b71e-403b715b7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4390</Words>
  <Characters>29311</Characters>
  <Application>Microsoft Office Word</Application>
  <DocSecurity>0</DocSecurity>
  <Lines>244</Lines>
  <Paragraphs>67</Paragraphs>
  <ScaleCrop>false</ScaleCrop>
  <Manager>General Secretariat - Pool</Manager>
  <Company/>
  <LinksUpToDate>false</LinksUpToDate>
  <CharactersWithSpaces>33634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Manias, Michel</dc:creator>
  <cp:keywords/>
  <cp:lastModifiedBy>BDT</cp:lastModifiedBy>
  <cp:revision>42</cp:revision>
  <cp:lastPrinted>2019-01-15T22:57:00Z</cp:lastPrinted>
  <dcterms:created xsi:type="dcterms:W3CDTF">2025-04-02T05:30:00Z</dcterms:created>
  <dcterms:modified xsi:type="dcterms:W3CDTF">2025-04-07T15:46:00Z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0x0101000421F7F6C5263B4B928A068E40912AB8</vt:lpwstr>
  </property>
  <property fmtid="{D5CDD505-2E9C-101B-9397-08002B2CF9AE}" pid="10" name="_dlc_DocIdItemGuid">
    <vt:lpwstr>1277586e-23f4-4a9c-8b22-c68c4fc349db</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