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52D74E2A">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98F3F6D"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6B402C">
              <w:rPr>
                <w:b/>
                <w:bCs/>
                <w:lang w:val="en-US"/>
              </w:rPr>
              <w:t>14</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4AE2575B"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6B402C">
              <w:rPr>
                <w:b/>
                <w:bCs/>
                <w:szCs w:val="28"/>
              </w:rPr>
              <w:t>3</w:t>
            </w:r>
            <w:r w:rsidRPr="00227A1C">
              <w:rPr>
                <w:rFonts w:ascii="SimSun" w:eastAsia="SimSun" w:hAnsi="SimSun" w:hint="eastAsia"/>
                <w:b/>
                <w:bCs/>
                <w:szCs w:val="28"/>
                <w:lang w:eastAsia="zh-CN"/>
              </w:rPr>
              <w:t>月</w:t>
            </w:r>
            <w:r w:rsidR="006B402C">
              <w:rPr>
                <w:b/>
                <w:bCs/>
                <w:szCs w:val="28"/>
              </w:rPr>
              <w:t>24</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2FC10B09" w:rsidR="00A13162" w:rsidRPr="006B402C" w:rsidRDefault="006B402C" w:rsidP="0030353C">
            <w:pPr>
              <w:pStyle w:val="Source"/>
              <w:rPr>
                <w:lang w:val="en-US"/>
              </w:rPr>
            </w:pPr>
            <w:bookmarkStart w:id="3" w:name="Source"/>
            <w:bookmarkEnd w:id="3"/>
            <w:r>
              <w:rPr>
                <w:rFonts w:hint="eastAsia"/>
                <w:lang w:val="en-US" w:eastAsia="zh-CN"/>
              </w:rPr>
              <w:t>电信发展局主任</w:t>
            </w:r>
          </w:p>
        </w:tc>
      </w:tr>
      <w:tr w:rsidR="00AC6F14" w:rsidRPr="002E6963" w14:paraId="581FD305" w14:textId="77777777" w:rsidTr="00107E85">
        <w:trPr>
          <w:cantSplit/>
        </w:trPr>
        <w:tc>
          <w:tcPr>
            <w:tcW w:w="9888" w:type="dxa"/>
            <w:gridSpan w:val="4"/>
          </w:tcPr>
          <w:p w14:paraId="43ACD2CD" w14:textId="5042A3BA" w:rsidR="00AC6F14" w:rsidRPr="0030353C" w:rsidRDefault="006B402C" w:rsidP="006B402C">
            <w:pPr>
              <w:pStyle w:val="Title1"/>
              <w:rPr>
                <w:lang w:eastAsia="zh-CN"/>
              </w:rPr>
            </w:pPr>
            <w:bookmarkStart w:id="4" w:name="Title"/>
            <w:bookmarkEnd w:id="4"/>
            <w:r>
              <w:rPr>
                <w:rFonts w:hint="eastAsia"/>
                <w:lang w:eastAsia="zh-CN"/>
              </w:rPr>
              <w:t>关于组织塑造数字发展未来的青年庆祝活动的报告：</w:t>
            </w:r>
            <w:r w:rsidR="007164B9">
              <w:rPr>
                <w:lang w:eastAsia="zh-CN"/>
              </w:rPr>
              <w:br/>
            </w:r>
            <w:r w:rsidRPr="006B402C">
              <w:rPr>
                <w:rFonts w:hint="eastAsia"/>
                <w:lang w:eastAsia="zh-CN"/>
              </w:rPr>
              <w:t>在</w:t>
            </w:r>
            <w:r w:rsidRPr="006B402C">
              <w:rPr>
                <w:rFonts w:hint="eastAsia"/>
                <w:lang w:eastAsia="zh-CN"/>
              </w:rPr>
              <w:t>2025</w:t>
            </w:r>
            <w:r w:rsidRPr="006B402C">
              <w:rPr>
                <w:rFonts w:hint="eastAsia"/>
                <w:lang w:eastAsia="zh-CN"/>
              </w:rPr>
              <w:t>年世界</w:t>
            </w:r>
            <w:r>
              <w:rPr>
                <w:rFonts w:hint="eastAsia"/>
                <w:lang w:eastAsia="zh-CN"/>
              </w:rPr>
              <w:t>电信</w:t>
            </w:r>
            <w:r w:rsidRPr="006B402C">
              <w:rPr>
                <w:rFonts w:hint="eastAsia"/>
                <w:lang w:eastAsia="zh-CN"/>
              </w:rPr>
              <w:t>发展大会（</w:t>
            </w:r>
            <w:r w:rsidRPr="006B402C">
              <w:rPr>
                <w:rFonts w:hint="eastAsia"/>
                <w:lang w:eastAsia="zh-CN"/>
              </w:rPr>
              <w:t>WTDC-25</w:t>
            </w:r>
            <w:r w:rsidRPr="006B402C">
              <w:rPr>
                <w:rFonts w:hint="eastAsia"/>
                <w:lang w:eastAsia="zh-CN"/>
              </w:rPr>
              <w:t>）之前聆听未来之声</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14414AE" w:rsidR="00A721F4" w:rsidRPr="00072866" w:rsidRDefault="003E2456" w:rsidP="003465A9">
            <w:pPr>
              <w:spacing w:after="120"/>
              <w:ind w:firstLineChars="200" w:firstLine="480"/>
              <w:rPr>
                <w:rFonts w:cstheme="minorHAnsi"/>
                <w:szCs w:val="24"/>
                <w:lang w:eastAsia="zh-CN"/>
              </w:rPr>
            </w:pPr>
            <w:r w:rsidRPr="00072866">
              <w:rPr>
                <w:rFonts w:cstheme="minorHAnsi"/>
                <w:lang w:eastAsia="zh-CN"/>
              </w:rPr>
              <w:t>考虑到电信发展局有责任领导青年有意义地参与数字发展，目前正在与</w:t>
            </w:r>
            <w:r w:rsidRPr="00072866">
              <w:rPr>
                <w:rFonts w:cstheme="minorHAnsi"/>
                <w:lang w:eastAsia="zh-CN"/>
              </w:rPr>
              <w:t>WTDC-25</w:t>
            </w:r>
            <w:r w:rsidRPr="00072866">
              <w:rPr>
                <w:rFonts w:cstheme="minorHAnsi"/>
                <w:lang w:eastAsia="zh-CN"/>
              </w:rPr>
              <w:t>东道国密切合作筹备为期一天的活动，</w:t>
            </w:r>
            <w:r w:rsidRPr="00072866">
              <w:rPr>
                <w:rFonts w:cstheme="minorHAnsi"/>
                <w:lang w:val="en-US" w:eastAsia="zh-CN"/>
              </w:rPr>
              <w:t>为</w:t>
            </w:r>
            <w:r w:rsidRPr="00072866">
              <w:rPr>
                <w:rFonts w:cstheme="minorHAnsi"/>
                <w:lang w:eastAsia="zh-CN"/>
              </w:rPr>
              <w:t>青年举办庆祝活动，让他们接触数字时代的技术，并凸显在数字发展中增强青年权能的重要性。</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59F01E06"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1304C70F" w14:textId="6B4EEC92" w:rsidR="003E2456" w:rsidRPr="00072866" w:rsidRDefault="003E2456" w:rsidP="007164B9">
            <w:pPr>
              <w:spacing w:after="120"/>
              <w:ind w:firstLineChars="200" w:firstLine="480"/>
              <w:rPr>
                <w:rFonts w:cstheme="minorHAnsi"/>
                <w:lang w:eastAsia="zh-CN"/>
              </w:rPr>
            </w:pPr>
            <w:r w:rsidRPr="00072866">
              <w:rPr>
                <w:rFonts w:cstheme="minorHAnsi"/>
                <w:lang w:eastAsia="zh-CN"/>
              </w:rPr>
              <w:t>TDAG-24/30</w:t>
            </w:r>
            <w:r w:rsidRPr="00072866">
              <w:rPr>
                <w:rFonts w:cstheme="minorHAnsi"/>
                <w:lang w:eastAsia="zh-CN"/>
              </w:rPr>
              <w:t>号文件</w:t>
            </w:r>
          </w:p>
          <w:p w14:paraId="3955390E" w14:textId="71E5F6C2" w:rsidR="003E2456" w:rsidRPr="00072866" w:rsidRDefault="003E2456" w:rsidP="007164B9">
            <w:pPr>
              <w:spacing w:after="120"/>
              <w:ind w:left="493"/>
              <w:rPr>
                <w:rFonts w:cstheme="minorHAnsi"/>
                <w:lang w:eastAsia="zh-CN"/>
              </w:rPr>
            </w:pPr>
            <w:r w:rsidRPr="00072866">
              <w:rPr>
                <w:rFonts w:cstheme="minorHAnsi"/>
                <w:lang w:eastAsia="zh-CN"/>
              </w:rPr>
              <w:t>世界电信发展大会第</w:t>
            </w:r>
            <w:r w:rsidRPr="00072866">
              <w:rPr>
                <w:rFonts w:cstheme="minorHAnsi"/>
                <w:lang w:eastAsia="zh-CN"/>
              </w:rPr>
              <w:t>76</w:t>
            </w:r>
            <w:r w:rsidRPr="00072866">
              <w:rPr>
                <w:rFonts w:cstheme="minorHAnsi"/>
                <w:lang w:eastAsia="zh-CN"/>
              </w:rPr>
              <w:t>号决议（</w:t>
            </w:r>
            <w:r w:rsidRPr="00072866">
              <w:rPr>
                <w:rFonts w:cstheme="minorHAnsi"/>
                <w:lang w:eastAsia="zh-CN"/>
              </w:rPr>
              <w:t>2022</w:t>
            </w:r>
            <w:r w:rsidRPr="00072866">
              <w:rPr>
                <w:rFonts w:cstheme="minorHAnsi"/>
                <w:lang w:eastAsia="zh-CN"/>
              </w:rPr>
              <w:t>年，基加利，修订版）（辅以</w:t>
            </w:r>
            <w:r w:rsidRPr="00072866">
              <w:rPr>
                <w:rFonts w:cstheme="minorHAnsi"/>
                <w:lang w:eastAsia="zh-CN"/>
              </w:rPr>
              <w:t>WTDC</w:t>
            </w:r>
            <w:r w:rsidRPr="00072866">
              <w:rPr>
                <w:rFonts w:cstheme="minorHAnsi"/>
                <w:lang w:eastAsia="zh-CN"/>
              </w:rPr>
              <w:t>第</w:t>
            </w:r>
            <w:r w:rsidRPr="00072866">
              <w:rPr>
                <w:rFonts w:cstheme="minorHAnsi"/>
                <w:lang w:eastAsia="zh-CN"/>
              </w:rPr>
              <w:t>11</w:t>
            </w:r>
            <w:r w:rsidRPr="00072866">
              <w:rPr>
                <w:rFonts w:cstheme="minorHAnsi"/>
                <w:lang w:eastAsia="zh-CN"/>
              </w:rPr>
              <w:t>、</w:t>
            </w:r>
            <w:r w:rsidRPr="00072866">
              <w:rPr>
                <w:rFonts w:cstheme="minorHAnsi"/>
                <w:lang w:eastAsia="zh-CN"/>
              </w:rPr>
              <w:t>37</w:t>
            </w:r>
            <w:r w:rsidRPr="00072866">
              <w:rPr>
                <w:rFonts w:cstheme="minorHAnsi"/>
                <w:lang w:eastAsia="zh-CN"/>
              </w:rPr>
              <w:t>、</w:t>
            </w:r>
            <w:r w:rsidRPr="00072866">
              <w:rPr>
                <w:rFonts w:cstheme="minorHAnsi"/>
                <w:lang w:eastAsia="zh-CN"/>
              </w:rPr>
              <w:t>45</w:t>
            </w:r>
            <w:r w:rsidRPr="00072866">
              <w:rPr>
                <w:rFonts w:cstheme="minorHAnsi"/>
                <w:lang w:eastAsia="zh-CN"/>
              </w:rPr>
              <w:t>、</w:t>
            </w:r>
            <w:r w:rsidRPr="00072866">
              <w:rPr>
                <w:rFonts w:cstheme="minorHAnsi"/>
                <w:lang w:eastAsia="zh-CN"/>
              </w:rPr>
              <w:t>46</w:t>
            </w:r>
            <w:r w:rsidRPr="00072866">
              <w:rPr>
                <w:rFonts w:cstheme="minorHAnsi"/>
                <w:lang w:eastAsia="zh-CN"/>
              </w:rPr>
              <w:t>、</w:t>
            </w:r>
            <w:r w:rsidRPr="00072866">
              <w:rPr>
                <w:rFonts w:cstheme="minorHAnsi"/>
                <w:lang w:eastAsia="zh-CN"/>
              </w:rPr>
              <w:t>55</w:t>
            </w:r>
            <w:r w:rsidRPr="00072866">
              <w:rPr>
                <w:rFonts w:cstheme="minorHAnsi"/>
                <w:lang w:eastAsia="zh-CN"/>
              </w:rPr>
              <w:t>、</w:t>
            </w:r>
            <w:r w:rsidRPr="00072866">
              <w:rPr>
                <w:rFonts w:cstheme="minorHAnsi"/>
                <w:lang w:eastAsia="zh-CN"/>
              </w:rPr>
              <w:t>58</w:t>
            </w:r>
            <w:r w:rsidRPr="00072866">
              <w:rPr>
                <w:rFonts w:cstheme="minorHAnsi"/>
                <w:lang w:eastAsia="zh-CN"/>
              </w:rPr>
              <w:t>、</w:t>
            </w:r>
            <w:r w:rsidRPr="00072866">
              <w:rPr>
                <w:rFonts w:cstheme="minorHAnsi"/>
                <w:lang w:eastAsia="zh-CN"/>
              </w:rPr>
              <w:t>67</w:t>
            </w:r>
            <w:r w:rsidRPr="00072866">
              <w:rPr>
                <w:rFonts w:cstheme="minorHAnsi"/>
                <w:lang w:eastAsia="zh-CN"/>
              </w:rPr>
              <w:t>号决议）</w:t>
            </w:r>
          </w:p>
          <w:p w14:paraId="36C883CF" w14:textId="77903FE8" w:rsidR="00A721F4" w:rsidRPr="00D9621A" w:rsidRDefault="003E2456" w:rsidP="007164B9">
            <w:pPr>
              <w:spacing w:after="120"/>
              <w:ind w:left="493"/>
              <w:rPr>
                <w:lang w:eastAsia="zh-CN"/>
              </w:rPr>
            </w:pPr>
            <w:r w:rsidRPr="00072866">
              <w:rPr>
                <w:rFonts w:cstheme="minorHAnsi"/>
                <w:lang w:eastAsia="zh-CN"/>
              </w:rPr>
              <w:t>全权代表大会第</w:t>
            </w:r>
            <w:r w:rsidRPr="00072866">
              <w:rPr>
                <w:rFonts w:cstheme="minorHAnsi"/>
                <w:lang w:eastAsia="zh-CN"/>
              </w:rPr>
              <w:t>198</w:t>
            </w:r>
            <w:r w:rsidRPr="00072866">
              <w:rPr>
                <w:rFonts w:cstheme="minorHAnsi"/>
                <w:lang w:eastAsia="zh-CN"/>
              </w:rPr>
              <w:t>号决议（</w:t>
            </w:r>
            <w:r w:rsidRPr="00072866">
              <w:rPr>
                <w:rFonts w:cstheme="minorHAnsi"/>
                <w:lang w:eastAsia="zh-CN"/>
              </w:rPr>
              <w:t>2022</w:t>
            </w:r>
            <w:r w:rsidRPr="00072866">
              <w:rPr>
                <w:rFonts w:cstheme="minorHAnsi"/>
                <w:lang w:eastAsia="zh-CN"/>
              </w:rPr>
              <w:t>年，布加勒斯特，修订版）（辅以</w:t>
            </w:r>
            <w:r w:rsidRPr="00072866">
              <w:rPr>
                <w:rFonts w:cstheme="minorHAnsi"/>
                <w:lang w:eastAsia="zh-CN"/>
              </w:rPr>
              <w:t>PP</w:t>
            </w:r>
            <w:r w:rsidRPr="00072866">
              <w:rPr>
                <w:rFonts w:cstheme="minorHAnsi"/>
                <w:lang w:eastAsia="zh-CN"/>
              </w:rPr>
              <w:t>第</w:t>
            </w:r>
            <w:r w:rsidRPr="00072866">
              <w:rPr>
                <w:rFonts w:cstheme="minorHAnsi"/>
                <w:lang w:eastAsia="zh-CN"/>
              </w:rPr>
              <w:t>70</w:t>
            </w:r>
            <w:r w:rsidRPr="00072866">
              <w:rPr>
                <w:rFonts w:cstheme="minorHAnsi"/>
                <w:lang w:eastAsia="zh-CN"/>
              </w:rPr>
              <w:t>、</w:t>
            </w:r>
            <w:r w:rsidRPr="00072866">
              <w:rPr>
                <w:rFonts w:cstheme="minorHAnsi"/>
                <w:lang w:eastAsia="zh-CN"/>
              </w:rPr>
              <w:t>175</w:t>
            </w:r>
            <w:r w:rsidRPr="00072866">
              <w:rPr>
                <w:rFonts w:cstheme="minorHAnsi"/>
                <w:lang w:eastAsia="zh-CN"/>
              </w:rPr>
              <w:t>、</w:t>
            </w:r>
            <w:r w:rsidRPr="00072866">
              <w:rPr>
                <w:rFonts w:cstheme="minorHAnsi"/>
                <w:lang w:eastAsia="zh-CN"/>
              </w:rPr>
              <w:t>179</w:t>
            </w:r>
            <w:r w:rsidRPr="00072866">
              <w:rPr>
                <w:rFonts w:cstheme="minorHAnsi"/>
                <w:lang w:eastAsia="zh-CN"/>
              </w:rPr>
              <w:t>、</w:t>
            </w:r>
            <w:r w:rsidRPr="00072866">
              <w:rPr>
                <w:rFonts w:cstheme="minorHAnsi"/>
                <w:lang w:eastAsia="zh-CN"/>
              </w:rPr>
              <w:t>184</w:t>
            </w:r>
            <w:r w:rsidRPr="00072866">
              <w:rPr>
                <w:rFonts w:cstheme="minorHAnsi"/>
                <w:lang w:eastAsia="zh-CN"/>
              </w:rPr>
              <w:t>号决议）</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24A67630" w14:textId="6F9B5973" w:rsidR="000774DF" w:rsidRPr="00960846" w:rsidRDefault="003465A9" w:rsidP="00960846">
      <w:pPr>
        <w:rPr>
          <w:rFonts w:ascii="Calibri" w:eastAsia="Batang" w:hAnsi="Calibri"/>
          <w:b/>
          <w:bCs/>
          <w:lang w:eastAsia="zh-CN"/>
        </w:rPr>
      </w:pPr>
      <w:r w:rsidRPr="00960846">
        <w:rPr>
          <w:rFonts w:cstheme="minorHAnsi"/>
          <w:b/>
          <w:bCs/>
          <w:lang w:eastAsia="zh-CN"/>
        </w:rPr>
        <w:lastRenderedPageBreak/>
        <w:t>1</w:t>
      </w:r>
      <w:r w:rsidRPr="00960846">
        <w:rPr>
          <w:b/>
          <w:bCs/>
          <w:lang w:eastAsia="zh-CN"/>
        </w:rPr>
        <w:tab/>
      </w:r>
      <w:r w:rsidR="000774DF" w:rsidRPr="00960846">
        <w:rPr>
          <w:rFonts w:hint="eastAsia"/>
          <w:b/>
          <w:bCs/>
          <w:lang w:eastAsia="zh-CN"/>
        </w:rPr>
        <w:t>背景</w:t>
      </w:r>
    </w:p>
    <w:p w14:paraId="7376A922" w14:textId="4733567E" w:rsidR="000774DF" w:rsidRPr="003465A9" w:rsidRDefault="000774DF" w:rsidP="00B85079">
      <w:pPr>
        <w:tabs>
          <w:tab w:val="clear" w:pos="794"/>
          <w:tab w:val="clear" w:pos="1191"/>
          <w:tab w:val="clear" w:pos="1588"/>
          <w:tab w:val="clear" w:pos="1985"/>
          <w:tab w:val="left" w:pos="1134"/>
          <w:tab w:val="left" w:pos="1871"/>
          <w:tab w:val="left" w:pos="2268"/>
        </w:tabs>
        <w:spacing w:after="120"/>
        <w:ind w:firstLineChars="200" w:firstLine="480"/>
        <w:rPr>
          <w:rFonts w:cstheme="minorHAnsi"/>
          <w:lang w:eastAsia="zh-CN"/>
        </w:rPr>
      </w:pPr>
      <w:r w:rsidRPr="003465A9">
        <w:rPr>
          <w:rFonts w:cstheme="minorHAnsi"/>
          <w:lang w:eastAsia="zh-CN"/>
        </w:rPr>
        <w:t>根据电信发展局对青年有意义参与的职权和承诺，并与世界电信发展大会（</w:t>
      </w:r>
      <w:r w:rsidRPr="003465A9">
        <w:rPr>
          <w:rFonts w:cstheme="minorHAnsi"/>
          <w:lang w:eastAsia="zh-CN"/>
        </w:rPr>
        <w:t>WTDC-25</w:t>
      </w:r>
      <w:r w:rsidRPr="003465A9">
        <w:rPr>
          <w:rFonts w:cstheme="minorHAnsi"/>
          <w:lang w:eastAsia="zh-CN"/>
        </w:rPr>
        <w:t>）东道国密切协调，为在</w:t>
      </w:r>
      <w:r w:rsidRPr="003465A9">
        <w:rPr>
          <w:rFonts w:cstheme="minorHAnsi"/>
          <w:lang w:eastAsia="zh-CN"/>
        </w:rPr>
        <w:t>WTDC-25</w:t>
      </w:r>
      <w:r w:rsidRPr="003465A9">
        <w:rPr>
          <w:rFonts w:cstheme="minorHAnsi"/>
          <w:lang w:eastAsia="zh-CN"/>
        </w:rPr>
        <w:t>之前举办的、为期一天的全球青年庆祝活动正在筹备之中。</w:t>
      </w:r>
    </w:p>
    <w:p w14:paraId="1FA727EB" w14:textId="6E51CAA0" w:rsidR="000774DF" w:rsidRPr="003465A9" w:rsidRDefault="000774DF" w:rsidP="00B85079">
      <w:pPr>
        <w:tabs>
          <w:tab w:val="clear" w:pos="794"/>
          <w:tab w:val="clear" w:pos="1191"/>
          <w:tab w:val="clear" w:pos="1588"/>
          <w:tab w:val="clear" w:pos="1985"/>
          <w:tab w:val="left" w:pos="1134"/>
          <w:tab w:val="left" w:pos="1871"/>
          <w:tab w:val="left" w:pos="2268"/>
        </w:tabs>
        <w:spacing w:after="120"/>
        <w:ind w:firstLineChars="200" w:firstLine="480"/>
        <w:rPr>
          <w:rFonts w:cstheme="minorHAnsi"/>
          <w:lang w:eastAsia="zh-CN"/>
        </w:rPr>
      </w:pPr>
      <w:r w:rsidRPr="003465A9">
        <w:rPr>
          <w:rFonts w:cstheme="minorHAnsi"/>
          <w:lang w:eastAsia="zh-CN"/>
        </w:rPr>
        <w:t>该庆祝活动最初计划作为</w:t>
      </w:r>
      <w:r w:rsidRPr="003465A9">
        <w:rPr>
          <w:rFonts w:cstheme="minorHAnsi"/>
          <w:lang w:eastAsia="zh-CN"/>
        </w:rPr>
        <w:t>202</w:t>
      </w:r>
      <w:r w:rsidR="00AC59CD">
        <w:rPr>
          <w:rFonts w:cstheme="minorHAnsi"/>
          <w:lang w:eastAsia="zh-CN"/>
        </w:rPr>
        <w:t>5</w:t>
      </w:r>
      <w:r w:rsidRPr="003465A9">
        <w:rPr>
          <w:rFonts w:cstheme="minorHAnsi"/>
          <w:lang w:eastAsia="zh-CN"/>
        </w:rPr>
        <w:t>年</w:t>
      </w:r>
      <w:r w:rsidRPr="003465A9">
        <w:rPr>
          <w:rFonts w:cstheme="minorHAnsi"/>
          <w:lang w:eastAsia="zh-CN"/>
        </w:rPr>
        <w:t>3</w:t>
      </w:r>
      <w:r w:rsidRPr="003465A9">
        <w:rPr>
          <w:rFonts w:cstheme="minorHAnsi"/>
          <w:lang w:eastAsia="zh-CN"/>
        </w:rPr>
        <w:t>月在古巴巴拉德罗举行的全球青年峰会之后的补充活动，现已演变成一场精简且富有影响力的聚会。其主要目标是突出青年的贡献，并进一步促进他们积极参与制定全球数字政策和发展议程。</w:t>
      </w:r>
    </w:p>
    <w:p w14:paraId="6AB31BFD" w14:textId="15ED2759" w:rsidR="000774DF" w:rsidRPr="00960846" w:rsidRDefault="003465A9" w:rsidP="00960846">
      <w:pPr>
        <w:rPr>
          <w:rFonts w:cstheme="minorHAnsi"/>
          <w:b/>
          <w:bCs/>
          <w:lang w:eastAsia="zh-CN"/>
        </w:rPr>
      </w:pPr>
      <w:r w:rsidRPr="00960846">
        <w:rPr>
          <w:rFonts w:cstheme="minorHAnsi" w:hint="eastAsia"/>
          <w:b/>
          <w:bCs/>
          <w:lang w:eastAsia="zh-CN"/>
        </w:rPr>
        <w:t>2</w:t>
      </w:r>
      <w:r w:rsidRPr="00960846">
        <w:rPr>
          <w:rFonts w:cstheme="minorHAnsi"/>
          <w:b/>
          <w:bCs/>
          <w:lang w:eastAsia="zh-CN"/>
        </w:rPr>
        <w:tab/>
      </w:r>
      <w:r w:rsidR="000774DF" w:rsidRPr="00960846">
        <w:rPr>
          <w:rFonts w:cstheme="minorHAnsi" w:hint="eastAsia"/>
          <w:b/>
          <w:bCs/>
          <w:lang w:eastAsia="zh-CN"/>
        </w:rPr>
        <w:t>概述</w:t>
      </w:r>
    </w:p>
    <w:p w14:paraId="5AE9900B" w14:textId="6A276718" w:rsidR="000774DF" w:rsidRPr="003465A9" w:rsidRDefault="000774DF" w:rsidP="00B85079">
      <w:pPr>
        <w:tabs>
          <w:tab w:val="clear" w:pos="794"/>
          <w:tab w:val="clear" w:pos="1191"/>
          <w:tab w:val="clear" w:pos="1588"/>
          <w:tab w:val="clear" w:pos="1985"/>
          <w:tab w:val="left" w:pos="1134"/>
          <w:tab w:val="left" w:pos="1871"/>
          <w:tab w:val="left" w:pos="2268"/>
        </w:tabs>
        <w:spacing w:after="120"/>
        <w:ind w:firstLineChars="200" w:firstLine="480"/>
        <w:rPr>
          <w:rFonts w:cstheme="minorHAnsi"/>
          <w:lang w:eastAsia="zh-CN"/>
        </w:rPr>
      </w:pPr>
      <w:r w:rsidRPr="003465A9">
        <w:rPr>
          <w:rFonts w:cstheme="minorHAnsi"/>
          <w:lang w:eastAsia="zh-CN"/>
        </w:rPr>
        <w:t>全球青年庆祝活动将通过精心策划的系列代际对话、鼓舞人心的谈话和有针对性的活动，认识和弘扬青年在数字发展中的关键作用。青年与会者将从与参加</w:t>
      </w:r>
      <w:r w:rsidRPr="003465A9">
        <w:rPr>
          <w:rFonts w:cstheme="minorHAnsi"/>
          <w:lang w:eastAsia="zh-CN"/>
        </w:rPr>
        <w:t>WTDC-25</w:t>
      </w:r>
      <w:r w:rsidRPr="003465A9">
        <w:rPr>
          <w:rFonts w:cstheme="minorHAnsi"/>
          <w:lang w:eastAsia="zh-CN"/>
        </w:rPr>
        <w:t>的政策制定者、决策者和知名利益攸关方直接接触的独特机会中受益匪浅。该活动旨在弥合代际洞见，深化突出青年作为数字化转型重要伙伴的协作环境。</w:t>
      </w:r>
    </w:p>
    <w:p w14:paraId="3006D44A" w14:textId="696DB7DF" w:rsidR="000774DF" w:rsidRPr="003465A9" w:rsidRDefault="000774DF" w:rsidP="00B85079">
      <w:pPr>
        <w:tabs>
          <w:tab w:val="clear" w:pos="794"/>
          <w:tab w:val="clear" w:pos="1191"/>
          <w:tab w:val="clear" w:pos="1588"/>
          <w:tab w:val="clear" w:pos="1985"/>
          <w:tab w:val="left" w:pos="1134"/>
          <w:tab w:val="left" w:pos="1871"/>
          <w:tab w:val="left" w:pos="2268"/>
        </w:tabs>
        <w:spacing w:after="120"/>
        <w:ind w:firstLineChars="200" w:firstLine="480"/>
        <w:rPr>
          <w:rFonts w:cstheme="minorHAnsi"/>
          <w:lang w:eastAsia="zh-CN"/>
        </w:rPr>
      </w:pPr>
      <w:r w:rsidRPr="003465A9">
        <w:rPr>
          <w:rFonts w:cstheme="minorHAnsi"/>
          <w:lang w:eastAsia="zh-CN"/>
        </w:rPr>
        <w:t>为了进一步丰富这方面的经验，还计划开展一些专项活动，包括参观重要的技术场所，如空间设施，以加强青年对先进数字技术的实际理解。</w:t>
      </w:r>
    </w:p>
    <w:p w14:paraId="110AE18B" w14:textId="0C4635FB" w:rsidR="000774DF" w:rsidRPr="00960846" w:rsidRDefault="003465A9" w:rsidP="00960846">
      <w:pPr>
        <w:rPr>
          <w:rFonts w:cstheme="minorHAnsi"/>
          <w:b/>
          <w:bCs/>
          <w:lang w:eastAsia="zh-CN"/>
        </w:rPr>
      </w:pPr>
      <w:r w:rsidRPr="00960846">
        <w:rPr>
          <w:rFonts w:cstheme="minorHAnsi" w:hint="eastAsia"/>
          <w:b/>
          <w:bCs/>
          <w:lang w:eastAsia="zh-CN"/>
        </w:rPr>
        <w:t>3</w:t>
      </w:r>
      <w:r w:rsidRPr="00960846">
        <w:rPr>
          <w:rFonts w:cstheme="minorHAnsi"/>
          <w:b/>
          <w:bCs/>
          <w:lang w:eastAsia="zh-CN"/>
        </w:rPr>
        <w:tab/>
      </w:r>
      <w:r w:rsidR="00B85079" w:rsidRPr="00960846">
        <w:rPr>
          <w:rFonts w:cstheme="minorHAnsi" w:hint="eastAsia"/>
          <w:b/>
          <w:bCs/>
          <w:lang w:eastAsia="zh-CN"/>
        </w:rPr>
        <w:t>协调和落实</w:t>
      </w:r>
    </w:p>
    <w:p w14:paraId="5DF8D26F" w14:textId="6AFEB306" w:rsidR="00B85079" w:rsidRPr="003465A9" w:rsidRDefault="00B85079" w:rsidP="00B85079">
      <w:pPr>
        <w:tabs>
          <w:tab w:val="clear" w:pos="794"/>
          <w:tab w:val="clear" w:pos="1191"/>
          <w:tab w:val="clear" w:pos="1588"/>
          <w:tab w:val="clear" w:pos="1985"/>
          <w:tab w:val="left" w:pos="1134"/>
          <w:tab w:val="left" w:pos="1871"/>
          <w:tab w:val="left" w:pos="2268"/>
        </w:tabs>
        <w:spacing w:after="120"/>
        <w:ind w:firstLineChars="200" w:firstLine="480"/>
        <w:rPr>
          <w:rFonts w:cstheme="minorHAnsi"/>
          <w:lang w:eastAsia="zh-CN"/>
        </w:rPr>
      </w:pPr>
      <w:r w:rsidRPr="003465A9">
        <w:rPr>
          <w:rFonts w:cstheme="minorHAnsi"/>
          <w:lang w:eastAsia="zh-CN"/>
        </w:rPr>
        <w:t>目前正在与</w:t>
      </w:r>
      <w:r w:rsidRPr="003465A9">
        <w:rPr>
          <w:rFonts w:cstheme="minorHAnsi"/>
          <w:lang w:eastAsia="zh-CN"/>
        </w:rPr>
        <w:t>WTDC-25</w:t>
      </w:r>
      <w:r w:rsidRPr="003465A9">
        <w:rPr>
          <w:rFonts w:cstheme="minorHAnsi"/>
          <w:lang w:eastAsia="zh-CN"/>
        </w:rPr>
        <w:t>的东道国密切协调筹备工作，以确保各项活动的无缝整合和对所有与会者的最佳影响，重点是影响力大的活动和丰富的交流机会。</w:t>
      </w:r>
    </w:p>
    <w:p w14:paraId="6078C576" w14:textId="13B090ED" w:rsidR="00EC6FED" w:rsidRPr="003465A9" w:rsidRDefault="00B85079" w:rsidP="00B85079">
      <w:pPr>
        <w:ind w:firstLineChars="200" w:firstLine="480"/>
        <w:rPr>
          <w:rFonts w:cstheme="minorHAnsi"/>
          <w:lang w:eastAsia="zh-CN"/>
        </w:rPr>
      </w:pPr>
      <w:r w:rsidRPr="003465A9">
        <w:rPr>
          <w:rFonts w:cstheme="minorHAnsi"/>
          <w:lang w:eastAsia="zh-CN"/>
        </w:rPr>
        <w:t>这次庆祝活动将不会产生正式的成果文件，而是寻求以青年的动态视角为</w:t>
      </w:r>
      <w:r w:rsidRPr="003465A9">
        <w:rPr>
          <w:rFonts w:cstheme="minorHAnsi"/>
          <w:lang w:eastAsia="zh-CN"/>
        </w:rPr>
        <w:t>WTDC-25</w:t>
      </w:r>
      <w:r w:rsidRPr="003465A9">
        <w:rPr>
          <w:rFonts w:cstheme="minorHAnsi"/>
          <w:lang w:eastAsia="zh-CN"/>
        </w:rPr>
        <w:t>注入活力。这项活动将清楚地表明国际电联持续致力于增强下一代数字领导人的能力，并在全球电信和数字发展议程中强化青年的声音。</w:t>
      </w:r>
    </w:p>
    <w:p w14:paraId="143C2F83" w14:textId="77777777" w:rsidR="00821996" w:rsidRDefault="003C58BF" w:rsidP="00DF240D">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8069EB">
      <w:headerReference w:type="default" r:id="rId13"/>
      <w:footerReference w:type="first" r:id="rId14"/>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162FA" w14:textId="77777777" w:rsidR="00BC1ABF" w:rsidRDefault="00BC1ABF">
      <w:r>
        <w:separator/>
      </w:r>
    </w:p>
  </w:endnote>
  <w:endnote w:type="continuationSeparator" w:id="0">
    <w:p w14:paraId="28E4B91E" w14:textId="77777777" w:rsidR="00BC1ABF" w:rsidRDefault="00BC1ABF">
      <w:r>
        <w:continuationSeparator/>
      </w:r>
    </w:p>
  </w:endnote>
  <w:endnote w:type="continuationNotice" w:id="1">
    <w:p w14:paraId="002C7A4E" w14:textId="77777777" w:rsidR="00BC1ABF" w:rsidRDefault="00BC1A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65ADAEBC" w:rsidR="005C45B6" w:rsidRPr="003465A9" w:rsidRDefault="003E2456" w:rsidP="005C45B6">
          <w:pPr>
            <w:pStyle w:val="FirstFooter"/>
            <w:tabs>
              <w:tab w:val="left" w:pos="1593"/>
            </w:tabs>
            <w:rPr>
              <w:rFonts w:cstheme="minorHAnsi"/>
              <w:sz w:val="18"/>
              <w:szCs w:val="18"/>
              <w:lang w:val="es-ES" w:eastAsia="zh-CN"/>
            </w:rPr>
          </w:pPr>
          <w:r w:rsidRPr="003465A9">
            <w:rPr>
              <w:rFonts w:cstheme="minorHAnsi"/>
              <w:sz w:val="18"/>
              <w:szCs w:val="18"/>
              <w:lang w:val="en-US" w:eastAsia="zh-CN"/>
            </w:rPr>
            <w:t>电信发展局数字包容服务负责人</w:t>
          </w:r>
          <w:r w:rsidRPr="003465A9">
            <w:rPr>
              <w:rFonts w:cstheme="minorHAnsi"/>
              <w:sz w:val="18"/>
              <w:szCs w:val="18"/>
              <w:lang w:val="en-US"/>
            </w:rPr>
            <w:t>Roxana Widmer-Iliescu</w:t>
          </w:r>
          <w:r w:rsidRPr="003465A9">
            <w:rPr>
              <w:rFonts w:cstheme="minorHAnsi"/>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6D610A38" w:rsidR="005C45B6" w:rsidRPr="00536F3A" w:rsidRDefault="003E2456" w:rsidP="005C45B6">
          <w:pPr>
            <w:pStyle w:val="FirstFooter"/>
            <w:tabs>
              <w:tab w:val="left" w:pos="2443"/>
            </w:tabs>
            <w:rPr>
              <w:sz w:val="18"/>
              <w:szCs w:val="18"/>
              <w:lang w:val="es-ES_tradnl"/>
            </w:rPr>
          </w:pPr>
          <w:r w:rsidRPr="003E2456">
            <w:rPr>
              <w:rFonts w:ascii="Calibri" w:eastAsia="Batang" w:hAnsi="Calibri" w:cs="Calibri"/>
              <w:color w:val="000000"/>
              <w:sz w:val="18"/>
              <w:szCs w:val="18"/>
              <w:shd w:val="clear" w:color="auto" w:fill="FFFFFF"/>
              <w:lang w:val="en-US"/>
            </w:rPr>
            <w:t>+41 798 25 08 52</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394D0ED1" w:rsidR="005C45B6" w:rsidRPr="007164B9" w:rsidRDefault="00960846" w:rsidP="005C45B6">
          <w:pPr>
            <w:pStyle w:val="FirstFooter"/>
            <w:tabs>
              <w:tab w:val="left" w:pos="2443"/>
            </w:tabs>
            <w:rPr>
              <w:lang w:val="en-US"/>
            </w:rPr>
          </w:pPr>
          <w:hyperlink r:id="rId1" w:history="1">
            <w:r w:rsidR="003E2456" w:rsidRPr="00AD285D">
              <w:rPr>
                <w:rStyle w:val="Hyperlink"/>
                <w:rFonts w:ascii="Calibri" w:eastAsia="Batang" w:hAnsi="Calibri"/>
                <w:sz w:val="18"/>
                <w:szCs w:val="18"/>
                <w:lang w:val="en-GB"/>
              </w:rPr>
              <w:t>roxana.widmer-iliescu@itu.int</w:t>
            </w:r>
          </w:hyperlink>
        </w:p>
      </w:tc>
    </w:tr>
  </w:tbl>
  <w:p w14:paraId="4590B376" w14:textId="77777777" w:rsidR="00AC43E3" w:rsidRPr="007164B9" w:rsidRDefault="00AC43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BD71" w14:textId="77777777" w:rsidR="00BC1ABF" w:rsidRDefault="00BC1ABF">
      <w:r>
        <w:t>____________________</w:t>
      </w:r>
    </w:p>
  </w:footnote>
  <w:footnote w:type="continuationSeparator" w:id="0">
    <w:p w14:paraId="427A098F" w14:textId="77777777" w:rsidR="00BC1ABF" w:rsidRDefault="00BC1ABF">
      <w:r>
        <w:continuationSeparator/>
      </w:r>
    </w:p>
  </w:footnote>
  <w:footnote w:type="continuationNotice" w:id="1">
    <w:p w14:paraId="0B7CF724" w14:textId="77777777" w:rsidR="00BC1ABF" w:rsidRDefault="00BC1A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5F8347A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0774DF">
      <w:rPr>
        <w:rFonts w:hint="eastAsia"/>
        <w:sz w:val="22"/>
        <w:szCs w:val="22"/>
        <w:lang w:eastAsia="zh-CN"/>
      </w:rPr>
      <w:t>14</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5CA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C1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92D8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48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45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00B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41A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B4A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323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4AE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05F35"/>
    <w:multiLevelType w:val="hybridMultilevel"/>
    <w:tmpl w:val="6AC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77955061">
    <w:abstractNumId w:val="11"/>
  </w:num>
  <w:num w:numId="2" w16cid:durableId="1487671718">
    <w:abstractNumId w:val="10"/>
  </w:num>
  <w:num w:numId="3" w16cid:durableId="914976309">
    <w:abstractNumId w:val="9"/>
  </w:num>
  <w:num w:numId="4" w16cid:durableId="22440704">
    <w:abstractNumId w:val="7"/>
  </w:num>
  <w:num w:numId="5" w16cid:durableId="221136146">
    <w:abstractNumId w:val="6"/>
  </w:num>
  <w:num w:numId="6" w16cid:durableId="920528346">
    <w:abstractNumId w:val="5"/>
  </w:num>
  <w:num w:numId="7" w16cid:durableId="987510530">
    <w:abstractNumId w:val="4"/>
  </w:num>
  <w:num w:numId="8" w16cid:durableId="2003116352">
    <w:abstractNumId w:val="8"/>
  </w:num>
  <w:num w:numId="9" w16cid:durableId="2027097467">
    <w:abstractNumId w:val="3"/>
  </w:num>
  <w:num w:numId="10" w16cid:durableId="1697072005">
    <w:abstractNumId w:val="2"/>
  </w:num>
  <w:num w:numId="11" w16cid:durableId="565838690">
    <w:abstractNumId w:val="1"/>
  </w:num>
  <w:num w:numId="12" w16cid:durableId="8065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2866"/>
    <w:rsid w:val="000743AA"/>
    <w:rsid w:val="000774DF"/>
    <w:rsid w:val="0009076F"/>
    <w:rsid w:val="0009225C"/>
    <w:rsid w:val="00096BC1"/>
    <w:rsid w:val="000A17C4"/>
    <w:rsid w:val="000A36A4"/>
    <w:rsid w:val="000B2352"/>
    <w:rsid w:val="000C1340"/>
    <w:rsid w:val="000C6DE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6235"/>
    <w:rsid w:val="002715FD"/>
    <w:rsid w:val="002746FD"/>
    <w:rsid w:val="002770B1"/>
    <w:rsid w:val="00285B33"/>
    <w:rsid w:val="00287A3C"/>
    <w:rsid w:val="002A2FC6"/>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465A9"/>
    <w:rsid w:val="00350E6B"/>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2456"/>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60089"/>
    <w:rsid w:val="00466398"/>
    <w:rsid w:val="0047306D"/>
    <w:rsid w:val="00473791"/>
    <w:rsid w:val="00476E48"/>
    <w:rsid w:val="00481DE9"/>
    <w:rsid w:val="0049128B"/>
    <w:rsid w:val="00493B49"/>
    <w:rsid w:val="00495501"/>
    <w:rsid w:val="004A070A"/>
    <w:rsid w:val="004A31A1"/>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402C"/>
    <w:rsid w:val="006B5AA9"/>
    <w:rsid w:val="006B66E2"/>
    <w:rsid w:val="006C10A2"/>
    <w:rsid w:val="006C1F18"/>
    <w:rsid w:val="006D40D5"/>
    <w:rsid w:val="006F009A"/>
    <w:rsid w:val="006F3D93"/>
    <w:rsid w:val="007019B1"/>
    <w:rsid w:val="007164B9"/>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0846"/>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59CD"/>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5079"/>
    <w:rsid w:val="00B8650D"/>
    <w:rsid w:val="00B879B4"/>
    <w:rsid w:val="00B90F07"/>
    <w:rsid w:val="00B97BB9"/>
    <w:rsid w:val="00BA0009"/>
    <w:rsid w:val="00BA2143"/>
    <w:rsid w:val="00BB02B5"/>
    <w:rsid w:val="00BB1863"/>
    <w:rsid w:val="00BB25EE"/>
    <w:rsid w:val="00BB363A"/>
    <w:rsid w:val="00BC10A0"/>
    <w:rsid w:val="00BC1ABF"/>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2609"/>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5F5B"/>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E2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0F32F448-6875-4491-A2DA-5560767C5DD6}"/>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LING-C(YW)</cp:lastModifiedBy>
  <cp:revision>2</cp:revision>
  <cp:lastPrinted>2014-11-04T09:22:00Z</cp:lastPrinted>
  <dcterms:created xsi:type="dcterms:W3CDTF">2025-04-11T09:12:00Z</dcterms:created>
  <dcterms:modified xsi:type="dcterms:W3CDTF">2025-04-11T09:12:00Z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