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584A2CA7" w14:textId="77777777" w:rsidTr="00AD1E92">
        <w:trPr>
          <w:cantSplit/>
          <w:trHeight w:val="1310"/>
          <w:jc w:val="center"/>
        </w:trPr>
        <w:tc>
          <w:tcPr>
            <w:tcW w:w="1699" w:type="dxa"/>
            <w:tcBorders>
              <w:bottom w:val="single" w:sz="12" w:space="0" w:color="auto"/>
            </w:tcBorders>
            <w:vAlign w:val="center"/>
          </w:tcPr>
          <w:p w14:paraId="5FC4DC1D"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28724237" wp14:editId="42630A2D">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1E3D3382"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2CEDB614"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366EEB6B"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6C8A4426" wp14:editId="0F6563E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2534AB2E" w14:textId="77777777" w:rsidTr="00AD1E92">
        <w:trPr>
          <w:cantSplit/>
          <w:jc w:val="center"/>
        </w:trPr>
        <w:tc>
          <w:tcPr>
            <w:tcW w:w="6660" w:type="dxa"/>
            <w:gridSpan w:val="2"/>
            <w:tcBorders>
              <w:top w:val="single" w:sz="12" w:space="0" w:color="auto"/>
            </w:tcBorders>
          </w:tcPr>
          <w:p w14:paraId="309FF922"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04254780" w14:textId="77777777" w:rsidR="00CA08BA" w:rsidRPr="00C85CB5" w:rsidRDefault="00CA08BA" w:rsidP="00B93B7B">
            <w:pPr>
              <w:spacing w:before="20" w:after="20" w:line="300" w:lineRule="exact"/>
              <w:rPr>
                <w:b/>
                <w:bCs/>
                <w:highlight w:val="yellow"/>
                <w:rtl/>
                <w:lang w:bidi="ar-EG"/>
              </w:rPr>
            </w:pPr>
          </w:p>
        </w:tc>
      </w:tr>
      <w:tr w:rsidR="00783A69" w:rsidRPr="00783A69" w14:paraId="323E67B1" w14:textId="77777777" w:rsidTr="00AD1E92">
        <w:trPr>
          <w:cantSplit/>
          <w:jc w:val="center"/>
        </w:trPr>
        <w:tc>
          <w:tcPr>
            <w:tcW w:w="6660" w:type="dxa"/>
            <w:gridSpan w:val="2"/>
          </w:tcPr>
          <w:p w14:paraId="7097C798" w14:textId="77777777" w:rsidR="00783A69" w:rsidRPr="00783A69" w:rsidRDefault="00783A69" w:rsidP="00B93B7B">
            <w:pPr>
              <w:spacing w:before="20" w:after="20" w:line="300" w:lineRule="exact"/>
              <w:rPr>
                <w:b/>
                <w:bCs/>
                <w:rtl/>
                <w:lang w:bidi="ar-EG"/>
              </w:rPr>
            </w:pPr>
          </w:p>
        </w:tc>
        <w:tc>
          <w:tcPr>
            <w:tcW w:w="2979" w:type="dxa"/>
            <w:gridSpan w:val="2"/>
          </w:tcPr>
          <w:p w14:paraId="09D101CA" w14:textId="254A1C19"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350C08">
              <w:rPr>
                <w:b/>
                <w:bCs/>
                <w:lang w:bidi="ar-EG"/>
              </w:rPr>
              <w:t>14</w:t>
            </w:r>
            <w:r w:rsidRPr="00153471">
              <w:rPr>
                <w:b/>
                <w:bCs/>
                <w:lang w:bidi="ar-EG"/>
              </w:rPr>
              <w:t>-A</w:t>
            </w:r>
          </w:p>
        </w:tc>
      </w:tr>
      <w:tr w:rsidR="00783A69" w:rsidRPr="00783A69" w14:paraId="29BF5928" w14:textId="77777777" w:rsidTr="00AD1E92">
        <w:trPr>
          <w:cantSplit/>
          <w:jc w:val="center"/>
        </w:trPr>
        <w:tc>
          <w:tcPr>
            <w:tcW w:w="6660" w:type="dxa"/>
            <w:gridSpan w:val="2"/>
          </w:tcPr>
          <w:p w14:paraId="1F1CCBD1" w14:textId="77777777" w:rsidR="00783A69" w:rsidRPr="00783A69" w:rsidRDefault="00783A69" w:rsidP="00B93B7B">
            <w:pPr>
              <w:spacing w:before="20" w:after="20" w:line="300" w:lineRule="exact"/>
              <w:rPr>
                <w:b/>
                <w:bCs/>
              </w:rPr>
            </w:pPr>
          </w:p>
        </w:tc>
        <w:tc>
          <w:tcPr>
            <w:tcW w:w="2979" w:type="dxa"/>
            <w:gridSpan w:val="2"/>
          </w:tcPr>
          <w:p w14:paraId="2EC3D496" w14:textId="48BEDE76" w:rsidR="00783A69" w:rsidRPr="00C85CB5" w:rsidRDefault="00350C08" w:rsidP="00B319BC">
            <w:pPr>
              <w:spacing w:before="20" w:after="20" w:line="300" w:lineRule="exact"/>
              <w:rPr>
                <w:b/>
                <w:bCs/>
                <w:highlight w:val="yellow"/>
                <w:rtl/>
              </w:rPr>
            </w:pPr>
            <w:r>
              <w:rPr>
                <w:b/>
                <w:bCs/>
                <w:lang w:bidi="ar-EG"/>
              </w:rPr>
              <w:t>24</w:t>
            </w:r>
            <w:r w:rsidR="00783A69" w:rsidRPr="006B266A">
              <w:rPr>
                <w:rFonts w:hint="cs"/>
                <w:b/>
                <w:bCs/>
                <w:rtl/>
                <w:lang w:bidi="ar-EG"/>
              </w:rPr>
              <w:t xml:space="preserve"> </w:t>
            </w:r>
            <w:r>
              <w:rPr>
                <w:rFonts w:hint="cs"/>
                <w:b/>
                <w:bCs/>
                <w:rtl/>
                <w:lang w:bidi="ar-EG"/>
              </w:rPr>
              <w:t>مارس</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1242CF7E" w14:textId="77777777" w:rsidTr="00AD1E92">
        <w:trPr>
          <w:cantSplit/>
          <w:jc w:val="center"/>
        </w:trPr>
        <w:tc>
          <w:tcPr>
            <w:tcW w:w="6660" w:type="dxa"/>
            <w:gridSpan w:val="2"/>
          </w:tcPr>
          <w:p w14:paraId="2CCC2521" w14:textId="77777777" w:rsidR="00783A69" w:rsidRPr="00783A69" w:rsidRDefault="00783A69" w:rsidP="00B93B7B">
            <w:pPr>
              <w:spacing w:before="20" w:after="20" w:line="300" w:lineRule="exact"/>
              <w:rPr>
                <w:b/>
                <w:bCs/>
                <w:lang w:bidi="ar-EG"/>
              </w:rPr>
            </w:pPr>
          </w:p>
        </w:tc>
        <w:tc>
          <w:tcPr>
            <w:tcW w:w="2979" w:type="dxa"/>
            <w:gridSpan w:val="2"/>
          </w:tcPr>
          <w:p w14:paraId="2EB93569"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438A07AB" w14:textId="77777777" w:rsidTr="00EE5CF2">
        <w:trPr>
          <w:cantSplit/>
          <w:jc w:val="center"/>
        </w:trPr>
        <w:tc>
          <w:tcPr>
            <w:tcW w:w="9639" w:type="dxa"/>
            <w:gridSpan w:val="4"/>
          </w:tcPr>
          <w:p w14:paraId="281EE027" w14:textId="75F02415" w:rsidR="00783A69" w:rsidRPr="00783A69" w:rsidRDefault="00350C08" w:rsidP="00350C08">
            <w:pPr>
              <w:pStyle w:val="Source"/>
            </w:pPr>
            <w:r>
              <w:rPr>
                <w:rtl/>
              </w:rPr>
              <w:t xml:space="preserve">مدير </w:t>
            </w:r>
            <w:r w:rsidRPr="00350C08">
              <w:rPr>
                <w:rtl/>
              </w:rPr>
              <w:t>مكتب</w:t>
            </w:r>
            <w:r w:rsidRPr="003F2B61">
              <w:rPr>
                <w:rtl/>
              </w:rPr>
              <w:t xml:space="preserve"> تنمية الاتصالات</w:t>
            </w:r>
          </w:p>
        </w:tc>
      </w:tr>
      <w:tr w:rsidR="00783A69" w:rsidRPr="00783A69" w14:paraId="54111588" w14:textId="77777777" w:rsidTr="00EE5CF2">
        <w:trPr>
          <w:cantSplit/>
          <w:jc w:val="center"/>
        </w:trPr>
        <w:tc>
          <w:tcPr>
            <w:tcW w:w="9639" w:type="dxa"/>
            <w:gridSpan w:val="4"/>
          </w:tcPr>
          <w:p w14:paraId="2154FA3F" w14:textId="1FD171D2" w:rsidR="00783A69" w:rsidRPr="00350C08" w:rsidRDefault="00350C08" w:rsidP="00350C08">
            <w:pPr>
              <w:pStyle w:val="Title1"/>
            </w:pPr>
            <w:r w:rsidRPr="003F2B61">
              <w:rPr>
                <w:rtl/>
              </w:rPr>
              <w:t xml:space="preserve">تقرير عن تنظيم الاحتفال بدور الشباب في رسم مستقبل التنمية الرقمية: </w:t>
            </w:r>
            <w:r>
              <w:br/>
            </w:r>
            <w:r w:rsidRPr="003F2B61">
              <w:rPr>
                <w:rtl/>
              </w:rPr>
              <w:t xml:space="preserve">الاستماع إلى أصوات الغد تمهيداً للمؤتمر العالمي </w:t>
            </w:r>
            <w:r>
              <w:br/>
            </w:r>
            <w:r w:rsidRPr="003F2B61">
              <w:rPr>
                <w:rtl/>
              </w:rPr>
              <w:t>لتنمية الاتصالات لعام 2025 (WTDC-25)</w:t>
            </w:r>
          </w:p>
        </w:tc>
      </w:tr>
    </w:tbl>
    <w:p w14:paraId="2E73E9A9"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3C1886F6"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2FD7B769"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01A407C6" w14:textId="4192FD89" w:rsidR="00783A69" w:rsidRPr="00350C08" w:rsidRDefault="00350C08" w:rsidP="00350C08">
            <w:pPr>
              <w:rPr>
                <w:rtl/>
              </w:rPr>
            </w:pPr>
            <w:r w:rsidRPr="00350C08">
              <w:rPr>
                <w:rtl/>
                <w:lang w:val="en-GB" w:bidi="ar-EG"/>
              </w:rPr>
              <w:t>نظراً لولاية مكتب تنمية الاتصالات في قيادة المشاركة الهادفة للشباب في التنمية الرقمية، يجري العمل بشكل وثيق مع البلد المضيف للمؤتمر العالمي لتنمية الاتصالات لعام 2025 للتحضير لفعالية ليوم واحد تهدف إلى الاحتفاء بالشباب، وتعريفهم بتكنولوجيات العصر الرقمي، وتسليط الضوء على أهمية تمكين الشباب في مجال التنمية الرقمية.</w:t>
            </w:r>
          </w:p>
          <w:p w14:paraId="0CCAD521"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5C5F0E2E" w14:textId="11EECC61" w:rsidR="004F0F62" w:rsidRPr="00350C08" w:rsidRDefault="00350C08" w:rsidP="00350C08">
            <w:pPr>
              <w:rPr>
                <w:rtl/>
              </w:rPr>
            </w:pPr>
            <w:r w:rsidRPr="00350C08">
              <w:rPr>
                <w:rtl/>
              </w:rPr>
              <w:t xml:space="preserve">يُدعى الفريق الاستشاري لتنمية الاتصالات </w:t>
            </w:r>
            <w:r w:rsidRPr="00350C08">
              <w:t>TDAG</w:t>
            </w:r>
            <w:r>
              <w:t>)</w:t>
            </w:r>
            <w:r w:rsidRPr="00350C08">
              <w:rPr>
                <w:rtl/>
              </w:rPr>
              <w:t>) إلى الإحاطة علماً بهذه الوثيقة.</w:t>
            </w:r>
          </w:p>
          <w:p w14:paraId="45AFF315"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20CEE035" w14:textId="77777777" w:rsidR="00350C08" w:rsidRPr="00350C08" w:rsidRDefault="00350C08" w:rsidP="00350C08">
            <w:r w:rsidRPr="00350C08">
              <w:rPr>
                <w:rtl/>
              </w:rPr>
              <w:t>الوثيقة TDAG-24/30</w:t>
            </w:r>
          </w:p>
          <w:p w14:paraId="3B7C2420" w14:textId="54611DAF" w:rsidR="00350C08" w:rsidRPr="00350C08" w:rsidRDefault="00350C08" w:rsidP="00350C08">
            <w:r w:rsidRPr="00350C08">
              <w:rPr>
                <w:rtl/>
              </w:rPr>
              <w:t>القرار 76 (المراج</w:t>
            </w:r>
            <w:r>
              <w:rPr>
                <w:rFonts w:hint="cs"/>
                <w:rtl/>
              </w:rPr>
              <w:t>َ</w:t>
            </w:r>
            <w:r w:rsidRPr="00350C08">
              <w:rPr>
                <w:rtl/>
              </w:rPr>
              <w:t>ع في كيغالي، 2022) للمؤتمر العالمي لتنمية الاتصالات (تكمله القرارات 11 و37 و45 و46 و55 و58 و67 للمؤتمر العالمي لتنمية الاتصالات)</w:t>
            </w:r>
          </w:p>
          <w:p w14:paraId="0A0D523C" w14:textId="2CBCB4B1" w:rsidR="00783A69" w:rsidRPr="00153471" w:rsidRDefault="00350C08" w:rsidP="008D0998">
            <w:pPr>
              <w:spacing w:after="120"/>
              <w:rPr>
                <w:rtl/>
              </w:rPr>
            </w:pPr>
            <w:r w:rsidRPr="00350C08">
              <w:rPr>
                <w:rtl/>
              </w:rPr>
              <w:t>القرار 198 (المراج</w:t>
            </w:r>
            <w:r>
              <w:rPr>
                <w:rFonts w:hint="cs"/>
                <w:rtl/>
              </w:rPr>
              <w:t>َ</w:t>
            </w:r>
            <w:r w:rsidRPr="00350C08">
              <w:rPr>
                <w:rtl/>
              </w:rPr>
              <w:t>ع في بوخارست، 2022) لمؤتمر المندوبين المفوضين (تكمله القرارات 70 و175 و179 و184 لمؤتمر المندوبين المفوضين)</w:t>
            </w:r>
          </w:p>
        </w:tc>
      </w:tr>
    </w:tbl>
    <w:p w14:paraId="13FE69EE" w14:textId="77777777" w:rsidR="00882A17" w:rsidRDefault="00882A17">
      <w:pPr>
        <w:tabs>
          <w:tab w:val="clear" w:pos="794"/>
        </w:tabs>
        <w:bidi w:val="0"/>
        <w:spacing w:before="0" w:after="160" w:line="259" w:lineRule="auto"/>
        <w:jc w:val="left"/>
        <w:rPr>
          <w:lang w:bidi="ar-EG"/>
        </w:rPr>
      </w:pPr>
      <w:r>
        <w:rPr>
          <w:rtl/>
          <w:lang w:bidi="ar-EG"/>
        </w:rPr>
        <w:br w:type="page"/>
      </w:r>
    </w:p>
    <w:p w14:paraId="32B29778" w14:textId="05F712FB" w:rsidR="00350C08" w:rsidRPr="00350C08" w:rsidRDefault="00350C08" w:rsidP="00350C08">
      <w:pPr>
        <w:pStyle w:val="Heading1"/>
      </w:pPr>
      <w:r>
        <w:rPr>
          <w:rFonts w:hint="cs"/>
          <w:rtl/>
        </w:rPr>
        <w:lastRenderedPageBreak/>
        <w:t>1</w:t>
      </w:r>
      <w:r>
        <w:rPr>
          <w:rtl/>
        </w:rPr>
        <w:tab/>
      </w:r>
      <w:r w:rsidRPr="00350C08">
        <w:rPr>
          <w:rtl/>
        </w:rPr>
        <w:t>خلفية</w:t>
      </w:r>
    </w:p>
    <w:p w14:paraId="086994DD" w14:textId="530DC244" w:rsidR="00350C08" w:rsidRPr="00350C08" w:rsidRDefault="00350C08" w:rsidP="00350C08">
      <w:r w:rsidRPr="00350C08">
        <w:rPr>
          <w:rtl/>
        </w:rPr>
        <w:t>تماشياً مع ولاية مكتب تنمية الاتصالات والتزامه بالمشاركة الهادفة للشباب، وبالتنسيق الوثيق مع البلد المضيف للمؤتمر العالمي لتنمية الاتصالات</w:t>
      </w:r>
      <w:r w:rsidR="009455BE">
        <w:rPr>
          <w:rFonts w:hint="cs"/>
          <w:rtl/>
        </w:rPr>
        <w:t xml:space="preserve"> لعام </w:t>
      </w:r>
      <w:r w:rsidR="009455BE">
        <w:t>2025</w:t>
      </w:r>
      <w:r w:rsidRPr="00350C08">
        <w:rPr>
          <w:rtl/>
        </w:rPr>
        <w:t xml:space="preserve"> (WTDC-25)، يجري التحضير حالياً لتنظيم احتفال عالمي للشباب ليوم واحد يسبق انعقاد المؤتمر</w:t>
      </w:r>
      <w:r>
        <w:rPr>
          <w:rFonts w:hint="cs"/>
          <w:rtl/>
        </w:rPr>
        <w:t> </w:t>
      </w:r>
      <w:r w:rsidRPr="00350C08">
        <w:rPr>
          <w:rtl/>
        </w:rPr>
        <w:t>WTDC-25.</w:t>
      </w:r>
    </w:p>
    <w:p w14:paraId="5580A1F9" w14:textId="1BF9389B" w:rsidR="00350C08" w:rsidRPr="00350C08" w:rsidRDefault="00350C08" w:rsidP="00350C08">
      <w:r w:rsidRPr="00350C08">
        <w:rPr>
          <w:rtl/>
        </w:rPr>
        <w:t xml:space="preserve">وتم التخطيط لهذا الاحتفال في البداية كفعالية تكميلية بعد القمة العالمية للشباب التي عقدت في </w:t>
      </w:r>
      <w:proofErr w:type="spellStart"/>
      <w:r w:rsidRPr="00350C08">
        <w:rPr>
          <w:rtl/>
        </w:rPr>
        <w:t>فاراديرو</w:t>
      </w:r>
      <w:proofErr w:type="spellEnd"/>
      <w:r w:rsidRPr="00350C08">
        <w:rPr>
          <w:rtl/>
        </w:rPr>
        <w:t>، كوبا، في مارس</w:t>
      </w:r>
      <w:r>
        <w:rPr>
          <w:rFonts w:hint="cs"/>
          <w:rtl/>
        </w:rPr>
        <w:t> </w:t>
      </w:r>
      <w:r w:rsidRPr="00350C08">
        <w:rPr>
          <w:rtl/>
        </w:rPr>
        <w:t>2025، إلا أنه تطور إلى تجمع موجز وفعّال. ويتمثل هدفه الأساسي في تسليط الضوء على مساهمات الشباب وزيادة تعزيز مشاركتهم الفعالة في تشكيل السياسات الرقمية العالمية وبرامج التنمية.</w:t>
      </w:r>
    </w:p>
    <w:p w14:paraId="42D2B66F" w14:textId="54D640CE" w:rsidR="00350C08" w:rsidRPr="00350C08" w:rsidRDefault="00350C08" w:rsidP="00350C08">
      <w:pPr>
        <w:pStyle w:val="Heading1"/>
      </w:pPr>
      <w:r>
        <w:t>2</w:t>
      </w:r>
      <w:r>
        <w:tab/>
      </w:r>
      <w:r w:rsidRPr="00350C08">
        <w:rPr>
          <w:rtl/>
        </w:rPr>
        <w:t>عرض عام</w:t>
      </w:r>
    </w:p>
    <w:p w14:paraId="28AD8629" w14:textId="42FD5A64" w:rsidR="00350C08" w:rsidRPr="00350C08" w:rsidRDefault="00350C08" w:rsidP="00350C08">
      <w:r w:rsidRPr="00350C08">
        <w:rPr>
          <w:rtl/>
        </w:rPr>
        <w:t>سيحتفي اليوم العالمي للشباب بالدور الحاسم للشباب في التنمية الرقمية ويعمل على إبراز هذا الدور وتعزيزه من خلال سلسلة مختارة بعناية من الحوارات بين الأجيال، والعروض الملهمة، والأنشطة الموجّهة. وسيستفيد المشاركون الشباب من فرص فريدة للمشاركة مباشرة مع واضعي السياسات وصن</w:t>
      </w:r>
      <w:r>
        <w:rPr>
          <w:rFonts w:hint="cs"/>
          <w:rtl/>
        </w:rPr>
        <w:t>ّ</w:t>
      </w:r>
      <w:r w:rsidRPr="00350C08">
        <w:rPr>
          <w:rtl/>
        </w:rPr>
        <w:t>اع القرار وأصحاب المصلحة البارزين المشاركين في المؤتمر WTDC-25. وتهدف الفعالية إلى سد الفجوة بين الأجيال وتعزيز بيئة تعاونية تؤكد دور الشباب كشركاء أساسيين في التحول الرقمي.</w:t>
      </w:r>
    </w:p>
    <w:p w14:paraId="24009176" w14:textId="77777777" w:rsidR="00350C08" w:rsidRPr="00350C08" w:rsidRDefault="00350C08" w:rsidP="00350C08">
      <w:r w:rsidRPr="00350C08">
        <w:rPr>
          <w:rtl/>
        </w:rPr>
        <w:t>ولتعزيز هذه التجربة بشكل أكبر، ستُنظم أنشطة متخصصة، بما في ذلك زيارات هادفة إلى مواقع تكنولوجية بارزة مثل المرافق الفضائية، وذلك لتعميق الفهم العملي لدى الشباب للتكنولوجيات الرقمية المتقدمة.</w:t>
      </w:r>
    </w:p>
    <w:p w14:paraId="44D9290B" w14:textId="02C7DFE4" w:rsidR="00350C08" w:rsidRPr="00350C08" w:rsidRDefault="00350C08" w:rsidP="00350C08">
      <w:pPr>
        <w:pStyle w:val="Heading1"/>
      </w:pPr>
      <w:r>
        <w:t>3</w:t>
      </w:r>
      <w:r>
        <w:tab/>
      </w:r>
      <w:r w:rsidRPr="00350C08">
        <w:rPr>
          <w:rtl/>
        </w:rPr>
        <w:t>التنسيق والتعاون</w:t>
      </w:r>
    </w:p>
    <w:p w14:paraId="5A086848" w14:textId="77777777" w:rsidR="00350C08" w:rsidRPr="00350C08" w:rsidRDefault="00350C08" w:rsidP="00350C08">
      <w:r w:rsidRPr="00350C08">
        <w:rPr>
          <w:rtl/>
        </w:rPr>
        <w:t>يجري حالياً تنسيق الأعمال التحضيرية عن كثب مع البلد المضيف للمؤتمر WTDC-25 لضمان التكامل السلس للأنشطة وتحقيق أقصى أثر لجميع المشاركين مع التركيز على الأنشطة ذات الأثر البالغ وتعزيز فرص التواصل.</w:t>
      </w:r>
    </w:p>
    <w:p w14:paraId="0829339A" w14:textId="48E4E892" w:rsidR="0019128D" w:rsidRDefault="00350C08" w:rsidP="00350C08">
      <w:pPr>
        <w:rPr>
          <w:rtl/>
        </w:rPr>
      </w:pPr>
      <w:r w:rsidRPr="00350C08">
        <w:rPr>
          <w:rtl/>
        </w:rPr>
        <w:t>ولن ينتج عن هذا الحدث الاحتفالي وثيقة رسمية، بل يهدف إلى إضفاء الزخم على المؤتمر WTDC-25 من خلال رؤى الشباب الدينامية. وسيُبرز هذا الحدث بوضوح التزام الاتحاد المستمر بتمكين الجيل القادم من القادة الرقميين وترسيخ أصوات الشباب ضمن برنامج الاتصالات العالمي والتنمية الرقمية.</w:t>
      </w:r>
    </w:p>
    <w:p w14:paraId="2FAD5A69"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62D9" w14:textId="77777777" w:rsidR="003A1E74" w:rsidRDefault="003A1E74" w:rsidP="006C3242">
      <w:pPr>
        <w:spacing w:before="0" w:line="240" w:lineRule="auto"/>
      </w:pPr>
      <w:r>
        <w:separator/>
      </w:r>
    </w:p>
  </w:endnote>
  <w:endnote w:type="continuationSeparator" w:id="0">
    <w:p w14:paraId="0019FFE2" w14:textId="77777777" w:rsidR="003A1E74" w:rsidRDefault="003A1E7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3E0ACD89" w14:textId="77777777" w:rsidTr="00031158">
      <w:tc>
        <w:tcPr>
          <w:tcW w:w="991" w:type="dxa"/>
          <w:tcBorders>
            <w:top w:val="single" w:sz="4" w:space="0" w:color="auto"/>
            <w:left w:val="nil"/>
            <w:bottom w:val="nil"/>
            <w:right w:val="nil"/>
          </w:tcBorders>
          <w:shd w:val="clear" w:color="auto" w:fill="FFFFFF" w:themeFill="background1"/>
          <w:hideMark/>
        </w:tcPr>
        <w:p w14:paraId="3DB41A28" w14:textId="77777777" w:rsidR="00AD1E92" w:rsidRPr="00350C08" w:rsidRDefault="00AD1E92" w:rsidP="00AD1E92">
          <w:pPr>
            <w:spacing w:before="60" w:after="40" w:line="260" w:lineRule="exact"/>
            <w:rPr>
              <w:position w:val="2"/>
              <w:sz w:val="18"/>
              <w:szCs w:val="18"/>
              <w:lang w:val="en-GB"/>
            </w:rPr>
          </w:pPr>
          <w:r w:rsidRPr="00350C08">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15C3A90" w14:textId="77777777" w:rsidR="00AD1E92" w:rsidRPr="00350C08" w:rsidRDefault="00AD1E92" w:rsidP="00AD1E92">
          <w:pPr>
            <w:spacing w:before="60" w:after="40" w:line="260" w:lineRule="exact"/>
            <w:rPr>
              <w:position w:val="2"/>
              <w:sz w:val="18"/>
              <w:szCs w:val="18"/>
              <w:lang w:val="en-GB"/>
            </w:rPr>
          </w:pPr>
          <w:r w:rsidRPr="00350C08">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A3F6B7A" w14:textId="4255707D" w:rsidR="00AD1E92" w:rsidRPr="00350C08" w:rsidRDefault="00350C08" w:rsidP="00350C08">
          <w:pPr>
            <w:pStyle w:val="FirstFooter"/>
            <w:tabs>
              <w:tab w:val="left" w:pos="2302"/>
            </w:tabs>
            <w:bidi/>
            <w:textDirection w:val="tbRlV"/>
            <w:rPr>
              <w:rFonts w:ascii="Dubai" w:hAnsi="Dubai" w:cs="Dubai" w:hint="default"/>
              <w:sz w:val="18"/>
              <w:szCs w:val="18"/>
              <w:lang w:val="ar-SA" w:eastAsia="zh-TW" w:bidi="en-GB"/>
            </w:rPr>
          </w:pPr>
          <w:r w:rsidRPr="00350C08">
            <w:rPr>
              <w:rFonts w:ascii="Dubai" w:hAnsi="Dubai" w:cs="Dubai" w:hint="default"/>
              <w:sz w:val="18"/>
              <w:szCs w:val="18"/>
              <w:rtl/>
            </w:rPr>
            <w:t xml:space="preserve">السيدة </w:t>
          </w:r>
          <w:r w:rsidRPr="00350C08">
            <w:rPr>
              <w:rFonts w:ascii="Dubai" w:hAnsi="Dubai" w:cs="Dubai" w:hint="default"/>
              <w:sz w:val="18"/>
              <w:szCs w:val="18"/>
            </w:rPr>
            <w:t>Roxana Widmer-Iliescu</w:t>
          </w:r>
          <w:r w:rsidRPr="00350C08">
            <w:rPr>
              <w:rFonts w:ascii="Dubai" w:hAnsi="Dubai" w:cs="Dubai" w:hint="default"/>
              <w:sz w:val="18"/>
              <w:szCs w:val="18"/>
              <w:rtl/>
            </w:rPr>
            <w:t>، رئيسة قسم الشمول الرقمي</w:t>
          </w:r>
          <w:r w:rsidRPr="00350C08">
            <w:rPr>
              <w:rFonts w:ascii="Dubai" w:hAnsi="Dubai" w:cs="Dubai" w:hint="default"/>
              <w:sz w:val="18"/>
              <w:szCs w:val="18"/>
            </w:rPr>
            <w:t xml:space="preserve"> </w:t>
          </w:r>
          <w:r w:rsidRPr="00350C08">
            <w:rPr>
              <w:rFonts w:ascii="Dubai" w:hAnsi="Dubai" w:cs="Dubai" w:hint="default"/>
              <w:sz w:val="18"/>
              <w:szCs w:val="18"/>
              <w:rtl/>
            </w:rPr>
            <w:t>مكتب تنمية الاتصالات</w:t>
          </w:r>
        </w:p>
      </w:tc>
    </w:tr>
    <w:tr w:rsidR="00AD1E92" w:rsidRPr="00AD1E92" w14:paraId="6F841AEE" w14:textId="77777777" w:rsidTr="00031158">
      <w:tc>
        <w:tcPr>
          <w:tcW w:w="991" w:type="dxa"/>
        </w:tcPr>
        <w:p w14:paraId="3F7BCCAC" w14:textId="77777777" w:rsidR="00AD1E92" w:rsidRPr="00350C08" w:rsidRDefault="00AD1E92" w:rsidP="00AD1E92">
          <w:pPr>
            <w:spacing w:before="60" w:after="40" w:line="260" w:lineRule="exact"/>
            <w:rPr>
              <w:position w:val="2"/>
              <w:sz w:val="18"/>
              <w:szCs w:val="18"/>
              <w:lang w:val="en-GB"/>
            </w:rPr>
          </w:pPr>
        </w:p>
      </w:tc>
      <w:tc>
        <w:tcPr>
          <w:tcW w:w="2411" w:type="dxa"/>
          <w:hideMark/>
        </w:tcPr>
        <w:p w14:paraId="0B67BC67" w14:textId="77777777" w:rsidR="00AD1E92" w:rsidRPr="00350C08" w:rsidRDefault="00AD1E92" w:rsidP="00AD1E92">
          <w:pPr>
            <w:spacing w:before="60" w:after="40" w:line="260" w:lineRule="exact"/>
            <w:rPr>
              <w:position w:val="2"/>
              <w:sz w:val="18"/>
              <w:szCs w:val="18"/>
              <w:lang w:val="en-GB"/>
            </w:rPr>
          </w:pPr>
          <w:r w:rsidRPr="00350C08">
            <w:rPr>
              <w:position w:val="2"/>
              <w:sz w:val="18"/>
              <w:szCs w:val="18"/>
              <w:rtl/>
              <w:lang w:val="fr-FR" w:bidi="ar-EG"/>
            </w:rPr>
            <w:t>رقم الهاتف:</w:t>
          </w:r>
        </w:p>
      </w:tc>
      <w:tc>
        <w:tcPr>
          <w:tcW w:w="6237" w:type="dxa"/>
        </w:tcPr>
        <w:p w14:paraId="25B36DB2" w14:textId="6785750C" w:rsidR="00AD1E92" w:rsidRPr="00350C08" w:rsidRDefault="00350C08" w:rsidP="00AD1E92">
          <w:pPr>
            <w:spacing w:before="60" w:after="40" w:line="260" w:lineRule="exact"/>
            <w:rPr>
              <w:position w:val="2"/>
              <w:sz w:val="18"/>
              <w:szCs w:val="18"/>
              <w:lang w:val="en-GB"/>
            </w:rPr>
          </w:pPr>
          <w:r w:rsidRPr="00350C08">
            <w:rPr>
              <w:rStyle w:val="normaltextrun"/>
              <w:color w:val="000000"/>
              <w:sz w:val="18"/>
              <w:szCs w:val="18"/>
              <w:shd w:val="clear" w:color="auto" w:fill="FFFFFF"/>
            </w:rPr>
            <w:t>+41 798 25 08 52</w:t>
          </w:r>
        </w:p>
      </w:tc>
    </w:tr>
    <w:tr w:rsidR="00AD1E92" w:rsidRPr="00AD1E92" w14:paraId="76720665" w14:textId="77777777" w:rsidTr="00031158">
      <w:tc>
        <w:tcPr>
          <w:tcW w:w="991" w:type="dxa"/>
        </w:tcPr>
        <w:p w14:paraId="3A0A116D" w14:textId="77777777" w:rsidR="00AD1E92" w:rsidRPr="00350C08" w:rsidRDefault="00AD1E92" w:rsidP="00AD1E92">
          <w:pPr>
            <w:spacing w:before="60" w:after="40" w:line="260" w:lineRule="exact"/>
            <w:rPr>
              <w:position w:val="2"/>
              <w:sz w:val="18"/>
              <w:szCs w:val="18"/>
              <w:lang w:val="en-GB"/>
            </w:rPr>
          </w:pPr>
        </w:p>
      </w:tc>
      <w:tc>
        <w:tcPr>
          <w:tcW w:w="2411" w:type="dxa"/>
          <w:hideMark/>
        </w:tcPr>
        <w:p w14:paraId="2F4B4AE8" w14:textId="77777777" w:rsidR="00AD1E92" w:rsidRPr="00350C08" w:rsidRDefault="00AD1E92" w:rsidP="00AD1E92">
          <w:pPr>
            <w:spacing w:before="60" w:after="40" w:line="260" w:lineRule="exact"/>
            <w:rPr>
              <w:position w:val="2"/>
              <w:sz w:val="18"/>
              <w:szCs w:val="18"/>
              <w:lang w:val="en-GB"/>
            </w:rPr>
          </w:pPr>
          <w:r w:rsidRPr="00350C08">
            <w:rPr>
              <w:position w:val="2"/>
              <w:sz w:val="18"/>
              <w:szCs w:val="18"/>
              <w:rtl/>
              <w:lang w:val="fr-FR" w:bidi="ar-EG"/>
            </w:rPr>
            <w:t>البريد الإلكتروني:</w:t>
          </w:r>
        </w:p>
      </w:tc>
      <w:tc>
        <w:tcPr>
          <w:tcW w:w="6237" w:type="dxa"/>
        </w:tcPr>
        <w:p w14:paraId="7685649E" w14:textId="555D25E3" w:rsidR="00AD1E92" w:rsidRPr="00350C08" w:rsidRDefault="009455BE" w:rsidP="00AD1E92">
          <w:pPr>
            <w:spacing w:before="60" w:after="40" w:line="260" w:lineRule="exact"/>
            <w:rPr>
              <w:position w:val="2"/>
              <w:sz w:val="18"/>
              <w:szCs w:val="18"/>
              <w:rtl/>
              <w:lang w:val="fr-FR" w:bidi="ar-EG"/>
            </w:rPr>
          </w:pPr>
          <w:hyperlink r:id="rId1" w:history="1">
            <w:r w:rsidR="00350C08" w:rsidRPr="00350C08">
              <w:rPr>
                <w:rStyle w:val="Hyperlink"/>
                <w:sz w:val="18"/>
                <w:szCs w:val="18"/>
              </w:rPr>
              <w:t>roxana.widmer-iliescu@itu.int</w:t>
            </w:r>
          </w:hyperlink>
          <w:hyperlink r:id="rId2" w:history="1"/>
        </w:p>
      </w:tc>
    </w:tr>
  </w:tbl>
  <w:p w14:paraId="0F6C3A6B"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B018" w14:textId="77777777" w:rsidR="003A1E74" w:rsidRDefault="003A1E74" w:rsidP="006C3242">
      <w:pPr>
        <w:spacing w:before="0" w:line="240" w:lineRule="auto"/>
      </w:pPr>
      <w:r>
        <w:separator/>
      </w:r>
    </w:p>
  </w:footnote>
  <w:footnote w:type="continuationSeparator" w:id="0">
    <w:p w14:paraId="186D6DDB" w14:textId="77777777" w:rsidR="003A1E74" w:rsidRDefault="003A1E7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723C4A8" w14:textId="7AB02DFA"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350C08">
          <w:rPr>
            <w:sz w:val="20"/>
            <w:szCs w:val="20"/>
            <w:lang w:val="es-ES_tradnl"/>
          </w:rPr>
          <w:t>14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E05F35"/>
    <w:multiLevelType w:val="hybridMultilevel"/>
    <w:tmpl w:val="6AC0A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 w:numId="12" w16cid:durableId="1487671718">
    <w:abstractNumId w:val="11"/>
    <w:lvlOverride w:ilvl="0">
      <w:lvl w:ilvl="0" w:tplc="0809000F">
        <w:start w:val="1"/>
        <w:numFmt w:val="decimal"/>
        <w:lvlText w:val="%1."/>
        <w:lvlJc w:val="left"/>
        <w:pPr>
          <w:ind w:left="72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74"/>
    <w:rsid w:val="00026D7C"/>
    <w:rsid w:val="0006468A"/>
    <w:rsid w:val="00090574"/>
    <w:rsid w:val="000C1C0E"/>
    <w:rsid w:val="000C548A"/>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34924"/>
    <w:rsid w:val="003409BC"/>
    <w:rsid w:val="00350C08"/>
    <w:rsid w:val="00352462"/>
    <w:rsid w:val="00357185"/>
    <w:rsid w:val="00383829"/>
    <w:rsid w:val="003971E3"/>
    <w:rsid w:val="003A1E74"/>
    <w:rsid w:val="003C4402"/>
    <w:rsid w:val="003F4B29"/>
    <w:rsid w:val="004200BD"/>
    <w:rsid w:val="0042686F"/>
    <w:rsid w:val="004317D8"/>
    <w:rsid w:val="00434183"/>
    <w:rsid w:val="00443869"/>
    <w:rsid w:val="00447F32"/>
    <w:rsid w:val="00457D22"/>
    <w:rsid w:val="004A0B7B"/>
    <w:rsid w:val="004E11DC"/>
    <w:rsid w:val="004F0F62"/>
    <w:rsid w:val="004F3C48"/>
    <w:rsid w:val="00506E94"/>
    <w:rsid w:val="00525DDD"/>
    <w:rsid w:val="005409AC"/>
    <w:rsid w:val="0055516A"/>
    <w:rsid w:val="0058491B"/>
    <w:rsid w:val="005874F2"/>
    <w:rsid w:val="00592EA5"/>
    <w:rsid w:val="005A3170"/>
    <w:rsid w:val="005B2C89"/>
    <w:rsid w:val="005C0C76"/>
    <w:rsid w:val="005D610E"/>
    <w:rsid w:val="005D63D6"/>
    <w:rsid w:val="005E1E6D"/>
    <w:rsid w:val="006128FC"/>
    <w:rsid w:val="00677396"/>
    <w:rsid w:val="0069200F"/>
    <w:rsid w:val="006A3620"/>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8D0998"/>
    <w:rsid w:val="0091702E"/>
    <w:rsid w:val="00923B0C"/>
    <w:rsid w:val="0094021C"/>
    <w:rsid w:val="0094065A"/>
    <w:rsid w:val="009455BE"/>
    <w:rsid w:val="00952F86"/>
    <w:rsid w:val="00957084"/>
    <w:rsid w:val="00982B28"/>
    <w:rsid w:val="00983DA5"/>
    <w:rsid w:val="009D313F"/>
    <w:rsid w:val="00A15396"/>
    <w:rsid w:val="00A24359"/>
    <w:rsid w:val="00A47A5A"/>
    <w:rsid w:val="00A6683B"/>
    <w:rsid w:val="00A97F9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D0F"/>
    <w:rsid w:val="00D8311F"/>
    <w:rsid w:val="00D84440"/>
    <w:rsid w:val="00DA1CF0"/>
    <w:rsid w:val="00DC1E02"/>
    <w:rsid w:val="00DC24B4"/>
    <w:rsid w:val="00DC5FB0"/>
    <w:rsid w:val="00DF16DC"/>
    <w:rsid w:val="00E43176"/>
    <w:rsid w:val="00E45211"/>
    <w:rsid w:val="00E473C5"/>
    <w:rsid w:val="00E92863"/>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E6A2A"/>
  <w15:chartTrackingRefBased/>
  <w15:docId w15:val="{ED0145BA-E930-4EB0-B820-90B9A555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textrun">
    <w:name w:val="normaltextrun"/>
    <w:basedOn w:val="DefaultParagraphFont"/>
    <w:rsid w:val="00350C08"/>
  </w:style>
  <w:style w:type="paragraph" w:customStyle="1" w:styleId="FirstFooter">
    <w:name w:val="FirstFooter"/>
    <w:basedOn w:val="Footer"/>
    <w:rsid w:val="00350C08"/>
    <w:pPr>
      <w:tabs>
        <w:tab w:val="clear" w:pos="794"/>
        <w:tab w:val="clear" w:pos="4153"/>
        <w:tab w:val="clear" w:pos="8306"/>
        <w:tab w:val="left" w:pos="1871"/>
      </w:tabs>
      <w:spacing w:before="40"/>
    </w:pPr>
    <w:rPr>
      <w:rFonts w:ascii="Times New Roman" w:eastAsia="Batang" w:hAnsi="Times" w:cs="Simplified Arabic" w:hint="cs"/>
      <w:sz w:val="16"/>
      <w:szCs w:val="30"/>
      <w:lang w:eastAsia="zh-C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50C08"/>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roxana.widmer-iliescu@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FBEABAC0-08C5-47C3-A700-4A6E3AA3900B}"/>
</file>

<file path=customXml/itemProps3.xml><?xml version="1.0" encoding="utf-8"?>
<ds:datastoreItem xmlns:ds="http://schemas.openxmlformats.org/officeDocument/2006/customXml" ds:itemID="{1200318B-F6F0-4E29-9253-BB99DF541EDF}"/>
</file>

<file path=customXml/itemProps4.xml><?xml version="1.0" encoding="utf-8"?>
<ds:datastoreItem xmlns:ds="http://schemas.openxmlformats.org/officeDocument/2006/customXml" ds:itemID="{49671FBA-4E61-44EC-9DD3-4ADEF3A036E7}"/>
</file>

<file path=docProps/app.xml><?xml version="1.0" encoding="utf-8"?>
<Properties xmlns="http://schemas.openxmlformats.org/officeDocument/2006/extended-properties" xmlns:vt="http://schemas.openxmlformats.org/officeDocument/2006/docPropsVTypes">
  <Template>PA_TDAG-25.dotx</Template>
  <TotalTime>15</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2025-05-06T08:41:00Z</dcterms:created>
  <dcterms:modified xsi:type="dcterms:W3CDTF">2025-05-06T08:56:00Z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