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5A04BDD5">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431074">
            <w:pPr>
              <w:tabs>
                <w:tab w:val="clear" w:pos="1134"/>
              </w:tabs>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5D597BCB"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sidR="00643C05">
              <w:rPr>
                <w:b/>
                <w:bCs/>
                <w:lang w:val="en-US"/>
              </w:rPr>
              <w:t>13</w:t>
            </w:r>
            <w:r w:rsidRPr="00403C69">
              <w:rPr>
                <w:b/>
                <w:bCs/>
                <w:lang w:val="en-US"/>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33C6D60A" w:rsidR="005B718F" w:rsidRPr="00403C69" w:rsidRDefault="00643C05" w:rsidP="005B718F">
            <w:pPr>
              <w:spacing w:before="0" w:line="240" w:lineRule="atLeast"/>
              <w:rPr>
                <w:rFonts w:cstheme="minorHAnsi"/>
                <w:szCs w:val="24"/>
              </w:rPr>
            </w:pPr>
            <w:r>
              <w:rPr>
                <w:b/>
                <w:bCs/>
                <w:szCs w:val="28"/>
              </w:rPr>
              <w:t>1 April</w:t>
            </w:r>
            <w:r w:rsidR="005B718F">
              <w:rPr>
                <w:b/>
                <w:bCs/>
                <w:szCs w:val="28"/>
              </w:rPr>
              <w:t xml:space="preserve"> 2025</w:t>
            </w:r>
          </w:p>
        </w:tc>
      </w:tr>
      <w:bookmarkEnd w:id="6"/>
      <w:bookmarkEnd w:id="7"/>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01DBF4F8" w:rsidR="005B718F" w:rsidRPr="00403C69" w:rsidRDefault="005B718F" w:rsidP="005B718F">
            <w:pPr>
              <w:tabs>
                <w:tab w:val="left" w:pos="993"/>
              </w:tabs>
              <w:spacing w:before="0"/>
              <w:rPr>
                <w:rFonts w:cstheme="minorHAnsi"/>
                <w:b/>
                <w:szCs w:val="24"/>
              </w:rPr>
            </w:pPr>
            <w:r w:rsidRPr="00403C69">
              <w:rPr>
                <w:b/>
                <w:bCs/>
                <w:szCs w:val="24"/>
              </w:rPr>
              <w:t>Original: English</w:t>
            </w:r>
          </w:p>
        </w:tc>
      </w:tr>
      <w:tr w:rsidR="003D1814" w:rsidRPr="00403C69" w14:paraId="35F96F24" w14:textId="77777777" w:rsidTr="00D87035">
        <w:trPr>
          <w:cantSplit/>
          <w:trHeight w:val="23"/>
        </w:trPr>
        <w:tc>
          <w:tcPr>
            <w:tcW w:w="10031" w:type="dxa"/>
            <w:gridSpan w:val="4"/>
            <w:shd w:val="clear" w:color="auto" w:fill="auto"/>
          </w:tcPr>
          <w:p w14:paraId="59A8A61C" w14:textId="7EB13247" w:rsidR="003D1814" w:rsidRPr="00403C69" w:rsidRDefault="00FB5664" w:rsidP="003D1814">
            <w:pPr>
              <w:pStyle w:val="Source"/>
              <w:spacing w:before="240" w:after="240"/>
            </w:pPr>
            <w:bookmarkStart w:id="8" w:name="dbluepink" w:colFirst="0" w:colLast="0"/>
            <w:bookmarkStart w:id="9" w:name="dorlang" w:colFirst="1" w:colLast="1"/>
            <w:r>
              <w:t>Secretary-General</w:t>
            </w:r>
          </w:p>
        </w:tc>
      </w:tr>
      <w:tr w:rsidR="003D1814" w:rsidRPr="00403C69" w14:paraId="7EDE1565" w14:textId="77777777" w:rsidTr="00B73BB9">
        <w:trPr>
          <w:cantSplit/>
          <w:trHeight w:val="23"/>
        </w:trPr>
        <w:tc>
          <w:tcPr>
            <w:tcW w:w="10031" w:type="dxa"/>
            <w:gridSpan w:val="4"/>
            <w:shd w:val="clear" w:color="auto" w:fill="auto"/>
            <w:vAlign w:val="center"/>
          </w:tcPr>
          <w:p w14:paraId="3D29924B" w14:textId="5FF49777" w:rsidR="003D1814" w:rsidRPr="001655E8" w:rsidRDefault="009579AD" w:rsidP="003D1814">
            <w:pPr>
              <w:pStyle w:val="Title1"/>
              <w:spacing w:before="120" w:after="120"/>
              <w:rPr>
                <w:caps w:val="0"/>
              </w:rPr>
            </w:pPr>
            <w:r>
              <w:rPr>
                <w:caps w:val="0"/>
                <w:szCs w:val="28"/>
                <w:lang w:val="en-US"/>
              </w:rPr>
              <w:t>Draft Agenda of the World Telecommunication Development Conference (WTDC)</w:t>
            </w:r>
          </w:p>
        </w:tc>
      </w:tr>
      <w:tr w:rsidR="008A75AD" w:rsidRPr="00403C69" w14:paraId="4FBA7816" w14:textId="77777777" w:rsidTr="00B73BB9">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B73BB9">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0C549905" w14:textId="3BF2EB29" w:rsidR="00A8004F" w:rsidRDefault="00A8004F" w:rsidP="00A8004F">
            <w:pPr>
              <w:spacing w:after="120"/>
            </w:pPr>
            <w:r>
              <w:t>The ITU Council-2024, noting that WTDC-25 is scheduled to be held in the last quarter of 2025, in accordance with Resolution 77 (Rev. Bucharest, 2022) of the Plenipotentiary Conference on Scheduling and duration of conferences, forums, assemblies and Council sessions of the Union (2023-2027), decided that, subject to the concurrence of the majority of the Member States of the Union, the next World Telecommunication Development Conference (WTDC-25) will take place in Baku, Republic of Azerbaijan, from 17 to 28 November 2025</w:t>
            </w:r>
            <w:r w:rsidR="00AF4F12">
              <w:t>.</w:t>
            </w:r>
          </w:p>
          <w:p w14:paraId="7B6C3B3F" w14:textId="03E892CE" w:rsidR="00C77589" w:rsidRPr="00403C69" w:rsidRDefault="00C77589" w:rsidP="00A8004F">
            <w:pPr>
              <w:spacing w:after="120"/>
              <w:rPr>
                <w:b/>
                <w:bCs/>
                <w:szCs w:val="24"/>
              </w:rPr>
            </w:pPr>
            <w:r w:rsidRPr="00403C69">
              <w:rPr>
                <w:b/>
                <w:bCs/>
              </w:rPr>
              <w:t>Action required:</w:t>
            </w:r>
          </w:p>
          <w:p w14:paraId="0229C904" w14:textId="77777777" w:rsidR="00C77589" w:rsidRPr="00403C69" w:rsidRDefault="00C77589" w:rsidP="00C77589">
            <w:pPr>
              <w:spacing w:after="120"/>
              <w:rPr>
                <w:szCs w:val="24"/>
              </w:rPr>
            </w:pPr>
            <w:r w:rsidRPr="00403C69">
              <w:t>TDAG is invited to note this document and provide guidance as deemed appropriate.</w:t>
            </w:r>
          </w:p>
          <w:p w14:paraId="18114BF0" w14:textId="77777777" w:rsidR="00C77589" w:rsidRPr="00403C69" w:rsidRDefault="00C77589" w:rsidP="00C77589">
            <w:pPr>
              <w:spacing w:after="120"/>
              <w:rPr>
                <w:b/>
                <w:bCs/>
                <w:szCs w:val="24"/>
              </w:rPr>
            </w:pPr>
            <w:r w:rsidRPr="00403C69">
              <w:rPr>
                <w:b/>
                <w:bCs/>
                <w:szCs w:val="24"/>
              </w:rPr>
              <w:t>References:</w:t>
            </w:r>
          </w:p>
          <w:p w14:paraId="6A9AF37B" w14:textId="505D45AA" w:rsidR="00C77589" w:rsidRPr="00403C69" w:rsidRDefault="00C45565" w:rsidP="00C77589">
            <w:pPr>
              <w:spacing w:after="120"/>
            </w:pPr>
            <w:hyperlink r:id="rId13" w:history="1">
              <w:r w:rsidRPr="00F77AE6">
                <w:rPr>
                  <w:rStyle w:val="Hyperlink"/>
                </w:rPr>
                <w:t>ITU-SG CL Contribution 30</w:t>
              </w:r>
            </w:hyperlink>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p w14:paraId="25DF46C4" w14:textId="77777777" w:rsidR="000D1F2F" w:rsidRDefault="000D1F2F" w:rsidP="000D1F2F">
      <w:pPr>
        <w:pStyle w:val="Annextitle"/>
      </w:pPr>
      <w:r>
        <w:lastRenderedPageBreak/>
        <w:t xml:space="preserve">Draft agenda of the 2025 World Telecommunication </w:t>
      </w:r>
      <w:r>
        <w:br/>
        <w:t>Development Conference (WTDC-25)</w:t>
      </w:r>
    </w:p>
    <w:p w14:paraId="01AA8734" w14:textId="77777777" w:rsidR="000D1F2F" w:rsidRDefault="000D1F2F" w:rsidP="000D1F2F">
      <w:pPr>
        <w:pStyle w:val="Annexref"/>
      </w:pPr>
    </w:p>
    <w:p w14:paraId="061179A3" w14:textId="77777777" w:rsidR="000D1F2F" w:rsidRPr="002C62F9" w:rsidRDefault="000D1F2F" w:rsidP="000D1F2F">
      <w:pPr>
        <w:keepNext/>
        <w:overflowPunct/>
        <w:autoSpaceDE/>
        <w:adjustRightInd/>
        <w:spacing w:before="240" w:after="120"/>
        <w:rPr>
          <w:rFonts w:eastAsia="Calibri" w:cs="Segoe UI"/>
          <w:b/>
          <w:bCs/>
        </w:rPr>
      </w:pPr>
      <w:r w:rsidRPr="1C665EF8">
        <w:rPr>
          <w:rFonts w:eastAsia="Calibri" w:cs="Segoe UI"/>
          <w:b/>
          <w:bCs/>
        </w:rPr>
        <w:t>I.</w:t>
      </w:r>
      <w:r>
        <w:tab/>
      </w:r>
      <w:r w:rsidRPr="1C665EF8">
        <w:rPr>
          <w:rFonts w:eastAsia="Calibri" w:cs="Segoe UI"/>
          <w:b/>
          <w:bCs/>
        </w:rPr>
        <w:t>Report on the implementation of the ITU-D Action Plans</w:t>
      </w:r>
    </w:p>
    <w:p w14:paraId="677407FB" w14:textId="77777777" w:rsidR="000D1F2F" w:rsidRPr="002C62F9" w:rsidRDefault="000D1F2F" w:rsidP="00535F6C">
      <w:pPr>
        <w:spacing w:before="100" w:after="100"/>
        <w:ind w:left="450" w:hanging="450"/>
        <w:rPr>
          <w:szCs w:val="24"/>
        </w:rPr>
      </w:pPr>
      <w:r w:rsidRPr="002C62F9">
        <w:rPr>
          <w:szCs w:val="24"/>
        </w:rPr>
        <w:t xml:space="preserve">1. </w:t>
      </w:r>
      <w:r w:rsidRPr="002C62F9">
        <w:rPr>
          <w:szCs w:val="24"/>
        </w:rPr>
        <w:tab/>
        <w:t>Update on global digital transformation and reporting on the implementation of the WTDC-17 Buenos Aires Action Plan and the WTDC-22 Kigali Action Plan (including the Regional Initiatives), contribution to the implementation of the WSIS Plan of Action and the Sustainable Development Goals (SDGs)</w:t>
      </w:r>
    </w:p>
    <w:p w14:paraId="696307A1" w14:textId="18BC1130" w:rsidR="000D1F2F" w:rsidRPr="002C62F9" w:rsidRDefault="000D1F2F" w:rsidP="00535F6C">
      <w:pPr>
        <w:tabs>
          <w:tab w:val="left" w:pos="450"/>
        </w:tabs>
        <w:spacing w:before="100" w:after="100"/>
        <w:ind w:left="450" w:hanging="450"/>
        <w:rPr>
          <w:szCs w:val="24"/>
        </w:rPr>
      </w:pPr>
      <w:r w:rsidRPr="002C62F9">
        <w:rPr>
          <w:szCs w:val="24"/>
        </w:rPr>
        <w:t>2.</w:t>
      </w:r>
      <w:r w:rsidR="00535F6C">
        <w:rPr>
          <w:szCs w:val="24"/>
        </w:rPr>
        <w:tab/>
      </w:r>
      <w:r w:rsidRPr="002C62F9">
        <w:rPr>
          <w:szCs w:val="24"/>
        </w:rPr>
        <w:t>Report of the Telecommunication Development Advisory Group</w:t>
      </w:r>
    </w:p>
    <w:p w14:paraId="1728AC25" w14:textId="01EC1C42" w:rsidR="000D1F2F" w:rsidRPr="002C62F9" w:rsidRDefault="000D1F2F" w:rsidP="00535F6C">
      <w:pPr>
        <w:tabs>
          <w:tab w:val="left" w:pos="450"/>
        </w:tabs>
        <w:spacing w:before="100" w:after="100"/>
        <w:ind w:left="450" w:hanging="450"/>
        <w:rPr>
          <w:szCs w:val="24"/>
        </w:rPr>
      </w:pPr>
      <w:r w:rsidRPr="002C62F9">
        <w:rPr>
          <w:szCs w:val="24"/>
        </w:rPr>
        <w:t>3.</w:t>
      </w:r>
      <w:r w:rsidRPr="002C62F9">
        <w:rPr>
          <w:szCs w:val="24"/>
        </w:rPr>
        <w:tab/>
        <w:t>Report of Study Groups</w:t>
      </w:r>
    </w:p>
    <w:p w14:paraId="0E60B633" w14:textId="77777777" w:rsidR="000D1F2F" w:rsidRPr="002C62F9" w:rsidRDefault="000D1F2F" w:rsidP="00535F6C">
      <w:pPr>
        <w:tabs>
          <w:tab w:val="left" w:pos="450"/>
        </w:tabs>
        <w:spacing w:before="100" w:after="100"/>
        <w:ind w:left="450" w:hanging="450"/>
        <w:rPr>
          <w:szCs w:val="24"/>
        </w:rPr>
      </w:pPr>
      <w:r w:rsidRPr="002C62F9">
        <w:rPr>
          <w:szCs w:val="24"/>
        </w:rPr>
        <w:t xml:space="preserve">4. </w:t>
      </w:r>
      <w:r w:rsidRPr="002C62F9">
        <w:rPr>
          <w:szCs w:val="24"/>
        </w:rPr>
        <w:tab/>
        <w:t>Report on the implementation of outcomes of other ITU Conferences, Assemblies and meetings related to ITU-D work:</w:t>
      </w:r>
    </w:p>
    <w:p w14:paraId="2F3A8331" w14:textId="77777777" w:rsidR="000D1F2F" w:rsidRPr="002C62F9" w:rsidRDefault="000D1F2F" w:rsidP="000D1F2F">
      <w:pPr>
        <w:overflowPunct/>
        <w:autoSpaceDE/>
        <w:adjustRightInd/>
        <w:spacing w:before="100" w:after="100"/>
        <w:ind w:left="1134" w:hanging="567"/>
        <w:rPr>
          <w:rFonts w:eastAsia="Calibri" w:cs="Segoe UI"/>
          <w:szCs w:val="24"/>
        </w:rPr>
      </w:pPr>
      <w:r w:rsidRPr="002C62F9">
        <w:rPr>
          <w:rFonts w:eastAsia="Calibri" w:cs="Segoe UI"/>
          <w:szCs w:val="24"/>
        </w:rPr>
        <w:t xml:space="preserve">a. </w:t>
      </w:r>
      <w:r w:rsidRPr="002C62F9">
        <w:rPr>
          <w:rFonts w:eastAsia="Calibri" w:cs="Segoe UI"/>
          <w:szCs w:val="24"/>
        </w:rPr>
        <w:tab/>
        <w:t>Plenipotentiary Conference (PP-22)</w:t>
      </w:r>
    </w:p>
    <w:p w14:paraId="72C7BF45" w14:textId="77777777" w:rsidR="000D1F2F" w:rsidRPr="002C62F9" w:rsidRDefault="000D1F2F" w:rsidP="000D1F2F">
      <w:pPr>
        <w:overflowPunct/>
        <w:autoSpaceDE/>
        <w:adjustRightInd/>
        <w:spacing w:before="100" w:after="100"/>
        <w:ind w:left="1134" w:hanging="567"/>
        <w:rPr>
          <w:rFonts w:eastAsia="Calibri" w:cs="Segoe UI"/>
          <w:szCs w:val="24"/>
        </w:rPr>
      </w:pPr>
      <w:r w:rsidRPr="002C62F9">
        <w:rPr>
          <w:rFonts w:eastAsia="Calibri" w:cs="Segoe UI"/>
          <w:szCs w:val="24"/>
        </w:rPr>
        <w:t xml:space="preserve">b. </w:t>
      </w:r>
      <w:r w:rsidRPr="002C62F9">
        <w:rPr>
          <w:rFonts w:eastAsia="Calibri" w:cs="Segoe UI"/>
          <w:szCs w:val="24"/>
        </w:rPr>
        <w:tab/>
        <w:t>Radiocommunication Assembly (RA-23)/World Radiocommunication Conference (WRC-23)</w:t>
      </w:r>
    </w:p>
    <w:p w14:paraId="7401BD6A" w14:textId="77777777" w:rsidR="000D1F2F" w:rsidRPr="002C62F9" w:rsidRDefault="000D1F2F" w:rsidP="000D1F2F">
      <w:pPr>
        <w:overflowPunct/>
        <w:autoSpaceDE/>
        <w:adjustRightInd/>
        <w:spacing w:before="100" w:after="100"/>
        <w:ind w:left="1134" w:hanging="567"/>
        <w:rPr>
          <w:rFonts w:eastAsia="Calibri" w:cs="Segoe UI"/>
          <w:szCs w:val="24"/>
        </w:rPr>
      </w:pPr>
      <w:r w:rsidRPr="002C62F9">
        <w:rPr>
          <w:rFonts w:eastAsia="Calibri" w:cs="Segoe UI"/>
          <w:szCs w:val="24"/>
        </w:rPr>
        <w:t xml:space="preserve">c. </w:t>
      </w:r>
      <w:r w:rsidRPr="002C62F9">
        <w:rPr>
          <w:rFonts w:eastAsia="Calibri" w:cs="Segoe UI"/>
          <w:szCs w:val="24"/>
        </w:rPr>
        <w:tab/>
        <w:t>World Telecommunication Standardization Assembly (WTSA-24)</w:t>
      </w:r>
    </w:p>
    <w:p w14:paraId="01CC7563" w14:textId="77777777" w:rsidR="000D1F2F" w:rsidRPr="002C62F9" w:rsidRDefault="000D1F2F" w:rsidP="000D1F2F">
      <w:pPr>
        <w:keepNext/>
        <w:overflowPunct/>
        <w:autoSpaceDE/>
        <w:adjustRightInd/>
        <w:spacing w:before="240" w:after="100"/>
        <w:outlineLvl w:val="0"/>
        <w:rPr>
          <w:b/>
          <w:bCs/>
          <w:szCs w:val="24"/>
          <w:lang w:eastAsia="zh-CN"/>
        </w:rPr>
      </w:pPr>
      <w:r w:rsidRPr="002C62F9">
        <w:rPr>
          <w:b/>
          <w:szCs w:val="24"/>
          <w:lang w:eastAsia="zh-CN"/>
        </w:rPr>
        <w:t xml:space="preserve">II. </w:t>
      </w:r>
      <w:r w:rsidRPr="002C62F9">
        <w:rPr>
          <w:b/>
          <w:szCs w:val="24"/>
          <w:lang w:eastAsia="zh-CN"/>
        </w:rPr>
        <w:tab/>
        <w:t>Policy and strategy for digital transformation</w:t>
      </w:r>
    </w:p>
    <w:p w14:paraId="1BBFFD68" w14:textId="77777777" w:rsidR="000D1F2F" w:rsidRPr="002C62F9" w:rsidRDefault="000D1F2F" w:rsidP="00535F6C">
      <w:pPr>
        <w:spacing w:before="100" w:after="100"/>
        <w:ind w:left="540" w:hanging="540"/>
        <w:rPr>
          <w:szCs w:val="24"/>
        </w:rPr>
      </w:pPr>
      <w:r w:rsidRPr="002C62F9">
        <w:rPr>
          <w:szCs w:val="24"/>
        </w:rPr>
        <w:t xml:space="preserve">5. </w:t>
      </w:r>
      <w:r w:rsidRPr="002C62F9">
        <w:rPr>
          <w:szCs w:val="24"/>
        </w:rPr>
        <w:tab/>
        <w:t>Ministerial and Industry leaders’ roundtables and policy statements</w:t>
      </w:r>
    </w:p>
    <w:p w14:paraId="2F69393B" w14:textId="77777777" w:rsidR="000D1F2F" w:rsidRPr="002C62F9" w:rsidRDefault="000D1F2F" w:rsidP="000D1F2F">
      <w:pPr>
        <w:keepNext/>
        <w:overflowPunct/>
        <w:autoSpaceDE/>
        <w:adjustRightInd/>
        <w:spacing w:before="240" w:after="100"/>
        <w:outlineLvl w:val="0"/>
        <w:rPr>
          <w:b/>
          <w:bCs/>
          <w:szCs w:val="24"/>
          <w:lang w:eastAsia="zh-CN"/>
        </w:rPr>
      </w:pPr>
      <w:r w:rsidRPr="002C62F9">
        <w:rPr>
          <w:b/>
          <w:szCs w:val="24"/>
          <w:lang w:eastAsia="zh-CN"/>
        </w:rPr>
        <w:t xml:space="preserve">III. </w:t>
      </w:r>
      <w:r w:rsidRPr="002C62F9">
        <w:rPr>
          <w:b/>
          <w:szCs w:val="24"/>
          <w:lang w:eastAsia="zh-CN"/>
        </w:rPr>
        <w:tab/>
        <w:t>ITU-D work plan for 2026-2029</w:t>
      </w:r>
    </w:p>
    <w:p w14:paraId="72C54A9F" w14:textId="77777777" w:rsidR="000D1F2F" w:rsidRPr="002C62F9" w:rsidRDefault="000D1F2F" w:rsidP="00535F6C">
      <w:pPr>
        <w:spacing w:before="100" w:after="100"/>
        <w:ind w:left="540" w:hanging="540"/>
        <w:rPr>
          <w:szCs w:val="24"/>
        </w:rPr>
      </w:pPr>
      <w:r w:rsidRPr="002C62F9">
        <w:rPr>
          <w:szCs w:val="24"/>
        </w:rPr>
        <w:t xml:space="preserve">6. </w:t>
      </w:r>
      <w:r w:rsidRPr="002C62F9">
        <w:rPr>
          <w:szCs w:val="24"/>
        </w:rPr>
        <w:tab/>
        <w:t>Outcomes of Regional Preparatory Meetings for WTDC</w:t>
      </w:r>
    </w:p>
    <w:p w14:paraId="15CCACD3" w14:textId="77777777" w:rsidR="000D1F2F" w:rsidRPr="002C62F9" w:rsidRDefault="000D1F2F" w:rsidP="00535F6C">
      <w:pPr>
        <w:spacing w:before="100" w:after="100"/>
        <w:ind w:left="540" w:hanging="540"/>
        <w:rPr>
          <w:szCs w:val="24"/>
        </w:rPr>
      </w:pPr>
      <w:r w:rsidRPr="002C62F9">
        <w:rPr>
          <w:szCs w:val="24"/>
        </w:rPr>
        <w:t xml:space="preserve">7. </w:t>
      </w:r>
      <w:r w:rsidRPr="002C62F9">
        <w:rPr>
          <w:szCs w:val="24"/>
        </w:rPr>
        <w:tab/>
        <w:t>ITU-D contribution to the ITU Strategic Plan for 2028-2031</w:t>
      </w:r>
    </w:p>
    <w:p w14:paraId="680EE641" w14:textId="77777777" w:rsidR="000D1F2F" w:rsidRPr="002C62F9" w:rsidRDefault="000D1F2F" w:rsidP="00535F6C">
      <w:pPr>
        <w:spacing w:before="100" w:after="100"/>
        <w:ind w:left="540" w:hanging="540"/>
        <w:rPr>
          <w:szCs w:val="24"/>
        </w:rPr>
      </w:pPr>
      <w:r w:rsidRPr="002C62F9">
        <w:rPr>
          <w:szCs w:val="24"/>
        </w:rPr>
        <w:t xml:space="preserve">8. </w:t>
      </w:r>
      <w:r w:rsidRPr="002C62F9">
        <w:rPr>
          <w:szCs w:val="24"/>
        </w:rPr>
        <w:tab/>
        <w:t>ITU-D Priorities</w:t>
      </w:r>
    </w:p>
    <w:p w14:paraId="1EA43005" w14:textId="77777777" w:rsidR="000D1F2F" w:rsidRPr="002C62F9" w:rsidRDefault="000D1F2F" w:rsidP="00535F6C">
      <w:pPr>
        <w:spacing w:before="100" w:after="100"/>
        <w:ind w:left="540" w:hanging="540"/>
        <w:rPr>
          <w:szCs w:val="24"/>
        </w:rPr>
      </w:pPr>
      <w:r w:rsidRPr="002C62F9">
        <w:rPr>
          <w:szCs w:val="24"/>
        </w:rPr>
        <w:t xml:space="preserve">9. </w:t>
      </w:r>
      <w:r w:rsidRPr="002C62F9">
        <w:rPr>
          <w:szCs w:val="24"/>
        </w:rPr>
        <w:tab/>
        <w:t>ITU-D Action Plan for the following cycle</w:t>
      </w:r>
    </w:p>
    <w:p w14:paraId="1BD2F294" w14:textId="77777777" w:rsidR="000D1F2F" w:rsidRPr="002C62F9" w:rsidRDefault="000D1F2F" w:rsidP="00535F6C">
      <w:pPr>
        <w:spacing w:before="100" w:after="100"/>
        <w:ind w:left="540" w:hanging="540"/>
        <w:rPr>
          <w:szCs w:val="24"/>
        </w:rPr>
      </w:pPr>
      <w:r w:rsidRPr="002C62F9">
        <w:rPr>
          <w:szCs w:val="24"/>
        </w:rPr>
        <w:t xml:space="preserve">10. </w:t>
      </w:r>
      <w:r w:rsidRPr="002C62F9">
        <w:rPr>
          <w:szCs w:val="24"/>
        </w:rPr>
        <w:tab/>
        <w:t>WTDC Declaration</w:t>
      </w:r>
    </w:p>
    <w:p w14:paraId="06B0EB8A" w14:textId="77777777" w:rsidR="000D1F2F" w:rsidRPr="002C62F9" w:rsidRDefault="000D1F2F" w:rsidP="00535F6C">
      <w:pPr>
        <w:keepNext/>
        <w:spacing w:before="100" w:after="100"/>
        <w:ind w:left="630" w:hanging="630"/>
        <w:rPr>
          <w:szCs w:val="24"/>
        </w:rPr>
      </w:pPr>
      <w:r w:rsidRPr="002C62F9">
        <w:rPr>
          <w:szCs w:val="24"/>
        </w:rPr>
        <w:t xml:space="preserve">11. </w:t>
      </w:r>
      <w:r w:rsidRPr="002C62F9">
        <w:rPr>
          <w:szCs w:val="24"/>
        </w:rPr>
        <w:tab/>
        <w:t>Telecommunication Development Advisory Group</w:t>
      </w:r>
    </w:p>
    <w:p w14:paraId="4C48C375" w14:textId="77777777" w:rsidR="000D1F2F" w:rsidRPr="002C62F9" w:rsidRDefault="000D1F2F" w:rsidP="000D1F2F">
      <w:pPr>
        <w:overflowPunct/>
        <w:autoSpaceDE/>
        <w:adjustRightInd/>
        <w:spacing w:before="100" w:after="100"/>
        <w:ind w:left="1134" w:hanging="567"/>
        <w:rPr>
          <w:rFonts w:eastAsia="Calibri" w:cs="Segoe UI"/>
          <w:szCs w:val="24"/>
        </w:rPr>
      </w:pPr>
      <w:r w:rsidRPr="002C62F9">
        <w:rPr>
          <w:rFonts w:eastAsia="Calibri" w:cs="Segoe UI"/>
          <w:szCs w:val="24"/>
        </w:rPr>
        <w:t xml:space="preserve">a. </w:t>
      </w:r>
      <w:r w:rsidRPr="002C62F9">
        <w:rPr>
          <w:rFonts w:eastAsia="Calibri" w:cs="Segoe UI"/>
          <w:szCs w:val="24"/>
        </w:rPr>
        <w:tab/>
        <w:t>Authorization for the Telecommunication Development Advisory Group to act between world telecommunication development conferences (Resolution 24, Rev. Dubai, 2014)</w:t>
      </w:r>
    </w:p>
    <w:p w14:paraId="1E7F2D6F" w14:textId="77777777" w:rsidR="000D1F2F" w:rsidRPr="002C62F9" w:rsidRDefault="000D1F2F" w:rsidP="000D1F2F">
      <w:pPr>
        <w:overflowPunct/>
        <w:autoSpaceDE/>
        <w:adjustRightInd/>
        <w:spacing w:before="100" w:after="100"/>
        <w:ind w:left="1134" w:hanging="567"/>
        <w:rPr>
          <w:rFonts w:eastAsia="Calibri" w:cs="Segoe UI"/>
          <w:szCs w:val="24"/>
        </w:rPr>
      </w:pPr>
      <w:r w:rsidRPr="002C62F9">
        <w:rPr>
          <w:rFonts w:eastAsia="Calibri" w:cs="Segoe UI"/>
          <w:szCs w:val="24"/>
        </w:rPr>
        <w:t xml:space="preserve">b. </w:t>
      </w:r>
      <w:r w:rsidRPr="002C62F9">
        <w:rPr>
          <w:rFonts w:eastAsia="Calibri" w:cs="Segoe UI"/>
          <w:szCs w:val="24"/>
        </w:rPr>
        <w:tab/>
        <w:t>Structure and working methods</w:t>
      </w:r>
    </w:p>
    <w:p w14:paraId="0FFEAB35" w14:textId="77777777" w:rsidR="000D1F2F" w:rsidRPr="002C62F9" w:rsidRDefault="000D1F2F" w:rsidP="00535F6C">
      <w:pPr>
        <w:spacing w:before="100" w:after="100"/>
        <w:ind w:left="540" w:hanging="540"/>
        <w:rPr>
          <w:szCs w:val="24"/>
        </w:rPr>
      </w:pPr>
      <w:r w:rsidRPr="002C62F9">
        <w:rPr>
          <w:szCs w:val="24"/>
        </w:rPr>
        <w:t xml:space="preserve">12. </w:t>
      </w:r>
      <w:r w:rsidRPr="002C62F9">
        <w:rPr>
          <w:szCs w:val="24"/>
        </w:rPr>
        <w:tab/>
        <w:t>Study Groups</w:t>
      </w:r>
    </w:p>
    <w:p w14:paraId="37FAC65A" w14:textId="77777777" w:rsidR="000D1F2F" w:rsidRPr="002C62F9" w:rsidRDefault="000D1F2F" w:rsidP="000D1F2F">
      <w:pPr>
        <w:overflowPunct/>
        <w:autoSpaceDE/>
        <w:adjustRightInd/>
        <w:spacing w:before="100" w:after="100"/>
        <w:ind w:left="1134" w:hanging="567"/>
        <w:rPr>
          <w:rFonts w:eastAsia="Calibri" w:cs="Segoe UI"/>
          <w:szCs w:val="24"/>
        </w:rPr>
      </w:pPr>
      <w:r w:rsidRPr="002C62F9">
        <w:rPr>
          <w:rFonts w:eastAsia="Calibri" w:cs="Segoe UI"/>
          <w:szCs w:val="24"/>
        </w:rPr>
        <w:t>a.</w:t>
      </w:r>
      <w:r w:rsidRPr="002C62F9">
        <w:rPr>
          <w:rFonts w:eastAsia="Calibri" w:cs="Segoe UI"/>
          <w:szCs w:val="24"/>
        </w:rPr>
        <w:tab/>
        <w:t>Study Questions</w:t>
      </w:r>
    </w:p>
    <w:p w14:paraId="2A984A15" w14:textId="77777777" w:rsidR="000D1F2F" w:rsidRDefault="000D1F2F" w:rsidP="000D1F2F">
      <w:pPr>
        <w:overflowPunct/>
        <w:autoSpaceDE/>
        <w:adjustRightInd/>
        <w:spacing w:before="100" w:after="100"/>
        <w:ind w:left="1134" w:hanging="567"/>
        <w:rPr>
          <w:rFonts w:eastAsia="Calibri" w:cs="Segoe UI"/>
          <w:szCs w:val="24"/>
        </w:rPr>
      </w:pPr>
      <w:r w:rsidRPr="002C62F9">
        <w:rPr>
          <w:rFonts w:eastAsia="Calibri" w:cs="Segoe UI"/>
          <w:szCs w:val="24"/>
        </w:rPr>
        <w:t xml:space="preserve">b. </w:t>
      </w:r>
      <w:r w:rsidRPr="002C62F9">
        <w:rPr>
          <w:rFonts w:eastAsia="Calibri" w:cs="Segoe UI"/>
          <w:szCs w:val="24"/>
        </w:rPr>
        <w:tab/>
        <w:t>Structure and working methods</w:t>
      </w:r>
    </w:p>
    <w:p w14:paraId="2F5EC3DF" w14:textId="77777777" w:rsidR="000D1F2F" w:rsidRPr="006F7717" w:rsidRDefault="000D1F2F" w:rsidP="000D1F2F">
      <w:pPr>
        <w:overflowPunct/>
        <w:autoSpaceDE/>
        <w:adjustRightInd/>
        <w:spacing w:before="100" w:after="100"/>
        <w:ind w:left="567" w:hanging="567"/>
        <w:rPr>
          <w:szCs w:val="24"/>
        </w:rPr>
      </w:pPr>
      <w:r>
        <w:rPr>
          <w:szCs w:val="24"/>
        </w:rPr>
        <w:t>13.</w:t>
      </w:r>
      <w:r>
        <w:rPr>
          <w:szCs w:val="24"/>
        </w:rPr>
        <w:tab/>
      </w:r>
      <w:r w:rsidRPr="006F7717">
        <w:rPr>
          <w:szCs w:val="24"/>
        </w:rPr>
        <w:t>Regional Initiatives</w:t>
      </w:r>
    </w:p>
    <w:p w14:paraId="618D1D59" w14:textId="21FE541F" w:rsidR="000D1F2F" w:rsidRPr="002C62F9" w:rsidRDefault="000D1F2F" w:rsidP="002533BB">
      <w:pPr>
        <w:spacing w:before="100" w:after="100"/>
        <w:ind w:left="540" w:hanging="540"/>
        <w:rPr>
          <w:szCs w:val="24"/>
        </w:rPr>
      </w:pPr>
      <w:r w:rsidRPr="002C62F9">
        <w:rPr>
          <w:szCs w:val="24"/>
        </w:rPr>
        <w:t>1</w:t>
      </w:r>
      <w:r>
        <w:rPr>
          <w:szCs w:val="24"/>
        </w:rPr>
        <w:t>4</w:t>
      </w:r>
      <w:r w:rsidRPr="002C62F9">
        <w:rPr>
          <w:szCs w:val="24"/>
        </w:rPr>
        <w:t>.</w:t>
      </w:r>
      <w:r w:rsidRPr="002C62F9">
        <w:rPr>
          <w:szCs w:val="24"/>
        </w:rPr>
        <w:tab/>
        <w:t>Resolutions and recommendations</w:t>
      </w:r>
    </w:p>
    <w:p w14:paraId="1DC30005" w14:textId="73CDED86" w:rsidR="00D83BF5" w:rsidRPr="0084734D" w:rsidRDefault="00D83BF5" w:rsidP="00A7027A">
      <w:pPr>
        <w:jc w:val="center"/>
        <w:rPr>
          <w:szCs w:val="24"/>
        </w:rPr>
      </w:pPr>
      <w:r w:rsidRPr="00403C69">
        <w:rPr>
          <w:szCs w:val="24"/>
        </w:rPr>
        <w:t>_______________</w:t>
      </w:r>
    </w:p>
    <w:sectPr w:rsidR="00D83BF5" w:rsidRPr="0084734D" w:rsidSect="0081159E">
      <w:headerReference w:type="default" r:id="rId14"/>
      <w:footerReference w:type="first" r:id="rId15"/>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131F6" w14:textId="77777777" w:rsidR="00382DFC" w:rsidRDefault="00382DFC">
      <w:r>
        <w:separator/>
      </w:r>
    </w:p>
    <w:p w14:paraId="36569A76" w14:textId="77777777" w:rsidR="00382DFC" w:rsidRDefault="00382DFC"/>
  </w:endnote>
  <w:endnote w:type="continuationSeparator" w:id="0">
    <w:p w14:paraId="7B995503" w14:textId="77777777" w:rsidR="00382DFC" w:rsidRDefault="00382DFC">
      <w:r>
        <w:continuationSeparator/>
      </w:r>
    </w:p>
    <w:p w14:paraId="445F44DB" w14:textId="77777777" w:rsidR="00382DFC" w:rsidRDefault="00382DFC"/>
  </w:endnote>
  <w:endnote w:type="continuationNotice" w:id="1">
    <w:p w14:paraId="0437C529" w14:textId="77777777" w:rsidR="00382DFC" w:rsidRDefault="00382DFC">
      <w:pPr>
        <w:spacing w:before="0"/>
      </w:pPr>
    </w:p>
    <w:p w14:paraId="6A93592F" w14:textId="77777777" w:rsidR="00382DFC" w:rsidRDefault="00382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2533BB" w14:paraId="65E77649" w14:textId="77777777" w:rsidTr="003447A8">
      <w:tc>
        <w:tcPr>
          <w:tcW w:w="1526" w:type="dxa"/>
          <w:tcBorders>
            <w:top w:val="single" w:sz="4" w:space="0" w:color="000000"/>
          </w:tcBorders>
          <w:shd w:val="clear" w:color="auto" w:fill="auto"/>
        </w:tcPr>
        <w:p w14:paraId="6D3E3B87" w14:textId="77777777" w:rsidR="003447A8" w:rsidRPr="002533BB" w:rsidRDefault="003447A8" w:rsidP="003447A8">
          <w:pPr>
            <w:pStyle w:val="FirstFooter"/>
            <w:tabs>
              <w:tab w:val="left" w:pos="1559"/>
              <w:tab w:val="left" w:pos="3828"/>
            </w:tabs>
            <w:rPr>
              <w:sz w:val="18"/>
              <w:szCs w:val="18"/>
            </w:rPr>
          </w:pPr>
          <w:r w:rsidRPr="002533BB">
            <w:rPr>
              <w:sz w:val="18"/>
              <w:szCs w:val="18"/>
              <w:lang w:val="en-US"/>
            </w:rPr>
            <w:t>Contact:</w:t>
          </w:r>
        </w:p>
      </w:tc>
      <w:tc>
        <w:tcPr>
          <w:tcW w:w="2410" w:type="dxa"/>
          <w:tcBorders>
            <w:top w:val="single" w:sz="4" w:space="0" w:color="000000"/>
          </w:tcBorders>
          <w:shd w:val="clear" w:color="auto" w:fill="auto"/>
        </w:tcPr>
        <w:p w14:paraId="077E88D5" w14:textId="77777777" w:rsidR="003447A8" w:rsidRPr="002533BB" w:rsidRDefault="003447A8" w:rsidP="003447A8">
          <w:pPr>
            <w:pStyle w:val="FirstFooter"/>
            <w:tabs>
              <w:tab w:val="left" w:pos="2302"/>
            </w:tabs>
            <w:ind w:left="2302" w:hanging="2302"/>
            <w:rPr>
              <w:sz w:val="18"/>
              <w:szCs w:val="18"/>
              <w:lang w:val="en-US"/>
            </w:rPr>
          </w:pPr>
          <w:r w:rsidRPr="002533BB">
            <w:rPr>
              <w:sz w:val="18"/>
              <w:szCs w:val="18"/>
              <w:lang w:val="en-US"/>
            </w:rPr>
            <w:t>Name/Organization/Entity:</w:t>
          </w:r>
        </w:p>
      </w:tc>
      <w:tc>
        <w:tcPr>
          <w:tcW w:w="5987" w:type="dxa"/>
          <w:tcBorders>
            <w:top w:val="single" w:sz="4" w:space="0" w:color="000000"/>
          </w:tcBorders>
        </w:tcPr>
        <w:p w14:paraId="1C53FE51" w14:textId="13E1CEDB" w:rsidR="003447A8" w:rsidRPr="002533BB" w:rsidRDefault="00FB766B" w:rsidP="003447A8">
          <w:pPr>
            <w:pStyle w:val="FirstFooter"/>
            <w:tabs>
              <w:tab w:val="left" w:pos="2302"/>
            </w:tabs>
            <w:rPr>
              <w:sz w:val="18"/>
              <w:szCs w:val="18"/>
              <w:lang w:val="en-US"/>
            </w:rPr>
          </w:pPr>
          <w:proofErr w:type="spellStart"/>
          <w:r w:rsidRPr="002533BB">
            <w:rPr>
              <w:sz w:val="18"/>
              <w:szCs w:val="18"/>
              <w:lang w:val="en-US"/>
            </w:rPr>
            <w:t>Ms</w:t>
          </w:r>
          <w:proofErr w:type="spellEnd"/>
          <w:r w:rsidRPr="002533BB">
            <w:rPr>
              <w:sz w:val="18"/>
              <w:szCs w:val="18"/>
              <w:lang w:val="en-US"/>
            </w:rPr>
            <w:t xml:space="preserve"> Archana Gulati, Deputy to the Director, T</w:t>
          </w:r>
          <w:r w:rsidR="003F4176" w:rsidRPr="002533BB">
            <w:rPr>
              <w:sz w:val="18"/>
              <w:szCs w:val="18"/>
              <w:lang w:val="en-US"/>
            </w:rPr>
            <w:t>elecommunication Development Bureau</w:t>
          </w:r>
        </w:p>
      </w:tc>
      <w:bookmarkStart w:id="10" w:name="OrgName"/>
      <w:bookmarkEnd w:id="10"/>
    </w:tr>
    <w:tr w:rsidR="003447A8" w:rsidRPr="002533BB" w14:paraId="1CC09AE7" w14:textId="77777777" w:rsidTr="003447A8">
      <w:tc>
        <w:tcPr>
          <w:tcW w:w="1526" w:type="dxa"/>
          <w:shd w:val="clear" w:color="auto" w:fill="auto"/>
        </w:tcPr>
        <w:p w14:paraId="7BB1BEC2" w14:textId="77777777" w:rsidR="003447A8" w:rsidRPr="002533BB" w:rsidRDefault="003447A8" w:rsidP="003447A8">
          <w:pPr>
            <w:pStyle w:val="FirstFooter"/>
            <w:tabs>
              <w:tab w:val="left" w:pos="1559"/>
              <w:tab w:val="left" w:pos="3828"/>
            </w:tabs>
            <w:rPr>
              <w:sz w:val="18"/>
              <w:szCs w:val="18"/>
              <w:lang w:val="en-US"/>
            </w:rPr>
          </w:pPr>
        </w:p>
      </w:tc>
      <w:tc>
        <w:tcPr>
          <w:tcW w:w="2410" w:type="dxa"/>
          <w:shd w:val="clear" w:color="auto" w:fill="auto"/>
        </w:tcPr>
        <w:p w14:paraId="6CF01C6C" w14:textId="77777777" w:rsidR="003447A8" w:rsidRPr="002533BB" w:rsidRDefault="003447A8" w:rsidP="003447A8">
          <w:pPr>
            <w:pStyle w:val="FirstFooter"/>
            <w:tabs>
              <w:tab w:val="left" w:pos="2302"/>
            </w:tabs>
            <w:rPr>
              <w:sz w:val="18"/>
              <w:szCs w:val="18"/>
              <w:lang w:val="en-US"/>
            </w:rPr>
          </w:pPr>
          <w:r w:rsidRPr="002533BB">
            <w:rPr>
              <w:sz w:val="18"/>
              <w:szCs w:val="18"/>
              <w:lang w:val="en-US"/>
            </w:rPr>
            <w:t>Phone number:</w:t>
          </w:r>
        </w:p>
      </w:tc>
      <w:tc>
        <w:tcPr>
          <w:tcW w:w="5987" w:type="dxa"/>
        </w:tcPr>
        <w:p w14:paraId="527F567E" w14:textId="3D6CCADA" w:rsidR="003447A8" w:rsidRPr="002533BB" w:rsidRDefault="003F4176" w:rsidP="003447A8">
          <w:pPr>
            <w:pStyle w:val="FirstFooter"/>
            <w:tabs>
              <w:tab w:val="left" w:pos="2302"/>
            </w:tabs>
            <w:rPr>
              <w:sz w:val="18"/>
              <w:szCs w:val="18"/>
              <w:lang w:val="en-US"/>
            </w:rPr>
          </w:pPr>
          <w:r w:rsidRPr="002533BB">
            <w:rPr>
              <w:sz w:val="18"/>
              <w:szCs w:val="18"/>
              <w:lang w:val="en-US"/>
            </w:rPr>
            <w:t>+41 22 730 64 75</w:t>
          </w:r>
        </w:p>
      </w:tc>
      <w:bookmarkStart w:id="11" w:name="PhoneNo"/>
      <w:bookmarkEnd w:id="11"/>
    </w:tr>
    <w:tr w:rsidR="003447A8" w:rsidRPr="002533BB" w14:paraId="34A468D3" w14:textId="77777777" w:rsidTr="003447A8">
      <w:tc>
        <w:tcPr>
          <w:tcW w:w="1526" w:type="dxa"/>
          <w:shd w:val="clear" w:color="auto" w:fill="auto"/>
        </w:tcPr>
        <w:p w14:paraId="2403414C" w14:textId="77777777" w:rsidR="003447A8" w:rsidRPr="002533BB" w:rsidRDefault="003447A8" w:rsidP="003447A8">
          <w:pPr>
            <w:pStyle w:val="FirstFooter"/>
            <w:tabs>
              <w:tab w:val="left" w:pos="1559"/>
              <w:tab w:val="left" w:pos="3828"/>
            </w:tabs>
            <w:rPr>
              <w:sz w:val="18"/>
              <w:szCs w:val="18"/>
              <w:lang w:val="en-US"/>
            </w:rPr>
          </w:pPr>
        </w:p>
      </w:tc>
      <w:tc>
        <w:tcPr>
          <w:tcW w:w="2410" w:type="dxa"/>
          <w:shd w:val="clear" w:color="auto" w:fill="auto"/>
        </w:tcPr>
        <w:p w14:paraId="2BECCEFC" w14:textId="77777777" w:rsidR="003447A8" w:rsidRPr="002533BB" w:rsidRDefault="003447A8" w:rsidP="003447A8">
          <w:pPr>
            <w:pStyle w:val="FirstFooter"/>
            <w:tabs>
              <w:tab w:val="left" w:pos="2302"/>
            </w:tabs>
            <w:rPr>
              <w:sz w:val="18"/>
              <w:szCs w:val="18"/>
              <w:lang w:val="en-US"/>
            </w:rPr>
          </w:pPr>
          <w:r w:rsidRPr="002533BB">
            <w:rPr>
              <w:sz w:val="18"/>
              <w:szCs w:val="18"/>
              <w:lang w:val="en-US"/>
            </w:rPr>
            <w:t>E-mail:</w:t>
          </w:r>
        </w:p>
      </w:tc>
      <w:tc>
        <w:tcPr>
          <w:tcW w:w="5987" w:type="dxa"/>
        </w:tcPr>
        <w:p w14:paraId="36CD733D" w14:textId="739FA479" w:rsidR="003447A8" w:rsidRPr="002533BB" w:rsidRDefault="0089539C" w:rsidP="003447A8">
          <w:pPr>
            <w:pStyle w:val="FirstFooter"/>
            <w:tabs>
              <w:tab w:val="left" w:pos="2302"/>
            </w:tabs>
            <w:rPr>
              <w:sz w:val="18"/>
              <w:szCs w:val="18"/>
            </w:rPr>
          </w:pPr>
          <w:hyperlink r:id="rId1" w:history="1">
            <w:r w:rsidRPr="002533BB">
              <w:rPr>
                <w:rStyle w:val="Hyperlink"/>
                <w:sz w:val="18"/>
                <w:szCs w:val="18"/>
              </w:rPr>
              <w:t>archana.gulati@itu.int</w:t>
            </w:r>
          </w:hyperlink>
          <w:r w:rsidRPr="002533BB">
            <w:rPr>
              <w:sz w:val="18"/>
              <w:szCs w:val="18"/>
            </w:rPr>
            <w:t xml:space="preserve"> </w:t>
          </w:r>
        </w:p>
      </w:tc>
      <w:bookmarkStart w:id="12" w:name="Email"/>
      <w:bookmarkEnd w:id="12"/>
    </w:tr>
  </w:tbl>
  <w:p w14:paraId="3FF320CD" w14:textId="77777777" w:rsidR="003447A8" w:rsidRPr="002533BB" w:rsidRDefault="003447A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B2981" w14:textId="77777777" w:rsidR="00382DFC" w:rsidRPr="0054377E" w:rsidRDefault="00382DFC" w:rsidP="0054377E">
      <w:pPr>
        <w:spacing w:before="0"/>
      </w:pPr>
      <w:r w:rsidRPr="0054377E">
        <w:rPr>
          <w:b/>
        </w:rPr>
        <w:t>_______________</w:t>
      </w:r>
    </w:p>
  </w:footnote>
  <w:footnote w:type="continuationSeparator" w:id="0">
    <w:p w14:paraId="0046EE60" w14:textId="77777777" w:rsidR="00382DFC" w:rsidRDefault="00382DFC" w:rsidP="0054377E">
      <w:pPr>
        <w:spacing w:before="0"/>
      </w:pPr>
      <w:r>
        <w:continuationSeparator/>
      </w:r>
    </w:p>
    <w:p w14:paraId="3C3387C8" w14:textId="77777777" w:rsidR="00382DFC" w:rsidRDefault="00382DFC"/>
  </w:footnote>
  <w:footnote w:type="continuationNotice" w:id="1">
    <w:p w14:paraId="5B4B0498" w14:textId="77777777" w:rsidR="00382DFC" w:rsidRDefault="00382DFC">
      <w:pPr>
        <w:spacing w:before="0"/>
      </w:pPr>
    </w:p>
    <w:p w14:paraId="67FC1428" w14:textId="77777777" w:rsidR="00382DFC" w:rsidRDefault="00382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31089D26"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89539C">
      <w:rPr>
        <w:sz w:val="22"/>
        <w:szCs w:val="22"/>
        <w:lang w:val="es-ES_tradnl"/>
      </w:rPr>
      <w:t>13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5"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0"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38"/>
  </w:num>
  <w:num w:numId="4" w16cid:durableId="1830174465">
    <w:abstractNumId w:val="3"/>
  </w:num>
  <w:num w:numId="5" w16cid:durableId="1479105461">
    <w:abstractNumId w:val="30"/>
  </w:num>
  <w:num w:numId="6" w16cid:durableId="869954702">
    <w:abstractNumId w:val="36"/>
  </w:num>
  <w:num w:numId="7" w16cid:durableId="444734477">
    <w:abstractNumId w:val="4"/>
  </w:num>
  <w:num w:numId="8" w16cid:durableId="362947223">
    <w:abstractNumId w:val="13"/>
  </w:num>
  <w:num w:numId="9" w16cid:durableId="458111764">
    <w:abstractNumId w:val="6"/>
  </w:num>
  <w:num w:numId="10" w16cid:durableId="1195534353">
    <w:abstractNumId w:val="12"/>
  </w:num>
  <w:num w:numId="11" w16cid:durableId="1826580952">
    <w:abstractNumId w:val="28"/>
  </w:num>
  <w:num w:numId="12" w16cid:durableId="1514690498">
    <w:abstractNumId w:val="35"/>
  </w:num>
  <w:num w:numId="13" w16cid:durableId="1235118698">
    <w:abstractNumId w:val="2"/>
  </w:num>
  <w:num w:numId="14" w16cid:durableId="509291828">
    <w:abstractNumId w:val="5"/>
  </w:num>
  <w:num w:numId="15" w16cid:durableId="383218916">
    <w:abstractNumId w:val="11"/>
  </w:num>
  <w:num w:numId="16" w16cid:durableId="1227569663">
    <w:abstractNumId w:val="8"/>
  </w:num>
  <w:num w:numId="17" w16cid:durableId="810974550">
    <w:abstractNumId w:val="41"/>
  </w:num>
  <w:num w:numId="18" w16cid:durableId="1354573477">
    <w:abstractNumId w:val="33"/>
  </w:num>
  <w:num w:numId="19" w16cid:durableId="435754545">
    <w:abstractNumId w:val="17"/>
  </w:num>
  <w:num w:numId="20" w16cid:durableId="1066875134">
    <w:abstractNumId w:val="27"/>
  </w:num>
  <w:num w:numId="21" w16cid:durableId="1689939216">
    <w:abstractNumId w:val="26"/>
  </w:num>
  <w:num w:numId="22" w16cid:durableId="1257783837">
    <w:abstractNumId w:val="42"/>
  </w:num>
  <w:num w:numId="23" w16cid:durableId="970285242">
    <w:abstractNumId w:val="22"/>
  </w:num>
  <w:num w:numId="24" w16cid:durableId="1876889861">
    <w:abstractNumId w:val="16"/>
  </w:num>
  <w:num w:numId="25" w16cid:durableId="138228398">
    <w:abstractNumId w:val="19"/>
  </w:num>
  <w:num w:numId="26" w16cid:durableId="1871145006">
    <w:abstractNumId w:val="20"/>
  </w:num>
  <w:num w:numId="27" w16cid:durableId="1946108508">
    <w:abstractNumId w:val="23"/>
  </w:num>
  <w:num w:numId="28" w16cid:durableId="1629045729">
    <w:abstractNumId w:val="10"/>
  </w:num>
  <w:num w:numId="29" w16cid:durableId="2010906637">
    <w:abstractNumId w:val="24"/>
  </w:num>
  <w:num w:numId="30" w16cid:durableId="290525213">
    <w:abstractNumId w:val="40"/>
  </w:num>
  <w:num w:numId="31" w16cid:durableId="191966975">
    <w:abstractNumId w:val="25"/>
  </w:num>
  <w:num w:numId="32" w16cid:durableId="2014406757">
    <w:abstractNumId w:val="31"/>
  </w:num>
  <w:num w:numId="33" w16cid:durableId="648558829">
    <w:abstractNumId w:val="18"/>
  </w:num>
  <w:num w:numId="34" w16cid:durableId="2071807613">
    <w:abstractNumId w:val="9"/>
  </w:num>
  <w:num w:numId="35" w16cid:durableId="271744889">
    <w:abstractNumId w:val="34"/>
  </w:num>
  <w:num w:numId="36" w16cid:durableId="1457527817">
    <w:abstractNumId w:val="21"/>
  </w:num>
  <w:num w:numId="37" w16cid:durableId="10661010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2"/>
  </w:num>
  <w:num w:numId="39" w16cid:durableId="359361948">
    <w:abstractNumId w:val="37"/>
  </w:num>
  <w:num w:numId="40" w16cid:durableId="1037706265">
    <w:abstractNumId w:val="7"/>
  </w:num>
  <w:num w:numId="41" w16cid:durableId="447436251">
    <w:abstractNumId w:val="43"/>
  </w:num>
  <w:num w:numId="42" w16cid:durableId="655766109">
    <w:abstractNumId w:val="15"/>
  </w:num>
  <w:num w:numId="43" w16cid:durableId="577523632">
    <w:abstractNumId w:val="14"/>
  </w:num>
  <w:num w:numId="44" w16cid:durableId="113806366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50B0"/>
    <w:rsid w:val="00015E52"/>
    <w:rsid w:val="00022A29"/>
    <w:rsid w:val="00025926"/>
    <w:rsid w:val="00025965"/>
    <w:rsid w:val="00030B5B"/>
    <w:rsid w:val="000355FD"/>
    <w:rsid w:val="0003589F"/>
    <w:rsid w:val="000447FC"/>
    <w:rsid w:val="0005184F"/>
    <w:rsid w:val="000518B8"/>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592"/>
    <w:rsid w:val="000C42BA"/>
    <w:rsid w:val="000C4FD1"/>
    <w:rsid w:val="000D1759"/>
    <w:rsid w:val="000D1F2F"/>
    <w:rsid w:val="000D38EB"/>
    <w:rsid w:val="000D4875"/>
    <w:rsid w:val="000D6891"/>
    <w:rsid w:val="000D6E8D"/>
    <w:rsid w:val="000E4C99"/>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F2E"/>
    <w:rsid w:val="00127FC6"/>
    <w:rsid w:val="001424DC"/>
    <w:rsid w:val="00143A87"/>
    <w:rsid w:val="00144E69"/>
    <w:rsid w:val="00146F6F"/>
    <w:rsid w:val="0014714E"/>
    <w:rsid w:val="00147DA1"/>
    <w:rsid w:val="00152957"/>
    <w:rsid w:val="001655E8"/>
    <w:rsid w:val="00166196"/>
    <w:rsid w:val="001664A7"/>
    <w:rsid w:val="00167327"/>
    <w:rsid w:val="00167A9D"/>
    <w:rsid w:val="00170C5A"/>
    <w:rsid w:val="0017171C"/>
    <w:rsid w:val="00171758"/>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0EC1"/>
    <w:rsid w:val="001D2025"/>
    <w:rsid w:val="001D520B"/>
    <w:rsid w:val="001D78D5"/>
    <w:rsid w:val="001E0384"/>
    <w:rsid w:val="001E24AF"/>
    <w:rsid w:val="001E252D"/>
    <w:rsid w:val="001E43DC"/>
    <w:rsid w:val="002009EA"/>
    <w:rsid w:val="0020236E"/>
    <w:rsid w:val="00202C74"/>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6E8A"/>
    <w:rsid w:val="00240BC8"/>
    <w:rsid w:val="002420D0"/>
    <w:rsid w:val="00242487"/>
    <w:rsid w:val="00243411"/>
    <w:rsid w:val="00246B32"/>
    <w:rsid w:val="00251A53"/>
    <w:rsid w:val="002533BB"/>
    <w:rsid w:val="0025489C"/>
    <w:rsid w:val="0026406F"/>
    <w:rsid w:val="002653F2"/>
    <w:rsid w:val="00266589"/>
    <w:rsid w:val="00267792"/>
    <w:rsid w:val="002712A9"/>
    <w:rsid w:val="00271316"/>
    <w:rsid w:val="00272417"/>
    <w:rsid w:val="00274CC3"/>
    <w:rsid w:val="00276414"/>
    <w:rsid w:val="00283F74"/>
    <w:rsid w:val="002856E0"/>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005"/>
    <w:rsid w:val="002C49BA"/>
    <w:rsid w:val="002C4B75"/>
    <w:rsid w:val="002C6B70"/>
    <w:rsid w:val="002C73F6"/>
    <w:rsid w:val="002C7D5E"/>
    <w:rsid w:val="002D58BE"/>
    <w:rsid w:val="002D5CE8"/>
    <w:rsid w:val="002E4D1D"/>
    <w:rsid w:val="002E51E0"/>
    <w:rsid w:val="002E5411"/>
    <w:rsid w:val="002E7A84"/>
    <w:rsid w:val="002F1A6A"/>
    <w:rsid w:val="002F1BD0"/>
    <w:rsid w:val="003013EE"/>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5891"/>
    <w:rsid w:val="00356083"/>
    <w:rsid w:val="003572D4"/>
    <w:rsid w:val="00361609"/>
    <w:rsid w:val="00364098"/>
    <w:rsid w:val="00366978"/>
    <w:rsid w:val="0037003F"/>
    <w:rsid w:val="00372BCF"/>
    <w:rsid w:val="00373365"/>
    <w:rsid w:val="00377BD3"/>
    <w:rsid w:val="003807EA"/>
    <w:rsid w:val="003829D8"/>
    <w:rsid w:val="00382DFC"/>
    <w:rsid w:val="0038304D"/>
    <w:rsid w:val="00384088"/>
    <w:rsid w:val="0038489B"/>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6136"/>
    <w:rsid w:val="003D0F8B"/>
    <w:rsid w:val="003D1814"/>
    <w:rsid w:val="003D39F2"/>
    <w:rsid w:val="003D5A63"/>
    <w:rsid w:val="003D6425"/>
    <w:rsid w:val="003D66A7"/>
    <w:rsid w:val="003D7EE8"/>
    <w:rsid w:val="003F0A6C"/>
    <w:rsid w:val="003F0F49"/>
    <w:rsid w:val="003F1363"/>
    <w:rsid w:val="003F4176"/>
    <w:rsid w:val="00403C69"/>
    <w:rsid w:val="00405EC2"/>
    <w:rsid w:val="00406278"/>
    <w:rsid w:val="00406297"/>
    <w:rsid w:val="00412C81"/>
    <w:rsid w:val="004131D4"/>
    <w:rsid w:val="0041348E"/>
    <w:rsid w:val="00414895"/>
    <w:rsid w:val="004208C6"/>
    <w:rsid w:val="00421605"/>
    <w:rsid w:val="004269E6"/>
    <w:rsid w:val="00431074"/>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3F59"/>
    <w:rsid w:val="0048520E"/>
    <w:rsid w:val="00486163"/>
    <w:rsid w:val="00492075"/>
    <w:rsid w:val="0049304E"/>
    <w:rsid w:val="00495290"/>
    <w:rsid w:val="004969AD"/>
    <w:rsid w:val="00496E2A"/>
    <w:rsid w:val="004A0244"/>
    <w:rsid w:val="004A3FF4"/>
    <w:rsid w:val="004A7435"/>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F10"/>
    <w:rsid w:val="004E3276"/>
    <w:rsid w:val="004E4F74"/>
    <w:rsid w:val="004E5959"/>
    <w:rsid w:val="004E704A"/>
    <w:rsid w:val="004F051F"/>
    <w:rsid w:val="004F3D95"/>
    <w:rsid w:val="004F660E"/>
    <w:rsid w:val="004F7270"/>
    <w:rsid w:val="005004A4"/>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3CBA"/>
    <w:rsid w:val="005358BC"/>
    <w:rsid w:val="00535F6C"/>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5A45"/>
    <w:rsid w:val="00576FB4"/>
    <w:rsid w:val="00581664"/>
    <w:rsid w:val="00585238"/>
    <w:rsid w:val="005855FC"/>
    <w:rsid w:val="00586EB9"/>
    <w:rsid w:val="00592321"/>
    <w:rsid w:val="005933B2"/>
    <w:rsid w:val="00593B87"/>
    <w:rsid w:val="005964AB"/>
    <w:rsid w:val="005A2BEB"/>
    <w:rsid w:val="005A3485"/>
    <w:rsid w:val="005A5E0C"/>
    <w:rsid w:val="005A6739"/>
    <w:rsid w:val="005B0278"/>
    <w:rsid w:val="005B0349"/>
    <w:rsid w:val="005B25C3"/>
    <w:rsid w:val="005B2DD6"/>
    <w:rsid w:val="005B41B7"/>
    <w:rsid w:val="005B44F5"/>
    <w:rsid w:val="005B5839"/>
    <w:rsid w:val="005B6D88"/>
    <w:rsid w:val="005B718F"/>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F5413"/>
    <w:rsid w:val="00600B9C"/>
    <w:rsid w:val="006023DF"/>
    <w:rsid w:val="0060693B"/>
    <w:rsid w:val="006117C6"/>
    <w:rsid w:val="00611CD2"/>
    <w:rsid w:val="00615AB9"/>
    <w:rsid w:val="00617602"/>
    <w:rsid w:val="00620ECD"/>
    <w:rsid w:val="00621FDD"/>
    <w:rsid w:val="00622B63"/>
    <w:rsid w:val="00624A81"/>
    <w:rsid w:val="0062697F"/>
    <w:rsid w:val="00627881"/>
    <w:rsid w:val="00636181"/>
    <w:rsid w:val="0063798D"/>
    <w:rsid w:val="00637E99"/>
    <w:rsid w:val="006422AD"/>
    <w:rsid w:val="006430DA"/>
    <w:rsid w:val="0064322F"/>
    <w:rsid w:val="00643C05"/>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80225"/>
    <w:rsid w:val="00685313"/>
    <w:rsid w:val="00690B44"/>
    <w:rsid w:val="006912F3"/>
    <w:rsid w:val="00696E7A"/>
    <w:rsid w:val="006A0D14"/>
    <w:rsid w:val="006A47E5"/>
    <w:rsid w:val="006A6E9B"/>
    <w:rsid w:val="006A747C"/>
    <w:rsid w:val="006B1038"/>
    <w:rsid w:val="006B40FA"/>
    <w:rsid w:val="006B502E"/>
    <w:rsid w:val="006B5AA9"/>
    <w:rsid w:val="006B73C2"/>
    <w:rsid w:val="006B7C2A"/>
    <w:rsid w:val="006C03CD"/>
    <w:rsid w:val="006C23DA"/>
    <w:rsid w:val="006C250D"/>
    <w:rsid w:val="006C7898"/>
    <w:rsid w:val="006C7CA9"/>
    <w:rsid w:val="006D2DD5"/>
    <w:rsid w:val="006D4843"/>
    <w:rsid w:val="006D6130"/>
    <w:rsid w:val="006D6DDA"/>
    <w:rsid w:val="006E099C"/>
    <w:rsid w:val="006E3D45"/>
    <w:rsid w:val="006E561A"/>
    <w:rsid w:val="006E64F1"/>
    <w:rsid w:val="006E7629"/>
    <w:rsid w:val="006F0C99"/>
    <w:rsid w:val="006F1889"/>
    <w:rsid w:val="006F7874"/>
    <w:rsid w:val="006F7BD3"/>
    <w:rsid w:val="007034D9"/>
    <w:rsid w:val="00705932"/>
    <w:rsid w:val="00712149"/>
    <w:rsid w:val="007149F9"/>
    <w:rsid w:val="0071531C"/>
    <w:rsid w:val="0071541F"/>
    <w:rsid w:val="007167D5"/>
    <w:rsid w:val="00720DD1"/>
    <w:rsid w:val="007265FE"/>
    <w:rsid w:val="00727EC0"/>
    <w:rsid w:val="00730009"/>
    <w:rsid w:val="00733A30"/>
    <w:rsid w:val="007372E2"/>
    <w:rsid w:val="007379E5"/>
    <w:rsid w:val="00743072"/>
    <w:rsid w:val="00745AEE"/>
    <w:rsid w:val="00746E62"/>
    <w:rsid w:val="00747028"/>
    <w:rsid w:val="007479EA"/>
    <w:rsid w:val="00747A98"/>
    <w:rsid w:val="00750F10"/>
    <w:rsid w:val="0075242F"/>
    <w:rsid w:val="00756ADC"/>
    <w:rsid w:val="00761CEF"/>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4C7D"/>
    <w:rsid w:val="007A7FAF"/>
    <w:rsid w:val="007B12EB"/>
    <w:rsid w:val="007B2EB6"/>
    <w:rsid w:val="007B3BF6"/>
    <w:rsid w:val="007B4578"/>
    <w:rsid w:val="007C0A4D"/>
    <w:rsid w:val="007C2360"/>
    <w:rsid w:val="007C36B4"/>
    <w:rsid w:val="007C5A7B"/>
    <w:rsid w:val="007C7F78"/>
    <w:rsid w:val="007D06F0"/>
    <w:rsid w:val="007D35D0"/>
    <w:rsid w:val="007D3C25"/>
    <w:rsid w:val="007D45E3"/>
    <w:rsid w:val="007D5320"/>
    <w:rsid w:val="007D714B"/>
    <w:rsid w:val="007E065B"/>
    <w:rsid w:val="007E0A1D"/>
    <w:rsid w:val="007E2872"/>
    <w:rsid w:val="007E28A9"/>
    <w:rsid w:val="007E713F"/>
    <w:rsid w:val="007E7819"/>
    <w:rsid w:val="007E799D"/>
    <w:rsid w:val="007F236E"/>
    <w:rsid w:val="007F2668"/>
    <w:rsid w:val="007F26E3"/>
    <w:rsid w:val="007F535C"/>
    <w:rsid w:val="007F54EB"/>
    <w:rsid w:val="007F735C"/>
    <w:rsid w:val="00800972"/>
    <w:rsid w:val="00804475"/>
    <w:rsid w:val="0081159E"/>
    <w:rsid w:val="00811633"/>
    <w:rsid w:val="00814C00"/>
    <w:rsid w:val="00821CEF"/>
    <w:rsid w:val="00823BDC"/>
    <w:rsid w:val="00832828"/>
    <w:rsid w:val="00833049"/>
    <w:rsid w:val="008334AF"/>
    <w:rsid w:val="0083645A"/>
    <w:rsid w:val="0083797D"/>
    <w:rsid w:val="00837AB9"/>
    <w:rsid w:val="00840B0F"/>
    <w:rsid w:val="00840FD0"/>
    <w:rsid w:val="0084590A"/>
    <w:rsid w:val="00845C0D"/>
    <w:rsid w:val="008529D3"/>
    <w:rsid w:val="00854840"/>
    <w:rsid w:val="00854B10"/>
    <w:rsid w:val="0085555B"/>
    <w:rsid w:val="00855FDC"/>
    <w:rsid w:val="00857AC8"/>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0C25"/>
    <w:rsid w:val="0089151A"/>
    <w:rsid w:val="00891D88"/>
    <w:rsid w:val="00893B2C"/>
    <w:rsid w:val="00894F96"/>
    <w:rsid w:val="0089539C"/>
    <w:rsid w:val="008A0BFE"/>
    <w:rsid w:val="008A2753"/>
    <w:rsid w:val="008A3933"/>
    <w:rsid w:val="008A7165"/>
    <w:rsid w:val="008A75AD"/>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238B9"/>
    <w:rsid w:val="009274B4"/>
    <w:rsid w:val="00934743"/>
    <w:rsid w:val="00934EA2"/>
    <w:rsid w:val="009373C9"/>
    <w:rsid w:val="00941B98"/>
    <w:rsid w:val="00942FC1"/>
    <w:rsid w:val="00943545"/>
    <w:rsid w:val="00944A5C"/>
    <w:rsid w:val="00944A99"/>
    <w:rsid w:val="00951816"/>
    <w:rsid w:val="00952A66"/>
    <w:rsid w:val="00953C32"/>
    <w:rsid w:val="00955768"/>
    <w:rsid w:val="009579AD"/>
    <w:rsid w:val="00964C68"/>
    <w:rsid w:val="009737F9"/>
    <w:rsid w:val="009777A9"/>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71C3"/>
    <w:rsid w:val="009B75FB"/>
    <w:rsid w:val="009B75FF"/>
    <w:rsid w:val="009C39A2"/>
    <w:rsid w:val="009C4D44"/>
    <w:rsid w:val="009C56E5"/>
    <w:rsid w:val="009C6F7B"/>
    <w:rsid w:val="009D3343"/>
    <w:rsid w:val="009D3429"/>
    <w:rsid w:val="009E0CEA"/>
    <w:rsid w:val="009E3F7C"/>
    <w:rsid w:val="009E5FC8"/>
    <w:rsid w:val="009E687A"/>
    <w:rsid w:val="009E72E7"/>
    <w:rsid w:val="009F1542"/>
    <w:rsid w:val="009F24B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8A6"/>
    <w:rsid w:val="00A54C25"/>
    <w:rsid w:val="00A56C71"/>
    <w:rsid w:val="00A612BB"/>
    <w:rsid w:val="00A62F73"/>
    <w:rsid w:val="00A67FB8"/>
    <w:rsid w:val="00A7027A"/>
    <w:rsid w:val="00A710E7"/>
    <w:rsid w:val="00A7140C"/>
    <w:rsid w:val="00A7372E"/>
    <w:rsid w:val="00A74739"/>
    <w:rsid w:val="00A76372"/>
    <w:rsid w:val="00A76BD5"/>
    <w:rsid w:val="00A8004F"/>
    <w:rsid w:val="00A80D65"/>
    <w:rsid w:val="00A81102"/>
    <w:rsid w:val="00A81F59"/>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C62B6"/>
    <w:rsid w:val="00AD0AEB"/>
    <w:rsid w:val="00AD4C7B"/>
    <w:rsid w:val="00AF17A2"/>
    <w:rsid w:val="00AF2081"/>
    <w:rsid w:val="00AF2664"/>
    <w:rsid w:val="00AF4F12"/>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73BB9"/>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BE8"/>
    <w:rsid w:val="00B97C6E"/>
    <w:rsid w:val="00BA231A"/>
    <w:rsid w:val="00BA2D00"/>
    <w:rsid w:val="00BA2FE8"/>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45565"/>
    <w:rsid w:val="00C45D3C"/>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C1D71"/>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E2A"/>
    <w:rsid w:val="00D0723D"/>
    <w:rsid w:val="00D10D23"/>
    <w:rsid w:val="00D12A27"/>
    <w:rsid w:val="00D14CE0"/>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603D"/>
    <w:rsid w:val="00DE100A"/>
    <w:rsid w:val="00DE2AC3"/>
    <w:rsid w:val="00DE3FCA"/>
    <w:rsid w:val="00DE434C"/>
    <w:rsid w:val="00DE5692"/>
    <w:rsid w:val="00DE5E67"/>
    <w:rsid w:val="00DE7766"/>
    <w:rsid w:val="00DE79F1"/>
    <w:rsid w:val="00DF02A0"/>
    <w:rsid w:val="00DF1E46"/>
    <w:rsid w:val="00DF21DF"/>
    <w:rsid w:val="00DF2946"/>
    <w:rsid w:val="00DF2D60"/>
    <w:rsid w:val="00DF6F8E"/>
    <w:rsid w:val="00E02014"/>
    <w:rsid w:val="00E03C94"/>
    <w:rsid w:val="00E03CF8"/>
    <w:rsid w:val="00E05ED3"/>
    <w:rsid w:val="00E06AEA"/>
    <w:rsid w:val="00E07105"/>
    <w:rsid w:val="00E11115"/>
    <w:rsid w:val="00E12074"/>
    <w:rsid w:val="00E1307C"/>
    <w:rsid w:val="00E17BAD"/>
    <w:rsid w:val="00E21B22"/>
    <w:rsid w:val="00E239BD"/>
    <w:rsid w:val="00E241C9"/>
    <w:rsid w:val="00E26226"/>
    <w:rsid w:val="00E31B77"/>
    <w:rsid w:val="00E36E67"/>
    <w:rsid w:val="00E378D8"/>
    <w:rsid w:val="00E4021C"/>
    <w:rsid w:val="00E4059F"/>
    <w:rsid w:val="00E407FC"/>
    <w:rsid w:val="00E4165C"/>
    <w:rsid w:val="00E422AC"/>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C45"/>
    <w:rsid w:val="00EC00DF"/>
    <w:rsid w:val="00EC0FC2"/>
    <w:rsid w:val="00EC3585"/>
    <w:rsid w:val="00EC6B65"/>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338B"/>
    <w:rsid w:val="00F7440E"/>
    <w:rsid w:val="00F76603"/>
    <w:rsid w:val="00F772D4"/>
    <w:rsid w:val="00F77AE6"/>
    <w:rsid w:val="00F808C6"/>
    <w:rsid w:val="00F83F60"/>
    <w:rsid w:val="00F8476E"/>
    <w:rsid w:val="00F848EE"/>
    <w:rsid w:val="00F84DF8"/>
    <w:rsid w:val="00F91898"/>
    <w:rsid w:val="00F94FEF"/>
    <w:rsid w:val="00F971FB"/>
    <w:rsid w:val="00FA1D7B"/>
    <w:rsid w:val="00FA25B4"/>
    <w:rsid w:val="00FA4CD4"/>
    <w:rsid w:val="00FA579C"/>
    <w:rsid w:val="00FA668B"/>
    <w:rsid w:val="00FB20E0"/>
    <w:rsid w:val="00FB34B9"/>
    <w:rsid w:val="00FB5664"/>
    <w:rsid w:val="00FB766B"/>
    <w:rsid w:val="00FC0BEF"/>
    <w:rsid w:val="00FC24DA"/>
    <w:rsid w:val="00FC4678"/>
    <w:rsid w:val="00FC6545"/>
    <w:rsid w:val="00FD0183"/>
    <w:rsid w:val="00FD037B"/>
    <w:rsid w:val="00FD2546"/>
    <w:rsid w:val="00FD3A5B"/>
    <w:rsid w:val="00FD772E"/>
    <w:rsid w:val="00FE3346"/>
    <w:rsid w:val="00FE3926"/>
    <w:rsid w:val="00FE399E"/>
    <w:rsid w:val="00FE43D6"/>
    <w:rsid w:val="00FE48BE"/>
    <w:rsid w:val="00FE7205"/>
    <w:rsid w:val="00FE78C7"/>
    <w:rsid w:val="00FF21ED"/>
    <w:rsid w:val="00FF220A"/>
    <w:rsid w:val="00FF2A26"/>
    <w:rsid w:val="00FF3D55"/>
    <w:rsid w:val="00FF43AC"/>
    <w:rsid w:val="00FF7C84"/>
    <w:rsid w:val="037A3A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9D40EF45-2380-40A2-9129-6C32685E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06741495">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807619030">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30/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0/xmlns/"/>
    <ds:schemaRef ds:uri="http://www.w3.org/2001/XMLSchema"/>
    <ds:schemaRef ds:uri="d4ea696a-cca3-460b-a983-57ac2621983a"/>
    <ds:schemaRef ds:uri="29399490-13b9-4c73-b71e-403b715b75a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2A876-AB41-4784-9C7F-CAA56FAF5040}">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www.w3.org/2000/xmlns/"/>
    <ds:schemaRef ds:uri="http://schemas.microsoft.com/office/infopath/2007/PartnerControls"/>
  </ds:schemaRefs>
</ds:datastoreItem>
</file>

<file path=docMetadata/LabelInfo.xml><?xml version="1.0" encoding="utf-8"?>
<clbl:labelList xmlns:clbl="http://schemas.microsoft.com/office/2020/mipLabelMetadata">
  <clbl:label id="{23e464d7-04e6-4b87-913c-24bd89219fd3}" enabled="0" method="" siteId="{23e464d7-04e6-4b87-913c-24bd89219fd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2256</Characters>
  <Application>Microsoft Office Word</Application>
  <DocSecurity>0</DocSecurity>
  <Lines>18</Lines>
  <Paragraphs>5</Paragraphs>
  <ScaleCrop>false</ScaleCrop>
  <Manager>General Secretariat - Pool</Manager>
  <Company/>
  <LinksUpToDate>false</LinksUpToDate>
  <CharactersWithSpaces>2597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cp:lastModifiedBy>
  <cp:revision>23</cp:revision>
  <cp:lastPrinted>2019-01-16T16:57:00Z</cp:lastPrinted>
  <dcterms:created xsi:type="dcterms:W3CDTF">2025-04-01T23:30:00Z</dcterms:created>
  <dcterms:modified xsi:type="dcterms:W3CDTF">2025-04-07T11:19:00Z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