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678"/>
        <w:gridCol w:w="1984"/>
        <w:gridCol w:w="1384"/>
      </w:tblGrid>
      <w:tr w:rsidR="00AE1244" w:rsidRPr="00571510" w14:paraId="5736F9B6" w14:textId="77777777" w:rsidTr="000D6EAB">
        <w:trPr>
          <w:cantSplit/>
          <w:trHeight w:val="1276"/>
        </w:trPr>
        <w:tc>
          <w:tcPr>
            <w:tcW w:w="1985" w:type="dxa"/>
          </w:tcPr>
          <w:p w14:paraId="0AEDA171" w14:textId="61002D49" w:rsidR="00AE1244" w:rsidRPr="00571510" w:rsidRDefault="000E1F4F" w:rsidP="00A259A2">
            <w:pPr>
              <w:spacing w:after="40"/>
              <w:rPr>
                <w:b/>
                <w:bCs/>
                <w:sz w:val="30"/>
                <w:szCs w:val="30"/>
              </w:rPr>
            </w:pPr>
            <w:r w:rsidRPr="00571510">
              <w:rPr>
                <w:b/>
                <w:bCs/>
                <w:sz w:val="30"/>
                <w:szCs w:val="30"/>
              </w:rPr>
              <w:drawing>
                <wp:inline distT="0" distB="0" distL="0" distR="0" wp14:anchorId="3F2D1389" wp14:editId="43053350">
                  <wp:extent cx="1080000" cy="975600"/>
                  <wp:effectExtent l="0" t="0" r="0" b="0"/>
                  <wp:docPr id="1044120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148" t="10732" r="24949" b="17421"/>
                          <a:stretch/>
                        </pic:blipFill>
                        <pic:spPr bwMode="auto">
                          <a:xfrm>
                            <a:off x="0" y="0"/>
                            <a:ext cx="1080000" cy="9756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662" w:type="dxa"/>
            <w:gridSpan w:val="2"/>
          </w:tcPr>
          <w:p w14:paraId="0362F8A8" w14:textId="77777777" w:rsidR="008E1A73" w:rsidRPr="00571510" w:rsidRDefault="008E1A73" w:rsidP="002978E6">
            <w:pPr>
              <w:tabs>
                <w:tab w:val="clear" w:pos="1134"/>
              </w:tabs>
              <w:spacing w:before="240" w:after="240" w:line="240" w:lineRule="atLeast"/>
              <w:ind w:left="34"/>
              <w:rPr>
                <w:b/>
                <w:bCs/>
                <w:sz w:val="30"/>
                <w:szCs w:val="30"/>
              </w:rPr>
            </w:pPr>
            <w:r w:rsidRPr="00571510">
              <w:rPr>
                <w:b/>
                <w:bCs/>
                <w:sz w:val="30"/>
                <w:szCs w:val="30"/>
              </w:rPr>
              <w:t xml:space="preserve">Консультативная группа </w:t>
            </w:r>
            <w:r w:rsidRPr="00571510">
              <w:rPr>
                <w:b/>
                <w:bCs/>
                <w:sz w:val="30"/>
                <w:szCs w:val="30"/>
              </w:rPr>
              <w:br/>
              <w:t>по развитию электросвязи (КГРЭ)</w:t>
            </w:r>
          </w:p>
          <w:p w14:paraId="2DCF59CB" w14:textId="488DCFA0" w:rsidR="00AE1244" w:rsidRPr="00571510" w:rsidRDefault="00AE1244" w:rsidP="00294BF6">
            <w:pPr>
              <w:tabs>
                <w:tab w:val="clear" w:pos="1134"/>
              </w:tabs>
              <w:spacing w:after="48" w:line="240" w:lineRule="atLeast"/>
              <w:ind w:left="34"/>
              <w:rPr>
                <w:b/>
                <w:bCs/>
                <w:szCs w:val="22"/>
              </w:rPr>
            </w:pPr>
            <w:r w:rsidRPr="00571510">
              <w:rPr>
                <w:rFonts w:cstheme="minorHAnsi"/>
                <w:b/>
                <w:bCs/>
                <w:szCs w:val="22"/>
                <w:lang w:eastAsia="zh-CN"/>
              </w:rPr>
              <w:t>32-е собрание, Женева, Швейцария, 12–16 мая 2025 года</w:t>
            </w:r>
          </w:p>
        </w:tc>
        <w:tc>
          <w:tcPr>
            <w:tcW w:w="1384" w:type="dxa"/>
          </w:tcPr>
          <w:p w14:paraId="06B48AA1" w14:textId="516DD633" w:rsidR="00AE1244" w:rsidRPr="00571510" w:rsidRDefault="00AE1244" w:rsidP="00303F7C">
            <w:pPr>
              <w:spacing w:before="240" w:after="120"/>
              <w:jc w:val="right"/>
              <w:rPr>
                <w:rFonts w:cstheme="minorHAnsi"/>
              </w:rPr>
            </w:pPr>
            <w:bookmarkStart w:id="0" w:name="ditulogo"/>
            <w:bookmarkEnd w:id="0"/>
            <w:r w:rsidRPr="00571510">
              <w:rPr>
                <w:lang w:eastAsia="fr-FR"/>
              </w:rPr>
              <w:drawing>
                <wp:inline distT="0" distB="0" distL="0" distR="0" wp14:anchorId="7DBF473A" wp14:editId="2E1C811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571510" w14:paraId="6DE5ABA3" w14:textId="77777777" w:rsidTr="005C3173">
        <w:trPr>
          <w:cantSplit/>
        </w:trPr>
        <w:tc>
          <w:tcPr>
            <w:tcW w:w="6663" w:type="dxa"/>
            <w:gridSpan w:val="2"/>
            <w:tcBorders>
              <w:top w:val="single" w:sz="12" w:space="0" w:color="auto"/>
            </w:tcBorders>
          </w:tcPr>
          <w:p w14:paraId="73168FEF" w14:textId="77777777" w:rsidR="00D83BF5" w:rsidRPr="00571510" w:rsidRDefault="00D83BF5" w:rsidP="00CE66E4">
            <w:pPr>
              <w:spacing w:before="0"/>
              <w:rPr>
                <w:rFonts w:cstheme="minorHAnsi"/>
                <w:b/>
                <w:smallCaps/>
                <w:sz w:val="20"/>
              </w:rPr>
            </w:pPr>
            <w:bookmarkStart w:id="1" w:name="dhead"/>
          </w:p>
        </w:tc>
        <w:tc>
          <w:tcPr>
            <w:tcW w:w="3368" w:type="dxa"/>
            <w:gridSpan w:val="2"/>
            <w:tcBorders>
              <w:top w:val="single" w:sz="12" w:space="0" w:color="auto"/>
            </w:tcBorders>
          </w:tcPr>
          <w:p w14:paraId="439CB557" w14:textId="716EF333" w:rsidR="00D83BF5" w:rsidRPr="00571510" w:rsidRDefault="00D83BF5" w:rsidP="00CE66E4">
            <w:pPr>
              <w:spacing w:before="0"/>
              <w:rPr>
                <w:rFonts w:cstheme="minorHAnsi"/>
                <w:sz w:val="20"/>
              </w:rPr>
            </w:pPr>
          </w:p>
        </w:tc>
      </w:tr>
      <w:tr w:rsidR="00D87035" w:rsidRPr="00571510" w14:paraId="02BC550A" w14:textId="77777777" w:rsidTr="005C3173">
        <w:trPr>
          <w:cantSplit/>
          <w:trHeight w:val="23"/>
        </w:trPr>
        <w:tc>
          <w:tcPr>
            <w:tcW w:w="6663" w:type="dxa"/>
            <w:gridSpan w:val="2"/>
            <w:shd w:val="clear" w:color="auto" w:fill="auto"/>
          </w:tcPr>
          <w:p w14:paraId="1EF66EAC" w14:textId="77777777" w:rsidR="00D87035" w:rsidRPr="00571510" w:rsidRDefault="00D87035" w:rsidP="00CE66E4">
            <w:pPr>
              <w:pStyle w:val="Committee"/>
              <w:framePr w:hSpace="0" w:wrap="auto" w:hAnchor="text" w:yAlign="inline"/>
              <w:spacing w:line="240" w:lineRule="auto"/>
            </w:pPr>
            <w:bookmarkStart w:id="2" w:name="dnum" w:colFirst="1" w:colLast="1"/>
            <w:bookmarkStart w:id="3" w:name="dmeeting" w:colFirst="0" w:colLast="0"/>
            <w:bookmarkEnd w:id="1"/>
          </w:p>
        </w:tc>
        <w:tc>
          <w:tcPr>
            <w:tcW w:w="3368" w:type="dxa"/>
            <w:gridSpan w:val="2"/>
          </w:tcPr>
          <w:p w14:paraId="6F008A08" w14:textId="13ED299A" w:rsidR="00D87035" w:rsidRPr="00571510" w:rsidRDefault="005E032D" w:rsidP="00CE66E4">
            <w:pPr>
              <w:tabs>
                <w:tab w:val="left" w:pos="851"/>
              </w:tabs>
              <w:spacing w:before="0"/>
              <w:rPr>
                <w:rFonts w:cstheme="minorHAnsi"/>
                <w:szCs w:val="22"/>
              </w:rPr>
            </w:pPr>
            <w:r w:rsidRPr="00571510">
              <w:rPr>
                <w:b/>
                <w:bCs/>
                <w:szCs w:val="22"/>
              </w:rPr>
              <w:t>Документ</w:t>
            </w:r>
            <w:r w:rsidR="00D87035" w:rsidRPr="00571510">
              <w:rPr>
                <w:b/>
                <w:bCs/>
                <w:szCs w:val="22"/>
              </w:rPr>
              <w:t xml:space="preserve"> </w:t>
            </w:r>
            <w:bookmarkStart w:id="4" w:name="DocRef1"/>
            <w:bookmarkEnd w:id="4"/>
            <w:r w:rsidR="00D87035" w:rsidRPr="00571510">
              <w:rPr>
                <w:b/>
                <w:bCs/>
                <w:szCs w:val="22"/>
              </w:rPr>
              <w:t>TDAG-</w:t>
            </w:r>
            <w:r w:rsidR="00523934" w:rsidRPr="00571510">
              <w:rPr>
                <w:b/>
                <w:bCs/>
                <w:szCs w:val="22"/>
              </w:rPr>
              <w:t>2</w:t>
            </w:r>
            <w:r w:rsidR="0081159E" w:rsidRPr="00571510">
              <w:rPr>
                <w:b/>
                <w:bCs/>
                <w:szCs w:val="22"/>
              </w:rPr>
              <w:t>5</w:t>
            </w:r>
            <w:r w:rsidR="00D87035" w:rsidRPr="00571510">
              <w:rPr>
                <w:b/>
                <w:bCs/>
                <w:szCs w:val="22"/>
              </w:rPr>
              <w:t>/</w:t>
            </w:r>
            <w:bookmarkStart w:id="5" w:name="DocNo1"/>
            <w:bookmarkEnd w:id="5"/>
            <w:r w:rsidR="001F4CE6" w:rsidRPr="00571510">
              <w:rPr>
                <w:b/>
                <w:bCs/>
                <w:szCs w:val="22"/>
              </w:rPr>
              <w:t>12</w:t>
            </w:r>
            <w:r w:rsidR="009D1A16" w:rsidRPr="00571510">
              <w:rPr>
                <w:b/>
                <w:bCs/>
                <w:szCs w:val="22"/>
              </w:rPr>
              <w:t>(</w:t>
            </w:r>
            <w:proofErr w:type="spellStart"/>
            <w:r w:rsidR="009D1A16" w:rsidRPr="00571510">
              <w:rPr>
                <w:b/>
                <w:bCs/>
                <w:szCs w:val="22"/>
              </w:rPr>
              <w:t>Rev.</w:t>
            </w:r>
            <w:r w:rsidR="007255CC" w:rsidRPr="00571510">
              <w:rPr>
                <w:b/>
                <w:bCs/>
                <w:szCs w:val="22"/>
              </w:rPr>
              <w:t>3</w:t>
            </w:r>
            <w:proofErr w:type="spellEnd"/>
            <w:r w:rsidR="009D1A16" w:rsidRPr="00571510">
              <w:rPr>
                <w:b/>
                <w:bCs/>
                <w:szCs w:val="22"/>
              </w:rPr>
              <w:t>)</w:t>
            </w:r>
            <w:r w:rsidR="00D87035" w:rsidRPr="00571510">
              <w:rPr>
                <w:b/>
                <w:bCs/>
                <w:szCs w:val="22"/>
              </w:rPr>
              <w:t>-</w:t>
            </w:r>
            <w:r w:rsidRPr="00571510">
              <w:rPr>
                <w:b/>
                <w:bCs/>
                <w:szCs w:val="22"/>
              </w:rPr>
              <w:t>R</w:t>
            </w:r>
          </w:p>
        </w:tc>
      </w:tr>
      <w:tr w:rsidR="00D87035" w:rsidRPr="00571510" w14:paraId="55AD5FBA" w14:textId="77777777" w:rsidTr="005C3173">
        <w:trPr>
          <w:cantSplit/>
          <w:trHeight w:val="23"/>
        </w:trPr>
        <w:tc>
          <w:tcPr>
            <w:tcW w:w="6663" w:type="dxa"/>
            <w:gridSpan w:val="2"/>
            <w:shd w:val="clear" w:color="auto" w:fill="auto"/>
          </w:tcPr>
          <w:p w14:paraId="0E170520" w14:textId="77777777" w:rsidR="00D87035" w:rsidRPr="00571510" w:rsidRDefault="00D87035" w:rsidP="00CE66E4">
            <w:pPr>
              <w:tabs>
                <w:tab w:val="left" w:pos="851"/>
              </w:tabs>
              <w:spacing w:before="0"/>
              <w:rPr>
                <w:rFonts w:cstheme="minorHAnsi"/>
                <w:b/>
                <w:szCs w:val="24"/>
              </w:rPr>
            </w:pPr>
            <w:bookmarkStart w:id="6" w:name="ddate" w:colFirst="1" w:colLast="1"/>
            <w:bookmarkStart w:id="7" w:name="dblank" w:colFirst="0" w:colLast="0"/>
            <w:bookmarkEnd w:id="2"/>
            <w:bookmarkEnd w:id="3"/>
          </w:p>
        </w:tc>
        <w:tc>
          <w:tcPr>
            <w:tcW w:w="3368" w:type="dxa"/>
            <w:gridSpan w:val="2"/>
          </w:tcPr>
          <w:p w14:paraId="242C61B7" w14:textId="04E2C613" w:rsidR="00D87035" w:rsidRPr="00571510" w:rsidRDefault="007255CC" w:rsidP="00CE66E4">
            <w:pPr>
              <w:spacing w:before="0"/>
              <w:rPr>
                <w:rFonts w:cstheme="minorHAnsi"/>
                <w:szCs w:val="22"/>
              </w:rPr>
            </w:pPr>
            <w:r w:rsidRPr="00571510">
              <w:rPr>
                <w:b/>
                <w:bCs/>
                <w:szCs w:val="22"/>
              </w:rPr>
              <w:t>8</w:t>
            </w:r>
            <w:r w:rsidR="001F4CE6" w:rsidRPr="00571510">
              <w:rPr>
                <w:b/>
                <w:bCs/>
                <w:szCs w:val="22"/>
              </w:rPr>
              <w:t xml:space="preserve"> </w:t>
            </w:r>
            <w:r w:rsidRPr="00571510">
              <w:rPr>
                <w:b/>
                <w:bCs/>
                <w:szCs w:val="22"/>
              </w:rPr>
              <w:t>мая</w:t>
            </w:r>
            <w:r w:rsidR="001F4CE6" w:rsidRPr="00571510">
              <w:rPr>
                <w:b/>
                <w:bCs/>
                <w:szCs w:val="22"/>
              </w:rPr>
              <w:t xml:space="preserve"> </w:t>
            </w:r>
            <w:r w:rsidR="002955DA" w:rsidRPr="00571510">
              <w:rPr>
                <w:b/>
                <w:bCs/>
                <w:szCs w:val="22"/>
              </w:rPr>
              <w:t>2025</w:t>
            </w:r>
            <w:r w:rsidR="005E032D" w:rsidRPr="00571510">
              <w:rPr>
                <w:b/>
                <w:bCs/>
                <w:szCs w:val="22"/>
              </w:rPr>
              <w:t xml:space="preserve"> года</w:t>
            </w:r>
          </w:p>
        </w:tc>
      </w:tr>
      <w:bookmarkEnd w:id="6"/>
      <w:bookmarkEnd w:id="7"/>
      <w:tr w:rsidR="00D87035" w:rsidRPr="00571510" w14:paraId="07260C0B" w14:textId="77777777" w:rsidTr="005C3173">
        <w:trPr>
          <w:cantSplit/>
          <w:trHeight w:val="23"/>
        </w:trPr>
        <w:tc>
          <w:tcPr>
            <w:tcW w:w="6663" w:type="dxa"/>
            <w:gridSpan w:val="2"/>
            <w:shd w:val="clear" w:color="auto" w:fill="auto"/>
          </w:tcPr>
          <w:p w14:paraId="773E4FE3" w14:textId="77777777" w:rsidR="00D87035" w:rsidRPr="00571510" w:rsidRDefault="00D87035" w:rsidP="00CE66E4">
            <w:pPr>
              <w:tabs>
                <w:tab w:val="left" w:pos="851"/>
              </w:tabs>
              <w:spacing w:before="0"/>
              <w:rPr>
                <w:rFonts w:cstheme="minorHAnsi"/>
                <w:szCs w:val="24"/>
              </w:rPr>
            </w:pPr>
          </w:p>
        </w:tc>
        <w:tc>
          <w:tcPr>
            <w:tcW w:w="3368" w:type="dxa"/>
            <w:gridSpan w:val="2"/>
          </w:tcPr>
          <w:p w14:paraId="2C8BB831" w14:textId="6BD75EC4" w:rsidR="00D87035" w:rsidRPr="00571510" w:rsidRDefault="005E032D" w:rsidP="00CE66E4">
            <w:pPr>
              <w:tabs>
                <w:tab w:val="left" w:pos="993"/>
              </w:tabs>
              <w:spacing w:before="0"/>
              <w:rPr>
                <w:rFonts w:cstheme="minorHAnsi"/>
                <w:b/>
                <w:szCs w:val="22"/>
              </w:rPr>
            </w:pPr>
            <w:r w:rsidRPr="00571510">
              <w:rPr>
                <w:b/>
                <w:bCs/>
                <w:szCs w:val="22"/>
              </w:rPr>
              <w:t>Оригинал</w:t>
            </w:r>
            <w:r w:rsidR="00D87035" w:rsidRPr="00571510">
              <w:rPr>
                <w:b/>
                <w:bCs/>
                <w:szCs w:val="22"/>
              </w:rPr>
              <w:t xml:space="preserve">: </w:t>
            </w:r>
            <w:r w:rsidRPr="00571510">
              <w:rPr>
                <w:b/>
                <w:bCs/>
                <w:szCs w:val="22"/>
              </w:rPr>
              <w:t>английский</w:t>
            </w:r>
          </w:p>
        </w:tc>
      </w:tr>
      <w:tr w:rsidR="00D83BF5" w:rsidRPr="00571510" w14:paraId="35F96F24" w14:textId="77777777" w:rsidTr="00D87035">
        <w:trPr>
          <w:cantSplit/>
          <w:trHeight w:val="23"/>
        </w:trPr>
        <w:tc>
          <w:tcPr>
            <w:tcW w:w="10031" w:type="dxa"/>
            <w:gridSpan w:val="4"/>
            <w:shd w:val="clear" w:color="auto" w:fill="auto"/>
          </w:tcPr>
          <w:p w14:paraId="59A8A61C" w14:textId="0C36995F" w:rsidR="00D83BF5" w:rsidRPr="00571510" w:rsidRDefault="001F4CE6" w:rsidP="006774C6">
            <w:pPr>
              <w:pStyle w:val="Source"/>
            </w:pPr>
            <w:bookmarkStart w:id="8" w:name="dbluepink" w:colFirst="0" w:colLast="0"/>
            <w:bookmarkStart w:id="9" w:name="dorlang" w:colFirst="1" w:colLast="1"/>
            <w:r w:rsidRPr="00571510">
              <w:rPr>
                <w:bCs/>
                <w:color w:val="000000"/>
              </w:rPr>
              <w:t>Директор Бюро развития электросвязи</w:t>
            </w:r>
          </w:p>
        </w:tc>
      </w:tr>
      <w:tr w:rsidR="00D83BF5" w:rsidRPr="00571510" w14:paraId="7EDE1565" w14:textId="77777777" w:rsidTr="00D87035">
        <w:trPr>
          <w:cantSplit/>
          <w:trHeight w:val="23"/>
        </w:trPr>
        <w:tc>
          <w:tcPr>
            <w:tcW w:w="10031" w:type="dxa"/>
            <w:gridSpan w:val="4"/>
            <w:shd w:val="clear" w:color="auto" w:fill="auto"/>
            <w:vAlign w:val="center"/>
          </w:tcPr>
          <w:p w14:paraId="3D29924B" w14:textId="6F57AD03" w:rsidR="00D83BF5" w:rsidRPr="00571510" w:rsidRDefault="00C44680" w:rsidP="006774C6">
            <w:pPr>
              <w:pStyle w:val="Title1"/>
              <w:rPr>
                <w:caps/>
              </w:rPr>
            </w:pPr>
            <w:r w:rsidRPr="00571510">
              <w:rPr>
                <w:color w:val="000000"/>
              </w:rPr>
              <w:t>Подготовка к Всемирной конференции по развитию электросвязи</w:t>
            </w:r>
          </w:p>
        </w:tc>
      </w:tr>
      <w:tr w:rsidR="00D83BF5" w:rsidRPr="00571510" w14:paraId="5B2B3E5A" w14:textId="77777777" w:rsidTr="00D87035">
        <w:trPr>
          <w:cantSplit/>
          <w:trHeight w:val="23"/>
        </w:trPr>
        <w:tc>
          <w:tcPr>
            <w:tcW w:w="10031" w:type="dxa"/>
            <w:gridSpan w:val="4"/>
            <w:tcBorders>
              <w:bottom w:val="single" w:sz="4" w:space="0" w:color="auto"/>
            </w:tcBorders>
            <w:shd w:val="clear" w:color="auto" w:fill="auto"/>
          </w:tcPr>
          <w:p w14:paraId="28E7AED7" w14:textId="77777777" w:rsidR="00D83BF5" w:rsidRPr="00571510" w:rsidRDefault="00D83BF5" w:rsidP="00403C69">
            <w:pPr>
              <w:pStyle w:val="Title1"/>
              <w:spacing w:before="120" w:after="120"/>
              <w:jc w:val="left"/>
              <w:rPr>
                <w:rFonts w:cs="Times New Roman Bold"/>
                <w:caps/>
                <w:szCs w:val="28"/>
              </w:rPr>
            </w:pPr>
          </w:p>
        </w:tc>
      </w:tr>
      <w:tr w:rsidR="001E252D" w:rsidRPr="00571510" w14:paraId="6C9BA039" w14:textId="77777777" w:rsidTr="00D87035">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1DBB4473" w14:textId="77777777" w:rsidR="005E032D" w:rsidRPr="00571510" w:rsidRDefault="005E032D" w:rsidP="00EB4AE6">
            <w:pPr>
              <w:pStyle w:val="Headingb"/>
              <w:rPr>
                <w:szCs w:val="22"/>
                <w:lang w:val="ru-RU"/>
              </w:rPr>
            </w:pPr>
            <w:r w:rsidRPr="00571510">
              <w:rPr>
                <w:szCs w:val="22"/>
                <w:lang w:val="ru-RU"/>
              </w:rPr>
              <w:t>Резюме</w:t>
            </w:r>
          </w:p>
          <w:p w14:paraId="4F70BA09" w14:textId="73D65A47" w:rsidR="001E252D" w:rsidRPr="00571510" w:rsidRDefault="001F4CE6" w:rsidP="00EB4AE6">
            <w:pPr>
              <w:rPr>
                <w:szCs w:val="22"/>
              </w:rPr>
            </w:pPr>
            <w:r w:rsidRPr="00571510">
              <w:rPr>
                <w:color w:val="000000"/>
              </w:rPr>
              <w:t>В настоящем документе содержится информация о проделанной подготовительной работе по</w:t>
            </w:r>
            <w:r w:rsidR="00C42307" w:rsidRPr="00571510">
              <w:rPr>
                <w:color w:val="000000"/>
              </w:rPr>
              <w:t> </w:t>
            </w:r>
            <w:r w:rsidRPr="00571510">
              <w:rPr>
                <w:color w:val="000000"/>
              </w:rPr>
              <w:t>организации Всемирной конференции по развитию электросвязи 2025 года (ВКРЭ), которую планируется провести в Баку, Азербайджан, с 17 по 28 ноября 2025 года.</w:t>
            </w:r>
          </w:p>
          <w:p w14:paraId="404BE8A6" w14:textId="77777777" w:rsidR="005E032D" w:rsidRPr="00571510" w:rsidRDefault="005E032D" w:rsidP="00EB4AE6">
            <w:pPr>
              <w:pStyle w:val="Headingb"/>
              <w:rPr>
                <w:szCs w:val="22"/>
                <w:lang w:val="ru-RU"/>
              </w:rPr>
            </w:pPr>
            <w:r w:rsidRPr="00571510">
              <w:rPr>
                <w:szCs w:val="22"/>
                <w:lang w:val="ru-RU"/>
              </w:rPr>
              <w:t>Необходимые действия</w:t>
            </w:r>
          </w:p>
          <w:p w14:paraId="6BDE7AFA" w14:textId="0B8B4ABE" w:rsidR="001E252D" w:rsidRPr="00571510" w:rsidRDefault="009D1A16" w:rsidP="00EB4AE6">
            <w:pPr>
              <w:rPr>
                <w:szCs w:val="22"/>
              </w:rPr>
            </w:pPr>
            <w:r w:rsidRPr="00571510">
              <w:rPr>
                <w:szCs w:val="22"/>
              </w:rPr>
              <w:t>КГРЭ предлагается принять настоящий документ к сведению и предоставить руководящие указания, которые она сочтет необходимыми</w:t>
            </w:r>
            <w:r w:rsidR="003F1363" w:rsidRPr="00571510">
              <w:rPr>
                <w:szCs w:val="22"/>
              </w:rPr>
              <w:t>.</w:t>
            </w:r>
          </w:p>
          <w:p w14:paraId="5120B5FD" w14:textId="41E15B9D" w:rsidR="001E252D" w:rsidRPr="00571510" w:rsidRDefault="004A3CDF" w:rsidP="00EB4AE6">
            <w:pPr>
              <w:rPr>
                <w:b/>
                <w:bCs/>
                <w:szCs w:val="22"/>
              </w:rPr>
            </w:pPr>
            <w:r w:rsidRPr="00571510">
              <w:rPr>
                <w:b/>
                <w:bCs/>
                <w:szCs w:val="22"/>
              </w:rPr>
              <w:t>Справочные материалы</w:t>
            </w:r>
          </w:p>
          <w:p w14:paraId="6EF29DC6" w14:textId="2320E267" w:rsidR="001E252D" w:rsidRPr="00571510" w:rsidRDefault="007255CC" w:rsidP="00EB4AE6">
            <w:pPr>
              <w:spacing w:after="120"/>
            </w:pPr>
            <w:r w:rsidRPr="00571510">
              <w:rPr>
                <w:rStyle w:val="normaltextrun"/>
                <w:rFonts w:cs="Calibri"/>
                <w:color w:val="0563C1"/>
                <w:szCs w:val="24"/>
                <w:u w:val="single"/>
                <w:shd w:val="clear" w:color="auto" w:fill="FFFFFF"/>
              </w:rPr>
              <w:t>Пункт 141 Устава МСЭ</w:t>
            </w:r>
            <w:r w:rsidRPr="00571510">
              <w:rPr>
                <w:color w:val="000000"/>
              </w:rPr>
              <w:t xml:space="preserve">; </w:t>
            </w:r>
            <w:r w:rsidRPr="00571510">
              <w:rPr>
                <w:rStyle w:val="normaltextrun"/>
                <w:rFonts w:cs="Calibri"/>
                <w:color w:val="0563C1"/>
                <w:szCs w:val="24"/>
                <w:u w:val="single"/>
                <w:shd w:val="clear" w:color="auto" w:fill="FFFFFF"/>
              </w:rPr>
              <w:t>пункт 42 Конвенции МСЭ</w:t>
            </w:r>
            <w:r w:rsidRPr="00571510">
              <w:rPr>
                <w:color w:val="000000"/>
              </w:rPr>
              <w:t xml:space="preserve">; </w:t>
            </w:r>
            <w:hyperlink r:id="rId13" w:history="1">
              <w:r w:rsidRPr="00571510">
                <w:rPr>
                  <w:rStyle w:val="normaltextrun"/>
                  <w:rFonts w:cs="Calibri"/>
                  <w:color w:val="0563C1"/>
                  <w:szCs w:val="24"/>
                  <w:u w:val="single"/>
                  <w:shd w:val="clear" w:color="auto" w:fill="FFFFFF"/>
                </w:rPr>
                <w:t>Глава I Общего регламента конференций, ассамблей и собраний Союза</w:t>
              </w:r>
            </w:hyperlink>
            <w:r w:rsidRPr="00571510">
              <w:rPr>
                <w:color w:val="000000"/>
              </w:rPr>
              <w:t xml:space="preserve">; </w:t>
            </w:r>
            <w:hyperlink r:id="rId14" w:history="1">
              <w:r w:rsidRPr="00571510">
                <w:rPr>
                  <w:rStyle w:val="normaltextrun"/>
                  <w:rFonts w:cs="Calibri"/>
                  <w:color w:val="0563C1"/>
                  <w:szCs w:val="24"/>
                  <w:u w:val="single"/>
                  <w:shd w:val="clear" w:color="auto" w:fill="FFFFFF"/>
                </w:rPr>
                <w:t>Резолюция 77 (Пересм. Бухарест, 2022 г.)</w:t>
              </w:r>
            </w:hyperlink>
            <w:r w:rsidRPr="00571510">
              <w:rPr>
                <w:rStyle w:val="normaltextrun"/>
                <w:rFonts w:cs="Calibri"/>
                <w:color w:val="0563C1"/>
                <w:szCs w:val="24"/>
                <w:shd w:val="clear" w:color="auto" w:fill="FFFFFF"/>
              </w:rPr>
              <w:t xml:space="preserve"> </w:t>
            </w:r>
            <w:r w:rsidRPr="00571510">
              <w:rPr>
                <w:color w:val="000000"/>
              </w:rPr>
              <w:t xml:space="preserve">Полномочной конференции; </w:t>
            </w:r>
            <w:hyperlink r:id="rId15" w:history="1">
              <w:r w:rsidRPr="00571510">
                <w:rPr>
                  <w:rStyle w:val="normaltextrun"/>
                  <w:rFonts w:cs="Calibri"/>
                  <w:color w:val="0563C1"/>
                  <w:szCs w:val="24"/>
                  <w:u w:val="single"/>
                  <w:shd w:val="clear" w:color="auto" w:fill="FFFFFF"/>
                </w:rPr>
                <w:t>Резолюция 31</w:t>
              </w:r>
            </w:hyperlink>
            <w:r w:rsidRPr="00571510">
              <w:rPr>
                <w:color w:val="000000"/>
              </w:rPr>
              <w:t xml:space="preserve"> </w:t>
            </w:r>
            <w:r w:rsidR="003B41E9" w:rsidRPr="00571510">
              <w:rPr>
                <w:color w:val="000000"/>
              </w:rPr>
              <w:t>(Пересм. Кигали, 2022 г.) В</w:t>
            </w:r>
            <w:r w:rsidRPr="00571510">
              <w:rPr>
                <w:color w:val="000000"/>
              </w:rPr>
              <w:t>семирной конференции по развитию электросвязи; Циркулярное письмо</w:t>
            </w:r>
            <w:r w:rsidR="00577133" w:rsidRPr="00571510">
              <w:rPr>
                <w:color w:val="000000"/>
              </w:rPr>
              <w:t> </w:t>
            </w:r>
            <w:proofErr w:type="spellStart"/>
            <w:r w:rsidRPr="00571510">
              <w:fldChar w:fldCharType="begin"/>
            </w:r>
            <w:r w:rsidRPr="00571510">
              <w:instrText>HYPERLINK "https://www.itu.int/md/S24-SG-CIR-0061/en" \t "_blank"</w:instrText>
            </w:r>
            <w:r w:rsidRPr="00571510">
              <w:fldChar w:fldCharType="separate"/>
            </w:r>
            <w:r w:rsidRPr="00571510">
              <w:rPr>
                <w:rStyle w:val="normaltextrun"/>
                <w:rFonts w:cs="Calibri"/>
                <w:color w:val="0563C1"/>
                <w:szCs w:val="24"/>
                <w:u w:val="single"/>
                <w:shd w:val="clear" w:color="auto" w:fill="FFFFFF"/>
              </w:rPr>
              <w:t>CL</w:t>
            </w:r>
            <w:proofErr w:type="spellEnd"/>
            <w:r w:rsidR="00577133" w:rsidRPr="00571510">
              <w:rPr>
                <w:rStyle w:val="normaltextrun"/>
                <w:rFonts w:cs="Calibri"/>
                <w:color w:val="0563C1"/>
                <w:szCs w:val="24"/>
                <w:u w:val="single"/>
                <w:shd w:val="clear" w:color="auto" w:fill="FFFFFF"/>
              </w:rPr>
              <w:noBreakHyphen/>
            </w:r>
            <w:r w:rsidRPr="00571510">
              <w:rPr>
                <w:rStyle w:val="normaltextrun"/>
                <w:rFonts w:cs="Calibri"/>
                <w:color w:val="0563C1"/>
                <w:szCs w:val="24"/>
                <w:u w:val="single"/>
                <w:shd w:val="clear" w:color="auto" w:fill="FFFFFF"/>
              </w:rPr>
              <w:t>24/61</w:t>
            </w:r>
            <w:r w:rsidRPr="00571510">
              <w:fldChar w:fldCharType="end"/>
            </w:r>
          </w:p>
        </w:tc>
      </w:tr>
      <w:bookmarkEnd w:id="8"/>
      <w:bookmarkEnd w:id="9"/>
    </w:tbl>
    <w:p w14:paraId="30707726" w14:textId="77777777" w:rsidR="00075C63" w:rsidRPr="00571510" w:rsidRDefault="00075C63" w:rsidP="00CE66E4">
      <w:pPr>
        <w:rPr>
          <w:szCs w:val="24"/>
        </w:rPr>
      </w:pPr>
      <w:r w:rsidRPr="00571510">
        <w:rPr>
          <w:szCs w:val="24"/>
        </w:rPr>
        <w:br w:type="page"/>
      </w:r>
    </w:p>
    <w:p w14:paraId="08671217" w14:textId="173AA840" w:rsidR="001F4CE6" w:rsidRPr="00571510" w:rsidRDefault="00753EC0" w:rsidP="00753EC0">
      <w:pPr>
        <w:pStyle w:val="Heading1"/>
        <w:rPr>
          <w:szCs w:val="24"/>
        </w:rPr>
      </w:pPr>
      <w:r w:rsidRPr="00571510">
        <w:lastRenderedPageBreak/>
        <w:t>1</w:t>
      </w:r>
      <w:r w:rsidRPr="00571510">
        <w:tab/>
      </w:r>
      <w:r w:rsidR="001F4CE6" w:rsidRPr="00571510">
        <w:t>Базовая информация</w:t>
      </w:r>
    </w:p>
    <w:p w14:paraId="752DC3D6" w14:textId="77777777" w:rsidR="001F4CE6" w:rsidRPr="00571510" w:rsidRDefault="001F4CE6" w:rsidP="00577133">
      <w:r w:rsidRPr="00571510">
        <w:t>1.1</w:t>
      </w:r>
      <w:r w:rsidRPr="00571510">
        <w:tab/>
        <w:t>В п. 141 Устава МСЭ указано, что между двумя Полномочными конференциями проводится одна Всемирная конференция по развитию электросвязи (ВКРЭ).</w:t>
      </w:r>
    </w:p>
    <w:p w14:paraId="77BECD85" w14:textId="6770305A" w:rsidR="001F4CE6" w:rsidRPr="00571510" w:rsidRDefault="001F4CE6" w:rsidP="00577133">
      <w:r w:rsidRPr="00571510">
        <w:t>1.2</w:t>
      </w:r>
      <w:r w:rsidRPr="00571510">
        <w:tab/>
      </w:r>
      <w:r w:rsidR="007255CC" w:rsidRPr="00571510">
        <w:t>В Резолюции 77 (Пересм. Бухарест, 2022 г.) Полномочной конференции принято решение, что В</w:t>
      </w:r>
      <w:r w:rsidR="003B41E9" w:rsidRPr="00571510">
        <w:t>КР</w:t>
      </w:r>
      <w:r w:rsidR="007255CC" w:rsidRPr="00571510">
        <w:t>Э-25 должна быть проведена в последнем квартале 2025 года в Бангкоке, Таиланд</w:t>
      </w:r>
      <w:r w:rsidRPr="00571510">
        <w:t>.</w:t>
      </w:r>
    </w:p>
    <w:p w14:paraId="6DDF4CFE" w14:textId="56547239" w:rsidR="001F4CE6" w:rsidRPr="00571510" w:rsidRDefault="001F4CE6" w:rsidP="00577133">
      <w:r w:rsidRPr="00571510">
        <w:t>1.3</w:t>
      </w:r>
      <w:r w:rsidRPr="00571510">
        <w:tab/>
      </w:r>
      <w:r w:rsidR="007255CC" w:rsidRPr="00571510">
        <w:t>В п. 42 Конвенции МСЭ и Главе I Общего регламента конференций, ассамблей и собраний Союза требуется, соответственно, чтобы в отсутствие решения Полномочной конференции конкретное место и точные даты проведения ВКРЭ утверждались Советом с согласия большинства Государств-Членов</w:t>
      </w:r>
      <w:r w:rsidRPr="00571510">
        <w:t>.</w:t>
      </w:r>
    </w:p>
    <w:p w14:paraId="2A9998D9" w14:textId="4502B7B9" w:rsidR="001F4CE6" w:rsidRPr="00571510" w:rsidRDefault="001F4CE6" w:rsidP="00577133">
      <w:r w:rsidRPr="00571510">
        <w:t>1.4</w:t>
      </w:r>
      <w:r w:rsidRPr="00571510">
        <w:tab/>
      </w:r>
      <w:r w:rsidR="007255CC" w:rsidRPr="00571510">
        <w:t>В Резолюции 31 (Пересм. Кигали, 2022 г.) ВКРЭ выражена убежденность в том, что Государства-Члены получают существенную выгоду от координации подготовительных мероприятий на региональном уровне в рамках шести регионов Сектора развития электросвязи МСЭ (МСЭ-D)</w:t>
      </w:r>
      <w:r w:rsidRPr="00571510">
        <w:t>.</w:t>
      </w:r>
    </w:p>
    <w:p w14:paraId="71CB8B2D" w14:textId="27E871FD" w:rsidR="001F4CE6" w:rsidRPr="00571510" w:rsidRDefault="00753EC0" w:rsidP="00753EC0">
      <w:pPr>
        <w:pStyle w:val="Heading1"/>
        <w:rPr>
          <w:szCs w:val="24"/>
        </w:rPr>
      </w:pPr>
      <w:r w:rsidRPr="00571510">
        <w:t>2</w:t>
      </w:r>
      <w:r w:rsidRPr="00571510">
        <w:tab/>
      </w:r>
      <w:r w:rsidR="001F4CE6" w:rsidRPr="00571510">
        <w:t>Место проведения, продолжительность и даты ВКРЭ</w:t>
      </w:r>
    </w:p>
    <w:p w14:paraId="28A73EC0" w14:textId="5BDFA83A" w:rsidR="001F4CE6" w:rsidRPr="00571510" w:rsidRDefault="00753EC0" w:rsidP="00577133">
      <w:pPr>
        <w:rPr>
          <w:szCs w:val="24"/>
        </w:rPr>
      </w:pPr>
      <w:r w:rsidRPr="00571510">
        <w:t>2.1</w:t>
      </w:r>
      <w:r w:rsidRPr="00571510">
        <w:tab/>
      </w:r>
      <w:r w:rsidR="007255CC" w:rsidRPr="00571510">
        <w:t xml:space="preserve">7 декабря 2023 года Управление Национальной комиссии по радиовещанию и электросвязи официально информировало Генерального секретаря о том, что в связи с непредвиденными обстоятельствами Таиланд, к сожалению, не сможет принять у себя Конференцию. В связи с этим в Документе </w:t>
      </w:r>
      <w:hyperlink r:id="rId16" w:history="1">
        <w:proofErr w:type="spellStart"/>
        <w:r w:rsidR="007255CC" w:rsidRPr="00571510">
          <w:rPr>
            <w:rStyle w:val="Hyperlink"/>
          </w:rPr>
          <w:t>CL</w:t>
        </w:r>
        <w:proofErr w:type="spellEnd"/>
        <w:r w:rsidR="007255CC" w:rsidRPr="00571510">
          <w:rPr>
            <w:rStyle w:val="Hyperlink"/>
          </w:rPr>
          <w:t>-23/51</w:t>
        </w:r>
      </w:hyperlink>
      <w:r w:rsidR="007255CC" w:rsidRPr="00571510">
        <w:t xml:space="preserve"> Генеральный секретарь предложила Государствам-Членам, которые будут заинтересованы в проведении ВКРЭ-25, проинформировать ее соответствующим образом</w:t>
      </w:r>
      <w:r w:rsidR="00E84F53" w:rsidRPr="00571510">
        <w:t>.</w:t>
      </w:r>
    </w:p>
    <w:p w14:paraId="331F19E7" w14:textId="4A71F891" w:rsidR="001F4CE6" w:rsidRPr="00571510" w:rsidRDefault="00753EC0" w:rsidP="00577133">
      <w:r w:rsidRPr="00571510">
        <w:t>2.2</w:t>
      </w:r>
      <w:r w:rsidRPr="00571510">
        <w:tab/>
      </w:r>
      <w:r w:rsidR="007255CC" w:rsidRPr="00571510">
        <w:t xml:space="preserve">15 марта 2024 года Генеральный секретарь МСЭ получила приглашение от правительства Азербайджанской Республики. После обмена письмами с Директором Бюро развития электросвязи (БРЭ) министр цифрового развития и транспорта подтвердил в письме от 3 апреля 2024 года намерение провести Конференцию в Баку в конце ноября 2025 года. В последующем письме от 26 апреля 2024 года был предложен период с 17 по 28 ноября 2025 года (см. Приложение 1 к Документу </w:t>
      </w:r>
      <w:hyperlink r:id="rId17" w:history="1">
        <w:proofErr w:type="spellStart"/>
        <w:r w:rsidR="007255CC" w:rsidRPr="00571510">
          <w:rPr>
            <w:rStyle w:val="Hyperlink"/>
          </w:rPr>
          <w:t>C24</w:t>
        </w:r>
        <w:proofErr w:type="spellEnd"/>
        <w:r w:rsidR="007255CC" w:rsidRPr="00571510">
          <w:rPr>
            <w:rStyle w:val="Hyperlink"/>
          </w:rPr>
          <w:t>/30(Rev.1)</w:t>
        </w:r>
      </w:hyperlink>
      <w:r w:rsidR="007255CC" w:rsidRPr="00571510">
        <w:t>)</w:t>
      </w:r>
      <w:r w:rsidR="001F4CE6" w:rsidRPr="00571510">
        <w:t>.</w:t>
      </w:r>
    </w:p>
    <w:p w14:paraId="4B3177B4" w14:textId="1ED1C5E7" w:rsidR="001F4CE6" w:rsidRPr="00571510" w:rsidRDefault="00753EC0" w:rsidP="00577133">
      <w:r w:rsidRPr="00571510">
        <w:t>2.3</w:t>
      </w:r>
      <w:r w:rsidRPr="00571510">
        <w:tab/>
      </w:r>
      <w:r w:rsidR="007255CC" w:rsidRPr="00571510">
        <w:t xml:space="preserve">Точное место и точные даты проведения ВКРЭ-25, а также проект повестки дня предстоящей ВКРЭ-25 были представлены в Документе </w:t>
      </w:r>
      <w:hyperlink r:id="rId18" w:history="1">
        <w:proofErr w:type="spellStart"/>
        <w:r w:rsidR="007255CC" w:rsidRPr="00571510">
          <w:rPr>
            <w:rStyle w:val="Hyperlink"/>
            <w:rFonts w:cstheme="minorHAnsi"/>
            <w:szCs w:val="24"/>
          </w:rPr>
          <w:t>C24</w:t>
        </w:r>
        <w:proofErr w:type="spellEnd"/>
        <w:r w:rsidR="007255CC" w:rsidRPr="00571510">
          <w:rPr>
            <w:rStyle w:val="Hyperlink"/>
            <w:rFonts w:cstheme="minorHAnsi"/>
            <w:szCs w:val="24"/>
          </w:rPr>
          <w:t>/30(Rev.1)</w:t>
        </w:r>
      </w:hyperlink>
      <w:r w:rsidR="007255CC" w:rsidRPr="00571510">
        <w:t xml:space="preserve"> для утверждения Советом при условии согласия большинства Государств – Членов Союза</w:t>
      </w:r>
      <w:r w:rsidR="009D1A16" w:rsidRPr="00571510">
        <w:t>.</w:t>
      </w:r>
    </w:p>
    <w:p w14:paraId="7EDA961B" w14:textId="18DB45F6" w:rsidR="007255CC" w:rsidRPr="00571510" w:rsidRDefault="007255CC" w:rsidP="00577133">
      <w:pPr>
        <w:rPr>
          <w:szCs w:val="24"/>
        </w:rPr>
      </w:pPr>
      <w:r w:rsidRPr="00571510">
        <w:rPr>
          <w:szCs w:val="24"/>
        </w:rPr>
        <w:t>2.4</w:t>
      </w:r>
      <w:r w:rsidRPr="00571510">
        <w:rPr>
          <w:szCs w:val="24"/>
        </w:rPr>
        <w:tab/>
        <w:t>Проект повестки дня также был представлен для обсуждения и утверждения Консультативной группой по развитию электросвязи (КГРЭ) (20−23 мая 2024 г.) (см.</w:t>
      </w:r>
      <w:r w:rsidR="00577133" w:rsidRPr="00571510">
        <w:rPr>
          <w:szCs w:val="24"/>
        </w:rPr>
        <w:t> </w:t>
      </w:r>
      <w:r w:rsidRPr="00571510">
        <w:rPr>
          <w:szCs w:val="24"/>
        </w:rPr>
        <w:t>Документ</w:t>
      </w:r>
      <w:r w:rsidR="00577133" w:rsidRPr="00571510">
        <w:rPr>
          <w:szCs w:val="24"/>
        </w:rPr>
        <w:t> </w:t>
      </w:r>
      <w:hyperlink r:id="rId19" w:history="1">
        <w:r w:rsidRPr="00571510">
          <w:rPr>
            <w:rStyle w:val="Hyperlink"/>
            <w:szCs w:val="24"/>
          </w:rPr>
          <w:t>TDAG</w:t>
        </w:r>
        <w:r w:rsidR="00577133" w:rsidRPr="00571510">
          <w:rPr>
            <w:rStyle w:val="Hyperlink"/>
            <w:szCs w:val="24"/>
          </w:rPr>
          <w:noBreakHyphen/>
        </w:r>
        <w:r w:rsidRPr="00571510">
          <w:rPr>
            <w:rStyle w:val="Hyperlink"/>
            <w:szCs w:val="24"/>
          </w:rPr>
          <w:t>24/24</w:t>
        </w:r>
      </w:hyperlink>
      <w:r w:rsidRPr="00571510">
        <w:rPr>
          <w:szCs w:val="24"/>
        </w:rPr>
        <w:t>).</w:t>
      </w:r>
    </w:p>
    <w:p w14:paraId="22BD79FA" w14:textId="7C79C3F6" w:rsidR="007255CC" w:rsidRPr="00571510" w:rsidRDefault="007255CC" w:rsidP="00577133">
      <w:pPr>
        <w:rPr>
          <w:szCs w:val="24"/>
        </w:rPr>
      </w:pPr>
      <w:r w:rsidRPr="00571510">
        <w:rPr>
          <w:szCs w:val="24"/>
        </w:rPr>
        <w:t>2.5</w:t>
      </w:r>
      <w:r w:rsidRPr="00571510">
        <w:rPr>
          <w:szCs w:val="24"/>
        </w:rPr>
        <w:tab/>
        <w:t xml:space="preserve">Совет принял проект </w:t>
      </w:r>
      <w:hyperlink r:id="rId20" w:history="1">
        <w:r w:rsidRPr="00571510">
          <w:rPr>
            <w:rStyle w:val="Hyperlink"/>
            <w:szCs w:val="24"/>
          </w:rPr>
          <w:t>Решения 637 Совета</w:t>
        </w:r>
      </w:hyperlink>
      <w:r w:rsidRPr="00571510">
        <w:rPr>
          <w:szCs w:val="24"/>
        </w:rPr>
        <w:t xml:space="preserve"> "Созыв Всемирной конференции по развитию электросвязи 2025 года (ВКРЭ-25)" и утвердил проект повестки дня, содержащийся в Приложении 3 к</w:t>
      </w:r>
      <w:r w:rsidR="00577133" w:rsidRPr="00571510">
        <w:rPr>
          <w:szCs w:val="24"/>
        </w:rPr>
        <w:t> </w:t>
      </w:r>
      <w:r w:rsidRPr="00571510">
        <w:rPr>
          <w:szCs w:val="24"/>
        </w:rPr>
        <w:t xml:space="preserve">Документу </w:t>
      </w:r>
      <w:hyperlink r:id="rId21">
        <w:proofErr w:type="spellStart"/>
        <w:r w:rsidRPr="00571510">
          <w:rPr>
            <w:rStyle w:val="Hyperlink"/>
            <w:szCs w:val="24"/>
          </w:rPr>
          <w:t>C24</w:t>
        </w:r>
        <w:proofErr w:type="spellEnd"/>
        <w:r w:rsidRPr="00571510">
          <w:rPr>
            <w:rStyle w:val="Hyperlink"/>
            <w:szCs w:val="24"/>
          </w:rPr>
          <w:t>/30(Rev.1)</w:t>
        </w:r>
      </w:hyperlink>
      <w:r w:rsidRPr="00571510">
        <w:rPr>
          <w:szCs w:val="24"/>
        </w:rPr>
        <w:t>.</w:t>
      </w:r>
    </w:p>
    <w:p w14:paraId="59FD4283" w14:textId="0F9E4615" w:rsidR="007255CC" w:rsidRPr="00571510" w:rsidRDefault="007255CC" w:rsidP="00577133">
      <w:pPr>
        <w:rPr>
          <w:szCs w:val="24"/>
        </w:rPr>
      </w:pPr>
      <w:r w:rsidRPr="00571510">
        <w:rPr>
          <w:szCs w:val="24"/>
        </w:rPr>
        <w:t>2.6</w:t>
      </w:r>
      <w:r w:rsidRPr="00571510">
        <w:rPr>
          <w:szCs w:val="24"/>
        </w:rPr>
        <w:tab/>
        <w:t xml:space="preserve">В Циркулярном письме </w:t>
      </w:r>
      <w:hyperlink r:id="rId22">
        <w:proofErr w:type="spellStart"/>
        <w:r w:rsidRPr="00571510">
          <w:rPr>
            <w:rStyle w:val="Hyperlink"/>
            <w:szCs w:val="24"/>
          </w:rPr>
          <w:t>CL</w:t>
        </w:r>
        <w:proofErr w:type="spellEnd"/>
        <w:r w:rsidRPr="00571510">
          <w:rPr>
            <w:rStyle w:val="Hyperlink"/>
            <w:szCs w:val="24"/>
          </w:rPr>
          <w:t>-24/38</w:t>
        </w:r>
      </w:hyperlink>
      <w:r w:rsidRPr="00571510">
        <w:rPr>
          <w:szCs w:val="24"/>
        </w:rPr>
        <w:t xml:space="preserve"> от 24 июня 2024 года Государствам – Членам МСЭ было предложено подтвердить в письменной форме свое согласие с конкретным местом и точными датами проведения ВКРЭ в срок до 31 августа 2024 года.</w:t>
      </w:r>
    </w:p>
    <w:p w14:paraId="63ED7B7F" w14:textId="2C64A547" w:rsidR="007255CC" w:rsidRPr="00571510" w:rsidRDefault="007255CC" w:rsidP="00577133">
      <w:pPr>
        <w:rPr>
          <w:szCs w:val="24"/>
        </w:rPr>
      </w:pPr>
      <w:r w:rsidRPr="00571510">
        <w:rPr>
          <w:szCs w:val="24"/>
        </w:rPr>
        <w:t>2.7</w:t>
      </w:r>
      <w:r w:rsidRPr="00571510">
        <w:rPr>
          <w:szCs w:val="24"/>
        </w:rPr>
        <w:tab/>
        <w:t xml:space="preserve">В Циркулярном письме </w:t>
      </w:r>
      <w:hyperlink r:id="rId23">
        <w:proofErr w:type="spellStart"/>
        <w:r w:rsidRPr="00571510">
          <w:rPr>
            <w:rStyle w:val="Hyperlink"/>
            <w:szCs w:val="24"/>
          </w:rPr>
          <w:t>CL</w:t>
        </w:r>
        <w:proofErr w:type="spellEnd"/>
        <w:r w:rsidRPr="00571510">
          <w:rPr>
            <w:rStyle w:val="Hyperlink"/>
            <w:szCs w:val="24"/>
          </w:rPr>
          <w:t>-24/61</w:t>
        </w:r>
      </w:hyperlink>
      <w:r w:rsidRPr="00571510">
        <w:rPr>
          <w:szCs w:val="24"/>
        </w:rPr>
        <w:t xml:space="preserve"> от 31 октября 2024 года МСЭ Государства – Члены МСЭ были проинформированы, что в результате проведенных консультаций, как указано выше, было достигнуто согласие требуемого большинства Государств − Членов МСЭ в соответствии с пп. 42 и 213 Конвенции МСЭ.</w:t>
      </w:r>
    </w:p>
    <w:p w14:paraId="28A7A429" w14:textId="2F17B327" w:rsidR="007255CC" w:rsidRPr="00571510" w:rsidRDefault="007255CC" w:rsidP="00577133">
      <w:pPr>
        <w:rPr>
          <w:szCs w:val="24"/>
        </w:rPr>
      </w:pPr>
      <w:r w:rsidRPr="00571510">
        <w:rPr>
          <w:szCs w:val="24"/>
        </w:rPr>
        <w:t>2.8</w:t>
      </w:r>
      <w:r w:rsidRPr="00571510">
        <w:rPr>
          <w:szCs w:val="24"/>
        </w:rPr>
        <w:tab/>
        <w:t xml:space="preserve">31 октября 2024 года Директор БРЭ направил Членам и наблюдателям МСЭ-D официальные </w:t>
      </w:r>
      <w:hyperlink r:id="rId24" w:history="1">
        <w:r w:rsidRPr="00571510">
          <w:rPr>
            <w:rStyle w:val="Hyperlink"/>
            <w:szCs w:val="24"/>
          </w:rPr>
          <w:t>пригласительные письма</w:t>
        </w:r>
      </w:hyperlink>
      <w:r w:rsidRPr="00571510">
        <w:rPr>
          <w:szCs w:val="24"/>
        </w:rPr>
        <w:t xml:space="preserve"> для участия в ВКРЭ-25.</w:t>
      </w:r>
    </w:p>
    <w:p w14:paraId="42517763" w14:textId="39100F84" w:rsidR="007255CC" w:rsidRPr="00571510" w:rsidRDefault="007255CC" w:rsidP="00577133">
      <w:pPr>
        <w:rPr>
          <w:szCs w:val="24"/>
        </w:rPr>
      </w:pPr>
      <w:r w:rsidRPr="00571510">
        <w:rPr>
          <w:szCs w:val="24"/>
        </w:rPr>
        <w:lastRenderedPageBreak/>
        <w:t>2.9</w:t>
      </w:r>
      <w:r w:rsidRPr="00571510">
        <w:rPr>
          <w:szCs w:val="24"/>
        </w:rPr>
        <w:tab/>
        <w:t>МСЭ и команда от принимающей страны усердно работают над всеми аспектами, связанными с планированием, координацией и успешной организацией Конференции, включая материально-техническое обеспечение, организацию площадок для проведения, транспорт, проезд и проживание делегатов, а также безопасность и обслуживание гостей. Соглашение с принимающей страной в настоящее время находится на завершающей стадии подписания и планируется к подписанию на сессии Совета 2025</w:t>
      </w:r>
      <w:r w:rsidR="003B41E9" w:rsidRPr="00571510">
        <w:rPr>
          <w:szCs w:val="24"/>
        </w:rPr>
        <w:t> </w:t>
      </w:r>
      <w:r w:rsidRPr="00571510">
        <w:rPr>
          <w:szCs w:val="24"/>
        </w:rPr>
        <w:t>года.</w:t>
      </w:r>
    </w:p>
    <w:p w14:paraId="4A5DD72C" w14:textId="2E9FC1BD" w:rsidR="007255CC" w:rsidRPr="00571510" w:rsidRDefault="007255CC" w:rsidP="00577133">
      <w:pPr>
        <w:rPr>
          <w:szCs w:val="24"/>
        </w:rPr>
      </w:pPr>
      <w:r w:rsidRPr="00571510">
        <w:rPr>
          <w:szCs w:val="24"/>
        </w:rPr>
        <w:t>2.10</w:t>
      </w:r>
      <w:r w:rsidRPr="00571510">
        <w:rPr>
          <w:szCs w:val="24"/>
        </w:rPr>
        <w:tab/>
        <w:t xml:space="preserve">Первый визит команды МСЭ на место проведения состоялся </w:t>
      </w:r>
      <w:proofErr w:type="gramStart"/>
      <w:r w:rsidRPr="00571510">
        <w:rPr>
          <w:szCs w:val="24"/>
        </w:rPr>
        <w:t>10</w:t>
      </w:r>
      <w:r w:rsidR="00571510" w:rsidRPr="00571510">
        <w:rPr>
          <w:szCs w:val="24"/>
        </w:rPr>
        <w:t>−</w:t>
      </w:r>
      <w:r w:rsidRPr="00571510">
        <w:rPr>
          <w:szCs w:val="24"/>
        </w:rPr>
        <w:t>14</w:t>
      </w:r>
      <w:proofErr w:type="gramEnd"/>
      <w:r w:rsidRPr="00571510">
        <w:rPr>
          <w:szCs w:val="24"/>
        </w:rPr>
        <w:t xml:space="preserve"> февраля 2025 года, в ходе которого команда МСЭ оценила возможные площадки для проведения Конференции и определила подходящие гостиницы для размещения делегатов. Практическая информация для участников будет предоставлена в установленном порядке.</w:t>
      </w:r>
    </w:p>
    <w:p w14:paraId="70A1EA8F" w14:textId="428F62FA" w:rsidR="007255CC" w:rsidRPr="00571510" w:rsidRDefault="007255CC" w:rsidP="00577133">
      <w:pPr>
        <w:rPr>
          <w:szCs w:val="24"/>
        </w:rPr>
      </w:pPr>
      <w:r w:rsidRPr="00571510">
        <w:rPr>
          <w:szCs w:val="24"/>
        </w:rPr>
        <w:t>2.11</w:t>
      </w:r>
      <w:r w:rsidRPr="00571510">
        <w:rPr>
          <w:szCs w:val="24"/>
        </w:rPr>
        <w:tab/>
        <w:t xml:space="preserve">Участие во Всемирной конференции по развитию электросвязи ограничено членами МСЭ. Предварительная регистрация уже доступна в </w:t>
      </w:r>
      <w:hyperlink r:id="rId25" w:history="1">
        <w:r w:rsidRPr="00571510">
          <w:rPr>
            <w:rStyle w:val="Hyperlink"/>
            <w:szCs w:val="24"/>
          </w:rPr>
          <w:t>онлайновом режиме</w:t>
        </w:r>
      </w:hyperlink>
      <w:r w:rsidRPr="00571510">
        <w:rPr>
          <w:szCs w:val="24"/>
        </w:rPr>
        <w:t>.</w:t>
      </w:r>
    </w:p>
    <w:p w14:paraId="43CA047D" w14:textId="666B5C49" w:rsidR="001F4CE6" w:rsidRPr="00571510" w:rsidRDefault="00753EC0" w:rsidP="00753EC0">
      <w:pPr>
        <w:pStyle w:val="Heading1"/>
        <w:rPr>
          <w:szCs w:val="24"/>
        </w:rPr>
      </w:pPr>
      <w:r w:rsidRPr="00571510">
        <w:t>3</w:t>
      </w:r>
      <w:r w:rsidRPr="00571510">
        <w:tab/>
      </w:r>
      <w:r w:rsidR="001F4CE6" w:rsidRPr="00571510">
        <w:t>Подготовка к Конференции</w:t>
      </w:r>
    </w:p>
    <w:p w14:paraId="6BCA6211" w14:textId="381EDE63" w:rsidR="007255CC" w:rsidRPr="00571510" w:rsidRDefault="007255CC" w:rsidP="00577133">
      <w:pPr>
        <w:rPr>
          <w:bCs/>
        </w:rPr>
      </w:pPr>
      <w:r w:rsidRPr="00571510">
        <w:t>3.1</w:t>
      </w:r>
      <w:r w:rsidRPr="00571510">
        <w:tab/>
        <w:t xml:space="preserve">Обсуждение процесса подготовки Конференции и разработки ориентированных на воздействие результатов началось во время </w:t>
      </w:r>
      <w:hyperlink r:id="rId26" w:history="1">
        <w:r w:rsidRPr="00571510">
          <w:rPr>
            <w:rStyle w:val="Hyperlink"/>
          </w:rPr>
          <w:t>КГРЭ-23</w:t>
        </w:r>
      </w:hyperlink>
      <w:r w:rsidRPr="00571510">
        <w:t>. На это</w:t>
      </w:r>
      <w:r w:rsidR="003B41E9" w:rsidRPr="00571510">
        <w:t xml:space="preserve">м собрании </w:t>
      </w:r>
      <w:r w:rsidRPr="00571510">
        <w:t>было принято решение об учреждении двух рабочих групп для подготовки к ВКРЭ-25 и утвержден их круг ведения:</w:t>
      </w:r>
    </w:p>
    <w:p w14:paraId="4E2104E2" w14:textId="588F580F" w:rsidR="007255CC" w:rsidRPr="00571510" w:rsidRDefault="00577133" w:rsidP="00577133">
      <w:pPr>
        <w:pStyle w:val="enumlev1"/>
      </w:pPr>
      <w:r w:rsidRPr="00571510">
        <w:t>−</w:t>
      </w:r>
      <w:r w:rsidRPr="00571510">
        <w:tab/>
      </w:r>
      <w:hyperlink r:id="rId27" w:history="1">
        <w:r w:rsidR="007255CC" w:rsidRPr="00571510">
          <w:rPr>
            <w:rStyle w:val="Hyperlink"/>
          </w:rPr>
          <w:t>Рабочая группа КГРЭ по будущему Вопросов исследовательских комиссий (КГРЭ</w:t>
        </w:r>
        <w:r w:rsidR="007255CC" w:rsidRPr="00571510">
          <w:rPr>
            <w:rStyle w:val="Hyperlink"/>
          </w:rPr>
          <w:noBreakHyphen/>
          <w:t>РГ</w:t>
        </w:r>
        <w:r w:rsidR="007255CC" w:rsidRPr="00571510">
          <w:rPr>
            <w:rStyle w:val="Hyperlink"/>
          </w:rPr>
          <w:noBreakHyphen/>
        </w:r>
        <w:proofErr w:type="spellStart"/>
        <w:r w:rsidR="007255CC" w:rsidRPr="00571510">
          <w:rPr>
            <w:rStyle w:val="Hyperlink"/>
          </w:rPr>
          <w:t>futureSGQ</w:t>
        </w:r>
        <w:proofErr w:type="spellEnd"/>
        <w:r w:rsidR="007255CC" w:rsidRPr="00571510">
          <w:rPr>
            <w:rStyle w:val="Hyperlink"/>
          </w:rPr>
          <w:t>)</w:t>
        </w:r>
      </w:hyperlink>
      <w:r w:rsidR="007255CC" w:rsidRPr="00571510">
        <w:t>;</w:t>
      </w:r>
    </w:p>
    <w:p w14:paraId="63C542B8" w14:textId="4688E373" w:rsidR="007255CC" w:rsidRPr="00571510" w:rsidRDefault="00577133" w:rsidP="00577133">
      <w:pPr>
        <w:pStyle w:val="enumlev1"/>
      </w:pPr>
      <w:r w:rsidRPr="00571510">
        <w:t>−</w:t>
      </w:r>
      <w:r w:rsidRPr="00571510">
        <w:tab/>
      </w:r>
      <w:hyperlink r:id="rId28" w:history="1">
        <w:r w:rsidR="007255CC" w:rsidRPr="00571510">
          <w:rPr>
            <w:rStyle w:val="Hyperlink"/>
          </w:rPr>
          <w:t>Рабочая группа КГРЭ по упорядочению Резолюций (КГРЭ-РГ-SR)</w:t>
        </w:r>
      </w:hyperlink>
      <w:r w:rsidR="007255CC" w:rsidRPr="00571510">
        <w:t>.</w:t>
      </w:r>
    </w:p>
    <w:p w14:paraId="219D66E9" w14:textId="6A1DA4F9" w:rsidR="007255CC" w:rsidRPr="00571510" w:rsidRDefault="007255CC" w:rsidP="00577133">
      <w:r w:rsidRPr="00571510">
        <w:t>3.2</w:t>
      </w:r>
      <w:r w:rsidRPr="00571510">
        <w:tab/>
        <w:t xml:space="preserve">Кроме того, на </w:t>
      </w:r>
      <w:r w:rsidR="003B41E9" w:rsidRPr="00571510">
        <w:t xml:space="preserve">собрании </w:t>
      </w:r>
      <w:hyperlink r:id="rId29" w:history="1">
        <w:r w:rsidRPr="00571510">
          <w:rPr>
            <w:rStyle w:val="Hyperlink"/>
          </w:rPr>
          <w:t>КГРЭ-24</w:t>
        </w:r>
      </w:hyperlink>
      <w:r w:rsidRPr="00571510">
        <w:t xml:space="preserve"> было создано три дополнительные группы для помощи в подготовке к ВКРЭ-25 и утвержден их круг ведения: </w:t>
      </w:r>
    </w:p>
    <w:p w14:paraId="2E81B8DC" w14:textId="0A14C729" w:rsidR="007255CC" w:rsidRPr="00571510" w:rsidRDefault="00577133" w:rsidP="00577133">
      <w:pPr>
        <w:pStyle w:val="enumlev1"/>
      </w:pPr>
      <w:r w:rsidRPr="00571510">
        <w:t>−</w:t>
      </w:r>
      <w:r w:rsidRPr="00571510">
        <w:tab/>
      </w:r>
      <w:hyperlink r:id="rId30" w:history="1">
        <w:r w:rsidR="007255CC" w:rsidRPr="00571510">
          <w:rPr>
            <w:rStyle w:val="Hyperlink"/>
          </w:rPr>
          <w:t>Рабочая группа КГРЭ по приоритетам МСЭ-D (КГРЭ-РГ-</w:t>
        </w:r>
        <w:proofErr w:type="spellStart"/>
        <w:r w:rsidR="007255CC" w:rsidRPr="00571510">
          <w:rPr>
            <w:rStyle w:val="Hyperlink"/>
          </w:rPr>
          <w:t>ITUDP</w:t>
        </w:r>
        <w:proofErr w:type="spellEnd"/>
        <w:r w:rsidR="007255CC" w:rsidRPr="00571510">
          <w:rPr>
            <w:rStyle w:val="Hyperlink"/>
          </w:rPr>
          <w:t>)</w:t>
        </w:r>
      </w:hyperlink>
      <w:r w:rsidR="00571510" w:rsidRPr="00571510">
        <w:t>;</w:t>
      </w:r>
    </w:p>
    <w:p w14:paraId="419D9CF3" w14:textId="4B7F62B7" w:rsidR="007255CC" w:rsidRPr="00571510" w:rsidRDefault="00577133" w:rsidP="00577133">
      <w:pPr>
        <w:pStyle w:val="enumlev1"/>
      </w:pPr>
      <w:r w:rsidRPr="00571510">
        <w:t>−</w:t>
      </w:r>
      <w:r w:rsidRPr="00571510">
        <w:tab/>
      </w:r>
      <w:hyperlink r:id="rId31" w:history="1">
        <w:r w:rsidR="007255CC" w:rsidRPr="00571510">
          <w:rPr>
            <w:rStyle w:val="Hyperlink"/>
          </w:rPr>
          <w:t>Рабочая группа КГРЭ по Декларации ВКРЭ (КГРЭ-РГ-</w:t>
        </w:r>
        <w:proofErr w:type="spellStart"/>
        <w:r w:rsidR="007255CC" w:rsidRPr="00571510">
          <w:rPr>
            <w:rStyle w:val="Hyperlink"/>
          </w:rPr>
          <w:t>DEC</w:t>
        </w:r>
        <w:proofErr w:type="spellEnd"/>
        <w:r w:rsidR="007255CC" w:rsidRPr="00571510">
          <w:rPr>
            <w:rStyle w:val="Hyperlink"/>
          </w:rPr>
          <w:t>)</w:t>
        </w:r>
      </w:hyperlink>
      <w:r w:rsidR="007255CC" w:rsidRPr="00571510">
        <w:t>;</w:t>
      </w:r>
    </w:p>
    <w:p w14:paraId="569AE5A0" w14:textId="681F3F81" w:rsidR="007255CC" w:rsidRPr="00571510" w:rsidRDefault="00577133" w:rsidP="00577133">
      <w:pPr>
        <w:pStyle w:val="enumlev1"/>
      </w:pPr>
      <w:r w:rsidRPr="00571510">
        <w:t>−</w:t>
      </w:r>
      <w:r w:rsidRPr="00571510">
        <w:tab/>
      </w:r>
      <w:hyperlink r:id="rId32" w:history="1">
        <w:r w:rsidR="007255CC" w:rsidRPr="00571510">
          <w:rPr>
            <w:rStyle w:val="Hyperlink"/>
          </w:rPr>
          <w:t>Неофициальная координационная группа КГРЭ по Глобальному молодежному саммиту и его празднованию в мире (КГРЭ-</w:t>
        </w:r>
        <w:proofErr w:type="spellStart"/>
        <w:r w:rsidR="007255CC" w:rsidRPr="00571510">
          <w:rPr>
            <w:rStyle w:val="Hyperlink"/>
          </w:rPr>
          <w:t>ICG</w:t>
        </w:r>
        <w:proofErr w:type="spellEnd"/>
        <w:r w:rsidR="007255CC" w:rsidRPr="00571510">
          <w:rPr>
            <w:rStyle w:val="Hyperlink"/>
          </w:rPr>
          <w:t>-</w:t>
        </w:r>
        <w:proofErr w:type="spellStart"/>
        <w:r w:rsidR="007255CC" w:rsidRPr="00571510">
          <w:rPr>
            <w:rStyle w:val="Hyperlink"/>
          </w:rPr>
          <w:t>GYS</w:t>
        </w:r>
        <w:proofErr w:type="spellEnd"/>
        <w:r w:rsidR="007255CC" w:rsidRPr="00571510">
          <w:rPr>
            <w:rStyle w:val="Hyperlink"/>
          </w:rPr>
          <w:t>)</w:t>
        </w:r>
      </w:hyperlink>
      <w:r w:rsidR="007255CC" w:rsidRPr="00571510">
        <w:t>.</w:t>
      </w:r>
    </w:p>
    <w:p w14:paraId="0F6812AE" w14:textId="67752E26" w:rsidR="007255CC" w:rsidRPr="00571510" w:rsidRDefault="007255CC" w:rsidP="00577133">
      <w:r w:rsidRPr="00571510">
        <w:t>3.3</w:t>
      </w:r>
      <w:r w:rsidRPr="00571510">
        <w:tab/>
        <w:t>В работе всех групп КГРЭ могли принимать участие все Члены МСЭ-D.</w:t>
      </w:r>
    </w:p>
    <w:p w14:paraId="26A151BD" w14:textId="44A00467" w:rsidR="007255CC" w:rsidRPr="00571510" w:rsidRDefault="007255CC" w:rsidP="00577133">
      <w:r w:rsidRPr="00571510">
        <w:t>3.4</w:t>
      </w:r>
      <w:r w:rsidRPr="00571510">
        <w:tab/>
        <w:t>Рабочие группы КГРЭ представили КГРЭ-25 указанные ниже итоговые отчеты для дальнейшего рассмотрения, которые затем в составе отчета КГРЭ будут представлены предстоящей ВКРЭ:</w:t>
      </w:r>
    </w:p>
    <w:p w14:paraId="15C97FCD" w14:textId="6539DF84" w:rsidR="007255CC" w:rsidRPr="00571510" w:rsidRDefault="00577133" w:rsidP="00577133">
      <w:pPr>
        <w:pStyle w:val="enumlev1"/>
      </w:pPr>
      <w:r w:rsidRPr="00571510">
        <w:t>−</w:t>
      </w:r>
      <w:r w:rsidRPr="00571510">
        <w:tab/>
      </w:r>
      <w:r w:rsidR="007255CC" w:rsidRPr="00571510">
        <w:t xml:space="preserve">Отчет о деятельности Рабочей группы КГРЭ по будущему Вопросов исследовательских комиссий (Документ </w:t>
      </w:r>
      <w:hyperlink r:id="rId33" w:history="1">
        <w:r w:rsidR="007255CC" w:rsidRPr="00571510">
          <w:rPr>
            <w:rStyle w:val="Hyperlink"/>
            <w:bCs/>
          </w:rPr>
          <w:t>TDAG-25/19</w:t>
        </w:r>
        <w:r w:rsidR="007255CC" w:rsidRPr="00571510">
          <w:rPr>
            <w:rStyle w:val="Hyperlink"/>
          </w:rPr>
          <w:t>(Rev.1)</w:t>
        </w:r>
      </w:hyperlink>
      <w:r w:rsidR="007255CC" w:rsidRPr="00571510">
        <w:t>);</w:t>
      </w:r>
    </w:p>
    <w:p w14:paraId="6E38A187" w14:textId="10D76B22" w:rsidR="007255CC" w:rsidRPr="00571510" w:rsidRDefault="00577133" w:rsidP="00577133">
      <w:pPr>
        <w:pStyle w:val="enumlev1"/>
      </w:pPr>
      <w:r w:rsidRPr="00571510">
        <w:t>−</w:t>
      </w:r>
      <w:r w:rsidRPr="00571510">
        <w:tab/>
      </w:r>
      <w:r w:rsidR="007255CC" w:rsidRPr="00571510">
        <w:t>Отчет о деятельности Рабочей группы КГРЭ по упорядочению Резолюций (Документ</w:t>
      </w:r>
      <w:r w:rsidR="00571510" w:rsidRPr="00571510">
        <w:t> </w:t>
      </w:r>
      <w:hyperlink r:id="rId34" w:history="1">
        <w:r w:rsidR="007255CC" w:rsidRPr="00571510">
          <w:rPr>
            <w:rStyle w:val="Hyperlink"/>
            <w:bCs/>
          </w:rPr>
          <w:t>TDAG-25/20</w:t>
        </w:r>
      </w:hyperlink>
      <w:r w:rsidR="007255CC" w:rsidRPr="00571510">
        <w:t>);</w:t>
      </w:r>
    </w:p>
    <w:p w14:paraId="0D99B1E1" w14:textId="1FFAAB4B" w:rsidR="007255CC" w:rsidRPr="00571510" w:rsidRDefault="00577133" w:rsidP="00577133">
      <w:pPr>
        <w:pStyle w:val="enumlev1"/>
      </w:pPr>
      <w:r w:rsidRPr="00571510">
        <w:t>−</w:t>
      </w:r>
      <w:r w:rsidRPr="00571510">
        <w:tab/>
      </w:r>
      <w:r w:rsidR="007255CC" w:rsidRPr="00571510">
        <w:t>Отчет о ходе работы Рабочей группы КГРЭ по приоритетам МСЭ-D (Документ</w:t>
      </w:r>
      <w:r w:rsidR="00571510" w:rsidRPr="00571510">
        <w:t> </w:t>
      </w:r>
      <w:hyperlink r:id="rId35" w:history="1">
        <w:r w:rsidR="007255CC" w:rsidRPr="00571510">
          <w:rPr>
            <w:rStyle w:val="Hyperlink"/>
            <w:bCs/>
          </w:rPr>
          <w:t>TDAG</w:t>
        </w:r>
        <w:r w:rsidR="00571510" w:rsidRPr="00571510">
          <w:rPr>
            <w:rStyle w:val="Hyperlink"/>
            <w:bCs/>
          </w:rPr>
          <w:noBreakHyphen/>
        </w:r>
        <w:r w:rsidR="007255CC" w:rsidRPr="00571510">
          <w:rPr>
            <w:rStyle w:val="Hyperlink"/>
            <w:bCs/>
          </w:rPr>
          <w:t>25/21</w:t>
        </w:r>
      </w:hyperlink>
      <w:r w:rsidR="007255CC" w:rsidRPr="00571510">
        <w:t>);</w:t>
      </w:r>
    </w:p>
    <w:p w14:paraId="5C49C5B3" w14:textId="41EBB97B" w:rsidR="007255CC" w:rsidRPr="00571510" w:rsidRDefault="00577133" w:rsidP="00577133">
      <w:pPr>
        <w:pStyle w:val="enumlev1"/>
      </w:pPr>
      <w:r w:rsidRPr="00571510">
        <w:t>−</w:t>
      </w:r>
      <w:r w:rsidRPr="00571510">
        <w:tab/>
      </w:r>
      <w:r w:rsidR="007255CC" w:rsidRPr="00571510">
        <w:t>Отчет о ходе и результатах деятельности Рабочей Группы КГРЭ по Декларации (Документ</w:t>
      </w:r>
      <w:r w:rsidR="00571510" w:rsidRPr="00571510">
        <w:t> </w:t>
      </w:r>
      <w:hyperlink r:id="rId36" w:history="1">
        <w:r w:rsidR="007255CC" w:rsidRPr="00571510">
          <w:rPr>
            <w:rStyle w:val="Hyperlink"/>
            <w:bCs/>
          </w:rPr>
          <w:t>TDAG-25/18(Rev.1)</w:t>
        </w:r>
      </w:hyperlink>
      <w:r w:rsidR="007255CC" w:rsidRPr="00571510">
        <w:t>);</w:t>
      </w:r>
    </w:p>
    <w:p w14:paraId="15325060" w14:textId="789A973A" w:rsidR="007255CC" w:rsidRPr="00571510" w:rsidRDefault="00577133" w:rsidP="00577133">
      <w:pPr>
        <w:pStyle w:val="enumlev1"/>
      </w:pPr>
      <w:r w:rsidRPr="00571510">
        <w:t>−</w:t>
      </w:r>
      <w:r w:rsidRPr="00571510">
        <w:tab/>
      </w:r>
      <w:r w:rsidR="007255CC" w:rsidRPr="00571510">
        <w:t xml:space="preserve">Отчет об организации Глобального молодежного саммита МСЭ 2025 года (ГМС-25) в преддверии Всемирной конференции по развитию электросвязи 2025 года (ВКРЭ-25) (Документ </w:t>
      </w:r>
      <w:hyperlink r:id="rId37" w:history="1">
        <w:r w:rsidR="007255CC" w:rsidRPr="00571510">
          <w:rPr>
            <w:rStyle w:val="Hyperlink"/>
            <w:bCs/>
          </w:rPr>
          <w:t>TDAG-25/22</w:t>
        </w:r>
      </w:hyperlink>
      <w:r w:rsidR="007255CC" w:rsidRPr="00571510">
        <w:t>).</w:t>
      </w:r>
    </w:p>
    <w:p w14:paraId="1A6E4D86" w14:textId="48F6D8B9" w:rsidR="007255CC" w:rsidRPr="00571510" w:rsidRDefault="007255CC" w:rsidP="00577133">
      <w:pPr>
        <w:rPr>
          <w:szCs w:val="24"/>
        </w:rPr>
      </w:pPr>
      <w:r w:rsidRPr="00571510">
        <w:t>3.5</w:t>
      </w:r>
      <w:r w:rsidRPr="00571510">
        <w:tab/>
        <w:t>КГРЭ-РГ-</w:t>
      </w:r>
      <w:proofErr w:type="spellStart"/>
      <w:r w:rsidRPr="00571510">
        <w:t>DEC</w:t>
      </w:r>
      <w:proofErr w:type="spellEnd"/>
      <w:r w:rsidRPr="00571510">
        <w:t xml:space="preserve"> предложила для ВКРЭ-25 тему, которая соответствует названию проекта Декларации ВКРЭ-25, а именно: "Универсальная и реальная возможность установления приемлемых в ценовом отношении соединений в интересах инклюзивного и устойчивого цифрового будущего".</w:t>
      </w:r>
    </w:p>
    <w:p w14:paraId="561DE064" w14:textId="41C808D8" w:rsidR="001F4CE6" w:rsidRPr="00571510" w:rsidRDefault="00753EC0" w:rsidP="00753EC0">
      <w:pPr>
        <w:pStyle w:val="Heading1"/>
        <w:rPr>
          <w:szCs w:val="24"/>
        </w:rPr>
      </w:pPr>
      <w:r w:rsidRPr="00571510">
        <w:lastRenderedPageBreak/>
        <w:t>4</w:t>
      </w:r>
      <w:r w:rsidRPr="00571510">
        <w:tab/>
      </w:r>
      <w:r w:rsidR="003B41E9" w:rsidRPr="00571510">
        <w:t xml:space="preserve">Региональный процесс </w:t>
      </w:r>
      <w:r w:rsidR="001F4CE6" w:rsidRPr="00571510">
        <w:t>подготовки</w:t>
      </w:r>
    </w:p>
    <w:p w14:paraId="53364BE6" w14:textId="3F902A6F" w:rsidR="001F4CE6" w:rsidRPr="00571510" w:rsidRDefault="001F4CE6" w:rsidP="00577133">
      <w:pPr>
        <w:spacing w:after="120"/>
      </w:pPr>
      <w:r w:rsidRPr="00571510">
        <w:t>4.1</w:t>
      </w:r>
      <w:r w:rsidRPr="00571510">
        <w:tab/>
      </w:r>
      <w:r w:rsidR="007255CC" w:rsidRPr="00571510">
        <w:t>БРЭ в соответствии с Резолюцией 31 (Пересм. Кигали, 2022 г.) ВКРЭ организовало следующие региональные подготовительные собрания (РПС) в каждом регионе</w:t>
      </w:r>
      <w:r w:rsidRPr="00571510">
        <w:t>:</w:t>
      </w:r>
    </w:p>
    <w:tbl>
      <w:tblPr>
        <w:tblStyle w:val="TableGrid"/>
        <w:tblW w:w="0" w:type="auto"/>
        <w:tblLook w:val="04A0" w:firstRow="1" w:lastRow="0" w:firstColumn="1" w:lastColumn="0" w:noHBand="0" w:noVBand="1"/>
      </w:tblPr>
      <w:tblGrid>
        <w:gridCol w:w="1129"/>
        <w:gridCol w:w="2127"/>
        <w:gridCol w:w="1984"/>
        <w:gridCol w:w="1384"/>
        <w:gridCol w:w="2835"/>
      </w:tblGrid>
      <w:tr w:rsidR="009D1A16" w:rsidRPr="00571510" w14:paraId="09143101" w14:textId="37810D29" w:rsidTr="0036076B">
        <w:tc>
          <w:tcPr>
            <w:tcW w:w="1129" w:type="dxa"/>
            <w:vAlign w:val="center"/>
          </w:tcPr>
          <w:p w14:paraId="4C590DEF" w14:textId="0CA32CEA" w:rsidR="009D1A16" w:rsidRPr="00571510" w:rsidRDefault="009D1A16" w:rsidP="00753EC0">
            <w:pPr>
              <w:pStyle w:val="Tablehead"/>
            </w:pPr>
            <w:r w:rsidRPr="00571510">
              <w:t>Регион</w:t>
            </w:r>
          </w:p>
        </w:tc>
        <w:tc>
          <w:tcPr>
            <w:tcW w:w="2127" w:type="dxa"/>
            <w:vAlign w:val="center"/>
          </w:tcPr>
          <w:p w14:paraId="0F7870A1" w14:textId="160407EC" w:rsidR="009D1A16" w:rsidRPr="00571510" w:rsidRDefault="009D1A16" w:rsidP="00753EC0">
            <w:pPr>
              <w:pStyle w:val="Tablehead"/>
            </w:pPr>
            <w:r w:rsidRPr="00571510">
              <w:t>Даты</w:t>
            </w:r>
            <w:r w:rsidR="007255CC" w:rsidRPr="00571510">
              <w:t xml:space="preserve"> (2025 г.)</w:t>
            </w:r>
          </w:p>
        </w:tc>
        <w:tc>
          <w:tcPr>
            <w:tcW w:w="1984" w:type="dxa"/>
            <w:vAlign w:val="center"/>
          </w:tcPr>
          <w:p w14:paraId="1A858C0F" w14:textId="5A21C482" w:rsidR="009D1A16" w:rsidRPr="00571510" w:rsidRDefault="009D1A16" w:rsidP="00753EC0">
            <w:pPr>
              <w:pStyle w:val="Tablehead"/>
            </w:pPr>
            <w:r w:rsidRPr="00571510">
              <w:t>Город и</w:t>
            </w:r>
            <w:r w:rsidR="00C42307" w:rsidRPr="00571510">
              <w:t> </w:t>
            </w:r>
            <w:r w:rsidRPr="00571510">
              <w:t>принимающая страна</w:t>
            </w:r>
          </w:p>
        </w:tc>
        <w:tc>
          <w:tcPr>
            <w:tcW w:w="1384" w:type="dxa"/>
            <w:vAlign w:val="center"/>
          </w:tcPr>
          <w:p w14:paraId="105ADE70" w14:textId="3FD25E1C" w:rsidR="009D1A16" w:rsidRPr="00571510" w:rsidRDefault="007255CC" w:rsidP="00753EC0">
            <w:pPr>
              <w:pStyle w:val="Tablehead"/>
            </w:pPr>
            <w:r w:rsidRPr="00571510">
              <w:t xml:space="preserve">Отчет </w:t>
            </w:r>
            <w:r w:rsidR="009D1A16" w:rsidRPr="00571510">
              <w:t>РПС</w:t>
            </w:r>
          </w:p>
        </w:tc>
        <w:tc>
          <w:tcPr>
            <w:tcW w:w="2835" w:type="dxa"/>
          </w:tcPr>
          <w:p w14:paraId="6CE2A526" w14:textId="43B425FE" w:rsidR="009D1A16" w:rsidRPr="00571510" w:rsidRDefault="007255CC" w:rsidP="00753EC0">
            <w:pPr>
              <w:pStyle w:val="Tablehead"/>
            </w:pPr>
            <w:r w:rsidRPr="00571510">
              <w:rPr>
                <w:bCs/>
                <w:color w:val="000000"/>
              </w:rPr>
              <w:t>Видеоматериалы, посвященные выполнению Кигалийского плана действий</w:t>
            </w:r>
          </w:p>
        </w:tc>
      </w:tr>
      <w:tr w:rsidR="007255CC" w:rsidRPr="00571510" w14:paraId="6FBFED2D" w14:textId="4DE6990B" w:rsidTr="0036076B">
        <w:tc>
          <w:tcPr>
            <w:tcW w:w="1129" w:type="dxa"/>
          </w:tcPr>
          <w:p w14:paraId="66A89D52" w14:textId="264A42B9" w:rsidR="007255CC" w:rsidRPr="00571510" w:rsidRDefault="007255CC" w:rsidP="007255CC">
            <w:pPr>
              <w:pStyle w:val="Tabletext"/>
            </w:pPr>
            <w:r w:rsidRPr="00571510">
              <w:t>РПС-АРБ</w:t>
            </w:r>
          </w:p>
        </w:tc>
        <w:tc>
          <w:tcPr>
            <w:tcW w:w="2127" w:type="dxa"/>
          </w:tcPr>
          <w:p w14:paraId="6DA84833" w14:textId="0B378A6A" w:rsidR="007255CC" w:rsidRPr="00571510" w:rsidRDefault="007255CC" w:rsidP="00571510">
            <w:pPr>
              <w:pStyle w:val="Tabletext"/>
              <w:jc w:val="center"/>
            </w:pPr>
            <w:r w:rsidRPr="00571510">
              <w:t>4</w:t>
            </w:r>
            <w:r w:rsidRPr="00571510">
              <w:sym w:font="Symbol" w:char="F02D"/>
            </w:r>
            <w:r w:rsidRPr="00571510">
              <w:t>5 февраля</w:t>
            </w:r>
          </w:p>
        </w:tc>
        <w:tc>
          <w:tcPr>
            <w:tcW w:w="1984" w:type="dxa"/>
          </w:tcPr>
          <w:p w14:paraId="6BE6BE91" w14:textId="1D5E5149" w:rsidR="007255CC" w:rsidRPr="00571510" w:rsidRDefault="007255CC" w:rsidP="00571510">
            <w:pPr>
              <w:pStyle w:val="Tabletext"/>
              <w:jc w:val="center"/>
            </w:pPr>
            <w:r w:rsidRPr="00571510">
              <w:t>Амман, Иордания</w:t>
            </w:r>
          </w:p>
        </w:tc>
        <w:tc>
          <w:tcPr>
            <w:tcW w:w="1384" w:type="dxa"/>
          </w:tcPr>
          <w:p w14:paraId="0E29AC34" w14:textId="71F02F92" w:rsidR="007255CC" w:rsidRPr="00571510" w:rsidRDefault="007255CC" w:rsidP="00577133">
            <w:pPr>
              <w:pStyle w:val="Tabletext"/>
              <w:jc w:val="center"/>
              <w:rPr>
                <w:rStyle w:val="Hyperlink"/>
              </w:rPr>
            </w:pPr>
            <w:hyperlink r:id="rId38" w:history="1">
              <w:r w:rsidRPr="00571510">
                <w:rPr>
                  <w:rStyle w:val="Hyperlink"/>
                </w:rPr>
                <w:t>Отчет</w:t>
              </w:r>
            </w:hyperlink>
          </w:p>
        </w:tc>
        <w:tc>
          <w:tcPr>
            <w:tcW w:w="2835" w:type="dxa"/>
          </w:tcPr>
          <w:p w14:paraId="228A06C0" w14:textId="53DA7BEB" w:rsidR="007255CC" w:rsidRPr="00571510" w:rsidRDefault="007255CC" w:rsidP="00577133">
            <w:pPr>
              <w:pStyle w:val="Tabletext"/>
              <w:jc w:val="center"/>
            </w:pPr>
            <w:hyperlink r:id="rId39" w:history="1">
              <w:r w:rsidRPr="00571510">
                <w:rPr>
                  <w:rStyle w:val="Hyperlink"/>
                  <w:rFonts w:cstheme="minorHAnsi"/>
                  <w:szCs w:val="22"/>
                </w:rPr>
                <w:t>Видео</w:t>
              </w:r>
            </w:hyperlink>
          </w:p>
        </w:tc>
      </w:tr>
      <w:tr w:rsidR="007255CC" w:rsidRPr="00571510" w14:paraId="182266FA" w14:textId="2431BFBB" w:rsidTr="0036076B">
        <w:tc>
          <w:tcPr>
            <w:tcW w:w="1129" w:type="dxa"/>
          </w:tcPr>
          <w:p w14:paraId="30FAD095" w14:textId="1967C3AD" w:rsidR="007255CC" w:rsidRPr="00571510" w:rsidRDefault="007255CC" w:rsidP="007255CC">
            <w:pPr>
              <w:pStyle w:val="Tabletext"/>
            </w:pPr>
            <w:r w:rsidRPr="00571510">
              <w:t>РПС-ЕВР</w:t>
            </w:r>
          </w:p>
        </w:tc>
        <w:tc>
          <w:tcPr>
            <w:tcW w:w="2127" w:type="dxa"/>
          </w:tcPr>
          <w:p w14:paraId="2120BA13" w14:textId="6CC5B91B" w:rsidR="007255CC" w:rsidRPr="00571510" w:rsidRDefault="007255CC" w:rsidP="00571510">
            <w:pPr>
              <w:pStyle w:val="Tabletext"/>
              <w:jc w:val="center"/>
            </w:pPr>
            <w:r w:rsidRPr="00571510">
              <w:t>25</w:t>
            </w:r>
            <w:r w:rsidRPr="00571510">
              <w:sym w:font="Symbol" w:char="F02D"/>
            </w:r>
            <w:r w:rsidRPr="00571510">
              <w:t>26 февраля</w:t>
            </w:r>
          </w:p>
        </w:tc>
        <w:tc>
          <w:tcPr>
            <w:tcW w:w="1984" w:type="dxa"/>
          </w:tcPr>
          <w:p w14:paraId="7F8F2B7D" w14:textId="3FDA4B1B" w:rsidR="007255CC" w:rsidRPr="00571510" w:rsidRDefault="007255CC" w:rsidP="00571510">
            <w:pPr>
              <w:pStyle w:val="Tabletext"/>
              <w:jc w:val="center"/>
            </w:pPr>
            <w:r w:rsidRPr="00571510">
              <w:t>Будапешт, Венгрия</w:t>
            </w:r>
          </w:p>
        </w:tc>
        <w:tc>
          <w:tcPr>
            <w:tcW w:w="1384" w:type="dxa"/>
          </w:tcPr>
          <w:p w14:paraId="32844A47" w14:textId="7CFCC571" w:rsidR="007255CC" w:rsidRPr="00571510" w:rsidRDefault="007255CC" w:rsidP="00577133">
            <w:pPr>
              <w:pStyle w:val="Tabletext"/>
              <w:jc w:val="center"/>
              <w:rPr>
                <w:rStyle w:val="Hyperlink"/>
              </w:rPr>
            </w:pPr>
            <w:hyperlink r:id="rId40" w:history="1">
              <w:r w:rsidRPr="00571510">
                <w:rPr>
                  <w:rStyle w:val="Hyperlink"/>
                </w:rPr>
                <w:t>Отчет</w:t>
              </w:r>
            </w:hyperlink>
          </w:p>
        </w:tc>
        <w:tc>
          <w:tcPr>
            <w:tcW w:w="2835" w:type="dxa"/>
          </w:tcPr>
          <w:p w14:paraId="23952374" w14:textId="0A169F01" w:rsidR="007255CC" w:rsidRPr="00571510" w:rsidRDefault="007255CC" w:rsidP="00577133">
            <w:pPr>
              <w:pStyle w:val="Tabletext"/>
              <w:jc w:val="center"/>
            </w:pPr>
            <w:hyperlink r:id="rId41" w:history="1">
              <w:r w:rsidRPr="00571510">
                <w:rPr>
                  <w:rStyle w:val="Hyperlink"/>
                  <w:rFonts w:cstheme="minorHAnsi"/>
                  <w:szCs w:val="22"/>
                </w:rPr>
                <w:t>Видео</w:t>
              </w:r>
            </w:hyperlink>
          </w:p>
        </w:tc>
      </w:tr>
      <w:tr w:rsidR="007255CC" w:rsidRPr="00571510" w14:paraId="3AF17CB4" w14:textId="2B7DEDA9" w:rsidTr="0036076B">
        <w:tc>
          <w:tcPr>
            <w:tcW w:w="1129" w:type="dxa"/>
          </w:tcPr>
          <w:p w14:paraId="7AD54ED9" w14:textId="349A5400" w:rsidR="007255CC" w:rsidRPr="00571510" w:rsidRDefault="007255CC" w:rsidP="007255CC">
            <w:pPr>
              <w:pStyle w:val="Tabletext"/>
            </w:pPr>
            <w:r w:rsidRPr="00571510">
              <w:t>РПС-АТР</w:t>
            </w:r>
          </w:p>
        </w:tc>
        <w:tc>
          <w:tcPr>
            <w:tcW w:w="2127" w:type="dxa"/>
          </w:tcPr>
          <w:p w14:paraId="643EC65A" w14:textId="785B2E47" w:rsidR="007255CC" w:rsidRPr="00571510" w:rsidRDefault="007255CC" w:rsidP="00571510">
            <w:pPr>
              <w:pStyle w:val="Tabletext"/>
              <w:jc w:val="center"/>
            </w:pPr>
            <w:r w:rsidRPr="00571510">
              <w:t>20</w:t>
            </w:r>
            <w:r w:rsidRPr="00571510">
              <w:sym w:font="Symbol" w:char="F02D"/>
            </w:r>
            <w:r w:rsidRPr="00571510">
              <w:t>21 марта</w:t>
            </w:r>
          </w:p>
        </w:tc>
        <w:tc>
          <w:tcPr>
            <w:tcW w:w="1984" w:type="dxa"/>
          </w:tcPr>
          <w:p w14:paraId="574C5DB6" w14:textId="40912F07" w:rsidR="007255CC" w:rsidRPr="00571510" w:rsidRDefault="007255CC" w:rsidP="00571510">
            <w:pPr>
              <w:pStyle w:val="Tabletext"/>
              <w:jc w:val="center"/>
            </w:pPr>
            <w:r w:rsidRPr="00571510">
              <w:t>Бангкок, Таиланд</w:t>
            </w:r>
          </w:p>
        </w:tc>
        <w:tc>
          <w:tcPr>
            <w:tcW w:w="1384" w:type="dxa"/>
          </w:tcPr>
          <w:p w14:paraId="27B3E1FD" w14:textId="1E4752BE" w:rsidR="007255CC" w:rsidRPr="00571510" w:rsidRDefault="007255CC" w:rsidP="00577133">
            <w:pPr>
              <w:pStyle w:val="Tabletext"/>
              <w:jc w:val="center"/>
              <w:rPr>
                <w:rStyle w:val="Hyperlink"/>
              </w:rPr>
            </w:pPr>
            <w:hyperlink r:id="rId42" w:history="1">
              <w:r w:rsidRPr="00571510">
                <w:rPr>
                  <w:rStyle w:val="Hyperlink"/>
                </w:rPr>
                <w:t>Отчет</w:t>
              </w:r>
            </w:hyperlink>
          </w:p>
        </w:tc>
        <w:tc>
          <w:tcPr>
            <w:tcW w:w="2835" w:type="dxa"/>
          </w:tcPr>
          <w:p w14:paraId="1913420A" w14:textId="166A7ED5" w:rsidR="007255CC" w:rsidRPr="00571510" w:rsidRDefault="007255CC" w:rsidP="00577133">
            <w:pPr>
              <w:pStyle w:val="Tabletext"/>
              <w:jc w:val="center"/>
            </w:pPr>
            <w:hyperlink r:id="rId43">
              <w:r w:rsidRPr="00571510">
                <w:rPr>
                  <w:rStyle w:val="Hyperlink"/>
                  <w:rFonts w:cstheme="minorHAnsi"/>
                  <w:szCs w:val="22"/>
                </w:rPr>
                <w:t>Видео</w:t>
              </w:r>
            </w:hyperlink>
          </w:p>
        </w:tc>
      </w:tr>
      <w:tr w:rsidR="007255CC" w:rsidRPr="00571510" w14:paraId="4670C98C" w14:textId="12D944B7" w:rsidTr="0036076B">
        <w:tc>
          <w:tcPr>
            <w:tcW w:w="1129" w:type="dxa"/>
          </w:tcPr>
          <w:p w14:paraId="5D49DE67" w14:textId="71421EAD" w:rsidR="007255CC" w:rsidRPr="00571510" w:rsidRDefault="007255CC" w:rsidP="007255CC">
            <w:pPr>
              <w:pStyle w:val="Tabletext"/>
            </w:pPr>
            <w:r w:rsidRPr="00571510">
              <w:t>РПС-АМР</w:t>
            </w:r>
          </w:p>
        </w:tc>
        <w:tc>
          <w:tcPr>
            <w:tcW w:w="2127" w:type="dxa"/>
          </w:tcPr>
          <w:p w14:paraId="75E60D86" w14:textId="5D0B422B" w:rsidR="007255CC" w:rsidRPr="00571510" w:rsidRDefault="007255CC" w:rsidP="00571510">
            <w:pPr>
              <w:pStyle w:val="Tabletext"/>
              <w:jc w:val="center"/>
            </w:pPr>
            <w:proofErr w:type="gramStart"/>
            <w:r w:rsidRPr="00571510">
              <w:t>1−2</w:t>
            </w:r>
            <w:proofErr w:type="gramEnd"/>
            <w:r w:rsidRPr="00571510">
              <w:t xml:space="preserve"> апреля</w:t>
            </w:r>
          </w:p>
        </w:tc>
        <w:tc>
          <w:tcPr>
            <w:tcW w:w="1984" w:type="dxa"/>
          </w:tcPr>
          <w:p w14:paraId="15A1D467" w14:textId="5E454D55" w:rsidR="007255CC" w:rsidRPr="00571510" w:rsidRDefault="007255CC" w:rsidP="00571510">
            <w:pPr>
              <w:pStyle w:val="Tabletext"/>
              <w:jc w:val="center"/>
            </w:pPr>
            <w:r w:rsidRPr="00571510">
              <w:t>Асунсьон, Парагвай</w:t>
            </w:r>
          </w:p>
        </w:tc>
        <w:tc>
          <w:tcPr>
            <w:tcW w:w="1384" w:type="dxa"/>
          </w:tcPr>
          <w:p w14:paraId="7C5E3DAB" w14:textId="350BD14C" w:rsidR="007255CC" w:rsidRPr="00571510" w:rsidRDefault="007255CC" w:rsidP="00577133">
            <w:pPr>
              <w:pStyle w:val="Tabletext"/>
              <w:jc w:val="center"/>
            </w:pPr>
            <w:hyperlink r:id="rId44" w:tgtFrame="_blank" w:history="1">
              <w:r w:rsidRPr="00571510">
                <w:rPr>
                  <w:rStyle w:val="Hyperlink"/>
                </w:rPr>
                <w:t>Отчет</w:t>
              </w:r>
            </w:hyperlink>
          </w:p>
        </w:tc>
        <w:tc>
          <w:tcPr>
            <w:tcW w:w="2835" w:type="dxa"/>
          </w:tcPr>
          <w:p w14:paraId="342DD41B" w14:textId="5765559B" w:rsidR="007255CC" w:rsidRPr="00571510" w:rsidRDefault="007255CC" w:rsidP="00577133">
            <w:pPr>
              <w:pStyle w:val="Tabletext"/>
              <w:jc w:val="center"/>
            </w:pPr>
            <w:hyperlink r:id="rId45" w:history="1">
              <w:r w:rsidRPr="00571510">
                <w:rPr>
                  <w:rStyle w:val="Hyperlink"/>
                  <w:rFonts w:cstheme="minorHAnsi"/>
                  <w:szCs w:val="22"/>
                </w:rPr>
                <w:t>Видео</w:t>
              </w:r>
            </w:hyperlink>
          </w:p>
        </w:tc>
      </w:tr>
      <w:tr w:rsidR="007255CC" w:rsidRPr="00571510" w14:paraId="140A9616" w14:textId="5D2EEF6A" w:rsidTr="0036076B">
        <w:tc>
          <w:tcPr>
            <w:tcW w:w="1129" w:type="dxa"/>
          </w:tcPr>
          <w:p w14:paraId="6FF0E695" w14:textId="646CCFD0" w:rsidR="007255CC" w:rsidRPr="00571510" w:rsidRDefault="007255CC" w:rsidP="007255CC">
            <w:pPr>
              <w:pStyle w:val="Tabletext"/>
            </w:pPr>
            <w:r w:rsidRPr="00571510">
              <w:t>РПС-АФР</w:t>
            </w:r>
          </w:p>
        </w:tc>
        <w:tc>
          <w:tcPr>
            <w:tcW w:w="2127" w:type="dxa"/>
          </w:tcPr>
          <w:p w14:paraId="07CAE375" w14:textId="13F64683" w:rsidR="007255CC" w:rsidRPr="00571510" w:rsidRDefault="007255CC" w:rsidP="00571510">
            <w:pPr>
              <w:pStyle w:val="Tabletext"/>
              <w:jc w:val="center"/>
            </w:pPr>
            <w:r w:rsidRPr="00571510">
              <w:t>8</w:t>
            </w:r>
            <w:r w:rsidRPr="00571510">
              <w:sym w:font="Symbol" w:char="F02D"/>
            </w:r>
            <w:r w:rsidRPr="00571510">
              <w:t>9 апреля</w:t>
            </w:r>
          </w:p>
        </w:tc>
        <w:tc>
          <w:tcPr>
            <w:tcW w:w="1984" w:type="dxa"/>
          </w:tcPr>
          <w:p w14:paraId="0D84C6C4" w14:textId="469C57E8" w:rsidR="007255CC" w:rsidRPr="00571510" w:rsidRDefault="007255CC" w:rsidP="00571510">
            <w:pPr>
              <w:pStyle w:val="Tabletext"/>
              <w:jc w:val="center"/>
            </w:pPr>
            <w:r w:rsidRPr="00571510">
              <w:t>Найроби, Кения</w:t>
            </w:r>
          </w:p>
        </w:tc>
        <w:tc>
          <w:tcPr>
            <w:tcW w:w="1384" w:type="dxa"/>
          </w:tcPr>
          <w:p w14:paraId="39C9F6B7" w14:textId="58E7C275" w:rsidR="007255CC" w:rsidRPr="00571510" w:rsidRDefault="007255CC" w:rsidP="00577133">
            <w:pPr>
              <w:pStyle w:val="Tabletext"/>
              <w:jc w:val="center"/>
            </w:pPr>
            <w:hyperlink r:id="rId46" w:tgtFrame="_blank" w:history="1">
              <w:r w:rsidRPr="00571510">
                <w:rPr>
                  <w:rStyle w:val="Hyperlink"/>
                </w:rPr>
                <w:t>Отчет</w:t>
              </w:r>
            </w:hyperlink>
          </w:p>
        </w:tc>
        <w:tc>
          <w:tcPr>
            <w:tcW w:w="2835" w:type="dxa"/>
          </w:tcPr>
          <w:p w14:paraId="6CA3AD04" w14:textId="2BCCC099" w:rsidR="007255CC" w:rsidRPr="00571510" w:rsidRDefault="007255CC" w:rsidP="00577133">
            <w:pPr>
              <w:pStyle w:val="Tabletext"/>
              <w:jc w:val="center"/>
            </w:pPr>
            <w:hyperlink r:id="rId47" w:history="1">
              <w:r w:rsidRPr="00571510">
                <w:rPr>
                  <w:rStyle w:val="Hyperlink"/>
                  <w:rFonts w:cstheme="minorHAnsi"/>
                  <w:szCs w:val="22"/>
                </w:rPr>
                <w:t>Видео</w:t>
              </w:r>
            </w:hyperlink>
          </w:p>
        </w:tc>
      </w:tr>
      <w:tr w:rsidR="007255CC" w:rsidRPr="00571510" w14:paraId="70CCAC80" w14:textId="5E3167CA" w:rsidTr="0036076B">
        <w:tc>
          <w:tcPr>
            <w:tcW w:w="1129" w:type="dxa"/>
          </w:tcPr>
          <w:p w14:paraId="07E4A238" w14:textId="3EC25EA0" w:rsidR="007255CC" w:rsidRPr="00571510" w:rsidRDefault="007255CC" w:rsidP="007255CC">
            <w:pPr>
              <w:pStyle w:val="Tabletext"/>
            </w:pPr>
            <w:r w:rsidRPr="00571510">
              <w:t>РПС-СНГ</w:t>
            </w:r>
          </w:p>
        </w:tc>
        <w:tc>
          <w:tcPr>
            <w:tcW w:w="2127" w:type="dxa"/>
          </w:tcPr>
          <w:p w14:paraId="692FE2E8" w14:textId="69FBCFBA" w:rsidR="007255CC" w:rsidRPr="00571510" w:rsidRDefault="007255CC" w:rsidP="00571510">
            <w:pPr>
              <w:pStyle w:val="Tabletext"/>
              <w:jc w:val="center"/>
            </w:pPr>
            <w:r w:rsidRPr="00571510">
              <w:t>24</w:t>
            </w:r>
            <w:r w:rsidRPr="00571510">
              <w:sym w:font="Symbol" w:char="F02D"/>
            </w:r>
            <w:r w:rsidRPr="00571510">
              <w:t>25 апреля</w:t>
            </w:r>
          </w:p>
        </w:tc>
        <w:tc>
          <w:tcPr>
            <w:tcW w:w="1984" w:type="dxa"/>
          </w:tcPr>
          <w:p w14:paraId="6D20D0B2" w14:textId="57E8FEC3" w:rsidR="007255CC" w:rsidRPr="00571510" w:rsidRDefault="007255CC" w:rsidP="00571510">
            <w:pPr>
              <w:pStyle w:val="Tabletext"/>
              <w:jc w:val="center"/>
            </w:pPr>
            <w:r w:rsidRPr="00571510">
              <w:t>Бишкек, Кыргызстан</w:t>
            </w:r>
          </w:p>
        </w:tc>
        <w:tc>
          <w:tcPr>
            <w:tcW w:w="1384" w:type="dxa"/>
          </w:tcPr>
          <w:p w14:paraId="1EF32484" w14:textId="5C7CA610" w:rsidR="007255CC" w:rsidRPr="00571510" w:rsidRDefault="007255CC" w:rsidP="00577133">
            <w:pPr>
              <w:pStyle w:val="Tabletext"/>
              <w:jc w:val="center"/>
            </w:pPr>
            <w:hyperlink r:id="rId48" w:history="1">
              <w:r w:rsidRPr="00571510">
                <w:rPr>
                  <w:rStyle w:val="Hyperlink"/>
                </w:rPr>
                <w:t>Отчет</w:t>
              </w:r>
            </w:hyperlink>
          </w:p>
        </w:tc>
        <w:tc>
          <w:tcPr>
            <w:tcW w:w="2835" w:type="dxa"/>
          </w:tcPr>
          <w:p w14:paraId="28679B9B" w14:textId="12D01B6E" w:rsidR="007255CC" w:rsidRPr="00571510" w:rsidRDefault="007255CC" w:rsidP="00577133">
            <w:pPr>
              <w:pStyle w:val="Tabletext"/>
              <w:jc w:val="center"/>
            </w:pPr>
            <w:hyperlink r:id="rId49" w:history="1">
              <w:r w:rsidRPr="00571510">
                <w:rPr>
                  <w:rStyle w:val="Hyperlink"/>
                  <w:rFonts w:cstheme="minorHAnsi"/>
                  <w:szCs w:val="22"/>
                </w:rPr>
                <w:t>Видео</w:t>
              </w:r>
            </w:hyperlink>
          </w:p>
        </w:tc>
      </w:tr>
    </w:tbl>
    <w:p w14:paraId="4FFF47A6" w14:textId="1E4853D2" w:rsidR="007255CC" w:rsidRPr="00571510" w:rsidRDefault="007255CC" w:rsidP="00577133">
      <w:r w:rsidRPr="00571510">
        <w:t>4.2</w:t>
      </w:r>
      <w:r w:rsidRPr="00571510">
        <w:tab/>
        <w:t xml:space="preserve">С </w:t>
      </w:r>
      <w:proofErr w:type="gramStart"/>
      <w:r w:rsidRPr="00571510">
        <w:t>тем</w:t>
      </w:r>
      <w:proofErr w:type="gramEnd"/>
      <w:r w:rsidRPr="00571510">
        <w:t xml:space="preserve"> чтобы содействовать региональной координации в преддверии Конференции, РПС привлекли к процессу подготовки к ВКРЭ членов в каждом регионе. РПС имели целью определить приоритеты на региональном уровне, направленные на обеспечение развития электросвязи и информационно-коммуникационных технологий (ИКТ).</w:t>
      </w:r>
    </w:p>
    <w:p w14:paraId="0F6C8572" w14:textId="21298091" w:rsidR="007255CC" w:rsidRPr="00571510" w:rsidRDefault="007255CC" w:rsidP="00577133">
      <w:r w:rsidRPr="00571510">
        <w:t>4.3</w:t>
      </w:r>
      <w:r w:rsidRPr="00571510">
        <w:tab/>
        <w:t>На всех РПС были тщательно рассмотрены результаты выполнения Кигалийского плана действий с 2023 года. В ходе дискуссий основное внимание уделялось приоритетным проблемам, темам и вопросам, а также региональным инициативам, которые следует рассмотреть для включения в Бакинский план действий (</w:t>
      </w:r>
      <w:proofErr w:type="spellStart"/>
      <w:r w:rsidRPr="00571510">
        <w:t>БПД</w:t>
      </w:r>
      <w:proofErr w:type="spellEnd"/>
      <w:r w:rsidRPr="00571510">
        <w:t>).</w:t>
      </w:r>
    </w:p>
    <w:p w14:paraId="51482D98" w14:textId="441A3082" w:rsidR="007255CC" w:rsidRPr="00571510" w:rsidRDefault="007255CC" w:rsidP="00577133">
      <w:r w:rsidRPr="00571510">
        <w:t>4.4</w:t>
      </w:r>
      <w:r w:rsidRPr="00571510">
        <w:tab/>
        <w:t xml:space="preserve">Для дополнительного информирования участников дискуссий на РПС БРЭ подготовило специальную серию ведущих публикаций МСЭ "Измерение цифрового развития – факты и цифры", посвященную </w:t>
      </w:r>
      <w:hyperlink r:id="rId50" w:history="1">
        <w:r w:rsidRPr="00571510">
          <w:rPr>
            <w:rStyle w:val="Hyperlink"/>
          </w:rPr>
          <w:t>состоянию цифрового развития, а также тенденциям, проблемам и возможностям в регионах МСЭ</w:t>
        </w:r>
      </w:hyperlink>
      <w:r w:rsidRPr="00571510">
        <w:t>.</w:t>
      </w:r>
    </w:p>
    <w:p w14:paraId="590A0F7C" w14:textId="5E890493" w:rsidR="007255CC" w:rsidRPr="00571510" w:rsidRDefault="007255CC" w:rsidP="00577133">
      <w:r w:rsidRPr="00571510">
        <w:t>4.5</w:t>
      </w:r>
      <w:r w:rsidRPr="00571510">
        <w:tab/>
        <w:t xml:space="preserve">К РПС было приурочено проведение шести </w:t>
      </w:r>
      <w:hyperlink r:id="rId51" w:history="1">
        <w:r w:rsidRPr="00571510">
          <w:rPr>
            <w:rStyle w:val="Hyperlink"/>
          </w:rPr>
          <w:t>региональных форумов по вопросам развития</w:t>
        </w:r>
      </w:hyperlink>
      <w:r w:rsidRPr="00571510">
        <w:t xml:space="preserve"> (РФР). РФР предоставляют возможность для диалога на высоком уровне между БРЭ, Государствами-Членами и Членами Сектора МСЭ-D, в первую очередь по вопросам реализации региональных инициатив и Кигалийского плана действий.</w:t>
      </w:r>
    </w:p>
    <w:p w14:paraId="7200FE22" w14:textId="01E3BADF" w:rsidR="007255CC" w:rsidRPr="00571510" w:rsidRDefault="007255CC" w:rsidP="00577133">
      <w:r w:rsidRPr="00571510">
        <w:t>4.6</w:t>
      </w:r>
      <w:r w:rsidRPr="00571510">
        <w:tab/>
        <w:t>Благодаря подготовительной работе, проведенной в РГ КГРЭ в период 2024–2025 годов, на всех шести РПС были представлены следующие ключевые документы для внесения дополнительных входных документов:</w:t>
      </w:r>
    </w:p>
    <w:p w14:paraId="2B224262" w14:textId="0CCC8939" w:rsidR="007255CC" w:rsidRPr="00571510" w:rsidRDefault="00577133" w:rsidP="00577133">
      <w:pPr>
        <w:pStyle w:val="enumlev1"/>
      </w:pPr>
      <w:r w:rsidRPr="00571510">
        <w:t>−</w:t>
      </w:r>
      <w:r w:rsidRPr="00571510">
        <w:tab/>
        <w:t xml:space="preserve">предварительный </w:t>
      </w:r>
      <w:r w:rsidR="007255CC" w:rsidRPr="00571510">
        <w:t xml:space="preserve">проект вклада МСЭ-D в Стратегический план МСЭ на </w:t>
      </w:r>
      <w:proofErr w:type="gramStart"/>
      <w:r w:rsidR="007255CC" w:rsidRPr="00571510">
        <w:t>2028−2031</w:t>
      </w:r>
      <w:proofErr w:type="gramEnd"/>
      <w:r w:rsidR="007255CC" w:rsidRPr="00571510">
        <w:t> годы и проект Плана действий МСЭ-D;</w:t>
      </w:r>
    </w:p>
    <w:p w14:paraId="5C596FF5" w14:textId="4551AF93" w:rsidR="007255CC" w:rsidRPr="00571510" w:rsidRDefault="00577133" w:rsidP="00577133">
      <w:pPr>
        <w:pStyle w:val="enumlev1"/>
      </w:pPr>
      <w:r w:rsidRPr="00571510">
        <w:t>−</w:t>
      </w:r>
      <w:r w:rsidRPr="00571510">
        <w:tab/>
        <w:t xml:space="preserve">предварительный </w:t>
      </w:r>
      <w:r w:rsidR="007255CC" w:rsidRPr="00571510">
        <w:t>проект Декларации ВКРЭ-25;</w:t>
      </w:r>
    </w:p>
    <w:p w14:paraId="6E28F958" w14:textId="1B606316" w:rsidR="007255CC" w:rsidRPr="00571510" w:rsidRDefault="00577133" w:rsidP="00577133">
      <w:pPr>
        <w:pStyle w:val="enumlev1"/>
      </w:pPr>
      <w:r w:rsidRPr="00571510">
        <w:t>−</w:t>
      </w:r>
      <w:r w:rsidRPr="00571510">
        <w:tab/>
        <w:t xml:space="preserve">предлагаемые </w:t>
      </w:r>
      <w:r w:rsidR="007255CC" w:rsidRPr="00571510">
        <w:t>будущие Вопросы исследовательских комиссий;</w:t>
      </w:r>
    </w:p>
    <w:p w14:paraId="34F2A206" w14:textId="2BE9490F" w:rsidR="007255CC" w:rsidRPr="00571510" w:rsidRDefault="00577133" w:rsidP="00577133">
      <w:pPr>
        <w:pStyle w:val="enumlev1"/>
      </w:pPr>
      <w:r w:rsidRPr="00571510">
        <w:t>−</w:t>
      </w:r>
      <w:r w:rsidRPr="00571510">
        <w:tab/>
      </w:r>
      <w:r w:rsidR="007255CC" w:rsidRPr="00571510">
        <w:t>Правила процедуры МСЭ-D (Резолюция 1 ВКРЭ);</w:t>
      </w:r>
    </w:p>
    <w:p w14:paraId="5B3EA029" w14:textId="114B74A8" w:rsidR="007255CC" w:rsidRPr="00571510" w:rsidRDefault="00577133" w:rsidP="00577133">
      <w:pPr>
        <w:pStyle w:val="enumlev1"/>
      </w:pPr>
      <w:r w:rsidRPr="00571510">
        <w:t>−</w:t>
      </w:r>
      <w:r w:rsidRPr="00571510">
        <w:tab/>
        <w:t xml:space="preserve">отчет </w:t>
      </w:r>
      <w:r w:rsidR="007255CC" w:rsidRPr="00571510">
        <w:t>об упорядочении Резолюций ВКРЭ.</w:t>
      </w:r>
    </w:p>
    <w:p w14:paraId="0C9338E3" w14:textId="7C5CFEFD" w:rsidR="007255CC" w:rsidRPr="00571510" w:rsidRDefault="007255CC" w:rsidP="00577133">
      <w:r w:rsidRPr="00571510">
        <w:t>4.7</w:t>
      </w:r>
      <w:r w:rsidRPr="00571510">
        <w:tab/>
        <w:t xml:space="preserve">Все РПС подготовили комплекс предложений по региональным приоритетам и темам для соответствующих регионов, которые послужат основой для разработки вкладов для ВКРЭ-25, где будут рассмотрены области деятельности МСЭ-D, которая будет осуществляться в ходе цикла </w:t>
      </w:r>
      <w:proofErr w:type="gramStart"/>
      <w:r w:rsidRPr="00571510">
        <w:t>2026−2028</w:t>
      </w:r>
      <w:proofErr w:type="gramEnd"/>
      <w:r w:rsidRPr="00571510">
        <w:t xml:space="preserve"> годов.</w:t>
      </w:r>
    </w:p>
    <w:p w14:paraId="06FA16D6" w14:textId="2D789404" w:rsidR="007255CC" w:rsidRPr="00571510" w:rsidRDefault="007255CC" w:rsidP="00577133">
      <w:r w:rsidRPr="00571510">
        <w:t>4.8</w:t>
      </w:r>
      <w:r w:rsidRPr="00571510">
        <w:tab/>
      </w:r>
      <w:r w:rsidRPr="00571510">
        <w:rPr>
          <w:b/>
          <w:bCs/>
        </w:rPr>
        <w:t>РПС для арабских государств (РПС-АРБ)</w:t>
      </w:r>
      <w:r w:rsidRPr="00571510">
        <w:t xml:space="preserve"> было организовано БРЭ </w:t>
      </w:r>
      <w:proofErr w:type="gramStart"/>
      <w:r w:rsidRPr="00571510">
        <w:t>4−5</w:t>
      </w:r>
      <w:proofErr w:type="gramEnd"/>
      <w:r w:rsidRPr="00571510">
        <w:t xml:space="preserve"> февраля 2025 года в Аммане, Иордания, по приглашению Комиссии по регулированию электросвязи Иорданского Хашимитского Королевства.</w:t>
      </w:r>
    </w:p>
    <w:p w14:paraId="434AD653" w14:textId="1378A45C" w:rsidR="007255CC" w:rsidRPr="00571510" w:rsidRDefault="007255CC" w:rsidP="00577133">
      <w:r w:rsidRPr="00571510">
        <w:lastRenderedPageBreak/>
        <w:t>4.9</w:t>
      </w:r>
      <w:r w:rsidRPr="00571510">
        <w:tab/>
        <w:t>Одним из главных результатов РПС-АРБ стало согласование шести региональных приоритетов, которые будут далее обсуждаться и уточняться в ходе подготовки к ВКРЭ-25, с тем чтобы их можно было представить ВКРЭ для рассмотрения и принятия в качестве региональных инициатив. К ним относятся:</w:t>
      </w:r>
    </w:p>
    <w:p w14:paraId="290D0C0A" w14:textId="77B157E4" w:rsidR="007255CC" w:rsidRPr="00571510" w:rsidRDefault="007255CC" w:rsidP="00577133">
      <w:pPr>
        <w:pStyle w:val="enumlev1"/>
      </w:pPr>
      <w:r w:rsidRPr="00571510">
        <w:t>1</w:t>
      </w:r>
      <w:r w:rsidR="00577133" w:rsidRPr="00571510">
        <w:t>)</w:t>
      </w:r>
      <w:r w:rsidR="00577133" w:rsidRPr="00571510">
        <w:tab/>
      </w:r>
      <w:r w:rsidRPr="00571510">
        <w:t>Трансформация конкретных секторов: устойчивое цифровое будущее;</w:t>
      </w:r>
    </w:p>
    <w:p w14:paraId="7493A5F5" w14:textId="09BCDA8D" w:rsidR="007255CC" w:rsidRPr="00571510" w:rsidRDefault="007255CC" w:rsidP="00577133">
      <w:pPr>
        <w:pStyle w:val="enumlev1"/>
      </w:pPr>
      <w:r w:rsidRPr="00571510">
        <w:t>2</w:t>
      </w:r>
      <w:r w:rsidR="00577133" w:rsidRPr="00571510">
        <w:t>)</w:t>
      </w:r>
      <w:r w:rsidR="00577133" w:rsidRPr="00571510">
        <w:tab/>
      </w:r>
      <w:r w:rsidRPr="00571510">
        <w:t>Инфраструктура и возможность установления соединений;</w:t>
      </w:r>
    </w:p>
    <w:p w14:paraId="5F52AF66" w14:textId="186E3AD5" w:rsidR="007255CC" w:rsidRPr="00571510" w:rsidRDefault="007255CC" w:rsidP="00577133">
      <w:pPr>
        <w:pStyle w:val="enumlev1"/>
      </w:pPr>
      <w:r w:rsidRPr="00571510">
        <w:t>3</w:t>
      </w:r>
      <w:r w:rsidR="00577133" w:rsidRPr="00571510">
        <w:t>)</w:t>
      </w:r>
      <w:r w:rsidR="00577133" w:rsidRPr="00571510">
        <w:tab/>
      </w:r>
      <w:r w:rsidRPr="00571510">
        <w:t>Содействие экономическому развитию и расширению охвата цифровыми технологиями;</w:t>
      </w:r>
    </w:p>
    <w:p w14:paraId="021FBE97" w14:textId="35583FCA" w:rsidR="007255CC" w:rsidRPr="00571510" w:rsidRDefault="007255CC" w:rsidP="00577133">
      <w:pPr>
        <w:pStyle w:val="enumlev1"/>
      </w:pPr>
      <w:r w:rsidRPr="00571510">
        <w:t>4</w:t>
      </w:r>
      <w:r w:rsidR="00577133" w:rsidRPr="00571510">
        <w:t>)</w:t>
      </w:r>
      <w:r w:rsidR="00577133" w:rsidRPr="00571510">
        <w:tab/>
      </w:r>
      <w:r w:rsidRPr="00571510">
        <w:t>Развитие навыков и создание рабочих мест;</w:t>
      </w:r>
    </w:p>
    <w:p w14:paraId="16DF54DD" w14:textId="543B61CC" w:rsidR="007255CC" w:rsidRPr="00571510" w:rsidRDefault="007255CC" w:rsidP="00577133">
      <w:pPr>
        <w:pStyle w:val="enumlev1"/>
      </w:pPr>
      <w:r w:rsidRPr="00571510">
        <w:t>5</w:t>
      </w:r>
      <w:r w:rsidR="00577133" w:rsidRPr="00571510">
        <w:t>)</w:t>
      </w:r>
      <w:r w:rsidR="00577133" w:rsidRPr="00571510">
        <w:tab/>
      </w:r>
      <w:r w:rsidRPr="00571510">
        <w:t>Укрепление киберустойчивости в регионе арабских государств;</w:t>
      </w:r>
    </w:p>
    <w:p w14:paraId="10C769FF" w14:textId="2B58CB56" w:rsidR="007255CC" w:rsidRPr="00571510" w:rsidRDefault="007255CC" w:rsidP="00577133">
      <w:pPr>
        <w:pStyle w:val="enumlev1"/>
      </w:pPr>
      <w:r w:rsidRPr="00571510">
        <w:t>6</w:t>
      </w:r>
      <w:r w:rsidR="00577133" w:rsidRPr="00571510">
        <w:t>)</w:t>
      </w:r>
      <w:r w:rsidR="00577133" w:rsidRPr="00571510">
        <w:tab/>
      </w:r>
      <w:r w:rsidRPr="00571510">
        <w:t>Инновационные экосистемы и появляющиеся технологии.</w:t>
      </w:r>
    </w:p>
    <w:p w14:paraId="4D3A1F99" w14:textId="1B2260C9" w:rsidR="007255CC" w:rsidRPr="00571510" w:rsidRDefault="007255CC" w:rsidP="00577133">
      <w:r w:rsidRPr="00571510">
        <w:t>4.10</w:t>
      </w:r>
      <w:r w:rsidRPr="00571510">
        <w:tab/>
      </w:r>
      <w:r w:rsidRPr="00571510">
        <w:rPr>
          <w:b/>
          <w:bCs/>
        </w:rPr>
        <w:t>РПС для Европейского региона (РПС-ЕВР)</w:t>
      </w:r>
      <w:r w:rsidRPr="00571510">
        <w:t xml:space="preserve"> было организовано БРЭ 25–26 февраля 2025 года в Будапеште, Венгрия, и проведено Национальным управлением средств массовой информации и инфокоммуникаций Венгрии.</w:t>
      </w:r>
    </w:p>
    <w:p w14:paraId="49DB00C1" w14:textId="27A8766B" w:rsidR="007255CC" w:rsidRPr="00571510" w:rsidRDefault="007255CC" w:rsidP="00577133">
      <w:r w:rsidRPr="00571510">
        <w:t>4.11</w:t>
      </w:r>
      <w:r w:rsidRPr="00571510">
        <w:tab/>
        <w:t>Собрание приняло следующие региональные инициативы:</w:t>
      </w:r>
    </w:p>
    <w:p w14:paraId="71B8D396" w14:textId="654926F0" w:rsidR="007255CC" w:rsidRPr="00571510" w:rsidRDefault="00577133" w:rsidP="00577133">
      <w:pPr>
        <w:pStyle w:val="enumlev1"/>
      </w:pPr>
      <w:r w:rsidRPr="00571510">
        <w:t>−</w:t>
      </w:r>
      <w:r w:rsidRPr="00571510">
        <w:tab/>
      </w:r>
      <w:proofErr w:type="spellStart"/>
      <w:r w:rsidR="007255CC" w:rsidRPr="00571510">
        <w:rPr>
          <w:b/>
          <w:bCs/>
        </w:rPr>
        <w:t>EUR1</w:t>
      </w:r>
      <w:proofErr w:type="spellEnd"/>
      <w:r w:rsidR="007255CC" w:rsidRPr="00571510">
        <w:rPr>
          <w:b/>
          <w:bCs/>
        </w:rPr>
        <w:t>: Развитие цифровой инфраструктуры</w:t>
      </w:r>
      <w:r w:rsidR="007255CC" w:rsidRPr="00571510">
        <w:t>. Задача данной инициативы – содействовать обеспечению универсальной и реальной возможности установления соединений путем развития устойчивой и взаимодополняющей инфраструктуры и благоприятной среды, обеспечивая при этом повсеместное покрытие.</w:t>
      </w:r>
    </w:p>
    <w:p w14:paraId="5A9A1BC6" w14:textId="249E5882" w:rsidR="007255CC" w:rsidRPr="00571510" w:rsidRDefault="00577133" w:rsidP="00577133">
      <w:pPr>
        <w:pStyle w:val="enumlev1"/>
      </w:pPr>
      <w:r w:rsidRPr="00571510">
        <w:t>−</w:t>
      </w:r>
      <w:r w:rsidRPr="00571510">
        <w:tab/>
      </w:r>
      <w:proofErr w:type="spellStart"/>
      <w:r w:rsidR="007255CC" w:rsidRPr="00571510">
        <w:rPr>
          <w:b/>
          <w:bCs/>
        </w:rPr>
        <w:t>EUR2</w:t>
      </w:r>
      <w:proofErr w:type="spellEnd"/>
      <w:r w:rsidR="007255CC" w:rsidRPr="00571510">
        <w:rPr>
          <w:b/>
          <w:bCs/>
        </w:rPr>
        <w:t>: Цифровая трансформация для обеспечения устойчивости</w:t>
      </w:r>
      <w:r w:rsidR="007255CC" w:rsidRPr="00571510">
        <w:t>. Задача данной инициативы – содействовать процессам цифровизации услуг в различных секторах (сельское хозяйство, здравоохранение, государственные услуги, образование), в том числе в государственных администрациях, для обеспечения большей устойчивости при реагировании на сложные ситуации, включая проблемы пандемий, стихийных бедствий или кризисов, вызванных деятельностью человека.</w:t>
      </w:r>
    </w:p>
    <w:p w14:paraId="6528658D" w14:textId="69B64293" w:rsidR="007255CC" w:rsidRPr="00571510" w:rsidRDefault="00577133" w:rsidP="00577133">
      <w:pPr>
        <w:pStyle w:val="enumlev1"/>
      </w:pPr>
      <w:r w:rsidRPr="00571510">
        <w:t>−</w:t>
      </w:r>
      <w:r w:rsidRPr="00571510">
        <w:tab/>
      </w:r>
      <w:proofErr w:type="spellStart"/>
      <w:r w:rsidR="007255CC" w:rsidRPr="00571510">
        <w:rPr>
          <w:b/>
          <w:bCs/>
        </w:rPr>
        <w:t>EUR3</w:t>
      </w:r>
      <w:proofErr w:type="spellEnd"/>
      <w:r w:rsidR="007255CC" w:rsidRPr="00571510">
        <w:rPr>
          <w:b/>
          <w:bCs/>
        </w:rPr>
        <w:t>: Охват цифровыми технологиями и развитие цифровых навыков</w:t>
      </w:r>
      <w:r w:rsidR="007255CC" w:rsidRPr="00571510">
        <w:t>. Задача этой инициативы состоит в том, чтобы содействовать справедливому доступу к информационно-коммуникационным технологиям (ИКТ) и необходимым цифровым навыкам для всех групп общества, включая лиц с ограниченными возможностями и лиц с особыми потребностями, а также женщин и молодежь, для того чтобы они могли воспользоваться преимуществами электросвязи/ИКТ.</w:t>
      </w:r>
    </w:p>
    <w:p w14:paraId="59CCBE45" w14:textId="1024E8F5" w:rsidR="007255CC" w:rsidRPr="00571510" w:rsidRDefault="00577133" w:rsidP="00577133">
      <w:pPr>
        <w:pStyle w:val="enumlev1"/>
      </w:pPr>
      <w:r w:rsidRPr="00571510">
        <w:t>−</w:t>
      </w:r>
      <w:r w:rsidRPr="00571510">
        <w:tab/>
      </w:r>
      <w:proofErr w:type="spellStart"/>
      <w:r w:rsidR="007255CC" w:rsidRPr="00571510">
        <w:rPr>
          <w:b/>
          <w:bCs/>
        </w:rPr>
        <w:t>EUR4</w:t>
      </w:r>
      <w:proofErr w:type="spellEnd"/>
      <w:r w:rsidR="007255CC" w:rsidRPr="00571510">
        <w:rPr>
          <w:b/>
          <w:bCs/>
        </w:rPr>
        <w:t>: Уверенность и доверие при использовании электросвязи/информационно-коммуникационных технологий</w:t>
      </w:r>
      <w:r w:rsidR="007255CC" w:rsidRPr="00571510">
        <w:t>. Задача этой инициативы заключается в то, чтобы поддерживать развертывание устойчивой инфраструктуры и защищенных услуг электросвязи/ИКТ, позволяющих всем гражданам, в особенности детям, уверенно использовать электросвязь/информационно-коммуникационные технологии (ИКТ) в своей повседневной жизни.</w:t>
      </w:r>
    </w:p>
    <w:p w14:paraId="1EAC340F" w14:textId="7309B387" w:rsidR="007255CC" w:rsidRPr="00571510" w:rsidRDefault="00577133" w:rsidP="00577133">
      <w:pPr>
        <w:pStyle w:val="enumlev1"/>
      </w:pPr>
      <w:r w:rsidRPr="00571510">
        <w:t>−</w:t>
      </w:r>
      <w:r w:rsidRPr="00571510">
        <w:tab/>
      </w:r>
      <w:proofErr w:type="spellStart"/>
      <w:r w:rsidR="007255CC" w:rsidRPr="00571510">
        <w:rPr>
          <w:b/>
          <w:bCs/>
        </w:rPr>
        <w:t>EUR5</w:t>
      </w:r>
      <w:proofErr w:type="spellEnd"/>
      <w:r w:rsidR="007255CC" w:rsidRPr="00571510">
        <w:rPr>
          <w:b/>
          <w:bCs/>
        </w:rPr>
        <w:t>: Экосистемы цифровых инноваций</w:t>
      </w:r>
      <w:r w:rsidR="007255CC" w:rsidRPr="00571510">
        <w:t>. Задача инициативы – содействовать развитию обстановки, способствующей инновациям и предпринимательству в рамках системных подходов, основанных на цифровых технологиях электросвязи/информационно-коммуникационных технологиях (ИКТ) и направленных на сокращение растущего разрыва в цифровых инновациях в регионе.</w:t>
      </w:r>
    </w:p>
    <w:p w14:paraId="4F55F8DE" w14:textId="4675E740" w:rsidR="007255CC" w:rsidRPr="00571510" w:rsidRDefault="007255CC" w:rsidP="00577133">
      <w:r w:rsidRPr="00571510">
        <w:t>4.12</w:t>
      </w:r>
      <w:r w:rsidRPr="00571510">
        <w:tab/>
      </w:r>
      <w:r w:rsidRPr="00571510">
        <w:rPr>
          <w:b/>
          <w:bCs/>
        </w:rPr>
        <w:t>РПС для Азиатско-Тихоокеанского региона (РПС-АТР)</w:t>
      </w:r>
      <w:r w:rsidRPr="00571510">
        <w:t xml:space="preserve"> было организовано БРЭ 20–21 марта 2025 года в Бангкоке, Таиланд, по приглашению Национальной комиссии по радиовещанию и электросвязи (NBTC) Таиланда.</w:t>
      </w:r>
    </w:p>
    <w:p w14:paraId="30393930" w14:textId="007934BE" w:rsidR="007255CC" w:rsidRPr="00571510" w:rsidRDefault="007255CC" w:rsidP="00577133">
      <w:r w:rsidRPr="00571510">
        <w:t>4.13</w:t>
      </w:r>
      <w:r w:rsidRPr="00571510">
        <w:tab/>
        <w:t>Была создана Редакционная группа по региональным инициативам для Азиатско-Тихоокеанского региона на цикл 2026–2029 годов, которая ведет работу на основе вкладов, полученных от Государств-Членов. Были приняты следующие региональные инициативы:</w:t>
      </w:r>
    </w:p>
    <w:p w14:paraId="1E53A66E" w14:textId="62EA4F20" w:rsidR="007255CC" w:rsidRPr="00571510" w:rsidRDefault="00577133" w:rsidP="00577133">
      <w:pPr>
        <w:pStyle w:val="enumlev1"/>
      </w:pPr>
      <w:r w:rsidRPr="00571510">
        <w:lastRenderedPageBreak/>
        <w:t>−</w:t>
      </w:r>
      <w:r w:rsidRPr="00571510">
        <w:tab/>
      </w:r>
      <w:proofErr w:type="spellStart"/>
      <w:r w:rsidR="007255CC" w:rsidRPr="00571510">
        <w:rPr>
          <w:b/>
          <w:bCs/>
        </w:rPr>
        <w:t>ASP1</w:t>
      </w:r>
      <w:proofErr w:type="spellEnd"/>
      <w:r w:rsidR="007255CC" w:rsidRPr="00571510">
        <w:t>: Рассмотрение особых потребностей наименее развитых стран, малых островных развивающихся государств, включая островные государства Тихого океана, и развивающихся стран, не имеющих выхода к морю.</w:t>
      </w:r>
    </w:p>
    <w:p w14:paraId="0A248216" w14:textId="51EA692C" w:rsidR="007255CC" w:rsidRPr="00571510" w:rsidRDefault="00577133" w:rsidP="00577133">
      <w:pPr>
        <w:pStyle w:val="enumlev1"/>
      </w:pPr>
      <w:r w:rsidRPr="00571510">
        <w:t>−</w:t>
      </w:r>
      <w:r w:rsidRPr="00571510">
        <w:tab/>
      </w:r>
      <w:proofErr w:type="spellStart"/>
      <w:r w:rsidR="007255CC" w:rsidRPr="00571510">
        <w:rPr>
          <w:b/>
          <w:bCs/>
        </w:rPr>
        <w:t>ASP2</w:t>
      </w:r>
      <w:proofErr w:type="spellEnd"/>
      <w:r w:rsidR="007255CC" w:rsidRPr="00571510">
        <w:t>: Использование электросвязи/ИКТ для поддержки всеохватной и устойчивой цифровой трансформации.</w:t>
      </w:r>
    </w:p>
    <w:p w14:paraId="359F3B58" w14:textId="28D1A210" w:rsidR="007255CC" w:rsidRPr="00571510" w:rsidRDefault="00577133" w:rsidP="00577133">
      <w:pPr>
        <w:pStyle w:val="enumlev1"/>
      </w:pPr>
      <w:r w:rsidRPr="00571510">
        <w:t>−</w:t>
      </w:r>
      <w:r w:rsidRPr="00571510">
        <w:tab/>
      </w:r>
      <w:proofErr w:type="spellStart"/>
      <w:r w:rsidR="007255CC" w:rsidRPr="00571510">
        <w:rPr>
          <w:b/>
          <w:bCs/>
        </w:rPr>
        <w:t>ASP3</w:t>
      </w:r>
      <w:proofErr w:type="spellEnd"/>
      <w:r w:rsidR="007255CC" w:rsidRPr="00571510">
        <w:t>: Содействие развитию инфраструктуры для расширения возможностей установления цифровых соединений и подключения тех, кто не подключен.</w:t>
      </w:r>
    </w:p>
    <w:p w14:paraId="38B45F09" w14:textId="0D431AEE" w:rsidR="007255CC" w:rsidRPr="00571510" w:rsidRDefault="00577133" w:rsidP="00577133">
      <w:pPr>
        <w:pStyle w:val="enumlev1"/>
      </w:pPr>
      <w:r w:rsidRPr="00571510">
        <w:t>−</w:t>
      </w:r>
      <w:r w:rsidRPr="00571510">
        <w:tab/>
      </w:r>
      <w:proofErr w:type="spellStart"/>
      <w:r w:rsidR="007255CC" w:rsidRPr="00571510">
        <w:rPr>
          <w:b/>
          <w:bCs/>
        </w:rPr>
        <w:t>ASP4</w:t>
      </w:r>
      <w:proofErr w:type="spellEnd"/>
      <w:r w:rsidR="007255CC" w:rsidRPr="00571510">
        <w:t>: Создание условий для инновационного и устойчивого сектора электросвязи/ИКТ.</w:t>
      </w:r>
    </w:p>
    <w:p w14:paraId="7AAE9B5B" w14:textId="626CCB24" w:rsidR="007255CC" w:rsidRPr="00571510" w:rsidRDefault="00577133" w:rsidP="00577133">
      <w:pPr>
        <w:pStyle w:val="enumlev1"/>
      </w:pPr>
      <w:r w:rsidRPr="00571510">
        <w:t>−</w:t>
      </w:r>
      <w:r w:rsidRPr="00571510">
        <w:tab/>
      </w:r>
      <w:proofErr w:type="spellStart"/>
      <w:r w:rsidR="007255CC" w:rsidRPr="00571510">
        <w:rPr>
          <w:b/>
          <w:bCs/>
        </w:rPr>
        <w:t>ASP5</w:t>
      </w:r>
      <w:proofErr w:type="spellEnd"/>
      <w:r w:rsidR="007255CC" w:rsidRPr="00571510">
        <w:t>: Поддержка безопасной, защищенной и способной к восстановлению среды электросвязи/ИКТ.</w:t>
      </w:r>
    </w:p>
    <w:p w14:paraId="178AF004" w14:textId="3E051AD6" w:rsidR="007255CC" w:rsidRPr="00571510" w:rsidRDefault="007255CC" w:rsidP="00577133">
      <w:r w:rsidRPr="00571510">
        <w:t>4.14</w:t>
      </w:r>
      <w:r w:rsidRPr="00571510">
        <w:tab/>
      </w:r>
      <w:r w:rsidRPr="00571510">
        <w:rPr>
          <w:b/>
          <w:bCs/>
        </w:rPr>
        <w:t>РПС для региона Северной и Южной Америки (РПС-АМР)</w:t>
      </w:r>
      <w:r w:rsidRPr="00571510">
        <w:t xml:space="preserve"> было проведено БРЭ 1–2 апреля 2025 года в Асунсьоне, Парагвай, по приглашению Национальной комиссии по электросвязи (</w:t>
      </w:r>
      <w:proofErr w:type="spellStart"/>
      <w:r w:rsidRPr="00571510">
        <w:t>CONATEL</w:t>
      </w:r>
      <w:proofErr w:type="spellEnd"/>
      <w:r w:rsidRPr="00571510">
        <w:t>) Парагвая.</w:t>
      </w:r>
    </w:p>
    <w:p w14:paraId="482689F7" w14:textId="7F060BC4" w:rsidR="007255CC" w:rsidRPr="00571510" w:rsidRDefault="007255CC" w:rsidP="00577133">
      <w:r w:rsidRPr="00571510">
        <w:t>4.15</w:t>
      </w:r>
      <w:r w:rsidRPr="00571510">
        <w:tab/>
        <w:t>Была создана Редакционная группа по региональным инициативам для региона Северной и Южной Америки на цикл 2026–2029 годов, которая ведет работу на основе вкладов, полученных от Государств-Членов. Были приняты следующие региональные инициативы:</w:t>
      </w:r>
    </w:p>
    <w:p w14:paraId="0987B1A2" w14:textId="0EFE0344" w:rsidR="007255CC" w:rsidRPr="00571510" w:rsidRDefault="00577133" w:rsidP="00577133">
      <w:pPr>
        <w:pStyle w:val="enumlev1"/>
      </w:pPr>
      <w:r w:rsidRPr="00571510">
        <w:t>−</w:t>
      </w:r>
      <w:r w:rsidRPr="00571510">
        <w:tab/>
      </w:r>
      <w:proofErr w:type="spellStart"/>
      <w:r w:rsidR="007255CC" w:rsidRPr="00571510">
        <w:rPr>
          <w:b/>
          <w:bCs/>
        </w:rPr>
        <w:t>AMS1</w:t>
      </w:r>
      <w:proofErr w:type="spellEnd"/>
      <w:r w:rsidR="007255CC" w:rsidRPr="00571510">
        <w:t>: Содействие созданию устойчивой инфраструктуры для обеспечения универсальной и реальной возможности установления соединений.</w:t>
      </w:r>
    </w:p>
    <w:p w14:paraId="35B652B8" w14:textId="41D010FC" w:rsidR="007255CC" w:rsidRPr="00571510" w:rsidRDefault="00577133" w:rsidP="00577133">
      <w:pPr>
        <w:pStyle w:val="enumlev1"/>
      </w:pPr>
      <w:r w:rsidRPr="00571510">
        <w:t>−</w:t>
      </w:r>
      <w:r w:rsidRPr="00571510">
        <w:tab/>
      </w:r>
      <w:proofErr w:type="spellStart"/>
      <w:r w:rsidR="007255CC" w:rsidRPr="00571510">
        <w:rPr>
          <w:b/>
          <w:bCs/>
        </w:rPr>
        <w:t>AMS2</w:t>
      </w:r>
      <w:proofErr w:type="spellEnd"/>
      <w:r w:rsidR="007255CC" w:rsidRPr="00571510">
        <w:t>: Охват цифровыми технологиями, цифровые навыки/компетенции.</w:t>
      </w:r>
    </w:p>
    <w:p w14:paraId="2E901F88" w14:textId="66285FBF" w:rsidR="007255CC" w:rsidRPr="00571510" w:rsidRDefault="00577133" w:rsidP="00577133">
      <w:pPr>
        <w:pStyle w:val="enumlev1"/>
      </w:pPr>
      <w:r w:rsidRPr="00571510">
        <w:t>−</w:t>
      </w:r>
      <w:r w:rsidRPr="00571510">
        <w:tab/>
      </w:r>
      <w:proofErr w:type="spellStart"/>
      <w:r w:rsidR="007255CC" w:rsidRPr="00571510">
        <w:rPr>
          <w:b/>
          <w:bCs/>
        </w:rPr>
        <w:t>AMS3</w:t>
      </w:r>
      <w:proofErr w:type="spellEnd"/>
      <w:r w:rsidR="007255CC" w:rsidRPr="00571510">
        <w:t>: Поддержка инновационных цифровых экосистем, а также внедрения и использования появляющихся технологий.</w:t>
      </w:r>
    </w:p>
    <w:p w14:paraId="6A167135" w14:textId="35EE182D" w:rsidR="007255CC" w:rsidRPr="00571510" w:rsidRDefault="00577133" w:rsidP="00577133">
      <w:pPr>
        <w:pStyle w:val="enumlev1"/>
      </w:pPr>
      <w:r w:rsidRPr="00571510">
        <w:t>−</w:t>
      </w:r>
      <w:r w:rsidRPr="00571510">
        <w:tab/>
      </w:r>
      <w:proofErr w:type="spellStart"/>
      <w:r w:rsidR="007255CC" w:rsidRPr="00571510">
        <w:rPr>
          <w:b/>
          <w:bCs/>
        </w:rPr>
        <w:t>AMS4</w:t>
      </w:r>
      <w:proofErr w:type="spellEnd"/>
      <w:r w:rsidR="007255CC" w:rsidRPr="00571510">
        <w:t>: Содействие киберустойчивости и созданию потенциала в области кибербезопасности и киберустойчивости.</w:t>
      </w:r>
    </w:p>
    <w:p w14:paraId="7A01DF0F" w14:textId="0A223E82" w:rsidR="007255CC" w:rsidRPr="00571510" w:rsidRDefault="00577133" w:rsidP="00577133">
      <w:pPr>
        <w:pStyle w:val="enumlev1"/>
      </w:pPr>
      <w:r w:rsidRPr="00571510">
        <w:t>−</w:t>
      </w:r>
      <w:r w:rsidRPr="00571510">
        <w:tab/>
      </w:r>
      <w:proofErr w:type="spellStart"/>
      <w:r w:rsidR="007255CC" w:rsidRPr="00571510">
        <w:rPr>
          <w:b/>
          <w:bCs/>
        </w:rPr>
        <w:t>AMS5</w:t>
      </w:r>
      <w:proofErr w:type="spellEnd"/>
      <w:r w:rsidR="007255CC" w:rsidRPr="00571510">
        <w:t>: Управление и благоприятная нормативно-правовая база для устойчивой цифровой трансформации.</w:t>
      </w:r>
    </w:p>
    <w:p w14:paraId="34D7365D" w14:textId="2AC34A2B" w:rsidR="007255CC" w:rsidRPr="00571510" w:rsidRDefault="007255CC" w:rsidP="00577133">
      <w:r w:rsidRPr="00571510">
        <w:t>4.16</w:t>
      </w:r>
      <w:r w:rsidRPr="00571510">
        <w:tab/>
      </w:r>
      <w:r w:rsidRPr="00571510">
        <w:rPr>
          <w:b/>
          <w:bCs/>
        </w:rPr>
        <w:t>РПС к ВКРЭ-25 для Африки (РПС-АФР)</w:t>
      </w:r>
      <w:r w:rsidRPr="00571510">
        <w:t xml:space="preserve"> было организовано БРЭ 8–9 апреля 2025 года в Найроби, Кения, по приглашению Управления связи Кении.</w:t>
      </w:r>
    </w:p>
    <w:p w14:paraId="3F4D67A0" w14:textId="41A4E2CB" w:rsidR="007255CC" w:rsidRPr="00571510" w:rsidRDefault="007255CC" w:rsidP="00577133">
      <w:r w:rsidRPr="00571510">
        <w:t>4.17</w:t>
      </w:r>
      <w:r w:rsidRPr="00571510">
        <w:tab/>
        <w:t>Была создана Редакционная группа по региональным инициативам для Африканского региона на цикл 2026–2029 годов, которая ведет работу на основе вкладов, полученных от Государств-Членов. Были приняты следующие региональные инициативы:</w:t>
      </w:r>
    </w:p>
    <w:p w14:paraId="178D36CD" w14:textId="48F29DB4" w:rsidR="007255CC" w:rsidRPr="00571510" w:rsidRDefault="00577133" w:rsidP="00577133">
      <w:pPr>
        <w:pStyle w:val="enumlev1"/>
        <w:rPr>
          <w:bCs/>
        </w:rPr>
      </w:pPr>
      <w:r w:rsidRPr="00571510">
        <w:t>−</w:t>
      </w:r>
      <w:r w:rsidRPr="00571510">
        <w:tab/>
      </w:r>
      <w:proofErr w:type="spellStart"/>
      <w:r w:rsidR="007255CC" w:rsidRPr="00571510">
        <w:rPr>
          <w:b/>
          <w:bCs/>
        </w:rPr>
        <w:t>AFR1</w:t>
      </w:r>
      <w:proofErr w:type="spellEnd"/>
      <w:r w:rsidR="007255CC" w:rsidRPr="00571510">
        <w:t>: Реальная возможность установления соединений и устойчивая инфраструктура – для устойчивого развития, включая электросвязь в чрезвычайных ситуациях и системы раннего предупреждения о различных видах бедствий в Африканском регионе.</w:t>
      </w:r>
    </w:p>
    <w:p w14:paraId="1F7C0980" w14:textId="1E98D916" w:rsidR="007255CC" w:rsidRPr="00571510" w:rsidRDefault="00577133" w:rsidP="00577133">
      <w:pPr>
        <w:pStyle w:val="enumlev1"/>
        <w:rPr>
          <w:b/>
          <w:bCs/>
        </w:rPr>
      </w:pPr>
      <w:r w:rsidRPr="00571510">
        <w:t>−</w:t>
      </w:r>
      <w:r w:rsidRPr="00571510">
        <w:tab/>
      </w:r>
      <w:proofErr w:type="spellStart"/>
      <w:r w:rsidR="007255CC" w:rsidRPr="00571510">
        <w:rPr>
          <w:b/>
          <w:bCs/>
        </w:rPr>
        <w:t>AFR2</w:t>
      </w:r>
      <w:proofErr w:type="spellEnd"/>
      <w:r w:rsidR="007255CC" w:rsidRPr="00571510">
        <w:t>: Создание открытой для всех надежной экосистемы ИИ в Африке в интересах социально-экономического развития.</w:t>
      </w:r>
    </w:p>
    <w:p w14:paraId="748541B9" w14:textId="68CCDA89" w:rsidR="007255CC" w:rsidRPr="00571510" w:rsidRDefault="00577133" w:rsidP="00577133">
      <w:pPr>
        <w:pStyle w:val="enumlev1"/>
      </w:pPr>
      <w:r w:rsidRPr="00571510">
        <w:t>−</w:t>
      </w:r>
      <w:r w:rsidRPr="00571510">
        <w:tab/>
      </w:r>
      <w:proofErr w:type="spellStart"/>
      <w:r w:rsidR="007255CC" w:rsidRPr="00571510">
        <w:rPr>
          <w:b/>
          <w:bCs/>
        </w:rPr>
        <w:t>AFR3</w:t>
      </w:r>
      <w:proofErr w:type="spellEnd"/>
      <w:r w:rsidR="007255CC" w:rsidRPr="00571510">
        <w:t>: Укрепление доверия, безопасности и защищенности при использовании электросвязи/информационно-коммуникационных технологий, защита данных и конфиденциальность данных.</w:t>
      </w:r>
    </w:p>
    <w:p w14:paraId="37374853" w14:textId="15E8A6CB" w:rsidR="007255CC" w:rsidRPr="00571510" w:rsidRDefault="00577133" w:rsidP="00577133">
      <w:pPr>
        <w:pStyle w:val="enumlev1"/>
      </w:pPr>
      <w:bookmarkStart w:id="10" w:name="_Hlk193377401"/>
      <w:r w:rsidRPr="00571510">
        <w:t>−</w:t>
      </w:r>
      <w:r w:rsidRPr="00571510">
        <w:tab/>
      </w:r>
      <w:proofErr w:type="spellStart"/>
      <w:r w:rsidR="007255CC" w:rsidRPr="00571510">
        <w:rPr>
          <w:b/>
          <w:bCs/>
        </w:rPr>
        <w:t>AFR4</w:t>
      </w:r>
      <w:proofErr w:type="spellEnd"/>
      <w:r w:rsidR="007255CC" w:rsidRPr="00571510">
        <w:t>: Приложения цифровой инфраструктуры, развитие МСП, а также появляющиеся технологии и инновационные экосистемы.</w:t>
      </w:r>
      <w:bookmarkEnd w:id="10"/>
    </w:p>
    <w:p w14:paraId="5EDE6434" w14:textId="1953783D" w:rsidR="007255CC" w:rsidRPr="00571510" w:rsidRDefault="00577133" w:rsidP="00577133">
      <w:pPr>
        <w:pStyle w:val="enumlev1"/>
      </w:pPr>
      <w:r w:rsidRPr="00571510">
        <w:t>−</w:t>
      </w:r>
      <w:r w:rsidRPr="00571510">
        <w:tab/>
      </w:r>
      <w:proofErr w:type="spellStart"/>
      <w:r w:rsidR="007255CC" w:rsidRPr="00571510">
        <w:rPr>
          <w:b/>
          <w:bCs/>
        </w:rPr>
        <w:t>AFR5</w:t>
      </w:r>
      <w:proofErr w:type="spellEnd"/>
      <w:r w:rsidR="007255CC" w:rsidRPr="00571510">
        <w:t>: Устойчивые механизмы финансирования цифровой трансформации Африки.</w:t>
      </w:r>
    </w:p>
    <w:p w14:paraId="14B706BF" w14:textId="4AE15E39" w:rsidR="007255CC" w:rsidRPr="00571510" w:rsidRDefault="007255CC" w:rsidP="00577133">
      <w:r w:rsidRPr="00571510">
        <w:t>4.18</w:t>
      </w:r>
      <w:r w:rsidRPr="00571510">
        <w:tab/>
      </w:r>
      <w:r w:rsidRPr="00571510">
        <w:rPr>
          <w:b/>
          <w:bCs/>
        </w:rPr>
        <w:t>РПС для региона СНГ (РПС-СНГ)</w:t>
      </w:r>
      <w:r w:rsidRPr="00571510">
        <w:t xml:space="preserve"> было организовано БРЭ 24–25 апреля 2025 года в Бишкеке, Кыргызская Республика, по приглашению Министерства цифрового развития и инновационных технологий Кыргызской Республики.</w:t>
      </w:r>
    </w:p>
    <w:p w14:paraId="4C8A776C" w14:textId="6D9F33F6" w:rsidR="007255CC" w:rsidRPr="00571510" w:rsidRDefault="007255CC" w:rsidP="00577133">
      <w:r w:rsidRPr="00571510">
        <w:lastRenderedPageBreak/>
        <w:t>4.19</w:t>
      </w:r>
      <w:r w:rsidRPr="00571510">
        <w:tab/>
        <w:t>Была создана Редакционная группа по региональным инициативам для СНГ на цикл 2026–2029 годов, которая ведет работу на основе вкладов, полученных от Государств-Членов. Были приняты следующие региональные инициативы:</w:t>
      </w:r>
    </w:p>
    <w:p w14:paraId="77144040" w14:textId="42DA98C2" w:rsidR="007255CC" w:rsidRPr="00571510" w:rsidRDefault="00577133" w:rsidP="00577133">
      <w:pPr>
        <w:pStyle w:val="enumlev1"/>
      </w:pPr>
      <w:r w:rsidRPr="00571510">
        <w:t>−</w:t>
      </w:r>
      <w:r w:rsidRPr="00571510">
        <w:tab/>
      </w:r>
      <w:proofErr w:type="spellStart"/>
      <w:r w:rsidR="007255CC" w:rsidRPr="00571510">
        <w:rPr>
          <w:b/>
          <w:bCs/>
        </w:rPr>
        <w:t>CIS1</w:t>
      </w:r>
      <w:proofErr w:type="spellEnd"/>
      <w:r w:rsidR="007255CC" w:rsidRPr="00571510">
        <w:t>: Внедрение новых и появляющихся систем и сетей электросвязи/ИКТ.</w:t>
      </w:r>
    </w:p>
    <w:p w14:paraId="5EF1C52B" w14:textId="170F591E" w:rsidR="007255CC" w:rsidRPr="00571510" w:rsidRDefault="00577133" w:rsidP="00577133">
      <w:pPr>
        <w:pStyle w:val="enumlev1"/>
      </w:pPr>
      <w:r w:rsidRPr="00571510">
        <w:t>−</w:t>
      </w:r>
      <w:r w:rsidRPr="00571510">
        <w:tab/>
      </w:r>
      <w:proofErr w:type="spellStart"/>
      <w:r w:rsidR="007255CC" w:rsidRPr="00571510">
        <w:rPr>
          <w:b/>
          <w:bCs/>
        </w:rPr>
        <w:t>CIS2</w:t>
      </w:r>
      <w:proofErr w:type="spellEnd"/>
      <w:r w:rsidR="007255CC" w:rsidRPr="00571510">
        <w:t>: Образование и навыки в области электросвязи/ИКТ, в том числе для лиц с ограниченными возможностями и специальными потребностями.</w:t>
      </w:r>
    </w:p>
    <w:p w14:paraId="7C25EE71" w14:textId="75534873" w:rsidR="007255CC" w:rsidRPr="00571510" w:rsidRDefault="00577133" w:rsidP="00577133">
      <w:pPr>
        <w:pStyle w:val="enumlev1"/>
      </w:pPr>
      <w:r w:rsidRPr="00571510">
        <w:t>−</w:t>
      </w:r>
      <w:r w:rsidRPr="00571510">
        <w:tab/>
      </w:r>
      <w:proofErr w:type="spellStart"/>
      <w:r w:rsidR="007255CC" w:rsidRPr="00571510">
        <w:rPr>
          <w:b/>
          <w:bCs/>
        </w:rPr>
        <w:t>CIS3</w:t>
      </w:r>
      <w:proofErr w:type="spellEnd"/>
      <w:r w:rsidR="007255CC" w:rsidRPr="00571510">
        <w:t>: Безопасность при использовании электросвязи/ИКТ, включая противодействие мошенничеству.</w:t>
      </w:r>
    </w:p>
    <w:p w14:paraId="56394D80" w14:textId="5FFC83A5" w:rsidR="007255CC" w:rsidRPr="00571510" w:rsidRDefault="00577133" w:rsidP="00577133">
      <w:pPr>
        <w:pStyle w:val="enumlev1"/>
      </w:pPr>
      <w:r w:rsidRPr="00571510">
        <w:t>−</w:t>
      </w:r>
      <w:r w:rsidRPr="00571510">
        <w:tab/>
      </w:r>
      <w:proofErr w:type="spellStart"/>
      <w:r w:rsidR="007255CC" w:rsidRPr="00571510">
        <w:rPr>
          <w:b/>
          <w:bCs/>
        </w:rPr>
        <w:t>CIS4</w:t>
      </w:r>
      <w:proofErr w:type="spellEnd"/>
      <w:r w:rsidR="007255CC" w:rsidRPr="00571510">
        <w:t>: Благоприятная среда и регулирование в области электросвязи/ИКТ.</w:t>
      </w:r>
    </w:p>
    <w:p w14:paraId="6F5F096E" w14:textId="44BE9F92" w:rsidR="007255CC" w:rsidRPr="00571510" w:rsidRDefault="00577133" w:rsidP="00577133">
      <w:pPr>
        <w:pStyle w:val="enumlev1"/>
      </w:pPr>
      <w:r w:rsidRPr="00571510">
        <w:t>−</w:t>
      </w:r>
      <w:r w:rsidRPr="00571510">
        <w:tab/>
      </w:r>
      <w:proofErr w:type="spellStart"/>
      <w:r w:rsidR="007255CC" w:rsidRPr="00571510">
        <w:rPr>
          <w:b/>
          <w:bCs/>
        </w:rPr>
        <w:t>CIS5</w:t>
      </w:r>
      <w:proofErr w:type="spellEnd"/>
      <w:r w:rsidR="007255CC" w:rsidRPr="00571510">
        <w:t>: Разработка и внедрение технологий искусственного интеллекта в целях развития.</w:t>
      </w:r>
    </w:p>
    <w:p w14:paraId="2BF9AA50" w14:textId="16AF29BF" w:rsidR="007255CC" w:rsidRPr="00571510" w:rsidRDefault="007255CC" w:rsidP="00577133">
      <w:r w:rsidRPr="00571510">
        <w:t>4.20</w:t>
      </w:r>
      <w:r w:rsidRPr="00571510">
        <w:tab/>
        <w:t xml:space="preserve">Все документы, касающиеся каждого РПС, включая приглашения, повестки дня собраний, полученные вклады и отчеты о собраниях, доступны на веб-сайте каждого мероприятия по адресу: </w:t>
      </w:r>
      <w:hyperlink r:id="rId52">
        <w:r w:rsidRPr="00571510">
          <w:rPr>
            <w:rStyle w:val="Hyperlink"/>
          </w:rPr>
          <w:t>www.itu.int/itu-d/meetings/wtdc25/rpm/home/</w:t>
        </w:r>
      </w:hyperlink>
      <w:r w:rsidRPr="00571510">
        <w:t>.</w:t>
      </w:r>
    </w:p>
    <w:p w14:paraId="24078187" w14:textId="590A786F" w:rsidR="007255CC" w:rsidRPr="00571510" w:rsidRDefault="007255CC" w:rsidP="00577133">
      <w:r w:rsidRPr="00571510">
        <w:t>4.21</w:t>
      </w:r>
      <w:r w:rsidRPr="00571510">
        <w:tab/>
        <w:t xml:space="preserve">Для рассмотрения отчетов шести РПС и представления сводного отчета на утверждение КГРЭ в соответствии с Резолюцией 31 (Пересм. Кигали, 2022 г.) ВКРЭ 12 мая 2025 года будет проведено Координационное собрание РПС в очном формате. </w:t>
      </w:r>
    </w:p>
    <w:p w14:paraId="4F00CFF0" w14:textId="01D6175D" w:rsidR="007255CC" w:rsidRPr="00571510" w:rsidRDefault="007255CC" w:rsidP="00577133">
      <w:r w:rsidRPr="00571510">
        <w:t>4.22</w:t>
      </w:r>
      <w:r w:rsidRPr="00571510">
        <w:tab/>
        <w:t>На основании сложившейся практики, ожидается, что КГРЭ-25 одобрит проведение двух межрегиональных собраний (МРС), которые планируется провести для подготовки к ВКРЭ, а именно:</w:t>
      </w:r>
    </w:p>
    <w:p w14:paraId="6D36175B" w14:textId="142B2149" w:rsidR="007255CC" w:rsidRPr="00571510" w:rsidRDefault="00577133" w:rsidP="00577133">
      <w:pPr>
        <w:pStyle w:val="enumlev1"/>
      </w:pPr>
      <w:r w:rsidRPr="00571510">
        <w:t>−</w:t>
      </w:r>
      <w:r w:rsidRPr="00571510">
        <w:tab/>
      </w:r>
      <w:r w:rsidR="007255CC" w:rsidRPr="00571510">
        <w:rPr>
          <w:b/>
          <w:bCs/>
        </w:rPr>
        <w:t>МРС-1</w:t>
      </w:r>
      <w:r w:rsidR="007255CC" w:rsidRPr="00571510">
        <w:t>: 14–15 июля 2025 года (виртуальный формат);</w:t>
      </w:r>
    </w:p>
    <w:p w14:paraId="4F2AF0D9" w14:textId="55A8B899" w:rsidR="007255CC" w:rsidRPr="00571510" w:rsidRDefault="00577133" w:rsidP="00577133">
      <w:pPr>
        <w:pStyle w:val="enumlev1"/>
      </w:pPr>
      <w:r w:rsidRPr="00571510">
        <w:t>−</w:t>
      </w:r>
      <w:r w:rsidRPr="00571510">
        <w:tab/>
      </w:r>
      <w:r w:rsidR="007255CC" w:rsidRPr="00571510">
        <w:rPr>
          <w:b/>
          <w:bCs/>
        </w:rPr>
        <w:t>МРС-2</w:t>
      </w:r>
      <w:r w:rsidR="007255CC" w:rsidRPr="00571510">
        <w:t xml:space="preserve">: </w:t>
      </w:r>
      <w:proofErr w:type="gramStart"/>
      <w:r w:rsidR="007255CC" w:rsidRPr="00571510">
        <w:t>29−30</w:t>
      </w:r>
      <w:proofErr w:type="gramEnd"/>
      <w:r w:rsidR="007255CC" w:rsidRPr="00571510">
        <w:t xml:space="preserve"> сентября 2025 года (виртуальный формат).</w:t>
      </w:r>
    </w:p>
    <w:p w14:paraId="3D669929" w14:textId="1142B66D" w:rsidR="007255CC" w:rsidRPr="00571510" w:rsidRDefault="007255CC" w:rsidP="00577133">
      <w:r w:rsidRPr="00571510">
        <w:t>4.23</w:t>
      </w:r>
      <w:r w:rsidRPr="00571510">
        <w:tab/>
        <w:t>В работе МРС могут принять участие все Члены МСЭ-D. Государствам-Членам также рекомендуется включать в свои делегации представителей регуляторных и директивных органов, гражданского общества, академических организаций, сообщества технических экспертов по вопросам интернета, молодежи, организаций по проблематике гендерного равенства и других.</w:t>
      </w:r>
    </w:p>
    <w:p w14:paraId="240E9C0D" w14:textId="5E0492C5" w:rsidR="007255CC" w:rsidRPr="00571510" w:rsidRDefault="007255CC" w:rsidP="00577133">
      <w:r w:rsidRPr="00571510">
        <w:t>4.24</w:t>
      </w:r>
      <w:r w:rsidRPr="00571510">
        <w:tab/>
        <w:t>Повестки дня МРС составляются на основе важнейших обсуждений, проходящих в рамках РПС, и могут включать предложения от Государств-Членов, Членов Сектора, региональных организаций электросвязи (РОЭ), БРЭ и других заинтересованных сторон. Обсуждения сосредоточены на основных темах, которые требуют координации и формирования консенсуса между различными регионами.</w:t>
      </w:r>
    </w:p>
    <w:p w14:paraId="5F85769D" w14:textId="65B60D06" w:rsidR="007255CC" w:rsidRPr="00571510" w:rsidRDefault="007255CC" w:rsidP="00577133">
      <w:r w:rsidRPr="00571510">
        <w:t>4.25</w:t>
      </w:r>
      <w:r w:rsidRPr="00571510">
        <w:tab/>
        <w:t>В соответствии с рекомендациями КГРЭ будет назначен Председатель ВКРЭ для руководства двумя МРС, а также будет назначено шесть заместителей Председателя, кандидатуры которых будут представлены от каждой из соответствующих РОЭ. Каждой РОЭ будет также предложено определить представителя (представителей) по своему выбору, которые будут выступать от имени региона.</w:t>
      </w:r>
    </w:p>
    <w:p w14:paraId="1E244159" w14:textId="3F075F6A" w:rsidR="007255CC" w:rsidRPr="00571510" w:rsidRDefault="007255CC" w:rsidP="00577133">
      <w:r w:rsidRPr="00571510">
        <w:t>4.26</w:t>
      </w:r>
      <w:r w:rsidRPr="00571510">
        <w:tab/>
        <w:t xml:space="preserve">Проект повестки дня Конференции (Документ </w:t>
      </w:r>
      <w:hyperlink r:id="rId53">
        <w:r w:rsidRPr="00571510">
          <w:rPr>
            <w:rStyle w:val="Hyperlink"/>
          </w:rPr>
          <w:t>TDAG-25/13</w:t>
        </w:r>
      </w:hyperlink>
      <w:r w:rsidRPr="00571510">
        <w:t>) был представлен КГРЭ-25 для</w:t>
      </w:r>
      <w:r w:rsidR="00571510" w:rsidRPr="00571510">
        <w:t> </w:t>
      </w:r>
      <w:r w:rsidRPr="00571510">
        <w:t>утверждения и будет представлен настоящей сессии Совета для рассмотрения.</w:t>
      </w:r>
    </w:p>
    <w:p w14:paraId="2A51AC06" w14:textId="552E53AD" w:rsidR="007255CC" w:rsidRPr="00571510" w:rsidRDefault="007255CC" w:rsidP="00577133">
      <w:r w:rsidRPr="00571510">
        <w:t>4.27</w:t>
      </w:r>
      <w:r w:rsidRPr="00571510">
        <w:tab/>
        <w:t xml:space="preserve">Проект структуры ВКРЭ-25 (Документ </w:t>
      </w:r>
      <w:hyperlink r:id="rId54">
        <w:r w:rsidRPr="00571510">
          <w:rPr>
            <w:rStyle w:val="Hyperlink"/>
          </w:rPr>
          <w:t>TDAG-25/17</w:t>
        </w:r>
      </w:hyperlink>
      <w:r w:rsidRPr="00571510">
        <w:t>) был представлен КГРЭ-25 для</w:t>
      </w:r>
      <w:r w:rsidR="00571510" w:rsidRPr="00571510">
        <w:t> </w:t>
      </w:r>
      <w:r w:rsidRPr="00571510">
        <w:t>утверждения и затем будет представлен настоящей сессии Совета для утверждения.</w:t>
      </w:r>
    </w:p>
    <w:p w14:paraId="3FB2C41C" w14:textId="4029D7B8" w:rsidR="007255CC" w:rsidRPr="00571510" w:rsidRDefault="003B41E9" w:rsidP="007255CC">
      <w:pPr>
        <w:pStyle w:val="Heading1"/>
        <w:rPr>
          <w:szCs w:val="24"/>
        </w:rPr>
      </w:pPr>
      <w:r w:rsidRPr="00571510">
        <w:t>5</w:t>
      </w:r>
      <w:r w:rsidR="007255CC" w:rsidRPr="00571510">
        <w:tab/>
      </w:r>
      <w:r w:rsidR="007255CC" w:rsidRPr="00571510">
        <w:rPr>
          <w:bCs/>
        </w:rPr>
        <w:t xml:space="preserve">Сегмент </w:t>
      </w:r>
      <w:r w:rsidR="007255CC" w:rsidRPr="00571510">
        <w:rPr>
          <w:b w:val="0"/>
        </w:rPr>
        <w:t>"</w:t>
      </w:r>
      <w:r w:rsidR="007255CC" w:rsidRPr="00571510">
        <w:rPr>
          <w:bCs/>
        </w:rPr>
        <w:t>Общеполитические заявления</w:t>
      </w:r>
      <w:r w:rsidR="007255CC" w:rsidRPr="00571510">
        <w:rPr>
          <w:b w:val="0"/>
        </w:rPr>
        <w:t>"</w:t>
      </w:r>
    </w:p>
    <w:p w14:paraId="3878BC0D" w14:textId="386EF7F4" w:rsidR="007255CC" w:rsidRPr="00571510" w:rsidRDefault="007255CC" w:rsidP="00577133">
      <w:r w:rsidRPr="00571510">
        <w:t xml:space="preserve">Сегмент "Общеполитические заявления" на ВКРЭ является уникальной площадкой, на которой высокопоставленные представители Государств-Членов могут высказывать свои взгляды на возникающие тенденции и вопросы, имеющие стратегическое значение для развития сектора электросвязи и ИКТ. Предлагается, чтобы на ВКРЭ-25 с политическими заявлениями могли выступать только министры, заместители или помощники министров, либо члены кабинета министров, а время </w:t>
      </w:r>
      <w:r w:rsidRPr="00571510">
        <w:lastRenderedPageBreak/>
        <w:t>для выступлений было ограничено максимум тремя минутами при том понимании, что полные тексты заявлений будут размещаться на веб-сайте Конференции.</w:t>
      </w:r>
    </w:p>
    <w:p w14:paraId="2EB054F0" w14:textId="470481BF" w:rsidR="003B41E9" w:rsidRPr="00571510" w:rsidRDefault="003B41E9" w:rsidP="003B41E9">
      <w:pPr>
        <w:pStyle w:val="Heading1"/>
        <w:rPr>
          <w:szCs w:val="24"/>
        </w:rPr>
      </w:pPr>
      <w:r w:rsidRPr="00571510">
        <w:t>6</w:t>
      </w:r>
      <w:r w:rsidRPr="00571510">
        <w:tab/>
      </w:r>
      <w:r w:rsidR="0036076B" w:rsidRPr="00571510">
        <w:rPr>
          <w:bCs/>
        </w:rPr>
        <w:t>Сопутствующие мероприятия</w:t>
      </w:r>
    </w:p>
    <w:p w14:paraId="67FF9B84" w14:textId="18E4438C" w:rsidR="003B41E9" w:rsidRPr="00571510" w:rsidRDefault="003B41E9" w:rsidP="00577133">
      <w:r w:rsidRPr="00571510">
        <w:t>В ходе ВКРЭ-25 проведение сопутствующих мероприятий не планируется, чтобы не ставить в невыгодное положение небольшие делегации, которые не имеют возможности участвовать в работе Конференции и одновременно посещать сопутствующие мероприятия.</w:t>
      </w:r>
    </w:p>
    <w:p w14:paraId="332311A1" w14:textId="4C3A76AF" w:rsidR="003B41E9" w:rsidRPr="00571510" w:rsidRDefault="003B41E9" w:rsidP="003B41E9">
      <w:pPr>
        <w:pStyle w:val="Heading1"/>
        <w:rPr>
          <w:szCs w:val="24"/>
        </w:rPr>
      </w:pPr>
      <w:r w:rsidRPr="00571510">
        <w:t>7</w:t>
      </w:r>
      <w:r w:rsidRPr="00571510">
        <w:tab/>
      </w:r>
      <w:r w:rsidRPr="00571510">
        <w:rPr>
          <w:bCs/>
        </w:rPr>
        <w:t>Праздничное мероприятие ВКРЭ-25, посвященное молодежи</w:t>
      </w:r>
    </w:p>
    <w:p w14:paraId="2FD3F0E2" w14:textId="513F4B86" w:rsidR="007255CC" w:rsidRPr="00571510" w:rsidRDefault="007255CC" w:rsidP="00577133">
      <w:r w:rsidRPr="00571510">
        <w:t>7.1</w:t>
      </w:r>
      <w:r w:rsidR="003B41E9" w:rsidRPr="00571510">
        <w:tab/>
      </w:r>
      <w:r w:rsidRPr="00571510">
        <w:t>16 ноября 2025 года, перед ВКРЭ, в Баку состоится праздничное мероприятие, посвященное молодежи. Празднование будет включать диалог между поколениями, вдохновляющие выступления и мероприятия, призванные подчеркнуть роль молодежи в цифровом развитии. Представители молодежи будут напрямую взаимодействовать с представителями директивных органов и заинтересованными сторонами, которые примут участие в этом мероприятии, что будет способствовать сотрудничеству и обратит особое внимание на молодежь как на партнеров в области цифровой трансформации. Принимающая страна организует визиты для молодежи.</w:t>
      </w:r>
    </w:p>
    <w:p w14:paraId="70CCD069" w14:textId="503AC12D" w:rsidR="007255CC" w:rsidRPr="00571510" w:rsidRDefault="007255CC" w:rsidP="00577133">
      <w:r w:rsidRPr="00571510">
        <w:t>По итогам празднования принятие официальных итоговых документов не планируется, однако это мероприятие должно развить успех Глобального молодежного саммита, который прошел в Варадеро, Куба, в 2025 году. Это мероприятие имеет целью продемонстрировать неизменную приверженность МСЭ расширению прав и возможностей следующего поколения цифровых лидеров и укреплению голосов молодежи в рамках глобальной повестки дня в области электросвязи и цифрового развития.</w:t>
      </w:r>
    </w:p>
    <w:p w14:paraId="69999871" w14:textId="44D1EC5A" w:rsidR="003B41E9" w:rsidRPr="00571510" w:rsidRDefault="003B41E9" w:rsidP="003B41E9">
      <w:pPr>
        <w:pStyle w:val="Heading1"/>
        <w:rPr>
          <w:szCs w:val="24"/>
        </w:rPr>
      </w:pPr>
      <w:r w:rsidRPr="00571510">
        <w:t>8</w:t>
      </w:r>
      <w:r w:rsidRPr="00571510">
        <w:tab/>
        <w:t>Заключение</w:t>
      </w:r>
    </w:p>
    <w:p w14:paraId="1D78554E" w14:textId="7911BC3A" w:rsidR="007255CC" w:rsidRPr="00571510" w:rsidRDefault="007255CC" w:rsidP="00577133">
      <w:r w:rsidRPr="00571510">
        <w:t>На уровне Секретариата продолжается работа, направленная на обеспечение эффективного и действенного подготовительного процесса, результатом которого станет успешное проведение Конференции. Совету предлагается принять к сведению информацию о подготовке к ВКРЭ-25.</w:t>
      </w:r>
    </w:p>
    <w:p w14:paraId="370ECCA0" w14:textId="77777777" w:rsidR="00753EC0" w:rsidRPr="00571510" w:rsidRDefault="00753EC0" w:rsidP="00753EC0">
      <w:pPr>
        <w:spacing w:before="720"/>
        <w:jc w:val="center"/>
      </w:pPr>
      <w:r w:rsidRPr="00571510">
        <w:t>______________</w:t>
      </w:r>
    </w:p>
    <w:sectPr w:rsidR="00753EC0" w:rsidRPr="00571510" w:rsidSect="00CE66E4">
      <w:headerReference w:type="default" r:id="rId55"/>
      <w:footerReference w:type="first" r:id="rId56"/>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125C2" w14:textId="77777777" w:rsidR="00EF1349" w:rsidRDefault="00EF1349">
      <w:r>
        <w:separator/>
      </w:r>
    </w:p>
    <w:p w14:paraId="41B2870D" w14:textId="77777777" w:rsidR="00EF1349" w:rsidRDefault="00EF1349"/>
  </w:endnote>
  <w:endnote w:type="continuationSeparator" w:id="0">
    <w:p w14:paraId="3D680392" w14:textId="77777777" w:rsidR="00EF1349" w:rsidRDefault="00EF1349">
      <w:r>
        <w:continuationSeparator/>
      </w:r>
    </w:p>
    <w:p w14:paraId="5A5DD746" w14:textId="77777777" w:rsidR="00EF1349" w:rsidRDefault="00EF1349"/>
  </w:endnote>
  <w:endnote w:type="continuationNotice" w:id="1">
    <w:p w14:paraId="0D1E3BAA" w14:textId="77777777" w:rsidR="00EF1349" w:rsidRDefault="00EF1349">
      <w:pPr>
        <w:spacing w:before="0"/>
      </w:pPr>
    </w:p>
    <w:p w14:paraId="5BE3AB98" w14:textId="77777777" w:rsidR="00EF1349" w:rsidRDefault="00EF13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Фамилия и данные контактного лица по документу"/>
    </w:tblPr>
    <w:tblGrid>
      <w:gridCol w:w="1526"/>
      <w:gridCol w:w="3260"/>
      <w:gridCol w:w="4853"/>
    </w:tblGrid>
    <w:tr w:rsidR="001F4CE6" w:rsidRPr="00C42307" w14:paraId="1B414EE2" w14:textId="77777777" w:rsidTr="001F4CE6">
      <w:tc>
        <w:tcPr>
          <w:tcW w:w="1526" w:type="dxa"/>
          <w:tcBorders>
            <w:top w:val="single" w:sz="4" w:space="0" w:color="000000" w:themeColor="text1"/>
          </w:tcBorders>
        </w:tcPr>
        <w:p w14:paraId="300F1366" w14:textId="77777777" w:rsidR="001F4CE6" w:rsidRPr="00C42307" w:rsidRDefault="001F4CE6" w:rsidP="001F4CE6">
          <w:pPr>
            <w:pStyle w:val="FirstFooter"/>
            <w:rPr>
              <w:sz w:val="18"/>
              <w:szCs w:val="18"/>
            </w:rPr>
          </w:pPr>
          <w:r w:rsidRPr="00C42307">
            <w:rPr>
              <w:sz w:val="18"/>
              <w:szCs w:val="18"/>
            </w:rPr>
            <w:t>Для контактов:</w:t>
          </w:r>
        </w:p>
      </w:tc>
      <w:tc>
        <w:tcPr>
          <w:tcW w:w="3260" w:type="dxa"/>
          <w:tcBorders>
            <w:top w:val="single" w:sz="4" w:space="0" w:color="000000" w:themeColor="text1"/>
          </w:tcBorders>
        </w:tcPr>
        <w:p w14:paraId="4D680DDD" w14:textId="77777777" w:rsidR="001F4CE6" w:rsidRPr="00C42307" w:rsidRDefault="001F4CE6" w:rsidP="001F4CE6">
          <w:pPr>
            <w:pStyle w:val="FirstFooter"/>
            <w:ind w:left="3010" w:hanging="3010"/>
            <w:rPr>
              <w:sz w:val="18"/>
              <w:szCs w:val="18"/>
              <w:lang w:val="en-US"/>
            </w:rPr>
          </w:pPr>
          <w:r w:rsidRPr="00C42307">
            <w:rPr>
              <w:sz w:val="18"/>
              <w:szCs w:val="18"/>
            </w:rPr>
            <w:t>Фамилия/организация/объединение:</w:t>
          </w:r>
        </w:p>
      </w:tc>
      <w:tc>
        <w:tcPr>
          <w:tcW w:w="4853" w:type="dxa"/>
          <w:tcBorders>
            <w:top w:val="single" w:sz="4" w:space="0" w:color="000000" w:themeColor="text1"/>
          </w:tcBorders>
        </w:tcPr>
        <w:p w14:paraId="305A6DE3" w14:textId="5B5B93CF" w:rsidR="001F4CE6" w:rsidRPr="00C42307" w:rsidRDefault="001F4CE6" w:rsidP="001F4CE6">
          <w:pPr>
            <w:pStyle w:val="FirstFooter"/>
            <w:rPr>
              <w:sz w:val="18"/>
              <w:szCs w:val="18"/>
            </w:rPr>
          </w:pPr>
          <w:r w:rsidRPr="00C42307">
            <w:rPr>
              <w:sz w:val="18"/>
              <w:szCs w:val="18"/>
            </w:rPr>
            <w:t xml:space="preserve">г-жа </w:t>
          </w:r>
          <w:proofErr w:type="spellStart"/>
          <w:r w:rsidRPr="00C42307">
            <w:rPr>
              <w:sz w:val="18"/>
              <w:szCs w:val="18"/>
            </w:rPr>
            <w:t>Арчана</w:t>
          </w:r>
          <w:proofErr w:type="spellEnd"/>
          <w:r w:rsidRPr="00C42307">
            <w:rPr>
              <w:sz w:val="18"/>
              <w:szCs w:val="18"/>
            </w:rPr>
            <w:t xml:space="preserve"> </w:t>
          </w:r>
          <w:proofErr w:type="spellStart"/>
          <w:r w:rsidRPr="00C42307">
            <w:rPr>
              <w:sz w:val="18"/>
              <w:szCs w:val="18"/>
            </w:rPr>
            <w:t>Гулати</w:t>
          </w:r>
          <w:proofErr w:type="spellEnd"/>
          <w:r w:rsidRPr="00C42307">
            <w:rPr>
              <w:sz w:val="18"/>
              <w:szCs w:val="18"/>
            </w:rPr>
            <w:t xml:space="preserve"> (</w:t>
          </w:r>
          <w:proofErr w:type="spellStart"/>
          <w:r w:rsidRPr="00C42307">
            <w:rPr>
              <w:sz w:val="18"/>
              <w:szCs w:val="18"/>
            </w:rPr>
            <w:t>Ms</w:t>
          </w:r>
          <w:proofErr w:type="spellEnd"/>
          <w:r w:rsidRPr="00C42307">
            <w:rPr>
              <w:sz w:val="18"/>
              <w:szCs w:val="18"/>
            </w:rPr>
            <w:t xml:space="preserve"> </w:t>
          </w:r>
          <w:proofErr w:type="spellStart"/>
          <w:r w:rsidRPr="00C42307">
            <w:rPr>
              <w:sz w:val="18"/>
              <w:szCs w:val="18"/>
            </w:rPr>
            <w:t>Archana</w:t>
          </w:r>
          <w:proofErr w:type="spellEnd"/>
          <w:r w:rsidRPr="00C42307">
            <w:rPr>
              <w:sz w:val="18"/>
              <w:szCs w:val="18"/>
            </w:rPr>
            <w:t xml:space="preserve"> </w:t>
          </w:r>
          <w:proofErr w:type="spellStart"/>
          <w:r w:rsidRPr="00C42307">
            <w:rPr>
              <w:sz w:val="18"/>
              <w:szCs w:val="18"/>
            </w:rPr>
            <w:t>Gulati</w:t>
          </w:r>
          <w:proofErr w:type="spellEnd"/>
          <w:r w:rsidRPr="00C42307">
            <w:rPr>
              <w:sz w:val="18"/>
              <w:szCs w:val="18"/>
            </w:rPr>
            <w:t xml:space="preserve">), </w:t>
          </w:r>
          <w:r w:rsidR="00413E0C" w:rsidRPr="00577133">
            <w:rPr>
              <w:sz w:val="18"/>
              <w:szCs w:val="18"/>
            </w:rPr>
            <w:br/>
          </w:r>
          <w:r w:rsidRPr="00C42307">
            <w:rPr>
              <w:sz w:val="18"/>
              <w:szCs w:val="18"/>
            </w:rPr>
            <w:t>заместитель Директора Бюро развития электросвязи</w:t>
          </w:r>
        </w:p>
      </w:tc>
      <w:bookmarkStart w:id="11" w:name="OrgName"/>
      <w:bookmarkEnd w:id="11"/>
    </w:tr>
    <w:tr w:rsidR="001F4CE6" w:rsidRPr="00C42307" w14:paraId="5E4AD7CB" w14:textId="77777777" w:rsidTr="001F4CE6">
      <w:trPr>
        <w:trHeight w:val="165"/>
      </w:trPr>
      <w:tc>
        <w:tcPr>
          <w:tcW w:w="1526" w:type="dxa"/>
        </w:tcPr>
        <w:p w14:paraId="337BEFD2" w14:textId="77777777" w:rsidR="001F4CE6" w:rsidRPr="00C42307" w:rsidRDefault="001F4CE6" w:rsidP="001F4CE6">
          <w:pPr>
            <w:pStyle w:val="FirstFooter"/>
            <w:rPr>
              <w:sz w:val="18"/>
              <w:szCs w:val="18"/>
            </w:rPr>
          </w:pPr>
        </w:p>
      </w:tc>
      <w:tc>
        <w:tcPr>
          <w:tcW w:w="3260" w:type="dxa"/>
        </w:tcPr>
        <w:p w14:paraId="34AC1C36" w14:textId="77777777" w:rsidR="001F4CE6" w:rsidRPr="00C42307" w:rsidRDefault="001F4CE6" w:rsidP="001F4CE6">
          <w:pPr>
            <w:pStyle w:val="FirstFooter"/>
            <w:ind w:left="3010" w:hanging="3010"/>
            <w:rPr>
              <w:sz w:val="18"/>
              <w:szCs w:val="18"/>
              <w:lang w:val="en-US"/>
            </w:rPr>
          </w:pPr>
          <w:r w:rsidRPr="00C42307">
            <w:rPr>
              <w:sz w:val="18"/>
              <w:szCs w:val="18"/>
            </w:rPr>
            <w:t>Тел.:</w:t>
          </w:r>
        </w:p>
      </w:tc>
      <w:tc>
        <w:tcPr>
          <w:tcW w:w="4853" w:type="dxa"/>
        </w:tcPr>
        <w:p w14:paraId="7AC8714F" w14:textId="1B00C208" w:rsidR="001F4CE6" w:rsidRPr="00C42307" w:rsidRDefault="001F4CE6" w:rsidP="001F4CE6">
          <w:pPr>
            <w:pStyle w:val="FirstFooter"/>
            <w:rPr>
              <w:sz w:val="18"/>
              <w:szCs w:val="18"/>
              <w:lang w:val="en-US"/>
            </w:rPr>
          </w:pPr>
          <w:r w:rsidRPr="00C42307">
            <w:rPr>
              <w:sz w:val="18"/>
              <w:szCs w:val="18"/>
            </w:rPr>
            <w:t>+41 22 730 6475</w:t>
          </w:r>
        </w:p>
      </w:tc>
      <w:bookmarkStart w:id="12" w:name="PhoneNo"/>
      <w:bookmarkEnd w:id="12"/>
    </w:tr>
    <w:tr w:rsidR="001F4CE6" w:rsidRPr="00C42307" w14:paraId="0E4D2617" w14:textId="77777777" w:rsidTr="001F4CE6">
      <w:tc>
        <w:tcPr>
          <w:tcW w:w="1526" w:type="dxa"/>
        </w:tcPr>
        <w:p w14:paraId="7845751D" w14:textId="77777777" w:rsidR="001F4CE6" w:rsidRPr="00C42307" w:rsidRDefault="001F4CE6" w:rsidP="001F4CE6">
          <w:pPr>
            <w:pStyle w:val="FirstFooter"/>
            <w:rPr>
              <w:sz w:val="18"/>
              <w:szCs w:val="18"/>
            </w:rPr>
          </w:pPr>
        </w:p>
      </w:tc>
      <w:tc>
        <w:tcPr>
          <w:tcW w:w="3260" w:type="dxa"/>
        </w:tcPr>
        <w:p w14:paraId="1BAAC8BB" w14:textId="77777777" w:rsidR="001F4CE6" w:rsidRPr="00C42307" w:rsidRDefault="001F4CE6" w:rsidP="001F4CE6">
          <w:pPr>
            <w:pStyle w:val="FirstFooter"/>
            <w:ind w:left="3010" w:hanging="3010"/>
            <w:rPr>
              <w:sz w:val="18"/>
              <w:szCs w:val="18"/>
            </w:rPr>
          </w:pPr>
          <w:r w:rsidRPr="00C42307">
            <w:rPr>
              <w:sz w:val="18"/>
              <w:szCs w:val="18"/>
            </w:rPr>
            <w:t>Эл.</w:t>
          </w:r>
          <w:r w:rsidRPr="00C42307">
            <w:rPr>
              <w:sz w:val="18"/>
              <w:szCs w:val="18"/>
              <w:lang w:val="en-US"/>
            </w:rPr>
            <w:t> </w:t>
          </w:r>
          <w:r w:rsidRPr="00C42307">
            <w:rPr>
              <w:sz w:val="18"/>
              <w:szCs w:val="18"/>
            </w:rPr>
            <w:t>почта:</w:t>
          </w:r>
        </w:p>
      </w:tc>
      <w:tc>
        <w:tcPr>
          <w:tcW w:w="4853" w:type="dxa"/>
        </w:tcPr>
        <w:p w14:paraId="53EF504A" w14:textId="781BE688" w:rsidR="001F4CE6" w:rsidRPr="00577133" w:rsidRDefault="001F4CE6" w:rsidP="001F4CE6">
          <w:pPr>
            <w:pStyle w:val="FirstFooter"/>
            <w:rPr>
              <w:rStyle w:val="Hyperlink"/>
              <w:sz w:val="18"/>
              <w:szCs w:val="18"/>
              <w:lang w:val="en-GB"/>
            </w:rPr>
          </w:pPr>
          <w:hyperlink r:id="rId1" w:history="1">
            <w:r w:rsidRPr="00C42307">
              <w:rPr>
                <w:rStyle w:val="Hyperlink"/>
                <w:sz w:val="18"/>
                <w:szCs w:val="18"/>
              </w:rPr>
              <w:t>archana.gulati@itu.int</w:t>
            </w:r>
          </w:hyperlink>
        </w:p>
      </w:tc>
      <w:bookmarkStart w:id="13" w:name="Email"/>
      <w:bookmarkEnd w:id="13"/>
    </w:tr>
  </w:tbl>
  <w:p w14:paraId="7B8DD400" w14:textId="77777777" w:rsidR="00F723AC" w:rsidRPr="00F723AC" w:rsidRDefault="00F723AC">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86D18" w14:textId="77777777" w:rsidR="00EF1349" w:rsidRPr="0054377E" w:rsidRDefault="00EF1349" w:rsidP="0054377E">
      <w:pPr>
        <w:spacing w:before="0"/>
      </w:pPr>
      <w:r w:rsidRPr="0054377E">
        <w:rPr>
          <w:b/>
        </w:rPr>
        <w:t>_______________</w:t>
      </w:r>
    </w:p>
  </w:footnote>
  <w:footnote w:type="continuationSeparator" w:id="0">
    <w:p w14:paraId="0FD3B1E6" w14:textId="77777777" w:rsidR="00EF1349" w:rsidRDefault="00EF1349" w:rsidP="0054377E">
      <w:pPr>
        <w:spacing w:before="0"/>
      </w:pPr>
      <w:r>
        <w:continuationSeparator/>
      </w:r>
    </w:p>
    <w:p w14:paraId="475C7AF4" w14:textId="77777777" w:rsidR="00EF1349" w:rsidRDefault="00EF1349"/>
  </w:footnote>
  <w:footnote w:type="continuationNotice" w:id="1">
    <w:p w14:paraId="24BED4E5" w14:textId="77777777" w:rsidR="00EF1349" w:rsidRDefault="00EF1349">
      <w:pPr>
        <w:spacing w:before="0"/>
      </w:pPr>
    </w:p>
    <w:p w14:paraId="47FA0BAA" w14:textId="77777777" w:rsidR="00EF1349" w:rsidRDefault="00EF13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1B53" w14:textId="468932FB" w:rsidR="00636181" w:rsidRPr="00CE66E4" w:rsidRDefault="00636181" w:rsidP="00CE66E4">
    <w:pPr>
      <w:tabs>
        <w:tab w:val="clear" w:pos="1134"/>
        <w:tab w:val="clear" w:pos="1871"/>
        <w:tab w:val="clear" w:pos="2268"/>
        <w:tab w:val="center" w:pos="4820"/>
        <w:tab w:val="right" w:pos="14003"/>
      </w:tabs>
      <w:spacing w:before="0"/>
      <w:rPr>
        <w:smallCaps/>
        <w:spacing w:val="24"/>
        <w:sz w:val="20"/>
        <w:lang w:val="es-ES_tradnl"/>
      </w:rPr>
    </w:pPr>
    <w:r w:rsidRPr="00CE66E4">
      <w:rPr>
        <w:sz w:val="20"/>
      </w:rPr>
      <w:tab/>
    </w:r>
    <w:r w:rsidRPr="00CE66E4">
      <w:rPr>
        <w:sz w:val="20"/>
        <w:lang w:val="es-ES_tradnl"/>
      </w:rPr>
      <w:t>TDAG-2</w:t>
    </w:r>
    <w:r w:rsidR="003273BC" w:rsidRPr="00CE66E4">
      <w:rPr>
        <w:sz w:val="20"/>
        <w:lang w:val="es-ES_tradnl"/>
      </w:rPr>
      <w:t>5</w:t>
    </w:r>
    <w:r w:rsidRPr="00CE66E4">
      <w:rPr>
        <w:sz w:val="20"/>
        <w:lang w:val="es-ES_tradnl"/>
      </w:rPr>
      <w:t>/</w:t>
    </w:r>
    <w:r w:rsidR="001F4CE6">
      <w:rPr>
        <w:sz w:val="20"/>
      </w:rPr>
      <w:t>12</w:t>
    </w:r>
    <w:r w:rsidR="009D1A16" w:rsidRPr="009D1A16">
      <w:rPr>
        <w:sz w:val="20"/>
      </w:rPr>
      <w:t>(</w:t>
    </w:r>
    <w:proofErr w:type="spellStart"/>
    <w:r w:rsidR="009D1A16" w:rsidRPr="009D1A16">
      <w:rPr>
        <w:sz w:val="20"/>
      </w:rPr>
      <w:t>R</w:t>
    </w:r>
    <w:r w:rsidR="009D1A16">
      <w:rPr>
        <w:sz w:val="20"/>
      </w:rPr>
      <w:t>е</w:t>
    </w:r>
    <w:r w:rsidR="009D1A16" w:rsidRPr="009D1A16">
      <w:rPr>
        <w:sz w:val="20"/>
      </w:rPr>
      <w:t>v.</w:t>
    </w:r>
    <w:r w:rsidR="007255CC">
      <w:rPr>
        <w:sz w:val="20"/>
      </w:rPr>
      <w:t>3</w:t>
    </w:r>
    <w:proofErr w:type="spellEnd"/>
    <w:r w:rsidR="009D1A16" w:rsidRPr="009D1A16">
      <w:rPr>
        <w:sz w:val="20"/>
      </w:rPr>
      <w:t>)</w:t>
    </w:r>
    <w:r w:rsidRPr="00CE66E4">
      <w:rPr>
        <w:sz w:val="20"/>
        <w:lang w:val="es-ES_tradnl"/>
      </w:rPr>
      <w:t>-</w:t>
    </w:r>
    <w:r w:rsidR="007606A7" w:rsidRPr="00CE66E4">
      <w:rPr>
        <w:sz w:val="20"/>
        <w:lang w:val="es-ES_tradnl"/>
      </w:rPr>
      <w:t>R</w:t>
    </w:r>
    <w:r w:rsidRPr="00CE66E4">
      <w:rPr>
        <w:sz w:val="20"/>
        <w:lang w:val="es-ES_tradnl"/>
      </w:rPr>
      <w:tab/>
    </w:r>
    <w:r w:rsidR="007606A7" w:rsidRPr="00CE66E4">
      <w:rPr>
        <w:sz w:val="20"/>
      </w:rPr>
      <w:t>Страница</w:t>
    </w:r>
    <w:r w:rsidRPr="00CE66E4">
      <w:rPr>
        <w:sz w:val="20"/>
        <w:lang w:val="es-ES_tradnl"/>
      </w:rPr>
      <w:t xml:space="preserve"> </w:t>
    </w:r>
    <w:r w:rsidRPr="00CE66E4">
      <w:rPr>
        <w:sz w:val="20"/>
      </w:rPr>
      <w:fldChar w:fldCharType="begin"/>
    </w:r>
    <w:r w:rsidRPr="00CE66E4">
      <w:rPr>
        <w:sz w:val="20"/>
        <w:lang w:val="es-ES_tradnl"/>
      </w:rPr>
      <w:instrText xml:space="preserve"> PAGE </w:instrText>
    </w:r>
    <w:r w:rsidRPr="00CE66E4">
      <w:rPr>
        <w:sz w:val="20"/>
      </w:rPr>
      <w:fldChar w:fldCharType="separate"/>
    </w:r>
    <w:r w:rsidR="00893B2C" w:rsidRPr="00CE66E4">
      <w:rPr>
        <w:noProof/>
        <w:sz w:val="20"/>
        <w:lang w:val="es-ES_tradnl"/>
      </w:rPr>
      <w:t>19</w:t>
    </w:r>
    <w:r w:rsidRPr="00CE66E4">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B2E7D"/>
    <w:multiLevelType w:val="hybridMultilevel"/>
    <w:tmpl w:val="EBFA9B8C"/>
    <w:lvl w:ilvl="0" w:tplc="93E6492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4506F4D"/>
    <w:multiLevelType w:val="hybridMultilevel"/>
    <w:tmpl w:val="FF949236"/>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4CA65CC"/>
    <w:multiLevelType w:val="hybridMultilevel"/>
    <w:tmpl w:val="480EC1D8"/>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A7B49E0"/>
    <w:multiLevelType w:val="hybridMultilevel"/>
    <w:tmpl w:val="FA448D42"/>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61B358C"/>
    <w:multiLevelType w:val="hybridMultilevel"/>
    <w:tmpl w:val="7A081D9C"/>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A542BA2"/>
    <w:multiLevelType w:val="hybridMultilevel"/>
    <w:tmpl w:val="54522226"/>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1C52D30"/>
    <w:multiLevelType w:val="hybridMultilevel"/>
    <w:tmpl w:val="BF72FC22"/>
    <w:lvl w:ilvl="0" w:tplc="93E6492E">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5B5F20B1"/>
    <w:multiLevelType w:val="hybridMultilevel"/>
    <w:tmpl w:val="B7421112"/>
    <w:lvl w:ilvl="0" w:tplc="93E6492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0E545E5"/>
    <w:multiLevelType w:val="hybridMultilevel"/>
    <w:tmpl w:val="3DA8DA9E"/>
    <w:lvl w:ilvl="0" w:tplc="93E6492E">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9" w15:restartNumberingAfterBreak="0">
    <w:nsid w:val="73321547"/>
    <w:multiLevelType w:val="hybridMultilevel"/>
    <w:tmpl w:val="C6182726"/>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29419962">
    <w:abstractNumId w:val="2"/>
  </w:num>
  <w:num w:numId="2" w16cid:durableId="1437868983">
    <w:abstractNumId w:val="6"/>
  </w:num>
  <w:num w:numId="3" w16cid:durableId="1777675393">
    <w:abstractNumId w:val="1"/>
  </w:num>
  <w:num w:numId="4" w16cid:durableId="1119028967">
    <w:abstractNumId w:val="0"/>
  </w:num>
  <w:num w:numId="5" w16cid:durableId="2086343533">
    <w:abstractNumId w:val="3"/>
  </w:num>
  <w:num w:numId="6" w16cid:durableId="1946645027">
    <w:abstractNumId w:val="5"/>
  </w:num>
  <w:num w:numId="7" w16cid:durableId="2116822946">
    <w:abstractNumId w:val="4"/>
  </w:num>
  <w:num w:numId="8" w16cid:durableId="817958465">
    <w:abstractNumId w:val="8"/>
  </w:num>
  <w:num w:numId="9" w16cid:durableId="281232465">
    <w:abstractNumId w:val="7"/>
  </w:num>
  <w:num w:numId="10" w16cid:durableId="53944102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BBA"/>
    <w:rsid w:val="000041EA"/>
    <w:rsid w:val="00004EB7"/>
    <w:rsid w:val="00005A53"/>
    <w:rsid w:val="00005FBD"/>
    <w:rsid w:val="00011ECB"/>
    <w:rsid w:val="000139F4"/>
    <w:rsid w:val="000150B0"/>
    <w:rsid w:val="00015E52"/>
    <w:rsid w:val="00021004"/>
    <w:rsid w:val="00022A29"/>
    <w:rsid w:val="00025926"/>
    <w:rsid w:val="00025965"/>
    <w:rsid w:val="000355FD"/>
    <w:rsid w:val="0003589F"/>
    <w:rsid w:val="00046021"/>
    <w:rsid w:val="0005184F"/>
    <w:rsid w:val="00051E39"/>
    <w:rsid w:val="00053725"/>
    <w:rsid w:val="00054B72"/>
    <w:rsid w:val="0005581A"/>
    <w:rsid w:val="0005619C"/>
    <w:rsid w:val="0005747E"/>
    <w:rsid w:val="000604E5"/>
    <w:rsid w:val="000617DF"/>
    <w:rsid w:val="0006550B"/>
    <w:rsid w:val="0007000B"/>
    <w:rsid w:val="000735FD"/>
    <w:rsid w:val="00074109"/>
    <w:rsid w:val="00074C4D"/>
    <w:rsid w:val="00075C63"/>
    <w:rsid w:val="00076288"/>
    <w:rsid w:val="00077239"/>
    <w:rsid w:val="000778CA"/>
    <w:rsid w:val="000805BB"/>
    <w:rsid w:val="00080905"/>
    <w:rsid w:val="00081C9D"/>
    <w:rsid w:val="000822BE"/>
    <w:rsid w:val="000829BB"/>
    <w:rsid w:val="00082B11"/>
    <w:rsid w:val="000840A7"/>
    <w:rsid w:val="00085C6A"/>
    <w:rsid w:val="00086491"/>
    <w:rsid w:val="000904F9"/>
    <w:rsid w:val="000909ED"/>
    <w:rsid w:val="00091346"/>
    <w:rsid w:val="00091C80"/>
    <w:rsid w:val="0009581F"/>
    <w:rsid w:val="00095901"/>
    <w:rsid w:val="00097074"/>
    <w:rsid w:val="000A3B54"/>
    <w:rsid w:val="000A59AE"/>
    <w:rsid w:val="000B738A"/>
    <w:rsid w:val="000C03F4"/>
    <w:rsid w:val="000C17EA"/>
    <w:rsid w:val="000C2108"/>
    <w:rsid w:val="000C2592"/>
    <w:rsid w:val="000C42BA"/>
    <w:rsid w:val="000C4FD1"/>
    <w:rsid w:val="000D1759"/>
    <w:rsid w:val="000D38EB"/>
    <w:rsid w:val="000D4875"/>
    <w:rsid w:val="000D6891"/>
    <w:rsid w:val="000D6E8D"/>
    <w:rsid w:val="000D6EAB"/>
    <w:rsid w:val="000E1F4F"/>
    <w:rsid w:val="000E71F8"/>
    <w:rsid w:val="000F29EC"/>
    <w:rsid w:val="000F38EA"/>
    <w:rsid w:val="000F542E"/>
    <w:rsid w:val="000F641B"/>
    <w:rsid w:val="000F73FF"/>
    <w:rsid w:val="000F7F1C"/>
    <w:rsid w:val="00102175"/>
    <w:rsid w:val="00102343"/>
    <w:rsid w:val="001029B3"/>
    <w:rsid w:val="00105032"/>
    <w:rsid w:val="00105DCD"/>
    <w:rsid w:val="001066B3"/>
    <w:rsid w:val="001114AC"/>
    <w:rsid w:val="00114584"/>
    <w:rsid w:val="00114CF7"/>
    <w:rsid w:val="00115411"/>
    <w:rsid w:val="00115B33"/>
    <w:rsid w:val="00116B95"/>
    <w:rsid w:val="00117233"/>
    <w:rsid w:val="00123B68"/>
    <w:rsid w:val="00123F33"/>
    <w:rsid w:val="00124AF4"/>
    <w:rsid w:val="00124CAA"/>
    <w:rsid w:val="00125E69"/>
    <w:rsid w:val="00126F2E"/>
    <w:rsid w:val="00127FC6"/>
    <w:rsid w:val="001424DC"/>
    <w:rsid w:val="00143A87"/>
    <w:rsid w:val="00144E69"/>
    <w:rsid w:val="00146F6F"/>
    <w:rsid w:val="0014714E"/>
    <w:rsid w:val="00147DA1"/>
    <w:rsid w:val="00152957"/>
    <w:rsid w:val="00166196"/>
    <w:rsid w:val="001664A7"/>
    <w:rsid w:val="00167327"/>
    <w:rsid w:val="00167A9D"/>
    <w:rsid w:val="00170C5A"/>
    <w:rsid w:val="00171758"/>
    <w:rsid w:val="00174C26"/>
    <w:rsid w:val="0017500F"/>
    <w:rsid w:val="00176991"/>
    <w:rsid w:val="00180444"/>
    <w:rsid w:val="001832B9"/>
    <w:rsid w:val="00185737"/>
    <w:rsid w:val="00187BD9"/>
    <w:rsid w:val="0019060A"/>
    <w:rsid w:val="00190B55"/>
    <w:rsid w:val="00191F5C"/>
    <w:rsid w:val="00192FA9"/>
    <w:rsid w:val="00194CFB"/>
    <w:rsid w:val="001A1FFD"/>
    <w:rsid w:val="001A3858"/>
    <w:rsid w:val="001A4BD2"/>
    <w:rsid w:val="001B2ED3"/>
    <w:rsid w:val="001B643A"/>
    <w:rsid w:val="001B6675"/>
    <w:rsid w:val="001B7EA3"/>
    <w:rsid w:val="001C3B5F"/>
    <w:rsid w:val="001C61EA"/>
    <w:rsid w:val="001D058F"/>
    <w:rsid w:val="001D2025"/>
    <w:rsid w:val="001D520B"/>
    <w:rsid w:val="001E0384"/>
    <w:rsid w:val="001E24AF"/>
    <w:rsid w:val="001E252D"/>
    <w:rsid w:val="001E43DC"/>
    <w:rsid w:val="001F2F69"/>
    <w:rsid w:val="001F4CE6"/>
    <w:rsid w:val="002009EA"/>
    <w:rsid w:val="00202CA0"/>
    <w:rsid w:val="00207A5D"/>
    <w:rsid w:val="002154A6"/>
    <w:rsid w:val="002162CD"/>
    <w:rsid w:val="00216478"/>
    <w:rsid w:val="0021756C"/>
    <w:rsid w:val="00220634"/>
    <w:rsid w:val="00221C1D"/>
    <w:rsid w:val="002226B9"/>
    <w:rsid w:val="00224B7C"/>
    <w:rsid w:val="00224CDD"/>
    <w:rsid w:val="002255B3"/>
    <w:rsid w:val="0023164A"/>
    <w:rsid w:val="002319F6"/>
    <w:rsid w:val="0023409C"/>
    <w:rsid w:val="002346C7"/>
    <w:rsid w:val="002351D4"/>
    <w:rsid w:val="00236E8A"/>
    <w:rsid w:val="00240BC8"/>
    <w:rsid w:val="002420D0"/>
    <w:rsid w:val="00242487"/>
    <w:rsid w:val="00243411"/>
    <w:rsid w:val="00246B32"/>
    <w:rsid w:val="00251A53"/>
    <w:rsid w:val="0025489C"/>
    <w:rsid w:val="0026406F"/>
    <w:rsid w:val="002653F2"/>
    <w:rsid w:val="00266589"/>
    <w:rsid w:val="00267792"/>
    <w:rsid w:val="002712A9"/>
    <w:rsid w:val="00271316"/>
    <w:rsid w:val="00272417"/>
    <w:rsid w:val="00274CC3"/>
    <w:rsid w:val="00276414"/>
    <w:rsid w:val="002779AA"/>
    <w:rsid w:val="00282EBE"/>
    <w:rsid w:val="00283F74"/>
    <w:rsid w:val="00286C1D"/>
    <w:rsid w:val="00286C4C"/>
    <w:rsid w:val="00294BF6"/>
    <w:rsid w:val="00294D5A"/>
    <w:rsid w:val="002955DA"/>
    <w:rsid w:val="00295A71"/>
    <w:rsid w:val="00296313"/>
    <w:rsid w:val="00296DA0"/>
    <w:rsid w:val="00297006"/>
    <w:rsid w:val="002978E6"/>
    <w:rsid w:val="002A0A7A"/>
    <w:rsid w:val="002A0D8C"/>
    <w:rsid w:val="002A27F8"/>
    <w:rsid w:val="002A51DF"/>
    <w:rsid w:val="002A684E"/>
    <w:rsid w:val="002A6C06"/>
    <w:rsid w:val="002B074A"/>
    <w:rsid w:val="002B10D5"/>
    <w:rsid w:val="002B3296"/>
    <w:rsid w:val="002B3C84"/>
    <w:rsid w:val="002B5490"/>
    <w:rsid w:val="002C12ED"/>
    <w:rsid w:val="002C49BA"/>
    <w:rsid w:val="002C4B75"/>
    <w:rsid w:val="002C73F6"/>
    <w:rsid w:val="002C7D5E"/>
    <w:rsid w:val="002D58BE"/>
    <w:rsid w:val="002E4D1D"/>
    <w:rsid w:val="002E51E0"/>
    <w:rsid w:val="002E5411"/>
    <w:rsid w:val="002E7A84"/>
    <w:rsid w:val="002F1BD0"/>
    <w:rsid w:val="003013EE"/>
    <w:rsid w:val="00303F7C"/>
    <w:rsid w:val="00304031"/>
    <w:rsid w:val="00311808"/>
    <w:rsid w:val="00311851"/>
    <w:rsid w:val="00311CD5"/>
    <w:rsid w:val="00316725"/>
    <w:rsid w:val="00316A69"/>
    <w:rsid w:val="003231C6"/>
    <w:rsid w:val="00323E49"/>
    <w:rsid w:val="003247A5"/>
    <w:rsid w:val="00325939"/>
    <w:rsid w:val="003273BC"/>
    <w:rsid w:val="00331F05"/>
    <w:rsid w:val="00335759"/>
    <w:rsid w:val="00337750"/>
    <w:rsid w:val="0034384D"/>
    <w:rsid w:val="00345D42"/>
    <w:rsid w:val="00346224"/>
    <w:rsid w:val="0034636C"/>
    <w:rsid w:val="0035089A"/>
    <w:rsid w:val="003511BC"/>
    <w:rsid w:val="00356083"/>
    <w:rsid w:val="0036076B"/>
    <w:rsid w:val="00361609"/>
    <w:rsid w:val="00364098"/>
    <w:rsid w:val="00366978"/>
    <w:rsid w:val="0037003F"/>
    <w:rsid w:val="00372BCF"/>
    <w:rsid w:val="00373365"/>
    <w:rsid w:val="00377BD3"/>
    <w:rsid w:val="003807EA"/>
    <w:rsid w:val="003829D8"/>
    <w:rsid w:val="0038304D"/>
    <w:rsid w:val="00384088"/>
    <w:rsid w:val="0038489B"/>
    <w:rsid w:val="00385BE9"/>
    <w:rsid w:val="0039169B"/>
    <w:rsid w:val="00392277"/>
    <w:rsid w:val="00394B90"/>
    <w:rsid w:val="003968CC"/>
    <w:rsid w:val="003A03FF"/>
    <w:rsid w:val="003A04F5"/>
    <w:rsid w:val="003A22FC"/>
    <w:rsid w:val="003A5137"/>
    <w:rsid w:val="003A6BAC"/>
    <w:rsid w:val="003A6BED"/>
    <w:rsid w:val="003A7F8C"/>
    <w:rsid w:val="003B08DA"/>
    <w:rsid w:val="003B11F9"/>
    <w:rsid w:val="003B2B56"/>
    <w:rsid w:val="003B41E9"/>
    <w:rsid w:val="003B532E"/>
    <w:rsid w:val="003B6306"/>
    <w:rsid w:val="003B6602"/>
    <w:rsid w:val="003B6F14"/>
    <w:rsid w:val="003B6F60"/>
    <w:rsid w:val="003C1870"/>
    <w:rsid w:val="003C5DD6"/>
    <w:rsid w:val="003C6136"/>
    <w:rsid w:val="003D0F8B"/>
    <w:rsid w:val="003D39F2"/>
    <w:rsid w:val="003D5A63"/>
    <w:rsid w:val="003D6425"/>
    <w:rsid w:val="003D66A7"/>
    <w:rsid w:val="003D7EE8"/>
    <w:rsid w:val="003E3AC5"/>
    <w:rsid w:val="003E3B14"/>
    <w:rsid w:val="003F0A6C"/>
    <w:rsid w:val="003F0F49"/>
    <w:rsid w:val="003F1363"/>
    <w:rsid w:val="003F671F"/>
    <w:rsid w:val="00403C69"/>
    <w:rsid w:val="00405EC2"/>
    <w:rsid w:val="00406278"/>
    <w:rsid w:val="00406297"/>
    <w:rsid w:val="00412C81"/>
    <w:rsid w:val="004131D4"/>
    <w:rsid w:val="0041348E"/>
    <w:rsid w:val="00413E0C"/>
    <w:rsid w:val="00414895"/>
    <w:rsid w:val="004208C6"/>
    <w:rsid w:val="00420B7C"/>
    <w:rsid w:val="00421605"/>
    <w:rsid w:val="004269E6"/>
    <w:rsid w:val="00433357"/>
    <w:rsid w:val="00435762"/>
    <w:rsid w:val="00435E45"/>
    <w:rsid w:val="004364D9"/>
    <w:rsid w:val="00437819"/>
    <w:rsid w:val="00437A8D"/>
    <w:rsid w:val="00440C4F"/>
    <w:rsid w:val="00441E8B"/>
    <w:rsid w:val="004445FD"/>
    <w:rsid w:val="00446FBA"/>
    <w:rsid w:val="00447308"/>
    <w:rsid w:val="00447990"/>
    <w:rsid w:val="004500BC"/>
    <w:rsid w:val="00451B1B"/>
    <w:rsid w:val="004552B4"/>
    <w:rsid w:val="00460CF8"/>
    <w:rsid w:val="00462253"/>
    <w:rsid w:val="00462CB2"/>
    <w:rsid w:val="004631CC"/>
    <w:rsid w:val="00467DB2"/>
    <w:rsid w:val="00472FC1"/>
    <w:rsid w:val="004755BA"/>
    <w:rsid w:val="004765FF"/>
    <w:rsid w:val="00481E58"/>
    <w:rsid w:val="0048520E"/>
    <w:rsid w:val="00486163"/>
    <w:rsid w:val="00492075"/>
    <w:rsid w:val="0049304E"/>
    <w:rsid w:val="00495290"/>
    <w:rsid w:val="004969AD"/>
    <w:rsid w:val="00496E2A"/>
    <w:rsid w:val="004A0244"/>
    <w:rsid w:val="004A3CDF"/>
    <w:rsid w:val="004A3FF4"/>
    <w:rsid w:val="004A7674"/>
    <w:rsid w:val="004A783D"/>
    <w:rsid w:val="004B13CB"/>
    <w:rsid w:val="004B2466"/>
    <w:rsid w:val="004B3C6F"/>
    <w:rsid w:val="004B4FDF"/>
    <w:rsid w:val="004B4FF2"/>
    <w:rsid w:val="004B716F"/>
    <w:rsid w:val="004B7C16"/>
    <w:rsid w:val="004B7E77"/>
    <w:rsid w:val="004C3355"/>
    <w:rsid w:val="004D04E2"/>
    <w:rsid w:val="004D3C01"/>
    <w:rsid w:val="004D4243"/>
    <w:rsid w:val="004D5D5C"/>
    <w:rsid w:val="004D752D"/>
    <w:rsid w:val="004D7763"/>
    <w:rsid w:val="004E27DE"/>
    <w:rsid w:val="004E2F10"/>
    <w:rsid w:val="004E3276"/>
    <w:rsid w:val="004E4F74"/>
    <w:rsid w:val="004E5959"/>
    <w:rsid w:val="004E704A"/>
    <w:rsid w:val="004F051F"/>
    <w:rsid w:val="004F3D95"/>
    <w:rsid w:val="004F660E"/>
    <w:rsid w:val="004F7270"/>
    <w:rsid w:val="005004A4"/>
    <w:rsid w:val="0050139F"/>
    <w:rsid w:val="0050712D"/>
    <w:rsid w:val="00510692"/>
    <w:rsid w:val="00510F4D"/>
    <w:rsid w:val="00516722"/>
    <w:rsid w:val="00517624"/>
    <w:rsid w:val="00520565"/>
    <w:rsid w:val="00521223"/>
    <w:rsid w:val="00523934"/>
    <w:rsid w:val="00523D3E"/>
    <w:rsid w:val="00524DF1"/>
    <w:rsid w:val="005252E6"/>
    <w:rsid w:val="0052716E"/>
    <w:rsid w:val="00531317"/>
    <w:rsid w:val="00532A8A"/>
    <w:rsid w:val="00533CBA"/>
    <w:rsid w:val="00536513"/>
    <w:rsid w:val="00536DB4"/>
    <w:rsid w:val="00541D24"/>
    <w:rsid w:val="00543159"/>
    <w:rsid w:val="0054377E"/>
    <w:rsid w:val="0054450F"/>
    <w:rsid w:val="0055140B"/>
    <w:rsid w:val="00552F9E"/>
    <w:rsid w:val="00554C4F"/>
    <w:rsid w:val="00561D72"/>
    <w:rsid w:val="00564F36"/>
    <w:rsid w:val="00566EEB"/>
    <w:rsid w:val="00570FA3"/>
    <w:rsid w:val="00571510"/>
    <w:rsid w:val="00571767"/>
    <w:rsid w:val="00576FB4"/>
    <w:rsid w:val="00577133"/>
    <w:rsid w:val="00581664"/>
    <w:rsid w:val="00585238"/>
    <w:rsid w:val="005855FC"/>
    <w:rsid w:val="00586EB9"/>
    <w:rsid w:val="00592321"/>
    <w:rsid w:val="005933B2"/>
    <w:rsid w:val="00593B87"/>
    <w:rsid w:val="005964AB"/>
    <w:rsid w:val="005A2BEB"/>
    <w:rsid w:val="005A3485"/>
    <w:rsid w:val="005A5E0C"/>
    <w:rsid w:val="005A6739"/>
    <w:rsid w:val="005B0278"/>
    <w:rsid w:val="005B25C3"/>
    <w:rsid w:val="005B2DD6"/>
    <w:rsid w:val="005B41B7"/>
    <w:rsid w:val="005B44F5"/>
    <w:rsid w:val="005B6D88"/>
    <w:rsid w:val="005C099A"/>
    <w:rsid w:val="005C116F"/>
    <w:rsid w:val="005C13B5"/>
    <w:rsid w:val="005C26D1"/>
    <w:rsid w:val="005C3173"/>
    <w:rsid w:val="005C31A5"/>
    <w:rsid w:val="005C3248"/>
    <w:rsid w:val="005C3F17"/>
    <w:rsid w:val="005C4740"/>
    <w:rsid w:val="005D0BEA"/>
    <w:rsid w:val="005D4916"/>
    <w:rsid w:val="005E032D"/>
    <w:rsid w:val="005E0641"/>
    <w:rsid w:val="005E0D2B"/>
    <w:rsid w:val="005E10C9"/>
    <w:rsid w:val="005E61DD"/>
    <w:rsid w:val="005E6321"/>
    <w:rsid w:val="005F5413"/>
    <w:rsid w:val="005F7D38"/>
    <w:rsid w:val="00600B9C"/>
    <w:rsid w:val="006023DF"/>
    <w:rsid w:val="0060693B"/>
    <w:rsid w:val="00610D10"/>
    <w:rsid w:val="006117C6"/>
    <w:rsid w:val="00611CD2"/>
    <w:rsid w:val="00615AB9"/>
    <w:rsid w:val="00617602"/>
    <w:rsid w:val="00620ECD"/>
    <w:rsid w:val="00621FDD"/>
    <w:rsid w:val="00622B63"/>
    <w:rsid w:val="0062351E"/>
    <w:rsid w:val="00624A81"/>
    <w:rsid w:val="0062697F"/>
    <w:rsid w:val="00627881"/>
    <w:rsid w:val="00636181"/>
    <w:rsid w:val="00637E99"/>
    <w:rsid w:val="006422AD"/>
    <w:rsid w:val="006430DA"/>
    <w:rsid w:val="0064322F"/>
    <w:rsid w:val="006449A5"/>
    <w:rsid w:val="00644F99"/>
    <w:rsid w:val="006463EE"/>
    <w:rsid w:val="00657DE0"/>
    <w:rsid w:val="006608C4"/>
    <w:rsid w:val="006612C2"/>
    <w:rsid w:val="00661FB8"/>
    <w:rsid w:val="00665B75"/>
    <w:rsid w:val="00667F38"/>
    <w:rsid w:val="0067199F"/>
    <w:rsid w:val="006747D8"/>
    <w:rsid w:val="00674AEF"/>
    <w:rsid w:val="00675DB5"/>
    <w:rsid w:val="00676ED7"/>
    <w:rsid w:val="00677048"/>
    <w:rsid w:val="006774C6"/>
    <w:rsid w:val="00680225"/>
    <w:rsid w:val="00685313"/>
    <w:rsid w:val="00685A9F"/>
    <w:rsid w:val="00686B6D"/>
    <w:rsid w:val="00690B44"/>
    <w:rsid w:val="006912F3"/>
    <w:rsid w:val="00696E7A"/>
    <w:rsid w:val="006A0D14"/>
    <w:rsid w:val="006A47E5"/>
    <w:rsid w:val="006A6E9B"/>
    <w:rsid w:val="006A747C"/>
    <w:rsid w:val="006B1038"/>
    <w:rsid w:val="006B24E7"/>
    <w:rsid w:val="006B502E"/>
    <w:rsid w:val="006B5AA9"/>
    <w:rsid w:val="006B73C2"/>
    <w:rsid w:val="006B7C2A"/>
    <w:rsid w:val="006B7CC5"/>
    <w:rsid w:val="006C03CD"/>
    <w:rsid w:val="006C23DA"/>
    <w:rsid w:val="006C7898"/>
    <w:rsid w:val="006C7CA9"/>
    <w:rsid w:val="006D2DD5"/>
    <w:rsid w:val="006D4843"/>
    <w:rsid w:val="006D6130"/>
    <w:rsid w:val="006D6DDA"/>
    <w:rsid w:val="006E099C"/>
    <w:rsid w:val="006E3D45"/>
    <w:rsid w:val="006E64F1"/>
    <w:rsid w:val="006E7629"/>
    <w:rsid w:val="006F0C99"/>
    <w:rsid w:val="006F1889"/>
    <w:rsid w:val="006F7874"/>
    <w:rsid w:val="006F7BD3"/>
    <w:rsid w:val="007034D9"/>
    <w:rsid w:val="00705932"/>
    <w:rsid w:val="007149F9"/>
    <w:rsid w:val="00715225"/>
    <w:rsid w:val="0071531C"/>
    <w:rsid w:val="0071541F"/>
    <w:rsid w:val="007167D5"/>
    <w:rsid w:val="00716FE5"/>
    <w:rsid w:val="00720DD1"/>
    <w:rsid w:val="007255CC"/>
    <w:rsid w:val="007265FE"/>
    <w:rsid w:val="00730009"/>
    <w:rsid w:val="00733A30"/>
    <w:rsid w:val="007372E2"/>
    <w:rsid w:val="007379E5"/>
    <w:rsid w:val="00743072"/>
    <w:rsid w:val="00745AEE"/>
    <w:rsid w:val="00747028"/>
    <w:rsid w:val="007479EA"/>
    <w:rsid w:val="00747A98"/>
    <w:rsid w:val="00750F10"/>
    <w:rsid w:val="0075242F"/>
    <w:rsid w:val="00753EC0"/>
    <w:rsid w:val="00756ADC"/>
    <w:rsid w:val="007606A7"/>
    <w:rsid w:val="00761CEF"/>
    <w:rsid w:val="007654FE"/>
    <w:rsid w:val="00765BA5"/>
    <w:rsid w:val="007664D4"/>
    <w:rsid w:val="00770D7E"/>
    <w:rsid w:val="007742CA"/>
    <w:rsid w:val="0077509B"/>
    <w:rsid w:val="00776DB1"/>
    <w:rsid w:val="0077768B"/>
    <w:rsid w:val="0077794B"/>
    <w:rsid w:val="00792DB8"/>
    <w:rsid w:val="00793BB0"/>
    <w:rsid w:val="00794ABD"/>
    <w:rsid w:val="00795C00"/>
    <w:rsid w:val="0079605E"/>
    <w:rsid w:val="007A7FAF"/>
    <w:rsid w:val="007B12EB"/>
    <w:rsid w:val="007B2EB6"/>
    <w:rsid w:val="007B3BF6"/>
    <w:rsid w:val="007B4578"/>
    <w:rsid w:val="007C0A4D"/>
    <w:rsid w:val="007C2360"/>
    <w:rsid w:val="007C5A7B"/>
    <w:rsid w:val="007D06F0"/>
    <w:rsid w:val="007D35D0"/>
    <w:rsid w:val="007D3C25"/>
    <w:rsid w:val="007D45E3"/>
    <w:rsid w:val="007D5320"/>
    <w:rsid w:val="007D714B"/>
    <w:rsid w:val="007E065B"/>
    <w:rsid w:val="007E0A1D"/>
    <w:rsid w:val="007E1D58"/>
    <w:rsid w:val="007E28A9"/>
    <w:rsid w:val="007E4F6C"/>
    <w:rsid w:val="007E713F"/>
    <w:rsid w:val="007E7819"/>
    <w:rsid w:val="007E799D"/>
    <w:rsid w:val="007F236E"/>
    <w:rsid w:val="007F2668"/>
    <w:rsid w:val="007F26E3"/>
    <w:rsid w:val="007F535C"/>
    <w:rsid w:val="007F54EB"/>
    <w:rsid w:val="007F735C"/>
    <w:rsid w:val="0080080F"/>
    <w:rsid w:val="00800972"/>
    <w:rsid w:val="00804475"/>
    <w:rsid w:val="00806949"/>
    <w:rsid w:val="0081159E"/>
    <w:rsid w:val="00811633"/>
    <w:rsid w:val="00814C00"/>
    <w:rsid w:val="00821CEF"/>
    <w:rsid w:val="00823BDC"/>
    <w:rsid w:val="00832828"/>
    <w:rsid w:val="008334AF"/>
    <w:rsid w:val="0083645A"/>
    <w:rsid w:val="0083797D"/>
    <w:rsid w:val="00837AB9"/>
    <w:rsid w:val="00840B0F"/>
    <w:rsid w:val="00840FD0"/>
    <w:rsid w:val="0084590A"/>
    <w:rsid w:val="00845C0D"/>
    <w:rsid w:val="008529D3"/>
    <w:rsid w:val="00854840"/>
    <w:rsid w:val="0085555B"/>
    <w:rsid w:val="00855FDC"/>
    <w:rsid w:val="00860F8A"/>
    <w:rsid w:val="0086299C"/>
    <w:rsid w:val="00863578"/>
    <w:rsid w:val="00863FC4"/>
    <w:rsid w:val="00867B8E"/>
    <w:rsid w:val="008711AE"/>
    <w:rsid w:val="00872FC8"/>
    <w:rsid w:val="00874817"/>
    <w:rsid w:val="00877397"/>
    <w:rsid w:val="00877D80"/>
    <w:rsid w:val="008801D3"/>
    <w:rsid w:val="00880325"/>
    <w:rsid w:val="008806F3"/>
    <w:rsid w:val="00881DBB"/>
    <w:rsid w:val="00882996"/>
    <w:rsid w:val="00883866"/>
    <w:rsid w:val="008845D0"/>
    <w:rsid w:val="0089151A"/>
    <w:rsid w:val="00893B2C"/>
    <w:rsid w:val="00894F96"/>
    <w:rsid w:val="008A0BFE"/>
    <w:rsid w:val="008A2753"/>
    <w:rsid w:val="008A2B57"/>
    <w:rsid w:val="008A3933"/>
    <w:rsid w:val="008A7165"/>
    <w:rsid w:val="008B20A4"/>
    <w:rsid w:val="008B3713"/>
    <w:rsid w:val="008B43F2"/>
    <w:rsid w:val="008B54AB"/>
    <w:rsid w:val="008B54D9"/>
    <w:rsid w:val="008B61EA"/>
    <w:rsid w:val="008B63AA"/>
    <w:rsid w:val="008B6CFF"/>
    <w:rsid w:val="008C28A0"/>
    <w:rsid w:val="008C3D02"/>
    <w:rsid w:val="008C4ADD"/>
    <w:rsid w:val="008D06CB"/>
    <w:rsid w:val="008D279B"/>
    <w:rsid w:val="008D2B46"/>
    <w:rsid w:val="008D678E"/>
    <w:rsid w:val="008E1A73"/>
    <w:rsid w:val="008E33DA"/>
    <w:rsid w:val="008E6B36"/>
    <w:rsid w:val="008E7DF8"/>
    <w:rsid w:val="008F04EE"/>
    <w:rsid w:val="008F238A"/>
    <w:rsid w:val="008F3284"/>
    <w:rsid w:val="008F36FB"/>
    <w:rsid w:val="009006A0"/>
    <w:rsid w:val="00900E22"/>
    <w:rsid w:val="009023DF"/>
    <w:rsid w:val="0090293E"/>
    <w:rsid w:val="0091016B"/>
    <w:rsid w:val="00910408"/>
    <w:rsid w:val="00910B26"/>
    <w:rsid w:val="00912004"/>
    <w:rsid w:val="009238B9"/>
    <w:rsid w:val="009274B4"/>
    <w:rsid w:val="00934743"/>
    <w:rsid w:val="00934EA2"/>
    <w:rsid w:val="009373C9"/>
    <w:rsid w:val="00941B98"/>
    <w:rsid w:val="00942FC1"/>
    <w:rsid w:val="00943545"/>
    <w:rsid w:val="00944A5C"/>
    <w:rsid w:val="00944A99"/>
    <w:rsid w:val="00951816"/>
    <w:rsid w:val="00952A66"/>
    <w:rsid w:val="00953C32"/>
    <w:rsid w:val="00964C68"/>
    <w:rsid w:val="00980AD1"/>
    <w:rsid w:val="00980AD6"/>
    <w:rsid w:val="009828A4"/>
    <w:rsid w:val="00985001"/>
    <w:rsid w:val="00986EBB"/>
    <w:rsid w:val="009907F3"/>
    <w:rsid w:val="00990A55"/>
    <w:rsid w:val="00992F9A"/>
    <w:rsid w:val="009944BE"/>
    <w:rsid w:val="00996913"/>
    <w:rsid w:val="00996ACA"/>
    <w:rsid w:val="00997678"/>
    <w:rsid w:val="009A04EC"/>
    <w:rsid w:val="009A234F"/>
    <w:rsid w:val="009A291A"/>
    <w:rsid w:val="009B28F2"/>
    <w:rsid w:val="009B5126"/>
    <w:rsid w:val="009B71C3"/>
    <w:rsid w:val="009B75FF"/>
    <w:rsid w:val="009C39A2"/>
    <w:rsid w:val="009C4D44"/>
    <w:rsid w:val="009C56E5"/>
    <w:rsid w:val="009C6F7B"/>
    <w:rsid w:val="009D1A16"/>
    <w:rsid w:val="009D3343"/>
    <w:rsid w:val="009D3429"/>
    <w:rsid w:val="009E3F7C"/>
    <w:rsid w:val="009E5FC8"/>
    <w:rsid w:val="009E687A"/>
    <w:rsid w:val="009E72E7"/>
    <w:rsid w:val="009F1203"/>
    <w:rsid w:val="009F1542"/>
    <w:rsid w:val="00A00AC6"/>
    <w:rsid w:val="00A03C5C"/>
    <w:rsid w:val="00A04FB0"/>
    <w:rsid w:val="00A066F1"/>
    <w:rsid w:val="00A1280A"/>
    <w:rsid w:val="00A141AF"/>
    <w:rsid w:val="00A15958"/>
    <w:rsid w:val="00A16D29"/>
    <w:rsid w:val="00A17756"/>
    <w:rsid w:val="00A20E5E"/>
    <w:rsid w:val="00A2101B"/>
    <w:rsid w:val="00A21E18"/>
    <w:rsid w:val="00A235FD"/>
    <w:rsid w:val="00A259A2"/>
    <w:rsid w:val="00A2618D"/>
    <w:rsid w:val="00A27146"/>
    <w:rsid w:val="00A30305"/>
    <w:rsid w:val="00A31315"/>
    <w:rsid w:val="00A31D2D"/>
    <w:rsid w:val="00A32267"/>
    <w:rsid w:val="00A32291"/>
    <w:rsid w:val="00A33D45"/>
    <w:rsid w:val="00A34772"/>
    <w:rsid w:val="00A35D6D"/>
    <w:rsid w:val="00A4049B"/>
    <w:rsid w:val="00A43642"/>
    <w:rsid w:val="00A44D51"/>
    <w:rsid w:val="00A4600A"/>
    <w:rsid w:val="00A524E6"/>
    <w:rsid w:val="00A53605"/>
    <w:rsid w:val="00A538A6"/>
    <w:rsid w:val="00A54C25"/>
    <w:rsid w:val="00A56C71"/>
    <w:rsid w:val="00A612BB"/>
    <w:rsid w:val="00A62F73"/>
    <w:rsid w:val="00A67FB8"/>
    <w:rsid w:val="00A710E7"/>
    <w:rsid w:val="00A7140C"/>
    <w:rsid w:val="00A7372E"/>
    <w:rsid w:val="00A74739"/>
    <w:rsid w:val="00A76372"/>
    <w:rsid w:val="00A76BD5"/>
    <w:rsid w:val="00A80D65"/>
    <w:rsid w:val="00A81F59"/>
    <w:rsid w:val="00A83E00"/>
    <w:rsid w:val="00A853F5"/>
    <w:rsid w:val="00A9323C"/>
    <w:rsid w:val="00A93364"/>
    <w:rsid w:val="00A93B85"/>
    <w:rsid w:val="00A96F7D"/>
    <w:rsid w:val="00AA05FD"/>
    <w:rsid w:val="00AA0B18"/>
    <w:rsid w:val="00AA4774"/>
    <w:rsid w:val="00AA666F"/>
    <w:rsid w:val="00AA7A11"/>
    <w:rsid w:val="00AB15BE"/>
    <w:rsid w:val="00AB4006"/>
    <w:rsid w:val="00AB4927"/>
    <w:rsid w:val="00AB4EF9"/>
    <w:rsid w:val="00AC007A"/>
    <w:rsid w:val="00AC034F"/>
    <w:rsid w:val="00AC1A8E"/>
    <w:rsid w:val="00AC4C17"/>
    <w:rsid w:val="00AC4DB5"/>
    <w:rsid w:val="00AD0AEB"/>
    <w:rsid w:val="00AD4C7B"/>
    <w:rsid w:val="00AE1244"/>
    <w:rsid w:val="00AE7CD5"/>
    <w:rsid w:val="00AF17A2"/>
    <w:rsid w:val="00AF2081"/>
    <w:rsid w:val="00AF2664"/>
    <w:rsid w:val="00AF45E8"/>
    <w:rsid w:val="00AF57EF"/>
    <w:rsid w:val="00B004E5"/>
    <w:rsid w:val="00B053F3"/>
    <w:rsid w:val="00B10A09"/>
    <w:rsid w:val="00B124F9"/>
    <w:rsid w:val="00B13FFC"/>
    <w:rsid w:val="00B15F9D"/>
    <w:rsid w:val="00B17325"/>
    <w:rsid w:val="00B17BDC"/>
    <w:rsid w:val="00B20035"/>
    <w:rsid w:val="00B20480"/>
    <w:rsid w:val="00B20F6D"/>
    <w:rsid w:val="00B21BEA"/>
    <w:rsid w:val="00B2212C"/>
    <w:rsid w:val="00B232A2"/>
    <w:rsid w:val="00B247C3"/>
    <w:rsid w:val="00B27180"/>
    <w:rsid w:val="00B27EA8"/>
    <w:rsid w:val="00B30ECC"/>
    <w:rsid w:val="00B35A1C"/>
    <w:rsid w:val="00B35BC5"/>
    <w:rsid w:val="00B36A3C"/>
    <w:rsid w:val="00B4012B"/>
    <w:rsid w:val="00B41367"/>
    <w:rsid w:val="00B423AE"/>
    <w:rsid w:val="00B43D73"/>
    <w:rsid w:val="00B44083"/>
    <w:rsid w:val="00B441B1"/>
    <w:rsid w:val="00B45C98"/>
    <w:rsid w:val="00B50520"/>
    <w:rsid w:val="00B5544A"/>
    <w:rsid w:val="00B639E9"/>
    <w:rsid w:val="00B6598C"/>
    <w:rsid w:val="00B66F17"/>
    <w:rsid w:val="00B71863"/>
    <w:rsid w:val="00B7345F"/>
    <w:rsid w:val="00B817CD"/>
    <w:rsid w:val="00B81D00"/>
    <w:rsid w:val="00B825BC"/>
    <w:rsid w:val="00B830CC"/>
    <w:rsid w:val="00B850F8"/>
    <w:rsid w:val="00B86916"/>
    <w:rsid w:val="00B87DA1"/>
    <w:rsid w:val="00B9105F"/>
    <w:rsid w:val="00B911B2"/>
    <w:rsid w:val="00B917E9"/>
    <w:rsid w:val="00B92195"/>
    <w:rsid w:val="00B92520"/>
    <w:rsid w:val="00B951D0"/>
    <w:rsid w:val="00B95DA2"/>
    <w:rsid w:val="00B97C6E"/>
    <w:rsid w:val="00BA231A"/>
    <w:rsid w:val="00BA2D00"/>
    <w:rsid w:val="00BA2FE8"/>
    <w:rsid w:val="00BA48E4"/>
    <w:rsid w:val="00BB1F53"/>
    <w:rsid w:val="00BB29C8"/>
    <w:rsid w:val="00BB3A95"/>
    <w:rsid w:val="00BB42AD"/>
    <w:rsid w:val="00BB4491"/>
    <w:rsid w:val="00BB66DD"/>
    <w:rsid w:val="00BB6DD0"/>
    <w:rsid w:val="00BC00FB"/>
    <w:rsid w:val="00BC0382"/>
    <w:rsid w:val="00BC1DBF"/>
    <w:rsid w:val="00BC31AC"/>
    <w:rsid w:val="00BC401E"/>
    <w:rsid w:val="00BC6488"/>
    <w:rsid w:val="00BD11D6"/>
    <w:rsid w:val="00BD239D"/>
    <w:rsid w:val="00BD31E7"/>
    <w:rsid w:val="00BD50BD"/>
    <w:rsid w:val="00BD618D"/>
    <w:rsid w:val="00BD62C6"/>
    <w:rsid w:val="00BE34A3"/>
    <w:rsid w:val="00BE7042"/>
    <w:rsid w:val="00BE7870"/>
    <w:rsid w:val="00BF095D"/>
    <w:rsid w:val="00BF3618"/>
    <w:rsid w:val="00BF4F16"/>
    <w:rsid w:val="00BF65C9"/>
    <w:rsid w:val="00C0018F"/>
    <w:rsid w:val="00C02828"/>
    <w:rsid w:val="00C03779"/>
    <w:rsid w:val="00C05634"/>
    <w:rsid w:val="00C07B4E"/>
    <w:rsid w:val="00C10393"/>
    <w:rsid w:val="00C14872"/>
    <w:rsid w:val="00C14874"/>
    <w:rsid w:val="00C166D0"/>
    <w:rsid w:val="00C16D39"/>
    <w:rsid w:val="00C20466"/>
    <w:rsid w:val="00C214ED"/>
    <w:rsid w:val="00C227EF"/>
    <w:rsid w:val="00C234E6"/>
    <w:rsid w:val="00C24E20"/>
    <w:rsid w:val="00C324A8"/>
    <w:rsid w:val="00C349B4"/>
    <w:rsid w:val="00C35C13"/>
    <w:rsid w:val="00C36662"/>
    <w:rsid w:val="00C40DF2"/>
    <w:rsid w:val="00C42307"/>
    <w:rsid w:val="00C44680"/>
    <w:rsid w:val="00C54517"/>
    <w:rsid w:val="00C55DBA"/>
    <w:rsid w:val="00C56E3C"/>
    <w:rsid w:val="00C5795E"/>
    <w:rsid w:val="00C60AEF"/>
    <w:rsid w:val="00C6240E"/>
    <w:rsid w:val="00C6439C"/>
    <w:rsid w:val="00C64CD8"/>
    <w:rsid w:val="00C720B0"/>
    <w:rsid w:val="00C73347"/>
    <w:rsid w:val="00C75E0E"/>
    <w:rsid w:val="00C75FF8"/>
    <w:rsid w:val="00C76A6C"/>
    <w:rsid w:val="00C80652"/>
    <w:rsid w:val="00C80A64"/>
    <w:rsid w:val="00C87447"/>
    <w:rsid w:val="00C90579"/>
    <w:rsid w:val="00C976EE"/>
    <w:rsid w:val="00C97C68"/>
    <w:rsid w:val="00CA18A2"/>
    <w:rsid w:val="00CA1A47"/>
    <w:rsid w:val="00CA36C5"/>
    <w:rsid w:val="00CA48CF"/>
    <w:rsid w:val="00CB1404"/>
    <w:rsid w:val="00CB1D84"/>
    <w:rsid w:val="00CB3537"/>
    <w:rsid w:val="00CB40E5"/>
    <w:rsid w:val="00CB615D"/>
    <w:rsid w:val="00CB6664"/>
    <w:rsid w:val="00CB76A2"/>
    <w:rsid w:val="00CC247A"/>
    <w:rsid w:val="00CC41F6"/>
    <w:rsid w:val="00CD2733"/>
    <w:rsid w:val="00CD2A68"/>
    <w:rsid w:val="00CD2BC1"/>
    <w:rsid w:val="00CD3139"/>
    <w:rsid w:val="00CD4117"/>
    <w:rsid w:val="00CD7BC2"/>
    <w:rsid w:val="00CD7EC4"/>
    <w:rsid w:val="00CE3B74"/>
    <w:rsid w:val="00CE5ACA"/>
    <w:rsid w:val="00CE5E47"/>
    <w:rsid w:val="00CE66E4"/>
    <w:rsid w:val="00CE7A25"/>
    <w:rsid w:val="00CF020F"/>
    <w:rsid w:val="00CF269A"/>
    <w:rsid w:val="00CF2A29"/>
    <w:rsid w:val="00CF2B5B"/>
    <w:rsid w:val="00CF33C0"/>
    <w:rsid w:val="00CF4A84"/>
    <w:rsid w:val="00D00E2A"/>
    <w:rsid w:val="00D0723D"/>
    <w:rsid w:val="00D10D23"/>
    <w:rsid w:val="00D12A27"/>
    <w:rsid w:val="00D14CE0"/>
    <w:rsid w:val="00D1747C"/>
    <w:rsid w:val="00D217E0"/>
    <w:rsid w:val="00D233CB"/>
    <w:rsid w:val="00D27D0F"/>
    <w:rsid w:val="00D33DC1"/>
    <w:rsid w:val="00D36333"/>
    <w:rsid w:val="00D42CDE"/>
    <w:rsid w:val="00D42FEE"/>
    <w:rsid w:val="00D44DE2"/>
    <w:rsid w:val="00D45A9C"/>
    <w:rsid w:val="00D53EAE"/>
    <w:rsid w:val="00D541E4"/>
    <w:rsid w:val="00D5651D"/>
    <w:rsid w:val="00D56836"/>
    <w:rsid w:val="00D61378"/>
    <w:rsid w:val="00D62D8E"/>
    <w:rsid w:val="00D634E2"/>
    <w:rsid w:val="00D67A2E"/>
    <w:rsid w:val="00D71278"/>
    <w:rsid w:val="00D724BE"/>
    <w:rsid w:val="00D73CFE"/>
    <w:rsid w:val="00D74898"/>
    <w:rsid w:val="00D75941"/>
    <w:rsid w:val="00D75EB3"/>
    <w:rsid w:val="00D801ED"/>
    <w:rsid w:val="00D83BF5"/>
    <w:rsid w:val="00D8609B"/>
    <w:rsid w:val="00D864B0"/>
    <w:rsid w:val="00D87035"/>
    <w:rsid w:val="00D87E9C"/>
    <w:rsid w:val="00D91F0E"/>
    <w:rsid w:val="00D925C2"/>
    <w:rsid w:val="00D936BC"/>
    <w:rsid w:val="00D95534"/>
    <w:rsid w:val="00D9621A"/>
    <w:rsid w:val="00D96530"/>
    <w:rsid w:val="00D96B4B"/>
    <w:rsid w:val="00DA2345"/>
    <w:rsid w:val="00DA273A"/>
    <w:rsid w:val="00DA3AC1"/>
    <w:rsid w:val="00DA3AC4"/>
    <w:rsid w:val="00DA453A"/>
    <w:rsid w:val="00DA561A"/>
    <w:rsid w:val="00DA5C6F"/>
    <w:rsid w:val="00DA6B46"/>
    <w:rsid w:val="00DA7078"/>
    <w:rsid w:val="00DB1086"/>
    <w:rsid w:val="00DB2FB8"/>
    <w:rsid w:val="00DB4598"/>
    <w:rsid w:val="00DB4E0A"/>
    <w:rsid w:val="00DB71F7"/>
    <w:rsid w:val="00DB750F"/>
    <w:rsid w:val="00DC19DC"/>
    <w:rsid w:val="00DC2A65"/>
    <w:rsid w:val="00DC3758"/>
    <w:rsid w:val="00DC3FC1"/>
    <w:rsid w:val="00DC574F"/>
    <w:rsid w:val="00DC6EEA"/>
    <w:rsid w:val="00DD08B4"/>
    <w:rsid w:val="00DD44AF"/>
    <w:rsid w:val="00DE2AC3"/>
    <w:rsid w:val="00DE434C"/>
    <w:rsid w:val="00DE5692"/>
    <w:rsid w:val="00DE5E67"/>
    <w:rsid w:val="00DE7766"/>
    <w:rsid w:val="00DE79F1"/>
    <w:rsid w:val="00DF02A0"/>
    <w:rsid w:val="00DF1E46"/>
    <w:rsid w:val="00DF21DF"/>
    <w:rsid w:val="00DF2347"/>
    <w:rsid w:val="00DF2D60"/>
    <w:rsid w:val="00DF6F8E"/>
    <w:rsid w:val="00E02014"/>
    <w:rsid w:val="00E03C94"/>
    <w:rsid w:val="00E03CF8"/>
    <w:rsid w:val="00E06AEA"/>
    <w:rsid w:val="00E07105"/>
    <w:rsid w:val="00E11115"/>
    <w:rsid w:val="00E12074"/>
    <w:rsid w:val="00E1307C"/>
    <w:rsid w:val="00E17BAD"/>
    <w:rsid w:val="00E21B22"/>
    <w:rsid w:val="00E236C9"/>
    <w:rsid w:val="00E239BD"/>
    <w:rsid w:val="00E241C9"/>
    <w:rsid w:val="00E26226"/>
    <w:rsid w:val="00E31B77"/>
    <w:rsid w:val="00E32F51"/>
    <w:rsid w:val="00E36E67"/>
    <w:rsid w:val="00E378D8"/>
    <w:rsid w:val="00E4021C"/>
    <w:rsid w:val="00E4059F"/>
    <w:rsid w:val="00E4165C"/>
    <w:rsid w:val="00E422AC"/>
    <w:rsid w:val="00E425D0"/>
    <w:rsid w:val="00E45D05"/>
    <w:rsid w:val="00E528F8"/>
    <w:rsid w:val="00E5442B"/>
    <w:rsid w:val="00E55816"/>
    <w:rsid w:val="00E55AEF"/>
    <w:rsid w:val="00E61442"/>
    <w:rsid w:val="00E64B4B"/>
    <w:rsid w:val="00E66A93"/>
    <w:rsid w:val="00E71B64"/>
    <w:rsid w:val="00E81961"/>
    <w:rsid w:val="00E82877"/>
    <w:rsid w:val="00E83BBB"/>
    <w:rsid w:val="00E84088"/>
    <w:rsid w:val="00E84F53"/>
    <w:rsid w:val="00E90BE9"/>
    <w:rsid w:val="00E976C1"/>
    <w:rsid w:val="00EA025D"/>
    <w:rsid w:val="00EA07F0"/>
    <w:rsid w:val="00EA12E5"/>
    <w:rsid w:val="00EA2136"/>
    <w:rsid w:val="00EA36A2"/>
    <w:rsid w:val="00EA3D99"/>
    <w:rsid w:val="00EA66A4"/>
    <w:rsid w:val="00EB00F7"/>
    <w:rsid w:val="00EB0E5E"/>
    <w:rsid w:val="00EB2238"/>
    <w:rsid w:val="00EB4AE6"/>
    <w:rsid w:val="00EB4C45"/>
    <w:rsid w:val="00EC00DF"/>
    <w:rsid w:val="00EC0FC2"/>
    <w:rsid w:val="00EC3585"/>
    <w:rsid w:val="00EC6B65"/>
    <w:rsid w:val="00ED29AB"/>
    <w:rsid w:val="00ED335C"/>
    <w:rsid w:val="00ED44A8"/>
    <w:rsid w:val="00ED5AAF"/>
    <w:rsid w:val="00EE3198"/>
    <w:rsid w:val="00EE4646"/>
    <w:rsid w:val="00EE67EC"/>
    <w:rsid w:val="00EF1349"/>
    <w:rsid w:val="00EF33D5"/>
    <w:rsid w:val="00EF481F"/>
    <w:rsid w:val="00F000EA"/>
    <w:rsid w:val="00F02766"/>
    <w:rsid w:val="00F03EB7"/>
    <w:rsid w:val="00F04067"/>
    <w:rsid w:val="00F0520E"/>
    <w:rsid w:val="00F05BD4"/>
    <w:rsid w:val="00F07F46"/>
    <w:rsid w:val="00F11A98"/>
    <w:rsid w:val="00F13242"/>
    <w:rsid w:val="00F1463E"/>
    <w:rsid w:val="00F15368"/>
    <w:rsid w:val="00F15E05"/>
    <w:rsid w:val="00F16F35"/>
    <w:rsid w:val="00F20CA2"/>
    <w:rsid w:val="00F21A1D"/>
    <w:rsid w:val="00F21D10"/>
    <w:rsid w:val="00F277F9"/>
    <w:rsid w:val="00F339E3"/>
    <w:rsid w:val="00F340C8"/>
    <w:rsid w:val="00F349CB"/>
    <w:rsid w:val="00F354F7"/>
    <w:rsid w:val="00F357E0"/>
    <w:rsid w:val="00F45892"/>
    <w:rsid w:val="00F53615"/>
    <w:rsid w:val="00F579D6"/>
    <w:rsid w:val="00F61818"/>
    <w:rsid w:val="00F623D9"/>
    <w:rsid w:val="00F64274"/>
    <w:rsid w:val="00F64DBC"/>
    <w:rsid w:val="00F659A6"/>
    <w:rsid w:val="00F65C19"/>
    <w:rsid w:val="00F6660F"/>
    <w:rsid w:val="00F667A1"/>
    <w:rsid w:val="00F66B3A"/>
    <w:rsid w:val="00F67276"/>
    <w:rsid w:val="00F723AC"/>
    <w:rsid w:val="00F7338B"/>
    <w:rsid w:val="00F7440E"/>
    <w:rsid w:val="00F76603"/>
    <w:rsid w:val="00F772D4"/>
    <w:rsid w:val="00F808C6"/>
    <w:rsid w:val="00F83F60"/>
    <w:rsid w:val="00F8476E"/>
    <w:rsid w:val="00F848EE"/>
    <w:rsid w:val="00F84DF8"/>
    <w:rsid w:val="00F91898"/>
    <w:rsid w:val="00F9323D"/>
    <w:rsid w:val="00F94FEF"/>
    <w:rsid w:val="00F971FB"/>
    <w:rsid w:val="00FA4CD4"/>
    <w:rsid w:val="00FA579C"/>
    <w:rsid w:val="00FA668B"/>
    <w:rsid w:val="00FB20E0"/>
    <w:rsid w:val="00FB34B9"/>
    <w:rsid w:val="00FC0BEF"/>
    <w:rsid w:val="00FC24DA"/>
    <w:rsid w:val="00FC4678"/>
    <w:rsid w:val="00FC6545"/>
    <w:rsid w:val="00FD0183"/>
    <w:rsid w:val="00FD037B"/>
    <w:rsid w:val="00FD2546"/>
    <w:rsid w:val="00FD772E"/>
    <w:rsid w:val="00FE3346"/>
    <w:rsid w:val="00FE3926"/>
    <w:rsid w:val="00FE48BE"/>
    <w:rsid w:val="00FE4D2F"/>
    <w:rsid w:val="00FE7205"/>
    <w:rsid w:val="00FE78C7"/>
    <w:rsid w:val="00FF21ED"/>
    <w:rsid w:val="00FF2A26"/>
    <w:rsid w:val="00FF3D55"/>
    <w:rsid w:val="00FF43AC"/>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24FD"/>
  <w15:docId w15:val="{2B1DDD2B-189C-45BE-AE9C-2EE3A3BA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3E0C"/>
    <w:pPr>
      <w:tabs>
        <w:tab w:val="left" w:pos="1134"/>
        <w:tab w:val="left" w:pos="1871"/>
        <w:tab w:val="left" w:pos="2268"/>
      </w:tabs>
      <w:overflowPunct w:val="0"/>
      <w:autoSpaceDE w:val="0"/>
      <w:autoSpaceDN w:val="0"/>
      <w:adjustRightInd w:val="0"/>
      <w:spacing w:before="120"/>
      <w:textAlignment w:val="baseline"/>
    </w:pPr>
    <w:rPr>
      <w:rFonts w:ascii="Calibri" w:hAnsi="Calibri"/>
      <w:sz w:val="22"/>
      <w:lang w:val="ru-RU" w:eastAsia="en-US"/>
    </w:rPr>
  </w:style>
  <w:style w:type="paragraph" w:styleId="Heading1">
    <w:name w:val="heading 1"/>
    <w:basedOn w:val="Normal"/>
    <w:next w:val="Normal"/>
    <w:qFormat/>
    <w:rsid w:val="00413E0C"/>
    <w:pPr>
      <w:keepNext/>
      <w:keepLines/>
      <w:spacing w:before="280"/>
      <w:ind w:left="1134" w:hanging="1134"/>
      <w:outlineLvl w:val="0"/>
    </w:pPr>
    <w:rPr>
      <w:b/>
      <w:sz w:val="26"/>
    </w:rPr>
  </w:style>
  <w:style w:type="paragraph" w:styleId="Heading2">
    <w:name w:val="heading 2"/>
    <w:basedOn w:val="Heading1"/>
    <w:next w:val="Normal"/>
    <w:qFormat/>
    <w:rsid w:val="00413E0C"/>
    <w:pPr>
      <w:spacing w:before="200"/>
      <w:outlineLvl w:val="1"/>
    </w:pPr>
    <w:rPr>
      <w:sz w:val="22"/>
    </w:rPr>
  </w:style>
  <w:style w:type="paragraph" w:styleId="Heading3">
    <w:name w:val="heading 3"/>
    <w:basedOn w:val="Heading1"/>
    <w:next w:val="Normal"/>
    <w:qFormat/>
    <w:rsid w:val="00413E0C"/>
    <w:pPr>
      <w:tabs>
        <w:tab w:val="clear" w:pos="1134"/>
      </w:tabs>
      <w:spacing w:before="200"/>
      <w:outlineLvl w:val="2"/>
    </w:pPr>
    <w:rPr>
      <w:sz w:val="22"/>
    </w:rPr>
  </w:style>
  <w:style w:type="paragraph" w:styleId="Heading4">
    <w:name w:val="heading 4"/>
    <w:basedOn w:val="Heading3"/>
    <w:next w:val="Normal"/>
    <w:qFormat/>
    <w:rsid w:val="00413E0C"/>
    <w:pPr>
      <w:outlineLvl w:val="3"/>
    </w:pPr>
  </w:style>
  <w:style w:type="paragraph" w:styleId="Heading5">
    <w:name w:val="heading 5"/>
    <w:basedOn w:val="Heading4"/>
    <w:next w:val="Normal"/>
    <w:qFormat/>
    <w:rsid w:val="00413E0C"/>
    <w:pPr>
      <w:outlineLvl w:val="4"/>
    </w:pPr>
  </w:style>
  <w:style w:type="paragraph" w:styleId="Heading6">
    <w:name w:val="heading 6"/>
    <w:basedOn w:val="Heading4"/>
    <w:next w:val="Normal"/>
    <w:qFormat/>
    <w:rsid w:val="00413E0C"/>
    <w:pPr>
      <w:outlineLvl w:val="5"/>
    </w:pPr>
  </w:style>
  <w:style w:type="paragraph" w:styleId="Heading7">
    <w:name w:val="heading 7"/>
    <w:basedOn w:val="Heading6"/>
    <w:next w:val="Normal"/>
    <w:qFormat/>
    <w:rsid w:val="00413E0C"/>
    <w:pPr>
      <w:outlineLvl w:val="6"/>
    </w:pPr>
  </w:style>
  <w:style w:type="paragraph" w:styleId="Heading8">
    <w:name w:val="heading 8"/>
    <w:basedOn w:val="Heading6"/>
    <w:next w:val="Normal"/>
    <w:qFormat/>
    <w:rsid w:val="00413E0C"/>
    <w:pPr>
      <w:outlineLvl w:val="7"/>
    </w:pPr>
  </w:style>
  <w:style w:type="paragraph" w:styleId="Heading9">
    <w:name w:val="heading 9"/>
    <w:basedOn w:val="Heading6"/>
    <w:next w:val="Normal"/>
    <w:qFormat/>
    <w:rsid w:val="00413E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413E0C"/>
    <w:pPr>
      <w:overflowPunct/>
      <w:autoSpaceDE/>
      <w:autoSpaceDN/>
      <w:adjustRightInd/>
      <w:spacing w:before="240"/>
      <w:jc w:val="center"/>
      <w:textAlignment w:val="auto"/>
    </w:pPr>
    <w:rPr>
      <w:sz w:val="26"/>
      <w:lang w:val="es-ES_tradnl"/>
    </w:rPr>
  </w:style>
  <w:style w:type="paragraph" w:customStyle="1" w:styleId="AnnexNo">
    <w:name w:val="Annex_No"/>
    <w:basedOn w:val="Normal"/>
    <w:next w:val="Normal"/>
    <w:rsid w:val="00413E0C"/>
    <w:pPr>
      <w:keepNext/>
      <w:keepLines/>
      <w:spacing w:before="480" w:after="80"/>
      <w:jc w:val="center"/>
    </w:pPr>
    <w:rPr>
      <w:caps/>
      <w:sz w:val="26"/>
    </w:rPr>
  </w:style>
  <w:style w:type="paragraph" w:customStyle="1" w:styleId="Annexref">
    <w:name w:val="Annex_ref"/>
    <w:basedOn w:val="Normal"/>
    <w:next w:val="Normal"/>
    <w:rsid w:val="00413E0C"/>
    <w:pPr>
      <w:keepNext/>
      <w:keepLines/>
      <w:spacing w:after="280"/>
      <w:jc w:val="center"/>
    </w:pPr>
  </w:style>
  <w:style w:type="paragraph" w:customStyle="1" w:styleId="Annextitle">
    <w:name w:val="Annex_title"/>
    <w:basedOn w:val="Normal"/>
    <w:next w:val="Normal"/>
    <w:rsid w:val="00413E0C"/>
    <w:pPr>
      <w:keepNext/>
      <w:keepLines/>
      <w:spacing w:before="240" w:after="280"/>
      <w:jc w:val="center"/>
    </w:pPr>
    <w:rPr>
      <w:b/>
      <w:sz w:val="26"/>
    </w:rPr>
  </w:style>
  <w:style w:type="character" w:customStyle="1" w:styleId="Appdef">
    <w:name w:val="App_def"/>
    <w:basedOn w:val="DefaultParagraphFont"/>
    <w:rsid w:val="00413E0C"/>
    <w:rPr>
      <w:rFonts w:asciiTheme="minorHAnsi" w:hAnsiTheme="minorHAnsi"/>
      <w:b/>
    </w:rPr>
  </w:style>
  <w:style w:type="character" w:customStyle="1" w:styleId="Appref">
    <w:name w:val="App_ref"/>
    <w:basedOn w:val="DefaultParagraphFont"/>
    <w:rsid w:val="00413E0C"/>
    <w:rPr>
      <w:rFonts w:asciiTheme="minorHAnsi" w:hAnsiTheme="minorHAnsi"/>
    </w:rPr>
  </w:style>
  <w:style w:type="paragraph" w:customStyle="1" w:styleId="AppendixNo">
    <w:name w:val="Appendix_No"/>
    <w:basedOn w:val="AnnexNo"/>
    <w:next w:val="Annexref"/>
    <w:rsid w:val="00413E0C"/>
  </w:style>
  <w:style w:type="paragraph" w:customStyle="1" w:styleId="ApptoAnnex">
    <w:name w:val="App_to_Annex"/>
    <w:basedOn w:val="AppendixNo"/>
    <w:next w:val="Normal"/>
    <w:qFormat/>
    <w:rsid w:val="00413E0C"/>
  </w:style>
  <w:style w:type="paragraph" w:customStyle="1" w:styleId="Appendixref">
    <w:name w:val="Appendix_ref"/>
    <w:basedOn w:val="Annexref"/>
    <w:next w:val="Annextitle"/>
    <w:rsid w:val="00413E0C"/>
  </w:style>
  <w:style w:type="paragraph" w:customStyle="1" w:styleId="Appendixtitle">
    <w:name w:val="Appendix_title"/>
    <w:basedOn w:val="Annextitle"/>
    <w:next w:val="Normal"/>
    <w:rsid w:val="00413E0C"/>
  </w:style>
  <w:style w:type="character" w:customStyle="1" w:styleId="Artdef">
    <w:name w:val="Art_def"/>
    <w:basedOn w:val="DefaultParagraphFont"/>
    <w:rsid w:val="00413E0C"/>
    <w:rPr>
      <w:rFonts w:asciiTheme="minorHAnsi" w:hAnsiTheme="minorHAnsi"/>
      <w:b/>
    </w:rPr>
  </w:style>
  <w:style w:type="paragraph" w:customStyle="1" w:styleId="Artheading">
    <w:name w:val="Art_heading"/>
    <w:basedOn w:val="Normal"/>
    <w:next w:val="Normal"/>
    <w:rsid w:val="00413E0C"/>
    <w:pPr>
      <w:spacing w:before="480"/>
      <w:jc w:val="center"/>
    </w:pPr>
    <w:rPr>
      <w:b/>
      <w:sz w:val="26"/>
    </w:rPr>
  </w:style>
  <w:style w:type="paragraph" w:customStyle="1" w:styleId="ArtNo">
    <w:name w:val="Art_No"/>
    <w:basedOn w:val="Normal"/>
    <w:next w:val="Normal"/>
    <w:rsid w:val="00413E0C"/>
    <w:pPr>
      <w:keepNext/>
      <w:keepLines/>
      <w:spacing w:before="480"/>
      <w:jc w:val="center"/>
    </w:pPr>
    <w:rPr>
      <w:caps/>
      <w:sz w:val="26"/>
    </w:rPr>
  </w:style>
  <w:style w:type="character" w:customStyle="1" w:styleId="Artref">
    <w:name w:val="Art_ref"/>
    <w:basedOn w:val="DefaultParagraphFont"/>
    <w:rsid w:val="00413E0C"/>
    <w:rPr>
      <w:rFonts w:asciiTheme="minorHAnsi" w:hAnsiTheme="minorHAnsi"/>
    </w:rPr>
  </w:style>
  <w:style w:type="paragraph" w:customStyle="1" w:styleId="Arttitle">
    <w:name w:val="Art_title"/>
    <w:basedOn w:val="Normal"/>
    <w:next w:val="Normal"/>
    <w:rsid w:val="00413E0C"/>
    <w:pPr>
      <w:keepNext/>
      <w:keepLines/>
      <w:spacing w:before="240"/>
      <w:jc w:val="center"/>
    </w:pPr>
    <w:rPr>
      <w:b/>
      <w:sz w:val="26"/>
    </w:rPr>
  </w:style>
  <w:style w:type="paragraph" w:customStyle="1" w:styleId="Call">
    <w:name w:val="Call"/>
    <w:basedOn w:val="Normal"/>
    <w:next w:val="Normal"/>
    <w:rsid w:val="00413E0C"/>
    <w:pPr>
      <w:keepNext/>
      <w:keepLines/>
      <w:spacing w:before="160"/>
      <w:ind w:left="1134"/>
    </w:pPr>
    <w:rPr>
      <w:i/>
    </w:rPr>
  </w:style>
  <w:style w:type="paragraph" w:customStyle="1" w:styleId="ChapNo">
    <w:name w:val="Chap_No"/>
    <w:basedOn w:val="ArtNo"/>
    <w:next w:val="Normal"/>
    <w:rsid w:val="00413E0C"/>
    <w:rPr>
      <w:b/>
    </w:rPr>
  </w:style>
  <w:style w:type="paragraph" w:customStyle="1" w:styleId="Chaptitle">
    <w:name w:val="Chap_title"/>
    <w:basedOn w:val="Arttitle"/>
    <w:next w:val="Normal"/>
    <w:rsid w:val="00413E0C"/>
  </w:style>
  <w:style w:type="paragraph" w:customStyle="1" w:styleId="enumlev1">
    <w:name w:val="enumlev1"/>
    <w:basedOn w:val="Normal"/>
    <w:link w:val="enumlev1Char"/>
    <w:qFormat/>
    <w:rsid w:val="00413E0C"/>
    <w:pPr>
      <w:tabs>
        <w:tab w:val="clear" w:pos="2268"/>
        <w:tab w:val="left" w:pos="2608"/>
        <w:tab w:val="left" w:pos="3345"/>
      </w:tabs>
      <w:spacing w:before="80"/>
      <w:ind w:left="1134" w:hanging="1134"/>
    </w:pPr>
  </w:style>
  <w:style w:type="paragraph" w:customStyle="1" w:styleId="enumlev2">
    <w:name w:val="enumlev2"/>
    <w:basedOn w:val="enumlev1"/>
    <w:rsid w:val="00413E0C"/>
    <w:pPr>
      <w:ind w:left="1871" w:hanging="737"/>
    </w:pPr>
  </w:style>
  <w:style w:type="paragraph" w:customStyle="1" w:styleId="enumlev3">
    <w:name w:val="enumlev3"/>
    <w:basedOn w:val="enumlev2"/>
    <w:rsid w:val="00413E0C"/>
    <w:pPr>
      <w:ind w:left="2268" w:hanging="397"/>
    </w:pPr>
  </w:style>
  <w:style w:type="paragraph" w:customStyle="1" w:styleId="Equation">
    <w:name w:val="Equation"/>
    <w:basedOn w:val="Normal"/>
    <w:rsid w:val="00413E0C"/>
    <w:pPr>
      <w:tabs>
        <w:tab w:val="clear" w:pos="2268"/>
        <w:tab w:val="center" w:pos="4820"/>
        <w:tab w:val="right" w:pos="9639"/>
      </w:tabs>
    </w:pPr>
  </w:style>
  <w:style w:type="paragraph" w:customStyle="1" w:styleId="Equationlegend">
    <w:name w:val="Equation_legend"/>
    <w:basedOn w:val="NormalIndent"/>
    <w:rsid w:val="00413E0C"/>
    <w:pPr>
      <w:tabs>
        <w:tab w:val="clear" w:pos="1134"/>
        <w:tab w:val="clear" w:pos="2268"/>
        <w:tab w:val="right" w:pos="1871"/>
        <w:tab w:val="left" w:pos="2041"/>
      </w:tabs>
      <w:spacing w:before="80"/>
      <w:ind w:left="2041" w:hanging="2041"/>
    </w:pPr>
  </w:style>
  <w:style w:type="paragraph" w:styleId="NormalIndent">
    <w:name w:val="Normal Indent"/>
    <w:basedOn w:val="Normal"/>
    <w:rsid w:val="00413E0C"/>
    <w:pPr>
      <w:ind w:left="1134"/>
    </w:pPr>
  </w:style>
  <w:style w:type="paragraph" w:customStyle="1" w:styleId="Figure">
    <w:name w:val="Figure"/>
    <w:basedOn w:val="Normal"/>
    <w:next w:val="Normal"/>
    <w:rsid w:val="00413E0C"/>
    <w:pPr>
      <w:keepNext/>
      <w:keepLines/>
      <w:jc w:val="center"/>
    </w:pPr>
  </w:style>
  <w:style w:type="paragraph" w:customStyle="1" w:styleId="Figurelegend">
    <w:name w:val="Figure_legend"/>
    <w:basedOn w:val="Normal"/>
    <w:rsid w:val="00413E0C"/>
    <w:pPr>
      <w:keepNext/>
      <w:keepLines/>
      <w:spacing w:before="20" w:after="20"/>
    </w:pPr>
    <w:rPr>
      <w:sz w:val="18"/>
    </w:rPr>
  </w:style>
  <w:style w:type="paragraph" w:customStyle="1" w:styleId="FigureNo">
    <w:name w:val="Figure_No"/>
    <w:basedOn w:val="Normal"/>
    <w:next w:val="Normal"/>
    <w:rsid w:val="00413E0C"/>
    <w:pPr>
      <w:keepNext/>
      <w:keepLines/>
      <w:spacing w:before="480" w:after="120"/>
      <w:jc w:val="center"/>
    </w:pPr>
    <w:rPr>
      <w:caps/>
      <w:sz w:val="20"/>
    </w:rPr>
  </w:style>
  <w:style w:type="paragraph" w:customStyle="1" w:styleId="Figuretitle">
    <w:name w:val="Figure_title"/>
    <w:basedOn w:val="Normal"/>
    <w:next w:val="Normal"/>
    <w:rsid w:val="00413E0C"/>
    <w:pPr>
      <w:keepNext/>
      <w:keepLines/>
      <w:spacing w:before="0" w:after="480"/>
      <w:jc w:val="center"/>
    </w:pPr>
    <w:rPr>
      <w:b/>
      <w:sz w:val="20"/>
    </w:rPr>
  </w:style>
  <w:style w:type="paragraph" w:customStyle="1" w:styleId="Figurewithouttitle">
    <w:name w:val="Figure_without_title"/>
    <w:basedOn w:val="FigureNo"/>
    <w:next w:val="Normal"/>
    <w:rsid w:val="00413E0C"/>
    <w:pPr>
      <w:keepNext w:val="0"/>
    </w:pPr>
  </w:style>
  <w:style w:type="paragraph" w:styleId="Footer">
    <w:name w:val="footer"/>
    <w:basedOn w:val="Normal"/>
    <w:link w:val="FooterChar"/>
    <w:rsid w:val="00413E0C"/>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413E0C"/>
    <w:rPr>
      <w:rFonts w:ascii="Calibri" w:hAnsi="Calibri"/>
      <w:caps/>
      <w:noProof/>
      <w:sz w:val="16"/>
      <w:lang w:val="ru-RU" w:eastAsia="en-US"/>
    </w:rPr>
  </w:style>
  <w:style w:type="paragraph" w:customStyle="1" w:styleId="FirstFooter">
    <w:name w:val="FirstFooter"/>
    <w:basedOn w:val="Footer"/>
    <w:rsid w:val="00413E0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413E0C"/>
    <w:rPr>
      <w:rFonts w:asciiTheme="minorHAnsi" w:hAnsiTheme="minorHAnsi"/>
      <w:position w:val="6"/>
      <w:sz w:val="16"/>
    </w:rPr>
  </w:style>
  <w:style w:type="paragraph" w:styleId="FootnoteText">
    <w:name w:val="footnote text"/>
    <w:basedOn w:val="Normal"/>
    <w:link w:val="FootnoteTextChar"/>
    <w:qFormat/>
    <w:rsid w:val="00413E0C"/>
    <w:pPr>
      <w:keepLines/>
      <w:tabs>
        <w:tab w:val="clear" w:pos="1134"/>
        <w:tab w:val="clear" w:pos="1871"/>
        <w:tab w:val="clear" w:pos="2268"/>
        <w:tab w:val="left" w:pos="284"/>
      </w:tabs>
      <w:spacing w:before="60"/>
      <w:ind w:left="284" w:hanging="284"/>
    </w:pPr>
    <w:rPr>
      <w:sz w:val="20"/>
    </w:rPr>
  </w:style>
  <w:style w:type="character" w:customStyle="1" w:styleId="FootnoteTextChar">
    <w:name w:val="Footnote Text Char"/>
    <w:basedOn w:val="DefaultParagraphFont"/>
    <w:link w:val="FootnoteText"/>
    <w:qFormat/>
    <w:rsid w:val="00413E0C"/>
    <w:rPr>
      <w:rFonts w:ascii="Calibri" w:hAnsi="Calibri"/>
      <w:lang w:val="ru-RU" w:eastAsia="en-US"/>
    </w:rPr>
  </w:style>
  <w:style w:type="paragraph" w:styleId="Header">
    <w:name w:val="header"/>
    <w:basedOn w:val="Normal"/>
    <w:link w:val="HeaderChar"/>
    <w:rsid w:val="00413E0C"/>
    <w:pPr>
      <w:spacing w:before="0"/>
      <w:jc w:val="center"/>
    </w:pPr>
    <w:rPr>
      <w:sz w:val="18"/>
    </w:rPr>
  </w:style>
  <w:style w:type="character" w:customStyle="1" w:styleId="HeaderChar">
    <w:name w:val="Header Char"/>
    <w:basedOn w:val="DefaultParagraphFont"/>
    <w:link w:val="Header"/>
    <w:rsid w:val="00413E0C"/>
    <w:rPr>
      <w:rFonts w:ascii="Calibri" w:hAnsi="Calibri"/>
      <w:sz w:val="18"/>
      <w:lang w:val="ru-RU" w:eastAsia="en-US"/>
    </w:rPr>
  </w:style>
  <w:style w:type="paragraph" w:customStyle="1" w:styleId="Normalaftertitle">
    <w:name w:val="Normal after title"/>
    <w:basedOn w:val="Normal"/>
    <w:next w:val="Normal"/>
    <w:link w:val="NormalaftertitleChar"/>
    <w:rsid w:val="00413E0C"/>
    <w:pPr>
      <w:spacing w:before="280"/>
    </w:pPr>
  </w:style>
  <w:style w:type="paragraph" w:customStyle="1" w:styleId="Section1">
    <w:name w:val="Section_1"/>
    <w:basedOn w:val="Normal"/>
    <w:rsid w:val="00413E0C"/>
    <w:pPr>
      <w:tabs>
        <w:tab w:val="clear" w:pos="1134"/>
        <w:tab w:val="clear" w:pos="2268"/>
        <w:tab w:val="center" w:pos="4820"/>
      </w:tabs>
      <w:spacing w:before="360"/>
      <w:jc w:val="center"/>
    </w:pPr>
    <w:rPr>
      <w:b/>
    </w:rPr>
  </w:style>
  <w:style w:type="paragraph" w:customStyle="1" w:styleId="Section2">
    <w:name w:val="Section_2"/>
    <w:basedOn w:val="Section1"/>
    <w:rsid w:val="00413E0C"/>
    <w:rPr>
      <w:b w:val="0"/>
      <w:i/>
    </w:rPr>
  </w:style>
  <w:style w:type="paragraph" w:customStyle="1" w:styleId="Section3">
    <w:name w:val="Section_3"/>
    <w:basedOn w:val="Section1"/>
    <w:rsid w:val="00413E0C"/>
    <w:rPr>
      <w:b w:val="0"/>
    </w:rPr>
  </w:style>
  <w:style w:type="paragraph" w:customStyle="1" w:styleId="SectionNo">
    <w:name w:val="Section_No"/>
    <w:basedOn w:val="AnnexNo"/>
    <w:next w:val="Normal"/>
    <w:rsid w:val="00413E0C"/>
  </w:style>
  <w:style w:type="paragraph" w:customStyle="1" w:styleId="Sectiontitle">
    <w:name w:val="Section_title"/>
    <w:basedOn w:val="Annextitle"/>
    <w:next w:val="Normalaftertitle"/>
    <w:rsid w:val="00413E0C"/>
  </w:style>
  <w:style w:type="paragraph" w:customStyle="1" w:styleId="Source">
    <w:name w:val="Source"/>
    <w:basedOn w:val="Normal"/>
    <w:next w:val="Normal"/>
    <w:rsid w:val="00413E0C"/>
    <w:pPr>
      <w:spacing w:before="840"/>
      <w:jc w:val="center"/>
    </w:pPr>
    <w:rPr>
      <w:b/>
      <w:sz w:val="26"/>
    </w:rPr>
  </w:style>
  <w:style w:type="paragraph" w:customStyle="1" w:styleId="SpecialFooter">
    <w:name w:val="Special Footer"/>
    <w:basedOn w:val="Footer"/>
    <w:rsid w:val="00413E0C"/>
    <w:pPr>
      <w:tabs>
        <w:tab w:val="left" w:pos="1134"/>
        <w:tab w:val="left" w:pos="2268"/>
      </w:tabs>
      <w:jc w:val="both"/>
    </w:pPr>
    <w:rPr>
      <w:caps w:val="0"/>
      <w:noProof w:val="0"/>
    </w:rPr>
  </w:style>
  <w:style w:type="paragraph" w:customStyle="1" w:styleId="Subsection1">
    <w:name w:val="Subsection_1"/>
    <w:basedOn w:val="Section1"/>
    <w:next w:val="Normalaftertitle"/>
    <w:qFormat/>
    <w:rsid w:val="00413E0C"/>
  </w:style>
  <w:style w:type="character" w:customStyle="1" w:styleId="Tablefreq">
    <w:name w:val="Table_freq"/>
    <w:basedOn w:val="DefaultParagraphFont"/>
    <w:rsid w:val="00413E0C"/>
    <w:rPr>
      <w:rFonts w:asciiTheme="minorHAnsi" w:hAnsiTheme="minorHAnsi"/>
      <w:b/>
      <w:color w:val="auto"/>
      <w:sz w:val="20"/>
    </w:rPr>
  </w:style>
  <w:style w:type="paragraph" w:customStyle="1" w:styleId="Tablehead">
    <w:name w:val="Table_head"/>
    <w:basedOn w:val="Normal"/>
    <w:rsid w:val="00413E0C"/>
    <w:pPr>
      <w:keepNext/>
      <w:spacing w:before="80" w:after="80"/>
      <w:jc w:val="center"/>
    </w:pPr>
    <w:rPr>
      <w:rFonts w:cs="Times New Roman Bold"/>
      <w:b/>
      <w:sz w:val="20"/>
    </w:rPr>
  </w:style>
  <w:style w:type="paragraph" w:customStyle="1" w:styleId="Tablelegend">
    <w:name w:val="Table_legend"/>
    <w:basedOn w:val="Normal"/>
    <w:rsid w:val="00413E0C"/>
    <w:rPr>
      <w:sz w:val="20"/>
    </w:rPr>
  </w:style>
  <w:style w:type="paragraph" w:customStyle="1" w:styleId="TableNo">
    <w:name w:val="Table_No"/>
    <w:basedOn w:val="Normal"/>
    <w:next w:val="Normal"/>
    <w:rsid w:val="00413E0C"/>
    <w:pPr>
      <w:keepNext/>
      <w:spacing w:before="560" w:after="120"/>
      <w:jc w:val="center"/>
    </w:pPr>
    <w:rPr>
      <w:caps/>
      <w:sz w:val="20"/>
    </w:rPr>
  </w:style>
  <w:style w:type="paragraph" w:customStyle="1" w:styleId="Tableref">
    <w:name w:val="Table_ref"/>
    <w:basedOn w:val="Normal"/>
    <w:next w:val="Normal"/>
    <w:rsid w:val="00413E0C"/>
    <w:pPr>
      <w:keepNext/>
      <w:spacing w:before="560"/>
      <w:jc w:val="center"/>
    </w:pPr>
    <w:rPr>
      <w:sz w:val="20"/>
    </w:rPr>
  </w:style>
  <w:style w:type="paragraph" w:customStyle="1" w:styleId="Normalend">
    <w:name w:val="Normal_end"/>
    <w:basedOn w:val="Normal"/>
    <w:next w:val="Normal"/>
    <w:qFormat/>
    <w:rsid w:val="00413E0C"/>
    <w:rPr>
      <w:lang w:val="en-US"/>
    </w:rPr>
  </w:style>
  <w:style w:type="paragraph" w:customStyle="1" w:styleId="Proposal">
    <w:name w:val="Proposal"/>
    <w:basedOn w:val="Normal"/>
    <w:next w:val="Normal"/>
    <w:rsid w:val="00413E0C"/>
    <w:pPr>
      <w:keepNext/>
      <w:spacing w:before="240"/>
    </w:pPr>
    <w:rPr>
      <w:rFonts w:hAnsi="Times New Roman Bold"/>
    </w:rPr>
  </w:style>
  <w:style w:type="paragraph" w:customStyle="1" w:styleId="Reasons">
    <w:name w:val="Reasons"/>
    <w:basedOn w:val="Normal"/>
    <w:qFormat/>
    <w:rsid w:val="00413E0C"/>
    <w:pPr>
      <w:tabs>
        <w:tab w:val="clear" w:pos="2268"/>
        <w:tab w:val="left" w:pos="1588"/>
        <w:tab w:val="left" w:pos="1985"/>
      </w:tabs>
    </w:pPr>
  </w:style>
  <w:style w:type="paragraph" w:customStyle="1" w:styleId="Questiondate">
    <w:name w:val="Question_date"/>
    <w:basedOn w:val="Normal"/>
    <w:next w:val="Normalaftertitle"/>
    <w:rsid w:val="00413E0C"/>
    <w:pPr>
      <w:keepNext/>
      <w:keepLines/>
      <w:jc w:val="right"/>
    </w:pPr>
  </w:style>
  <w:style w:type="paragraph" w:customStyle="1" w:styleId="QuestionNo">
    <w:name w:val="Question_No"/>
    <w:basedOn w:val="Normal"/>
    <w:next w:val="Normal"/>
    <w:rsid w:val="00413E0C"/>
    <w:pPr>
      <w:keepNext/>
      <w:keepLines/>
      <w:spacing w:before="480"/>
      <w:jc w:val="center"/>
    </w:pPr>
    <w:rPr>
      <w:caps/>
      <w:sz w:val="26"/>
    </w:rPr>
  </w:style>
  <w:style w:type="paragraph" w:customStyle="1" w:styleId="Questiontitle">
    <w:name w:val="Question_title"/>
    <w:basedOn w:val="Normal"/>
    <w:next w:val="Normal"/>
    <w:rsid w:val="00413E0C"/>
    <w:pPr>
      <w:keepNext/>
      <w:keepLines/>
      <w:spacing w:before="240"/>
      <w:jc w:val="center"/>
    </w:pPr>
    <w:rPr>
      <w:b/>
      <w:sz w:val="26"/>
    </w:rPr>
  </w:style>
  <w:style w:type="paragraph" w:styleId="TOC1">
    <w:name w:val="toc 1"/>
    <w:basedOn w:val="Normal"/>
    <w:rsid w:val="00413E0C"/>
    <w:pPr>
      <w:keepLines/>
      <w:tabs>
        <w:tab w:val="clear" w:pos="1134"/>
        <w:tab w:val="clear" w:pos="2268"/>
        <w:tab w:val="left" w:leader="dot" w:pos="7938"/>
        <w:tab w:val="center" w:pos="9526"/>
      </w:tabs>
      <w:spacing w:before="240"/>
      <w:ind w:left="567" w:hanging="567"/>
    </w:pPr>
  </w:style>
  <w:style w:type="paragraph" w:styleId="TOC2">
    <w:name w:val="toc 2"/>
    <w:basedOn w:val="TOC1"/>
    <w:rsid w:val="00413E0C"/>
    <w:pPr>
      <w:spacing w:before="120"/>
    </w:pPr>
  </w:style>
  <w:style w:type="paragraph" w:styleId="TOC3">
    <w:name w:val="toc 3"/>
    <w:basedOn w:val="TOC2"/>
    <w:rsid w:val="00413E0C"/>
  </w:style>
  <w:style w:type="paragraph" w:styleId="TOC4">
    <w:name w:val="toc 4"/>
    <w:basedOn w:val="TOC3"/>
    <w:rsid w:val="00413E0C"/>
  </w:style>
  <w:style w:type="paragraph" w:styleId="TOC5">
    <w:name w:val="toc 5"/>
    <w:basedOn w:val="TOC4"/>
    <w:rsid w:val="00413E0C"/>
  </w:style>
  <w:style w:type="paragraph" w:styleId="TOC6">
    <w:name w:val="toc 6"/>
    <w:basedOn w:val="TOC4"/>
    <w:rsid w:val="00413E0C"/>
  </w:style>
  <w:style w:type="paragraph" w:styleId="TOC7">
    <w:name w:val="toc 7"/>
    <w:basedOn w:val="TOC4"/>
    <w:rsid w:val="00413E0C"/>
  </w:style>
  <w:style w:type="paragraph" w:styleId="TOC8">
    <w:name w:val="toc 8"/>
    <w:basedOn w:val="TOC4"/>
    <w:rsid w:val="00413E0C"/>
  </w:style>
  <w:style w:type="paragraph" w:customStyle="1" w:styleId="Title1">
    <w:name w:val="Title 1"/>
    <w:basedOn w:val="Source"/>
    <w:next w:val="Normal"/>
    <w:rsid w:val="00413E0C"/>
    <w:pPr>
      <w:spacing w:before="240"/>
    </w:pPr>
    <w:rPr>
      <w:b w:val="0"/>
    </w:rPr>
  </w:style>
  <w:style w:type="paragraph" w:customStyle="1" w:styleId="Title2">
    <w:name w:val="Title 2"/>
    <w:basedOn w:val="Source"/>
    <w:next w:val="Normal"/>
    <w:rsid w:val="00413E0C"/>
    <w:pPr>
      <w:overflowPunct/>
      <w:autoSpaceDE/>
      <w:autoSpaceDN/>
      <w:adjustRightInd/>
      <w:spacing w:before="480"/>
      <w:textAlignment w:val="auto"/>
    </w:pPr>
    <w:rPr>
      <w:b w:val="0"/>
      <w:caps/>
    </w:rPr>
  </w:style>
  <w:style w:type="paragraph" w:customStyle="1" w:styleId="Title3">
    <w:name w:val="Title 3"/>
    <w:basedOn w:val="Title2"/>
    <w:next w:val="Normal"/>
    <w:rsid w:val="00413E0C"/>
    <w:pPr>
      <w:spacing w:before="240"/>
    </w:pPr>
    <w:rPr>
      <w:caps w:val="0"/>
    </w:rPr>
  </w:style>
  <w:style w:type="paragraph" w:customStyle="1" w:styleId="Title4">
    <w:name w:val="Title 4"/>
    <w:basedOn w:val="Title3"/>
    <w:next w:val="Heading1"/>
    <w:rsid w:val="00413E0C"/>
    <w:rPr>
      <w:b/>
    </w:rPr>
  </w:style>
  <w:style w:type="paragraph" w:customStyle="1" w:styleId="Tabletext">
    <w:name w:val="Table_text"/>
    <w:basedOn w:val="Normal"/>
    <w:rsid w:val="00413E0C"/>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413E0C"/>
    <w:pPr>
      <w:keepNext/>
      <w:keepLines/>
      <w:spacing w:before="0" w:after="120"/>
      <w:jc w:val="center"/>
    </w:pPr>
    <w:rPr>
      <w:b/>
      <w:sz w:val="20"/>
    </w:rPr>
  </w:style>
  <w:style w:type="paragraph" w:customStyle="1" w:styleId="Headingi">
    <w:name w:val="Heading_i"/>
    <w:basedOn w:val="Normal"/>
    <w:next w:val="Normal"/>
    <w:qFormat/>
    <w:rsid w:val="00413E0C"/>
    <w:pPr>
      <w:spacing w:before="160"/>
    </w:pPr>
    <w:rPr>
      <w:i/>
    </w:rPr>
  </w:style>
  <w:style w:type="paragraph" w:customStyle="1" w:styleId="Headingb">
    <w:name w:val="Heading_b"/>
    <w:basedOn w:val="Normal"/>
    <w:next w:val="Normal"/>
    <w:link w:val="HeadingbChar"/>
    <w:qFormat/>
    <w:rsid w:val="00413E0C"/>
    <w:pPr>
      <w:spacing w:before="160"/>
    </w:pPr>
    <w:rPr>
      <w:rFonts w:cs="Times New Roman Bold"/>
      <w:b/>
      <w:lang w:val="fr-CH"/>
    </w:rPr>
  </w:style>
  <w:style w:type="paragraph" w:customStyle="1" w:styleId="Note">
    <w:name w:val="Note"/>
    <w:basedOn w:val="Normal"/>
    <w:next w:val="Normal"/>
    <w:rsid w:val="00413E0C"/>
    <w:pPr>
      <w:tabs>
        <w:tab w:val="left" w:pos="284"/>
      </w:tabs>
      <w:spacing w:before="80"/>
    </w:pPr>
  </w:style>
  <w:style w:type="paragraph" w:customStyle="1" w:styleId="Part1">
    <w:name w:val="Part_1"/>
    <w:basedOn w:val="Section1"/>
    <w:next w:val="Section1"/>
    <w:qFormat/>
    <w:rsid w:val="00413E0C"/>
  </w:style>
  <w:style w:type="paragraph" w:customStyle="1" w:styleId="PartNo">
    <w:name w:val="Part_No"/>
    <w:basedOn w:val="AnnexNo"/>
    <w:next w:val="Normal"/>
    <w:rsid w:val="00413E0C"/>
  </w:style>
  <w:style w:type="paragraph" w:customStyle="1" w:styleId="Partref">
    <w:name w:val="Part_ref"/>
    <w:basedOn w:val="Annexref"/>
    <w:next w:val="Normal"/>
    <w:rsid w:val="00413E0C"/>
  </w:style>
  <w:style w:type="paragraph" w:customStyle="1" w:styleId="Parttitle">
    <w:name w:val="Part_title"/>
    <w:basedOn w:val="Annextitle"/>
    <w:next w:val="Normalaftertitle"/>
    <w:rsid w:val="00413E0C"/>
  </w:style>
  <w:style w:type="paragraph" w:customStyle="1" w:styleId="Recdate">
    <w:name w:val="Rec_date"/>
    <w:basedOn w:val="Normal"/>
    <w:next w:val="Normalaftertitle"/>
    <w:rsid w:val="00413E0C"/>
    <w:pPr>
      <w:keepNext/>
      <w:keepLines/>
      <w:jc w:val="right"/>
    </w:pPr>
  </w:style>
  <w:style w:type="paragraph" w:customStyle="1" w:styleId="RecNo">
    <w:name w:val="Rec_No"/>
    <w:basedOn w:val="Normal"/>
    <w:next w:val="Normal"/>
    <w:rsid w:val="00413E0C"/>
    <w:pPr>
      <w:keepNext/>
      <w:keepLines/>
      <w:spacing w:before="480"/>
      <w:jc w:val="center"/>
    </w:pPr>
    <w:rPr>
      <w:caps/>
      <w:sz w:val="26"/>
    </w:rPr>
  </w:style>
  <w:style w:type="paragraph" w:customStyle="1" w:styleId="Rectitle">
    <w:name w:val="Rec_title"/>
    <w:basedOn w:val="RecNo"/>
    <w:next w:val="Normal"/>
    <w:rsid w:val="00413E0C"/>
    <w:pPr>
      <w:spacing w:before="240"/>
    </w:pPr>
    <w:rPr>
      <w:b/>
      <w:caps w:val="0"/>
    </w:rPr>
  </w:style>
  <w:style w:type="paragraph" w:customStyle="1" w:styleId="ResNo">
    <w:name w:val="Res_No"/>
    <w:basedOn w:val="RecNo"/>
    <w:next w:val="Normal"/>
    <w:rsid w:val="00413E0C"/>
  </w:style>
  <w:style w:type="paragraph" w:customStyle="1" w:styleId="Restitle">
    <w:name w:val="Res_title"/>
    <w:basedOn w:val="Rectitle"/>
    <w:next w:val="Normal"/>
    <w:rsid w:val="00413E0C"/>
  </w:style>
  <w:style w:type="paragraph" w:customStyle="1" w:styleId="AppArtNo">
    <w:name w:val="App_Art_No"/>
    <w:basedOn w:val="ArtNo"/>
    <w:qFormat/>
    <w:rsid w:val="00413E0C"/>
  </w:style>
  <w:style w:type="paragraph" w:customStyle="1" w:styleId="AppArttitle">
    <w:name w:val="App_Art_title"/>
    <w:basedOn w:val="Arttitle"/>
    <w:qFormat/>
    <w:rsid w:val="00413E0C"/>
  </w:style>
  <w:style w:type="paragraph" w:customStyle="1" w:styleId="Opiniontitle">
    <w:name w:val="Opinion_title"/>
    <w:basedOn w:val="Rectitle"/>
    <w:next w:val="Normalaftertitle"/>
    <w:qFormat/>
    <w:rsid w:val="00413E0C"/>
  </w:style>
  <w:style w:type="paragraph" w:customStyle="1" w:styleId="OpinionNo">
    <w:name w:val="Opinion_No"/>
    <w:basedOn w:val="RecNo"/>
    <w:next w:val="Opiniontitle"/>
    <w:qFormat/>
    <w:rsid w:val="00413E0C"/>
  </w:style>
  <w:style w:type="paragraph" w:customStyle="1" w:styleId="Volumetitle">
    <w:name w:val="Volume_title"/>
    <w:basedOn w:val="Normal"/>
    <w:qFormat/>
    <w:rsid w:val="00413E0C"/>
    <w:pPr>
      <w:tabs>
        <w:tab w:val="clear" w:pos="1134"/>
        <w:tab w:val="clear" w:pos="2268"/>
      </w:tabs>
      <w:overflowPunct/>
      <w:autoSpaceDE/>
      <w:autoSpaceDN/>
      <w:adjustRightInd/>
      <w:spacing w:before="0"/>
      <w:textAlignment w:val="auto"/>
    </w:pPr>
    <w:rPr>
      <w:b/>
      <w:sz w:val="26"/>
      <w:lang w:val="en-US"/>
    </w:rPr>
  </w:style>
  <w:style w:type="paragraph" w:styleId="BalloonText">
    <w:name w:val="Balloon Text"/>
    <w:basedOn w:val="Normal"/>
    <w:link w:val="BalloonTextChar"/>
    <w:rsid w:val="00413E0C"/>
    <w:pPr>
      <w:spacing w:before="0"/>
    </w:pPr>
    <w:rPr>
      <w:rFonts w:ascii="Tahoma" w:hAnsi="Tahoma" w:cs="Tahoma"/>
      <w:sz w:val="16"/>
      <w:szCs w:val="16"/>
    </w:rPr>
  </w:style>
  <w:style w:type="character" w:customStyle="1" w:styleId="BalloonTextChar">
    <w:name w:val="Balloon Text Char"/>
    <w:basedOn w:val="DefaultParagraphFont"/>
    <w:link w:val="BalloonText"/>
    <w:rsid w:val="00413E0C"/>
    <w:rPr>
      <w:rFonts w:ascii="Tahoma" w:hAnsi="Tahoma" w:cs="Tahoma"/>
      <w:sz w:val="16"/>
      <w:szCs w:val="16"/>
      <w:lang w:val="ru-RU" w:eastAsia="en-US"/>
    </w:rPr>
  </w:style>
  <w:style w:type="paragraph" w:customStyle="1" w:styleId="Committee">
    <w:name w:val="Committee"/>
    <w:basedOn w:val="Normal"/>
    <w:qFormat/>
    <w:rsid w:val="00413E0C"/>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超??级链Ú,fL????,fL?级,超??级链,超?级链ïÈ,õ±?级链,õ±链ïÈ1,õ±???,超?级链Ú,’´?级链,’´????,’´??级链Ú,’´??级,하이퍼링크1"/>
    <w:uiPriority w:val="99"/>
    <w:qFormat/>
    <w:rsid w:val="00413E0C"/>
    <w:rPr>
      <w:color w:val="0000FF"/>
      <w:u w:val="single"/>
    </w:rPr>
  </w:style>
  <w:style w:type="character" w:customStyle="1" w:styleId="NormalaftertitleChar">
    <w:name w:val="Normal after title Char"/>
    <w:basedOn w:val="DefaultParagraphFont"/>
    <w:link w:val="Normalaftertitle"/>
    <w:locked/>
    <w:rsid w:val="00413E0C"/>
    <w:rPr>
      <w:rFonts w:ascii="Calibri" w:hAnsi="Calibri"/>
      <w:sz w:val="22"/>
      <w:lang w:val="ru-RU" w:eastAsia="en-US"/>
    </w:rPr>
  </w:style>
  <w:style w:type="table" w:styleId="TableGrid">
    <w:name w:val="Table Grid"/>
    <w:basedOn w:val="TableNormal"/>
    <w:uiPriority w:val="59"/>
    <w:rsid w:val="00413E0C"/>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semiHidden/>
    <w:unhideWhenUsed/>
    <w:rsid w:val="00413E0C"/>
    <w:rPr>
      <w:color w:val="800080" w:themeColor="followedHyperlink"/>
      <w:u w:val="single"/>
    </w:rPr>
  </w:style>
  <w:style w:type="paragraph" w:customStyle="1" w:styleId="Default">
    <w:name w:val="Default"/>
    <w:rsid w:val="00413E0C"/>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413E0C"/>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413E0C"/>
    <w:rPr>
      <w:sz w:val="16"/>
      <w:szCs w:val="16"/>
    </w:rPr>
  </w:style>
  <w:style w:type="paragraph" w:styleId="CommentText">
    <w:name w:val="annotation text"/>
    <w:basedOn w:val="Normal"/>
    <w:link w:val="CommentTextChar"/>
    <w:unhideWhenUsed/>
    <w:rsid w:val="00413E0C"/>
    <w:rPr>
      <w:sz w:val="20"/>
    </w:rPr>
  </w:style>
  <w:style w:type="character" w:customStyle="1" w:styleId="CommentTextChar">
    <w:name w:val="Comment Text Char"/>
    <w:basedOn w:val="DefaultParagraphFont"/>
    <w:link w:val="CommentText"/>
    <w:rsid w:val="00413E0C"/>
    <w:rPr>
      <w:rFonts w:ascii="Calibri" w:hAnsi="Calibri"/>
      <w:lang w:val="ru-RU" w:eastAsia="en-US"/>
    </w:rPr>
  </w:style>
  <w:style w:type="paragraph" w:styleId="CommentSubject">
    <w:name w:val="annotation subject"/>
    <w:basedOn w:val="CommentText"/>
    <w:next w:val="CommentText"/>
    <w:link w:val="CommentSubjectChar"/>
    <w:semiHidden/>
    <w:unhideWhenUsed/>
    <w:rsid w:val="00413E0C"/>
    <w:rPr>
      <w:b/>
      <w:bCs/>
    </w:rPr>
  </w:style>
  <w:style w:type="character" w:customStyle="1" w:styleId="CommentSubjectChar">
    <w:name w:val="Comment Subject Char"/>
    <w:basedOn w:val="CommentTextChar"/>
    <w:link w:val="CommentSubject"/>
    <w:semiHidden/>
    <w:rsid w:val="00413E0C"/>
    <w:rPr>
      <w:rFonts w:ascii="Calibri" w:hAnsi="Calibri"/>
      <w:b/>
      <w:bCs/>
      <w:lang w:val="ru-RU" w:eastAsia="en-US"/>
    </w:rPr>
  </w:style>
  <w:style w:type="paragraph" w:styleId="Revision">
    <w:name w:val="Revision"/>
    <w:hidden/>
    <w:uiPriority w:val="99"/>
    <w:semiHidden/>
    <w:rsid w:val="00413E0C"/>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413E0C"/>
    <w:rPr>
      <w:color w:val="605E5C"/>
      <w:shd w:val="clear" w:color="auto" w:fill="E1DFDD"/>
    </w:rPr>
  </w:style>
  <w:style w:type="paragraph" w:customStyle="1" w:styleId="CEOAgendaItemN">
    <w:name w:val="CEO_AgendaItemN°"/>
    <w:basedOn w:val="Normal"/>
    <w:rsid w:val="00413E0C"/>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413E0C"/>
    <w:rPr>
      <w:rFonts w:ascii="Calibri" w:hAnsi="Calibri"/>
      <w:sz w:val="22"/>
      <w:lang w:val="ru-RU" w:eastAsia="en-US"/>
    </w:rPr>
  </w:style>
  <w:style w:type="character" w:customStyle="1" w:styleId="UnresolvedMention2">
    <w:name w:val="Unresolved Mention2"/>
    <w:basedOn w:val="DefaultParagraphFont"/>
    <w:uiPriority w:val="99"/>
    <w:semiHidden/>
    <w:unhideWhenUsed/>
    <w:rsid w:val="00413E0C"/>
    <w:rPr>
      <w:color w:val="605E5C"/>
      <w:shd w:val="clear" w:color="auto" w:fill="E1DFDD"/>
    </w:rPr>
  </w:style>
  <w:style w:type="character" w:styleId="UnresolvedMention">
    <w:name w:val="Unresolved Mention"/>
    <w:basedOn w:val="DefaultParagraphFont"/>
    <w:uiPriority w:val="99"/>
    <w:semiHidden/>
    <w:unhideWhenUsed/>
    <w:rsid w:val="00413E0C"/>
    <w:rPr>
      <w:color w:val="605E5C"/>
      <w:shd w:val="clear" w:color="auto" w:fill="E1DFDD"/>
    </w:rPr>
  </w:style>
  <w:style w:type="character" w:customStyle="1" w:styleId="HeadingbChar">
    <w:name w:val="Heading_b Char"/>
    <w:basedOn w:val="DefaultParagraphFont"/>
    <w:link w:val="Headingb"/>
    <w:locked/>
    <w:rsid w:val="00413E0C"/>
    <w:rPr>
      <w:rFonts w:ascii="Calibri" w:hAnsi="Calibri" w:cs="Times New Roman Bold"/>
      <w:b/>
      <w:sz w:val="22"/>
      <w:lang w:val="fr-CH" w:eastAsia="en-US"/>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1F4CE6"/>
    <w:pPr>
      <w:ind w:left="720"/>
      <w:contextualSpacing/>
    </w:pPr>
    <w:rPr>
      <w:rFonts w:asciiTheme="minorHAnsi" w:hAnsiTheme="minorHAnsi"/>
      <w:sz w:val="24"/>
      <w:lang w:val="en-GB"/>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1F4CE6"/>
    <w:rPr>
      <w:rFonts w:asciiTheme="minorHAnsi" w:hAnsiTheme="minorHAnsi"/>
      <w:sz w:val="24"/>
      <w:lang w:val="en-GB" w:eastAsia="en-US"/>
    </w:rPr>
  </w:style>
  <w:style w:type="character" w:customStyle="1" w:styleId="normaltextrun">
    <w:name w:val="normaltextrun"/>
    <w:basedOn w:val="DefaultParagraphFont"/>
    <w:rsid w:val="00725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General-Rules-E.pdf" TargetMode="External"/><Relationship Id="rId18" Type="http://schemas.openxmlformats.org/officeDocument/2006/relationships/hyperlink" Target="https://www.itu.int/md/meetingdoc.asp?lang=en&amp;parent=S24-CL-C-0030" TargetMode="External"/><Relationship Id="rId26" Type="http://schemas.openxmlformats.org/officeDocument/2006/relationships/hyperlink" Target="https://www.itu.int/en/ITU-D/Conferences/TDAG/Pages/2023/default.aspx" TargetMode="External"/><Relationship Id="rId39" Type="http://schemas.openxmlformats.org/officeDocument/2006/relationships/hyperlink" Target="https://youtu.be/_TmRrANEy9Y?feature=shared" TargetMode="External"/><Relationship Id="rId21" Type="http://schemas.openxmlformats.org/officeDocument/2006/relationships/hyperlink" Target="https://www.itu.int/md/meetingdoc.asp?lang=en&amp;parent=S24-CL-C-0030" TargetMode="External"/><Relationship Id="rId34" Type="http://schemas.openxmlformats.org/officeDocument/2006/relationships/hyperlink" Target="https://www.itu.int/md/meetingdoc.asp?lang=en&amp;parent=D22-TDAG32-C-0020" TargetMode="External"/><Relationship Id="rId42" Type="http://schemas.openxmlformats.org/officeDocument/2006/relationships/hyperlink" Target="https://www.itu.int/md/D22-RPMASP-C-0018/en" TargetMode="External"/><Relationship Id="rId47" Type="http://schemas.openxmlformats.org/officeDocument/2006/relationships/hyperlink" Target="https://youtu.be/TQMlkFoVHQ4?feature=shared" TargetMode="External"/><Relationship Id="rId50" Type="http://schemas.openxmlformats.org/officeDocument/2006/relationships/hyperlink" Target="https://www.itu.int/itu-d/reports/statistics/sddt/"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S23-SG-CIR-0051/en" TargetMode="External"/><Relationship Id="rId29" Type="http://schemas.openxmlformats.org/officeDocument/2006/relationships/hyperlink" Target="https://www.itu.int/en/ITU-D/Conferences/TDAG/Pages/2024/default.aspx" TargetMode="External"/><Relationship Id="rId11" Type="http://schemas.openxmlformats.org/officeDocument/2006/relationships/image" Target="media/image1.png"/><Relationship Id="rId24" Type="http://schemas.openxmlformats.org/officeDocument/2006/relationships/hyperlink" Target="https://www.itu.int/itu-d/meetings/wtdc25/documents/invitation-letters/" TargetMode="External"/><Relationship Id="rId32" Type="http://schemas.openxmlformats.org/officeDocument/2006/relationships/hyperlink" Target="https://www.itu.int/en/ITU-D/Conferences/TDAG/Pages/2024/TDAG_ICG_GYS.aspx" TargetMode="External"/><Relationship Id="rId37" Type="http://schemas.openxmlformats.org/officeDocument/2006/relationships/hyperlink" Target="https://www.itu.int/md/meetingdoc.asp?lang=en&amp;parent=D22-TDAG32-C-0022" TargetMode="External"/><Relationship Id="rId40" Type="http://schemas.openxmlformats.org/officeDocument/2006/relationships/hyperlink" Target="https://www.itu.int/md/D22-RPMEUR-C-0030/en" TargetMode="External"/><Relationship Id="rId45" Type="http://schemas.openxmlformats.org/officeDocument/2006/relationships/hyperlink" Target="https://youtu.be/0Q1A-_uFb2U?feature=shared" TargetMode="External"/><Relationship Id="rId53" Type="http://schemas.openxmlformats.org/officeDocument/2006/relationships/hyperlink" Target="https://www.itu.int/md/meetingdoc.asp?lang=en&amp;parent=D22-TDAG32-C-0013"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itu.int/md/meetingdoc.asp?lang=en&amp;parent=D22-TDAG31-C-002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2023/RES-077-E.pdf" TargetMode="External"/><Relationship Id="rId22" Type="http://schemas.openxmlformats.org/officeDocument/2006/relationships/hyperlink" Target="https://www.itu.int/md/S24-SG-CIR-0038/en" TargetMode="External"/><Relationship Id="rId27" Type="http://schemas.openxmlformats.org/officeDocument/2006/relationships/hyperlink" Target="https://www.itu.int/en/ITU-D/Conferences/TDAG/Pages/2024/TDAG_WG_futureSGQ.aspx" TargetMode="External"/><Relationship Id="rId30" Type="http://schemas.openxmlformats.org/officeDocument/2006/relationships/hyperlink" Target="https://www.itu.int/en/ITU-D/Conferences/TDAG/Pages/2024/TDAG_WG_ITUDP.aspx" TargetMode="External"/><Relationship Id="rId35" Type="http://schemas.openxmlformats.org/officeDocument/2006/relationships/hyperlink" Target="https://www.itu.int/md/meetingdoc.asp?lang=en&amp;parent=D22-TDAG32-C-0021" TargetMode="External"/><Relationship Id="rId43" Type="http://schemas.openxmlformats.org/officeDocument/2006/relationships/hyperlink" Target="https://youtu.be/n-9xwzs0i9I?feature=shared" TargetMode="External"/><Relationship Id="rId48" Type="http://schemas.openxmlformats.org/officeDocument/2006/relationships/hyperlink" Target="https://www.itu.int/md/meetingdoc.asp?lang=en&amp;parent=D22-RPMCIS-C-0018"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itu.int/itu-d/meetings/rdf/"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meetingdoc.asp?lang=en&amp;parent=S24-CL-C-0030" TargetMode="External"/><Relationship Id="rId25" Type="http://schemas.openxmlformats.org/officeDocument/2006/relationships/hyperlink" Target="https://www.itu.int/itu-d/meetings/wtdc25/participation/registration/" TargetMode="External"/><Relationship Id="rId33" Type="http://schemas.openxmlformats.org/officeDocument/2006/relationships/hyperlink" Target="https://www.itu.int/md/D22-TDAG32-C-0019/en" TargetMode="External"/><Relationship Id="rId38" Type="http://schemas.openxmlformats.org/officeDocument/2006/relationships/hyperlink" Target="https://www.itu.int/md/D22-RPMARB-C-0020/en" TargetMode="External"/><Relationship Id="rId46" Type="http://schemas.openxmlformats.org/officeDocument/2006/relationships/hyperlink" Target="https://www.itu.int/md/D22-RPMAFR-C-0019/en" TargetMode="External"/><Relationship Id="rId20" Type="http://schemas.openxmlformats.org/officeDocument/2006/relationships/hyperlink" Target="https://www.itu.int/md/S24-CL-C-0124/en" TargetMode="External"/><Relationship Id="rId41" Type="http://schemas.openxmlformats.org/officeDocument/2006/relationships/hyperlink" Target="https://youtu.be/KbGUKDoOwoU?feature=shared" TargetMode="External"/><Relationship Id="rId54" Type="http://schemas.openxmlformats.org/officeDocument/2006/relationships/hyperlink" Target="https://www.itu.int/md/D22-TDAG32-C-0017/e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pub/D-RES-D.31-2022" TargetMode="External"/><Relationship Id="rId23" Type="http://schemas.openxmlformats.org/officeDocument/2006/relationships/hyperlink" Target="https://www.itu.int/md/S24-SG-CIR-0061/en" TargetMode="External"/><Relationship Id="rId28" Type="http://schemas.openxmlformats.org/officeDocument/2006/relationships/hyperlink" Target="https://www.itu.int/en/ITU-D/Conferences/TDAG/Pages/2024/TDAG_WG_SR.aspx" TargetMode="External"/><Relationship Id="rId36" Type="http://schemas.openxmlformats.org/officeDocument/2006/relationships/hyperlink" Target="https://www.itu.int/md/meetingdoc.asp?lang=en&amp;parent=D22-TDAG32-C-0018" TargetMode="External"/><Relationship Id="rId49" Type="http://schemas.openxmlformats.org/officeDocument/2006/relationships/hyperlink" Target="https://youtu.be/lWymn4RNG0I?feature=shared"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itu.int/en/ITU-D/Conferences/TDAG/Pages/2024/TDAG_WG_DEC.aspx" TargetMode="External"/><Relationship Id="rId44" Type="http://schemas.openxmlformats.org/officeDocument/2006/relationships/hyperlink" Target="https://www.itu.int/md/D22-RPMAMS-C-0021/en" TargetMode="External"/><Relationship Id="rId52" Type="http://schemas.openxmlformats.org/officeDocument/2006/relationships/hyperlink" Target="http://www.itu.int/itu-d/meetings/wtdc25/rpm/hom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kachev\AppData\Roaming\Microsoft\Templates\POOL%20R%20-%20ITU\BDT\PR_TDAG2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C98BF2-18FF-47FE-B3F7-0197160C3936}"/>
</file>

<file path=customXml/itemProps2.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12A876-AB41-4784-9C7F-CAA56FAF5040}">
  <ds:schemaRefs>
    <ds:schemaRef ds:uri="http://schemas.openxmlformats.org/officeDocument/2006/bibliography"/>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PR_TDAG25.docx</Template>
  <TotalTime>37</TotalTime>
  <Pages>8</Pages>
  <Words>2653</Words>
  <Characters>21564</Characters>
  <Application>Microsoft Office Word</Application>
  <DocSecurity>0</DocSecurity>
  <Lines>179</Lines>
  <Paragraphs>48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
  <LinksUpToDate>false</LinksUpToDate>
  <CharactersWithSpaces>24169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Manias, Michel</dc:creator>
  <cp:lastModifiedBy>NA</cp:lastModifiedBy>
  <cp:revision>4</cp:revision>
  <cp:lastPrinted>2019-01-16T07:57:00Z</cp:lastPrinted>
  <dcterms:created xsi:type="dcterms:W3CDTF">2025-05-12T12:23:00Z</dcterms:created>
  <dcterms:modified xsi:type="dcterms:W3CDTF">2025-05-12T13:16:00Z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ies>
</file>