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394"/>
        <w:gridCol w:w="1843"/>
        <w:gridCol w:w="1666"/>
      </w:tblGrid>
      <w:tr w:rsidR="00921A30" w:rsidRPr="00EE10C3" w14:paraId="3F0E9EC4" w14:textId="77777777" w:rsidTr="00E24DE9">
        <w:trPr>
          <w:cantSplit/>
          <w:trHeight w:val="1134"/>
        </w:trPr>
        <w:tc>
          <w:tcPr>
            <w:tcW w:w="1985" w:type="dxa"/>
          </w:tcPr>
          <w:p w14:paraId="1C6881CD" w14:textId="419D18F9" w:rsidR="00921A30" w:rsidRPr="00EE10C3" w:rsidRDefault="00AC2BF7" w:rsidP="001E5219">
            <w:pPr>
              <w:tabs>
                <w:tab w:val="clear" w:pos="1191"/>
                <w:tab w:val="clear" w:pos="1588"/>
                <w:tab w:val="clear" w:pos="1985"/>
              </w:tabs>
              <w:spacing w:after="40"/>
              <w:rPr>
                <w:b/>
                <w:bCs/>
                <w:sz w:val="32"/>
                <w:szCs w:val="32"/>
                <w:lang w:val="fr-FR"/>
              </w:rPr>
            </w:pPr>
            <w:r w:rsidRPr="00EE10C3">
              <w:rPr>
                <w:b/>
                <w:bCs/>
                <w:noProof/>
                <w:sz w:val="32"/>
                <w:szCs w:val="32"/>
                <w:lang w:val="fr-FR"/>
              </w:rPr>
              <w:drawing>
                <wp:inline distT="0" distB="0" distL="0" distR="0" wp14:anchorId="7DECAEFB" wp14:editId="029246F2">
                  <wp:extent cx="1080000" cy="1008000"/>
                  <wp:effectExtent l="0" t="0" r="6350" b="0"/>
                  <wp:docPr id="12842285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8109" t="8474" r="25062" b="15570"/>
                          <a:stretch/>
                        </pic:blipFill>
                        <pic:spPr bwMode="auto">
                          <a:xfrm>
                            <a:off x="0" y="0"/>
                            <a:ext cx="1080000" cy="100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237" w:type="dxa"/>
            <w:gridSpan w:val="2"/>
          </w:tcPr>
          <w:p w14:paraId="3C20C75B" w14:textId="77777777" w:rsidR="00921A30" w:rsidRPr="00EE10C3" w:rsidRDefault="00921A30" w:rsidP="004037AF">
            <w:pPr>
              <w:tabs>
                <w:tab w:val="clear" w:pos="1191"/>
                <w:tab w:val="clear" w:pos="1588"/>
                <w:tab w:val="clear" w:pos="1985"/>
              </w:tabs>
              <w:spacing w:before="240" w:after="240"/>
              <w:ind w:left="34"/>
              <w:rPr>
                <w:b/>
                <w:bCs/>
                <w:sz w:val="32"/>
                <w:szCs w:val="32"/>
                <w:lang w:val="fr-FR"/>
              </w:rPr>
            </w:pPr>
            <w:r w:rsidRPr="00EE10C3">
              <w:rPr>
                <w:b/>
                <w:bCs/>
                <w:sz w:val="32"/>
                <w:szCs w:val="32"/>
                <w:lang w:val="fr-FR"/>
              </w:rPr>
              <w:t xml:space="preserve">Groupe consultatif pour le développement </w:t>
            </w:r>
            <w:r w:rsidRPr="00EE10C3">
              <w:rPr>
                <w:b/>
                <w:bCs/>
                <w:sz w:val="32"/>
                <w:szCs w:val="32"/>
                <w:lang w:val="fr-FR"/>
              </w:rPr>
              <w:br/>
              <w:t>des télécommunications (GCDT)</w:t>
            </w:r>
          </w:p>
          <w:p w14:paraId="5F5F590A" w14:textId="7427F64C" w:rsidR="00921A30" w:rsidRPr="00EE10C3" w:rsidRDefault="00921A30" w:rsidP="001011EB">
            <w:pPr>
              <w:tabs>
                <w:tab w:val="clear" w:pos="1191"/>
                <w:tab w:val="clear" w:pos="1588"/>
                <w:tab w:val="clear" w:pos="1985"/>
              </w:tabs>
              <w:spacing w:after="120"/>
              <w:ind w:left="34"/>
              <w:rPr>
                <w:rFonts w:ascii="Verdana" w:hAnsi="Verdana"/>
                <w:sz w:val="28"/>
                <w:szCs w:val="28"/>
                <w:lang w:val="fr-FR"/>
              </w:rPr>
            </w:pPr>
            <w:r w:rsidRPr="00EE10C3">
              <w:rPr>
                <w:b/>
                <w:bCs/>
                <w:sz w:val="26"/>
                <w:szCs w:val="26"/>
                <w:lang w:val="fr-FR"/>
              </w:rPr>
              <w:t>32ème réunion, Genève, Suisse, 12-16 mai 2025</w:t>
            </w:r>
          </w:p>
        </w:tc>
        <w:tc>
          <w:tcPr>
            <w:tcW w:w="1666" w:type="dxa"/>
          </w:tcPr>
          <w:p w14:paraId="67E7B4C4" w14:textId="0F52E4CC" w:rsidR="00921A30" w:rsidRPr="00EE10C3" w:rsidRDefault="00921A30" w:rsidP="00946023">
            <w:pPr>
              <w:spacing w:before="240" w:after="120"/>
              <w:ind w:right="142"/>
              <w:jc w:val="right"/>
              <w:rPr>
                <w:lang w:val="fr-FR"/>
              </w:rPr>
            </w:pPr>
            <w:r w:rsidRPr="00EE10C3">
              <w:rPr>
                <w:noProof/>
                <w:lang w:val="fr-FR" w:eastAsia="en-GB"/>
              </w:rPr>
              <w:drawing>
                <wp:inline distT="0" distB="0" distL="0" distR="0" wp14:anchorId="7A20172F" wp14:editId="75B43B9A">
                  <wp:extent cx="712470" cy="785496"/>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4296" cy="787509"/>
                          </a:xfrm>
                          <a:prstGeom prst="rect">
                            <a:avLst/>
                          </a:prstGeom>
                        </pic:spPr>
                      </pic:pic>
                    </a:graphicData>
                  </a:graphic>
                </wp:inline>
              </w:drawing>
            </w:r>
          </w:p>
        </w:tc>
      </w:tr>
      <w:tr w:rsidR="00683C32" w:rsidRPr="00EE10C3" w14:paraId="3C13197B" w14:textId="77777777" w:rsidTr="0009076F">
        <w:trPr>
          <w:cantSplit/>
        </w:trPr>
        <w:tc>
          <w:tcPr>
            <w:tcW w:w="6379" w:type="dxa"/>
            <w:gridSpan w:val="2"/>
            <w:tcBorders>
              <w:top w:val="single" w:sz="12" w:space="0" w:color="auto"/>
            </w:tcBorders>
          </w:tcPr>
          <w:p w14:paraId="2EED9DB2" w14:textId="77777777" w:rsidR="00683C32" w:rsidRPr="00EE10C3" w:rsidRDefault="00683C32" w:rsidP="00107E85">
            <w:pPr>
              <w:spacing w:before="0"/>
              <w:rPr>
                <w:rFonts w:cs="Arial"/>
                <w:b/>
                <w:bCs/>
                <w:sz w:val="20"/>
                <w:lang w:val="fr-FR"/>
              </w:rPr>
            </w:pPr>
          </w:p>
        </w:tc>
        <w:tc>
          <w:tcPr>
            <w:tcW w:w="3509" w:type="dxa"/>
            <w:gridSpan w:val="2"/>
            <w:tcBorders>
              <w:top w:val="single" w:sz="12" w:space="0" w:color="auto"/>
            </w:tcBorders>
          </w:tcPr>
          <w:p w14:paraId="6CC77CFE" w14:textId="77777777" w:rsidR="00683C32" w:rsidRPr="00EE10C3" w:rsidRDefault="00683C32" w:rsidP="00107E85">
            <w:pPr>
              <w:spacing w:before="0"/>
              <w:rPr>
                <w:b/>
                <w:bCs/>
                <w:sz w:val="20"/>
                <w:lang w:val="fr-FR"/>
              </w:rPr>
            </w:pPr>
          </w:p>
        </w:tc>
      </w:tr>
      <w:tr w:rsidR="00683C32" w:rsidRPr="00EE10C3" w14:paraId="0BB3FBC4" w14:textId="77777777" w:rsidTr="0009076F">
        <w:trPr>
          <w:cantSplit/>
        </w:trPr>
        <w:tc>
          <w:tcPr>
            <w:tcW w:w="6379" w:type="dxa"/>
            <w:gridSpan w:val="2"/>
          </w:tcPr>
          <w:p w14:paraId="43C54B3D" w14:textId="77777777" w:rsidR="00683C32" w:rsidRPr="00EE10C3" w:rsidRDefault="00683C32" w:rsidP="00400CCF">
            <w:pPr>
              <w:pStyle w:val="Committee"/>
              <w:spacing w:before="0"/>
              <w:rPr>
                <w:b w:val="0"/>
                <w:szCs w:val="24"/>
                <w:lang w:val="fr-FR"/>
              </w:rPr>
            </w:pPr>
          </w:p>
        </w:tc>
        <w:tc>
          <w:tcPr>
            <w:tcW w:w="3509" w:type="dxa"/>
            <w:gridSpan w:val="2"/>
          </w:tcPr>
          <w:p w14:paraId="02E44EE9" w14:textId="1ECE42D8" w:rsidR="00683C32" w:rsidRPr="00EE10C3" w:rsidRDefault="0096201B" w:rsidP="00E25345">
            <w:pPr>
              <w:spacing w:before="0"/>
              <w:jc w:val="both"/>
              <w:rPr>
                <w:bCs/>
                <w:szCs w:val="24"/>
                <w:lang w:val="fr-FR"/>
              </w:rPr>
            </w:pPr>
            <w:r w:rsidRPr="00EE10C3">
              <w:rPr>
                <w:b/>
                <w:bCs/>
                <w:lang w:val="fr-FR"/>
              </w:rPr>
              <w:t xml:space="preserve">Document </w:t>
            </w:r>
            <w:bookmarkStart w:id="0" w:name="DocRef1"/>
            <w:bookmarkEnd w:id="0"/>
            <w:r w:rsidRPr="00EE10C3">
              <w:rPr>
                <w:b/>
                <w:bCs/>
                <w:lang w:val="fr-FR"/>
              </w:rPr>
              <w:t>TDAG</w:t>
            </w:r>
            <w:r w:rsidR="003242AB" w:rsidRPr="00EE10C3">
              <w:rPr>
                <w:b/>
                <w:bCs/>
                <w:lang w:val="fr-FR"/>
              </w:rPr>
              <w:t>-</w:t>
            </w:r>
            <w:r w:rsidR="00B648C7" w:rsidRPr="00EE10C3">
              <w:rPr>
                <w:b/>
                <w:bCs/>
                <w:lang w:val="fr-FR"/>
              </w:rPr>
              <w:t>2</w:t>
            </w:r>
            <w:bookmarkStart w:id="1" w:name="DocNo1"/>
            <w:bookmarkEnd w:id="1"/>
            <w:r w:rsidR="001C48D3" w:rsidRPr="00EE10C3">
              <w:rPr>
                <w:b/>
                <w:bCs/>
                <w:lang w:val="fr-FR"/>
              </w:rPr>
              <w:t>5</w:t>
            </w:r>
            <w:r w:rsidR="0009076F" w:rsidRPr="00EE10C3">
              <w:rPr>
                <w:b/>
                <w:bCs/>
                <w:lang w:val="fr-FR"/>
              </w:rPr>
              <w:t>/</w:t>
            </w:r>
            <w:r w:rsidR="00EE3F6C" w:rsidRPr="00EE10C3">
              <w:rPr>
                <w:b/>
                <w:bCs/>
                <w:lang w:val="fr-FR"/>
              </w:rPr>
              <w:t>1</w:t>
            </w:r>
            <w:r w:rsidR="0068599C" w:rsidRPr="00EE10C3">
              <w:rPr>
                <w:b/>
                <w:bCs/>
                <w:lang w:val="fr-FR"/>
              </w:rPr>
              <w:t>2</w:t>
            </w:r>
            <w:r w:rsidR="00155218" w:rsidRPr="00EE10C3">
              <w:rPr>
                <w:b/>
                <w:bCs/>
                <w:lang w:val="fr-FR"/>
              </w:rPr>
              <w:t>(Rév.1)</w:t>
            </w:r>
            <w:r w:rsidRPr="00EE10C3">
              <w:rPr>
                <w:b/>
                <w:bCs/>
                <w:lang w:val="fr-FR"/>
              </w:rPr>
              <w:t>-</w:t>
            </w:r>
            <w:r w:rsidR="00E25345" w:rsidRPr="00EE10C3">
              <w:rPr>
                <w:b/>
                <w:bCs/>
                <w:lang w:val="fr-FR"/>
              </w:rPr>
              <w:t>F</w:t>
            </w:r>
          </w:p>
        </w:tc>
      </w:tr>
      <w:tr w:rsidR="00683C32" w:rsidRPr="00EE10C3" w14:paraId="24D04936" w14:textId="77777777" w:rsidTr="0009076F">
        <w:trPr>
          <w:cantSplit/>
        </w:trPr>
        <w:tc>
          <w:tcPr>
            <w:tcW w:w="6379" w:type="dxa"/>
            <w:gridSpan w:val="2"/>
          </w:tcPr>
          <w:p w14:paraId="12CE4DBF" w14:textId="77777777" w:rsidR="00683C32" w:rsidRPr="00EE10C3" w:rsidRDefault="00683C32" w:rsidP="00400CCF">
            <w:pPr>
              <w:spacing w:before="0"/>
              <w:rPr>
                <w:b/>
                <w:bCs/>
                <w:smallCaps/>
                <w:szCs w:val="24"/>
                <w:lang w:val="fr-FR"/>
              </w:rPr>
            </w:pPr>
          </w:p>
        </w:tc>
        <w:tc>
          <w:tcPr>
            <w:tcW w:w="3509" w:type="dxa"/>
            <w:gridSpan w:val="2"/>
          </w:tcPr>
          <w:p w14:paraId="0F89640F" w14:textId="2653F69A" w:rsidR="00683C32" w:rsidRPr="00EE10C3" w:rsidRDefault="00EE3F6C" w:rsidP="00B648C7">
            <w:pPr>
              <w:spacing w:before="0"/>
              <w:rPr>
                <w:b/>
                <w:szCs w:val="24"/>
                <w:lang w:val="fr-FR"/>
              </w:rPr>
            </w:pPr>
            <w:bookmarkStart w:id="2" w:name="CreationDate"/>
            <w:bookmarkEnd w:id="2"/>
            <w:r w:rsidRPr="00EE10C3">
              <w:rPr>
                <w:b/>
                <w:szCs w:val="24"/>
                <w:lang w:val="fr-FR"/>
              </w:rPr>
              <w:t>2</w:t>
            </w:r>
            <w:r w:rsidR="00155218" w:rsidRPr="00EE10C3">
              <w:rPr>
                <w:b/>
                <w:szCs w:val="24"/>
                <w:lang w:val="fr-FR"/>
              </w:rPr>
              <w:t>9</w:t>
            </w:r>
            <w:r w:rsidRPr="00EE10C3">
              <w:rPr>
                <w:b/>
                <w:szCs w:val="24"/>
                <w:lang w:val="fr-FR"/>
              </w:rPr>
              <w:t xml:space="preserve"> avril 2025</w:t>
            </w:r>
          </w:p>
        </w:tc>
      </w:tr>
      <w:tr w:rsidR="00683C32" w:rsidRPr="00EE10C3" w14:paraId="7B96545F" w14:textId="77777777" w:rsidTr="0009076F">
        <w:trPr>
          <w:cantSplit/>
        </w:trPr>
        <w:tc>
          <w:tcPr>
            <w:tcW w:w="6379" w:type="dxa"/>
            <w:gridSpan w:val="2"/>
          </w:tcPr>
          <w:p w14:paraId="65956FD3" w14:textId="77777777" w:rsidR="00683C32" w:rsidRPr="00EE10C3" w:rsidRDefault="00683C32" w:rsidP="00400CCF">
            <w:pPr>
              <w:spacing w:before="0"/>
              <w:rPr>
                <w:b/>
                <w:bCs/>
                <w:smallCaps/>
                <w:szCs w:val="24"/>
                <w:lang w:val="fr-FR"/>
              </w:rPr>
            </w:pPr>
          </w:p>
        </w:tc>
        <w:tc>
          <w:tcPr>
            <w:tcW w:w="3509" w:type="dxa"/>
            <w:gridSpan w:val="2"/>
          </w:tcPr>
          <w:p w14:paraId="30EFD39F" w14:textId="33ACFB79" w:rsidR="00514D2F" w:rsidRPr="00EE10C3" w:rsidRDefault="0096201B" w:rsidP="001011EB">
            <w:pPr>
              <w:spacing w:before="0"/>
              <w:rPr>
                <w:szCs w:val="24"/>
                <w:lang w:val="fr-FR"/>
              </w:rPr>
            </w:pPr>
            <w:r w:rsidRPr="00EE10C3">
              <w:rPr>
                <w:b/>
                <w:lang w:val="fr-FR"/>
              </w:rPr>
              <w:t>Original:</w:t>
            </w:r>
            <w:bookmarkStart w:id="3" w:name="Original"/>
            <w:bookmarkEnd w:id="3"/>
            <w:r w:rsidR="00CE0422" w:rsidRPr="00EE10C3">
              <w:rPr>
                <w:b/>
                <w:lang w:val="fr-FR"/>
              </w:rPr>
              <w:t xml:space="preserve"> </w:t>
            </w:r>
            <w:r w:rsidR="001011EB" w:rsidRPr="00EE10C3">
              <w:rPr>
                <w:b/>
                <w:lang w:val="fr-FR"/>
              </w:rPr>
              <w:t>anglais</w:t>
            </w:r>
          </w:p>
        </w:tc>
      </w:tr>
      <w:tr w:rsidR="0068599C" w:rsidRPr="00EE10C3" w14:paraId="31656E31" w14:textId="77777777" w:rsidTr="00107E85">
        <w:trPr>
          <w:cantSplit/>
          <w:trHeight w:val="852"/>
        </w:trPr>
        <w:tc>
          <w:tcPr>
            <w:tcW w:w="9888" w:type="dxa"/>
            <w:gridSpan w:val="4"/>
          </w:tcPr>
          <w:p w14:paraId="512FCA01" w14:textId="50EDAAC6" w:rsidR="0068599C" w:rsidRPr="00EE10C3" w:rsidRDefault="0068599C" w:rsidP="0068599C">
            <w:pPr>
              <w:pStyle w:val="Source"/>
              <w:rPr>
                <w:lang w:val="fr-FR"/>
              </w:rPr>
            </w:pPr>
            <w:bookmarkStart w:id="4" w:name="Source"/>
            <w:bookmarkEnd w:id="4"/>
            <w:r w:rsidRPr="00EE10C3">
              <w:rPr>
                <w:lang w:val="fr-FR"/>
              </w:rPr>
              <w:t>Directeur du Bureau de développement des télécommunications</w:t>
            </w:r>
          </w:p>
        </w:tc>
      </w:tr>
      <w:tr w:rsidR="0068599C" w:rsidRPr="00EE10C3" w14:paraId="2CBD3A36" w14:textId="77777777" w:rsidTr="00107E85">
        <w:trPr>
          <w:cantSplit/>
        </w:trPr>
        <w:tc>
          <w:tcPr>
            <w:tcW w:w="9888" w:type="dxa"/>
            <w:gridSpan w:val="4"/>
          </w:tcPr>
          <w:p w14:paraId="1B4121DF" w14:textId="794B5626" w:rsidR="0068599C" w:rsidRPr="00EE10C3" w:rsidRDefault="0068599C" w:rsidP="0068599C">
            <w:pPr>
              <w:pStyle w:val="Title1"/>
              <w:rPr>
                <w:lang w:val="fr-FR"/>
              </w:rPr>
            </w:pPr>
            <w:bookmarkStart w:id="5" w:name="Title"/>
            <w:bookmarkEnd w:id="5"/>
            <w:r w:rsidRPr="00EE10C3">
              <w:rPr>
                <w:lang w:val="fr-FR"/>
              </w:rPr>
              <w:t>Travaux préparatoires en vue de la Conférence mondiale</w:t>
            </w:r>
            <w:r w:rsidRPr="00EE10C3">
              <w:rPr>
                <w:lang w:val="fr-FR"/>
              </w:rPr>
              <w:br/>
              <w:t>de développement des télécommunications</w:t>
            </w:r>
          </w:p>
        </w:tc>
      </w:tr>
      <w:tr w:rsidR="00A721F4" w:rsidRPr="00EE10C3" w14:paraId="23A30231" w14:textId="77777777" w:rsidTr="00A721F4">
        <w:trPr>
          <w:cantSplit/>
        </w:trPr>
        <w:tc>
          <w:tcPr>
            <w:tcW w:w="9888" w:type="dxa"/>
            <w:gridSpan w:val="4"/>
            <w:tcBorders>
              <w:bottom w:val="single" w:sz="4" w:space="0" w:color="auto"/>
            </w:tcBorders>
          </w:tcPr>
          <w:p w14:paraId="726EE70E" w14:textId="77777777" w:rsidR="00A721F4" w:rsidRPr="00EE10C3" w:rsidRDefault="00A721F4" w:rsidP="0030353C">
            <w:pPr>
              <w:rPr>
                <w:lang w:val="fr-FR"/>
              </w:rPr>
            </w:pPr>
          </w:p>
        </w:tc>
      </w:tr>
      <w:tr w:rsidR="00A721F4" w:rsidRPr="00EE10C3" w14:paraId="590033C8"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3F97E040" w14:textId="31B66266" w:rsidR="00A721F4" w:rsidRPr="00EE10C3" w:rsidRDefault="001011EB" w:rsidP="00EA0C51">
            <w:pPr>
              <w:spacing w:after="120"/>
              <w:rPr>
                <w:b/>
                <w:bCs/>
                <w:szCs w:val="24"/>
                <w:lang w:val="fr-FR"/>
              </w:rPr>
            </w:pPr>
            <w:r w:rsidRPr="00EE10C3">
              <w:rPr>
                <w:b/>
                <w:bCs/>
                <w:szCs w:val="24"/>
                <w:lang w:val="fr-FR"/>
              </w:rPr>
              <w:t>Résumé</w:t>
            </w:r>
            <w:r w:rsidR="00A721F4" w:rsidRPr="00EE10C3">
              <w:rPr>
                <w:b/>
                <w:bCs/>
                <w:szCs w:val="24"/>
                <w:lang w:val="fr-FR"/>
              </w:rPr>
              <w:t>:</w:t>
            </w:r>
          </w:p>
          <w:p w14:paraId="6526CC02" w14:textId="2429BB13" w:rsidR="00EE3F6C" w:rsidRPr="00EE10C3" w:rsidRDefault="0068599C" w:rsidP="00EA0C51">
            <w:pPr>
              <w:spacing w:after="120"/>
              <w:rPr>
                <w:lang w:val="fr-FR"/>
              </w:rPr>
            </w:pPr>
            <w:r w:rsidRPr="00EE10C3">
              <w:rPr>
                <w:lang w:val="fr-FR"/>
              </w:rPr>
              <w:t>Le présent document rend compte des travaux préparatoires menés à ce jour dans le cadre de l'organisation de la Conférence mondiale de développement des télécommunications de 2025 (CMDT-25), qui devrait se tenir du 17 au 28 novembre 2025 à Bakou (Azerbaïdjan).</w:t>
            </w:r>
          </w:p>
          <w:p w14:paraId="76A1C541" w14:textId="0E1C0CE1" w:rsidR="00A721F4" w:rsidRPr="00EE10C3" w:rsidRDefault="001011EB" w:rsidP="00EA0C51">
            <w:pPr>
              <w:spacing w:after="120"/>
              <w:rPr>
                <w:b/>
                <w:bCs/>
                <w:szCs w:val="24"/>
                <w:lang w:val="fr-FR"/>
              </w:rPr>
            </w:pPr>
            <w:r w:rsidRPr="00EE10C3">
              <w:rPr>
                <w:b/>
                <w:bCs/>
                <w:lang w:val="fr-FR"/>
              </w:rPr>
              <w:t>Suite à donner</w:t>
            </w:r>
            <w:r w:rsidR="00A721F4" w:rsidRPr="00EE10C3">
              <w:rPr>
                <w:b/>
                <w:bCs/>
                <w:lang w:val="fr-FR"/>
              </w:rPr>
              <w:t>:</w:t>
            </w:r>
          </w:p>
          <w:p w14:paraId="371956FC" w14:textId="276F2D04" w:rsidR="00A721F4" w:rsidRPr="00EE10C3" w:rsidRDefault="0068599C" w:rsidP="00EA0C51">
            <w:pPr>
              <w:spacing w:after="120"/>
              <w:rPr>
                <w:szCs w:val="24"/>
                <w:lang w:val="fr-FR"/>
              </w:rPr>
            </w:pPr>
            <w:r w:rsidRPr="00EE10C3">
              <w:rPr>
                <w:lang w:val="fr-FR"/>
              </w:rPr>
              <w:t>Le GCDT est invité à prendre note du présent document et à fournir les indications qu'il jugera utiles.</w:t>
            </w:r>
          </w:p>
          <w:p w14:paraId="622ACB80" w14:textId="39EE560D" w:rsidR="00A721F4" w:rsidRPr="00EE10C3" w:rsidRDefault="00A721F4" w:rsidP="00EA0C51">
            <w:pPr>
              <w:spacing w:after="120"/>
              <w:rPr>
                <w:b/>
                <w:bCs/>
                <w:szCs w:val="24"/>
                <w:lang w:val="fr-FR"/>
              </w:rPr>
            </w:pPr>
            <w:r w:rsidRPr="00EE10C3">
              <w:rPr>
                <w:b/>
                <w:bCs/>
                <w:szCs w:val="24"/>
                <w:lang w:val="fr-FR"/>
              </w:rPr>
              <w:t>R</w:t>
            </w:r>
            <w:r w:rsidR="001011EB" w:rsidRPr="00EE10C3">
              <w:rPr>
                <w:b/>
                <w:bCs/>
                <w:szCs w:val="24"/>
                <w:lang w:val="fr-FR"/>
              </w:rPr>
              <w:t>é</w:t>
            </w:r>
            <w:r w:rsidRPr="00EE10C3">
              <w:rPr>
                <w:b/>
                <w:bCs/>
                <w:szCs w:val="24"/>
                <w:lang w:val="fr-FR"/>
              </w:rPr>
              <w:t>f</w:t>
            </w:r>
            <w:r w:rsidR="001011EB" w:rsidRPr="00EE10C3">
              <w:rPr>
                <w:b/>
                <w:bCs/>
                <w:szCs w:val="24"/>
                <w:lang w:val="fr-FR"/>
              </w:rPr>
              <w:t>é</w:t>
            </w:r>
            <w:r w:rsidRPr="00EE10C3">
              <w:rPr>
                <w:b/>
                <w:bCs/>
                <w:szCs w:val="24"/>
                <w:lang w:val="fr-FR"/>
              </w:rPr>
              <w:t>rences:</w:t>
            </w:r>
          </w:p>
          <w:p w14:paraId="1ECDD20E" w14:textId="6963D1EB" w:rsidR="00A721F4" w:rsidRPr="00EE10C3" w:rsidRDefault="0068599C" w:rsidP="001C48D3">
            <w:pPr>
              <w:spacing w:after="120"/>
              <w:rPr>
                <w:b/>
                <w:bCs/>
                <w:szCs w:val="24"/>
                <w:lang w:val="fr-FR"/>
              </w:rPr>
            </w:pPr>
            <w:r w:rsidRPr="00EE10C3">
              <w:rPr>
                <w:lang w:val="fr-FR"/>
              </w:rPr>
              <w:t>Sans objet.</w:t>
            </w:r>
          </w:p>
        </w:tc>
      </w:tr>
    </w:tbl>
    <w:p w14:paraId="48BF3EBF" w14:textId="77777777" w:rsidR="009D179D" w:rsidRPr="00EE10C3" w:rsidRDefault="00923CF1" w:rsidP="009D179D">
      <w:pPr>
        <w:rPr>
          <w:lang w:val="fr-FR"/>
        </w:rPr>
      </w:pPr>
      <w:r w:rsidRPr="00EE10C3">
        <w:rPr>
          <w:lang w:val="fr-FR"/>
        </w:rPr>
        <w:br w:type="page"/>
      </w:r>
    </w:p>
    <w:p w14:paraId="26BFBE0F" w14:textId="55EB8E4F" w:rsidR="0068599C" w:rsidRPr="00EE10C3" w:rsidRDefault="0068599C" w:rsidP="009D179D">
      <w:pPr>
        <w:pStyle w:val="Heading1"/>
        <w:rPr>
          <w:lang w:val="fr-FR"/>
        </w:rPr>
      </w:pPr>
      <w:r w:rsidRPr="00EE10C3">
        <w:rPr>
          <w:lang w:val="fr-FR"/>
        </w:rPr>
        <w:lastRenderedPageBreak/>
        <w:t>1</w:t>
      </w:r>
      <w:r w:rsidRPr="00EE10C3">
        <w:rPr>
          <w:lang w:val="fr-FR"/>
        </w:rPr>
        <w:tab/>
        <w:t>Considérations générales</w:t>
      </w:r>
    </w:p>
    <w:p w14:paraId="24EB03F1" w14:textId="77777777" w:rsidR="0068599C" w:rsidRPr="00EE10C3" w:rsidRDefault="0068599C" w:rsidP="0068599C">
      <w:pPr>
        <w:rPr>
          <w:lang w:val="fr-FR"/>
        </w:rPr>
      </w:pPr>
      <w:r w:rsidRPr="00EE10C3">
        <w:rPr>
          <w:lang w:val="fr-FR"/>
        </w:rPr>
        <w:t>1.1</w:t>
      </w:r>
      <w:r w:rsidRPr="00EE10C3">
        <w:rPr>
          <w:lang w:val="fr-FR"/>
        </w:rPr>
        <w:tab/>
        <w:t>Le numéro 141 de la Constitution de l'UIT dispose qu'il se tient entre deux Conférences de plénipotentiaires une Conférence mondiale de développement des télécommunications (CMDT).</w:t>
      </w:r>
    </w:p>
    <w:p w14:paraId="6702FAC2" w14:textId="77777777" w:rsidR="0068599C" w:rsidRPr="00EE10C3" w:rsidRDefault="0068599C" w:rsidP="0068599C">
      <w:pPr>
        <w:rPr>
          <w:lang w:val="fr-FR"/>
        </w:rPr>
      </w:pPr>
      <w:r w:rsidRPr="00EE10C3">
        <w:rPr>
          <w:lang w:val="fr-FR"/>
        </w:rPr>
        <w:t>1.2</w:t>
      </w:r>
      <w:r w:rsidRPr="00EE10C3">
        <w:rPr>
          <w:lang w:val="fr-FR"/>
        </w:rPr>
        <w:tab/>
        <w:t>Dans la Résolution 111 (Rév. Busan, 2014) de la Conférence de plénipotentiaires, il est demandé à l'Union et à ses États Membres de mettre tout en œuvre, dans la mesure du possible, pour éviter que la période prévue pour une conférence de l'UIT coïncide avec la période de célébration d'une fête religieuse considérée comme importante par un État Membre.</w:t>
      </w:r>
    </w:p>
    <w:p w14:paraId="785AC5E1" w14:textId="490F4ECB" w:rsidR="0068599C" w:rsidRPr="00EE10C3" w:rsidRDefault="0068599C" w:rsidP="0068599C">
      <w:pPr>
        <w:rPr>
          <w:lang w:val="fr-FR"/>
        </w:rPr>
      </w:pPr>
      <w:r w:rsidRPr="00EE10C3">
        <w:rPr>
          <w:lang w:val="fr-FR"/>
        </w:rPr>
        <w:t>1.3</w:t>
      </w:r>
      <w:r w:rsidRPr="00EE10C3">
        <w:rPr>
          <w:lang w:val="fr-FR"/>
        </w:rPr>
        <w:tab/>
        <w:t>Le 15 mars 2024, la Secrétaire générale de l'UIT a reçu une invitation du Gouvernement de la République d'Azerbaïdjan. À la suite d'échanges avec le Directeur du BDT, le Ministre du développement numérique et des transports a confirmé, dans une lettre datée du 3 avril 2024, son intention d'accueillir la Conférence à Bakou, fin novembre 2025. Dans une lettre de suivi datée du 26 avril 2024, il a été proposé que la Conférence soit tenue du 17 au 28 novembre 2025 (voir l'Annexe 1</w:t>
      </w:r>
      <w:r w:rsidR="00EE1F8F" w:rsidRPr="00EE10C3">
        <w:rPr>
          <w:lang w:val="fr-FR"/>
        </w:rPr>
        <w:t xml:space="preserve"> du </w:t>
      </w:r>
      <w:r w:rsidR="00EE1F8F" w:rsidRPr="00EE10C3">
        <w:rPr>
          <w:rStyle w:val="Hyperlink"/>
          <w:lang w:val="fr-FR"/>
        </w:rPr>
        <w:t xml:space="preserve">Document </w:t>
      </w:r>
      <w:hyperlink r:id="rId13" w:history="1">
        <w:r w:rsidR="00EE1F8F" w:rsidRPr="00EE10C3">
          <w:rPr>
            <w:rStyle w:val="Hyperlink"/>
            <w:lang w:val="fr-FR"/>
          </w:rPr>
          <w:t>C24/30</w:t>
        </w:r>
      </w:hyperlink>
      <w:r w:rsidRPr="00EE10C3">
        <w:rPr>
          <w:lang w:val="fr-FR"/>
        </w:rPr>
        <w:t>).</w:t>
      </w:r>
    </w:p>
    <w:p w14:paraId="4D664E09" w14:textId="10155F3C" w:rsidR="0068599C" w:rsidRPr="00EE10C3" w:rsidRDefault="0068599C" w:rsidP="0068599C">
      <w:pPr>
        <w:rPr>
          <w:lang w:val="fr-FR"/>
        </w:rPr>
      </w:pPr>
      <w:r w:rsidRPr="00EE10C3">
        <w:rPr>
          <w:lang w:val="fr-FR"/>
        </w:rPr>
        <w:t>1.4</w:t>
      </w:r>
      <w:r w:rsidRPr="00EE10C3">
        <w:rPr>
          <w:lang w:val="fr-FR"/>
        </w:rPr>
        <w:tab/>
        <w:t>Un document contenant le projet d'ordre du jour proposé pour la CMDT-25, tel que reproduit à l'Annexe 3</w:t>
      </w:r>
      <w:r w:rsidR="00EE1F8F" w:rsidRPr="00EE10C3">
        <w:rPr>
          <w:lang w:val="fr-FR"/>
        </w:rPr>
        <w:t xml:space="preserve"> du </w:t>
      </w:r>
      <w:r w:rsidR="00EE1F8F" w:rsidRPr="00EE10C3">
        <w:rPr>
          <w:rStyle w:val="Hyperlink"/>
          <w:lang w:val="fr-FR"/>
        </w:rPr>
        <w:t xml:space="preserve">Document </w:t>
      </w:r>
      <w:hyperlink r:id="rId14" w:history="1">
        <w:r w:rsidR="00EE1F8F" w:rsidRPr="00EE10C3">
          <w:rPr>
            <w:rStyle w:val="Hyperlink"/>
            <w:lang w:val="fr-FR"/>
          </w:rPr>
          <w:t>C24/30</w:t>
        </w:r>
      </w:hyperlink>
      <w:r w:rsidRPr="00EE10C3">
        <w:rPr>
          <w:lang w:val="fr-FR"/>
        </w:rPr>
        <w:t>, a été soumis à l'approbation du Conseil sous réserve de l'accord d'une majorité des États Membres.</w:t>
      </w:r>
    </w:p>
    <w:p w14:paraId="68CC8E80" w14:textId="462FCD0C" w:rsidR="0068599C" w:rsidRPr="00EE10C3" w:rsidRDefault="0068599C" w:rsidP="0068599C">
      <w:pPr>
        <w:rPr>
          <w:lang w:val="fr-FR"/>
        </w:rPr>
      </w:pPr>
      <w:r w:rsidRPr="00EE10C3">
        <w:rPr>
          <w:lang w:val="fr-FR"/>
        </w:rPr>
        <w:t>1.5</w:t>
      </w:r>
      <w:r w:rsidRPr="00EE10C3">
        <w:rPr>
          <w:lang w:val="fr-FR"/>
        </w:rPr>
        <w:tab/>
        <w:t>Ce projet d'ordre du jour est soumis au Groupe consultatif pour le développement des télécommunications (GCDT) (12-16 mai 2025) pour examen et approbation. Une version révisée pourrait être soumise au Conseil après la réunion du GCDT.</w:t>
      </w:r>
    </w:p>
    <w:p w14:paraId="0A83BF89" w14:textId="32DA1370" w:rsidR="0068599C" w:rsidRPr="00EE10C3" w:rsidRDefault="0068599C" w:rsidP="0068599C">
      <w:pPr>
        <w:pStyle w:val="Heading1"/>
        <w:rPr>
          <w:lang w:val="fr-FR"/>
        </w:rPr>
      </w:pPr>
      <w:r w:rsidRPr="00EE10C3">
        <w:rPr>
          <w:lang w:val="fr-FR"/>
        </w:rPr>
        <w:t>2</w:t>
      </w:r>
      <w:r w:rsidRPr="00EE10C3">
        <w:rPr>
          <w:lang w:val="fr-FR"/>
        </w:rPr>
        <w:tab/>
        <w:t>Lieu, durée, dates et site de la CMDT</w:t>
      </w:r>
    </w:p>
    <w:p w14:paraId="7B57A7FC" w14:textId="594A2736" w:rsidR="0068599C" w:rsidRPr="00EE10C3" w:rsidRDefault="0068599C" w:rsidP="0068599C">
      <w:pPr>
        <w:rPr>
          <w:lang w:val="fr-FR"/>
        </w:rPr>
      </w:pPr>
      <w:r w:rsidRPr="00EE10C3">
        <w:rPr>
          <w:lang w:val="fr-FR"/>
        </w:rPr>
        <w:t>2.1</w:t>
      </w:r>
      <w:r w:rsidRPr="00EE10C3">
        <w:rPr>
          <w:lang w:val="fr-FR"/>
        </w:rPr>
        <w:tab/>
        <w:t xml:space="preserve">À sa session de 2024, le Conseil a adopté, avec l'accord de la majorité des États Membres de l'Union, la </w:t>
      </w:r>
      <w:r w:rsidRPr="00EE10C3">
        <w:rPr>
          <w:rStyle w:val="Hyperlink"/>
          <w:lang w:val="fr-FR"/>
        </w:rPr>
        <w:t xml:space="preserve">Décision </w:t>
      </w:r>
      <w:hyperlink r:id="rId15" w:history="1">
        <w:r w:rsidRPr="00EE10C3">
          <w:rPr>
            <w:rStyle w:val="Hyperlink"/>
            <w:lang w:val="fr-FR"/>
          </w:rPr>
          <w:t>637</w:t>
        </w:r>
      </w:hyperlink>
      <w:r w:rsidRPr="00EE10C3">
        <w:rPr>
          <w:lang w:val="fr-FR"/>
        </w:rPr>
        <w:t xml:space="preserve"> sur le lieu précis et les dates exactes de la Conférence mondiale de développement des télécommunications de 2025 (CMDT-25), en vertu de laquelle la CMDT-25 se tiendra à Bakou (République d'Azerbaïdjan), du 17 au 28 novembre 2025 (voir l'</w:t>
      </w:r>
      <w:hyperlink r:id="rId16" w:history="1">
        <w:r w:rsidRPr="00EE10C3">
          <w:rPr>
            <w:rStyle w:val="Hyperlink"/>
            <w:lang w:val="fr-FR"/>
          </w:rPr>
          <w:t>Annexe B</w:t>
        </w:r>
      </w:hyperlink>
      <w:r w:rsidRPr="00EE10C3">
        <w:rPr>
          <w:lang w:val="fr-FR"/>
        </w:rPr>
        <w:t>), et approuvé le projet d'ordre du jour de la CMDT-25 (voir l'</w:t>
      </w:r>
      <w:hyperlink r:id="rId17" w:history="1">
        <w:r w:rsidRPr="00EE10C3">
          <w:rPr>
            <w:rStyle w:val="Hyperlink"/>
            <w:lang w:val="fr-FR"/>
          </w:rPr>
          <w:t>Annexe C</w:t>
        </w:r>
      </w:hyperlink>
      <w:r w:rsidRPr="00EE10C3">
        <w:rPr>
          <w:lang w:val="fr-FR"/>
        </w:rPr>
        <w:t>).</w:t>
      </w:r>
    </w:p>
    <w:p w14:paraId="6CD457BE" w14:textId="54CFFBD3" w:rsidR="0068599C" w:rsidRPr="00EE10C3" w:rsidRDefault="0068599C" w:rsidP="0068599C">
      <w:pPr>
        <w:rPr>
          <w:lang w:val="fr-FR"/>
        </w:rPr>
      </w:pPr>
      <w:r w:rsidRPr="00EE10C3">
        <w:rPr>
          <w:lang w:val="fr-FR"/>
        </w:rPr>
        <w:t>2.2</w:t>
      </w:r>
      <w:r w:rsidRPr="00EE10C3">
        <w:rPr>
          <w:lang w:val="fr-FR"/>
        </w:rPr>
        <w:tab/>
        <w:t xml:space="preserve">En septembre 2024, à l'issue d'une consultation par correspondance, menée aux termes de la </w:t>
      </w:r>
      <w:r w:rsidRPr="00EE10C3">
        <w:rPr>
          <w:rStyle w:val="Hyperlink"/>
          <w:lang w:val="fr-FR"/>
        </w:rPr>
        <w:t>Lettre circulaire N° </w:t>
      </w:r>
      <w:hyperlink r:id="rId18" w:history="1">
        <w:r w:rsidRPr="00EE10C3">
          <w:rPr>
            <w:rStyle w:val="Hyperlink"/>
            <w:lang w:val="fr-FR"/>
          </w:rPr>
          <w:t>24/38</w:t>
        </w:r>
      </w:hyperlink>
      <w:r w:rsidRPr="00EE10C3">
        <w:rPr>
          <w:lang w:val="fr-FR"/>
        </w:rPr>
        <w:t xml:space="preserve"> en date du 24 juin 2024 relative au lieu précis, aux dates exactes et au projet d'ordre du jour de la CMDT-25, la majorité requise des États Membres de l'UIT a exprimé son accord, conformément au numéro 47 de la Convention de l'UIT.</w:t>
      </w:r>
    </w:p>
    <w:p w14:paraId="29371520" w14:textId="369A1082" w:rsidR="0068599C" w:rsidRPr="00EE10C3" w:rsidRDefault="0068599C" w:rsidP="0068599C">
      <w:pPr>
        <w:rPr>
          <w:lang w:val="fr-FR"/>
        </w:rPr>
      </w:pPr>
      <w:r w:rsidRPr="00EE10C3">
        <w:rPr>
          <w:lang w:val="fr-FR"/>
        </w:rPr>
        <w:t>2.3</w:t>
      </w:r>
      <w:r w:rsidRPr="00EE10C3">
        <w:rPr>
          <w:lang w:val="fr-FR"/>
        </w:rPr>
        <w:tab/>
        <w:t>Il est prévu d'organiser un Sommet sur la jeunesse le 16 novembre 2025, également à Bakou, juste avant la CMDT</w:t>
      </w:r>
      <w:r w:rsidRPr="00EE10C3">
        <w:rPr>
          <w:lang w:val="fr-FR"/>
        </w:rPr>
        <w:t>.</w:t>
      </w:r>
      <w:r w:rsidR="00155218" w:rsidRPr="00EE10C3">
        <w:rPr>
          <w:lang w:val="fr-FR"/>
        </w:rPr>
        <w:t xml:space="preserve"> Parmi les célébrations figureront des dialogues intergénérationnels, des discussions captivantes et des activités visant à mettre à l'honneur le rôle des jeunes dans le développement numérique. Les jeunes participants pourront interagir directement avec les décideurs et les parties prenantes à la CMDT-25, ce qui permettra de renforcer la collaboration et de positionner les jeunes en tant que partenaires de la transformation numérique.</w:t>
      </w:r>
    </w:p>
    <w:p w14:paraId="41324544" w14:textId="49FCA8B1" w:rsidR="0068599C" w:rsidRPr="00EE10C3" w:rsidRDefault="0068599C" w:rsidP="0068599C">
      <w:pPr>
        <w:pStyle w:val="Heading1"/>
        <w:rPr>
          <w:lang w:val="fr-FR"/>
        </w:rPr>
      </w:pPr>
      <w:r w:rsidRPr="00EE10C3">
        <w:rPr>
          <w:lang w:val="fr-FR"/>
        </w:rPr>
        <w:t>3</w:t>
      </w:r>
      <w:r w:rsidRPr="00EE10C3">
        <w:rPr>
          <w:lang w:val="fr-FR"/>
        </w:rPr>
        <w:tab/>
        <w:t>Travaux préparatoires en vue de la Conférence</w:t>
      </w:r>
    </w:p>
    <w:p w14:paraId="5E03B2A0" w14:textId="0951383D" w:rsidR="00155218" w:rsidRPr="00EE10C3" w:rsidRDefault="0068599C" w:rsidP="0068599C">
      <w:pPr>
        <w:rPr>
          <w:lang w:val="fr-FR"/>
        </w:rPr>
      </w:pPr>
      <w:r w:rsidRPr="00EE10C3">
        <w:rPr>
          <w:lang w:val="fr-FR"/>
        </w:rPr>
        <w:t>3.1</w:t>
      </w:r>
      <w:r w:rsidRPr="00EE10C3">
        <w:rPr>
          <w:lang w:val="fr-FR"/>
        </w:rPr>
        <w:tab/>
      </w:r>
      <w:r w:rsidR="00155218" w:rsidRPr="00EE10C3">
        <w:rPr>
          <w:lang w:val="fr-FR"/>
        </w:rPr>
        <w:t>Tous les travaux préparatoires nécessaires sont actuellement menés en concertation et en collaboration avec le pays hôte. Ces préparatifs comprennent la planification et la coordination globales des activités dans tous les domaines, notamment la logistique, l'agencement du lieu de la manifestation, les transports, les voyages des délégués, la sécurité, l'hébergement et les services fournis aux invités.</w:t>
      </w:r>
    </w:p>
    <w:p w14:paraId="409816F9" w14:textId="2378CFB9" w:rsidR="0068599C" w:rsidRPr="00EE10C3" w:rsidRDefault="00155218" w:rsidP="0068599C">
      <w:pPr>
        <w:rPr>
          <w:lang w:val="fr-FR"/>
        </w:rPr>
      </w:pPr>
      <w:r w:rsidRPr="00EE10C3">
        <w:rPr>
          <w:lang w:val="fr-FR"/>
        </w:rPr>
        <w:lastRenderedPageBreak/>
        <w:t>3.2</w:t>
      </w:r>
      <w:r w:rsidRPr="00EE10C3">
        <w:rPr>
          <w:lang w:val="fr-FR"/>
        </w:rPr>
        <w:tab/>
      </w:r>
      <w:r w:rsidR="0068599C" w:rsidRPr="00EE10C3">
        <w:rPr>
          <w:lang w:val="fr-FR"/>
        </w:rPr>
        <w:t>Une équipe de l'UIT a effectué une première visite sur place du 10 au 14 février 2025, afin de visiter les sites où les manifestations pourraient se dérouler ainsi que les hôtels où les participants pourraient loger.</w:t>
      </w:r>
    </w:p>
    <w:p w14:paraId="25B61D0F" w14:textId="0BA980C8" w:rsidR="0068599C" w:rsidRPr="00EE10C3" w:rsidRDefault="0068599C" w:rsidP="0068599C">
      <w:pPr>
        <w:rPr>
          <w:lang w:val="fr-FR"/>
        </w:rPr>
      </w:pPr>
      <w:r w:rsidRPr="00EE10C3">
        <w:rPr>
          <w:lang w:val="fr-FR"/>
        </w:rPr>
        <w:t>3.</w:t>
      </w:r>
      <w:r w:rsidR="00155218" w:rsidRPr="00EE10C3">
        <w:rPr>
          <w:lang w:val="fr-FR"/>
        </w:rPr>
        <w:t>3</w:t>
      </w:r>
      <w:r w:rsidRPr="00EE10C3">
        <w:rPr>
          <w:lang w:val="fr-FR"/>
        </w:rPr>
        <w:tab/>
      </w:r>
      <w:r w:rsidR="00155218" w:rsidRPr="00EE10C3">
        <w:rPr>
          <w:lang w:val="fr-FR"/>
        </w:rPr>
        <w:t xml:space="preserve">Les équipes de l'UIT et du pays hôte travaillent avec diligence sur tous les aspects </w:t>
      </w:r>
      <w:r w:rsidR="00371231" w:rsidRPr="00EE10C3">
        <w:rPr>
          <w:lang w:val="fr-FR"/>
        </w:rPr>
        <w:t>visant à assurer</w:t>
      </w:r>
      <w:r w:rsidR="00155218" w:rsidRPr="00EE10C3">
        <w:rPr>
          <w:lang w:val="fr-FR"/>
        </w:rPr>
        <w:t xml:space="preserve"> </w:t>
      </w:r>
      <w:r w:rsidR="00371231" w:rsidRPr="00EE10C3">
        <w:rPr>
          <w:lang w:val="fr-FR"/>
        </w:rPr>
        <w:t xml:space="preserve">le succès </w:t>
      </w:r>
      <w:r w:rsidR="00155218" w:rsidRPr="00EE10C3">
        <w:rPr>
          <w:lang w:val="fr-FR"/>
        </w:rPr>
        <w:t xml:space="preserve">de la Conférence. </w:t>
      </w:r>
      <w:r w:rsidR="00371231" w:rsidRPr="00EE10C3">
        <w:rPr>
          <w:lang w:val="fr-FR"/>
        </w:rPr>
        <w:t>Les dernières étapes de la signature de l'accord de pays hôte sont en passe d'être achevées</w:t>
      </w:r>
      <w:r w:rsidRPr="00EE10C3">
        <w:rPr>
          <w:lang w:val="fr-FR"/>
        </w:rPr>
        <w:t>.</w:t>
      </w:r>
    </w:p>
    <w:p w14:paraId="568590AE" w14:textId="52BEEA09" w:rsidR="0068599C" w:rsidRPr="00EE10C3" w:rsidRDefault="0068599C" w:rsidP="007C3DAA">
      <w:pPr>
        <w:pStyle w:val="Heading1"/>
        <w:rPr>
          <w:lang w:val="fr-FR"/>
        </w:rPr>
      </w:pPr>
      <w:r w:rsidRPr="00EE10C3">
        <w:rPr>
          <w:lang w:val="fr-FR"/>
        </w:rPr>
        <w:t>4</w:t>
      </w:r>
      <w:r w:rsidRPr="00EE10C3">
        <w:rPr>
          <w:lang w:val="fr-FR"/>
        </w:rPr>
        <w:tab/>
        <w:t>Processus préparatoire</w:t>
      </w:r>
    </w:p>
    <w:p w14:paraId="5D0C40F2" w14:textId="77777777" w:rsidR="0068599C" w:rsidRPr="00EE10C3" w:rsidRDefault="0068599C" w:rsidP="007C3DAA">
      <w:pPr>
        <w:spacing w:after="120"/>
        <w:rPr>
          <w:lang w:val="fr-FR"/>
        </w:rPr>
      </w:pPr>
      <w:r w:rsidRPr="00EE10C3">
        <w:rPr>
          <w:lang w:val="fr-FR"/>
        </w:rPr>
        <w:t>4.1</w:t>
      </w:r>
      <w:r w:rsidRPr="00EE10C3">
        <w:rPr>
          <w:lang w:val="fr-FR"/>
        </w:rPr>
        <w:tab/>
        <w:t xml:space="preserve">Conformément à la Résolution 31 (Rév. Kigali, 2022), six </w:t>
      </w:r>
      <w:r w:rsidRPr="00EE10C3">
        <w:rPr>
          <w:b/>
          <w:bCs/>
          <w:lang w:val="fr-FR"/>
        </w:rPr>
        <w:t>réunions préparatoires régionales (RPM)</w:t>
      </w:r>
      <w:r w:rsidRPr="00EE10C3">
        <w:rPr>
          <w:lang w:val="fr-FR"/>
        </w:rPr>
        <w:t xml:space="preserve"> ont été organisées dans chacune des six régions:</w:t>
      </w:r>
    </w:p>
    <w:tbl>
      <w:tblPr>
        <w:tblStyle w:val="TableGrid"/>
        <w:tblW w:w="0" w:type="auto"/>
        <w:tblLook w:val="04A0" w:firstRow="1" w:lastRow="0" w:firstColumn="1" w:lastColumn="0" w:noHBand="0" w:noVBand="1"/>
      </w:tblPr>
      <w:tblGrid>
        <w:gridCol w:w="1183"/>
        <w:gridCol w:w="1931"/>
        <w:gridCol w:w="2410"/>
        <w:gridCol w:w="1842"/>
        <w:gridCol w:w="2263"/>
      </w:tblGrid>
      <w:tr w:rsidR="00155218" w:rsidRPr="00EE10C3" w14:paraId="78697AE2" w14:textId="6A3360DC" w:rsidTr="00763120">
        <w:tc>
          <w:tcPr>
            <w:tcW w:w="1183" w:type="dxa"/>
          </w:tcPr>
          <w:p w14:paraId="7D2C6AB0" w14:textId="162C121A" w:rsidR="00155218" w:rsidRPr="00EE10C3" w:rsidRDefault="00155218" w:rsidP="007C3DAA">
            <w:pPr>
              <w:pStyle w:val="Tablehead"/>
              <w:rPr>
                <w:lang w:val="fr-FR"/>
              </w:rPr>
            </w:pPr>
            <w:r w:rsidRPr="00EE10C3">
              <w:rPr>
                <w:lang w:val="fr-FR"/>
              </w:rPr>
              <w:t>Région</w:t>
            </w:r>
          </w:p>
        </w:tc>
        <w:tc>
          <w:tcPr>
            <w:tcW w:w="1931" w:type="dxa"/>
          </w:tcPr>
          <w:p w14:paraId="2C05E60A" w14:textId="33BF3B46" w:rsidR="00155218" w:rsidRPr="00EE10C3" w:rsidRDefault="00155218" w:rsidP="007C3DAA">
            <w:pPr>
              <w:pStyle w:val="Tablehead"/>
              <w:rPr>
                <w:lang w:val="fr-FR"/>
              </w:rPr>
            </w:pPr>
            <w:r w:rsidRPr="00EE10C3">
              <w:rPr>
                <w:lang w:val="fr-FR"/>
              </w:rPr>
              <w:t>Dates</w:t>
            </w:r>
          </w:p>
        </w:tc>
        <w:tc>
          <w:tcPr>
            <w:tcW w:w="2410" w:type="dxa"/>
          </w:tcPr>
          <w:p w14:paraId="7956CA19" w14:textId="4A51BF60" w:rsidR="00155218" w:rsidRPr="00EE10C3" w:rsidRDefault="00155218" w:rsidP="007C3DAA">
            <w:pPr>
              <w:pStyle w:val="Tablehead"/>
              <w:rPr>
                <w:lang w:val="fr-FR"/>
              </w:rPr>
            </w:pPr>
            <w:r w:rsidRPr="00EE10C3">
              <w:rPr>
                <w:lang w:val="fr-FR"/>
              </w:rPr>
              <w:t>Ville d'accueil et pays hôte</w:t>
            </w:r>
          </w:p>
        </w:tc>
        <w:tc>
          <w:tcPr>
            <w:tcW w:w="1842" w:type="dxa"/>
          </w:tcPr>
          <w:p w14:paraId="11941154" w14:textId="5B010EF0" w:rsidR="00155218" w:rsidRPr="00EE10C3" w:rsidRDefault="00155218" w:rsidP="007C3DAA">
            <w:pPr>
              <w:pStyle w:val="Tablehead"/>
              <w:rPr>
                <w:lang w:val="fr-FR"/>
              </w:rPr>
            </w:pPr>
            <w:r w:rsidRPr="00EE10C3">
              <w:rPr>
                <w:lang w:val="fr-FR"/>
              </w:rPr>
              <w:t>Rapport final de la RPM</w:t>
            </w:r>
          </w:p>
        </w:tc>
        <w:tc>
          <w:tcPr>
            <w:tcW w:w="2263" w:type="dxa"/>
          </w:tcPr>
          <w:p w14:paraId="5017CB63" w14:textId="1E813361" w:rsidR="00155218" w:rsidRPr="00EE10C3" w:rsidRDefault="00155218" w:rsidP="007C3DAA">
            <w:pPr>
              <w:pStyle w:val="Tablehead"/>
              <w:rPr>
                <w:lang w:val="fr-FR"/>
              </w:rPr>
            </w:pPr>
            <w:r w:rsidRPr="00EE10C3">
              <w:rPr>
                <w:lang w:val="fr-FR"/>
              </w:rPr>
              <w:t xml:space="preserve">Lien vers la vidéo sur la mise en </w:t>
            </w:r>
            <w:r w:rsidR="00E90F8E" w:rsidRPr="00EE10C3">
              <w:rPr>
                <w:lang w:val="fr-FR"/>
              </w:rPr>
              <w:t>œuvre</w:t>
            </w:r>
            <w:r w:rsidRPr="00EE10C3">
              <w:rPr>
                <w:lang w:val="fr-FR"/>
              </w:rPr>
              <w:t xml:space="preserve"> du Plan d'action de Kigali</w:t>
            </w:r>
          </w:p>
        </w:tc>
      </w:tr>
      <w:tr w:rsidR="00155218" w:rsidRPr="00EE10C3" w14:paraId="661BA9E8" w14:textId="3BE26B48" w:rsidTr="00763120">
        <w:tc>
          <w:tcPr>
            <w:tcW w:w="1183" w:type="dxa"/>
          </w:tcPr>
          <w:p w14:paraId="019C3939" w14:textId="34971C1C" w:rsidR="00155218" w:rsidRPr="00EE10C3" w:rsidRDefault="00155218" w:rsidP="007C3DAA">
            <w:pPr>
              <w:pStyle w:val="Tabletext"/>
              <w:rPr>
                <w:lang w:val="fr-FR"/>
              </w:rPr>
            </w:pPr>
            <w:r w:rsidRPr="00EE10C3">
              <w:rPr>
                <w:lang w:val="fr-FR"/>
              </w:rPr>
              <w:t>RPM-ARB</w:t>
            </w:r>
          </w:p>
        </w:tc>
        <w:tc>
          <w:tcPr>
            <w:tcW w:w="1931" w:type="dxa"/>
          </w:tcPr>
          <w:p w14:paraId="614C02C4" w14:textId="241E304C" w:rsidR="00155218" w:rsidRPr="00EE10C3" w:rsidRDefault="00155218" w:rsidP="007C3DAA">
            <w:pPr>
              <w:pStyle w:val="Tabletext"/>
              <w:rPr>
                <w:lang w:val="fr-FR"/>
              </w:rPr>
            </w:pPr>
            <w:r w:rsidRPr="00EE10C3">
              <w:rPr>
                <w:lang w:val="fr-FR"/>
              </w:rPr>
              <w:t>4-5 février 2025</w:t>
            </w:r>
          </w:p>
        </w:tc>
        <w:tc>
          <w:tcPr>
            <w:tcW w:w="2410" w:type="dxa"/>
          </w:tcPr>
          <w:p w14:paraId="3C1308D9" w14:textId="352F8A15" w:rsidR="00155218" w:rsidRPr="00EE10C3" w:rsidRDefault="00155218" w:rsidP="007C3DAA">
            <w:pPr>
              <w:pStyle w:val="Tabletext"/>
              <w:rPr>
                <w:lang w:val="fr-FR"/>
              </w:rPr>
            </w:pPr>
            <w:r w:rsidRPr="00EE10C3">
              <w:rPr>
                <w:lang w:val="fr-FR"/>
              </w:rPr>
              <w:t>Amman (Jordanie)</w:t>
            </w:r>
          </w:p>
        </w:tc>
        <w:tc>
          <w:tcPr>
            <w:tcW w:w="1842" w:type="dxa"/>
          </w:tcPr>
          <w:p w14:paraId="41474480" w14:textId="069808E5" w:rsidR="00155218" w:rsidRPr="00EE10C3" w:rsidRDefault="00155218" w:rsidP="007C3DAA">
            <w:pPr>
              <w:pStyle w:val="Tabletext"/>
              <w:rPr>
                <w:lang w:val="fr-FR"/>
              </w:rPr>
            </w:pPr>
            <w:hyperlink r:id="rId19" w:history="1">
              <w:r w:rsidRPr="00EE10C3">
                <w:rPr>
                  <w:rStyle w:val="Hyperlink"/>
                  <w:lang w:val="fr-FR"/>
                </w:rPr>
                <w:t>Rapport</w:t>
              </w:r>
            </w:hyperlink>
          </w:p>
        </w:tc>
        <w:tc>
          <w:tcPr>
            <w:tcW w:w="2263" w:type="dxa"/>
          </w:tcPr>
          <w:p w14:paraId="783A8C95" w14:textId="64549AE6" w:rsidR="00155218" w:rsidRPr="00EE10C3" w:rsidRDefault="00E90F8E" w:rsidP="007C3DAA">
            <w:pPr>
              <w:pStyle w:val="Tabletext"/>
              <w:rPr>
                <w:lang w:val="fr-FR"/>
              </w:rPr>
            </w:pPr>
            <w:hyperlink r:id="rId20" w:history="1">
              <w:r w:rsidR="00155218" w:rsidRPr="00EE10C3">
                <w:rPr>
                  <w:rStyle w:val="Hyperlink"/>
                  <w:lang w:val="fr-FR"/>
                </w:rPr>
                <w:t>Vi</w:t>
              </w:r>
              <w:r w:rsidR="00155218" w:rsidRPr="00EE10C3">
                <w:rPr>
                  <w:rStyle w:val="Hyperlink"/>
                  <w:lang w:val="fr-FR"/>
                </w:rPr>
                <w:t>d</w:t>
              </w:r>
              <w:r w:rsidR="00155218" w:rsidRPr="00EE10C3">
                <w:rPr>
                  <w:rStyle w:val="Hyperlink"/>
                  <w:lang w:val="fr-FR"/>
                </w:rPr>
                <w:t>éo</w:t>
              </w:r>
            </w:hyperlink>
            <w:r w:rsidR="00155218" w:rsidRPr="00EE10C3">
              <w:rPr>
                <w:lang w:val="fr-FR"/>
              </w:rPr>
              <w:t xml:space="preserve"> sur la mise en </w:t>
            </w:r>
            <w:r w:rsidRPr="00EE10C3">
              <w:rPr>
                <w:lang w:val="fr-FR"/>
              </w:rPr>
              <w:t>œuvre</w:t>
            </w:r>
            <w:r w:rsidR="00155218" w:rsidRPr="00EE10C3">
              <w:rPr>
                <w:lang w:val="fr-FR"/>
              </w:rPr>
              <w:t xml:space="preserve"> du plan d'action de Kigali dans la région des états</w:t>
            </w:r>
            <w:r w:rsidR="00763120" w:rsidRPr="00EE10C3">
              <w:rPr>
                <w:lang w:val="fr-FR"/>
              </w:rPr>
              <w:t> </w:t>
            </w:r>
            <w:r w:rsidR="00155218" w:rsidRPr="00EE10C3">
              <w:rPr>
                <w:lang w:val="fr-FR"/>
              </w:rPr>
              <w:t>arabes</w:t>
            </w:r>
          </w:p>
        </w:tc>
      </w:tr>
      <w:tr w:rsidR="00155218" w:rsidRPr="00EE10C3" w14:paraId="4B36EA90" w14:textId="793031C0" w:rsidTr="00763120">
        <w:tc>
          <w:tcPr>
            <w:tcW w:w="1183" w:type="dxa"/>
          </w:tcPr>
          <w:p w14:paraId="4E520717" w14:textId="24C0CBF2" w:rsidR="00155218" w:rsidRPr="00EE10C3" w:rsidRDefault="00155218" w:rsidP="00155218">
            <w:pPr>
              <w:pStyle w:val="Tabletext"/>
              <w:rPr>
                <w:lang w:val="fr-FR"/>
              </w:rPr>
            </w:pPr>
            <w:r w:rsidRPr="00EE10C3">
              <w:rPr>
                <w:lang w:val="fr-FR"/>
              </w:rPr>
              <w:t>RPM-EUR</w:t>
            </w:r>
          </w:p>
        </w:tc>
        <w:tc>
          <w:tcPr>
            <w:tcW w:w="1931" w:type="dxa"/>
          </w:tcPr>
          <w:p w14:paraId="3BE6E714" w14:textId="135CCEE5" w:rsidR="00155218" w:rsidRPr="00EE10C3" w:rsidRDefault="00155218" w:rsidP="00155218">
            <w:pPr>
              <w:pStyle w:val="Tabletext"/>
              <w:rPr>
                <w:lang w:val="fr-FR"/>
              </w:rPr>
            </w:pPr>
            <w:r w:rsidRPr="00EE10C3">
              <w:rPr>
                <w:lang w:val="fr-FR"/>
              </w:rPr>
              <w:t>25-26 février 2025</w:t>
            </w:r>
          </w:p>
        </w:tc>
        <w:tc>
          <w:tcPr>
            <w:tcW w:w="2410" w:type="dxa"/>
          </w:tcPr>
          <w:p w14:paraId="243BCF6C" w14:textId="1CBABD86" w:rsidR="00155218" w:rsidRPr="00EE10C3" w:rsidRDefault="00155218" w:rsidP="00155218">
            <w:pPr>
              <w:pStyle w:val="Tabletext"/>
              <w:rPr>
                <w:lang w:val="fr-FR"/>
              </w:rPr>
            </w:pPr>
            <w:r w:rsidRPr="00EE10C3">
              <w:rPr>
                <w:lang w:val="fr-FR"/>
              </w:rPr>
              <w:t>Budapest (Hongrie)</w:t>
            </w:r>
          </w:p>
        </w:tc>
        <w:tc>
          <w:tcPr>
            <w:tcW w:w="1842" w:type="dxa"/>
          </w:tcPr>
          <w:p w14:paraId="25911DF4" w14:textId="7E822F21" w:rsidR="00155218" w:rsidRPr="00EE10C3" w:rsidRDefault="00155218" w:rsidP="00155218">
            <w:pPr>
              <w:pStyle w:val="Tabletext"/>
              <w:rPr>
                <w:lang w:val="fr-FR"/>
              </w:rPr>
            </w:pPr>
            <w:hyperlink r:id="rId21" w:history="1">
              <w:r w:rsidRPr="00EE10C3">
                <w:rPr>
                  <w:rStyle w:val="Hyperlink"/>
                  <w:lang w:val="fr-FR"/>
                </w:rPr>
                <w:t>Rapport</w:t>
              </w:r>
            </w:hyperlink>
          </w:p>
        </w:tc>
        <w:tc>
          <w:tcPr>
            <w:tcW w:w="2263" w:type="dxa"/>
          </w:tcPr>
          <w:p w14:paraId="48F19C3E" w14:textId="247C9F57" w:rsidR="00155218" w:rsidRPr="00EE10C3" w:rsidRDefault="00E90F8E" w:rsidP="00155218">
            <w:pPr>
              <w:pStyle w:val="Tabletext"/>
              <w:rPr>
                <w:lang w:val="fr-FR"/>
              </w:rPr>
            </w:pPr>
            <w:hyperlink r:id="rId22" w:history="1">
              <w:r w:rsidR="00155218" w:rsidRPr="00EE10C3">
                <w:rPr>
                  <w:rStyle w:val="Hyperlink"/>
                  <w:lang w:val="fr-FR"/>
                </w:rPr>
                <w:t>Vidéo</w:t>
              </w:r>
            </w:hyperlink>
            <w:r w:rsidR="00155218" w:rsidRPr="00EE10C3">
              <w:rPr>
                <w:lang w:val="fr-FR"/>
              </w:rPr>
              <w:t xml:space="preserve"> sur la mise en </w:t>
            </w:r>
            <w:r w:rsidRPr="00EE10C3">
              <w:rPr>
                <w:lang w:val="fr-FR"/>
              </w:rPr>
              <w:t>œuvre</w:t>
            </w:r>
            <w:r w:rsidR="00155218" w:rsidRPr="00EE10C3">
              <w:rPr>
                <w:lang w:val="fr-FR"/>
              </w:rPr>
              <w:t xml:space="preserve"> du plan d'action de Kigali dans la région Europe</w:t>
            </w:r>
          </w:p>
        </w:tc>
      </w:tr>
      <w:tr w:rsidR="00155218" w:rsidRPr="00EE10C3" w14:paraId="195393DB" w14:textId="7803DC59" w:rsidTr="00763120">
        <w:tc>
          <w:tcPr>
            <w:tcW w:w="1183" w:type="dxa"/>
          </w:tcPr>
          <w:p w14:paraId="76466CE0" w14:textId="60615DDB" w:rsidR="00155218" w:rsidRPr="00EE10C3" w:rsidRDefault="00155218" w:rsidP="00155218">
            <w:pPr>
              <w:pStyle w:val="Tabletext"/>
              <w:rPr>
                <w:lang w:val="fr-FR"/>
              </w:rPr>
            </w:pPr>
            <w:r w:rsidRPr="00EE10C3">
              <w:rPr>
                <w:lang w:val="fr-FR"/>
              </w:rPr>
              <w:t>RPM-ASP</w:t>
            </w:r>
          </w:p>
        </w:tc>
        <w:tc>
          <w:tcPr>
            <w:tcW w:w="1931" w:type="dxa"/>
          </w:tcPr>
          <w:p w14:paraId="06CBB9CD" w14:textId="125A8C01" w:rsidR="00155218" w:rsidRPr="00EE10C3" w:rsidRDefault="00155218" w:rsidP="00155218">
            <w:pPr>
              <w:pStyle w:val="Tabletext"/>
              <w:rPr>
                <w:lang w:val="fr-FR"/>
              </w:rPr>
            </w:pPr>
            <w:r w:rsidRPr="00EE10C3">
              <w:rPr>
                <w:lang w:val="fr-FR"/>
              </w:rPr>
              <w:t>20-21 mars 2025</w:t>
            </w:r>
          </w:p>
        </w:tc>
        <w:tc>
          <w:tcPr>
            <w:tcW w:w="2410" w:type="dxa"/>
          </w:tcPr>
          <w:p w14:paraId="50A39AA7" w14:textId="0F2E5A9D" w:rsidR="00155218" w:rsidRPr="00EE10C3" w:rsidRDefault="00155218" w:rsidP="00155218">
            <w:pPr>
              <w:pStyle w:val="Tabletext"/>
              <w:rPr>
                <w:lang w:val="fr-FR"/>
              </w:rPr>
            </w:pPr>
            <w:r w:rsidRPr="00EE10C3">
              <w:rPr>
                <w:lang w:val="fr-FR"/>
              </w:rPr>
              <w:t>Bangkok (Thaïlande)</w:t>
            </w:r>
          </w:p>
        </w:tc>
        <w:tc>
          <w:tcPr>
            <w:tcW w:w="1842" w:type="dxa"/>
          </w:tcPr>
          <w:p w14:paraId="2F70E6D0" w14:textId="39401D79" w:rsidR="00155218" w:rsidRPr="00EE10C3" w:rsidRDefault="00155218" w:rsidP="00155218">
            <w:pPr>
              <w:pStyle w:val="Tabletext"/>
              <w:rPr>
                <w:lang w:val="fr-FR"/>
              </w:rPr>
            </w:pPr>
            <w:hyperlink r:id="rId23" w:history="1">
              <w:r w:rsidRPr="00EE10C3">
                <w:rPr>
                  <w:rStyle w:val="Hyperlink"/>
                  <w:lang w:val="fr-FR"/>
                </w:rPr>
                <w:t>Rapport</w:t>
              </w:r>
            </w:hyperlink>
          </w:p>
        </w:tc>
        <w:tc>
          <w:tcPr>
            <w:tcW w:w="2263" w:type="dxa"/>
          </w:tcPr>
          <w:p w14:paraId="47293CC4" w14:textId="0DB0976F" w:rsidR="00155218" w:rsidRPr="00EE10C3" w:rsidRDefault="00E90F8E" w:rsidP="00155218">
            <w:pPr>
              <w:pStyle w:val="Tabletext"/>
              <w:rPr>
                <w:lang w:val="fr-FR"/>
              </w:rPr>
            </w:pPr>
            <w:hyperlink r:id="rId24" w:history="1">
              <w:r w:rsidR="00155218" w:rsidRPr="00EE10C3">
                <w:rPr>
                  <w:rStyle w:val="Hyperlink"/>
                  <w:lang w:val="fr-FR"/>
                </w:rPr>
                <w:t>Vidéo</w:t>
              </w:r>
            </w:hyperlink>
            <w:r w:rsidR="00155218" w:rsidRPr="00EE10C3">
              <w:rPr>
                <w:lang w:val="fr-FR"/>
              </w:rPr>
              <w:t xml:space="preserve"> sur la mise en </w:t>
            </w:r>
            <w:r w:rsidRPr="00EE10C3">
              <w:rPr>
                <w:lang w:val="fr-FR"/>
              </w:rPr>
              <w:t>œuvre</w:t>
            </w:r>
            <w:r w:rsidR="00155218" w:rsidRPr="00EE10C3">
              <w:rPr>
                <w:lang w:val="fr-FR"/>
              </w:rPr>
              <w:t xml:space="preserve"> du plan d'action de Kigali dans la région Asie</w:t>
            </w:r>
            <w:r w:rsidR="00763120" w:rsidRPr="00EE10C3">
              <w:rPr>
                <w:lang w:val="fr-FR"/>
              </w:rPr>
              <w:noBreakHyphen/>
            </w:r>
            <w:r w:rsidR="00155218" w:rsidRPr="00EE10C3">
              <w:rPr>
                <w:lang w:val="fr-FR"/>
              </w:rPr>
              <w:t>Pacifique</w:t>
            </w:r>
          </w:p>
        </w:tc>
      </w:tr>
      <w:tr w:rsidR="00155218" w:rsidRPr="00EE10C3" w14:paraId="1C5B1B6E" w14:textId="140CFD8D" w:rsidTr="00763120">
        <w:tc>
          <w:tcPr>
            <w:tcW w:w="1183" w:type="dxa"/>
          </w:tcPr>
          <w:p w14:paraId="744C7202" w14:textId="23D9E177" w:rsidR="00155218" w:rsidRPr="00EE10C3" w:rsidRDefault="00155218" w:rsidP="00155218">
            <w:pPr>
              <w:pStyle w:val="Tabletext"/>
              <w:rPr>
                <w:lang w:val="fr-FR"/>
              </w:rPr>
            </w:pPr>
            <w:r w:rsidRPr="00EE10C3">
              <w:rPr>
                <w:lang w:val="fr-FR"/>
              </w:rPr>
              <w:t>RPM-AMS</w:t>
            </w:r>
          </w:p>
        </w:tc>
        <w:tc>
          <w:tcPr>
            <w:tcW w:w="1931" w:type="dxa"/>
          </w:tcPr>
          <w:p w14:paraId="33BEBBCD" w14:textId="78AB6134" w:rsidR="00155218" w:rsidRPr="00EE10C3" w:rsidRDefault="00155218" w:rsidP="00155218">
            <w:pPr>
              <w:pStyle w:val="Tabletext"/>
              <w:rPr>
                <w:lang w:val="fr-FR"/>
              </w:rPr>
            </w:pPr>
            <w:r w:rsidRPr="00EE10C3">
              <w:rPr>
                <w:lang w:val="fr-FR"/>
              </w:rPr>
              <w:t>1-2 avril 2025</w:t>
            </w:r>
          </w:p>
        </w:tc>
        <w:tc>
          <w:tcPr>
            <w:tcW w:w="2410" w:type="dxa"/>
          </w:tcPr>
          <w:p w14:paraId="373771BA" w14:textId="61BCF2F6" w:rsidR="00155218" w:rsidRPr="00EE10C3" w:rsidRDefault="00155218" w:rsidP="00155218">
            <w:pPr>
              <w:pStyle w:val="Tabletext"/>
              <w:rPr>
                <w:lang w:val="fr-FR"/>
              </w:rPr>
            </w:pPr>
            <w:r w:rsidRPr="00EE10C3">
              <w:rPr>
                <w:lang w:val="fr-FR"/>
              </w:rPr>
              <w:t>Asuncion (Paraguay)</w:t>
            </w:r>
          </w:p>
        </w:tc>
        <w:tc>
          <w:tcPr>
            <w:tcW w:w="1842" w:type="dxa"/>
          </w:tcPr>
          <w:p w14:paraId="6512C6A2" w14:textId="65C1CB49" w:rsidR="00155218" w:rsidRPr="00EE10C3" w:rsidRDefault="00E90F8E" w:rsidP="00155218">
            <w:pPr>
              <w:pStyle w:val="Tabletext"/>
              <w:rPr>
                <w:lang w:val="fr-FR"/>
              </w:rPr>
            </w:pPr>
            <w:hyperlink r:id="rId25" w:history="1">
              <w:r w:rsidR="00371231" w:rsidRPr="00EE10C3">
                <w:rPr>
                  <w:rStyle w:val="Hyperlink"/>
                  <w:lang w:val="fr-FR"/>
                </w:rPr>
                <w:t>Rapport</w:t>
              </w:r>
            </w:hyperlink>
          </w:p>
        </w:tc>
        <w:tc>
          <w:tcPr>
            <w:tcW w:w="2263" w:type="dxa"/>
          </w:tcPr>
          <w:p w14:paraId="5167D59A" w14:textId="181FD3CF" w:rsidR="00155218" w:rsidRPr="00EE10C3" w:rsidRDefault="00E90F8E" w:rsidP="00155218">
            <w:pPr>
              <w:pStyle w:val="Tabletext"/>
              <w:rPr>
                <w:lang w:val="fr-FR"/>
              </w:rPr>
            </w:pPr>
            <w:hyperlink r:id="rId26" w:history="1">
              <w:r w:rsidR="00155218" w:rsidRPr="00EE10C3">
                <w:rPr>
                  <w:rStyle w:val="Hyperlink"/>
                  <w:lang w:val="fr-FR"/>
                </w:rPr>
                <w:t>Vidéo</w:t>
              </w:r>
            </w:hyperlink>
            <w:r w:rsidR="00155218" w:rsidRPr="00EE10C3">
              <w:rPr>
                <w:lang w:val="fr-FR"/>
              </w:rPr>
              <w:t xml:space="preserve"> sur la mise en </w:t>
            </w:r>
            <w:r w:rsidRPr="00EE10C3">
              <w:rPr>
                <w:lang w:val="fr-FR"/>
              </w:rPr>
              <w:t>œuvre</w:t>
            </w:r>
            <w:r w:rsidR="00155218" w:rsidRPr="00EE10C3">
              <w:rPr>
                <w:lang w:val="fr-FR"/>
              </w:rPr>
              <w:t xml:space="preserve"> du plan d'action de Kigali dans la région Amériques</w:t>
            </w:r>
          </w:p>
        </w:tc>
      </w:tr>
      <w:tr w:rsidR="00155218" w:rsidRPr="00EE10C3" w14:paraId="6BF242B9" w14:textId="177A4472" w:rsidTr="00763120">
        <w:tc>
          <w:tcPr>
            <w:tcW w:w="1183" w:type="dxa"/>
          </w:tcPr>
          <w:p w14:paraId="6E3817FC" w14:textId="2A93DA6C" w:rsidR="00155218" w:rsidRPr="00EE10C3" w:rsidRDefault="00155218" w:rsidP="00155218">
            <w:pPr>
              <w:pStyle w:val="Tabletext"/>
              <w:rPr>
                <w:lang w:val="fr-FR"/>
              </w:rPr>
            </w:pPr>
            <w:r w:rsidRPr="00EE10C3">
              <w:rPr>
                <w:lang w:val="fr-FR"/>
              </w:rPr>
              <w:t>RPM-AFR</w:t>
            </w:r>
          </w:p>
        </w:tc>
        <w:tc>
          <w:tcPr>
            <w:tcW w:w="1931" w:type="dxa"/>
          </w:tcPr>
          <w:p w14:paraId="78FD1442" w14:textId="052F34C9" w:rsidR="00155218" w:rsidRPr="00EE10C3" w:rsidRDefault="00155218" w:rsidP="00155218">
            <w:pPr>
              <w:pStyle w:val="Tabletext"/>
              <w:rPr>
                <w:lang w:val="fr-FR"/>
              </w:rPr>
            </w:pPr>
            <w:r w:rsidRPr="00EE10C3">
              <w:rPr>
                <w:lang w:val="fr-FR"/>
              </w:rPr>
              <w:t>8-9 avril 2025</w:t>
            </w:r>
          </w:p>
        </w:tc>
        <w:tc>
          <w:tcPr>
            <w:tcW w:w="2410" w:type="dxa"/>
          </w:tcPr>
          <w:p w14:paraId="1FFF0F9B" w14:textId="7F08A46F" w:rsidR="00155218" w:rsidRPr="00EE10C3" w:rsidRDefault="00155218" w:rsidP="00155218">
            <w:pPr>
              <w:pStyle w:val="Tabletext"/>
              <w:rPr>
                <w:lang w:val="fr-FR"/>
              </w:rPr>
            </w:pPr>
            <w:r w:rsidRPr="00EE10C3">
              <w:rPr>
                <w:lang w:val="fr-FR"/>
              </w:rPr>
              <w:t>Nairobi (Kenya)</w:t>
            </w:r>
          </w:p>
        </w:tc>
        <w:tc>
          <w:tcPr>
            <w:tcW w:w="1842" w:type="dxa"/>
          </w:tcPr>
          <w:p w14:paraId="170668E1" w14:textId="69BC77A9" w:rsidR="00155218" w:rsidRPr="00EE10C3" w:rsidRDefault="00E90F8E" w:rsidP="00155218">
            <w:pPr>
              <w:pStyle w:val="Tabletext"/>
              <w:rPr>
                <w:lang w:val="fr-FR"/>
              </w:rPr>
            </w:pPr>
            <w:hyperlink r:id="rId27" w:history="1">
              <w:r w:rsidR="00371231" w:rsidRPr="00EE10C3">
                <w:rPr>
                  <w:rStyle w:val="Hyperlink"/>
                  <w:lang w:val="fr-FR"/>
                </w:rPr>
                <w:t>Rapport</w:t>
              </w:r>
            </w:hyperlink>
          </w:p>
        </w:tc>
        <w:tc>
          <w:tcPr>
            <w:tcW w:w="2263" w:type="dxa"/>
          </w:tcPr>
          <w:p w14:paraId="48A0988A" w14:textId="5846B18A" w:rsidR="00155218" w:rsidRPr="00EE10C3" w:rsidRDefault="00E90F8E" w:rsidP="00155218">
            <w:pPr>
              <w:pStyle w:val="Tabletext"/>
              <w:rPr>
                <w:lang w:val="fr-FR"/>
              </w:rPr>
            </w:pPr>
            <w:hyperlink r:id="rId28" w:history="1">
              <w:r w:rsidR="00155218" w:rsidRPr="00EE10C3">
                <w:rPr>
                  <w:rStyle w:val="Hyperlink"/>
                  <w:lang w:val="fr-FR"/>
                </w:rPr>
                <w:t>Vidéo</w:t>
              </w:r>
            </w:hyperlink>
            <w:r w:rsidR="00155218" w:rsidRPr="00EE10C3">
              <w:rPr>
                <w:lang w:val="fr-FR"/>
              </w:rPr>
              <w:t xml:space="preserve"> sur la mise en </w:t>
            </w:r>
            <w:r w:rsidRPr="00EE10C3">
              <w:rPr>
                <w:lang w:val="fr-FR"/>
              </w:rPr>
              <w:t>œuvre</w:t>
            </w:r>
            <w:r w:rsidR="00155218" w:rsidRPr="00EE10C3">
              <w:rPr>
                <w:lang w:val="fr-FR"/>
              </w:rPr>
              <w:t xml:space="preserve"> du plan d'action de Kigali dans la région Afrique</w:t>
            </w:r>
          </w:p>
        </w:tc>
      </w:tr>
      <w:tr w:rsidR="00155218" w:rsidRPr="00EE10C3" w14:paraId="52E60602" w14:textId="5408B8C7" w:rsidTr="00763120">
        <w:tc>
          <w:tcPr>
            <w:tcW w:w="1183" w:type="dxa"/>
          </w:tcPr>
          <w:p w14:paraId="5406FCCB" w14:textId="59D75AB4" w:rsidR="00155218" w:rsidRPr="00EE10C3" w:rsidRDefault="00155218" w:rsidP="00155218">
            <w:pPr>
              <w:pStyle w:val="Tabletext"/>
              <w:rPr>
                <w:lang w:val="fr-FR"/>
              </w:rPr>
            </w:pPr>
            <w:r w:rsidRPr="00EE10C3">
              <w:rPr>
                <w:lang w:val="fr-FR"/>
              </w:rPr>
              <w:t>RPM-CIS</w:t>
            </w:r>
          </w:p>
        </w:tc>
        <w:tc>
          <w:tcPr>
            <w:tcW w:w="1931" w:type="dxa"/>
          </w:tcPr>
          <w:p w14:paraId="2B1CDDA3" w14:textId="35BF7E43" w:rsidR="00155218" w:rsidRPr="00EE10C3" w:rsidRDefault="00155218" w:rsidP="00155218">
            <w:pPr>
              <w:pStyle w:val="Tabletext"/>
              <w:rPr>
                <w:lang w:val="fr-FR"/>
              </w:rPr>
            </w:pPr>
            <w:r w:rsidRPr="00EE10C3">
              <w:rPr>
                <w:lang w:val="fr-FR"/>
              </w:rPr>
              <w:t>24-25 avril 2025</w:t>
            </w:r>
          </w:p>
        </w:tc>
        <w:tc>
          <w:tcPr>
            <w:tcW w:w="2410" w:type="dxa"/>
          </w:tcPr>
          <w:p w14:paraId="0D6F9155" w14:textId="0E5BA623" w:rsidR="00155218" w:rsidRPr="00EE10C3" w:rsidRDefault="00155218" w:rsidP="00155218">
            <w:pPr>
              <w:pStyle w:val="Tabletext"/>
              <w:rPr>
                <w:lang w:val="fr-FR"/>
              </w:rPr>
            </w:pPr>
            <w:r w:rsidRPr="00EE10C3">
              <w:rPr>
                <w:lang w:val="fr-FR"/>
              </w:rPr>
              <w:t>Bichkek (Kirghizistan)</w:t>
            </w:r>
          </w:p>
        </w:tc>
        <w:tc>
          <w:tcPr>
            <w:tcW w:w="1842" w:type="dxa"/>
          </w:tcPr>
          <w:p w14:paraId="0C271890" w14:textId="1657798A" w:rsidR="00155218" w:rsidRPr="00EE10C3" w:rsidRDefault="00E90F8E" w:rsidP="00155218">
            <w:pPr>
              <w:pStyle w:val="Tabletext"/>
              <w:rPr>
                <w:lang w:val="fr-FR"/>
              </w:rPr>
            </w:pPr>
            <w:hyperlink r:id="rId29" w:history="1">
              <w:r w:rsidR="00371231" w:rsidRPr="00EE10C3">
                <w:rPr>
                  <w:rStyle w:val="Hyperlink"/>
                  <w:lang w:val="fr-FR"/>
                </w:rPr>
                <w:t>Rapport</w:t>
              </w:r>
            </w:hyperlink>
          </w:p>
        </w:tc>
        <w:tc>
          <w:tcPr>
            <w:tcW w:w="2263" w:type="dxa"/>
          </w:tcPr>
          <w:p w14:paraId="6DA5918B" w14:textId="005E7D36" w:rsidR="00155218" w:rsidRPr="00EE10C3" w:rsidRDefault="00E90F8E" w:rsidP="00155218">
            <w:pPr>
              <w:pStyle w:val="Tabletext"/>
              <w:rPr>
                <w:lang w:val="fr-FR"/>
              </w:rPr>
            </w:pPr>
            <w:hyperlink r:id="rId30" w:history="1">
              <w:r w:rsidR="00155218" w:rsidRPr="00EE10C3">
                <w:rPr>
                  <w:rStyle w:val="Hyperlink"/>
                  <w:lang w:val="fr-FR"/>
                </w:rPr>
                <w:t>Vidéo</w:t>
              </w:r>
            </w:hyperlink>
            <w:r w:rsidR="00155218" w:rsidRPr="00EE10C3">
              <w:rPr>
                <w:lang w:val="fr-FR"/>
              </w:rPr>
              <w:t xml:space="preserve"> sur la mise en </w:t>
            </w:r>
            <w:r w:rsidRPr="00EE10C3">
              <w:rPr>
                <w:lang w:val="fr-FR"/>
              </w:rPr>
              <w:t>œuvre</w:t>
            </w:r>
            <w:r w:rsidR="00155218" w:rsidRPr="00EE10C3">
              <w:rPr>
                <w:lang w:val="fr-FR"/>
              </w:rPr>
              <w:t xml:space="preserve"> du plan d'action de Kigali dans la région de la CEI</w:t>
            </w:r>
          </w:p>
        </w:tc>
      </w:tr>
    </w:tbl>
    <w:p w14:paraId="05A6AEF6" w14:textId="42A21DDE" w:rsidR="0068599C" w:rsidRPr="00EE10C3" w:rsidRDefault="0068599C" w:rsidP="007C3DAA">
      <w:pPr>
        <w:rPr>
          <w:lang w:val="fr-FR"/>
        </w:rPr>
      </w:pPr>
      <w:r w:rsidRPr="00EE10C3">
        <w:rPr>
          <w:lang w:val="fr-FR"/>
        </w:rPr>
        <w:t>Les RPM ont permis d'associer les membres de chaque région au processus de la CMDT, afin d'encourager une coordination au niveau régional avant la tenue de la conférence. Les RPM ont aussi permis de recenser les sujets d'intérêt et les enjeux au niveau régional qui doivent être abordés, afin d'encourager le développement des télécommunications/TIC et d'aider les États</w:t>
      </w:r>
      <w:r w:rsidR="007C3DAA" w:rsidRPr="00EE10C3">
        <w:rPr>
          <w:lang w:val="fr-FR"/>
        </w:rPr>
        <w:t> </w:t>
      </w:r>
      <w:r w:rsidRPr="00EE10C3">
        <w:rPr>
          <w:lang w:val="fr-FR"/>
        </w:rPr>
        <w:t>Membres et les Membres de Secteur à fixer des priorités communes.</w:t>
      </w:r>
    </w:p>
    <w:p w14:paraId="6692CEA2" w14:textId="77777777" w:rsidR="0068599C" w:rsidRPr="00EE10C3" w:rsidRDefault="0068599C" w:rsidP="0068599C">
      <w:pPr>
        <w:rPr>
          <w:lang w:val="fr-FR"/>
        </w:rPr>
      </w:pPr>
      <w:r w:rsidRPr="00EE10C3">
        <w:rPr>
          <w:lang w:val="fr-FR"/>
        </w:rPr>
        <w:lastRenderedPageBreak/>
        <w:t>4.2</w:t>
      </w:r>
      <w:r w:rsidRPr="00EE10C3">
        <w:rPr>
          <w:lang w:val="fr-FR"/>
        </w:rPr>
        <w:tab/>
        <w:t xml:space="preserve">Une </w:t>
      </w:r>
      <w:r w:rsidRPr="00EE10C3">
        <w:rPr>
          <w:b/>
          <w:bCs/>
          <w:lang w:val="fr-FR"/>
        </w:rPr>
        <w:t>réunion de coordination des RPM</w:t>
      </w:r>
      <w:r w:rsidRPr="00EE10C3">
        <w:rPr>
          <w:lang w:val="fr-FR"/>
        </w:rPr>
        <w:t xml:space="preserve"> se tiendra en présentiel le 12 mai 2025, afin d'examiner les rapports des six RPM et de soumettre un rapport de synthèse au GCDT, conformément à la Résolution 31 (Rév. Kigali, 2022) de la CMDT.</w:t>
      </w:r>
    </w:p>
    <w:p w14:paraId="290E10B1" w14:textId="7531AD29" w:rsidR="0068599C" w:rsidRPr="00EE10C3" w:rsidRDefault="0068599C" w:rsidP="007C3DAA">
      <w:pPr>
        <w:spacing w:after="120"/>
        <w:rPr>
          <w:lang w:val="fr-FR"/>
        </w:rPr>
      </w:pPr>
      <w:r w:rsidRPr="00EE10C3">
        <w:rPr>
          <w:lang w:val="fr-FR"/>
        </w:rPr>
        <w:t>4.3</w:t>
      </w:r>
      <w:r w:rsidRPr="00EE10C3">
        <w:rPr>
          <w:lang w:val="fr-FR"/>
        </w:rPr>
        <w:tab/>
        <w:t>Sur la base des pratiques en vigueur, le GCDT-25 devrait approuver la tenue de deux</w:t>
      </w:r>
      <w:r w:rsidR="007C3DAA" w:rsidRPr="00EE10C3">
        <w:rPr>
          <w:lang w:val="fr-FR"/>
        </w:rPr>
        <w:t> </w:t>
      </w:r>
      <w:r w:rsidRPr="00EE10C3">
        <w:rPr>
          <w:b/>
          <w:bCs/>
          <w:lang w:val="fr-FR"/>
        </w:rPr>
        <w:t>réunions interrégionales (IRM)</w:t>
      </w:r>
      <w:r w:rsidRPr="00EE10C3">
        <w:rPr>
          <w:lang w:val="fr-FR"/>
        </w:rPr>
        <w:t xml:space="preserve"> en vue de préparer la CMDT, prévues comme suit:</w:t>
      </w:r>
    </w:p>
    <w:tbl>
      <w:tblPr>
        <w:tblStyle w:val="TableGrid"/>
        <w:tblW w:w="0" w:type="auto"/>
        <w:tblInd w:w="1980" w:type="dxa"/>
        <w:tblLook w:val="04A0" w:firstRow="1" w:lastRow="0" w:firstColumn="1" w:lastColumn="0" w:noHBand="0" w:noVBand="1"/>
      </w:tblPr>
      <w:tblGrid>
        <w:gridCol w:w="1559"/>
        <w:gridCol w:w="4111"/>
      </w:tblGrid>
      <w:tr w:rsidR="00556A8B" w:rsidRPr="00EE10C3" w14:paraId="1A660E6E" w14:textId="77777777" w:rsidTr="005A4F37">
        <w:tc>
          <w:tcPr>
            <w:tcW w:w="1559" w:type="dxa"/>
          </w:tcPr>
          <w:p w14:paraId="704C7795" w14:textId="55BCE2FE" w:rsidR="00556A8B" w:rsidRPr="00EE10C3" w:rsidRDefault="00556A8B" w:rsidP="00556A8B">
            <w:pPr>
              <w:pStyle w:val="Tabletext"/>
              <w:rPr>
                <w:lang w:val="fr-FR"/>
              </w:rPr>
            </w:pPr>
            <w:r w:rsidRPr="00EE10C3">
              <w:rPr>
                <w:lang w:val="fr-FR"/>
              </w:rPr>
              <w:t>IRM-1</w:t>
            </w:r>
          </w:p>
        </w:tc>
        <w:tc>
          <w:tcPr>
            <w:tcW w:w="4111" w:type="dxa"/>
          </w:tcPr>
          <w:p w14:paraId="40947555" w14:textId="4A5D078F" w:rsidR="00556A8B" w:rsidRPr="00EE10C3" w:rsidRDefault="00556A8B" w:rsidP="00556A8B">
            <w:pPr>
              <w:pStyle w:val="Tabletext"/>
              <w:rPr>
                <w:lang w:val="fr-FR"/>
              </w:rPr>
            </w:pPr>
            <w:r w:rsidRPr="00EE10C3">
              <w:rPr>
                <w:lang w:val="fr-FR"/>
              </w:rPr>
              <w:t>14-15 juillet 2025 (réunion virtuelle)</w:t>
            </w:r>
          </w:p>
        </w:tc>
      </w:tr>
      <w:tr w:rsidR="00556A8B" w:rsidRPr="00EE10C3" w14:paraId="3064990D" w14:textId="77777777" w:rsidTr="005A4F37">
        <w:tc>
          <w:tcPr>
            <w:tcW w:w="1559" w:type="dxa"/>
          </w:tcPr>
          <w:p w14:paraId="58444F8D" w14:textId="6DF7D841" w:rsidR="00556A8B" w:rsidRPr="00EE10C3" w:rsidRDefault="00556A8B" w:rsidP="00556A8B">
            <w:pPr>
              <w:pStyle w:val="Tabletext"/>
              <w:rPr>
                <w:lang w:val="fr-FR"/>
              </w:rPr>
            </w:pPr>
            <w:r w:rsidRPr="00EE10C3">
              <w:rPr>
                <w:lang w:val="fr-FR"/>
              </w:rPr>
              <w:t>IRM-2</w:t>
            </w:r>
          </w:p>
        </w:tc>
        <w:tc>
          <w:tcPr>
            <w:tcW w:w="4111" w:type="dxa"/>
          </w:tcPr>
          <w:p w14:paraId="4FACB9E6" w14:textId="5830379D" w:rsidR="00556A8B" w:rsidRPr="00EE10C3" w:rsidRDefault="00556A8B" w:rsidP="00556A8B">
            <w:pPr>
              <w:pStyle w:val="Tabletext"/>
              <w:rPr>
                <w:lang w:val="fr-FR"/>
              </w:rPr>
            </w:pPr>
            <w:r w:rsidRPr="00EE10C3">
              <w:rPr>
                <w:lang w:val="fr-FR"/>
              </w:rPr>
              <w:t>29-30 septembre 2025 (réunion virtuelle)</w:t>
            </w:r>
          </w:p>
        </w:tc>
      </w:tr>
    </w:tbl>
    <w:p w14:paraId="24810B6B" w14:textId="447CDEEA" w:rsidR="0068599C" w:rsidRPr="00EE10C3" w:rsidRDefault="0068599C" w:rsidP="0068599C">
      <w:pPr>
        <w:rPr>
          <w:lang w:val="fr-FR"/>
        </w:rPr>
      </w:pPr>
      <w:r w:rsidRPr="00EE10C3">
        <w:rPr>
          <w:lang w:val="fr-FR"/>
        </w:rPr>
        <w:t>La participation aux réunions interrégionales est ouverte à tous les membres de l'UIT-D. Les États</w:t>
      </w:r>
      <w:r w:rsidR="00556A8B" w:rsidRPr="00EE10C3">
        <w:rPr>
          <w:lang w:val="fr-FR"/>
        </w:rPr>
        <w:t> </w:t>
      </w:r>
      <w:r w:rsidRPr="00EE10C3">
        <w:rPr>
          <w:lang w:val="fr-FR"/>
        </w:rPr>
        <w:t>Membres sont invités à inclure dans leur délégation, notamment, des représentants de régulateurs, de décideurs, de la société civile, d'établissements universitaires, des milieux techniques de l'Internet, d'organisations œuvrant pour l'égalité entre les femmes et les hommes et des jeunes.</w:t>
      </w:r>
    </w:p>
    <w:p w14:paraId="059FD93F" w14:textId="77777777" w:rsidR="0068599C" w:rsidRPr="00EE10C3" w:rsidRDefault="0068599C" w:rsidP="0068599C">
      <w:pPr>
        <w:rPr>
          <w:lang w:val="fr-FR"/>
        </w:rPr>
      </w:pPr>
      <w:r w:rsidRPr="00EE10C3">
        <w:rPr>
          <w:lang w:val="fr-FR"/>
        </w:rPr>
        <w:t>L'ordre du jour des réunions interrégionales est établi sur la base des débats de fond qui ont lieu pendant les RPM et peut comprendre des propositions des États Membres, des Membres de Secteur, des organisations régionales de télécommunication (RTO), du BDT et d'autres parties prenantes. Les discussions portent sur des questions essentielles qui nécessitent une coordination et appellent un consensus entre les différentes régions.</w:t>
      </w:r>
    </w:p>
    <w:p w14:paraId="5B29B2A3" w14:textId="12A7CD5D" w:rsidR="00923CF1" w:rsidRPr="00EE10C3" w:rsidRDefault="0068599C" w:rsidP="00556A8B">
      <w:pPr>
        <w:rPr>
          <w:lang w:val="fr-FR"/>
        </w:rPr>
      </w:pPr>
      <w:r w:rsidRPr="00EE10C3">
        <w:rPr>
          <w:lang w:val="fr-FR"/>
        </w:rPr>
        <w:t xml:space="preserve">Suivant les recommandations du GCDT, le </w:t>
      </w:r>
      <w:r w:rsidR="005A4F37" w:rsidRPr="00EE10C3">
        <w:rPr>
          <w:lang w:val="fr-FR"/>
        </w:rPr>
        <w:t>p</w:t>
      </w:r>
      <w:r w:rsidRPr="00EE10C3">
        <w:rPr>
          <w:lang w:val="fr-FR"/>
        </w:rPr>
        <w:t>résident désigné de la CMDT-25 sera nommé pour assurer la présidence des deux réunions interrégionales, et six vice-présidents doivent être désignés, chacun étant nommé par chaque organisation régionale de télécommunication concernée. Chaque organisation régionale de télécommunication a également été invitée à désigner le ou les représentants de son choix pour s'exprimer au nom de sa région.</w:t>
      </w:r>
    </w:p>
    <w:p w14:paraId="5A47ACAC" w14:textId="64DBB67B" w:rsidR="00556A8B" w:rsidRPr="00EE10C3" w:rsidRDefault="00556A8B" w:rsidP="00556A8B">
      <w:pPr>
        <w:jc w:val="center"/>
        <w:rPr>
          <w:lang w:val="fr-FR"/>
        </w:rPr>
      </w:pPr>
      <w:r w:rsidRPr="00EE10C3">
        <w:rPr>
          <w:lang w:val="fr-FR"/>
        </w:rPr>
        <w:t>______________</w:t>
      </w:r>
    </w:p>
    <w:sectPr w:rsidR="00556A8B" w:rsidRPr="00EE10C3" w:rsidSect="00473791">
      <w:headerReference w:type="default" r:id="rId31"/>
      <w:footerReference w:type="first" r:id="rId32"/>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35159" w14:textId="77777777" w:rsidR="005125E5" w:rsidRDefault="005125E5">
      <w:r>
        <w:separator/>
      </w:r>
    </w:p>
  </w:endnote>
  <w:endnote w:type="continuationSeparator" w:id="0">
    <w:p w14:paraId="5729DB95" w14:textId="77777777" w:rsidR="005125E5" w:rsidRDefault="00512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Traditional Arabic">
    <w:altName w:val="Times New Roman"/>
    <w:charset w:val="B2"/>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1B030A" w:rsidRPr="00CB7915" w14:paraId="5C2B0E2D" w14:textId="77777777" w:rsidTr="005539C3">
      <w:tc>
        <w:tcPr>
          <w:tcW w:w="1526" w:type="dxa"/>
          <w:tcBorders>
            <w:top w:val="single" w:sz="4" w:space="0" w:color="000000" w:themeColor="text1"/>
          </w:tcBorders>
        </w:tcPr>
        <w:p w14:paraId="176205BE" w14:textId="77777777" w:rsidR="001B030A" w:rsidRPr="00BA0009" w:rsidRDefault="001B030A" w:rsidP="001B030A">
          <w:pPr>
            <w:pStyle w:val="FirstFooter"/>
            <w:tabs>
              <w:tab w:val="left" w:pos="1559"/>
              <w:tab w:val="left" w:pos="3828"/>
            </w:tabs>
            <w:rPr>
              <w:sz w:val="18"/>
              <w:szCs w:val="18"/>
            </w:rPr>
          </w:pPr>
          <w:bookmarkStart w:id="6" w:name="Email"/>
          <w:bookmarkEnd w:id="6"/>
          <w:r w:rsidRPr="00E62753">
            <w:rPr>
              <w:sz w:val="18"/>
              <w:szCs w:val="18"/>
            </w:rPr>
            <w:t>Contact:</w:t>
          </w:r>
        </w:p>
      </w:tc>
      <w:tc>
        <w:tcPr>
          <w:tcW w:w="2410" w:type="dxa"/>
          <w:tcBorders>
            <w:top w:val="single" w:sz="4" w:space="0" w:color="000000" w:themeColor="text1"/>
          </w:tcBorders>
        </w:tcPr>
        <w:p w14:paraId="26830CB6" w14:textId="77777777" w:rsidR="001B030A" w:rsidRPr="00CB110F" w:rsidRDefault="001B030A" w:rsidP="001B030A">
          <w:pPr>
            <w:pStyle w:val="FirstFooter"/>
            <w:tabs>
              <w:tab w:val="left" w:pos="2302"/>
            </w:tabs>
            <w:ind w:left="2302" w:hanging="2302"/>
            <w:rPr>
              <w:sz w:val="18"/>
              <w:szCs w:val="18"/>
              <w:lang w:val="en-US"/>
            </w:rPr>
          </w:pPr>
          <w:r w:rsidRPr="00E62753">
            <w:rPr>
              <w:sz w:val="18"/>
              <w:szCs w:val="18"/>
              <w:lang w:val="fr-CH"/>
            </w:rPr>
            <w:t>Nom/Organisation/Entité:</w:t>
          </w:r>
        </w:p>
      </w:tc>
      <w:tc>
        <w:tcPr>
          <w:tcW w:w="5919" w:type="dxa"/>
          <w:tcBorders>
            <w:top w:val="single" w:sz="4" w:space="0" w:color="000000" w:themeColor="text1"/>
          </w:tcBorders>
        </w:tcPr>
        <w:p w14:paraId="0C8B6EEC" w14:textId="55E1F046" w:rsidR="001B030A" w:rsidRPr="0068599C" w:rsidRDefault="0068599C" w:rsidP="001B030A">
          <w:pPr>
            <w:pStyle w:val="FirstFooter"/>
            <w:rPr>
              <w:sz w:val="18"/>
              <w:szCs w:val="18"/>
              <w:highlight w:val="yellow"/>
            </w:rPr>
          </w:pPr>
          <w:r w:rsidRPr="0068599C">
            <w:rPr>
              <w:sz w:val="18"/>
              <w:szCs w:val="18"/>
            </w:rPr>
            <w:t>Mme Archana Gulati, Adjointe au Directeur du Bureau de développement des télécommunications</w:t>
          </w:r>
        </w:p>
      </w:tc>
    </w:tr>
    <w:tr w:rsidR="001B030A" w:rsidRPr="00CB110F" w14:paraId="298FE8EB" w14:textId="77777777" w:rsidTr="005539C3">
      <w:tc>
        <w:tcPr>
          <w:tcW w:w="1526" w:type="dxa"/>
        </w:tcPr>
        <w:p w14:paraId="7ACBC842" w14:textId="77777777" w:rsidR="001B030A" w:rsidRPr="009C2903" w:rsidRDefault="001B030A" w:rsidP="001B030A">
          <w:pPr>
            <w:pStyle w:val="FirstFooter"/>
            <w:tabs>
              <w:tab w:val="left" w:pos="1559"/>
              <w:tab w:val="left" w:pos="3828"/>
            </w:tabs>
            <w:rPr>
              <w:sz w:val="20"/>
            </w:rPr>
          </w:pPr>
        </w:p>
      </w:tc>
      <w:tc>
        <w:tcPr>
          <w:tcW w:w="2410" w:type="dxa"/>
        </w:tcPr>
        <w:p w14:paraId="76CE8C1A" w14:textId="77777777" w:rsidR="001B030A" w:rsidRPr="00CB110F" w:rsidRDefault="001B030A" w:rsidP="001B030A">
          <w:pPr>
            <w:pStyle w:val="FirstFooter"/>
            <w:tabs>
              <w:tab w:val="left" w:pos="2302"/>
            </w:tabs>
            <w:rPr>
              <w:sz w:val="18"/>
              <w:szCs w:val="18"/>
              <w:lang w:val="en-US"/>
            </w:rPr>
          </w:pPr>
          <w:r w:rsidRPr="00E62753">
            <w:rPr>
              <w:sz w:val="18"/>
              <w:szCs w:val="18"/>
              <w:lang w:val="fr-CH"/>
            </w:rPr>
            <w:t>Numéro de téléphone:</w:t>
          </w:r>
        </w:p>
      </w:tc>
      <w:tc>
        <w:tcPr>
          <w:tcW w:w="5919" w:type="dxa"/>
        </w:tcPr>
        <w:p w14:paraId="6CE1B2A9" w14:textId="2748900A" w:rsidR="001B030A" w:rsidRPr="0068599C" w:rsidRDefault="0068599C" w:rsidP="001B030A">
          <w:pPr>
            <w:pStyle w:val="FirstFooter"/>
            <w:tabs>
              <w:tab w:val="left" w:pos="2302"/>
            </w:tabs>
            <w:rPr>
              <w:sz w:val="18"/>
              <w:szCs w:val="18"/>
              <w:highlight w:val="yellow"/>
              <w:lang w:val="en-US"/>
            </w:rPr>
          </w:pPr>
          <w:r w:rsidRPr="0068599C">
            <w:rPr>
              <w:sz w:val="18"/>
              <w:szCs w:val="18"/>
              <w:lang w:val="en-US"/>
            </w:rPr>
            <w:t>+41 22 730 6475</w:t>
          </w:r>
        </w:p>
      </w:tc>
    </w:tr>
    <w:tr w:rsidR="001B030A" w:rsidRPr="00CB110F" w14:paraId="336F05F8" w14:textId="77777777" w:rsidTr="005539C3">
      <w:tc>
        <w:tcPr>
          <w:tcW w:w="1526" w:type="dxa"/>
        </w:tcPr>
        <w:p w14:paraId="10E74C07" w14:textId="77777777" w:rsidR="001B030A" w:rsidRPr="00CB110F" w:rsidRDefault="001B030A" w:rsidP="001B030A">
          <w:pPr>
            <w:pStyle w:val="FirstFooter"/>
            <w:tabs>
              <w:tab w:val="left" w:pos="1559"/>
              <w:tab w:val="left" w:pos="3828"/>
            </w:tabs>
            <w:rPr>
              <w:sz w:val="20"/>
              <w:lang w:val="en-US"/>
            </w:rPr>
          </w:pPr>
        </w:p>
      </w:tc>
      <w:tc>
        <w:tcPr>
          <w:tcW w:w="2410" w:type="dxa"/>
        </w:tcPr>
        <w:p w14:paraId="145C550E" w14:textId="77777777" w:rsidR="001B030A" w:rsidRPr="00CB110F" w:rsidRDefault="001B030A" w:rsidP="001B030A">
          <w:pPr>
            <w:pStyle w:val="FirstFooter"/>
            <w:tabs>
              <w:tab w:val="left" w:pos="2302"/>
            </w:tabs>
            <w:rPr>
              <w:sz w:val="18"/>
              <w:szCs w:val="18"/>
              <w:lang w:val="en-US"/>
            </w:rPr>
          </w:pPr>
          <w:r w:rsidRPr="00E62753">
            <w:rPr>
              <w:sz w:val="18"/>
              <w:szCs w:val="18"/>
              <w:lang w:val="fr-CH"/>
            </w:rPr>
            <w:t>Courriel</w:t>
          </w:r>
          <w:r w:rsidRPr="00E62753">
            <w:rPr>
              <w:sz w:val="18"/>
              <w:szCs w:val="18"/>
              <w:lang w:val="en-US"/>
            </w:rPr>
            <w:t>:</w:t>
          </w:r>
        </w:p>
      </w:tc>
      <w:tc>
        <w:tcPr>
          <w:tcW w:w="5919" w:type="dxa"/>
        </w:tcPr>
        <w:p w14:paraId="3537A984" w14:textId="2152551F" w:rsidR="001B030A" w:rsidRPr="0068599C" w:rsidRDefault="0068599C" w:rsidP="0068599C">
          <w:pPr>
            <w:spacing w:before="40"/>
            <w:rPr>
              <w:sz w:val="18"/>
              <w:szCs w:val="18"/>
              <w:lang w:val="fr-FR"/>
            </w:rPr>
          </w:pPr>
          <w:hyperlink r:id="rId1" w:history="1">
            <w:r w:rsidRPr="0068599C">
              <w:rPr>
                <w:rStyle w:val="Hyperlink"/>
                <w:sz w:val="18"/>
                <w:szCs w:val="18"/>
                <w:lang w:val="fr-FR"/>
              </w:rPr>
              <w:t>archana.gulati@itu.int</w:t>
            </w:r>
          </w:hyperlink>
        </w:p>
      </w:tc>
    </w:tr>
  </w:tbl>
  <w:p w14:paraId="4830D301" w14:textId="77777777" w:rsidR="00C80022" w:rsidRPr="001B030A" w:rsidRDefault="00C80022" w:rsidP="001B03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1BD0D" w14:textId="77777777" w:rsidR="005125E5" w:rsidRDefault="005125E5">
      <w:r>
        <w:t>____________________</w:t>
      </w:r>
    </w:p>
  </w:footnote>
  <w:footnote w:type="continuationSeparator" w:id="0">
    <w:p w14:paraId="6FC42220" w14:textId="77777777" w:rsidR="005125E5" w:rsidRDefault="00512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1CD86E46"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1C48D3">
      <w:rPr>
        <w:sz w:val="22"/>
        <w:szCs w:val="22"/>
        <w:lang w:val="de-CH"/>
      </w:rPr>
      <w:t>5</w:t>
    </w:r>
    <w:r w:rsidRPr="00A54E72">
      <w:rPr>
        <w:sz w:val="22"/>
        <w:szCs w:val="22"/>
        <w:lang w:val="de-CH"/>
      </w:rPr>
      <w:t>/</w:t>
    </w:r>
    <w:r w:rsidR="00EE3F6C">
      <w:rPr>
        <w:sz w:val="22"/>
        <w:szCs w:val="22"/>
        <w:lang w:val="de-CH"/>
      </w:rPr>
      <w:t>1</w:t>
    </w:r>
    <w:r w:rsidR="0068599C">
      <w:rPr>
        <w:sz w:val="22"/>
        <w:szCs w:val="22"/>
        <w:lang w:val="de-CH"/>
      </w:rPr>
      <w:t>2</w:t>
    </w:r>
    <w:r w:rsidR="00E037C2">
      <w:rPr>
        <w:sz w:val="22"/>
        <w:szCs w:val="22"/>
        <w:lang w:val="de-CH"/>
      </w:rPr>
      <w:t>(Rév.1)</w:t>
    </w:r>
    <w:r w:rsidRPr="006D271A">
      <w:rPr>
        <w:sz w:val="22"/>
        <w:szCs w:val="22"/>
        <w:lang w:val="de-CH"/>
      </w:rPr>
      <w:t>-</w:t>
    </w:r>
    <w:r w:rsidR="00700F2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E25345">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A0544"/>
    <w:multiLevelType w:val="hybridMultilevel"/>
    <w:tmpl w:val="BD82B1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1950357019">
    <w:abstractNumId w:val="1"/>
  </w:num>
  <w:num w:numId="2" w16cid:durableId="299313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C43"/>
    <w:rsid w:val="00005791"/>
    <w:rsid w:val="00010827"/>
    <w:rsid w:val="00015089"/>
    <w:rsid w:val="0002520B"/>
    <w:rsid w:val="000325DF"/>
    <w:rsid w:val="00037A9E"/>
    <w:rsid w:val="00037F91"/>
    <w:rsid w:val="00043524"/>
    <w:rsid w:val="00050010"/>
    <w:rsid w:val="000539F1"/>
    <w:rsid w:val="00054747"/>
    <w:rsid w:val="00055A2A"/>
    <w:rsid w:val="000615C1"/>
    <w:rsid w:val="00061675"/>
    <w:rsid w:val="000743AA"/>
    <w:rsid w:val="0007632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11EB"/>
    <w:rsid w:val="00102F72"/>
    <w:rsid w:val="00107E85"/>
    <w:rsid w:val="00113EE8"/>
    <w:rsid w:val="0011455A"/>
    <w:rsid w:val="00114A65"/>
    <w:rsid w:val="00115B95"/>
    <w:rsid w:val="00133061"/>
    <w:rsid w:val="00141699"/>
    <w:rsid w:val="0014629B"/>
    <w:rsid w:val="00147000"/>
    <w:rsid w:val="00147358"/>
    <w:rsid w:val="00155218"/>
    <w:rsid w:val="00157A25"/>
    <w:rsid w:val="00163091"/>
    <w:rsid w:val="001645CB"/>
    <w:rsid w:val="00166305"/>
    <w:rsid w:val="00167545"/>
    <w:rsid w:val="001703C6"/>
    <w:rsid w:val="00173781"/>
    <w:rsid w:val="00173CA1"/>
    <w:rsid w:val="00175ADF"/>
    <w:rsid w:val="00175CAE"/>
    <w:rsid w:val="001828DB"/>
    <w:rsid w:val="001850FE"/>
    <w:rsid w:val="00185135"/>
    <w:rsid w:val="0019037C"/>
    <w:rsid w:val="001905A9"/>
    <w:rsid w:val="00191273"/>
    <w:rsid w:val="001942A7"/>
    <w:rsid w:val="0019587B"/>
    <w:rsid w:val="001A163D"/>
    <w:rsid w:val="001A441E"/>
    <w:rsid w:val="001A6733"/>
    <w:rsid w:val="001B030A"/>
    <w:rsid w:val="001B357F"/>
    <w:rsid w:val="001C3444"/>
    <w:rsid w:val="001C3702"/>
    <w:rsid w:val="001C4656"/>
    <w:rsid w:val="001C46BC"/>
    <w:rsid w:val="001C48D3"/>
    <w:rsid w:val="001D1E06"/>
    <w:rsid w:val="001D5E71"/>
    <w:rsid w:val="001E5219"/>
    <w:rsid w:val="001F23E6"/>
    <w:rsid w:val="001F3B76"/>
    <w:rsid w:val="001F4238"/>
    <w:rsid w:val="00200A38"/>
    <w:rsid w:val="00200A46"/>
    <w:rsid w:val="00202F12"/>
    <w:rsid w:val="0021103E"/>
    <w:rsid w:val="00211B6F"/>
    <w:rsid w:val="00217CC3"/>
    <w:rsid w:val="00220AB6"/>
    <w:rsid w:val="0022120F"/>
    <w:rsid w:val="00223E96"/>
    <w:rsid w:val="0022754A"/>
    <w:rsid w:val="00236560"/>
    <w:rsid w:val="0023662E"/>
    <w:rsid w:val="00245D0F"/>
    <w:rsid w:val="002548C3"/>
    <w:rsid w:val="0025558B"/>
    <w:rsid w:val="00257ACD"/>
    <w:rsid w:val="00262908"/>
    <w:rsid w:val="002650F4"/>
    <w:rsid w:val="002715FD"/>
    <w:rsid w:val="002770B1"/>
    <w:rsid w:val="00285B33"/>
    <w:rsid w:val="00287A3C"/>
    <w:rsid w:val="002A2FC6"/>
    <w:rsid w:val="002C1EC7"/>
    <w:rsid w:val="002C3015"/>
    <w:rsid w:val="002C35A2"/>
    <w:rsid w:val="002C4342"/>
    <w:rsid w:val="002C49FD"/>
    <w:rsid w:val="002C7EA3"/>
    <w:rsid w:val="002D20AE"/>
    <w:rsid w:val="002D6C61"/>
    <w:rsid w:val="002E2104"/>
    <w:rsid w:val="002E2DAC"/>
    <w:rsid w:val="002E6963"/>
    <w:rsid w:val="002E6F8F"/>
    <w:rsid w:val="002F05D8"/>
    <w:rsid w:val="002F2DE0"/>
    <w:rsid w:val="002F5E25"/>
    <w:rsid w:val="0030353C"/>
    <w:rsid w:val="00307769"/>
    <w:rsid w:val="00312147"/>
    <w:rsid w:val="003125C3"/>
    <w:rsid w:val="00312AE6"/>
    <w:rsid w:val="00317D1A"/>
    <w:rsid w:val="003201D1"/>
    <w:rsid w:val="003211FF"/>
    <w:rsid w:val="003242AB"/>
    <w:rsid w:val="00327247"/>
    <w:rsid w:val="00327A9D"/>
    <w:rsid w:val="0033130E"/>
    <w:rsid w:val="0033269C"/>
    <w:rsid w:val="003411B9"/>
    <w:rsid w:val="00351C79"/>
    <w:rsid w:val="00353044"/>
    <w:rsid w:val="0035516C"/>
    <w:rsid w:val="00355A4C"/>
    <w:rsid w:val="003604FB"/>
    <w:rsid w:val="00360B73"/>
    <w:rsid w:val="003660ED"/>
    <w:rsid w:val="00371231"/>
    <w:rsid w:val="00380B71"/>
    <w:rsid w:val="0038365A"/>
    <w:rsid w:val="00386A89"/>
    <w:rsid w:val="00394397"/>
    <w:rsid w:val="0039648E"/>
    <w:rsid w:val="003A5AFE"/>
    <w:rsid w:val="003A5D5F"/>
    <w:rsid w:val="003A7FFE"/>
    <w:rsid w:val="003B0A63"/>
    <w:rsid w:val="003B50E1"/>
    <w:rsid w:val="003B52A5"/>
    <w:rsid w:val="003C1746"/>
    <w:rsid w:val="003C2AA9"/>
    <w:rsid w:val="003C58BF"/>
    <w:rsid w:val="003D451D"/>
    <w:rsid w:val="003E4D0E"/>
    <w:rsid w:val="003F2DD8"/>
    <w:rsid w:val="003F3F2D"/>
    <w:rsid w:val="003F50B2"/>
    <w:rsid w:val="003F7083"/>
    <w:rsid w:val="00400CCF"/>
    <w:rsid w:val="00401BFF"/>
    <w:rsid w:val="004037AF"/>
    <w:rsid w:val="00404424"/>
    <w:rsid w:val="0041156B"/>
    <w:rsid w:val="004122C5"/>
    <w:rsid w:val="00413B78"/>
    <w:rsid w:val="00416DDE"/>
    <w:rsid w:val="00442576"/>
    <w:rsid w:val="0044411E"/>
    <w:rsid w:val="00445FD7"/>
    <w:rsid w:val="00453435"/>
    <w:rsid w:val="00460089"/>
    <w:rsid w:val="00466398"/>
    <w:rsid w:val="0047306D"/>
    <w:rsid w:val="00473791"/>
    <w:rsid w:val="00476E48"/>
    <w:rsid w:val="00481DE9"/>
    <w:rsid w:val="00486811"/>
    <w:rsid w:val="0049128B"/>
    <w:rsid w:val="00493B49"/>
    <w:rsid w:val="00495501"/>
    <w:rsid w:val="004A070A"/>
    <w:rsid w:val="004A320E"/>
    <w:rsid w:val="004A4E9C"/>
    <w:rsid w:val="004B1A3C"/>
    <w:rsid w:val="004D2CC3"/>
    <w:rsid w:val="004D35CB"/>
    <w:rsid w:val="004D7DAB"/>
    <w:rsid w:val="004E20E5"/>
    <w:rsid w:val="004E64EA"/>
    <w:rsid w:val="004E7828"/>
    <w:rsid w:val="004E785D"/>
    <w:rsid w:val="004F46AA"/>
    <w:rsid w:val="004F6A70"/>
    <w:rsid w:val="00500AD7"/>
    <w:rsid w:val="00502ABF"/>
    <w:rsid w:val="00504DB0"/>
    <w:rsid w:val="00507C35"/>
    <w:rsid w:val="00510735"/>
    <w:rsid w:val="005125E5"/>
    <w:rsid w:val="00514D2F"/>
    <w:rsid w:val="00534601"/>
    <w:rsid w:val="00541E8A"/>
    <w:rsid w:val="0054420E"/>
    <w:rsid w:val="00544D1B"/>
    <w:rsid w:val="00545DC0"/>
    <w:rsid w:val="00545F6C"/>
    <w:rsid w:val="005477D9"/>
    <w:rsid w:val="005540FC"/>
    <w:rsid w:val="00556A8B"/>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A4F37"/>
    <w:rsid w:val="005C071F"/>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3CA"/>
    <w:rsid w:val="005F6BE1"/>
    <w:rsid w:val="005F7416"/>
    <w:rsid w:val="00600C11"/>
    <w:rsid w:val="00606B89"/>
    <w:rsid w:val="00611EAF"/>
    <w:rsid w:val="006204AB"/>
    <w:rsid w:val="00623F30"/>
    <w:rsid w:val="00625FB8"/>
    <w:rsid w:val="006261BD"/>
    <w:rsid w:val="00635EDB"/>
    <w:rsid w:val="0064734E"/>
    <w:rsid w:val="00650137"/>
    <w:rsid w:val="006509D7"/>
    <w:rsid w:val="00651CE8"/>
    <w:rsid w:val="0065521B"/>
    <w:rsid w:val="0066288F"/>
    <w:rsid w:val="00671EF6"/>
    <w:rsid w:val="0067205B"/>
    <w:rsid w:val="006748F8"/>
    <w:rsid w:val="00680489"/>
    <w:rsid w:val="00683C32"/>
    <w:rsid w:val="0068599C"/>
    <w:rsid w:val="00690BB2"/>
    <w:rsid w:val="00693D09"/>
    <w:rsid w:val="00694D3D"/>
    <w:rsid w:val="006A6549"/>
    <w:rsid w:val="006A7710"/>
    <w:rsid w:val="006A7A61"/>
    <w:rsid w:val="006B1E59"/>
    <w:rsid w:val="006B2FFB"/>
    <w:rsid w:val="006B5AA9"/>
    <w:rsid w:val="006C10A2"/>
    <w:rsid w:val="006C1F18"/>
    <w:rsid w:val="006D2997"/>
    <w:rsid w:val="006D40D5"/>
    <w:rsid w:val="006F009A"/>
    <w:rsid w:val="006F3D93"/>
    <w:rsid w:val="00700F2B"/>
    <w:rsid w:val="007019B1"/>
    <w:rsid w:val="00721657"/>
    <w:rsid w:val="007279A8"/>
    <w:rsid w:val="00727B1A"/>
    <w:rsid w:val="0073496E"/>
    <w:rsid w:val="00741337"/>
    <w:rsid w:val="00752258"/>
    <w:rsid w:val="007529E1"/>
    <w:rsid w:val="007558DA"/>
    <w:rsid w:val="00762880"/>
    <w:rsid w:val="00762AD6"/>
    <w:rsid w:val="00762E02"/>
    <w:rsid w:val="00763120"/>
    <w:rsid w:val="00772290"/>
    <w:rsid w:val="00777265"/>
    <w:rsid w:val="007805E7"/>
    <w:rsid w:val="0078222A"/>
    <w:rsid w:val="00787D48"/>
    <w:rsid w:val="00793C6C"/>
    <w:rsid w:val="00795294"/>
    <w:rsid w:val="007A4E50"/>
    <w:rsid w:val="007A7D3C"/>
    <w:rsid w:val="007B18A7"/>
    <w:rsid w:val="007B250E"/>
    <w:rsid w:val="007C27FC"/>
    <w:rsid w:val="007C3DAA"/>
    <w:rsid w:val="007C51FF"/>
    <w:rsid w:val="007C5220"/>
    <w:rsid w:val="007C7EF5"/>
    <w:rsid w:val="007D50E4"/>
    <w:rsid w:val="007E2DC5"/>
    <w:rsid w:val="007F183B"/>
    <w:rsid w:val="007F1CC7"/>
    <w:rsid w:val="008027AC"/>
    <w:rsid w:val="008028CE"/>
    <w:rsid w:val="0080332E"/>
    <w:rsid w:val="00813361"/>
    <w:rsid w:val="008141E0"/>
    <w:rsid w:val="00816EE1"/>
    <w:rsid w:val="00816F88"/>
    <w:rsid w:val="00821996"/>
    <w:rsid w:val="00822323"/>
    <w:rsid w:val="008274DB"/>
    <w:rsid w:val="00827BC6"/>
    <w:rsid w:val="008300AD"/>
    <w:rsid w:val="00833024"/>
    <w:rsid w:val="008339F3"/>
    <w:rsid w:val="00840909"/>
    <w:rsid w:val="008419B1"/>
    <w:rsid w:val="00844A56"/>
    <w:rsid w:val="00845B11"/>
    <w:rsid w:val="00852081"/>
    <w:rsid w:val="00872B6E"/>
    <w:rsid w:val="00874DFD"/>
    <w:rsid w:val="008802F9"/>
    <w:rsid w:val="00883086"/>
    <w:rsid w:val="008879FD"/>
    <w:rsid w:val="00894C37"/>
    <w:rsid w:val="008A00EA"/>
    <w:rsid w:val="008A10CB"/>
    <w:rsid w:val="008A3F93"/>
    <w:rsid w:val="008A6236"/>
    <w:rsid w:val="008A6E1C"/>
    <w:rsid w:val="008A72FD"/>
    <w:rsid w:val="008B2EDF"/>
    <w:rsid w:val="008B47C7"/>
    <w:rsid w:val="008B54CB"/>
    <w:rsid w:val="008B5A3D"/>
    <w:rsid w:val="008C0AD9"/>
    <w:rsid w:val="008C4010"/>
    <w:rsid w:val="008C4FDF"/>
    <w:rsid w:val="008C6B1F"/>
    <w:rsid w:val="008D5E4F"/>
    <w:rsid w:val="008E13EE"/>
    <w:rsid w:val="008E34F0"/>
    <w:rsid w:val="008F14F5"/>
    <w:rsid w:val="008F71C1"/>
    <w:rsid w:val="00902D41"/>
    <w:rsid w:val="00902F49"/>
    <w:rsid w:val="00904230"/>
    <w:rsid w:val="00914004"/>
    <w:rsid w:val="00921A30"/>
    <w:rsid w:val="00922EC1"/>
    <w:rsid w:val="00923CF1"/>
    <w:rsid w:val="009301F1"/>
    <w:rsid w:val="009307DF"/>
    <w:rsid w:val="009359B8"/>
    <w:rsid w:val="00935FF0"/>
    <w:rsid w:val="009431F8"/>
    <w:rsid w:val="00946023"/>
    <w:rsid w:val="00947A35"/>
    <w:rsid w:val="00952667"/>
    <w:rsid w:val="0096201B"/>
    <w:rsid w:val="00962081"/>
    <w:rsid w:val="00966CB5"/>
    <w:rsid w:val="00975786"/>
    <w:rsid w:val="00980390"/>
    <w:rsid w:val="00981CB7"/>
    <w:rsid w:val="00983E1F"/>
    <w:rsid w:val="00993F46"/>
    <w:rsid w:val="00997358"/>
    <w:rsid w:val="00997DF1"/>
    <w:rsid w:val="009A36C9"/>
    <w:rsid w:val="009A452B"/>
    <w:rsid w:val="009B050C"/>
    <w:rsid w:val="009B087F"/>
    <w:rsid w:val="009B2AF4"/>
    <w:rsid w:val="009C110B"/>
    <w:rsid w:val="009C5441"/>
    <w:rsid w:val="009D119F"/>
    <w:rsid w:val="009D179D"/>
    <w:rsid w:val="009D49A2"/>
    <w:rsid w:val="009D6733"/>
    <w:rsid w:val="009F3940"/>
    <w:rsid w:val="009F3EB2"/>
    <w:rsid w:val="009F6EB1"/>
    <w:rsid w:val="00A11D05"/>
    <w:rsid w:val="00A13162"/>
    <w:rsid w:val="00A20267"/>
    <w:rsid w:val="00A3158C"/>
    <w:rsid w:val="00A32DF3"/>
    <w:rsid w:val="00A33E32"/>
    <w:rsid w:val="00A35E20"/>
    <w:rsid w:val="00A36F6D"/>
    <w:rsid w:val="00A4312F"/>
    <w:rsid w:val="00A50CA0"/>
    <w:rsid w:val="00A525CC"/>
    <w:rsid w:val="00A53E7C"/>
    <w:rsid w:val="00A60087"/>
    <w:rsid w:val="00A66C4C"/>
    <w:rsid w:val="00A67E68"/>
    <w:rsid w:val="00A705E8"/>
    <w:rsid w:val="00A721F4"/>
    <w:rsid w:val="00A856E6"/>
    <w:rsid w:val="00A9392C"/>
    <w:rsid w:val="00A9462B"/>
    <w:rsid w:val="00A97D59"/>
    <w:rsid w:val="00AA3E09"/>
    <w:rsid w:val="00AA4BEF"/>
    <w:rsid w:val="00AB1659"/>
    <w:rsid w:val="00AB4962"/>
    <w:rsid w:val="00AB734E"/>
    <w:rsid w:val="00AB740F"/>
    <w:rsid w:val="00AC2BF7"/>
    <w:rsid w:val="00AC6F14"/>
    <w:rsid w:val="00AC7221"/>
    <w:rsid w:val="00AD4677"/>
    <w:rsid w:val="00AD6CBD"/>
    <w:rsid w:val="00AE5961"/>
    <w:rsid w:val="00AF0745"/>
    <w:rsid w:val="00AF270F"/>
    <w:rsid w:val="00AF4971"/>
    <w:rsid w:val="00AF5276"/>
    <w:rsid w:val="00AF6750"/>
    <w:rsid w:val="00AF7C86"/>
    <w:rsid w:val="00B01046"/>
    <w:rsid w:val="00B310F9"/>
    <w:rsid w:val="00B37866"/>
    <w:rsid w:val="00B412FB"/>
    <w:rsid w:val="00B4576B"/>
    <w:rsid w:val="00B46350"/>
    <w:rsid w:val="00B46DF3"/>
    <w:rsid w:val="00B53A29"/>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2B4D"/>
    <w:rsid w:val="00BF798B"/>
    <w:rsid w:val="00C015F8"/>
    <w:rsid w:val="00C02C2A"/>
    <w:rsid w:val="00C07E26"/>
    <w:rsid w:val="00C1011C"/>
    <w:rsid w:val="00C12F94"/>
    <w:rsid w:val="00C177C5"/>
    <w:rsid w:val="00C21D7F"/>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0022"/>
    <w:rsid w:val="00C83230"/>
    <w:rsid w:val="00C848EF"/>
    <w:rsid w:val="00C86600"/>
    <w:rsid w:val="00C87BCA"/>
    <w:rsid w:val="00C87EED"/>
    <w:rsid w:val="00C94506"/>
    <w:rsid w:val="00C954BC"/>
    <w:rsid w:val="00CA1F0B"/>
    <w:rsid w:val="00CA3BF2"/>
    <w:rsid w:val="00CB110F"/>
    <w:rsid w:val="00CB2A2E"/>
    <w:rsid w:val="00CB338A"/>
    <w:rsid w:val="00CB7915"/>
    <w:rsid w:val="00CB79C5"/>
    <w:rsid w:val="00CC411F"/>
    <w:rsid w:val="00CC4B75"/>
    <w:rsid w:val="00CC6830"/>
    <w:rsid w:val="00CC732E"/>
    <w:rsid w:val="00CD2FCD"/>
    <w:rsid w:val="00CD7207"/>
    <w:rsid w:val="00CE0422"/>
    <w:rsid w:val="00CE0DBE"/>
    <w:rsid w:val="00CE5E4D"/>
    <w:rsid w:val="00CF02C4"/>
    <w:rsid w:val="00CF167F"/>
    <w:rsid w:val="00CF6022"/>
    <w:rsid w:val="00CF72E5"/>
    <w:rsid w:val="00D013EE"/>
    <w:rsid w:val="00D01F54"/>
    <w:rsid w:val="00D040F7"/>
    <w:rsid w:val="00D04A76"/>
    <w:rsid w:val="00D10FC7"/>
    <w:rsid w:val="00D1519F"/>
    <w:rsid w:val="00D20E99"/>
    <w:rsid w:val="00D21C83"/>
    <w:rsid w:val="00D25ABA"/>
    <w:rsid w:val="00D3570F"/>
    <w:rsid w:val="00D35BDD"/>
    <w:rsid w:val="00D63006"/>
    <w:rsid w:val="00D72301"/>
    <w:rsid w:val="00D82CAD"/>
    <w:rsid w:val="00D90341"/>
    <w:rsid w:val="00D911DE"/>
    <w:rsid w:val="00D91B97"/>
    <w:rsid w:val="00D93ACC"/>
    <w:rsid w:val="00D93C08"/>
    <w:rsid w:val="00D95DAC"/>
    <w:rsid w:val="00DA0B53"/>
    <w:rsid w:val="00DB1171"/>
    <w:rsid w:val="00DB1348"/>
    <w:rsid w:val="00DB1519"/>
    <w:rsid w:val="00DB1B2E"/>
    <w:rsid w:val="00DB2840"/>
    <w:rsid w:val="00DB5A08"/>
    <w:rsid w:val="00DC1BD3"/>
    <w:rsid w:val="00DC2C1A"/>
    <w:rsid w:val="00DD66B4"/>
    <w:rsid w:val="00DE1972"/>
    <w:rsid w:val="00DE27AB"/>
    <w:rsid w:val="00DF2AB3"/>
    <w:rsid w:val="00DF308B"/>
    <w:rsid w:val="00DF48B9"/>
    <w:rsid w:val="00DF7250"/>
    <w:rsid w:val="00E00CAA"/>
    <w:rsid w:val="00E037C2"/>
    <w:rsid w:val="00E03EBF"/>
    <w:rsid w:val="00E05209"/>
    <w:rsid w:val="00E05AC1"/>
    <w:rsid w:val="00E11BCF"/>
    <w:rsid w:val="00E133A7"/>
    <w:rsid w:val="00E2258E"/>
    <w:rsid w:val="00E24DE9"/>
    <w:rsid w:val="00E25345"/>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57A8"/>
    <w:rsid w:val="00E86933"/>
    <w:rsid w:val="00E90F8E"/>
    <w:rsid w:val="00E950F8"/>
    <w:rsid w:val="00E9605B"/>
    <w:rsid w:val="00E97298"/>
    <w:rsid w:val="00E97753"/>
    <w:rsid w:val="00EA0C51"/>
    <w:rsid w:val="00EA7DE7"/>
    <w:rsid w:val="00EB7A8A"/>
    <w:rsid w:val="00EC6FED"/>
    <w:rsid w:val="00EC7F3B"/>
    <w:rsid w:val="00ED5299"/>
    <w:rsid w:val="00EE10C3"/>
    <w:rsid w:val="00EE1F8F"/>
    <w:rsid w:val="00EE3A64"/>
    <w:rsid w:val="00EE3F6C"/>
    <w:rsid w:val="00EE50E5"/>
    <w:rsid w:val="00EF01CF"/>
    <w:rsid w:val="00F0020A"/>
    <w:rsid w:val="00F03590"/>
    <w:rsid w:val="00F03622"/>
    <w:rsid w:val="00F077FD"/>
    <w:rsid w:val="00F204F3"/>
    <w:rsid w:val="00F218AB"/>
    <w:rsid w:val="00F21D10"/>
    <w:rsid w:val="00F238B3"/>
    <w:rsid w:val="00F24FED"/>
    <w:rsid w:val="00F25586"/>
    <w:rsid w:val="00F2651D"/>
    <w:rsid w:val="00F27362"/>
    <w:rsid w:val="00F31498"/>
    <w:rsid w:val="00F32FEF"/>
    <w:rsid w:val="00F3719C"/>
    <w:rsid w:val="00F41B1C"/>
    <w:rsid w:val="00F42E13"/>
    <w:rsid w:val="00F42F1C"/>
    <w:rsid w:val="00F43B44"/>
    <w:rsid w:val="00F440E5"/>
    <w:rsid w:val="00F448F6"/>
    <w:rsid w:val="00F52741"/>
    <w:rsid w:val="00F53D8A"/>
    <w:rsid w:val="00F626F7"/>
    <w:rsid w:val="00F67219"/>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uiPriority w:val="39"/>
    <w:rsid w:val="00B37866"/>
    <w:pPr>
      <w:spacing w:before="120"/>
    </w:pPr>
  </w:style>
  <w:style w:type="paragraph" w:styleId="TOC1">
    <w:name w:val="toc 1"/>
    <w:basedOn w:val="Normal"/>
    <w:uiPriority w:val="39"/>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EE3F6C"/>
    <w:rPr>
      <w:color w:val="605E5C"/>
      <w:shd w:val="clear" w:color="auto" w:fill="E1DFDD"/>
    </w:rPr>
  </w:style>
  <w:style w:type="paragraph" w:customStyle="1" w:styleId="BDTNormal">
    <w:name w:val="BDT_Normal"/>
    <w:link w:val="BDTNormalChar"/>
    <w:uiPriority w:val="99"/>
    <w:rsid w:val="00202F12"/>
    <w:pPr>
      <w:spacing w:before="120" w:after="120"/>
    </w:pPr>
    <w:rPr>
      <w:rFonts w:ascii="Calibri" w:eastAsia="SimSun" w:hAnsi="Calibri" w:cs="Traditional Arabic"/>
      <w:sz w:val="22"/>
      <w:szCs w:val="30"/>
      <w:lang w:val="es-ES" w:eastAsia="en-US"/>
    </w:rPr>
  </w:style>
  <w:style w:type="character" w:customStyle="1" w:styleId="BDTNormalChar">
    <w:name w:val="BDT_Normal Char"/>
    <w:basedOn w:val="DefaultParagraphFont"/>
    <w:link w:val="BDTNormal"/>
    <w:uiPriority w:val="99"/>
    <w:locked/>
    <w:rsid w:val="00202F12"/>
    <w:rPr>
      <w:rFonts w:ascii="Calibri" w:eastAsia="SimSun" w:hAnsi="Calibri" w:cs="Traditional Arabic"/>
      <w:sz w:val="22"/>
      <w:szCs w:val="30"/>
      <w:lang w:val="es-ES" w:eastAsia="en-US"/>
    </w:rPr>
  </w:style>
  <w:style w:type="character" w:styleId="Strong">
    <w:name w:val="Strong"/>
    <w:basedOn w:val="DefaultParagraphFont"/>
    <w:uiPriority w:val="22"/>
    <w:qFormat/>
    <w:rsid w:val="00202F12"/>
    <w:rPr>
      <w:b/>
      <w:bCs/>
    </w:rPr>
  </w:style>
  <w:style w:type="character" w:styleId="CommentReference">
    <w:name w:val="annotation reference"/>
    <w:basedOn w:val="DefaultParagraphFont"/>
    <w:semiHidden/>
    <w:unhideWhenUsed/>
    <w:rsid w:val="006204AB"/>
    <w:rPr>
      <w:sz w:val="16"/>
      <w:szCs w:val="16"/>
    </w:rPr>
  </w:style>
  <w:style w:type="paragraph" w:styleId="CommentText">
    <w:name w:val="annotation text"/>
    <w:basedOn w:val="Normal"/>
    <w:link w:val="CommentTextChar"/>
    <w:unhideWhenUsed/>
    <w:rsid w:val="006204AB"/>
    <w:pPr>
      <w:tabs>
        <w:tab w:val="clear" w:pos="794"/>
        <w:tab w:val="clear" w:pos="1191"/>
        <w:tab w:val="clear" w:pos="1588"/>
        <w:tab w:val="clear" w:pos="1985"/>
        <w:tab w:val="left" w:pos="1134"/>
        <w:tab w:val="left" w:pos="1871"/>
        <w:tab w:val="left" w:pos="2268"/>
      </w:tabs>
    </w:pPr>
    <w:rPr>
      <w:rFonts w:eastAsia="Batang"/>
      <w:sz w:val="20"/>
      <w:lang w:val="fr-FR"/>
    </w:rPr>
  </w:style>
  <w:style w:type="character" w:customStyle="1" w:styleId="CommentTextChar">
    <w:name w:val="Comment Text Char"/>
    <w:basedOn w:val="DefaultParagraphFont"/>
    <w:link w:val="CommentText"/>
    <w:rsid w:val="006204AB"/>
    <w:rPr>
      <w:rFonts w:asciiTheme="minorHAnsi" w:eastAsia="Batang" w:hAnsiTheme="minorHAnsi"/>
      <w:lang w:val="fr-FR" w:eastAsia="en-US"/>
    </w:rPr>
  </w:style>
  <w:style w:type="paragraph" w:customStyle="1" w:styleId="Figure">
    <w:name w:val="Figure"/>
    <w:basedOn w:val="Normal"/>
    <w:rsid w:val="0025558B"/>
    <w:pPr>
      <w:keepNext/>
      <w:keepLines/>
    </w:pPr>
    <w:rPr>
      <w:noProof/>
      <w:lang w:val="fr-FR"/>
    </w:rPr>
  </w:style>
  <w:style w:type="paragraph" w:styleId="Revision">
    <w:name w:val="Revision"/>
    <w:hidden/>
    <w:uiPriority w:val="99"/>
    <w:semiHidden/>
    <w:rsid w:val="00155218"/>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4-CL-C-0030/fr" TargetMode="External"/><Relationship Id="rId18" Type="http://schemas.openxmlformats.org/officeDocument/2006/relationships/hyperlink" Target="https://www.itu.int/md/S24-SG-CIR-0038/fr" TargetMode="External"/><Relationship Id="rId26" Type="http://schemas.openxmlformats.org/officeDocument/2006/relationships/hyperlink" Target="https://www.youtube.com/watch?v=0Q1A-_uFb2U" TargetMode="External"/><Relationship Id="rId3" Type="http://schemas.openxmlformats.org/officeDocument/2006/relationships/customXml" Target="../customXml/item3.xml"/><Relationship Id="rId21" Type="http://schemas.openxmlformats.org/officeDocument/2006/relationships/hyperlink" Target="https://www.itu.int/md/D22-RPMEUR-C-0030/fr"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chrome-extension://efaidnbmnnnibpcajpcglclefindmkaj/https:/www.itu.int/dms_pub/itu-s/md/24/sg/cir/S24-SG-CIR-0038!!PDF-F.pdf" TargetMode="External"/><Relationship Id="rId25" Type="http://schemas.openxmlformats.org/officeDocument/2006/relationships/hyperlink" Target="https://www.itu.int/md/D22-RPMAMS-C-0021/en"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hrome-extension://efaidnbmnnnibpcajpcglclefindmkaj/https:/www.itu.int/dms_pub/itu-s/md/24/sg/cir/S24-SG-CIR-0038!!PDF-F.pdf" TargetMode="External"/><Relationship Id="rId20" Type="http://schemas.openxmlformats.org/officeDocument/2006/relationships/hyperlink" Target="https://www.youtube.com/watch?v=_TmRrANEy9Y" TargetMode="External"/><Relationship Id="rId29" Type="http://schemas.openxmlformats.org/officeDocument/2006/relationships/hyperlink" Target="https://www.itu.int/md/D22-RPMCIS-C-0018/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youtube.com/watch?v=n-9xwzs0i9I"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itu.int/md/S24-CL-C-0124/fr" TargetMode="External"/><Relationship Id="rId23" Type="http://schemas.openxmlformats.org/officeDocument/2006/relationships/hyperlink" Target="https://www.itu.int/md/D22-RPMASP-C-0018/fr" TargetMode="External"/><Relationship Id="rId28" Type="http://schemas.openxmlformats.org/officeDocument/2006/relationships/hyperlink" Target="https://www.youtube.com/watch?v=TQMlkFoVHQ4" TargetMode="External"/><Relationship Id="rId10" Type="http://schemas.openxmlformats.org/officeDocument/2006/relationships/endnotes" Target="endnotes.xml"/><Relationship Id="rId19" Type="http://schemas.openxmlformats.org/officeDocument/2006/relationships/hyperlink" Target="https://www.itu.int/md/D22-RPMARB-C-0020/fr"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4-CL-C-0030/fr" TargetMode="External"/><Relationship Id="rId22" Type="http://schemas.openxmlformats.org/officeDocument/2006/relationships/hyperlink" Target="https://www.youtube.com/watch?feature=shared&amp;v=KbGUKDoOwoU" TargetMode="External"/><Relationship Id="rId27" Type="http://schemas.openxmlformats.org/officeDocument/2006/relationships/hyperlink" Target="https://www.itu.int/md/D22-RPMAFR-C-0019/en" TargetMode="External"/><Relationship Id="rId30" Type="http://schemas.openxmlformats.org/officeDocument/2006/relationships/hyperlink" Target="https://www.youtube.com/watch?v=lWymn4RNG0I" TargetMode="Externa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mailto:archana.gulati@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Props1.xml><?xml version="1.0" encoding="utf-8"?>
<ds:datastoreItem xmlns:ds="http://schemas.openxmlformats.org/officeDocument/2006/customXml" ds:itemID="{A2000670-633D-4F9E-9C1D-E70D7D1C056E}">
  <ds:schemaRefs>
    <ds:schemaRef ds:uri="http://schemas.microsoft.com/sharepoint/v3/contenttype/forms"/>
  </ds:schemaRefs>
</ds:datastoreItem>
</file>

<file path=customXml/itemProps2.xml><?xml version="1.0" encoding="utf-8"?>
<ds:datastoreItem xmlns:ds="http://schemas.openxmlformats.org/officeDocument/2006/customXml" ds:itemID="{AA22F826-761E-4BED-9EA5-1815156406AC}"/>
</file>

<file path=customXml/itemProps3.xml><?xml version="1.0" encoding="utf-8"?>
<ds:datastoreItem xmlns:ds="http://schemas.openxmlformats.org/officeDocument/2006/customXml" ds:itemID="{6F2BB1AA-1BE5-470E-9C9E-C1004C2937AF}">
  <ds:schemaRefs>
    <ds:schemaRef ds:uri="http://schemas.openxmlformats.org/officeDocument/2006/bibliography"/>
  </ds:schemaRefs>
</ds:datastoreItem>
</file>

<file path=customXml/itemProps4.xml><?xml version="1.0" encoding="utf-8"?>
<ds:datastoreItem xmlns:ds="http://schemas.openxmlformats.org/officeDocument/2006/customXml" ds:itemID="{04AFF22B-E34E-4D13-BF0E-743F259223B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Pages>
  <Words>1251</Words>
  <Characters>7897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French</cp:lastModifiedBy>
  <cp:revision>6</cp:revision>
  <cp:lastPrinted>2014-11-04T09:22:00Z</cp:lastPrinted>
  <dcterms:created xsi:type="dcterms:W3CDTF">2025-05-05T04:53:00Z</dcterms:created>
  <dcterms:modified xsi:type="dcterms:W3CDTF">2025-05-05T05:50:00Z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