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A7087C" w14:paraId="3A3384A5" w14:textId="77777777" w:rsidTr="00B37B73">
        <w:trPr>
          <w:cantSplit/>
          <w:trHeight w:val="1702"/>
        </w:trPr>
        <w:tc>
          <w:tcPr>
            <w:tcW w:w="2127" w:type="dxa"/>
          </w:tcPr>
          <w:p w14:paraId="698CAB0F" w14:textId="62CE28A5" w:rsidR="00AA7095" w:rsidRPr="00A7087C" w:rsidRDefault="007A40D1" w:rsidP="00F92361">
            <w:pPr>
              <w:tabs>
                <w:tab w:val="clear" w:pos="1191"/>
                <w:tab w:val="clear" w:pos="1588"/>
                <w:tab w:val="clear" w:pos="1985"/>
              </w:tabs>
              <w:spacing w:after="40"/>
              <w:ind w:left="34"/>
              <w:rPr>
                <w:b/>
                <w:bCs/>
                <w:sz w:val="32"/>
                <w:szCs w:val="32"/>
                <w:lang w:val="es-ES_tradnl"/>
              </w:rPr>
            </w:pPr>
            <w:r w:rsidRPr="00A7087C">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A7087C" w:rsidRDefault="00AA7095" w:rsidP="00162707">
            <w:pPr>
              <w:tabs>
                <w:tab w:val="clear" w:pos="1191"/>
                <w:tab w:val="clear" w:pos="1588"/>
                <w:tab w:val="clear" w:pos="1985"/>
              </w:tabs>
              <w:spacing w:before="240" w:after="240"/>
              <w:ind w:left="34"/>
              <w:rPr>
                <w:b/>
                <w:bCs/>
                <w:sz w:val="32"/>
                <w:szCs w:val="32"/>
                <w:lang w:val="es-ES_tradnl"/>
              </w:rPr>
            </w:pPr>
            <w:r w:rsidRPr="00A7087C">
              <w:rPr>
                <w:b/>
                <w:bCs/>
                <w:sz w:val="32"/>
                <w:szCs w:val="32"/>
                <w:lang w:val="es-ES_tradnl"/>
              </w:rPr>
              <w:t>Grupo Asesor de Desarrollo de las Telecomunicaciones (GADT)</w:t>
            </w:r>
          </w:p>
          <w:p w14:paraId="583FD72F" w14:textId="29B5B4BE" w:rsidR="00AA7095" w:rsidRPr="00A7087C" w:rsidRDefault="00AA7095" w:rsidP="009716D1">
            <w:pPr>
              <w:tabs>
                <w:tab w:val="clear" w:pos="1191"/>
                <w:tab w:val="clear" w:pos="1588"/>
                <w:tab w:val="clear" w:pos="1985"/>
              </w:tabs>
              <w:spacing w:after="120"/>
              <w:ind w:left="34"/>
              <w:rPr>
                <w:rFonts w:ascii="Verdana" w:hAnsi="Verdana"/>
                <w:sz w:val="28"/>
                <w:szCs w:val="28"/>
                <w:lang w:val="es-ES_tradnl"/>
              </w:rPr>
            </w:pPr>
            <w:r w:rsidRPr="00A7087C">
              <w:rPr>
                <w:b/>
                <w:bCs/>
                <w:sz w:val="26"/>
                <w:szCs w:val="26"/>
                <w:lang w:val="es-ES_tradnl"/>
              </w:rPr>
              <w:t>32ª reunión, Ginebra, Suiza, 12-16 de mayo de 2025</w:t>
            </w:r>
          </w:p>
        </w:tc>
        <w:tc>
          <w:tcPr>
            <w:tcW w:w="1372" w:type="dxa"/>
          </w:tcPr>
          <w:p w14:paraId="242F0084" w14:textId="77777777" w:rsidR="00AA7095" w:rsidRPr="00A7087C" w:rsidRDefault="00AA7095" w:rsidP="00CF6D4A">
            <w:pPr>
              <w:spacing w:before="240" w:after="120"/>
              <w:ind w:right="142"/>
              <w:jc w:val="right"/>
              <w:rPr>
                <w:lang w:val="es-ES_tradnl"/>
              </w:rPr>
            </w:pPr>
            <w:r w:rsidRPr="00A7087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7087C" w14:paraId="2AF11DB1" w14:textId="77777777" w:rsidTr="00F92361">
        <w:trPr>
          <w:cantSplit/>
        </w:trPr>
        <w:tc>
          <w:tcPr>
            <w:tcW w:w="6404" w:type="dxa"/>
            <w:gridSpan w:val="2"/>
            <w:tcBorders>
              <w:top w:val="single" w:sz="12" w:space="0" w:color="auto"/>
            </w:tcBorders>
          </w:tcPr>
          <w:p w14:paraId="65748CB9" w14:textId="77777777" w:rsidR="00683C32" w:rsidRPr="00A7087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A7087C" w:rsidRDefault="00683C32" w:rsidP="00107E85">
            <w:pPr>
              <w:spacing w:before="0"/>
              <w:rPr>
                <w:b/>
                <w:bCs/>
                <w:sz w:val="20"/>
                <w:lang w:val="es-ES_tradnl"/>
              </w:rPr>
            </w:pPr>
          </w:p>
        </w:tc>
      </w:tr>
      <w:tr w:rsidR="00683C32" w:rsidRPr="00A7087C" w14:paraId="1A41C910" w14:textId="77777777" w:rsidTr="00F92361">
        <w:trPr>
          <w:cantSplit/>
        </w:trPr>
        <w:tc>
          <w:tcPr>
            <w:tcW w:w="6404" w:type="dxa"/>
            <w:gridSpan w:val="2"/>
          </w:tcPr>
          <w:p w14:paraId="7F0CCFE3" w14:textId="77777777" w:rsidR="00683C32" w:rsidRPr="00A7087C" w:rsidRDefault="00683C32" w:rsidP="00400CCF">
            <w:pPr>
              <w:pStyle w:val="Committee"/>
              <w:spacing w:before="0"/>
              <w:rPr>
                <w:bCs/>
                <w:szCs w:val="24"/>
                <w:lang w:val="es-ES_tradnl"/>
              </w:rPr>
            </w:pPr>
          </w:p>
        </w:tc>
        <w:tc>
          <w:tcPr>
            <w:tcW w:w="3484" w:type="dxa"/>
            <w:gridSpan w:val="2"/>
          </w:tcPr>
          <w:p w14:paraId="29902756" w14:textId="2A956EB9" w:rsidR="00683C32" w:rsidRPr="00A7087C" w:rsidRDefault="0096201B" w:rsidP="00B648C7">
            <w:pPr>
              <w:spacing w:before="0"/>
              <w:jc w:val="both"/>
              <w:rPr>
                <w:bCs/>
                <w:szCs w:val="24"/>
                <w:lang w:val="es-ES_tradnl"/>
              </w:rPr>
            </w:pPr>
            <w:r w:rsidRPr="00A7087C">
              <w:rPr>
                <w:b/>
                <w:bCs/>
                <w:lang w:val="es-ES_tradnl"/>
              </w:rPr>
              <w:t>Document</w:t>
            </w:r>
            <w:r w:rsidR="00B42366" w:rsidRPr="00A7087C">
              <w:rPr>
                <w:b/>
                <w:bCs/>
                <w:lang w:val="es-ES_tradnl"/>
              </w:rPr>
              <w:t>o</w:t>
            </w:r>
            <w:r w:rsidRPr="00A7087C">
              <w:rPr>
                <w:b/>
                <w:bCs/>
                <w:lang w:val="es-ES_tradnl"/>
              </w:rPr>
              <w:t xml:space="preserve"> </w:t>
            </w:r>
            <w:bookmarkStart w:id="0" w:name="DocRef1"/>
            <w:bookmarkEnd w:id="0"/>
            <w:r w:rsidRPr="00A7087C">
              <w:rPr>
                <w:b/>
                <w:bCs/>
                <w:lang w:val="es-ES_tradnl"/>
              </w:rPr>
              <w:t>TDAG</w:t>
            </w:r>
            <w:r w:rsidR="003242AB" w:rsidRPr="00A7087C">
              <w:rPr>
                <w:b/>
                <w:bCs/>
                <w:lang w:val="es-ES_tradnl"/>
              </w:rPr>
              <w:t>-</w:t>
            </w:r>
            <w:r w:rsidR="00B648C7" w:rsidRPr="00A7087C">
              <w:rPr>
                <w:b/>
                <w:bCs/>
                <w:lang w:val="es-ES_tradnl"/>
              </w:rPr>
              <w:t>2</w:t>
            </w:r>
            <w:bookmarkStart w:id="1" w:name="DocNo1"/>
            <w:bookmarkEnd w:id="1"/>
            <w:r w:rsidR="004010E2" w:rsidRPr="00A7087C">
              <w:rPr>
                <w:b/>
                <w:bCs/>
                <w:lang w:val="es-ES_tradnl"/>
              </w:rPr>
              <w:t>5</w:t>
            </w:r>
            <w:r w:rsidR="0009076F" w:rsidRPr="00A7087C">
              <w:rPr>
                <w:b/>
                <w:bCs/>
                <w:lang w:val="es-ES_tradnl"/>
              </w:rPr>
              <w:t>/</w:t>
            </w:r>
            <w:r w:rsidR="000F456E" w:rsidRPr="00A7087C">
              <w:rPr>
                <w:b/>
                <w:bCs/>
                <w:lang w:val="es-ES_tradnl"/>
              </w:rPr>
              <w:t>12</w:t>
            </w:r>
            <w:r w:rsidR="004010E2" w:rsidRPr="00A7087C">
              <w:rPr>
                <w:b/>
                <w:bCs/>
                <w:lang w:val="es-ES_tradnl"/>
              </w:rPr>
              <w:t>-S</w:t>
            </w:r>
          </w:p>
        </w:tc>
      </w:tr>
      <w:tr w:rsidR="00683C32" w:rsidRPr="00A7087C" w14:paraId="46AC7811" w14:textId="77777777" w:rsidTr="00F92361">
        <w:trPr>
          <w:cantSplit/>
        </w:trPr>
        <w:tc>
          <w:tcPr>
            <w:tcW w:w="6404" w:type="dxa"/>
            <w:gridSpan w:val="2"/>
          </w:tcPr>
          <w:p w14:paraId="68CB34D7" w14:textId="77777777" w:rsidR="00683C32" w:rsidRPr="00A7087C" w:rsidRDefault="00683C32" w:rsidP="00400CCF">
            <w:pPr>
              <w:spacing w:before="0"/>
              <w:rPr>
                <w:b/>
                <w:bCs/>
                <w:smallCaps/>
                <w:szCs w:val="24"/>
                <w:lang w:val="es-ES_tradnl"/>
              </w:rPr>
            </w:pPr>
          </w:p>
        </w:tc>
        <w:tc>
          <w:tcPr>
            <w:tcW w:w="3484" w:type="dxa"/>
            <w:gridSpan w:val="2"/>
          </w:tcPr>
          <w:p w14:paraId="56B707A0" w14:textId="7EB98FE4" w:rsidR="00683C32" w:rsidRPr="00A7087C" w:rsidRDefault="000F456E" w:rsidP="000F456E">
            <w:pPr>
              <w:spacing w:before="0"/>
              <w:rPr>
                <w:b/>
                <w:szCs w:val="24"/>
                <w:lang w:val="es-ES_tradnl"/>
              </w:rPr>
            </w:pPr>
            <w:bookmarkStart w:id="2" w:name="CreationDate"/>
            <w:bookmarkEnd w:id="2"/>
            <w:r w:rsidRPr="00A7087C">
              <w:rPr>
                <w:b/>
                <w:bCs/>
                <w:szCs w:val="28"/>
                <w:lang w:val="es-ES_tradnl"/>
              </w:rPr>
              <w:t>2 de abril de 2025</w:t>
            </w:r>
          </w:p>
        </w:tc>
      </w:tr>
      <w:tr w:rsidR="00683C32" w:rsidRPr="00A7087C" w14:paraId="0C2E025B" w14:textId="77777777" w:rsidTr="00F92361">
        <w:trPr>
          <w:cantSplit/>
        </w:trPr>
        <w:tc>
          <w:tcPr>
            <w:tcW w:w="6404" w:type="dxa"/>
            <w:gridSpan w:val="2"/>
          </w:tcPr>
          <w:p w14:paraId="6186F014" w14:textId="77777777" w:rsidR="00683C32" w:rsidRPr="00A7087C" w:rsidRDefault="00683C32" w:rsidP="00400CCF">
            <w:pPr>
              <w:spacing w:before="0"/>
              <w:rPr>
                <w:smallCaps/>
                <w:szCs w:val="24"/>
                <w:lang w:val="es-ES_tradnl"/>
              </w:rPr>
            </w:pPr>
          </w:p>
        </w:tc>
        <w:tc>
          <w:tcPr>
            <w:tcW w:w="3484" w:type="dxa"/>
            <w:gridSpan w:val="2"/>
          </w:tcPr>
          <w:p w14:paraId="10B5092F" w14:textId="77777777" w:rsidR="00514D2F" w:rsidRPr="00A7087C" w:rsidRDefault="0096201B" w:rsidP="00400CCF">
            <w:pPr>
              <w:spacing w:before="0"/>
              <w:rPr>
                <w:szCs w:val="24"/>
                <w:lang w:val="es-ES_tradnl"/>
              </w:rPr>
            </w:pPr>
            <w:r w:rsidRPr="00A7087C">
              <w:rPr>
                <w:b/>
                <w:lang w:val="es-ES_tradnl"/>
              </w:rPr>
              <w:t>Original:</w:t>
            </w:r>
            <w:bookmarkStart w:id="3" w:name="Original"/>
            <w:bookmarkEnd w:id="3"/>
            <w:r w:rsidR="00CE0422" w:rsidRPr="00A7087C">
              <w:rPr>
                <w:b/>
                <w:lang w:val="es-ES_tradnl"/>
              </w:rPr>
              <w:t xml:space="preserve"> </w:t>
            </w:r>
            <w:r w:rsidR="00B42366" w:rsidRPr="00A7087C">
              <w:rPr>
                <w:b/>
                <w:lang w:val="es-ES_tradnl"/>
              </w:rPr>
              <w:t>inglés</w:t>
            </w:r>
          </w:p>
        </w:tc>
      </w:tr>
      <w:tr w:rsidR="00A13162" w:rsidRPr="00A7087C" w14:paraId="6160D154" w14:textId="77777777" w:rsidTr="00107E85">
        <w:trPr>
          <w:cantSplit/>
          <w:trHeight w:val="852"/>
        </w:trPr>
        <w:tc>
          <w:tcPr>
            <w:tcW w:w="9888" w:type="dxa"/>
            <w:gridSpan w:val="4"/>
          </w:tcPr>
          <w:p w14:paraId="5C1D0BF6" w14:textId="5B0E941C" w:rsidR="00A13162" w:rsidRPr="00A7087C" w:rsidRDefault="000F456E" w:rsidP="000F456E">
            <w:pPr>
              <w:pStyle w:val="Source"/>
              <w:rPr>
                <w:lang w:val="es-ES_tradnl"/>
              </w:rPr>
            </w:pPr>
            <w:bookmarkStart w:id="4" w:name="Source"/>
            <w:bookmarkEnd w:id="4"/>
            <w:r w:rsidRPr="00A7087C">
              <w:rPr>
                <w:bCs/>
                <w:lang w:val="es-ES_tradnl"/>
              </w:rPr>
              <w:t>Director de la Oficina de Desarrollo de las Telecomunicaciones</w:t>
            </w:r>
          </w:p>
        </w:tc>
      </w:tr>
      <w:tr w:rsidR="00AC6F14" w:rsidRPr="00A7087C" w14:paraId="1B6579E9" w14:textId="77777777" w:rsidTr="00107E85">
        <w:trPr>
          <w:cantSplit/>
        </w:trPr>
        <w:tc>
          <w:tcPr>
            <w:tcW w:w="9888" w:type="dxa"/>
            <w:gridSpan w:val="4"/>
          </w:tcPr>
          <w:p w14:paraId="5A4B721C" w14:textId="29CF6C88" w:rsidR="00AC6F14" w:rsidRPr="00A7087C" w:rsidRDefault="000F456E" w:rsidP="000F456E">
            <w:pPr>
              <w:pStyle w:val="Title1"/>
              <w:rPr>
                <w:lang w:val="es-ES_tradnl"/>
              </w:rPr>
            </w:pPr>
            <w:bookmarkStart w:id="5" w:name="Title"/>
            <w:bookmarkEnd w:id="5"/>
            <w:r w:rsidRPr="00A7087C">
              <w:rPr>
                <w:lang w:val="es-ES_tradnl"/>
              </w:rPr>
              <w:t>Preparativos para la Conferencia Mundial de Desarrollo de las Telecomunicaciones</w:t>
            </w:r>
          </w:p>
        </w:tc>
      </w:tr>
      <w:tr w:rsidR="00A721F4" w:rsidRPr="00A7087C" w14:paraId="4228EE8B" w14:textId="77777777" w:rsidTr="00A721F4">
        <w:trPr>
          <w:cantSplit/>
        </w:trPr>
        <w:tc>
          <w:tcPr>
            <w:tcW w:w="9888" w:type="dxa"/>
            <w:gridSpan w:val="4"/>
            <w:tcBorders>
              <w:bottom w:val="single" w:sz="4" w:space="0" w:color="auto"/>
            </w:tcBorders>
          </w:tcPr>
          <w:p w14:paraId="1F029C0A" w14:textId="77777777" w:rsidR="00A721F4" w:rsidRPr="00A7087C" w:rsidRDefault="00A721F4" w:rsidP="00BC06EA">
            <w:pPr>
              <w:spacing w:after="120"/>
              <w:rPr>
                <w:lang w:val="es-ES_tradnl"/>
              </w:rPr>
            </w:pPr>
          </w:p>
        </w:tc>
      </w:tr>
      <w:tr w:rsidR="00A721F4" w:rsidRPr="00A7087C"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A7087C" w:rsidRDefault="00B42366" w:rsidP="00EA0C51">
            <w:pPr>
              <w:spacing w:after="120"/>
              <w:rPr>
                <w:b/>
                <w:bCs/>
                <w:szCs w:val="24"/>
                <w:lang w:val="es-ES_tradnl"/>
              </w:rPr>
            </w:pPr>
            <w:r w:rsidRPr="00A7087C">
              <w:rPr>
                <w:b/>
                <w:bCs/>
                <w:szCs w:val="24"/>
                <w:lang w:val="es-ES_tradnl"/>
              </w:rPr>
              <w:t>Resumen</w:t>
            </w:r>
            <w:r w:rsidR="00A721F4" w:rsidRPr="00A7087C">
              <w:rPr>
                <w:b/>
                <w:bCs/>
                <w:szCs w:val="24"/>
                <w:lang w:val="es-ES_tradnl"/>
              </w:rPr>
              <w:t>:</w:t>
            </w:r>
          </w:p>
          <w:p w14:paraId="33309B56" w14:textId="1A33AC24" w:rsidR="00A721F4" w:rsidRPr="00A7087C" w:rsidRDefault="000F456E" w:rsidP="000F456E">
            <w:pPr>
              <w:spacing w:after="120"/>
              <w:rPr>
                <w:szCs w:val="24"/>
                <w:lang w:val="es-ES_tradnl"/>
              </w:rPr>
            </w:pPr>
            <w:r w:rsidRPr="00A7087C">
              <w:rPr>
                <w:lang w:val="es-ES_tradnl"/>
              </w:rPr>
              <w:t>El presente documento trata de los preparativos para la organización de la Conferencia Mundial de Desarrollo de las Telecomunicaciones de 2025 (CMDT), que está previsto que se celebre en Bakú (Azerbaiyán) del 17 al 28 de noviembre de 2025.</w:t>
            </w:r>
          </w:p>
          <w:p w14:paraId="6AC400EA" w14:textId="77777777" w:rsidR="00A721F4" w:rsidRPr="00A7087C" w:rsidRDefault="00A721F4" w:rsidP="00EA0C51">
            <w:pPr>
              <w:spacing w:after="120"/>
              <w:rPr>
                <w:b/>
                <w:bCs/>
                <w:szCs w:val="24"/>
                <w:lang w:val="es-ES_tradnl"/>
              </w:rPr>
            </w:pPr>
            <w:r w:rsidRPr="00A7087C">
              <w:rPr>
                <w:b/>
                <w:bCs/>
                <w:lang w:val="es-ES_tradnl"/>
              </w:rPr>
              <w:t>Ac</w:t>
            </w:r>
            <w:r w:rsidR="00B42366" w:rsidRPr="00A7087C">
              <w:rPr>
                <w:b/>
                <w:bCs/>
                <w:lang w:val="es-ES_tradnl"/>
              </w:rPr>
              <w:t>ción solicitada</w:t>
            </w:r>
            <w:r w:rsidRPr="00A7087C">
              <w:rPr>
                <w:b/>
                <w:bCs/>
                <w:lang w:val="es-ES_tradnl"/>
              </w:rPr>
              <w:t>:</w:t>
            </w:r>
          </w:p>
          <w:p w14:paraId="7C640691" w14:textId="207E8CF8" w:rsidR="00A721F4" w:rsidRPr="00A7087C" w:rsidRDefault="004010E2" w:rsidP="00EA0C51">
            <w:pPr>
              <w:spacing w:after="120"/>
              <w:rPr>
                <w:szCs w:val="24"/>
                <w:lang w:val="es-ES_tradnl"/>
              </w:rPr>
            </w:pPr>
            <w:r w:rsidRPr="00A7087C">
              <w:rPr>
                <w:lang w:val="es-ES_tradnl"/>
              </w:rPr>
              <w:t>Se invita al GADT a tomar nota de este documento y formular las orientaciones que estime convenientes.</w:t>
            </w:r>
          </w:p>
          <w:p w14:paraId="245CE8A8" w14:textId="210753D3" w:rsidR="00A721F4" w:rsidRPr="00A7087C" w:rsidRDefault="00A721F4" w:rsidP="00EA0C51">
            <w:pPr>
              <w:spacing w:after="120"/>
              <w:rPr>
                <w:b/>
                <w:bCs/>
                <w:szCs w:val="24"/>
                <w:lang w:val="es-ES_tradnl"/>
              </w:rPr>
            </w:pPr>
            <w:r w:rsidRPr="00A7087C">
              <w:rPr>
                <w:b/>
                <w:bCs/>
                <w:szCs w:val="24"/>
                <w:lang w:val="es-ES_tradnl"/>
              </w:rPr>
              <w:t>Referenc</w:t>
            </w:r>
            <w:r w:rsidR="00B42366" w:rsidRPr="00A7087C">
              <w:rPr>
                <w:b/>
                <w:bCs/>
                <w:szCs w:val="24"/>
                <w:lang w:val="es-ES_tradnl"/>
              </w:rPr>
              <w:t>ia</w:t>
            </w:r>
            <w:r w:rsidRPr="00A7087C">
              <w:rPr>
                <w:b/>
                <w:bCs/>
                <w:szCs w:val="24"/>
                <w:lang w:val="es-ES_tradnl"/>
              </w:rPr>
              <w:t>s:</w:t>
            </w:r>
          </w:p>
          <w:p w14:paraId="1B5631CD" w14:textId="5BC25FB5" w:rsidR="00A721F4" w:rsidRPr="00A7087C" w:rsidRDefault="000F456E" w:rsidP="000F456E">
            <w:pPr>
              <w:spacing w:after="120"/>
              <w:rPr>
                <w:lang w:val="es-ES_tradnl"/>
              </w:rPr>
            </w:pPr>
            <w:r w:rsidRPr="00A7087C">
              <w:rPr>
                <w:lang w:val="es-ES_tradnl"/>
              </w:rPr>
              <w:t>Ninguna.</w:t>
            </w:r>
          </w:p>
        </w:tc>
      </w:tr>
    </w:tbl>
    <w:p w14:paraId="19BDB019" w14:textId="77777777" w:rsidR="00923CF1" w:rsidRPr="00A7087C" w:rsidRDefault="00923CF1" w:rsidP="00935FF0">
      <w:pPr>
        <w:rPr>
          <w:lang w:val="es-ES_tradnl"/>
        </w:rPr>
      </w:pPr>
    </w:p>
    <w:p w14:paraId="1D19608A" w14:textId="77777777" w:rsidR="00923CF1" w:rsidRPr="00A7087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A7087C">
        <w:rPr>
          <w:lang w:val="es-ES_tradnl"/>
        </w:rPr>
        <w:br w:type="page"/>
      </w:r>
    </w:p>
    <w:p w14:paraId="1D7A75B3" w14:textId="13E6A81E" w:rsidR="000F456E" w:rsidRPr="00A7087C" w:rsidRDefault="000F456E" w:rsidP="000F456E">
      <w:pPr>
        <w:pStyle w:val="Heading1"/>
        <w:rPr>
          <w:lang w:val="es-ES_tradnl"/>
        </w:rPr>
      </w:pPr>
      <w:r w:rsidRPr="00A7087C">
        <w:rPr>
          <w:lang w:val="es-ES_tradnl"/>
        </w:rPr>
        <w:lastRenderedPageBreak/>
        <w:t>1</w:t>
      </w:r>
      <w:r w:rsidRPr="00A7087C">
        <w:rPr>
          <w:lang w:val="es-ES_tradnl"/>
        </w:rPr>
        <w:tab/>
      </w:r>
      <w:r w:rsidRPr="00A7087C">
        <w:rPr>
          <w:lang w:val="es-ES_tradnl"/>
        </w:rPr>
        <w:t>Antecedentes</w:t>
      </w:r>
    </w:p>
    <w:p w14:paraId="7E022685" w14:textId="77777777" w:rsidR="000F456E" w:rsidRPr="000F456E" w:rsidRDefault="000F456E" w:rsidP="000F456E">
      <w:pPr>
        <w:rPr>
          <w:lang w:val="es-ES_tradnl"/>
        </w:rPr>
      </w:pPr>
      <w:r w:rsidRPr="000F456E">
        <w:rPr>
          <w:lang w:val="es-ES_tradnl"/>
        </w:rPr>
        <w:t>1.1</w:t>
      </w:r>
      <w:r w:rsidRPr="000F456E">
        <w:rPr>
          <w:lang w:val="es-ES_tradnl"/>
        </w:rPr>
        <w:tab/>
        <w:t>En el número 141 de la Constitución de la UIT se estipula que normalmente se convocará una Conferencia Mundial de Desarrollo de las Telecomunicaciones (CMDT) entre dos Conferencias de Plenipotenciarios.</w:t>
      </w:r>
    </w:p>
    <w:p w14:paraId="338CBBFF" w14:textId="77777777" w:rsidR="000F456E" w:rsidRPr="000F456E" w:rsidRDefault="000F456E" w:rsidP="000F456E">
      <w:pPr>
        <w:rPr>
          <w:lang w:val="es-ES_tradnl"/>
        </w:rPr>
      </w:pPr>
      <w:r w:rsidRPr="000F456E">
        <w:rPr>
          <w:lang w:val="es-ES_tradnl"/>
        </w:rPr>
        <w:t>1.2</w:t>
      </w:r>
      <w:r w:rsidRPr="000F456E">
        <w:rPr>
          <w:lang w:val="es-ES_tradnl"/>
        </w:rPr>
        <w:tab/>
        <w:t>En la Resolución 111 (Rev. Busán, 2014) de la Conferencia de Plenipotenciarios se resuelve que la Unión y sus Estados Miembros hagan todo lo posible, con los medios disponibles, por evitar que el periodo planificado de conferencias o asambleas de la UIT coincida con un periodo considerado como religioso importante para un Estado Miembro.</w:t>
      </w:r>
    </w:p>
    <w:p w14:paraId="3914ECE5" w14:textId="2BF783AA" w:rsidR="000F456E" w:rsidRPr="000F456E" w:rsidRDefault="000F456E" w:rsidP="000F456E">
      <w:pPr>
        <w:rPr>
          <w:lang w:val="es-ES_tradnl"/>
        </w:rPr>
      </w:pPr>
      <w:r w:rsidRPr="000F456E">
        <w:rPr>
          <w:lang w:val="es-ES_tradnl"/>
        </w:rPr>
        <w:t>1.3</w:t>
      </w:r>
      <w:r w:rsidRPr="000F456E">
        <w:rPr>
          <w:lang w:val="es-ES_tradnl"/>
        </w:rPr>
        <w:tab/>
        <w:t>El 15 de marzo de 2024, la Secretaria General de la UIT recibió una invitación del Gobierno de la República de Azerbaiyán. Tras los intercambios con el Director de la BDT, el Ministro de Desarrollo Digital y Transporte ha confirmado en una carta, de fecha 3 de abril de 2024 su intención de acoger la conferencia en Bakú, a finales de noviembre de 2025. En una carta de seguimiento, de fecha 26 de abril de 2024, se propuso el periodo comprendido entre el 17 y el 28</w:t>
      </w:r>
      <w:r w:rsidR="00B6561B" w:rsidRPr="00A7087C">
        <w:rPr>
          <w:lang w:val="es-ES_tradnl"/>
        </w:rPr>
        <w:t> </w:t>
      </w:r>
      <w:r w:rsidRPr="000F456E">
        <w:rPr>
          <w:lang w:val="es-ES_tradnl"/>
        </w:rPr>
        <w:t xml:space="preserve">de noviembre de 2025 (véase el Anexo 1 del </w:t>
      </w:r>
      <w:hyperlink r:id="rId13" w:history="1">
        <w:r w:rsidRPr="000F456E">
          <w:rPr>
            <w:rStyle w:val="Hyperlink"/>
            <w:lang w:val="es-ES_tradnl"/>
          </w:rPr>
          <w:t>Documento C24/30</w:t>
        </w:r>
      </w:hyperlink>
      <w:r w:rsidRPr="000F456E">
        <w:rPr>
          <w:lang w:val="es-ES_tradnl"/>
        </w:rPr>
        <w:t>).</w:t>
      </w:r>
    </w:p>
    <w:p w14:paraId="72D0DD10" w14:textId="77777777" w:rsidR="000F456E" w:rsidRPr="000F456E" w:rsidRDefault="000F456E" w:rsidP="000F456E">
      <w:pPr>
        <w:rPr>
          <w:lang w:val="es-ES_tradnl"/>
        </w:rPr>
      </w:pPr>
      <w:r w:rsidRPr="000F456E">
        <w:rPr>
          <w:lang w:val="es-ES_tradnl"/>
        </w:rPr>
        <w:t>1.4</w:t>
      </w:r>
      <w:r w:rsidRPr="000F456E">
        <w:rPr>
          <w:lang w:val="es-ES_tradnl"/>
        </w:rPr>
        <w:tab/>
        <w:t xml:space="preserve">En el Anexo 3 del </w:t>
      </w:r>
      <w:hyperlink r:id="rId14" w:history="1">
        <w:r w:rsidRPr="000F456E">
          <w:rPr>
            <w:rStyle w:val="Hyperlink"/>
            <w:lang w:val="es-ES_tradnl"/>
          </w:rPr>
          <w:t>Documento C24/30</w:t>
        </w:r>
      </w:hyperlink>
      <w:r w:rsidRPr="000F456E">
        <w:rPr>
          <w:lang w:val="es-ES_tradnl"/>
        </w:rPr>
        <w:t xml:space="preserve"> se presenta un proyecto de orden del día de la próxima CMDT-25 para su aprobación por el Consejo, con sujeción al acuerdo de la mayoría de los Estados Miembros de la Unión.</w:t>
      </w:r>
    </w:p>
    <w:p w14:paraId="51BDA0C7" w14:textId="1CFB0765" w:rsidR="000F456E" w:rsidRPr="000F456E" w:rsidRDefault="000F456E" w:rsidP="000F456E">
      <w:pPr>
        <w:rPr>
          <w:lang w:val="es-ES_tradnl"/>
        </w:rPr>
      </w:pPr>
      <w:r w:rsidRPr="000F456E">
        <w:rPr>
          <w:lang w:val="es-ES_tradnl"/>
        </w:rPr>
        <w:t>1.5</w:t>
      </w:r>
      <w:r w:rsidRPr="000F456E">
        <w:rPr>
          <w:lang w:val="es-ES_tradnl"/>
        </w:rPr>
        <w:tab/>
        <w:t>El proyecto de orden del día se presenta al Grupo Asesor de Desarrollo de las Telecomunicaciones (GADT) (12-16 de mayo de 2025) para su debate y aprobación. Después del GADT podría presentarse al Consejo una versión revisada.</w:t>
      </w:r>
    </w:p>
    <w:p w14:paraId="72CDD6C5" w14:textId="622F04D2" w:rsidR="000F456E" w:rsidRPr="00A7087C" w:rsidRDefault="000F456E" w:rsidP="000F456E">
      <w:pPr>
        <w:pStyle w:val="Heading1"/>
        <w:rPr>
          <w:lang w:val="es-ES_tradnl"/>
        </w:rPr>
      </w:pPr>
      <w:r w:rsidRPr="00A7087C">
        <w:rPr>
          <w:lang w:val="es-ES_tradnl"/>
        </w:rPr>
        <w:t>2</w:t>
      </w:r>
      <w:r w:rsidRPr="00A7087C">
        <w:rPr>
          <w:lang w:val="es-ES_tradnl"/>
        </w:rPr>
        <w:tab/>
      </w:r>
      <w:r w:rsidRPr="00A7087C">
        <w:rPr>
          <w:lang w:val="es-ES_tradnl"/>
        </w:rPr>
        <w:t>Sitio, duración, fechas y lugar de celebración de la CMDT</w:t>
      </w:r>
    </w:p>
    <w:p w14:paraId="5DB533A8" w14:textId="1441FC83" w:rsidR="000F456E" w:rsidRPr="00A7087C" w:rsidRDefault="000F456E" w:rsidP="000F456E">
      <w:pPr>
        <w:rPr>
          <w:rStyle w:val="LineNumber"/>
          <w:lang w:val="es-ES_tradnl"/>
        </w:rPr>
      </w:pPr>
      <w:r w:rsidRPr="00A7087C">
        <w:rPr>
          <w:rStyle w:val="LineNumber"/>
          <w:lang w:val="es-ES_tradnl"/>
        </w:rPr>
        <w:t>2.1</w:t>
      </w:r>
      <w:r w:rsidRPr="00A7087C">
        <w:rPr>
          <w:rStyle w:val="LineNumber"/>
          <w:lang w:val="es-ES_tradnl"/>
        </w:rPr>
        <w:tab/>
      </w:r>
      <w:r w:rsidRPr="00A7087C">
        <w:rPr>
          <w:rStyle w:val="LineNumber"/>
          <w:lang w:val="es-ES_tradnl"/>
        </w:rPr>
        <w:t xml:space="preserve">El Consejo ha adoptado, en su reunión de 2024, con el acuerdo de la mayoría de los Estados Miembros de la Unión, el </w:t>
      </w:r>
      <w:hyperlink r:id="rId15" w:history="1">
        <w:r w:rsidRPr="00A7087C">
          <w:rPr>
            <w:rStyle w:val="LineNumber"/>
            <w:color w:val="0000FF"/>
            <w:u w:val="single"/>
            <w:lang w:val="es-ES_tradnl"/>
          </w:rPr>
          <w:t>Acuerdo 637</w:t>
        </w:r>
      </w:hyperlink>
      <w:r w:rsidRPr="00A7087C">
        <w:rPr>
          <w:rStyle w:val="LineNumber"/>
          <w:lang w:val="es-ES_tradnl"/>
        </w:rPr>
        <w:t xml:space="preserve"> sobre el lugar preciso y las fechas exactas de la Conferencia Mundial de Desarrollo de las Telecomunicaciones (CMDT-25), que dispone que la CMDT-25 se celebrará en Bakú (República de Azerbaiyán), del 17 al 28 de noviembre de 2025 (véase el </w:t>
      </w:r>
      <w:hyperlink r:id="rId16" w:history="1">
        <w:r w:rsidRPr="00A7087C">
          <w:rPr>
            <w:rStyle w:val="LineNumber"/>
            <w:color w:val="0000FF"/>
            <w:u w:val="single"/>
            <w:lang w:val="es-ES_tradnl"/>
          </w:rPr>
          <w:t>Anexo B</w:t>
        </w:r>
      </w:hyperlink>
      <w:r w:rsidRPr="00A7087C">
        <w:rPr>
          <w:rStyle w:val="LineNumber"/>
          <w:lang w:val="es-ES_tradnl"/>
        </w:rPr>
        <w:t xml:space="preserve">) y la aprobación del proyecto de orden del día de la CMDT-25 (véase el </w:t>
      </w:r>
      <w:hyperlink r:id="rId17" w:history="1">
        <w:r w:rsidRPr="00A7087C">
          <w:rPr>
            <w:rStyle w:val="LineNumber"/>
            <w:color w:val="0000FF"/>
            <w:u w:val="single"/>
            <w:lang w:val="es-ES_tradnl"/>
          </w:rPr>
          <w:t>Anexo</w:t>
        </w:r>
        <w:r w:rsidR="00761D43" w:rsidRPr="00A7087C">
          <w:rPr>
            <w:rStyle w:val="LineNumber"/>
            <w:color w:val="0000FF"/>
            <w:u w:val="single"/>
            <w:lang w:val="es-ES_tradnl"/>
          </w:rPr>
          <w:t> </w:t>
        </w:r>
        <w:r w:rsidRPr="00A7087C">
          <w:rPr>
            <w:rStyle w:val="LineNumber"/>
            <w:color w:val="0000FF"/>
            <w:u w:val="single"/>
            <w:lang w:val="es-ES_tradnl"/>
          </w:rPr>
          <w:t>C</w:t>
        </w:r>
      </w:hyperlink>
      <w:r w:rsidRPr="00A7087C">
        <w:rPr>
          <w:rStyle w:val="LineNumber"/>
          <w:lang w:val="es-ES_tradnl"/>
        </w:rPr>
        <w:t>);</w:t>
      </w:r>
    </w:p>
    <w:p w14:paraId="0B8BAA0C" w14:textId="20888F60" w:rsidR="000F456E" w:rsidRPr="00A7087C" w:rsidRDefault="000F456E" w:rsidP="000F456E">
      <w:pPr>
        <w:rPr>
          <w:rStyle w:val="LineNumber"/>
          <w:lang w:val="es-ES_tradnl"/>
        </w:rPr>
      </w:pPr>
      <w:r w:rsidRPr="00A7087C">
        <w:rPr>
          <w:rStyle w:val="LineNumber"/>
          <w:lang w:val="es-ES_tradnl"/>
        </w:rPr>
        <w:t>2.2</w:t>
      </w:r>
      <w:r w:rsidRPr="00A7087C">
        <w:rPr>
          <w:rStyle w:val="LineNumber"/>
          <w:lang w:val="es-ES_tradnl"/>
        </w:rPr>
        <w:tab/>
      </w:r>
      <w:r w:rsidRPr="00A7087C">
        <w:rPr>
          <w:rStyle w:val="LineNumber"/>
          <w:lang w:val="es-ES_tradnl"/>
        </w:rPr>
        <w:t xml:space="preserve">En septiembre de 2024, tras la consulta por correspondencia llevada a cabo mediante la </w:t>
      </w:r>
      <w:hyperlink r:id="rId18" w:history="1">
        <w:r w:rsidRPr="00A7087C">
          <w:rPr>
            <w:rStyle w:val="LineNumber"/>
            <w:color w:val="0000FF"/>
            <w:u w:val="single"/>
            <w:lang w:val="es-ES_tradnl"/>
          </w:rPr>
          <w:t>Carta Circular N.º 24/38</w:t>
        </w:r>
      </w:hyperlink>
      <w:r w:rsidRPr="00A7087C">
        <w:rPr>
          <w:rStyle w:val="LineNumber"/>
          <w:lang w:val="es-ES_tradnl"/>
        </w:rPr>
        <w:t xml:space="preserve"> de 24 de junio de 2024 relativa al lugar preciso, las fechas exactas y el proyecto de orden del día de la CMDT-25, se recibió el acuerdo de la mayoría requerida de los Estados Miembros de la UIT, de conformidad con el CV 47 del Convenio de la UIT.</w:t>
      </w:r>
    </w:p>
    <w:p w14:paraId="08074510" w14:textId="653FF72B" w:rsidR="000F456E" w:rsidRPr="00A7087C" w:rsidRDefault="000F456E" w:rsidP="000F456E">
      <w:pPr>
        <w:rPr>
          <w:rStyle w:val="LineNumber"/>
          <w:lang w:val="es-ES_tradnl"/>
        </w:rPr>
      </w:pPr>
      <w:r w:rsidRPr="00A7087C">
        <w:rPr>
          <w:rStyle w:val="LineNumber"/>
          <w:lang w:val="es-ES_tradnl"/>
        </w:rPr>
        <w:t>2.3</w:t>
      </w:r>
      <w:r w:rsidRPr="00A7087C">
        <w:rPr>
          <w:rStyle w:val="LineNumber"/>
          <w:lang w:val="es-ES_tradnl"/>
        </w:rPr>
        <w:tab/>
      </w:r>
      <w:r w:rsidRPr="00A7087C">
        <w:rPr>
          <w:rStyle w:val="LineNumber"/>
          <w:lang w:val="es-ES_tradnl"/>
        </w:rPr>
        <w:t>Está previsto llevar a cabo una Celebración de la Juventud el 16 de noviembre de 2025, justo antes de la CMDT, también en Bakú.</w:t>
      </w:r>
    </w:p>
    <w:p w14:paraId="19F11ADB" w14:textId="51D65785" w:rsidR="000F456E" w:rsidRPr="00A7087C" w:rsidRDefault="000F456E" w:rsidP="000F456E">
      <w:pPr>
        <w:pStyle w:val="Heading1"/>
        <w:rPr>
          <w:lang w:val="es-ES_tradnl"/>
        </w:rPr>
      </w:pPr>
      <w:r w:rsidRPr="00A7087C">
        <w:rPr>
          <w:lang w:val="es-ES_tradnl"/>
        </w:rPr>
        <w:t>3</w:t>
      </w:r>
      <w:r w:rsidRPr="00A7087C">
        <w:rPr>
          <w:lang w:val="es-ES_tradnl"/>
        </w:rPr>
        <w:tab/>
      </w:r>
      <w:r w:rsidRPr="00A7087C">
        <w:rPr>
          <w:lang w:val="es-ES_tradnl"/>
        </w:rPr>
        <w:t>Preparativos para la Conferencia</w:t>
      </w:r>
    </w:p>
    <w:p w14:paraId="51A00532" w14:textId="5D575B65" w:rsidR="000F456E" w:rsidRPr="00A7087C" w:rsidRDefault="000F456E" w:rsidP="000F456E">
      <w:pPr>
        <w:rPr>
          <w:bCs/>
          <w:lang w:val="es-ES_tradnl"/>
        </w:rPr>
      </w:pPr>
      <w:r w:rsidRPr="00A7087C">
        <w:rPr>
          <w:lang w:val="es-ES_tradnl"/>
        </w:rPr>
        <w:t>3.1</w:t>
      </w:r>
      <w:r w:rsidRPr="00A7087C">
        <w:rPr>
          <w:lang w:val="es-ES_tradnl"/>
        </w:rPr>
        <w:tab/>
      </w:r>
      <w:r w:rsidRPr="00A7087C">
        <w:rPr>
          <w:lang w:val="es-ES_tradnl"/>
        </w:rPr>
        <w:t>Del 10 al 14 de febrero de 2025 un equipo de la UIT realizó una primera visita al lugar de celebración de los eventos y a los hoteles en los que se alojarán los participantes y el personal de la UIT.</w:t>
      </w:r>
    </w:p>
    <w:p w14:paraId="02F42D81" w14:textId="0F300690" w:rsidR="000F456E" w:rsidRPr="00A7087C" w:rsidRDefault="000F456E" w:rsidP="000F456E">
      <w:pPr>
        <w:rPr>
          <w:lang w:val="es-ES_tradnl"/>
        </w:rPr>
      </w:pPr>
      <w:r w:rsidRPr="00A7087C">
        <w:rPr>
          <w:lang w:val="es-ES_tradnl"/>
        </w:rPr>
        <w:t>3.2</w:t>
      </w:r>
      <w:r w:rsidRPr="00A7087C">
        <w:rPr>
          <w:lang w:val="es-ES_tradnl"/>
        </w:rPr>
        <w:tab/>
      </w:r>
      <w:r w:rsidRPr="00A7087C">
        <w:rPr>
          <w:lang w:val="es-ES_tradnl"/>
        </w:rPr>
        <w:t>Aún no se ha organizado la ceremonia de firma del Acuerdo de País Anfitrión entre Azerbaiyán y la UIT relativo a la celebración, organización y financiación de la CMDT.</w:t>
      </w:r>
    </w:p>
    <w:p w14:paraId="6C825546" w14:textId="3645C037" w:rsidR="000F456E" w:rsidRPr="00A7087C" w:rsidRDefault="000F456E" w:rsidP="000F456E">
      <w:pPr>
        <w:pStyle w:val="Heading1"/>
        <w:rPr>
          <w:lang w:val="es-ES_tradnl"/>
        </w:rPr>
      </w:pPr>
      <w:r w:rsidRPr="00A7087C">
        <w:rPr>
          <w:lang w:val="es-ES_tradnl"/>
        </w:rPr>
        <w:lastRenderedPageBreak/>
        <w:t>4</w:t>
      </w:r>
      <w:r w:rsidRPr="00A7087C">
        <w:rPr>
          <w:lang w:val="es-ES_tradnl"/>
        </w:rPr>
        <w:tab/>
      </w:r>
      <w:r w:rsidRPr="00A7087C">
        <w:rPr>
          <w:lang w:val="es-ES_tradnl"/>
        </w:rPr>
        <w:t>Proceso preparatorio</w:t>
      </w:r>
    </w:p>
    <w:p w14:paraId="5F0E4D19" w14:textId="77777777" w:rsidR="000F456E" w:rsidRPr="000F456E" w:rsidRDefault="000F456E" w:rsidP="000F456E">
      <w:pPr>
        <w:spacing w:after="120"/>
        <w:rPr>
          <w:lang w:val="es-ES_tradnl"/>
        </w:rPr>
      </w:pPr>
      <w:r w:rsidRPr="000F456E">
        <w:rPr>
          <w:lang w:val="es-ES_tradnl"/>
        </w:rPr>
        <w:t>4.1</w:t>
      </w:r>
      <w:r w:rsidRPr="000F456E">
        <w:rPr>
          <w:lang w:val="es-ES_tradnl"/>
        </w:rPr>
        <w:tab/>
        <w:t xml:space="preserve">De conformidad con la Resolución 31 (Rev. Kigali, 2022), se organizaron seis </w:t>
      </w:r>
      <w:r w:rsidRPr="000F456E">
        <w:rPr>
          <w:b/>
          <w:bCs/>
          <w:lang w:val="es-ES_tradnl"/>
        </w:rPr>
        <w:t>Reuniones Preparatorias Regionales (RPR)</w:t>
      </w:r>
      <w:r w:rsidRPr="000F456E">
        <w:rPr>
          <w:lang w:val="es-ES_tradnl"/>
        </w:rPr>
        <w:t xml:space="preserve"> en cada una de las seis regiones, a saber: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4"/>
        <w:gridCol w:w="2501"/>
        <w:gridCol w:w="2613"/>
        <w:gridCol w:w="2971"/>
      </w:tblGrid>
      <w:tr w:rsidR="000F456E" w:rsidRPr="00A7087C" w14:paraId="24ADA728" w14:textId="77777777" w:rsidTr="00761D43">
        <w:trPr>
          <w:tblHeader/>
          <w:jc w:val="center"/>
        </w:trPr>
        <w:tc>
          <w:tcPr>
            <w:tcW w:w="1544" w:type="dxa"/>
            <w:tcMar>
              <w:top w:w="0" w:type="dxa"/>
              <w:left w:w="108" w:type="dxa"/>
              <w:bottom w:w="0" w:type="dxa"/>
              <w:right w:w="108" w:type="dxa"/>
            </w:tcMar>
            <w:vAlign w:val="center"/>
          </w:tcPr>
          <w:p w14:paraId="42B0B3CA" w14:textId="77777777" w:rsidR="000F456E" w:rsidRPr="00A7087C" w:rsidRDefault="000F456E" w:rsidP="00B33714">
            <w:pPr>
              <w:pStyle w:val="Tablehead"/>
              <w:rPr>
                <w:lang w:val="es-ES_tradnl"/>
              </w:rPr>
            </w:pPr>
            <w:r w:rsidRPr="00A7087C">
              <w:rPr>
                <w:lang w:val="es-ES_tradnl"/>
              </w:rPr>
              <w:t>Región</w:t>
            </w:r>
          </w:p>
        </w:tc>
        <w:tc>
          <w:tcPr>
            <w:tcW w:w="2501" w:type="dxa"/>
            <w:tcMar>
              <w:top w:w="0" w:type="dxa"/>
              <w:left w:w="108" w:type="dxa"/>
              <w:bottom w:w="0" w:type="dxa"/>
              <w:right w:w="108" w:type="dxa"/>
            </w:tcMar>
            <w:vAlign w:val="center"/>
          </w:tcPr>
          <w:p w14:paraId="0FEE21F4" w14:textId="77777777" w:rsidR="000F456E" w:rsidRPr="00A7087C" w:rsidRDefault="000F456E" w:rsidP="00B33714">
            <w:pPr>
              <w:pStyle w:val="Tablehead"/>
              <w:rPr>
                <w:lang w:val="es-ES_tradnl"/>
              </w:rPr>
            </w:pPr>
            <w:r w:rsidRPr="00A7087C">
              <w:rPr>
                <w:lang w:val="es-ES_tradnl"/>
              </w:rPr>
              <w:t>Fechas</w:t>
            </w:r>
          </w:p>
        </w:tc>
        <w:tc>
          <w:tcPr>
            <w:tcW w:w="2613" w:type="dxa"/>
            <w:vAlign w:val="center"/>
          </w:tcPr>
          <w:p w14:paraId="3D9951C0" w14:textId="77777777" w:rsidR="000F456E" w:rsidRPr="00A7087C" w:rsidRDefault="000F456E" w:rsidP="00B33714">
            <w:pPr>
              <w:pStyle w:val="Tablehead"/>
              <w:rPr>
                <w:lang w:val="es-ES_tradnl"/>
              </w:rPr>
            </w:pPr>
            <w:r w:rsidRPr="00A7087C">
              <w:rPr>
                <w:lang w:val="es-ES_tradnl"/>
              </w:rPr>
              <w:t xml:space="preserve">Ciudad y país anfitrión </w:t>
            </w:r>
          </w:p>
        </w:tc>
        <w:tc>
          <w:tcPr>
            <w:tcW w:w="2971" w:type="dxa"/>
            <w:vAlign w:val="center"/>
          </w:tcPr>
          <w:p w14:paraId="3DE210DC" w14:textId="77777777" w:rsidR="000F456E" w:rsidRPr="00A7087C" w:rsidRDefault="000F456E" w:rsidP="00B33714">
            <w:pPr>
              <w:pStyle w:val="Tablehead"/>
              <w:rPr>
                <w:lang w:val="es-ES_tradnl"/>
              </w:rPr>
            </w:pPr>
            <w:r w:rsidRPr="00A7087C">
              <w:rPr>
                <w:lang w:val="es-ES_tradnl"/>
              </w:rPr>
              <w:t>Documentos de resultados</w:t>
            </w:r>
          </w:p>
        </w:tc>
      </w:tr>
      <w:tr w:rsidR="000F456E" w:rsidRPr="00A7087C" w14:paraId="2732BBCC" w14:textId="77777777" w:rsidTr="00761D43">
        <w:trPr>
          <w:jc w:val="center"/>
        </w:trPr>
        <w:tc>
          <w:tcPr>
            <w:tcW w:w="1544" w:type="dxa"/>
            <w:tcMar>
              <w:top w:w="0" w:type="dxa"/>
              <w:left w:w="108" w:type="dxa"/>
              <w:bottom w:w="0" w:type="dxa"/>
              <w:right w:w="108" w:type="dxa"/>
            </w:tcMar>
          </w:tcPr>
          <w:p w14:paraId="34F27E34" w14:textId="77777777" w:rsidR="000F456E" w:rsidRPr="00A7087C" w:rsidRDefault="000F456E" w:rsidP="00B33714">
            <w:pPr>
              <w:pStyle w:val="Tabletext"/>
              <w:rPr>
                <w:lang w:val="es-ES_tradnl"/>
              </w:rPr>
            </w:pPr>
            <w:r w:rsidRPr="00A7087C">
              <w:rPr>
                <w:lang w:val="es-ES_tradnl"/>
              </w:rPr>
              <w:t>RPR-ARB</w:t>
            </w:r>
          </w:p>
        </w:tc>
        <w:tc>
          <w:tcPr>
            <w:tcW w:w="2501" w:type="dxa"/>
            <w:tcMar>
              <w:top w:w="0" w:type="dxa"/>
              <w:left w:w="108" w:type="dxa"/>
              <w:bottom w:w="0" w:type="dxa"/>
              <w:right w:w="108" w:type="dxa"/>
            </w:tcMar>
          </w:tcPr>
          <w:p w14:paraId="55E04E1B" w14:textId="77777777" w:rsidR="000F456E" w:rsidRPr="00A7087C" w:rsidRDefault="000F456E" w:rsidP="00B33714">
            <w:pPr>
              <w:pStyle w:val="Tabletext"/>
              <w:rPr>
                <w:lang w:val="es-ES_tradnl"/>
              </w:rPr>
            </w:pPr>
            <w:r w:rsidRPr="00A7087C">
              <w:rPr>
                <w:lang w:val="es-ES_tradnl"/>
              </w:rPr>
              <w:t>4-5 de febrero de 2025</w:t>
            </w:r>
          </w:p>
        </w:tc>
        <w:tc>
          <w:tcPr>
            <w:tcW w:w="2613" w:type="dxa"/>
          </w:tcPr>
          <w:p w14:paraId="19214B03" w14:textId="77777777" w:rsidR="000F456E" w:rsidRPr="00A7087C" w:rsidRDefault="000F456E" w:rsidP="00B33714">
            <w:pPr>
              <w:pStyle w:val="Tabletext"/>
              <w:ind w:left="144"/>
              <w:rPr>
                <w:lang w:val="es-ES_tradnl"/>
              </w:rPr>
            </w:pPr>
            <w:r w:rsidRPr="00A7087C">
              <w:rPr>
                <w:lang w:val="es-ES_tradnl"/>
              </w:rPr>
              <w:t>Ammán (Jordania)</w:t>
            </w:r>
          </w:p>
        </w:tc>
        <w:tc>
          <w:tcPr>
            <w:tcW w:w="2971" w:type="dxa"/>
          </w:tcPr>
          <w:p w14:paraId="2D476677" w14:textId="77777777" w:rsidR="000F456E" w:rsidRPr="00A7087C" w:rsidRDefault="000F456E" w:rsidP="00B33714">
            <w:pPr>
              <w:pStyle w:val="Tabletext"/>
              <w:ind w:left="144"/>
              <w:rPr>
                <w:lang w:val="es-ES_tradnl"/>
              </w:rPr>
            </w:pPr>
            <w:hyperlink r:id="rId19" w:history="1">
              <w:r w:rsidRPr="00A7087C">
                <w:rPr>
                  <w:rStyle w:val="Hyperlink"/>
                  <w:lang w:val="es-ES_tradnl"/>
                </w:rPr>
                <w:t>Informe</w:t>
              </w:r>
            </w:hyperlink>
          </w:p>
        </w:tc>
      </w:tr>
      <w:tr w:rsidR="000F456E" w:rsidRPr="00A7087C" w14:paraId="2F9FC543" w14:textId="77777777" w:rsidTr="00761D43">
        <w:trPr>
          <w:jc w:val="center"/>
        </w:trPr>
        <w:tc>
          <w:tcPr>
            <w:tcW w:w="1544" w:type="dxa"/>
            <w:tcMar>
              <w:top w:w="0" w:type="dxa"/>
              <w:left w:w="108" w:type="dxa"/>
              <w:bottom w:w="0" w:type="dxa"/>
              <w:right w:w="108" w:type="dxa"/>
            </w:tcMar>
          </w:tcPr>
          <w:p w14:paraId="605B4F68" w14:textId="77777777" w:rsidR="000F456E" w:rsidRPr="00A7087C" w:rsidRDefault="000F456E" w:rsidP="00B33714">
            <w:pPr>
              <w:pStyle w:val="Tabletext"/>
              <w:rPr>
                <w:lang w:val="es-ES_tradnl"/>
              </w:rPr>
            </w:pPr>
            <w:r w:rsidRPr="00A7087C">
              <w:rPr>
                <w:lang w:val="es-ES_tradnl"/>
              </w:rPr>
              <w:t>RPR-EUR</w:t>
            </w:r>
          </w:p>
        </w:tc>
        <w:tc>
          <w:tcPr>
            <w:tcW w:w="2501" w:type="dxa"/>
            <w:tcMar>
              <w:top w:w="0" w:type="dxa"/>
              <w:left w:w="108" w:type="dxa"/>
              <w:bottom w:w="0" w:type="dxa"/>
              <w:right w:w="108" w:type="dxa"/>
            </w:tcMar>
          </w:tcPr>
          <w:p w14:paraId="2A0241DE" w14:textId="1F2E411A" w:rsidR="000F456E" w:rsidRPr="00A7087C" w:rsidRDefault="000F456E" w:rsidP="00B33714">
            <w:pPr>
              <w:pStyle w:val="Tabletext"/>
              <w:rPr>
                <w:lang w:val="es-ES_tradnl"/>
              </w:rPr>
            </w:pPr>
            <w:r w:rsidRPr="00A7087C">
              <w:rPr>
                <w:lang w:val="es-ES_tradnl"/>
              </w:rPr>
              <w:t>25-26 de febrero de 202</w:t>
            </w:r>
            <w:r w:rsidR="00761D43" w:rsidRPr="00A7087C">
              <w:rPr>
                <w:lang w:val="es-ES_tradnl"/>
              </w:rPr>
              <w:t>5</w:t>
            </w:r>
          </w:p>
        </w:tc>
        <w:tc>
          <w:tcPr>
            <w:tcW w:w="2613" w:type="dxa"/>
          </w:tcPr>
          <w:p w14:paraId="33A5A981" w14:textId="77777777" w:rsidR="000F456E" w:rsidRPr="00A7087C" w:rsidRDefault="000F456E" w:rsidP="00B33714">
            <w:pPr>
              <w:pStyle w:val="Tabletext"/>
              <w:ind w:left="144"/>
              <w:rPr>
                <w:lang w:val="es-ES_tradnl"/>
              </w:rPr>
            </w:pPr>
            <w:r w:rsidRPr="00A7087C">
              <w:rPr>
                <w:lang w:val="es-ES_tradnl"/>
              </w:rPr>
              <w:t>Budapest (Hungría)</w:t>
            </w:r>
          </w:p>
        </w:tc>
        <w:tc>
          <w:tcPr>
            <w:tcW w:w="2971" w:type="dxa"/>
          </w:tcPr>
          <w:p w14:paraId="75649B1E" w14:textId="77777777" w:rsidR="000F456E" w:rsidRPr="00A7087C" w:rsidRDefault="000F456E" w:rsidP="00B33714">
            <w:pPr>
              <w:pStyle w:val="Tabletext"/>
              <w:ind w:left="144"/>
              <w:rPr>
                <w:lang w:val="es-ES_tradnl"/>
              </w:rPr>
            </w:pPr>
            <w:hyperlink r:id="rId20" w:history="1">
              <w:r w:rsidRPr="00A7087C">
                <w:rPr>
                  <w:rStyle w:val="Hyperlink"/>
                  <w:lang w:val="es-ES_tradnl"/>
                </w:rPr>
                <w:t>Informe</w:t>
              </w:r>
            </w:hyperlink>
          </w:p>
        </w:tc>
      </w:tr>
      <w:tr w:rsidR="000F456E" w:rsidRPr="00A7087C" w14:paraId="26D2DB7C" w14:textId="77777777" w:rsidTr="00761D43">
        <w:trPr>
          <w:jc w:val="center"/>
        </w:trPr>
        <w:tc>
          <w:tcPr>
            <w:tcW w:w="1544" w:type="dxa"/>
            <w:tcMar>
              <w:top w:w="0" w:type="dxa"/>
              <w:left w:w="108" w:type="dxa"/>
              <w:bottom w:w="0" w:type="dxa"/>
              <w:right w:w="108" w:type="dxa"/>
            </w:tcMar>
          </w:tcPr>
          <w:p w14:paraId="1F5F5C74" w14:textId="77777777" w:rsidR="000F456E" w:rsidRPr="00A7087C" w:rsidRDefault="000F456E" w:rsidP="00B33714">
            <w:pPr>
              <w:pStyle w:val="Tabletext"/>
              <w:rPr>
                <w:lang w:val="es-ES_tradnl"/>
              </w:rPr>
            </w:pPr>
            <w:r w:rsidRPr="00A7087C">
              <w:rPr>
                <w:lang w:val="es-ES_tradnl"/>
              </w:rPr>
              <w:t>RPR-ASP</w:t>
            </w:r>
          </w:p>
        </w:tc>
        <w:tc>
          <w:tcPr>
            <w:tcW w:w="2501" w:type="dxa"/>
            <w:tcMar>
              <w:top w:w="0" w:type="dxa"/>
              <w:left w:w="108" w:type="dxa"/>
              <w:bottom w:w="0" w:type="dxa"/>
              <w:right w:w="108" w:type="dxa"/>
            </w:tcMar>
          </w:tcPr>
          <w:p w14:paraId="286AA210" w14:textId="77777777" w:rsidR="000F456E" w:rsidRPr="00A7087C" w:rsidRDefault="000F456E" w:rsidP="00B33714">
            <w:pPr>
              <w:pStyle w:val="Tabletext"/>
              <w:rPr>
                <w:lang w:val="es-ES_tradnl"/>
              </w:rPr>
            </w:pPr>
            <w:r w:rsidRPr="00A7087C">
              <w:rPr>
                <w:lang w:val="es-ES_tradnl"/>
              </w:rPr>
              <w:t>20-21 de marzo de 2025</w:t>
            </w:r>
          </w:p>
        </w:tc>
        <w:tc>
          <w:tcPr>
            <w:tcW w:w="2613" w:type="dxa"/>
          </w:tcPr>
          <w:p w14:paraId="1DD80413" w14:textId="77777777" w:rsidR="000F456E" w:rsidRPr="00A7087C" w:rsidRDefault="000F456E" w:rsidP="00B33714">
            <w:pPr>
              <w:pStyle w:val="Tabletext"/>
              <w:ind w:left="144"/>
              <w:rPr>
                <w:lang w:val="es-ES_tradnl"/>
              </w:rPr>
            </w:pPr>
            <w:r w:rsidRPr="00A7087C">
              <w:rPr>
                <w:lang w:val="es-ES_tradnl"/>
              </w:rPr>
              <w:t>Bangkok (Tailandia)</w:t>
            </w:r>
          </w:p>
        </w:tc>
        <w:tc>
          <w:tcPr>
            <w:tcW w:w="2971" w:type="dxa"/>
          </w:tcPr>
          <w:p w14:paraId="03211297" w14:textId="77777777" w:rsidR="000F456E" w:rsidRPr="00A7087C" w:rsidRDefault="000F456E" w:rsidP="00B33714">
            <w:pPr>
              <w:pStyle w:val="Tabletext"/>
              <w:ind w:left="144"/>
              <w:rPr>
                <w:lang w:val="es-ES_tradnl"/>
              </w:rPr>
            </w:pPr>
            <w:hyperlink r:id="rId21" w:history="1">
              <w:r w:rsidRPr="00A7087C">
                <w:rPr>
                  <w:rStyle w:val="Hyperlink"/>
                  <w:lang w:val="es-ES_tradnl"/>
                </w:rPr>
                <w:t>Informe</w:t>
              </w:r>
            </w:hyperlink>
          </w:p>
        </w:tc>
      </w:tr>
      <w:tr w:rsidR="000F456E" w:rsidRPr="00A7087C" w14:paraId="1568EDCD" w14:textId="77777777" w:rsidTr="00761D43">
        <w:trPr>
          <w:jc w:val="center"/>
        </w:trPr>
        <w:tc>
          <w:tcPr>
            <w:tcW w:w="1544" w:type="dxa"/>
            <w:tcMar>
              <w:top w:w="0" w:type="dxa"/>
              <w:left w:w="108" w:type="dxa"/>
              <w:bottom w:w="0" w:type="dxa"/>
              <w:right w:w="108" w:type="dxa"/>
            </w:tcMar>
          </w:tcPr>
          <w:p w14:paraId="023AF979" w14:textId="77777777" w:rsidR="000F456E" w:rsidRPr="00A7087C" w:rsidRDefault="000F456E" w:rsidP="00B33714">
            <w:pPr>
              <w:pStyle w:val="Tabletext"/>
              <w:rPr>
                <w:lang w:val="es-ES_tradnl"/>
              </w:rPr>
            </w:pPr>
            <w:r w:rsidRPr="00A7087C">
              <w:rPr>
                <w:lang w:val="es-ES_tradnl"/>
              </w:rPr>
              <w:t>RPR-AMS</w:t>
            </w:r>
          </w:p>
        </w:tc>
        <w:tc>
          <w:tcPr>
            <w:tcW w:w="2501" w:type="dxa"/>
            <w:tcMar>
              <w:top w:w="0" w:type="dxa"/>
              <w:left w:w="108" w:type="dxa"/>
              <w:bottom w:w="0" w:type="dxa"/>
              <w:right w:w="108" w:type="dxa"/>
            </w:tcMar>
          </w:tcPr>
          <w:p w14:paraId="2B813DC5" w14:textId="77777777" w:rsidR="000F456E" w:rsidRPr="00A7087C" w:rsidRDefault="000F456E" w:rsidP="00B33714">
            <w:pPr>
              <w:pStyle w:val="Tabletext"/>
              <w:rPr>
                <w:lang w:val="es-ES_tradnl"/>
              </w:rPr>
            </w:pPr>
            <w:r w:rsidRPr="00A7087C">
              <w:rPr>
                <w:lang w:val="es-ES_tradnl"/>
              </w:rPr>
              <w:t>1-2 de abril de 2025</w:t>
            </w:r>
          </w:p>
        </w:tc>
        <w:tc>
          <w:tcPr>
            <w:tcW w:w="2613" w:type="dxa"/>
          </w:tcPr>
          <w:p w14:paraId="182B8BDB" w14:textId="77777777" w:rsidR="000F456E" w:rsidRPr="00A7087C" w:rsidRDefault="000F456E" w:rsidP="00B33714">
            <w:pPr>
              <w:pStyle w:val="Tabletext"/>
              <w:ind w:left="144"/>
              <w:rPr>
                <w:lang w:val="es-ES_tradnl"/>
              </w:rPr>
            </w:pPr>
            <w:r w:rsidRPr="00A7087C">
              <w:rPr>
                <w:lang w:val="es-ES_tradnl"/>
              </w:rPr>
              <w:t>Asunción (Paraguay)</w:t>
            </w:r>
          </w:p>
        </w:tc>
        <w:tc>
          <w:tcPr>
            <w:tcW w:w="2971" w:type="dxa"/>
          </w:tcPr>
          <w:p w14:paraId="59A12081" w14:textId="77777777" w:rsidR="000F456E" w:rsidRPr="00A7087C" w:rsidRDefault="000F456E" w:rsidP="00B33714">
            <w:pPr>
              <w:pStyle w:val="Tabletext"/>
              <w:ind w:left="144"/>
              <w:rPr>
                <w:lang w:val="es-ES_tradnl"/>
              </w:rPr>
            </w:pPr>
            <w:r w:rsidRPr="00A7087C">
              <w:rPr>
                <w:lang w:val="es-ES_tradnl"/>
              </w:rPr>
              <w:t>No disponible cuando se preparaba este documento</w:t>
            </w:r>
          </w:p>
        </w:tc>
      </w:tr>
      <w:tr w:rsidR="000F456E" w:rsidRPr="00A7087C" w14:paraId="374DF7D2" w14:textId="77777777" w:rsidTr="00761D43">
        <w:trPr>
          <w:jc w:val="center"/>
        </w:trPr>
        <w:tc>
          <w:tcPr>
            <w:tcW w:w="1544" w:type="dxa"/>
            <w:tcMar>
              <w:top w:w="0" w:type="dxa"/>
              <w:left w:w="108" w:type="dxa"/>
              <w:bottom w:w="0" w:type="dxa"/>
              <w:right w:w="108" w:type="dxa"/>
            </w:tcMar>
          </w:tcPr>
          <w:p w14:paraId="75778B64" w14:textId="77777777" w:rsidR="000F456E" w:rsidRPr="00A7087C" w:rsidRDefault="000F456E" w:rsidP="00B33714">
            <w:pPr>
              <w:pStyle w:val="Tabletext"/>
              <w:rPr>
                <w:lang w:val="es-ES_tradnl"/>
              </w:rPr>
            </w:pPr>
            <w:r w:rsidRPr="00A7087C">
              <w:rPr>
                <w:lang w:val="es-ES_tradnl"/>
              </w:rPr>
              <w:t>RPR-AFR</w:t>
            </w:r>
          </w:p>
        </w:tc>
        <w:tc>
          <w:tcPr>
            <w:tcW w:w="2501" w:type="dxa"/>
            <w:tcMar>
              <w:top w:w="0" w:type="dxa"/>
              <w:left w:w="108" w:type="dxa"/>
              <w:bottom w:w="0" w:type="dxa"/>
              <w:right w:w="108" w:type="dxa"/>
            </w:tcMar>
          </w:tcPr>
          <w:p w14:paraId="062B64D5" w14:textId="77777777" w:rsidR="000F456E" w:rsidRPr="00A7087C" w:rsidRDefault="000F456E" w:rsidP="00B33714">
            <w:pPr>
              <w:pStyle w:val="Tabletext"/>
              <w:rPr>
                <w:lang w:val="es-ES_tradnl"/>
              </w:rPr>
            </w:pPr>
            <w:r w:rsidRPr="00A7087C">
              <w:rPr>
                <w:lang w:val="es-ES_tradnl"/>
              </w:rPr>
              <w:t>8-9 de abril de 2025</w:t>
            </w:r>
          </w:p>
        </w:tc>
        <w:tc>
          <w:tcPr>
            <w:tcW w:w="2613" w:type="dxa"/>
          </w:tcPr>
          <w:p w14:paraId="49C7E943" w14:textId="77777777" w:rsidR="000F456E" w:rsidRPr="00A7087C" w:rsidRDefault="000F456E" w:rsidP="00B33714">
            <w:pPr>
              <w:pStyle w:val="Tabletext"/>
              <w:ind w:left="144"/>
              <w:rPr>
                <w:lang w:val="es-ES_tradnl"/>
              </w:rPr>
            </w:pPr>
            <w:r w:rsidRPr="00A7087C">
              <w:rPr>
                <w:lang w:val="es-ES_tradnl"/>
              </w:rPr>
              <w:t>Nairobi (Kenya)</w:t>
            </w:r>
          </w:p>
        </w:tc>
        <w:tc>
          <w:tcPr>
            <w:tcW w:w="2971" w:type="dxa"/>
          </w:tcPr>
          <w:p w14:paraId="154C9DC9" w14:textId="77777777" w:rsidR="000F456E" w:rsidRPr="00A7087C" w:rsidRDefault="000F456E" w:rsidP="00B33714">
            <w:pPr>
              <w:pStyle w:val="Tabletext"/>
              <w:ind w:left="144"/>
              <w:rPr>
                <w:lang w:val="es-ES_tradnl"/>
              </w:rPr>
            </w:pPr>
            <w:r w:rsidRPr="00A7087C">
              <w:rPr>
                <w:lang w:val="es-ES_tradnl"/>
              </w:rPr>
              <w:t>No disponible cuando se preparaba este documento</w:t>
            </w:r>
          </w:p>
        </w:tc>
      </w:tr>
      <w:tr w:rsidR="000F456E" w:rsidRPr="00A7087C" w14:paraId="13F2384B" w14:textId="77777777" w:rsidTr="00761D43">
        <w:trPr>
          <w:jc w:val="center"/>
        </w:trPr>
        <w:tc>
          <w:tcPr>
            <w:tcW w:w="1544" w:type="dxa"/>
            <w:tcMar>
              <w:top w:w="0" w:type="dxa"/>
              <w:left w:w="108" w:type="dxa"/>
              <w:bottom w:w="0" w:type="dxa"/>
              <w:right w:w="108" w:type="dxa"/>
            </w:tcMar>
          </w:tcPr>
          <w:p w14:paraId="4528F7EC" w14:textId="77777777" w:rsidR="000F456E" w:rsidRPr="00A7087C" w:rsidRDefault="000F456E" w:rsidP="00B33714">
            <w:pPr>
              <w:pStyle w:val="Tabletext"/>
              <w:rPr>
                <w:lang w:val="es-ES_tradnl"/>
              </w:rPr>
            </w:pPr>
            <w:r w:rsidRPr="00A7087C">
              <w:rPr>
                <w:lang w:val="es-ES_tradnl"/>
              </w:rPr>
              <w:t>RPR-CEI</w:t>
            </w:r>
          </w:p>
        </w:tc>
        <w:tc>
          <w:tcPr>
            <w:tcW w:w="2501" w:type="dxa"/>
            <w:tcMar>
              <w:top w:w="0" w:type="dxa"/>
              <w:left w:w="108" w:type="dxa"/>
              <w:bottom w:w="0" w:type="dxa"/>
              <w:right w:w="108" w:type="dxa"/>
            </w:tcMar>
          </w:tcPr>
          <w:p w14:paraId="4FBC0142" w14:textId="77777777" w:rsidR="000F456E" w:rsidRPr="00A7087C" w:rsidRDefault="000F456E" w:rsidP="00B33714">
            <w:pPr>
              <w:pStyle w:val="Tabletext"/>
              <w:rPr>
                <w:lang w:val="es-ES_tradnl"/>
              </w:rPr>
            </w:pPr>
            <w:r w:rsidRPr="00A7087C">
              <w:rPr>
                <w:lang w:val="es-ES_tradnl"/>
              </w:rPr>
              <w:t>24-25 de abril de 2025</w:t>
            </w:r>
          </w:p>
        </w:tc>
        <w:tc>
          <w:tcPr>
            <w:tcW w:w="2613" w:type="dxa"/>
          </w:tcPr>
          <w:p w14:paraId="7A8929B9" w14:textId="77777777" w:rsidR="000F456E" w:rsidRPr="00A7087C" w:rsidRDefault="000F456E" w:rsidP="00B33714">
            <w:pPr>
              <w:pStyle w:val="Tabletext"/>
              <w:ind w:left="144"/>
              <w:rPr>
                <w:lang w:val="es-ES_tradnl"/>
              </w:rPr>
            </w:pPr>
            <w:r w:rsidRPr="00A7087C">
              <w:rPr>
                <w:lang w:val="es-ES_tradnl"/>
              </w:rPr>
              <w:t>Bishkek (Kirguistán)</w:t>
            </w:r>
          </w:p>
        </w:tc>
        <w:tc>
          <w:tcPr>
            <w:tcW w:w="2971" w:type="dxa"/>
          </w:tcPr>
          <w:p w14:paraId="7B129BDC" w14:textId="77777777" w:rsidR="000F456E" w:rsidRPr="00A7087C" w:rsidRDefault="000F456E" w:rsidP="00B33714">
            <w:pPr>
              <w:pStyle w:val="Tabletext"/>
              <w:ind w:left="144"/>
              <w:rPr>
                <w:lang w:val="es-ES_tradnl"/>
              </w:rPr>
            </w:pPr>
            <w:r w:rsidRPr="00A7087C">
              <w:rPr>
                <w:lang w:val="es-ES_tradnl"/>
              </w:rPr>
              <w:t>No disponible cuando se preparaba este documento</w:t>
            </w:r>
          </w:p>
        </w:tc>
      </w:tr>
    </w:tbl>
    <w:p w14:paraId="4E6641FA" w14:textId="77777777" w:rsidR="000F456E" w:rsidRPr="000F456E" w:rsidRDefault="000F456E" w:rsidP="000F456E">
      <w:pPr>
        <w:rPr>
          <w:lang w:val="es-ES_tradnl"/>
        </w:rPr>
      </w:pPr>
      <w:r w:rsidRPr="000F456E">
        <w:rPr>
          <w:lang w:val="es-ES_tradnl"/>
        </w:rPr>
        <w:t>Las RPR tratan de involucrar a los miembros de cada región en el proceso de la CMDT con el fin de fomentar la coordinación regional antes de la Conferencia. Las RPR también trataron de identificar temas regionales de interés y desafíos que deben abordarse para fomentar el desarrollo de las telecomunicaciones/TIC, y ayudar a los Estados Miembros y Miembros de Sector a establecer prioridades comunes.</w:t>
      </w:r>
    </w:p>
    <w:p w14:paraId="43FDFE85" w14:textId="77777777" w:rsidR="000F456E" w:rsidRPr="000F456E" w:rsidRDefault="000F456E" w:rsidP="000F456E">
      <w:pPr>
        <w:rPr>
          <w:lang w:val="es-ES_tradnl"/>
        </w:rPr>
      </w:pPr>
      <w:r w:rsidRPr="000F456E">
        <w:rPr>
          <w:lang w:val="es-ES_tradnl"/>
        </w:rPr>
        <w:t>4.2</w:t>
      </w:r>
      <w:r w:rsidRPr="000F456E">
        <w:rPr>
          <w:lang w:val="es-ES_tradnl"/>
        </w:rPr>
        <w:tab/>
        <w:t>El 12 de mayo de 2025 se celebrará presencialmente una</w:t>
      </w:r>
      <w:r w:rsidRPr="000F456E">
        <w:rPr>
          <w:b/>
          <w:bCs/>
          <w:lang w:val="es-ES_tradnl"/>
        </w:rPr>
        <w:t xml:space="preserve"> reunión de coordinación de las RPR </w:t>
      </w:r>
      <w:r w:rsidRPr="000F456E">
        <w:rPr>
          <w:lang w:val="es-ES_tradnl"/>
        </w:rPr>
        <w:t>para examinar los informes de las seis RPR y presentar un informe consolidado al GADT, de conformidad con la Resolución 31 (Rev. Kigali, 2022) de la CMDT.</w:t>
      </w:r>
    </w:p>
    <w:p w14:paraId="021A00F9" w14:textId="77777777" w:rsidR="000F456E" w:rsidRPr="000F456E" w:rsidRDefault="000F456E" w:rsidP="000F456E">
      <w:pPr>
        <w:rPr>
          <w:lang w:val="es-ES_tradnl"/>
        </w:rPr>
      </w:pPr>
      <w:r w:rsidRPr="000F456E">
        <w:rPr>
          <w:lang w:val="es-ES_tradnl"/>
        </w:rPr>
        <w:t>4.3</w:t>
      </w:r>
      <w:r w:rsidRPr="000F456E">
        <w:rPr>
          <w:lang w:val="es-ES_tradnl"/>
        </w:rPr>
        <w:tab/>
        <w:t>Sobre la base de la práctica establecida, se espera que el GADT-25 apoye la celebración de dos</w:t>
      </w:r>
      <w:r w:rsidRPr="000F456E">
        <w:rPr>
          <w:b/>
          <w:bCs/>
          <w:lang w:val="es-ES_tradnl"/>
        </w:rPr>
        <w:t xml:space="preserve"> Reuniones Interregionales</w:t>
      </w:r>
      <w:r w:rsidRPr="000F456E">
        <w:rPr>
          <w:lang w:val="es-ES_tradnl"/>
        </w:rPr>
        <w:t xml:space="preserve"> </w:t>
      </w:r>
      <w:r w:rsidRPr="000F456E">
        <w:rPr>
          <w:b/>
          <w:bCs/>
          <w:lang w:val="es-ES_tradnl"/>
        </w:rPr>
        <w:t>(RIR)</w:t>
      </w:r>
      <w:r w:rsidRPr="000F456E">
        <w:rPr>
          <w:lang w:val="es-ES_tradnl"/>
        </w:rPr>
        <w:t xml:space="preserve"> programadas como se indica a continuación para preparar la CMDT: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0F456E" w:rsidRPr="000F456E" w14:paraId="023FB5B4" w14:textId="77777777" w:rsidTr="00C5524E">
        <w:trPr>
          <w:jc w:val="center"/>
        </w:trPr>
        <w:tc>
          <w:tcPr>
            <w:tcW w:w="1410" w:type="dxa"/>
            <w:tcMar>
              <w:top w:w="0" w:type="dxa"/>
              <w:left w:w="108" w:type="dxa"/>
              <w:bottom w:w="0" w:type="dxa"/>
              <w:right w:w="108" w:type="dxa"/>
            </w:tcMar>
            <w:hideMark/>
          </w:tcPr>
          <w:p w14:paraId="3AA3FCF7" w14:textId="77777777" w:rsidR="000F456E" w:rsidRPr="00A7087C" w:rsidRDefault="000F456E" w:rsidP="00B33714">
            <w:pPr>
              <w:pStyle w:val="Tabletext"/>
              <w:rPr>
                <w:lang w:val="es-ES_tradnl"/>
              </w:rPr>
            </w:pPr>
            <w:r w:rsidRPr="00A7087C">
              <w:rPr>
                <w:lang w:val="es-ES_tradnl"/>
              </w:rPr>
              <w:t>RIR-1</w:t>
            </w:r>
          </w:p>
        </w:tc>
        <w:tc>
          <w:tcPr>
            <w:tcW w:w="4252" w:type="dxa"/>
            <w:tcMar>
              <w:top w:w="0" w:type="dxa"/>
              <w:left w:w="108" w:type="dxa"/>
              <w:bottom w:w="0" w:type="dxa"/>
              <w:right w:w="108" w:type="dxa"/>
            </w:tcMar>
            <w:hideMark/>
          </w:tcPr>
          <w:p w14:paraId="402C6587" w14:textId="77777777" w:rsidR="000F456E" w:rsidRPr="00A7087C" w:rsidRDefault="000F456E" w:rsidP="00B33714">
            <w:pPr>
              <w:pStyle w:val="Tabletext"/>
              <w:rPr>
                <w:lang w:val="es-ES_tradnl"/>
              </w:rPr>
            </w:pPr>
            <w:r w:rsidRPr="00A7087C">
              <w:rPr>
                <w:lang w:val="es-ES_tradnl"/>
              </w:rPr>
              <w:t>14-15 de julio de 2025 (virtual)</w:t>
            </w:r>
          </w:p>
        </w:tc>
      </w:tr>
      <w:tr w:rsidR="000F456E" w:rsidRPr="000F456E" w14:paraId="1CE71439" w14:textId="77777777" w:rsidTr="00C5524E">
        <w:trPr>
          <w:jc w:val="center"/>
        </w:trPr>
        <w:tc>
          <w:tcPr>
            <w:tcW w:w="1410" w:type="dxa"/>
            <w:tcMar>
              <w:top w:w="0" w:type="dxa"/>
              <w:left w:w="108" w:type="dxa"/>
              <w:bottom w:w="0" w:type="dxa"/>
              <w:right w:w="108" w:type="dxa"/>
            </w:tcMar>
            <w:hideMark/>
          </w:tcPr>
          <w:p w14:paraId="612A5CB5" w14:textId="77777777" w:rsidR="000F456E" w:rsidRPr="00A7087C" w:rsidRDefault="000F456E" w:rsidP="00B33714">
            <w:pPr>
              <w:pStyle w:val="Tabletext"/>
              <w:rPr>
                <w:lang w:val="es-ES_tradnl"/>
              </w:rPr>
            </w:pPr>
            <w:r w:rsidRPr="00A7087C">
              <w:rPr>
                <w:lang w:val="es-ES_tradnl"/>
              </w:rPr>
              <w:t>RIR-2</w:t>
            </w:r>
          </w:p>
        </w:tc>
        <w:tc>
          <w:tcPr>
            <w:tcW w:w="4252" w:type="dxa"/>
            <w:tcMar>
              <w:top w:w="0" w:type="dxa"/>
              <w:left w:w="108" w:type="dxa"/>
              <w:bottom w:w="0" w:type="dxa"/>
              <w:right w:w="108" w:type="dxa"/>
            </w:tcMar>
            <w:hideMark/>
          </w:tcPr>
          <w:p w14:paraId="31336CF1" w14:textId="77777777" w:rsidR="000F456E" w:rsidRPr="00A7087C" w:rsidRDefault="000F456E" w:rsidP="00B33714">
            <w:pPr>
              <w:pStyle w:val="Tabletext"/>
              <w:rPr>
                <w:lang w:val="es-ES_tradnl"/>
              </w:rPr>
            </w:pPr>
            <w:r w:rsidRPr="00A7087C">
              <w:rPr>
                <w:lang w:val="es-ES_tradnl"/>
              </w:rPr>
              <w:t>29-30 de septiembre de 2025 (virtual)</w:t>
            </w:r>
          </w:p>
        </w:tc>
      </w:tr>
    </w:tbl>
    <w:p w14:paraId="67FF8ACC" w14:textId="77777777" w:rsidR="000F456E" w:rsidRPr="000F456E" w:rsidRDefault="000F456E" w:rsidP="000F456E">
      <w:pPr>
        <w:rPr>
          <w:lang w:val="es-ES_tradnl"/>
        </w:rPr>
      </w:pPr>
      <w:r w:rsidRPr="000F456E">
        <w:rPr>
          <w:lang w:val="es-ES_tradnl"/>
        </w:rPr>
        <w:t>Las RIR están abiertas a todos los Miembros del UIT-D. Se alienta a los Estados Miembros a incluir en sus delegaciones a representantes de reguladores, responsables políticos, la sociedad civil, las instituciones académicas, la comunidad técnica de Internet, la juventud, las organizaciones de igualdad de género y otros.</w:t>
      </w:r>
    </w:p>
    <w:p w14:paraId="517CA7DF" w14:textId="77777777" w:rsidR="000F456E" w:rsidRPr="000F456E" w:rsidRDefault="000F456E" w:rsidP="000F456E">
      <w:pPr>
        <w:rPr>
          <w:lang w:val="es-ES_tradnl"/>
        </w:rPr>
      </w:pPr>
      <w:r w:rsidRPr="000F456E">
        <w:rPr>
          <w:lang w:val="es-ES_tradnl"/>
        </w:rPr>
        <w:t>Los órdenes del día de las RIR se articulan en torno a los debates clave que tienen lugar durante las RPR, y pueden incluir propuestas de Estados Miembros, Miembros de Sector, organizaciones regionales de telecomunicaciones (ORT), la BDT y otras partes interesadas. Los debates se centran en temas clave que requieren coordinación y consenso entre las diferentes regiones.</w:t>
      </w:r>
    </w:p>
    <w:p w14:paraId="71993D1C" w14:textId="32B2DA22" w:rsidR="00EC6FED" w:rsidRPr="00A7087C" w:rsidRDefault="000F456E" w:rsidP="000F456E">
      <w:pPr>
        <w:keepNext/>
        <w:rPr>
          <w:lang w:val="es-ES_tradnl"/>
        </w:rPr>
      </w:pPr>
      <w:r w:rsidRPr="00A7087C">
        <w:rPr>
          <w:lang w:val="es-ES_tradnl"/>
        </w:rPr>
        <w:t>Siguiendo las recomendaciones del GADT, se nombrará al Presidente designado de la CMDT para presidir las dos RIR, y se nombrarán seis Vicepresidentes, uno designado por cada una de las respectivas ORT. También se invitará a cada ORT a que identifique al representante o representantes de su elección para hablar en nombre de su región.</w:t>
      </w:r>
    </w:p>
    <w:p w14:paraId="126726F7" w14:textId="77777777" w:rsidR="000F456E" w:rsidRPr="00A7087C" w:rsidRDefault="000F456E" w:rsidP="000F456E">
      <w:pPr>
        <w:keepNext/>
        <w:rPr>
          <w:lang w:val="es-ES_tradnl"/>
        </w:rPr>
      </w:pPr>
    </w:p>
    <w:p w14:paraId="1ECA571B" w14:textId="77777777" w:rsidR="00821996" w:rsidRPr="00D8041C" w:rsidRDefault="003C58BF" w:rsidP="000F456E">
      <w:pPr>
        <w:keepNext/>
        <w:tabs>
          <w:tab w:val="clear" w:pos="794"/>
          <w:tab w:val="clear" w:pos="1191"/>
          <w:tab w:val="clear" w:pos="1588"/>
          <w:tab w:val="clear" w:pos="1985"/>
        </w:tabs>
        <w:spacing w:after="120"/>
        <w:jc w:val="center"/>
        <w:rPr>
          <w:lang w:val="es-ES_tradnl"/>
        </w:rPr>
      </w:pPr>
      <w:bookmarkStart w:id="6" w:name="Proposal"/>
      <w:bookmarkEnd w:id="6"/>
      <w:r w:rsidRPr="00A7087C">
        <w:rPr>
          <w:lang w:val="es-ES_tradnl"/>
        </w:rPr>
        <w:t>_____________</w:t>
      </w:r>
      <w:r w:rsidR="004122C5" w:rsidRPr="00A7087C">
        <w:rPr>
          <w:lang w:val="es-ES_tradnl"/>
        </w:rPr>
        <w:t>_</w:t>
      </w:r>
      <w:r w:rsidR="00922EC1" w:rsidRPr="00A7087C">
        <w:rPr>
          <w:lang w:val="es-ES_tradnl"/>
        </w:rPr>
        <w:t>_</w:t>
      </w:r>
    </w:p>
    <w:sectPr w:rsidR="00821996" w:rsidRPr="00D8041C"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0F456E"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0E53D40B" w:rsidR="004B6F0B" w:rsidRPr="000F456E" w:rsidRDefault="000F456E" w:rsidP="000F456E">
          <w:pPr>
            <w:pStyle w:val="FirstFooter"/>
            <w:rPr>
              <w:sz w:val="18"/>
              <w:szCs w:val="18"/>
              <w:highlight w:val="yellow"/>
              <w:lang w:val="es-ES"/>
            </w:rPr>
          </w:pPr>
          <w:r w:rsidRPr="000F456E">
            <w:rPr>
              <w:sz w:val="18"/>
              <w:szCs w:val="18"/>
              <w:lang w:val="es-ES"/>
            </w:rPr>
            <w:t>Sra. Archana Gulati, Directora Adjunta, Oficina de Desarrollo de las Telecomunicaciones</w:t>
          </w:r>
        </w:p>
      </w:tc>
    </w:tr>
    <w:tr w:rsidR="004B6F0B" w:rsidRPr="00CB110F" w14:paraId="68C18A92" w14:textId="77777777" w:rsidTr="005539C3">
      <w:tc>
        <w:tcPr>
          <w:tcW w:w="993" w:type="dxa"/>
        </w:tcPr>
        <w:p w14:paraId="3EE46271" w14:textId="77777777" w:rsidR="004B6F0B" w:rsidRPr="000F456E"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6685211E" w:rsidR="004B6F0B" w:rsidRPr="009359B8" w:rsidRDefault="000F456E" w:rsidP="000F456E">
          <w:pPr>
            <w:pStyle w:val="FirstFooter"/>
            <w:tabs>
              <w:tab w:val="left" w:pos="2302"/>
            </w:tabs>
            <w:rPr>
              <w:sz w:val="18"/>
              <w:szCs w:val="18"/>
              <w:highlight w:val="yellow"/>
              <w:lang w:val="en-US"/>
            </w:rPr>
          </w:pPr>
          <w:r w:rsidRPr="000F456E">
            <w:rPr>
              <w:sz w:val="18"/>
              <w:szCs w:val="18"/>
              <w:lang w:val="es-ES"/>
            </w:rPr>
            <w:t>+41 22 730 6475</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6F776688" w:rsidR="004B6F0B" w:rsidRPr="00B80715" w:rsidRDefault="000F456E" w:rsidP="000F456E">
          <w:pPr>
            <w:pStyle w:val="FirstFooter"/>
            <w:tabs>
              <w:tab w:val="left" w:pos="2302"/>
            </w:tabs>
            <w:rPr>
              <w:sz w:val="18"/>
              <w:szCs w:val="18"/>
              <w:lang w:val="en-US"/>
            </w:rPr>
          </w:pPr>
          <w:hyperlink r:id="rId1" w:history="1">
            <w:r w:rsidRPr="000F456E">
              <w:rPr>
                <w:rStyle w:val="Hyperlink"/>
                <w:sz w:val="18"/>
                <w:szCs w:val="18"/>
                <w:lang w:val="en-GB"/>
              </w:rPr>
              <w:t xml:space="preserve">archana.gulati@itu.int </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47DA7B6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0F456E">
      <w:rPr>
        <w:sz w:val="22"/>
        <w:szCs w:val="22"/>
        <w:lang w:val="de-CH"/>
      </w:rPr>
      <w:t>12</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D02077D"/>
    <w:multiLevelType w:val="multilevel"/>
    <w:tmpl w:val="708C48C0"/>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3FE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456E"/>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1D43"/>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087C"/>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3714"/>
    <w:rsid w:val="00B37866"/>
    <w:rsid w:val="00B37B73"/>
    <w:rsid w:val="00B412FB"/>
    <w:rsid w:val="00B42366"/>
    <w:rsid w:val="00B4576B"/>
    <w:rsid w:val="00B46350"/>
    <w:rsid w:val="00B46DF3"/>
    <w:rsid w:val="00B648C7"/>
    <w:rsid w:val="00B6561B"/>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es" TargetMode="External"/><Relationship Id="rId18" Type="http://schemas.openxmlformats.org/officeDocument/2006/relationships/hyperlink" Target="https://www.itu.int/md/S24-SG-CIR-0038/es" TargetMode="External"/><Relationship Id="rId3" Type="http://schemas.openxmlformats.org/officeDocument/2006/relationships/customXml" Target="../customXml/item3.xml"/><Relationship Id="rId21" Type="http://schemas.openxmlformats.org/officeDocument/2006/relationships/hyperlink" Target="https://www.itu.int/md/D22-RPMASP-C-0018/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pub/itu-s/md/24/sg/cir/S24-SG-CIR-0038!!PDF-S.pdf" TargetMode="External"/><Relationship Id="rId20" Type="http://schemas.openxmlformats.org/officeDocument/2006/relationships/hyperlink" Target="https://www.itu.int/md/D22-RPMEUR-C-0030/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4-CL-C-0124/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22-RPMARB-C-0020/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67B54-1F34-43A9-BA25-3BF22A9576F5}"/>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2</cp:revision>
  <cp:lastPrinted>2014-11-04T09:22:00Z</cp:lastPrinted>
  <dcterms:created xsi:type="dcterms:W3CDTF">2025-04-29T08:22:00Z</dcterms:created>
  <dcterms:modified xsi:type="dcterms:W3CDTF">2025-04-29T08:22:00Z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