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12D1280E" w14:textId="77777777" w:rsidTr="00AD1E92">
        <w:trPr>
          <w:cantSplit/>
          <w:trHeight w:val="1310"/>
          <w:jc w:val="center"/>
        </w:trPr>
        <w:tc>
          <w:tcPr>
            <w:tcW w:w="1699" w:type="dxa"/>
            <w:tcBorders>
              <w:bottom w:val="single" w:sz="12" w:space="0" w:color="auto"/>
            </w:tcBorders>
            <w:vAlign w:val="center"/>
          </w:tcPr>
          <w:p w14:paraId="2B2473D8"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4A9A87BB" wp14:editId="2A8DDDDF">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307D023B"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46CB6654"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042176A4"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6B7B86D7" wp14:editId="7CF0E67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4FAC6D0F" w14:textId="77777777" w:rsidTr="00AD1E92">
        <w:trPr>
          <w:cantSplit/>
          <w:jc w:val="center"/>
        </w:trPr>
        <w:tc>
          <w:tcPr>
            <w:tcW w:w="6660" w:type="dxa"/>
            <w:gridSpan w:val="2"/>
            <w:tcBorders>
              <w:top w:val="single" w:sz="12" w:space="0" w:color="auto"/>
            </w:tcBorders>
          </w:tcPr>
          <w:p w14:paraId="7CFA5695"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2AD8867F" w14:textId="77777777" w:rsidR="00CA08BA" w:rsidRPr="00C85CB5" w:rsidRDefault="00CA08BA" w:rsidP="00B93B7B">
            <w:pPr>
              <w:spacing w:before="20" w:after="20" w:line="300" w:lineRule="exact"/>
              <w:rPr>
                <w:b/>
                <w:bCs/>
                <w:highlight w:val="yellow"/>
                <w:rtl/>
                <w:lang w:bidi="ar-EG"/>
              </w:rPr>
            </w:pPr>
          </w:p>
        </w:tc>
      </w:tr>
      <w:tr w:rsidR="00783A69" w:rsidRPr="00783A69" w14:paraId="172B5CFF" w14:textId="77777777" w:rsidTr="00AD1E92">
        <w:trPr>
          <w:cantSplit/>
          <w:jc w:val="center"/>
        </w:trPr>
        <w:tc>
          <w:tcPr>
            <w:tcW w:w="6660" w:type="dxa"/>
            <w:gridSpan w:val="2"/>
          </w:tcPr>
          <w:p w14:paraId="24E0B7C3" w14:textId="77777777" w:rsidR="00783A69" w:rsidRPr="00783A69" w:rsidRDefault="00783A69" w:rsidP="00B93B7B">
            <w:pPr>
              <w:spacing w:before="20" w:after="20" w:line="300" w:lineRule="exact"/>
              <w:rPr>
                <w:b/>
                <w:bCs/>
                <w:rtl/>
                <w:lang w:bidi="ar-EG"/>
              </w:rPr>
            </w:pPr>
          </w:p>
        </w:tc>
        <w:tc>
          <w:tcPr>
            <w:tcW w:w="2979" w:type="dxa"/>
            <w:gridSpan w:val="2"/>
          </w:tcPr>
          <w:p w14:paraId="5BF6691D" w14:textId="4A471C28"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9A0F2E">
              <w:rPr>
                <w:b/>
                <w:bCs/>
                <w:lang w:bidi="ar-EG"/>
              </w:rPr>
              <w:t>11</w:t>
            </w:r>
            <w:r w:rsidR="009C78A1">
              <w:rPr>
                <w:b/>
                <w:bCs/>
                <w:lang w:bidi="ar-EG"/>
              </w:rPr>
              <w:t>(Rev.1)</w:t>
            </w:r>
            <w:r w:rsidRPr="00153471">
              <w:rPr>
                <w:b/>
                <w:bCs/>
                <w:lang w:bidi="ar-EG"/>
              </w:rPr>
              <w:t>-A</w:t>
            </w:r>
          </w:p>
        </w:tc>
      </w:tr>
      <w:tr w:rsidR="00783A69" w:rsidRPr="00783A69" w14:paraId="21C46FAF" w14:textId="77777777" w:rsidTr="00AD1E92">
        <w:trPr>
          <w:cantSplit/>
          <w:jc w:val="center"/>
        </w:trPr>
        <w:tc>
          <w:tcPr>
            <w:tcW w:w="6660" w:type="dxa"/>
            <w:gridSpan w:val="2"/>
          </w:tcPr>
          <w:p w14:paraId="759B65D8" w14:textId="77777777" w:rsidR="00783A69" w:rsidRPr="00783A69" w:rsidRDefault="00783A69" w:rsidP="00B93B7B">
            <w:pPr>
              <w:spacing w:before="20" w:after="20" w:line="300" w:lineRule="exact"/>
              <w:rPr>
                <w:b/>
                <w:bCs/>
              </w:rPr>
            </w:pPr>
          </w:p>
        </w:tc>
        <w:tc>
          <w:tcPr>
            <w:tcW w:w="2979" w:type="dxa"/>
            <w:gridSpan w:val="2"/>
          </w:tcPr>
          <w:p w14:paraId="659F0D0C" w14:textId="67A8D05E" w:rsidR="00783A69" w:rsidRPr="00C85CB5" w:rsidRDefault="009A0F2E" w:rsidP="00B319BC">
            <w:pPr>
              <w:spacing w:before="20" w:after="20" w:line="300" w:lineRule="exact"/>
              <w:rPr>
                <w:b/>
                <w:bCs/>
                <w:highlight w:val="yellow"/>
                <w:rtl/>
              </w:rPr>
            </w:pPr>
            <w:r>
              <w:rPr>
                <w:b/>
                <w:bCs/>
                <w:lang w:bidi="ar-EG"/>
              </w:rPr>
              <w:t>8</w:t>
            </w:r>
            <w:r w:rsidR="00783A69" w:rsidRPr="006B266A">
              <w:rPr>
                <w:rFonts w:hint="cs"/>
                <w:b/>
                <w:bCs/>
                <w:rtl/>
                <w:lang w:bidi="ar-EG"/>
              </w:rPr>
              <w:t xml:space="preserve"> </w:t>
            </w:r>
            <w:r>
              <w:rPr>
                <w:rFonts w:hint="cs"/>
                <w:b/>
                <w:bCs/>
                <w:rtl/>
                <w:lang w:bidi="ar-EG"/>
              </w:rPr>
              <w:t>مايو</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1A00DC35" w14:textId="77777777" w:rsidTr="00AD1E92">
        <w:trPr>
          <w:cantSplit/>
          <w:jc w:val="center"/>
        </w:trPr>
        <w:tc>
          <w:tcPr>
            <w:tcW w:w="6660" w:type="dxa"/>
            <w:gridSpan w:val="2"/>
          </w:tcPr>
          <w:p w14:paraId="07FD5CC0" w14:textId="77777777" w:rsidR="00783A69" w:rsidRPr="00783A69" w:rsidRDefault="00783A69" w:rsidP="00B93B7B">
            <w:pPr>
              <w:spacing w:before="20" w:after="20" w:line="300" w:lineRule="exact"/>
              <w:rPr>
                <w:b/>
                <w:bCs/>
                <w:lang w:bidi="ar-EG"/>
              </w:rPr>
            </w:pPr>
          </w:p>
        </w:tc>
        <w:tc>
          <w:tcPr>
            <w:tcW w:w="2979" w:type="dxa"/>
            <w:gridSpan w:val="2"/>
          </w:tcPr>
          <w:p w14:paraId="1DDBF2DD" w14:textId="5265FDBD"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359D0AA3" w14:textId="77777777" w:rsidTr="00EE5CF2">
        <w:trPr>
          <w:cantSplit/>
          <w:jc w:val="center"/>
        </w:trPr>
        <w:tc>
          <w:tcPr>
            <w:tcW w:w="9639" w:type="dxa"/>
            <w:gridSpan w:val="4"/>
          </w:tcPr>
          <w:p w14:paraId="2E0CA184" w14:textId="23845281" w:rsidR="00783A69" w:rsidRPr="00783A69" w:rsidRDefault="00085E12" w:rsidP="00EE5CF2">
            <w:pPr>
              <w:pStyle w:val="Source"/>
            </w:pPr>
            <w:r w:rsidRPr="00085E12">
              <w:rPr>
                <w:sz w:val="28"/>
                <w:szCs w:val="28"/>
                <w:rtl/>
                <w:lang w:bidi="ar-EG"/>
              </w:rPr>
              <w:t>رئيس الفريق المعني بمبادرات بناء القدرات (</w:t>
            </w:r>
            <w:r w:rsidRPr="00085E12">
              <w:rPr>
                <w:sz w:val="28"/>
                <w:szCs w:val="28"/>
                <w:lang w:bidi="ar-EG"/>
              </w:rPr>
              <w:t>GCBI</w:t>
            </w:r>
            <w:r w:rsidRPr="00085E12">
              <w:rPr>
                <w:sz w:val="28"/>
                <w:szCs w:val="28"/>
                <w:rtl/>
                <w:lang w:bidi="ar-EG"/>
              </w:rPr>
              <w:t>)</w:t>
            </w:r>
          </w:p>
        </w:tc>
      </w:tr>
      <w:tr w:rsidR="00783A69" w:rsidRPr="00783A69" w14:paraId="7E6554AB" w14:textId="77777777" w:rsidTr="00EE5CF2">
        <w:trPr>
          <w:cantSplit/>
          <w:jc w:val="center"/>
        </w:trPr>
        <w:tc>
          <w:tcPr>
            <w:tcW w:w="9639" w:type="dxa"/>
            <w:gridSpan w:val="4"/>
          </w:tcPr>
          <w:p w14:paraId="64ADE634" w14:textId="0071171D" w:rsidR="00783A69" w:rsidRPr="00783A69" w:rsidRDefault="00085E12" w:rsidP="00085E12">
            <w:pPr>
              <w:pStyle w:val="Title1"/>
              <w:rPr>
                <w:lang w:bidi="ar-EG"/>
              </w:rPr>
            </w:pPr>
            <w:r>
              <w:rPr>
                <w:rtl/>
                <w:lang w:bidi="ar-EG"/>
              </w:rPr>
              <w:t>تقرير رئيس الفريق المعني بمبادرات بناء القدرات (</w:t>
            </w:r>
            <w:r>
              <w:rPr>
                <w:lang w:bidi="ar-EG"/>
              </w:rPr>
              <w:t>GCBI</w:t>
            </w:r>
            <w:r>
              <w:rPr>
                <w:rtl/>
                <w:lang w:bidi="ar-EG"/>
              </w:rPr>
              <w:t xml:space="preserve">) </w:t>
            </w:r>
            <w:r>
              <w:rPr>
                <w:lang w:bidi="ar-EG"/>
              </w:rPr>
              <w:br/>
            </w:r>
            <w:r>
              <w:rPr>
                <w:rtl/>
                <w:lang w:bidi="ar-EG"/>
              </w:rPr>
              <w:t>إلى الفريق الاستشاري لتنمية الاتصالات</w:t>
            </w:r>
          </w:p>
        </w:tc>
      </w:tr>
    </w:tbl>
    <w:p w14:paraId="106E2706"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17C6591F"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6CDBD13E"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47F71CFA" w14:textId="78F60EFA" w:rsidR="00783A69" w:rsidRPr="006B266A" w:rsidRDefault="00085E12" w:rsidP="006B266A">
            <w:pPr>
              <w:rPr>
                <w:rtl/>
                <w:lang w:val="en-GB"/>
              </w:rPr>
            </w:pPr>
            <w:r w:rsidRPr="00085E12">
              <w:rPr>
                <w:rtl/>
                <w:lang w:val="en-GB" w:bidi="ar-EG"/>
              </w:rPr>
              <w:t xml:space="preserve">تغطي هذه الوثيقة الأعمال التي اضطلع بها الفريق المعني بمبادرات بناء القدرات </w:t>
            </w:r>
            <w:r w:rsidRPr="00085E12">
              <w:rPr>
                <w:lang w:val="en-GB" w:bidi="ar-EG"/>
              </w:rPr>
              <w:t>(GCBI)</w:t>
            </w:r>
            <w:r w:rsidRPr="00085E12">
              <w:rPr>
                <w:rtl/>
                <w:lang w:val="en-GB" w:bidi="ar-EG"/>
              </w:rPr>
              <w:t>. وقد أُنشئ هذا الفريق بموجب القرار 40 الذي اعتمده المؤتمر العالمي لتنمية الاتصالات لعام</w:t>
            </w:r>
            <w:r w:rsidR="00036552">
              <w:rPr>
                <w:rFonts w:hint="cs"/>
                <w:rtl/>
                <w:lang w:val="en-GB" w:bidi="ar-EG"/>
              </w:rPr>
              <w:t xml:space="preserve"> </w:t>
            </w:r>
            <w:r w:rsidRPr="00085E12">
              <w:rPr>
                <w:lang w:val="en-GB" w:bidi="ar-EG"/>
              </w:rPr>
              <w:t>2010</w:t>
            </w:r>
            <w:r w:rsidR="00036552">
              <w:rPr>
                <w:rFonts w:hint="cs"/>
                <w:rtl/>
                <w:lang w:val="en-GB" w:bidi="ar-EG"/>
              </w:rPr>
              <w:t xml:space="preserve"> </w:t>
            </w:r>
            <w:r w:rsidR="00036552" w:rsidRPr="00085E12">
              <w:rPr>
                <w:lang w:val="en-GB" w:bidi="ar-EG"/>
              </w:rPr>
              <w:t>(WTDC-10)</w:t>
            </w:r>
            <w:r w:rsidRPr="00085E12">
              <w:rPr>
                <w:rtl/>
                <w:lang w:val="en-GB" w:bidi="ar-EG"/>
              </w:rPr>
              <w:t>، وراجعه المؤتمر العالمي لتنمية الاتصالات لعام</w:t>
            </w:r>
            <w:r w:rsidR="00036552">
              <w:rPr>
                <w:rFonts w:hint="cs"/>
                <w:rtl/>
                <w:lang w:val="en-GB" w:bidi="ar-EG"/>
              </w:rPr>
              <w:t xml:space="preserve"> </w:t>
            </w:r>
            <w:r w:rsidRPr="00085E12">
              <w:rPr>
                <w:lang w:val="en-GB" w:bidi="ar-EG"/>
              </w:rPr>
              <w:t>2022</w:t>
            </w:r>
            <w:r w:rsidR="00036552">
              <w:rPr>
                <w:rFonts w:hint="cs"/>
                <w:rtl/>
                <w:lang w:val="en-GB" w:bidi="ar-EG"/>
              </w:rPr>
              <w:t xml:space="preserve"> </w:t>
            </w:r>
            <w:r w:rsidR="00036552" w:rsidRPr="00085E12">
              <w:rPr>
                <w:lang w:val="en-GB" w:bidi="ar-EG"/>
              </w:rPr>
              <w:t>(WTDC-22)</w:t>
            </w:r>
            <w:r w:rsidRPr="00085E12">
              <w:rPr>
                <w:rtl/>
                <w:lang w:val="en-GB" w:bidi="ar-EG"/>
              </w:rPr>
              <w:t xml:space="preserve">، بغرض إسداء المشورة إلى مدير مكتب تنمية الاتصالات </w:t>
            </w:r>
            <w:r w:rsidRPr="00085E12">
              <w:rPr>
                <w:lang w:val="en-GB" w:bidi="ar-EG"/>
              </w:rPr>
              <w:t>(BDT)</w:t>
            </w:r>
            <w:r w:rsidRPr="00085E12">
              <w:rPr>
                <w:rtl/>
                <w:lang w:val="en-GB" w:bidi="ar-EG"/>
              </w:rPr>
              <w:t xml:space="preserve"> بشأن المسائل المتعلقة ببناء القدرات.</w:t>
            </w:r>
          </w:p>
          <w:p w14:paraId="6E1F7A8F"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48ADB4B0" w14:textId="1F24AD01" w:rsidR="004F0F62" w:rsidRPr="004F0F62" w:rsidRDefault="00085E12" w:rsidP="004F0F62">
            <w:pPr>
              <w:rPr>
                <w:color w:val="000000"/>
                <w:rtl/>
                <w:lang w:bidi="ar-EG"/>
              </w:rPr>
            </w:pPr>
            <w:r w:rsidRPr="00085E12">
              <w:rPr>
                <w:color w:val="000000"/>
                <w:rtl/>
                <w:lang w:bidi="ar-EG"/>
              </w:rPr>
              <w:t>يُدعى الفريق الاستشاري لتنمية الاتصالات إلى الإحاطة علماً بهذه الوثيقة وتقديم التوجيهات التي يراها مناسبة.</w:t>
            </w:r>
          </w:p>
          <w:p w14:paraId="4AF99DC7"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5FBC365E" w14:textId="77777777" w:rsidR="00085E12" w:rsidRPr="00085E12" w:rsidRDefault="00085E12" w:rsidP="00085E12">
            <w:pPr>
              <w:spacing w:after="120"/>
              <w:rPr>
                <w:rtl/>
                <w:lang w:val="en-GB" w:bidi="ar-EG"/>
              </w:rPr>
            </w:pPr>
            <w:r w:rsidRPr="00085E12">
              <w:rPr>
                <w:rtl/>
                <w:lang w:val="en-GB" w:bidi="ar-EG"/>
              </w:rPr>
              <w:t>القرار 40 (المراجَع في كيغالي، 2022) للمؤتمر العالمي لتنمية الاتصالات، بشأن الفريق المعني بمبادرات بناء القدرات.</w:t>
            </w:r>
          </w:p>
          <w:p w14:paraId="6526ACF6" w14:textId="4B20B205" w:rsidR="00783A69" w:rsidRPr="00085E12" w:rsidRDefault="00085E12" w:rsidP="00085E12">
            <w:pPr>
              <w:spacing w:after="120"/>
              <w:rPr>
                <w:rtl/>
              </w:rPr>
            </w:pPr>
            <w:r w:rsidRPr="00085E12">
              <w:rPr>
                <w:rtl/>
                <w:lang w:val="en-GB" w:bidi="ar-EG"/>
              </w:rPr>
              <w:t>القرار 73 (المراجَع في كيغالي، 2022) للمؤتمر العالمي لتنمية الاتصالات، بشأن مراكز التدريب التابعة لأكاديمية الاتحاد الدولي</w:t>
            </w:r>
            <w:r>
              <w:rPr>
                <w:rFonts w:hint="eastAsia"/>
                <w:rtl/>
                <w:lang w:val="en-GB" w:bidi="ar-EG"/>
              </w:rPr>
              <w:t> </w:t>
            </w:r>
            <w:r w:rsidRPr="00085E12">
              <w:rPr>
                <w:rtl/>
                <w:lang w:val="en-GB" w:bidi="ar-EG"/>
              </w:rPr>
              <w:t>للاتصالات.</w:t>
            </w:r>
          </w:p>
        </w:tc>
      </w:tr>
    </w:tbl>
    <w:p w14:paraId="2F55C87D" w14:textId="77777777" w:rsidR="00882A17" w:rsidRDefault="00882A17" w:rsidP="00FB2443">
      <w:pPr>
        <w:rPr>
          <w:lang w:bidi="ar-EG"/>
        </w:rPr>
      </w:pPr>
      <w:r>
        <w:rPr>
          <w:rtl/>
          <w:lang w:bidi="ar-EG"/>
        </w:rPr>
        <w:br w:type="page"/>
      </w:r>
    </w:p>
    <w:p w14:paraId="40782E8E" w14:textId="106E5599" w:rsidR="00574CBE" w:rsidRPr="0065716E" w:rsidRDefault="00D42E50" w:rsidP="00574CBE">
      <w:pPr>
        <w:rPr>
          <w:rtl/>
          <w:lang w:bidi="ar-EG"/>
        </w:rPr>
      </w:pPr>
      <w:r>
        <w:rPr>
          <w:rFonts w:hint="cs"/>
          <w:rtl/>
          <w:lang w:bidi="ar-EG"/>
        </w:rPr>
        <w:lastRenderedPageBreak/>
        <w:t>أُ</w:t>
      </w:r>
      <w:r w:rsidR="00574CBE" w:rsidRPr="0065716E">
        <w:rPr>
          <w:rtl/>
          <w:lang w:bidi="ar-EG"/>
        </w:rPr>
        <w:t xml:space="preserve">نشئ الفريق </w:t>
      </w:r>
      <w:r w:rsidR="00574CBE" w:rsidRPr="0065716E">
        <w:rPr>
          <w:rtl/>
          <w:lang w:val="en-GB" w:bidi="ar-EG"/>
        </w:rPr>
        <w:t>المعني بمبادرات بناء القدرات (</w:t>
      </w:r>
      <w:r w:rsidR="00574CBE" w:rsidRPr="0065716E">
        <w:rPr>
          <w:lang w:val="en-GB" w:bidi="ar-EG"/>
        </w:rPr>
        <w:t>GCBI</w:t>
      </w:r>
      <w:r w:rsidR="00574CBE" w:rsidRPr="0065716E">
        <w:rPr>
          <w:rtl/>
          <w:lang w:val="en-GB" w:bidi="ar-EG"/>
        </w:rPr>
        <w:t>)</w:t>
      </w:r>
      <w:r w:rsidR="00574CBE">
        <w:rPr>
          <w:rFonts w:hint="cs"/>
          <w:rtl/>
          <w:lang w:val="en-GB" w:bidi="ar-EG"/>
        </w:rPr>
        <w:t xml:space="preserve"> </w:t>
      </w:r>
      <w:r w:rsidR="00574CBE" w:rsidRPr="0065716E">
        <w:rPr>
          <w:rtl/>
          <w:lang w:bidi="ar-EG"/>
        </w:rPr>
        <w:t>بموجب القرار 40 الذي اعتمده المؤتمر العالمي لتنمية الاتصالات لعام</w:t>
      </w:r>
      <w:r>
        <w:rPr>
          <w:rFonts w:hint="cs"/>
          <w:rtl/>
          <w:lang w:bidi="ar-EG"/>
        </w:rPr>
        <w:t> </w:t>
      </w:r>
      <w:r w:rsidR="00574CBE" w:rsidRPr="0065716E">
        <w:rPr>
          <w:lang w:bidi="ar-EG"/>
        </w:rPr>
        <w:t>(WTDC-10) 2010</w:t>
      </w:r>
      <w:r w:rsidR="00574CBE" w:rsidRPr="0065716E">
        <w:rPr>
          <w:rtl/>
          <w:lang w:bidi="ar-EG"/>
        </w:rPr>
        <w:t xml:space="preserve">، وراجعه المؤتمر العالمي لتنمية الاتصالات لعام </w:t>
      </w:r>
      <w:r w:rsidR="00574CBE" w:rsidRPr="0065716E">
        <w:rPr>
          <w:lang w:bidi="ar-EG"/>
        </w:rPr>
        <w:t>(WTDC-22) 2022</w:t>
      </w:r>
      <w:r w:rsidR="00574CBE" w:rsidRPr="0065716E">
        <w:rPr>
          <w:rtl/>
          <w:lang w:bidi="ar-EG"/>
        </w:rPr>
        <w:t>، بغرض إسداء المشورة إلى</w:t>
      </w:r>
      <w:r w:rsidR="00135D5A">
        <w:rPr>
          <w:rFonts w:hint="cs"/>
          <w:rtl/>
          <w:lang w:bidi="ar-EG"/>
        </w:rPr>
        <w:t> </w:t>
      </w:r>
      <w:r w:rsidR="00574CBE" w:rsidRPr="0065716E">
        <w:rPr>
          <w:rtl/>
          <w:lang w:bidi="ar-EG"/>
        </w:rPr>
        <w:t>مدير مكتب تنمية الاتصالات (</w:t>
      </w:r>
      <w:r w:rsidR="00574CBE" w:rsidRPr="0065716E">
        <w:rPr>
          <w:lang w:bidi="ar-EG"/>
        </w:rPr>
        <w:t>BDT</w:t>
      </w:r>
      <w:r w:rsidR="00574CBE" w:rsidRPr="0065716E">
        <w:rPr>
          <w:rtl/>
          <w:lang w:bidi="ar-EG"/>
        </w:rPr>
        <w:t>) بشأن المسائل المتعلقة ببناء القدرات.</w:t>
      </w:r>
    </w:p>
    <w:p w14:paraId="5D9EE30A" w14:textId="5E1772C3" w:rsidR="00574CBE" w:rsidRPr="00574CBE" w:rsidRDefault="00574CBE" w:rsidP="00574CBE">
      <w:pPr>
        <w:pStyle w:val="Headingb"/>
        <w:rPr>
          <w:rtl/>
        </w:rPr>
      </w:pPr>
      <w:r w:rsidRPr="00574CBE">
        <w:rPr>
          <w:rtl/>
        </w:rPr>
        <w:t>تقرير عن عمل الفريق المعني بمبادرات بناء القدرات منذ الاجتماع الأخير</w:t>
      </w:r>
    </w:p>
    <w:p w14:paraId="3378CE3A" w14:textId="6B35293B" w:rsidR="00574CBE" w:rsidRPr="0065716E" w:rsidRDefault="00574CBE" w:rsidP="00574CBE">
      <w:pPr>
        <w:rPr>
          <w:rtl/>
          <w:lang w:bidi="ar-EG"/>
        </w:rPr>
      </w:pPr>
      <w:r w:rsidRPr="0065716E">
        <w:rPr>
          <w:rtl/>
          <w:lang w:bidi="ar-EG"/>
        </w:rPr>
        <w:t>منذ الاجتماع الأخير للفريق المعني بمبادرات بناء القدرات الذي ع</w:t>
      </w:r>
      <w:r w:rsidR="00A6496F">
        <w:rPr>
          <w:rFonts w:hint="cs"/>
          <w:rtl/>
          <w:lang w:bidi="ar-EG"/>
        </w:rPr>
        <w:t>ُ</w:t>
      </w:r>
      <w:r w:rsidRPr="0065716E">
        <w:rPr>
          <w:rtl/>
          <w:lang w:bidi="ar-EG"/>
        </w:rPr>
        <w:t>قد في أبريل 2024، ركز الفريق على الأنشطة التالية:</w:t>
      </w:r>
    </w:p>
    <w:p w14:paraId="3C8C4782" w14:textId="77777777" w:rsidR="00574CBE" w:rsidRPr="00574CBE" w:rsidRDefault="00574CBE" w:rsidP="00574CBE">
      <w:pPr>
        <w:pStyle w:val="enumlev1"/>
        <w:rPr>
          <w:rtl/>
        </w:rPr>
      </w:pPr>
      <w:r w:rsidRPr="00574CBE">
        <w:t>1</w:t>
      </w:r>
      <w:r w:rsidRPr="00574CBE">
        <w:rPr>
          <w:rtl/>
        </w:rPr>
        <w:tab/>
        <w:t>تقديم مدخلات لمراجعة مجموعة أدوات المهارات الرقمية للاتحاد.</w:t>
      </w:r>
    </w:p>
    <w:p w14:paraId="6CA02828" w14:textId="77777777" w:rsidR="00574CBE" w:rsidRPr="00574CBE" w:rsidRDefault="00574CBE" w:rsidP="00574CBE">
      <w:pPr>
        <w:pStyle w:val="enumlev1"/>
        <w:rPr>
          <w:rtl/>
        </w:rPr>
      </w:pPr>
      <w:r w:rsidRPr="00574CBE">
        <w:rPr>
          <w:rtl/>
        </w:rPr>
        <w:t>2</w:t>
      </w:r>
      <w:r w:rsidRPr="00574CBE">
        <w:rPr>
          <w:rtl/>
        </w:rPr>
        <w:tab/>
        <w:t>استعراض استبيان الاتحاد الدولي للاتصالات/مكتب تنمية الاتصالات بشأن تقييم الاحتياجات التدريبية</w:t>
      </w:r>
      <w:r w:rsidRPr="00574CBE">
        <w:rPr>
          <w:rFonts w:hint="cs"/>
          <w:rtl/>
        </w:rPr>
        <w:t>.</w:t>
      </w:r>
    </w:p>
    <w:p w14:paraId="57316FE1" w14:textId="77777777" w:rsidR="00574CBE" w:rsidRPr="00574CBE" w:rsidRDefault="00574CBE" w:rsidP="00574CBE">
      <w:pPr>
        <w:pStyle w:val="enumlev1"/>
        <w:rPr>
          <w:rtl/>
        </w:rPr>
      </w:pPr>
      <w:r w:rsidRPr="00574CBE">
        <w:t>3</w:t>
      </w:r>
      <w:r w:rsidRPr="00574CBE">
        <w:rPr>
          <w:rtl/>
        </w:rPr>
        <w:tab/>
        <w:t>إجراء بحوث مكتبية بشأن الاستراتيجيات الوطنية للمهارات الرقمية.</w:t>
      </w:r>
    </w:p>
    <w:p w14:paraId="1E9DF391" w14:textId="77777777" w:rsidR="00574CBE" w:rsidRPr="00145752" w:rsidRDefault="00574CBE" w:rsidP="00145752">
      <w:pPr>
        <w:pStyle w:val="HeadingI"/>
        <w:rPr>
          <w:rtl/>
          <w:lang w:bidi="ar-EG"/>
        </w:rPr>
      </w:pPr>
      <w:r w:rsidRPr="0065716E">
        <w:rPr>
          <w:rtl/>
          <w:lang w:bidi="ar-EG"/>
        </w:rPr>
        <w:t>تقديم مدخلات لمراجعة مجموعة أدوات المهارات الرقمية للاتحاد</w:t>
      </w:r>
    </w:p>
    <w:p w14:paraId="2C95B993" w14:textId="717BA182" w:rsidR="00574CBE" w:rsidRPr="0065716E" w:rsidRDefault="00574CBE" w:rsidP="00574CBE">
      <w:pPr>
        <w:rPr>
          <w:rtl/>
          <w:lang w:bidi="ar-EG"/>
        </w:rPr>
      </w:pPr>
      <w:r w:rsidRPr="0065716E">
        <w:rPr>
          <w:rtl/>
          <w:lang w:bidi="ar-EG"/>
        </w:rPr>
        <w:t xml:space="preserve">تمت مراجعة مجموعة </w:t>
      </w:r>
      <w:hyperlink r:id="rId10" w:anchor="/ar" w:history="1">
        <w:r w:rsidRPr="0074196F">
          <w:rPr>
            <w:rStyle w:val="Hyperlink"/>
            <w:rtl/>
            <w:lang w:bidi="ar-EG"/>
          </w:rPr>
          <w:t>أدوات المهارات الرقمية للاتحاد</w:t>
        </w:r>
      </w:hyperlink>
      <w:r w:rsidRPr="0065716E">
        <w:rPr>
          <w:rtl/>
          <w:lang w:bidi="ar-EG"/>
        </w:rPr>
        <w:t xml:space="preserve"> في 2024. وتمت استشارة أعضاء الفريق المعني بمبادرات بناء القدرات أثناء عملية الاستعراض وقدموا مدخلات قيمة بشأن هيكل ومحتوى مجموعة الأدوات. وأُطلقت مجموعة </w:t>
      </w:r>
      <w:hyperlink r:id="rId11" w:history="1">
        <w:r w:rsidRPr="0074196F">
          <w:rPr>
            <w:rStyle w:val="Hyperlink"/>
            <w:rtl/>
            <w:lang w:bidi="ar-EG"/>
          </w:rPr>
          <w:t>أدوات المهارات الرقمية المنقحة</w:t>
        </w:r>
      </w:hyperlink>
      <w:r w:rsidRPr="0065716E">
        <w:rPr>
          <w:rtl/>
          <w:lang w:bidi="ar-EG"/>
        </w:rPr>
        <w:t xml:space="preserve"> في سبتمبر 2024 خلال منتدى المهارات الرقمية للاتحاد. وت</w:t>
      </w:r>
      <w:r w:rsidR="00A6496F">
        <w:rPr>
          <w:rFonts w:hint="cs"/>
          <w:rtl/>
          <w:lang w:bidi="ar-EG"/>
        </w:rPr>
        <w:t>ُ</w:t>
      </w:r>
      <w:r w:rsidRPr="0065716E">
        <w:rPr>
          <w:rtl/>
          <w:lang w:bidi="ar-EG"/>
        </w:rPr>
        <w:t>زود مجموعة الأدوات هذه صانعي السياسات وغيرهم من أصحاب المصلحة بمعلومات عملية وأمثلة وإرشادات خطوة بخطوة لتطوير استراتيجية وطنية للمهارات الرقمية.</w:t>
      </w:r>
    </w:p>
    <w:p w14:paraId="06FD0337" w14:textId="1DBBAD49" w:rsidR="00574CBE" w:rsidRPr="00145752" w:rsidRDefault="00574CBE" w:rsidP="00145752">
      <w:pPr>
        <w:pStyle w:val="HeadingI"/>
        <w:rPr>
          <w:rtl/>
          <w:lang w:bidi="ar-EG"/>
        </w:rPr>
      </w:pPr>
      <w:r w:rsidRPr="0074196F">
        <w:rPr>
          <w:rtl/>
          <w:lang w:bidi="ar-EG"/>
        </w:rPr>
        <w:t>استعراض استبيان الاتحاد الدولي للاتصالات/مكتب تنمية الاتصالات بشأن تقييم الاحتياجات التدريبية</w:t>
      </w:r>
    </w:p>
    <w:p w14:paraId="3370FB0C" w14:textId="77777777" w:rsidR="00574CBE" w:rsidRPr="0065716E" w:rsidRDefault="00574CBE" w:rsidP="00574CBE">
      <w:pPr>
        <w:rPr>
          <w:rtl/>
          <w:lang w:bidi="ar-EG"/>
        </w:rPr>
      </w:pPr>
      <w:r w:rsidRPr="0065716E">
        <w:rPr>
          <w:rtl/>
          <w:lang w:bidi="ar-EG"/>
        </w:rPr>
        <w:t>يستعمل مكتب تنمية الاتصالات "استبيان تقييم الاحتياجات التدريبية (</w:t>
      </w:r>
      <w:r w:rsidRPr="0065716E">
        <w:rPr>
          <w:lang w:bidi="ar-EG"/>
        </w:rPr>
        <w:t>TNA</w:t>
      </w:r>
      <w:r w:rsidRPr="0065716E">
        <w:rPr>
          <w:rtl/>
          <w:lang w:bidi="ar-EG"/>
        </w:rPr>
        <w:t>)" لجمع التعليقات بانتظام من الدول الأعضاء بشأن الاحتياجات ذات الأولوية لتنمية القدرات. واستعداداً لاستبيان تقييم الاحتياجات التدريبية لعام 2025، وافق أعضاء الفريق</w:t>
      </w:r>
      <w:r>
        <w:rPr>
          <w:rFonts w:hint="cs"/>
          <w:rtl/>
          <w:lang w:bidi="ar-EG"/>
        </w:rPr>
        <w:t> </w:t>
      </w:r>
      <w:r w:rsidRPr="0065716E">
        <w:rPr>
          <w:lang w:bidi="ar-EG"/>
        </w:rPr>
        <w:t>GCBI</w:t>
      </w:r>
      <w:r w:rsidRPr="0065716E">
        <w:rPr>
          <w:rtl/>
          <w:lang w:bidi="ar-EG"/>
        </w:rPr>
        <w:t xml:space="preserve"> على تقديم رؤى قيمة لتعزيز جودة الاستبيان وكفاءته. ‏وشملت مجالات التعليقات المحددة ما يلي:</w:t>
      </w:r>
      <w:r w:rsidRPr="0065716E">
        <w:rPr>
          <w:cs/>
          <w:lang w:bidi="ar-EG"/>
        </w:rPr>
        <w:t>‎</w:t>
      </w:r>
    </w:p>
    <w:p w14:paraId="105BB954" w14:textId="7F7D9A03" w:rsidR="00574CBE" w:rsidRPr="0065716E" w:rsidRDefault="00D92CE4" w:rsidP="00C85CCC">
      <w:pPr>
        <w:pStyle w:val="enumlev1"/>
        <w:rPr>
          <w:rtl/>
        </w:rPr>
      </w:pPr>
      <w:r>
        <w:rPr>
          <w:rFonts w:hint="cs"/>
          <w:rtl/>
        </w:rPr>
        <w:t>-</w:t>
      </w:r>
      <w:r>
        <w:rPr>
          <w:rtl/>
        </w:rPr>
        <w:tab/>
      </w:r>
      <w:r w:rsidR="00574CBE" w:rsidRPr="0065716E">
        <w:rPr>
          <w:rtl/>
        </w:rPr>
        <w:t>تقييم الأسئلة: التأكد من صياغتها بشكل جيد، وتحديد أي تكرار أو غموض.</w:t>
      </w:r>
    </w:p>
    <w:p w14:paraId="29E1874F" w14:textId="4C212BB9" w:rsidR="00574CBE" w:rsidRPr="00574CBE" w:rsidRDefault="00574CBE" w:rsidP="00574CBE">
      <w:pPr>
        <w:pStyle w:val="enumlev1"/>
        <w:rPr>
          <w:rtl/>
        </w:rPr>
      </w:pPr>
      <w:r w:rsidRPr="00574CBE">
        <w:rPr>
          <w:rFonts w:hint="cs"/>
          <w:rtl/>
        </w:rPr>
        <w:t>-</w:t>
      </w:r>
      <w:r w:rsidRPr="00574CBE">
        <w:rPr>
          <w:rtl/>
        </w:rPr>
        <w:tab/>
        <w:t>اقتراحات لأسئلة إضافية ذات صلة.</w:t>
      </w:r>
    </w:p>
    <w:p w14:paraId="4C10B997" w14:textId="77777777" w:rsidR="00574CBE" w:rsidRPr="00574CBE" w:rsidRDefault="00574CBE" w:rsidP="00574CBE">
      <w:pPr>
        <w:pStyle w:val="enumlev1"/>
        <w:rPr>
          <w:rtl/>
        </w:rPr>
      </w:pPr>
      <w:r w:rsidRPr="00574CBE">
        <w:rPr>
          <w:rFonts w:hint="cs"/>
          <w:rtl/>
        </w:rPr>
        <w:t>-</w:t>
      </w:r>
      <w:r w:rsidRPr="00574CBE">
        <w:rPr>
          <w:rtl/>
        </w:rPr>
        <w:tab/>
        <w:t>تحديد مواضيع الدورات المحتملة التي قد تكون غير مدرجة، مع التركيز على الأهمية الإقليمية.</w:t>
      </w:r>
    </w:p>
    <w:p w14:paraId="38ACB22B" w14:textId="77777777" w:rsidR="00574CBE" w:rsidRPr="00574CBE" w:rsidRDefault="00574CBE" w:rsidP="00574CBE">
      <w:pPr>
        <w:pStyle w:val="enumlev1"/>
        <w:rPr>
          <w:rtl/>
        </w:rPr>
      </w:pPr>
      <w:r w:rsidRPr="00574CBE">
        <w:rPr>
          <w:rFonts w:hint="cs"/>
          <w:rtl/>
        </w:rPr>
        <w:t>-</w:t>
      </w:r>
      <w:r w:rsidRPr="00574CBE">
        <w:rPr>
          <w:rtl/>
        </w:rPr>
        <w:tab/>
        <w:t>توصيات أوسع لتحسين العملية الشاملة والكفاءة.</w:t>
      </w:r>
    </w:p>
    <w:p w14:paraId="543BED11" w14:textId="77777777" w:rsidR="00574CBE" w:rsidRPr="00127791" w:rsidRDefault="00574CBE" w:rsidP="00574CBE">
      <w:pPr>
        <w:rPr>
          <w:spacing w:val="-4"/>
          <w:rtl/>
          <w:lang w:bidi="ar-EG"/>
        </w:rPr>
      </w:pPr>
      <w:r w:rsidRPr="00127791">
        <w:rPr>
          <w:spacing w:val="-4"/>
          <w:rtl/>
          <w:lang w:bidi="ar-EG"/>
        </w:rPr>
        <w:t xml:space="preserve">وقدم أعضاء الفريق المعني بمبادرات بناء القدرات الاستعراضات والاقتراحات إلى الرئيس الذي قام بإعداد قائمة موحدة ومدمجة عالمياً للمدخلات. </w:t>
      </w:r>
      <w:r>
        <w:rPr>
          <w:rFonts w:hint="cs"/>
          <w:spacing w:val="-4"/>
          <w:rtl/>
          <w:lang w:bidi="ar-EG"/>
        </w:rPr>
        <w:t>ونوقشت</w:t>
      </w:r>
      <w:r w:rsidRPr="00127791">
        <w:rPr>
          <w:spacing w:val="-4"/>
          <w:rtl/>
          <w:lang w:bidi="ar-EG"/>
        </w:rPr>
        <w:t xml:space="preserve"> هذه المدخلات في اجتماع الفريق المعني بمبادرات بناء القدرات المقرر عقده يوم</w:t>
      </w:r>
      <w:r>
        <w:rPr>
          <w:rFonts w:hint="cs"/>
          <w:spacing w:val="-4"/>
          <w:rtl/>
          <w:lang w:bidi="ar-EG"/>
        </w:rPr>
        <w:t>َ</w:t>
      </w:r>
      <w:r w:rsidRPr="00127791">
        <w:rPr>
          <w:spacing w:val="-4"/>
          <w:rtl/>
          <w:lang w:bidi="ar-EG"/>
        </w:rPr>
        <w:t xml:space="preserve">ي </w:t>
      </w:r>
      <w:r>
        <w:rPr>
          <w:rFonts w:hint="cs"/>
          <w:spacing w:val="-4"/>
          <w:rtl/>
          <w:lang w:bidi="ar-EG"/>
        </w:rPr>
        <w:t>15</w:t>
      </w:r>
      <w:r w:rsidRPr="00127791">
        <w:rPr>
          <w:spacing w:val="-4"/>
          <w:rtl/>
          <w:lang w:bidi="ar-EG"/>
        </w:rPr>
        <w:t xml:space="preserve"> و1</w:t>
      </w:r>
      <w:r>
        <w:rPr>
          <w:rFonts w:hint="cs"/>
          <w:spacing w:val="-4"/>
          <w:rtl/>
          <w:lang w:bidi="ar-EG"/>
        </w:rPr>
        <w:t>6</w:t>
      </w:r>
      <w:r w:rsidRPr="00127791">
        <w:rPr>
          <w:spacing w:val="-4"/>
          <w:rtl/>
          <w:lang w:bidi="ar-EG"/>
        </w:rPr>
        <w:t xml:space="preserve"> أبريل 2025.</w:t>
      </w:r>
    </w:p>
    <w:p w14:paraId="1A029007" w14:textId="77777777" w:rsidR="00574CBE" w:rsidRPr="0047288D" w:rsidRDefault="00574CBE" w:rsidP="00145752">
      <w:pPr>
        <w:pStyle w:val="HeadingI"/>
        <w:rPr>
          <w:rtl/>
          <w:lang w:bidi="ar-EG"/>
        </w:rPr>
      </w:pPr>
      <w:r w:rsidRPr="0047288D">
        <w:rPr>
          <w:rtl/>
          <w:lang w:bidi="ar-EG"/>
        </w:rPr>
        <w:t>البحث في استراتيجيات المهارات الرقمية</w:t>
      </w:r>
    </w:p>
    <w:p w14:paraId="6F5C10C4" w14:textId="77777777" w:rsidR="00574CBE" w:rsidRPr="0065716E" w:rsidRDefault="00574CBE" w:rsidP="00574CBE">
      <w:pPr>
        <w:rPr>
          <w:rtl/>
          <w:lang w:bidi="ar-EG"/>
        </w:rPr>
      </w:pPr>
      <w:r w:rsidRPr="0065716E">
        <w:rPr>
          <w:rtl/>
          <w:lang w:bidi="ar-EG"/>
        </w:rPr>
        <w:t xml:space="preserve">كان الهدف من هذا البحث المكتبي إعداد نظرة شاملة عن حالة اعتماد استراتيجيات تنمية المهارات الرقمية وتنفيذها في مختلف مناطق الاتحاد، لدعم عمل مكتب تنمية الاتصالات في هذا المجال. ولتحقيق ذلك، بادر كل عضو من أعضاء الفريق </w:t>
      </w:r>
      <w:r w:rsidRPr="0065716E">
        <w:rPr>
          <w:lang w:bidi="ar-EG"/>
        </w:rPr>
        <w:t>GCBI</w:t>
      </w:r>
      <w:r w:rsidRPr="0065716E">
        <w:rPr>
          <w:rtl/>
          <w:lang w:bidi="ar-EG"/>
        </w:rPr>
        <w:t>، بالتنسيق مع الممثل الآخر من منطقته، إلى تجميع ما يلي:</w:t>
      </w:r>
    </w:p>
    <w:p w14:paraId="39FC2032" w14:textId="65605294" w:rsidR="00574CBE" w:rsidRPr="00574CBE" w:rsidRDefault="00574CBE" w:rsidP="00574CBE">
      <w:pPr>
        <w:pStyle w:val="enumlev1"/>
        <w:rPr>
          <w:rtl/>
        </w:rPr>
      </w:pPr>
      <w:r w:rsidRPr="00574CBE">
        <w:rPr>
          <w:rtl/>
        </w:rPr>
        <w:t>1</w:t>
      </w:r>
      <w:r w:rsidRPr="00574CBE">
        <w:rPr>
          <w:rtl/>
        </w:rPr>
        <w:tab/>
        <w:t>‏قائمة بالبلدان في المنطقة التي اعتمدت وأعلنت استراتيجيات أو خرائط طريق وطنية لتنمية المهارات الرقمية، بما</w:t>
      </w:r>
      <w:r w:rsidR="00F5624C">
        <w:rPr>
          <w:rFonts w:hint="cs"/>
          <w:rtl/>
        </w:rPr>
        <w:t> </w:t>
      </w:r>
      <w:r w:rsidRPr="00574CBE">
        <w:rPr>
          <w:rtl/>
        </w:rPr>
        <w:t>في</w:t>
      </w:r>
      <w:r w:rsidR="00F5624C">
        <w:rPr>
          <w:rFonts w:hint="cs"/>
          <w:rtl/>
        </w:rPr>
        <w:t> </w:t>
      </w:r>
      <w:r w:rsidRPr="00574CBE">
        <w:rPr>
          <w:rtl/>
        </w:rPr>
        <w:t>ذلك الركائز والأهداف الرئيسية</w:t>
      </w:r>
      <w:r w:rsidRPr="00574CBE">
        <w:rPr>
          <w:cs/>
        </w:rPr>
        <w:t>‎</w:t>
      </w:r>
      <w:r w:rsidR="00325BF4">
        <w:rPr>
          <w:rFonts w:hint="cs"/>
          <w:rtl/>
        </w:rPr>
        <w:t>.</w:t>
      </w:r>
    </w:p>
    <w:p w14:paraId="186BF4B5" w14:textId="77777777" w:rsidR="00574CBE" w:rsidRPr="00574CBE" w:rsidRDefault="00574CBE" w:rsidP="00574CBE">
      <w:pPr>
        <w:pStyle w:val="enumlev1"/>
        <w:rPr>
          <w:rtl/>
        </w:rPr>
      </w:pPr>
      <w:r w:rsidRPr="00574CBE">
        <w:rPr>
          <w:rtl/>
        </w:rPr>
        <w:t>2</w:t>
      </w:r>
      <w:r w:rsidRPr="00574CBE">
        <w:rPr>
          <w:rtl/>
        </w:rPr>
        <w:tab/>
        <w:t xml:space="preserve">قائمة بأصحاب المصلحة الوطنيين والعالميين المشاركين في وضع هذه الاستراتيجيات وتنفيذها. وأعد الرئيس جدولاً مجمعاً بشأن هذا البحث </w:t>
      </w:r>
      <w:r w:rsidRPr="00574CBE">
        <w:rPr>
          <w:rFonts w:hint="cs"/>
          <w:rtl/>
        </w:rPr>
        <w:t>واستُعرض</w:t>
      </w:r>
      <w:r w:rsidRPr="00574CBE">
        <w:rPr>
          <w:rtl/>
        </w:rPr>
        <w:t xml:space="preserve"> بمزيد من التفصيل في الاجتماع </w:t>
      </w:r>
      <w:r w:rsidRPr="00574CBE">
        <w:rPr>
          <w:rFonts w:hint="cs"/>
          <w:rtl/>
        </w:rPr>
        <w:t>الأخير</w:t>
      </w:r>
      <w:r w:rsidRPr="00574CBE">
        <w:rPr>
          <w:rtl/>
        </w:rPr>
        <w:t xml:space="preserve"> للفريق.</w:t>
      </w:r>
    </w:p>
    <w:p w14:paraId="009795BB" w14:textId="0672EBDD" w:rsidR="00574CBE" w:rsidRPr="0065716E" w:rsidRDefault="00574CBE" w:rsidP="00574CBE">
      <w:pPr>
        <w:pStyle w:val="Headingb"/>
        <w:rPr>
          <w:rtl/>
          <w:lang w:bidi="ar-EG"/>
        </w:rPr>
      </w:pPr>
      <w:r w:rsidRPr="0065716E">
        <w:rPr>
          <w:rtl/>
          <w:lang w:bidi="ar-EG"/>
        </w:rPr>
        <w:t>تقرير عن اجتماع الفريق المعني بمبادرات بناء القدرات (</w:t>
      </w:r>
      <w:r w:rsidRPr="0065716E">
        <w:rPr>
          <w:lang w:bidi="ar-EG"/>
        </w:rPr>
        <w:t>GCBI</w:t>
      </w:r>
      <w:r w:rsidRPr="0065716E">
        <w:rPr>
          <w:rtl/>
          <w:lang w:bidi="ar-EG"/>
        </w:rPr>
        <w:t xml:space="preserve">) المنعقد </w:t>
      </w:r>
      <w:r>
        <w:rPr>
          <w:rFonts w:hint="cs"/>
          <w:rtl/>
          <w:lang w:bidi="ar-EG"/>
        </w:rPr>
        <w:t>يوم</w:t>
      </w:r>
      <w:r w:rsidR="00D92CE4">
        <w:rPr>
          <w:rFonts w:hint="cs"/>
          <w:rtl/>
          <w:lang w:bidi="ar-EG"/>
        </w:rPr>
        <w:t>َ</w:t>
      </w:r>
      <w:r>
        <w:rPr>
          <w:rFonts w:hint="cs"/>
          <w:rtl/>
          <w:lang w:bidi="ar-EG"/>
        </w:rPr>
        <w:t xml:space="preserve">ي 15 و16 </w:t>
      </w:r>
      <w:r w:rsidRPr="0065716E">
        <w:rPr>
          <w:rtl/>
          <w:lang w:bidi="ar-EG"/>
        </w:rPr>
        <w:t>أبريل 2025</w:t>
      </w:r>
    </w:p>
    <w:p w14:paraId="5257CF78" w14:textId="589372DC" w:rsidR="00574CBE" w:rsidRPr="00A01A64" w:rsidRDefault="00574CBE" w:rsidP="00574CBE">
      <w:pPr>
        <w:textDirection w:val="tbRlV"/>
        <w:rPr>
          <w:lang w:val="ar-SA" w:eastAsia="zh-TW" w:bidi="en-GB"/>
        </w:rPr>
      </w:pPr>
      <w:r w:rsidRPr="00A01A64">
        <w:rPr>
          <w:rtl/>
        </w:rPr>
        <w:t>عُقد اجتماع الفريق المعني بمبادرات بناء القدرات يوم</w:t>
      </w:r>
      <w:r w:rsidR="00D92CE4">
        <w:rPr>
          <w:rFonts w:hint="cs"/>
          <w:rtl/>
        </w:rPr>
        <w:t>َ</w:t>
      </w:r>
      <w:r w:rsidRPr="00A01A64">
        <w:rPr>
          <w:rtl/>
        </w:rPr>
        <w:t xml:space="preserve">ي 15 و16 أبريل 2025 في جنيف، سويسرا. وناقش الفريق عمل الفريق المعني بمبادرات بناء القدرات منذ اجتماعه الأخير، مع التركيز بشكل خاص على مجالين رئيسيين: البحوث التي أجريت بشأن الاستراتيجيات الوطنية للمهارات الرقمية، والمدخلات المقدمة إلى استبيان الاتحاد/مكتب تنمية الاتصالات بشأن تقييم الاحتياجات التدريبية </w:t>
      </w:r>
      <w:r w:rsidRPr="00A01A64">
        <w:t>(‎TNA)</w:t>
      </w:r>
      <w:r w:rsidRPr="00A01A64">
        <w:rPr>
          <w:rtl/>
        </w:rPr>
        <w:t>. وأحيط الفريق علماً أيضاً بأعمال الاتحاد الأخيرة في مجال تنمية القدرات، بما في ذلك منتدى المهارات الرقمية للاتحاد؛ وأكاديمية الاتحاد؛ ومبادرة مراكز التحول الرقمي</w:t>
      </w:r>
      <w:r>
        <w:rPr>
          <w:rFonts w:hint="cs"/>
          <w:rtl/>
        </w:rPr>
        <w:t xml:space="preserve">؛ </w:t>
      </w:r>
      <w:r w:rsidRPr="00A01A64">
        <w:rPr>
          <w:rtl/>
        </w:rPr>
        <w:t>والعمل على تنسيق تنمية القدرات على نطاق الاتحاد ودليل تنمية القدرات الذي نُشر مؤخراً؛ والتدريب على المخلفات الإلكترونية وتغير المناخ، وكذلك على رسم خرائط النطاق العريض من أجل توصيلية المدارس؛ وائتلاف مهارات الذكاء الاصطناعي الذي أُطلق مؤخراً. وناقش الفريق أيضاً مقترحاً بإعداد دورة تدريبية إلكترونية لمندوبي الاتحاد، تركز بشكل خاص على هيكل قطاع تنمية الاتصالات وسير عمله.</w:t>
      </w:r>
    </w:p>
    <w:p w14:paraId="0DBF12B4" w14:textId="77777777" w:rsidR="00574CBE" w:rsidRPr="00A01A64" w:rsidRDefault="00574CBE" w:rsidP="00574CBE">
      <w:pPr>
        <w:textDirection w:val="tbRlV"/>
        <w:rPr>
          <w:lang w:val="ar-SA" w:eastAsia="zh-TW" w:bidi="en-GB"/>
        </w:rPr>
      </w:pPr>
      <w:r w:rsidRPr="00A01A64">
        <w:rPr>
          <w:rtl/>
        </w:rPr>
        <w:lastRenderedPageBreak/>
        <w:t xml:space="preserve">وشجع الفريق في مناقشاته مكتب تنمية الاتصالات على مواصلة التعاون الوثيق بين مختلف الدوائر وعبر الاتحاد، لمواءمة تدخلات تنمية القدرات والاستفادة من نقاط القوة في الخبرات </w:t>
      </w:r>
      <w:proofErr w:type="spellStart"/>
      <w:r w:rsidRPr="00A01A64">
        <w:rPr>
          <w:rtl/>
        </w:rPr>
        <w:t>المواضيعية</w:t>
      </w:r>
      <w:proofErr w:type="spellEnd"/>
      <w:r w:rsidRPr="00A01A64">
        <w:rPr>
          <w:rtl/>
        </w:rPr>
        <w:t xml:space="preserve"> لبناء قدرات الدول الأعضاء. وأقر الفريق بالتعاون المثمر بين الاتحاد ومنظمة العمل الدولية في النهوض بتنمية المهارات الرقمية.</w:t>
      </w:r>
    </w:p>
    <w:p w14:paraId="763D35BD" w14:textId="57A825B6" w:rsidR="00574CBE" w:rsidRPr="0048092F" w:rsidRDefault="00574CBE" w:rsidP="00574CBE">
      <w:pPr>
        <w:textDirection w:val="tbRlV"/>
        <w:rPr>
          <w:spacing w:val="-3"/>
          <w:lang w:val="en-GB" w:eastAsia="zh-TW" w:bidi="en-GB"/>
        </w:rPr>
      </w:pPr>
      <w:r w:rsidRPr="0048092F">
        <w:rPr>
          <w:spacing w:val="-3"/>
          <w:rtl/>
        </w:rPr>
        <w:t>وأعرب الفريق عن تقديره للطريقة التي أخذ بها مكتب تنمية الاتصالات/الاتحاد مساهماته من الدورة السابقة في الاعتبار، بما في ذلك البحث التصنيفي بشأن المهارات، والذي اعتُبر مساهمة رئيسية لضمان اتباع نهج موحد لتنمية القدرات على مستوى المنظمة</w:t>
      </w:r>
      <w:r w:rsidR="00A95A9F" w:rsidRPr="0048092F">
        <w:rPr>
          <w:rFonts w:hint="cs"/>
          <w:spacing w:val="-3"/>
          <w:rtl/>
        </w:rPr>
        <w:t>.</w:t>
      </w:r>
    </w:p>
    <w:p w14:paraId="25439643" w14:textId="77777777" w:rsidR="00574CBE" w:rsidRPr="00A01A64" w:rsidRDefault="00574CBE" w:rsidP="00574CBE">
      <w:pPr>
        <w:textDirection w:val="tbRlV"/>
        <w:rPr>
          <w:lang w:val="ar-SA" w:eastAsia="zh-TW" w:bidi="en-GB"/>
        </w:rPr>
      </w:pPr>
      <w:r w:rsidRPr="00A01A64">
        <w:rPr>
          <w:rtl/>
        </w:rPr>
        <w:t>في نهاية الاجتماع اعتمد الفريق النتائج والاستنتاجات الرئيسية التالية:</w:t>
      </w:r>
    </w:p>
    <w:p w14:paraId="2CE852E5" w14:textId="03DB0646" w:rsidR="00574CBE" w:rsidRPr="00A01A64" w:rsidRDefault="00574CBE" w:rsidP="00145752">
      <w:pPr>
        <w:pStyle w:val="enumlev1"/>
        <w:rPr>
          <w:lang w:val="ar-SA" w:eastAsia="zh-TW" w:bidi="en-GB"/>
        </w:rPr>
      </w:pPr>
      <w:r>
        <w:rPr>
          <w:rFonts w:hint="cs"/>
          <w:rtl/>
        </w:rPr>
        <w:t>1</w:t>
      </w:r>
      <w:r>
        <w:rPr>
          <w:rtl/>
        </w:rPr>
        <w:tab/>
      </w:r>
      <w:r w:rsidRPr="00A01A64">
        <w:rPr>
          <w:rtl/>
        </w:rPr>
        <w:t>أعرب الفريق عن تقديره للاستعراض العام الذي قدمه موظفو الاتحاد عن عمل تنمية القدرات في الاتحاد، وأكد على</w:t>
      </w:r>
      <w:r w:rsidR="00D56675">
        <w:rPr>
          <w:rFonts w:hint="cs"/>
          <w:rtl/>
        </w:rPr>
        <w:t> </w:t>
      </w:r>
      <w:r w:rsidRPr="00A01A64">
        <w:rPr>
          <w:rtl/>
        </w:rPr>
        <w:t>أهمية الإحاطة بهذه المجالات المختلفة للعمل في الاتحاد لتمكينه من تقديم المشورة. وتم</w:t>
      </w:r>
      <w:r w:rsidR="00A34872">
        <w:rPr>
          <w:rFonts w:hint="cs"/>
          <w:rtl/>
        </w:rPr>
        <w:t>ا</w:t>
      </w:r>
      <w:r w:rsidRPr="00A01A64">
        <w:rPr>
          <w:rtl/>
        </w:rPr>
        <w:t>شياً مع بنود جدول أعمال الاجتماع الأخرى، يبدو أن التداخل بين الذكاء الاصطناعي والمهارات يمثل تحدياً وفرصة لمعظم البلدان. وأعرب الأعضاء عن تقديرهم للمعلومات المتعلقة بعمل تنمية القدرات في مجال الذكاء الاصطناعي وأبرزوا الحاجة إلى أن</w:t>
      </w:r>
      <w:r w:rsidR="00A34872">
        <w:rPr>
          <w:rFonts w:hint="cs"/>
          <w:rtl/>
        </w:rPr>
        <w:t> </w:t>
      </w:r>
      <w:r w:rsidRPr="00A01A64">
        <w:rPr>
          <w:rtl/>
        </w:rPr>
        <w:t>يركز الاتحاد المزيد من الجهود على هذا الموضوع</w:t>
      </w:r>
      <w:r w:rsidR="00A95A9F">
        <w:rPr>
          <w:rFonts w:hint="cs"/>
          <w:rtl/>
        </w:rPr>
        <w:t>.</w:t>
      </w:r>
    </w:p>
    <w:p w14:paraId="67C0EAC3" w14:textId="68BBA08A" w:rsidR="00574CBE" w:rsidRPr="00A01A64" w:rsidRDefault="00574CBE" w:rsidP="00145752">
      <w:pPr>
        <w:pStyle w:val="enumlev1"/>
        <w:rPr>
          <w:lang w:val="ar-SA" w:eastAsia="zh-TW" w:bidi="en-GB"/>
        </w:rPr>
      </w:pPr>
      <w:r>
        <w:rPr>
          <w:rFonts w:hint="cs"/>
          <w:rtl/>
        </w:rPr>
        <w:t>2</w:t>
      </w:r>
      <w:r>
        <w:rPr>
          <w:rtl/>
        </w:rPr>
        <w:tab/>
      </w:r>
      <w:r w:rsidRPr="00A01A64">
        <w:rPr>
          <w:rtl/>
        </w:rPr>
        <w:t>أعرب الفريق عن تقديره للتعاون بين الاتحاد ومنظمة العمل الدولية في مجال المهارات الرقمية، بما في ذلك تنظيم منتدى المهارات الرقمية لعام 2024 في البحرين. وأشار إلى النتائج الرئيسية لمنتدى المهارات الرقمية، مسلطاً الضوء على المهارات الأساسية المطلوبة لنجاح التحول الرقمي، ودور مختلف أصحاب المصلحة في تعزيز هذه المهارات، وظهور الذكاء الاصطناعي، وتأثيره على سوق العمل. ‏وأكد أعضاء الفريق على أهمية مثل هذه المناقشات بالنسبة لعمل الفريق في المستقبل وجهود تنمية القدرات التي يبذلها الاتحاد، وأشاروا إلى ضرورة تقييم هذه التحولات الهيكلية ودور المهارات الرقمية في المستقبل القريب‎</w:t>
      </w:r>
      <w:r w:rsidR="00A95A9F">
        <w:rPr>
          <w:rFonts w:hint="cs"/>
          <w:rtl/>
        </w:rPr>
        <w:t>.</w:t>
      </w:r>
    </w:p>
    <w:p w14:paraId="6EFB374B" w14:textId="7176A770" w:rsidR="00574CBE" w:rsidRPr="00A01A64" w:rsidRDefault="00574CBE" w:rsidP="00145752">
      <w:pPr>
        <w:pStyle w:val="enumlev1"/>
        <w:rPr>
          <w:lang w:val="ar-SA" w:eastAsia="zh-TW" w:bidi="en-GB"/>
        </w:rPr>
      </w:pPr>
      <w:r>
        <w:rPr>
          <w:rFonts w:hint="cs"/>
          <w:rtl/>
        </w:rPr>
        <w:t>3</w:t>
      </w:r>
      <w:r>
        <w:rPr>
          <w:rtl/>
        </w:rPr>
        <w:tab/>
      </w:r>
      <w:r w:rsidRPr="00A01A64">
        <w:rPr>
          <w:rtl/>
        </w:rPr>
        <w:t>استعرض الفريق مختلف الاستراتيجيات الوطنية للمهارات الرقمية التي وضعت في مختلف المناطق. ‏</w:t>
      </w:r>
      <w:r>
        <w:rPr>
          <w:rFonts w:hint="cs"/>
          <w:rtl/>
        </w:rPr>
        <w:t xml:space="preserve">واعترف </w:t>
      </w:r>
      <w:r w:rsidRPr="00A01A64">
        <w:rPr>
          <w:rtl/>
        </w:rPr>
        <w:t>بأهمية أصحاب المصلحة الرئيسيين في النهوض بتلك الاستراتيجيات، مثل الوكالات الحكومية والهيئات التنظيمية والهيئات الأكاديمية والقطاع الخاص.‎ وأشار الفريق إلى وجود اختلافات في الفئات المستهدفة بين المناطق، حيث ركزت بلدان مختلفة على تدريب المهنيين والشباب والنساء والمواهب المحلية، إلى جانب المسؤولين الحكوميين. واتفق الفريق أيضاً على أهمية التكييف المستمر للاستراتيجيات الوطنية للمهارات الرقمية، في ضوء التغيرات الدينامية في القطاع.</w:t>
      </w:r>
    </w:p>
    <w:p w14:paraId="36852D23" w14:textId="33ED1D68" w:rsidR="00574CBE" w:rsidRPr="00A01A64" w:rsidRDefault="00574CBE" w:rsidP="00145752">
      <w:pPr>
        <w:pStyle w:val="enumlev1"/>
        <w:rPr>
          <w:lang w:val="ar-SA" w:eastAsia="zh-TW" w:bidi="en-GB"/>
        </w:rPr>
      </w:pPr>
      <w:r>
        <w:rPr>
          <w:rFonts w:hint="cs"/>
          <w:rtl/>
        </w:rPr>
        <w:t>4</w:t>
      </w:r>
      <w:r>
        <w:rPr>
          <w:rtl/>
        </w:rPr>
        <w:tab/>
      </w:r>
      <w:r w:rsidRPr="00A01A64">
        <w:rPr>
          <w:rtl/>
        </w:rPr>
        <w:t>عل</w:t>
      </w:r>
      <w:r>
        <w:rPr>
          <w:rFonts w:hint="cs"/>
          <w:rtl/>
        </w:rPr>
        <w:t>ّ</w:t>
      </w:r>
      <w:r w:rsidRPr="00A01A64">
        <w:rPr>
          <w:rtl/>
        </w:rPr>
        <w:t xml:space="preserve">ق أعضاء الفريق على أهمية تقييم الاحتياجات التدريبية </w:t>
      </w:r>
      <w:r w:rsidRPr="00A01A64">
        <w:t>(TNA)</w:t>
      </w:r>
      <w:r w:rsidRPr="00A01A64">
        <w:rPr>
          <w:rtl/>
        </w:rPr>
        <w:t xml:space="preserve">، والحاجة إلى تحسين الأسئلة للحصول على إجابات أكثر تفصيلاً، وأهمية تقييم </w:t>
      </w:r>
      <w:r w:rsidR="00643782" w:rsidRPr="00643782">
        <w:rPr>
          <w:rtl/>
        </w:rPr>
        <w:t>جودة الإجابات المقدمة من جهات الاتصال والمجيبين</w:t>
      </w:r>
      <w:r w:rsidRPr="00A01A64">
        <w:rPr>
          <w:rtl/>
        </w:rPr>
        <w:t>. ووافق الفريق على دعم جهود مكتب تنمية الاتصالات في</w:t>
      </w:r>
      <w:r w:rsidR="00441426">
        <w:rPr>
          <w:rFonts w:hint="cs"/>
          <w:rtl/>
        </w:rPr>
        <w:t> </w:t>
      </w:r>
      <w:r w:rsidRPr="00A01A64">
        <w:rPr>
          <w:rtl/>
        </w:rPr>
        <w:t>تحديد الاحتياجات الإقليمية للاسترشاد بها في إعداد دورات تدريبية جديدة. ورحب الفريق بالجهود المبذولة لإعداد تدريب عبر الإنترنت لمندوبي قطاع تنمية الاتصالات، وأكدوا اهتمامهم بالحصول على تحديث حول الخطوات المقبلة.</w:t>
      </w:r>
    </w:p>
    <w:p w14:paraId="2E2158FB" w14:textId="77777777" w:rsidR="00574CBE" w:rsidRPr="00A01A64" w:rsidRDefault="00574CBE" w:rsidP="00145752">
      <w:pPr>
        <w:pStyle w:val="enumlev1"/>
        <w:rPr>
          <w:lang w:val="ar-SA" w:eastAsia="zh-TW" w:bidi="en-GB"/>
        </w:rPr>
      </w:pPr>
      <w:r>
        <w:rPr>
          <w:rFonts w:hint="cs"/>
          <w:rtl/>
        </w:rPr>
        <w:t>5</w:t>
      </w:r>
      <w:r>
        <w:rPr>
          <w:rtl/>
        </w:rPr>
        <w:tab/>
      </w:r>
      <w:r w:rsidRPr="00A01A64">
        <w:rPr>
          <w:rtl/>
        </w:rPr>
        <w:t>وأخيراً، وافق الفريق على برنامج العمل المقبل التالي:</w:t>
      </w:r>
    </w:p>
    <w:p w14:paraId="505F50AD" w14:textId="00BD9643" w:rsidR="00574CBE" w:rsidRPr="00A01A64" w:rsidRDefault="00145752" w:rsidP="00145752">
      <w:pPr>
        <w:pStyle w:val="enumlev2"/>
        <w:rPr>
          <w:lang w:val="ar-SA" w:eastAsia="zh-TW" w:bidi="en-GB"/>
        </w:rPr>
      </w:pPr>
      <w:r>
        <w:rPr>
          <w:rFonts w:hint="cs"/>
          <w:rtl/>
        </w:rPr>
        <w:t> أ </w:t>
      </w:r>
      <w:r w:rsidR="00574CBE">
        <w:rPr>
          <w:rFonts w:hint="cs"/>
          <w:rtl/>
        </w:rPr>
        <w:t>)</w:t>
      </w:r>
      <w:r w:rsidR="00574CBE">
        <w:rPr>
          <w:rtl/>
        </w:rPr>
        <w:tab/>
      </w:r>
      <w:r w:rsidR="00574CBE" w:rsidRPr="00A01A64">
        <w:rPr>
          <w:rtl/>
        </w:rPr>
        <w:t>مواصلة العمل بشأن بند العمل ‎2 (‏الأبحاث المكتبية بشأن الاستراتيجيات الوطنية للمهارات الرقمية) بما</w:t>
      </w:r>
      <w:r w:rsidR="008A05F1">
        <w:rPr>
          <w:rFonts w:hint="cs"/>
          <w:rtl/>
        </w:rPr>
        <w:t> </w:t>
      </w:r>
      <w:r w:rsidR="00574CBE" w:rsidRPr="00A01A64">
        <w:rPr>
          <w:rtl/>
        </w:rPr>
        <w:t>في ذلك تحديد الخطوات المقبلة المتعلقة بالمواد المجمعة استعداداً لهذا الاجتماع.‎ وهذا ينطوي على</w:t>
      </w:r>
      <w:r w:rsidR="00B6715E">
        <w:rPr>
          <w:rFonts w:hint="cs"/>
          <w:rtl/>
        </w:rPr>
        <w:t> </w:t>
      </w:r>
      <w:r w:rsidR="00574CBE" w:rsidRPr="00A01A64">
        <w:rPr>
          <w:rtl/>
        </w:rPr>
        <w:t>إجراء تحليل إضافي والتركيز بشكل</w:t>
      </w:r>
      <w:r w:rsidR="00D92CE4">
        <w:rPr>
          <w:rFonts w:hint="cs"/>
          <w:rtl/>
        </w:rPr>
        <w:t>ٍ</w:t>
      </w:r>
      <w:r w:rsidR="00574CBE" w:rsidRPr="00A01A64">
        <w:rPr>
          <w:rtl/>
        </w:rPr>
        <w:t xml:space="preserve"> أكبر على رصد وتقييم تنفيذ الاستراتيجيات المحددة.</w:t>
      </w:r>
    </w:p>
    <w:p w14:paraId="73A6DF3A" w14:textId="77777777" w:rsidR="00574CBE" w:rsidRPr="00A01A64" w:rsidRDefault="00574CBE" w:rsidP="00145752">
      <w:pPr>
        <w:pStyle w:val="enumlev2"/>
        <w:rPr>
          <w:lang w:val="ar-SA" w:eastAsia="zh-TW" w:bidi="en-GB"/>
        </w:rPr>
      </w:pPr>
      <w:r>
        <w:rPr>
          <w:rFonts w:hint="cs"/>
          <w:rtl/>
        </w:rPr>
        <w:t>ب)</w:t>
      </w:r>
      <w:r>
        <w:rPr>
          <w:rtl/>
        </w:rPr>
        <w:tab/>
      </w:r>
      <w:r w:rsidRPr="00A01A64">
        <w:rPr>
          <w:rtl/>
        </w:rPr>
        <w:t>دعم مكتب تنمية الاتصالات في تحديد جهات الاتصال الإقليمية والوطنية، لتحسين الردود على استبيان تقييم الاحتياجات التدريبية.</w:t>
      </w:r>
    </w:p>
    <w:p w14:paraId="63CEA0DD" w14:textId="2535CD67" w:rsidR="00574CBE" w:rsidRPr="00CF5AA1" w:rsidRDefault="00574CBE" w:rsidP="00145752">
      <w:pPr>
        <w:pStyle w:val="enumlev2"/>
        <w:rPr>
          <w:lang w:val="ar-SA" w:eastAsia="zh-TW" w:bidi="en-GB"/>
        </w:rPr>
      </w:pPr>
      <w:r w:rsidRPr="00CF5AA1">
        <w:rPr>
          <w:rtl/>
        </w:rPr>
        <w:t>ج)</w:t>
      </w:r>
      <w:r w:rsidRPr="00CF5AA1">
        <w:rPr>
          <w:rtl/>
        </w:rPr>
        <w:tab/>
        <w:t xml:space="preserve">مواصلة تطوير </w:t>
      </w:r>
      <w:r w:rsidRPr="00CF5AA1">
        <w:rPr>
          <w:rFonts w:hint="cs"/>
          <w:rtl/>
        </w:rPr>
        <w:t>ال</w:t>
      </w:r>
      <w:r w:rsidRPr="00CF5AA1">
        <w:rPr>
          <w:rtl/>
        </w:rPr>
        <w:t>مقترح</w:t>
      </w:r>
      <w:r w:rsidRPr="00CF5AA1">
        <w:rPr>
          <w:rFonts w:hint="cs"/>
          <w:rtl/>
        </w:rPr>
        <w:t xml:space="preserve"> بشأن</w:t>
      </w:r>
      <w:r w:rsidRPr="00CF5AA1">
        <w:rPr>
          <w:rtl/>
        </w:rPr>
        <w:t xml:space="preserve"> إعداد دورة تدريبية لمندوبي الاتحاد، في ضوء الملاحظات التي أُبديت خلال هذا</w:t>
      </w:r>
      <w:r w:rsidR="00CF5AA1">
        <w:rPr>
          <w:rFonts w:hint="cs"/>
          <w:rtl/>
        </w:rPr>
        <w:t> </w:t>
      </w:r>
      <w:r w:rsidRPr="00CF5AA1">
        <w:rPr>
          <w:rtl/>
        </w:rPr>
        <w:t>الاجتماع.</w:t>
      </w:r>
    </w:p>
    <w:p w14:paraId="1B34A428" w14:textId="549D0906" w:rsidR="00574CBE" w:rsidRPr="00A01A64" w:rsidRDefault="00574CBE" w:rsidP="00145752">
      <w:pPr>
        <w:pStyle w:val="enumlev1"/>
        <w:rPr>
          <w:lang w:val="ar-SA" w:eastAsia="zh-TW" w:bidi="en-GB"/>
        </w:rPr>
      </w:pPr>
      <w:r>
        <w:rPr>
          <w:rFonts w:hint="cs"/>
          <w:rtl/>
        </w:rPr>
        <w:t>6</w:t>
      </w:r>
      <w:r>
        <w:rPr>
          <w:rtl/>
        </w:rPr>
        <w:tab/>
      </w:r>
      <w:r w:rsidRPr="00A01A64">
        <w:rPr>
          <w:rtl/>
        </w:rPr>
        <w:t xml:space="preserve">ويتاح التقرير الكامل للاجتماع </w:t>
      </w:r>
      <w:hyperlink r:id="rId12" w:anchor="/ar" w:history="1">
        <w:r w:rsidRPr="00871343">
          <w:rPr>
            <w:rStyle w:val="Hyperlink"/>
            <w:rtl/>
          </w:rPr>
          <w:t>هنا</w:t>
        </w:r>
      </w:hyperlink>
      <w:r w:rsidRPr="00A01A64">
        <w:rPr>
          <w:rtl/>
        </w:rPr>
        <w:t>.</w:t>
      </w:r>
    </w:p>
    <w:p w14:paraId="5AC820AE"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9E8D" w14:textId="77777777" w:rsidR="008F6897" w:rsidRDefault="008F6897" w:rsidP="006C3242">
      <w:pPr>
        <w:spacing w:before="0" w:line="240" w:lineRule="auto"/>
      </w:pPr>
      <w:r>
        <w:separator/>
      </w:r>
    </w:p>
  </w:endnote>
  <w:endnote w:type="continuationSeparator" w:id="0">
    <w:p w14:paraId="063747E3" w14:textId="77777777" w:rsidR="008F6897" w:rsidRDefault="008F689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49555E0A" w14:textId="77777777" w:rsidTr="00031158">
      <w:tc>
        <w:tcPr>
          <w:tcW w:w="991" w:type="dxa"/>
          <w:tcBorders>
            <w:top w:val="single" w:sz="4" w:space="0" w:color="auto"/>
            <w:left w:val="nil"/>
            <w:bottom w:val="nil"/>
            <w:right w:val="nil"/>
          </w:tcBorders>
          <w:shd w:val="clear" w:color="auto" w:fill="FFFFFF" w:themeFill="background1"/>
          <w:hideMark/>
        </w:tcPr>
        <w:p w14:paraId="5C546024"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BF919AC"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E5AB819" w14:textId="7918BAE8" w:rsidR="00AD1E92" w:rsidRPr="00AD1E92" w:rsidRDefault="00416D0B" w:rsidP="00AD1E92">
          <w:pPr>
            <w:spacing w:before="60" w:after="40" w:line="260" w:lineRule="exact"/>
            <w:rPr>
              <w:position w:val="2"/>
              <w:sz w:val="18"/>
              <w:szCs w:val="18"/>
              <w:lang w:val="en-GB"/>
            </w:rPr>
          </w:pPr>
          <w:r w:rsidRPr="00C85CCC">
            <w:rPr>
              <w:position w:val="2"/>
              <w:sz w:val="18"/>
              <w:szCs w:val="18"/>
              <w:rtl/>
              <w:lang w:val="fr-FR" w:bidi="ar-EG"/>
            </w:rPr>
            <w:t>البروفيسور مصطفى بن جيلالي</w:t>
          </w:r>
          <w:r w:rsidRPr="00416D0B">
            <w:rPr>
              <w:position w:val="2"/>
              <w:sz w:val="18"/>
              <w:szCs w:val="18"/>
              <w:rtl/>
              <w:lang w:val="fr-FR" w:bidi="ar-EG"/>
            </w:rPr>
            <w:t>، رئيس الفريق المعني بمبادرات بناء القدرات (</w:t>
          </w:r>
          <w:r w:rsidRPr="00416D0B">
            <w:rPr>
              <w:position w:val="2"/>
              <w:sz w:val="18"/>
              <w:szCs w:val="18"/>
              <w:lang w:val="fr-FR" w:bidi="ar-EG"/>
            </w:rPr>
            <w:t>GCBI</w:t>
          </w:r>
          <w:r w:rsidRPr="00416D0B">
            <w:rPr>
              <w:position w:val="2"/>
              <w:sz w:val="18"/>
              <w:szCs w:val="18"/>
              <w:rtl/>
              <w:lang w:val="fr-FR" w:bidi="ar-EG"/>
            </w:rPr>
            <w:t>)</w:t>
          </w:r>
        </w:p>
      </w:tc>
    </w:tr>
    <w:tr w:rsidR="00AD1E92" w:rsidRPr="00AD1E92" w14:paraId="0CB35242" w14:textId="77777777" w:rsidTr="00031158">
      <w:tc>
        <w:tcPr>
          <w:tcW w:w="991" w:type="dxa"/>
        </w:tcPr>
        <w:p w14:paraId="6B057FFE"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4D0C35B9"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6875DD2F" w14:textId="3008B48C" w:rsidR="00AD1E92" w:rsidRPr="00AD1E92" w:rsidRDefault="00416D0B" w:rsidP="00AD1E92">
          <w:pPr>
            <w:spacing w:before="60" w:after="40" w:line="260" w:lineRule="exact"/>
            <w:rPr>
              <w:position w:val="2"/>
              <w:sz w:val="18"/>
              <w:szCs w:val="18"/>
              <w:lang w:val="en-GB"/>
            </w:rPr>
          </w:pPr>
          <w:r w:rsidRPr="00416D0B">
            <w:rPr>
              <w:position w:val="2"/>
              <w:sz w:val="18"/>
              <w:szCs w:val="18"/>
              <w:rtl/>
              <w:lang w:val="fr-FR" w:bidi="ar-EG"/>
            </w:rPr>
            <w:t>غير متاح</w:t>
          </w:r>
        </w:p>
      </w:tc>
    </w:tr>
    <w:tr w:rsidR="00AD1E92" w:rsidRPr="00AD1E92" w14:paraId="470DF6B3" w14:textId="77777777" w:rsidTr="00031158">
      <w:tc>
        <w:tcPr>
          <w:tcW w:w="991" w:type="dxa"/>
        </w:tcPr>
        <w:p w14:paraId="56675CF5"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5665F892"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20FDE384" w14:textId="521059C3" w:rsidR="00416D0B" w:rsidRPr="00AD1E92" w:rsidRDefault="00C85CCC" w:rsidP="00416D0B">
          <w:pPr>
            <w:jc w:val="left"/>
            <w:rPr>
              <w:position w:val="2"/>
              <w:sz w:val="18"/>
              <w:szCs w:val="18"/>
              <w:rtl/>
              <w:lang w:val="fr-FR" w:bidi="ar-EG"/>
            </w:rPr>
          </w:pPr>
          <w:hyperlink r:id="rId1" w:history="1">
            <w:r w:rsidR="00416D0B" w:rsidRPr="00CC6E73">
              <w:rPr>
                <w:rStyle w:val="Hyperlink"/>
                <w:position w:val="2"/>
                <w:sz w:val="18"/>
                <w:szCs w:val="18"/>
                <w:lang w:val="fr-FR" w:bidi="ar-EG"/>
              </w:rPr>
              <w:t>benjillali@ieee.org</w:t>
            </w:r>
          </w:hyperlink>
        </w:p>
      </w:tc>
    </w:tr>
  </w:tbl>
  <w:p w14:paraId="7DBE1042"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6F51" w14:textId="77777777" w:rsidR="008F6897" w:rsidRDefault="008F6897" w:rsidP="006C3242">
      <w:pPr>
        <w:spacing w:before="0" w:line="240" w:lineRule="auto"/>
      </w:pPr>
      <w:r>
        <w:separator/>
      </w:r>
    </w:p>
  </w:footnote>
  <w:footnote w:type="continuationSeparator" w:id="0">
    <w:p w14:paraId="5ECE9A14" w14:textId="77777777" w:rsidR="008F6897" w:rsidRDefault="008F689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F7DBC1E" w14:textId="7963F3CE"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DA29E9">
          <w:rPr>
            <w:sz w:val="20"/>
            <w:szCs w:val="20"/>
            <w:lang w:val="es-ES_tradnl"/>
          </w:rPr>
          <w:t>11(Rev.1)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04"/>
    <w:rsid w:val="00026D7C"/>
    <w:rsid w:val="00036552"/>
    <w:rsid w:val="0006468A"/>
    <w:rsid w:val="00085E12"/>
    <w:rsid w:val="00090574"/>
    <w:rsid w:val="000C1C0E"/>
    <w:rsid w:val="000C548A"/>
    <w:rsid w:val="00135D5A"/>
    <w:rsid w:val="00145752"/>
    <w:rsid w:val="00153471"/>
    <w:rsid w:val="00181A1E"/>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D695E"/>
    <w:rsid w:val="002E6541"/>
    <w:rsid w:val="00317741"/>
    <w:rsid w:val="00325BF4"/>
    <w:rsid w:val="00326EE0"/>
    <w:rsid w:val="00334924"/>
    <w:rsid w:val="003409BC"/>
    <w:rsid w:val="00343DA5"/>
    <w:rsid w:val="00352462"/>
    <w:rsid w:val="00357185"/>
    <w:rsid w:val="00383829"/>
    <w:rsid w:val="003971E3"/>
    <w:rsid w:val="003C4402"/>
    <w:rsid w:val="003E339A"/>
    <w:rsid w:val="003F4B29"/>
    <w:rsid w:val="00416D0B"/>
    <w:rsid w:val="004200BD"/>
    <w:rsid w:val="0042686F"/>
    <w:rsid w:val="004317D8"/>
    <w:rsid w:val="00434183"/>
    <w:rsid w:val="00441426"/>
    <w:rsid w:val="00443869"/>
    <w:rsid w:val="00447F32"/>
    <w:rsid w:val="00457D22"/>
    <w:rsid w:val="0048092F"/>
    <w:rsid w:val="004A0B7B"/>
    <w:rsid w:val="004E11DC"/>
    <w:rsid w:val="004E4C04"/>
    <w:rsid w:val="004F0F62"/>
    <w:rsid w:val="004F3C48"/>
    <w:rsid w:val="00506E94"/>
    <w:rsid w:val="00525DDD"/>
    <w:rsid w:val="005409AC"/>
    <w:rsid w:val="0055516A"/>
    <w:rsid w:val="00574CBE"/>
    <w:rsid w:val="0058491B"/>
    <w:rsid w:val="005874F2"/>
    <w:rsid w:val="00592EA5"/>
    <w:rsid w:val="005A3170"/>
    <w:rsid w:val="005B2C89"/>
    <w:rsid w:val="005C0C76"/>
    <w:rsid w:val="005D610E"/>
    <w:rsid w:val="005D63D6"/>
    <w:rsid w:val="005E1E6D"/>
    <w:rsid w:val="006128FC"/>
    <w:rsid w:val="00643782"/>
    <w:rsid w:val="00677396"/>
    <w:rsid w:val="0069200F"/>
    <w:rsid w:val="006A5FEC"/>
    <w:rsid w:val="006A65CB"/>
    <w:rsid w:val="006B01D8"/>
    <w:rsid w:val="006B266A"/>
    <w:rsid w:val="006C3242"/>
    <w:rsid w:val="006C7CC0"/>
    <w:rsid w:val="006D7286"/>
    <w:rsid w:val="006E4285"/>
    <w:rsid w:val="006F63F7"/>
    <w:rsid w:val="007025C7"/>
    <w:rsid w:val="00706D7A"/>
    <w:rsid w:val="00722F0D"/>
    <w:rsid w:val="0074420E"/>
    <w:rsid w:val="0074742E"/>
    <w:rsid w:val="00747A70"/>
    <w:rsid w:val="00783A69"/>
    <w:rsid w:val="00783E26"/>
    <w:rsid w:val="007A1D77"/>
    <w:rsid w:val="007B4FA0"/>
    <w:rsid w:val="007C3BC7"/>
    <w:rsid w:val="007C3BCD"/>
    <w:rsid w:val="007D345C"/>
    <w:rsid w:val="007D4ACF"/>
    <w:rsid w:val="007F0787"/>
    <w:rsid w:val="00810B7B"/>
    <w:rsid w:val="008234CF"/>
    <w:rsid w:val="0082358A"/>
    <w:rsid w:val="008235CD"/>
    <w:rsid w:val="008247DE"/>
    <w:rsid w:val="00840B10"/>
    <w:rsid w:val="008513CB"/>
    <w:rsid w:val="00855F97"/>
    <w:rsid w:val="008562F3"/>
    <w:rsid w:val="00871343"/>
    <w:rsid w:val="00874F08"/>
    <w:rsid w:val="00882A17"/>
    <w:rsid w:val="008A05F1"/>
    <w:rsid w:val="008A7F84"/>
    <w:rsid w:val="008D34C4"/>
    <w:rsid w:val="008F6897"/>
    <w:rsid w:val="00906486"/>
    <w:rsid w:val="0091702E"/>
    <w:rsid w:val="00923B0C"/>
    <w:rsid w:val="0094021C"/>
    <w:rsid w:val="0094065A"/>
    <w:rsid w:val="00952F86"/>
    <w:rsid w:val="00957084"/>
    <w:rsid w:val="00982B28"/>
    <w:rsid w:val="00983DA5"/>
    <w:rsid w:val="009A0F2E"/>
    <w:rsid w:val="009C78A1"/>
    <w:rsid w:val="009D313F"/>
    <w:rsid w:val="00A15396"/>
    <w:rsid w:val="00A1746F"/>
    <w:rsid w:val="00A24359"/>
    <w:rsid w:val="00A34872"/>
    <w:rsid w:val="00A47A5A"/>
    <w:rsid w:val="00A6496F"/>
    <w:rsid w:val="00A6683B"/>
    <w:rsid w:val="00A95A9F"/>
    <w:rsid w:val="00A97F94"/>
    <w:rsid w:val="00AA7EA2"/>
    <w:rsid w:val="00AD1E92"/>
    <w:rsid w:val="00B03099"/>
    <w:rsid w:val="00B05BC8"/>
    <w:rsid w:val="00B206B7"/>
    <w:rsid w:val="00B319BC"/>
    <w:rsid w:val="00B64B47"/>
    <w:rsid w:val="00B6715E"/>
    <w:rsid w:val="00B93B7B"/>
    <w:rsid w:val="00BC4B48"/>
    <w:rsid w:val="00C002DE"/>
    <w:rsid w:val="00C53BF8"/>
    <w:rsid w:val="00C56B5F"/>
    <w:rsid w:val="00C66157"/>
    <w:rsid w:val="00C674FE"/>
    <w:rsid w:val="00C67501"/>
    <w:rsid w:val="00C75633"/>
    <w:rsid w:val="00C85CB5"/>
    <w:rsid w:val="00C85CCC"/>
    <w:rsid w:val="00CA08BA"/>
    <w:rsid w:val="00CE2EE1"/>
    <w:rsid w:val="00CE3349"/>
    <w:rsid w:val="00CE36E5"/>
    <w:rsid w:val="00CF27F5"/>
    <w:rsid w:val="00CF3FFD"/>
    <w:rsid w:val="00CF4342"/>
    <w:rsid w:val="00CF5AA1"/>
    <w:rsid w:val="00D10CCF"/>
    <w:rsid w:val="00D42E50"/>
    <w:rsid w:val="00D56675"/>
    <w:rsid w:val="00D77D0F"/>
    <w:rsid w:val="00D8311F"/>
    <w:rsid w:val="00D83FFB"/>
    <w:rsid w:val="00D84440"/>
    <w:rsid w:val="00D92CE4"/>
    <w:rsid w:val="00DA1CF0"/>
    <w:rsid w:val="00DA29E9"/>
    <w:rsid w:val="00DC1E02"/>
    <w:rsid w:val="00DC24B4"/>
    <w:rsid w:val="00DC5FB0"/>
    <w:rsid w:val="00DF16DC"/>
    <w:rsid w:val="00E43176"/>
    <w:rsid w:val="00E45211"/>
    <w:rsid w:val="00E473C5"/>
    <w:rsid w:val="00E92863"/>
    <w:rsid w:val="00EA582D"/>
    <w:rsid w:val="00EB796D"/>
    <w:rsid w:val="00EE5CF2"/>
    <w:rsid w:val="00F058DC"/>
    <w:rsid w:val="00F24FC4"/>
    <w:rsid w:val="00F2676C"/>
    <w:rsid w:val="00F43D01"/>
    <w:rsid w:val="00F5624C"/>
    <w:rsid w:val="00F77022"/>
    <w:rsid w:val="00F84366"/>
    <w:rsid w:val="00F85089"/>
    <w:rsid w:val="00F974C5"/>
    <w:rsid w:val="00FA6F46"/>
    <w:rsid w:val="00FB244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6C62A"/>
  <w15:chartTrackingRefBased/>
  <w15:docId w15:val="{0595D950-BB3B-49A4-83DB-DE444814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416D0B"/>
    <w:rPr>
      <w:color w:val="605E5C"/>
      <w:shd w:val="clear" w:color="auto" w:fill="E1DFDD"/>
    </w:rPr>
  </w:style>
  <w:style w:type="paragraph" w:styleId="Revision">
    <w:name w:val="Revision"/>
    <w:hidden/>
    <w:uiPriority w:val="99"/>
    <w:semiHidden/>
    <w:rsid w:val="00D92CE4"/>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ademy.itu.int/itu-d/projects-activities/gcbi/meetings/2025-meeting-group-capacity-building-initiative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d/meetings/digital-skills-foru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ademy.itu.int/itu-d/projects-activities/research-publications/digital-skills-toolkit"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enjillali@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A14C5AF6-17B3-4D3C-9B8E-FDD1E4F40D65}"/>
</file>

<file path=customXml/itemProps3.xml><?xml version="1.0" encoding="utf-8"?>
<ds:datastoreItem xmlns:ds="http://schemas.openxmlformats.org/officeDocument/2006/customXml" ds:itemID="{16318117-7D99-470B-B4EA-6DD5AB8FC7B1}"/>
</file>

<file path=customXml/itemProps4.xml><?xml version="1.0" encoding="utf-8"?>
<ds:datastoreItem xmlns:ds="http://schemas.openxmlformats.org/officeDocument/2006/customXml" ds:itemID="{0B291744-4844-4F4E-925C-DC7567FE896F}"/>
</file>

<file path=docProps/app.xml><?xml version="1.0" encoding="utf-8"?>
<Properties xmlns="http://schemas.openxmlformats.org/officeDocument/2006/extended-properties" xmlns:vt="http://schemas.openxmlformats.org/officeDocument/2006/docPropsVTypes">
  <Template>PA_TDAG-25.dotx</Template>
  <TotalTime>1</TotalTime>
  <Pages>3</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KAAA</dc:creator>
  <cp:keywords/>
  <dc:description/>
  <cp:lastModifiedBy>PA_I.R</cp:lastModifiedBy>
  <cp:revision>3</cp:revision>
  <dcterms:created xsi:type="dcterms:W3CDTF">2025-05-12T12:42:00Z</dcterms:created>
  <dcterms:modified xsi:type="dcterms:W3CDTF">2025-05-12T12:43:00Z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