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6F68A6EB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6B9AFF71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811A8C">
              <w:rPr>
                <w:rFonts w:hint="eastAsia"/>
                <w:b/>
                <w:bCs/>
                <w:lang w:val="en-US" w:eastAsia="zh-CN"/>
              </w:rPr>
              <w:t>11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47AD5A16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811A8C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811A8C">
              <w:rPr>
                <w:rFonts w:hint="eastAsia"/>
                <w:b/>
                <w:bCs/>
                <w:szCs w:val="28"/>
                <w:lang w:eastAsia="zh-CN"/>
              </w:rPr>
              <w:t>31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4F1D4BFC" w:rsidR="00A13162" w:rsidRPr="0030353C" w:rsidRDefault="00811A8C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 w:rsidRPr="00811A8C">
              <w:rPr>
                <w:rFonts w:hint="eastAsia"/>
                <w:lang w:eastAsia="zh-CN"/>
              </w:rPr>
              <w:t>能力建设举措（</w:t>
            </w:r>
            <w:r w:rsidRPr="00811A8C">
              <w:rPr>
                <w:rFonts w:hint="eastAsia"/>
                <w:lang w:eastAsia="zh-CN"/>
              </w:rPr>
              <w:t>GCBI</w:t>
            </w:r>
            <w:r w:rsidRPr="00811A8C">
              <w:rPr>
                <w:rFonts w:hint="eastAsia"/>
                <w:lang w:eastAsia="zh-CN"/>
              </w:rPr>
              <w:t>）组主席</w:t>
            </w:r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49028AD2" w:rsidR="00AC6F14" w:rsidRPr="0030353C" w:rsidRDefault="00811A8C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811A8C">
              <w:rPr>
                <w:rFonts w:hint="eastAsia"/>
                <w:lang w:eastAsia="zh-CN"/>
              </w:rPr>
              <w:t>能力建设举措（</w:t>
            </w:r>
            <w:r w:rsidRPr="00811A8C">
              <w:rPr>
                <w:rFonts w:hint="eastAsia"/>
                <w:lang w:eastAsia="zh-CN"/>
              </w:rPr>
              <w:t>GCBI</w:t>
            </w:r>
            <w:r w:rsidRPr="00811A8C">
              <w:rPr>
                <w:rFonts w:hint="eastAsia"/>
                <w:lang w:eastAsia="zh-CN"/>
              </w:rPr>
              <w:t>）组提交</w:t>
            </w:r>
            <w:r w:rsidRPr="00811A8C">
              <w:rPr>
                <w:rFonts w:hint="eastAsia"/>
                <w:lang w:eastAsia="zh-CN"/>
              </w:rPr>
              <w:t>TDAG</w:t>
            </w:r>
            <w:r w:rsidRPr="00811A8C">
              <w:rPr>
                <w:rFonts w:hint="eastAsia"/>
                <w:lang w:eastAsia="zh-CN"/>
              </w:rPr>
              <w:t>的工作报告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60130A41" w14:textId="6BB9AB4A" w:rsidR="00A721F4" w:rsidRPr="00D9621A" w:rsidRDefault="00811A8C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811A8C">
              <w:rPr>
                <w:rFonts w:hint="eastAsia"/>
                <w:lang w:eastAsia="zh-CN"/>
              </w:rPr>
              <w:t>本文件涵盖了能力建设举措组（</w:t>
            </w:r>
            <w:r w:rsidRPr="00811A8C">
              <w:rPr>
                <w:rFonts w:hint="eastAsia"/>
                <w:lang w:eastAsia="zh-CN"/>
              </w:rPr>
              <w:t>GCBI</w:t>
            </w:r>
            <w:r w:rsidRPr="00811A8C">
              <w:rPr>
                <w:rFonts w:hint="eastAsia"/>
                <w:lang w:eastAsia="zh-CN"/>
              </w:rPr>
              <w:t>）开展的工作。该组是根据</w:t>
            </w:r>
            <w:r w:rsidRPr="00811A8C">
              <w:rPr>
                <w:rFonts w:hint="eastAsia"/>
                <w:lang w:eastAsia="zh-CN"/>
              </w:rPr>
              <w:t>2010</w:t>
            </w:r>
            <w:r w:rsidRPr="00811A8C">
              <w:rPr>
                <w:rFonts w:hint="eastAsia"/>
                <w:lang w:eastAsia="zh-CN"/>
              </w:rPr>
              <w:t>年世界电信发展大会（</w:t>
            </w:r>
            <w:r w:rsidRPr="00811A8C">
              <w:rPr>
                <w:rFonts w:hint="eastAsia"/>
                <w:lang w:eastAsia="zh-CN"/>
              </w:rPr>
              <w:t>WTDC-10</w:t>
            </w:r>
            <w:r w:rsidRPr="00811A8C">
              <w:rPr>
                <w:rFonts w:hint="eastAsia"/>
                <w:lang w:eastAsia="zh-CN"/>
              </w:rPr>
              <w:t>）通过并经</w:t>
            </w:r>
            <w:r w:rsidRPr="00811A8C">
              <w:rPr>
                <w:rFonts w:hint="eastAsia"/>
                <w:lang w:eastAsia="zh-CN"/>
              </w:rPr>
              <w:t>WTDC-22</w:t>
            </w:r>
            <w:r w:rsidRPr="00811A8C">
              <w:rPr>
                <w:rFonts w:hint="eastAsia"/>
                <w:lang w:eastAsia="zh-CN"/>
              </w:rPr>
              <w:t>修订的第</w:t>
            </w:r>
            <w:r w:rsidRPr="00811A8C">
              <w:rPr>
                <w:rFonts w:hint="eastAsia"/>
                <w:lang w:eastAsia="zh-CN"/>
              </w:rPr>
              <w:t>40</w:t>
            </w:r>
            <w:r w:rsidRPr="00811A8C">
              <w:rPr>
                <w:rFonts w:hint="eastAsia"/>
                <w:lang w:eastAsia="zh-CN"/>
              </w:rPr>
              <w:t>号决议成立的，旨在就能力建设相关事宜向电信发展局（</w:t>
            </w:r>
            <w:r w:rsidRPr="00811A8C">
              <w:rPr>
                <w:rFonts w:hint="eastAsia"/>
                <w:lang w:eastAsia="zh-CN"/>
              </w:rPr>
              <w:t>BDT</w:t>
            </w:r>
            <w:r w:rsidRPr="00811A8C">
              <w:rPr>
                <w:rFonts w:hint="eastAsia"/>
                <w:lang w:eastAsia="zh-CN"/>
              </w:rPr>
              <w:t>）主任提出建议。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77777777" w:rsidR="00A721F4" w:rsidRPr="00D9621A" w:rsidRDefault="00885B75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请</w:t>
            </w:r>
            <w:r w:rsidRPr="00403C69">
              <w:rPr>
                <w:lang w:eastAsia="zh-CN"/>
              </w:rPr>
              <w:t>TDAG</w:t>
            </w:r>
            <w:r>
              <w:rPr>
                <w:rFonts w:ascii="SimSun" w:eastAsia="SimSun" w:hAnsi="SimSun" w:cs="SimSun" w:hint="eastAsia"/>
                <w:lang w:eastAsia="zh-CN"/>
              </w:rPr>
              <w:t>将本文件记录在案，并酌情提供指导。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64ECE8AA" w14:textId="17713844" w:rsidR="00811A8C" w:rsidRPr="00297398" w:rsidRDefault="00811A8C" w:rsidP="00811A8C">
            <w:pPr>
              <w:spacing w:after="120"/>
              <w:ind w:firstLineChars="200" w:firstLine="480"/>
              <w:rPr>
                <w:lang w:eastAsia="zh-CN"/>
              </w:rPr>
            </w:pPr>
            <w:r w:rsidRPr="00297398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关于能力建设举措组的第</w:t>
            </w:r>
            <w:r>
              <w:rPr>
                <w:rFonts w:hint="eastAsia"/>
                <w:lang w:eastAsia="zh-CN"/>
              </w:rPr>
              <w:t>40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年，基加利，修订版）</w:t>
            </w:r>
          </w:p>
          <w:p w14:paraId="36C883CF" w14:textId="6FA6A4BC" w:rsidR="00A721F4" w:rsidRPr="00D9621A" w:rsidRDefault="00811A8C" w:rsidP="00811A8C">
            <w:pPr>
              <w:spacing w:after="120"/>
              <w:ind w:firstLineChars="200" w:firstLine="480"/>
              <w:rPr>
                <w:lang w:eastAsia="zh-CN"/>
              </w:rPr>
            </w:pPr>
            <w:r w:rsidRPr="00297398">
              <w:rPr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关于国际电联学院培训中心的第</w:t>
            </w:r>
            <w:r>
              <w:rPr>
                <w:rFonts w:hint="eastAsia"/>
                <w:lang w:eastAsia="zh-CN"/>
              </w:rPr>
              <w:t>73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年，基加利，修订版）</w:t>
            </w:r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19D3FA67" w14:textId="77777777" w:rsidR="00811A8C" w:rsidRPr="00297398" w:rsidRDefault="00811A8C" w:rsidP="00E004FC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6D6A75">
        <w:rPr>
          <w:rFonts w:hint="eastAsia"/>
          <w:szCs w:val="24"/>
          <w:lang w:eastAsia="zh-CN"/>
        </w:rPr>
        <w:lastRenderedPageBreak/>
        <w:t>能力建设</w:t>
      </w:r>
      <w:r>
        <w:rPr>
          <w:rFonts w:hint="eastAsia"/>
          <w:szCs w:val="24"/>
          <w:lang w:val="en-US" w:eastAsia="zh-CN"/>
        </w:rPr>
        <w:t>举措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GCBI</w:t>
      </w:r>
      <w:r>
        <w:rPr>
          <w:rFonts w:hint="eastAsia"/>
          <w:szCs w:val="24"/>
          <w:lang w:eastAsia="zh-CN"/>
        </w:rPr>
        <w:t>）</w:t>
      </w:r>
      <w:r w:rsidRPr="0007493F">
        <w:rPr>
          <w:rFonts w:hint="eastAsia"/>
          <w:lang w:eastAsia="zh-CN"/>
        </w:rPr>
        <w:t>组是根据</w:t>
      </w:r>
      <w:r w:rsidRPr="0007493F">
        <w:rPr>
          <w:lang w:eastAsia="zh-CN"/>
        </w:rPr>
        <w:t>2010</w:t>
      </w:r>
      <w:r w:rsidRPr="0007493F">
        <w:rPr>
          <w:rFonts w:hint="eastAsia"/>
          <w:lang w:eastAsia="zh-CN"/>
        </w:rPr>
        <w:t>年世界电信发展大会（</w:t>
      </w:r>
      <w:r w:rsidRPr="0007493F">
        <w:rPr>
          <w:lang w:eastAsia="zh-CN"/>
        </w:rPr>
        <w:t>WTDC-10</w:t>
      </w:r>
      <w:r w:rsidRPr="0007493F">
        <w:rPr>
          <w:rFonts w:hint="eastAsia"/>
          <w:lang w:eastAsia="zh-CN"/>
        </w:rPr>
        <w:t>）通过并</w:t>
      </w:r>
      <w:r>
        <w:rPr>
          <w:rFonts w:hint="eastAsia"/>
          <w:lang w:eastAsia="zh-CN"/>
        </w:rPr>
        <w:t>经</w:t>
      </w:r>
      <w:r w:rsidRPr="0007493F">
        <w:rPr>
          <w:lang w:eastAsia="zh-CN"/>
        </w:rPr>
        <w:t>WTDC-22</w:t>
      </w:r>
      <w:r w:rsidRPr="0007493F">
        <w:rPr>
          <w:rFonts w:hint="eastAsia"/>
          <w:lang w:eastAsia="zh-CN"/>
        </w:rPr>
        <w:t>修订的第</w:t>
      </w:r>
      <w:r w:rsidRPr="0007493F">
        <w:rPr>
          <w:lang w:eastAsia="zh-CN"/>
        </w:rPr>
        <w:t>40</w:t>
      </w:r>
      <w:r w:rsidRPr="0007493F">
        <w:rPr>
          <w:rFonts w:hint="eastAsia"/>
          <w:lang w:eastAsia="zh-CN"/>
        </w:rPr>
        <w:t>号决议成立的，旨在就能力建设相关事宜向电信发展局（</w:t>
      </w:r>
      <w:r w:rsidRPr="0007493F">
        <w:rPr>
          <w:lang w:eastAsia="zh-CN"/>
        </w:rPr>
        <w:t>BDT</w:t>
      </w:r>
      <w:r w:rsidRPr="0007493F">
        <w:rPr>
          <w:rFonts w:hint="eastAsia"/>
          <w:lang w:eastAsia="zh-CN"/>
        </w:rPr>
        <w:t>）主任提出建议。</w:t>
      </w:r>
    </w:p>
    <w:p w14:paraId="7439F018" w14:textId="7E27FF7E" w:rsidR="00811A8C" w:rsidRPr="00297398" w:rsidRDefault="00811A8C" w:rsidP="006B38B0">
      <w:pPr>
        <w:pStyle w:val="Headingb"/>
        <w:rPr>
          <w:lang w:eastAsia="zh-CN"/>
        </w:rPr>
      </w:pPr>
      <w:r>
        <w:rPr>
          <w:rFonts w:hint="eastAsia"/>
          <w:lang w:eastAsia="zh-CN"/>
        </w:rPr>
        <w:t>自上次会议（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Pr="00297398">
        <w:rPr>
          <w:lang w:eastAsia="zh-CN"/>
        </w:rPr>
        <w:t>16-18</w:t>
      </w:r>
      <w:r>
        <w:rPr>
          <w:rFonts w:hint="eastAsia"/>
          <w:lang w:eastAsia="zh-CN"/>
        </w:rPr>
        <w:t>日）以来的</w:t>
      </w:r>
      <w:r w:rsidRPr="00297398">
        <w:rPr>
          <w:lang w:eastAsia="zh-CN"/>
        </w:rPr>
        <w:t>GCBI</w:t>
      </w:r>
      <w:r>
        <w:rPr>
          <w:rFonts w:hint="eastAsia"/>
          <w:lang w:eastAsia="zh-CN"/>
        </w:rPr>
        <w:t>工作报告</w:t>
      </w:r>
    </w:p>
    <w:p w14:paraId="6DBCCF23" w14:textId="77777777" w:rsidR="00811A8C" w:rsidRPr="00297398" w:rsidRDefault="00811A8C" w:rsidP="006B38B0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自上次于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月举行的</w:t>
      </w:r>
      <w:r>
        <w:rPr>
          <w:rFonts w:hint="eastAsia"/>
          <w:lang w:eastAsia="zh-CN"/>
        </w:rPr>
        <w:t>GCBI</w:t>
      </w:r>
      <w:r>
        <w:rPr>
          <w:rFonts w:hint="eastAsia"/>
          <w:lang w:eastAsia="zh-CN"/>
        </w:rPr>
        <w:t>会议以来，该组一直在重点开展下列活动：</w:t>
      </w:r>
    </w:p>
    <w:p w14:paraId="7F636CD2" w14:textId="06749106" w:rsidR="00811A8C" w:rsidRPr="00297398" w:rsidRDefault="004604E0" w:rsidP="004604E0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811A8C">
        <w:rPr>
          <w:rFonts w:hint="eastAsia"/>
          <w:lang w:eastAsia="zh-CN"/>
        </w:rPr>
        <w:t>向修订《国际电联数字技能工具包》提供输入意见。</w:t>
      </w:r>
    </w:p>
    <w:p w14:paraId="24529EEA" w14:textId="43C1284E" w:rsidR="00811A8C" w:rsidRPr="00297398" w:rsidRDefault="004604E0" w:rsidP="004604E0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811A8C">
        <w:rPr>
          <w:rFonts w:hint="eastAsia"/>
          <w:lang w:eastAsia="zh-CN"/>
        </w:rPr>
        <w:t>审查国际电联</w:t>
      </w:r>
      <w:r w:rsidR="00811A8C">
        <w:rPr>
          <w:rFonts w:hint="eastAsia"/>
          <w:lang w:eastAsia="zh-CN"/>
        </w:rPr>
        <w:t>/BDT</w:t>
      </w:r>
      <w:r w:rsidR="00811A8C">
        <w:rPr>
          <w:rFonts w:hint="eastAsia"/>
          <w:lang w:eastAsia="zh-CN"/>
        </w:rPr>
        <w:t>培训需求评估问卷调查表。</w:t>
      </w:r>
    </w:p>
    <w:p w14:paraId="10A73CC5" w14:textId="3E9883C7" w:rsidR="00811A8C" w:rsidRPr="00297398" w:rsidRDefault="004604E0" w:rsidP="004604E0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811A8C" w:rsidRPr="002F34E4">
        <w:rPr>
          <w:rFonts w:hint="eastAsia"/>
          <w:lang w:eastAsia="zh-CN"/>
        </w:rPr>
        <w:t>就国家数字技能战略开展案头</w:t>
      </w:r>
      <w:r w:rsidR="00811A8C">
        <w:rPr>
          <w:rFonts w:hint="eastAsia"/>
          <w:lang w:eastAsia="zh-CN"/>
        </w:rPr>
        <w:t>研究。</w:t>
      </w:r>
    </w:p>
    <w:p w14:paraId="7AD30929" w14:textId="77777777" w:rsidR="00811A8C" w:rsidRPr="006B655F" w:rsidRDefault="00811A8C" w:rsidP="00F755F7">
      <w:pPr>
        <w:pStyle w:val="Headingi"/>
        <w:rPr>
          <w:lang w:eastAsia="zh-CN"/>
        </w:rPr>
      </w:pPr>
      <w:r w:rsidRPr="002F34E4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《</w:t>
      </w:r>
      <w:r w:rsidRPr="002F34E4">
        <w:rPr>
          <w:rFonts w:hint="eastAsia"/>
          <w:lang w:eastAsia="zh-CN"/>
        </w:rPr>
        <w:t>国际电联数字技能工具包</w:t>
      </w:r>
      <w:r>
        <w:rPr>
          <w:rFonts w:hint="eastAsia"/>
          <w:lang w:eastAsia="zh-CN"/>
        </w:rPr>
        <w:t>》</w:t>
      </w:r>
      <w:r w:rsidRPr="002F34E4">
        <w:rPr>
          <w:rFonts w:hint="eastAsia"/>
          <w:lang w:eastAsia="zh-CN"/>
        </w:rPr>
        <w:t>提供输入意见</w:t>
      </w:r>
    </w:p>
    <w:p w14:paraId="0D13618F" w14:textId="45A894FE" w:rsidR="00811A8C" w:rsidRPr="00297398" w:rsidRDefault="00CD1F0D" w:rsidP="00CE36E9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ascii="Aptos" w:hAnsi="Aptos"/>
          <w:color w:val="000000"/>
          <w:shd w:val="clear" w:color="auto" w:fill="FFFFFF"/>
          <w:lang w:eastAsia="zh-CN"/>
        </w:rPr>
        <w:t>2024</w:t>
      </w:r>
      <w:r>
        <w:rPr>
          <w:rFonts w:ascii="Aptos" w:hAnsi="Aptos"/>
          <w:color w:val="000000"/>
          <w:shd w:val="clear" w:color="auto" w:fill="FFFFFF"/>
          <w:lang w:eastAsia="zh-CN"/>
        </w:rPr>
        <w:t>年修订了</w:t>
      </w:r>
      <w:hyperlink r:id="rId13" w:anchor="/zh" w:history="1">
        <w:r w:rsidRPr="00CD1F0D">
          <w:rPr>
            <w:rStyle w:val="Hyperlink"/>
            <w:rFonts w:ascii="Aptos" w:hAnsi="Aptos"/>
            <w:shd w:val="clear" w:color="auto" w:fill="FFFFFF"/>
            <w:lang w:eastAsia="zh-CN"/>
          </w:rPr>
          <w:t>《国际电联数字技能工具包</w:t>
        </w:r>
        <w:r w:rsidRPr="00CD1F0D">
          <w:rPr>
            <w:rStyle w:val="Hyperlink"/>
            <w:rFonts w:hint="eastAsia"/>
            <w:lang w:eastAsia="zh-CN"/>
          </w:rPr>
          <w:t>》</w:t>
        </w:r>
      </w:hyperlink>
      <w:r>
        <w:rPr>
          <w:rFonts w:hint="eastAsia"/>
          <w:lang w:eastAsia="zh-CN"/>
        </w:rPr>
        <w:t>。</w:t>
      </w:r>
      <w:r w:rsidR="00811A8C" w:rsidRPr="00342527">
        <w:rPr>
          <w:rFonts w:hint="eastAsia"/>
          <w:lang w:eastAsia="zh-CN"/>
        </w:rPr>
        <w:t>审查过程中咨询了</w:t>
      </w:r>
      <w:r w:rsidR="00811A8C" w:rsidRPr="00342527">
        <w:rPr>
          <w:lang w:eastAsia="zh-CN"/>
        </w:rPr>
        <w:t>GCBI</w:t>
      </w:r>
      <w:r w:rsidR="00811A8C" w:rsidRPr="00342527">
        <w:rPr>
          <w:rFonts w:hint="eastAsia"/>
          <w:lang w:eastAsia="zh-CN"/>
        </w:rPr>
        <w:t>成员，并就</w:t>
      </w:r>
      <w:r w:rsidR="00811A8C">
        <w:rPr>
          <w:rFonts w:hint="eastAsia"/>
          <w:lang w:eastAsia="zh-CN"/>
        </w:rPr>
        <w:t>《</w:t>
      </w:r>
      <w:r w:rsidR="00811A8C" w:rsidRPr="00342527">
        <w:rPr>
          <w:rFonts w:hint="eastAsia"/>
          <w:lang w:eastAsia="zh-CN"/>
        </w:rPr>
        <w:t>工具包</w:t>
      </w:r>
      <w:r w:rsidR="00811A8C">
        <w:rPr>
          <w:rFonts w:hint="eastAsia"/>
          <w:lang w:eastAsia="zh-CN"/>
        </w:rPr>
        <w:t>》</w:t>
      </w:r>
      <w:r w:rsidR="00811A8C" w:rsidRPr="00342527">
        <w:rPr>
          <w:rFonts w:hint="eastAsia"/>
          <w:lang w:eastAsia="zh-CN"/>
        </w:rPr>
        <w:t>的结构和内容提供了宝贵的输入意见。修订后的</w:t>
      </w:r>
      <w:r w:rsidR="00811A8C">
        <w:rPr>
          <w:rFonts w:hint="eastAsia"/>
          <w:lang w:eastAsia="zh-CN"/>
        </w:rPr>
        <w:t>《</w:t>
      </w:r>
      <w:r w:rsidR="00811A8C" w:rsidRPr="00342527">
        <w:rPr>
          <w:rFonts w:hint="eastAsia"/>
          <w:lang w:eastAsia="zh-CN"/>
        </w:rPr>
        <w:t>数字技能工具包</w:t>
      </w:r>
      <w:r w:rsidR="00811A8C">
        <w:rPr>
          <w:rFonts w:hint="eastAsia"/>
          <w:lang w:eastAsia="zh-CN"/>
        </w:rPr>
        <w:t>》</w:t>
      </w:r>
      <w:r w:rsidR="00811A8C" w:rsidRPr="00342527">
        <w:rPr>
          <w:rFonts w:hint="eastAsia"/>
          <w:lang w:eastAsia="zh-CN"/>
        </w:rPr>
        <w:t>于</w:t>
      </w:r>
      <w:r w:rsidR="00811A8C" w:rsidRPr="00342527">
        <w:rPr>
          <w:lang w:eastAsia="zh-CN"/>
        </w:rPr>
        <w:t>2024</w:t>
      </w:r>
      <w:r w:rsidR="00811A8C" w:rsidRPr="00342527">
        <w:rPr>
          <w:rFonts w:hint="eastAsia"/>
          <w:lang w:eastAsia="zh-CN"/>
        </w:rPr>
        <w:t>年</w:t>
      </w:r>
      <w:r w:rsidR="00811A8C" w:rsidRPr="00342527">
        <w:rPr>
          <w:lang w:eastAsia="zh-CN"/>
        </w:rPr>
        <w:t>9</w:t>
      </w:r>
      <w:r w:rsidR="00811A8C" w:rsidRPr="00342527">
        <w:rPr>
          <w:rFonts w:hint="eastAsia"/>
          <w:lang w:eastAsia="zh-CN"/>
        </w:rPr>
        <w:t>月在</w:t>
      </w:r>
      <w:hyperlink r:id="rId14" w:history="1">
        <w:r w:rsidR="00811A8C" w:rsidRPr="00342527">
          <w:rPr>
            <w:rStyle w:val="Hyperlink"/>
            <w:rFonts w:hint="eastAsia"/>
            <w:lang w:eastAsia="zh-CN"/>
          </w:rPr>
          <w:t>国际电联数字技能论坛</w:t>
        </w:r>
      </w:hyperlink>
      <w:r w:rsidR="00811A8C" w:rsidRPr="00342527">
        <w:rPr>
          <w:rFonts w:hint="eastAsia"/>
          <w:lang w:eastAsia="zh-CN"/>
        </w:rPr>
        <w:t>期间</w:t>
      </w:r>
      <w:r w:rsidR="00811A8C">
        <w:rPr>
          <w:rFonts w:hint="eastAsia"/>
          <w:lang w:eastAsia="zh-CN"/>
        </w:rPr>
        <w:t>发布</w:t>
      </w:r>
      <w:r w:rsidR="00811A8C" w:rsidRPr="00342527">
        <w:rPr>
          <w:rFonts w:hint="eastAsia"/>
          <w:lang w:eastAsia="zh-CN"/>
        </w:rPr>
        <w:t>，为决策者和其他利益攸关方提供</w:t>
      </w:r>
      <w:r w:rsidR="00811A8C">
        <w:rPr>
          <w:rFonts w:hint="eastAsia"/>
          <w:lang w:eastAsia="zh-CN"/>
        </w:rPr>
        <w:t>了</w:t>
      </w:r>
      <w:r w:rsidR="00811A8C" w:rsidRPr="00342527">
        <w:rPr>
          <w:rFonts w:hint="eastAsia"/>
          <w:lang w:eastAsia="zh-CN"/>
        </w:rPr>
        <w:t>制定国家数字技能战略的实用信息、示例和分步指</w:t>
      </w:r>
      <w:r w:rsidR="00811A8C">
        <w:rPr>
          <w:rFonts w:hint="eastAsia"/>
          <w:lang w:eastAsia="zh-CN"/>
        </w:rPr>
        <w:t>导。</w:t>
      </w:r>
    </w:p>
    <w:p w14:paraId="3B926193" w14:textId="77777777" w:rsidR="00811A8C" w:rsidRPr="00174F62" w:rsidRDefault="00811A8C" w:rsidP="00F755F7">
      <w:pPr>
        <w:pStyle w:val="Headingi"/>
        <w:rPr>
          <w:lang w:eastAsia="zh-CN"/>
        </w:rPr>
      </w:pPr>
      <w:r w:rsidRPr="002F34E4">
        <w:rPr>
          <w:rFonts w:hint="eastAsia"/>
          <w:lang w:eastAsia="zh-CN"/>
        </w:rPr>
        <w:t>审查国际电联</w:t>
      </w:r>
      <w:r w:rsidRPr="002F34E4">
        <w:rPr>
          <w:lang w:eastAsia="zh-CN"/>
        </w:rPr>
        <w:t>/</w:t>
      </w:r>
      <w:r w:rsidRPr="002F34E4">
        <w:rPr>
          <w:rFonts w:ascii="Calibri" w:hAnsi="Calibri" w:cs="Calibri"/>
          <w:lang w:eastAsia="zh-CN"/>
        </w:rPr>
        <w:t>BDT</w:t>
      </w:r>
      <w:r w:rsidRPr="002F34E4">
        <w:rPr>
          <w:rFonts w:hint="eastAsia"/>
          <w:lang w:eastAsia="zh-CN"/>
        </w:rPr>
        <w:t>培训需求评估问卷调查</w:t>
      </w:r>
      <w:r>
        <w:rPr>
          <w:rFonts w:hint="eastAsia"/>
          <w:lang w:eastAsia="zh-CN"/>
        </w:rPr>
        <w:t>表</w:t>
      </w:r>
    </w:p>
    <w:p w14:paraId="79B607D6" w14:textId="77777777" w:rsidR="00811A8C" w:rsidRPr="00297398" w:rsidRDefault="00811A8C" w:rsidP="008E5523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342527">
        <w:rPr>
          <w:rFonts w:hint="eastAsia"/>
          <w:lang w:eastAsia="zh-CN"/>
        </w:rPr>
        <w:t>电信发展局一直在使用“培训需求评估（</w:t>
      </w:r>
      <w:r w:rsidRPr="00342527">
        <w:rPr>
          <w:lang w:eastAsia="zh-CN"/>
        </w:rPr>
        <w:t>TNA</w:t>
      </w:r>
      <w:r w:rsidRPr="00342527">
        <w:rPr>
          <w:rFonts w:hint="eastAsia"/>
          <w:lang w:eastAsia="zh-CN"/>
        </w:rPr>
        <w:t>）问卷调查表”定期收集成员国关于优先能力发展需求的反馈。在</w:t>
      </w:r>
      <w:r>
        <w:rPr>
          <w:rFonts w:hint="eastAsia"/>
          <w:lang w:eastAsia="zh-CN"/>
        </w:rPr>
        <w:t>制定</w:t>
      </w:r>
      <w:r w:rsidRPr="00342527">
        <w:rPr>
          <w:lang w:eastAsia="zh-CN"/>
        </w:rPr>
        <w:t>2025</w:t>
      </w:r>
      <w:r w:rsidRPr="00342527">
        <w:rPr>
          <w:rFonts w:hint="eastAsia"/>
          <w:lang w:eastAsia="zh-CN"/>
        </w:rPr>
        <w:t>年</w:t>
      </w:r>
      <w:r w:rsidRPr="00342527">
        <w:rPr>
          <w:lang w:eastAsia="zh-CN"/>
        </w:rPr>
        <w:t>TNA</w:t>
      </w:r>
      <w:r w:rsidRPr="00342527">
        <w:rPr>
          <w:rFonts w:hint="eastAsia"/>
          <w:lang w:eastAsia="zh-CN"/>
        </w:rPr>
        <w:t>期间，</w:t>
      </w:r>
      <w:r w:rsidRPr="00342527">
        <w:rPr>
          <w:lang w:eastAsia="zh-CN"/>
        </w:rPr>
        <w:t>GCBI</w:t>
      </w:r>
      <w:r w:rsidRPr="00342527">
        <w:rPr>
          <w:rFonts w:hint="eastAsia"/>
          <w:lang w:eastAsia="zh-CN"/>
        </w:rPr>
        <w:t>成员同意提供宝贵的见解，</w:t>
      </w:r>
      <w:r>
        <w:rPr>
          <w:rFonts w:hint="eastAsia"/>
          <w:lang w:eastAsia="zh-CN"/>
        </w:rPr>
        <w:t>以</w:t>
      </w:r>
      <w:r w:rsidRPr="00342527">
        <w:rPr>
          <w:rFonts w:hint="eastAsia"/>
          <w:lang w:eastAsia="zh-CN"/>
        </w:rPr>
        <w:t>提高问卷调查表的质量和效率。具体</w:t>
      </w:r>
      <w:r>
        <w:rPr>
          <w:rFonts w:hint="eastAsia"/>
          <w:lang w:eastAsia="zh-CN"/>
        </w:rPr>
        <w:t>的</w:t>
      </w:r>
      <w:r w:rsidRPr="00342527">
        <w:rPr>
          <w:rFonts w:hint="eastAsia"/>
          <w:lang w:eastAsia="zh-CN"/>
        </w:rPr>
        <w:t>反馈</w:t>
      </w:r>
      <w:r>
        <w:rPr>
          <w:rFonts w:hint="eastAsia"/>
          <w:lang w:eastAsia="zh-CN"/>
        </w:rPr>
        <w:t>方面</w:t>
      </w:r>
      <w:r w:rsidRPr="00342527">
        <w:rPr>
          <w:rFonts w:hint="eastAsia"/>
          <w:lang w:eastAsia="zh-CN"/>
        </w:rPr>
        <w:t>包括：</w:t>
      </w:r>
    </w:p>
    <w:p w14:paraId="575788DD" w14:textId="77777777" w:rsidR="00811A8C" w:rsidRPr="00297398" w:rsidRDefault="00811A8C" w:rsidP="006C529F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342527">
        <w:rPr>
          <w:rFonts w:hint="eastAsia"/>
          <w:lang w:eastAsia="zh-CN"/>
        </w:rPr>
        <w:t>问题评估：确保问题表述合理，找出任何冗余或含糊之处</w:t>
      </w:r>
      <w:r>
        <w:rPr>
          <w:rFonts w:hint="eastAsia"/>
          <w:lang w:eastAsia="zh-CN"/>
        </w:rPr>
        <w:t>。</w:t>
      </w:r>
    </w:p>
    <w:p w14:paraId="542A6452" w14:textId="7C6C626A" w:rsidR="00811A8C" w:rsidRPr="00297398" w:rsidRDefault="00616D4C" w:rsidP="00616D4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11A8C" w:rsidRPr="00342527">
        <w:rPr>
          <w:rFonts w:hint="eastAsia"/>
          <w:lang w:eastAsia="zh-CN"/>
        </w:rPr>
        <w:t>有关其他相关问题的建议</w:t>
      </w:r>
      <w:r w:rsidR="00811A8C">
        <w:rPr>
          <w:rFonts w:hint="eastAsia"/>
          <w:lang w:eastAsia="zh-CN"/>
        </w:rPr>
        <w:t>。</w:t>
      </w:r>
    </w:p>
    <w:p w14:paraId="7957760D" w14:textId="0FA85AD5" w:rsidR="00811A8C" w:rsidRPr="00297398" w:rsidRDefault="00616D4C" w:rsidP="00616D4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11A8C" w:rsidRPr="00342527">
        <w:rPr>
          <w:rFonts w:hint="eastAsia"/>
          <w:lang w:eastAsia="zh-CN"/>
        </w:rPr>
        <w:t>确定可能缺失的课程</w:t>
      </w:r>
      <w:r w:rsidR="00811A8C">
        <w:rPr>
          <w:rFonts w:hint="eastAsia"/>
          <w:lang w:eastAsia="zh-CN"/>
        </w:rPr>
        <w:t>议题</w:t>
      </w:r>
      <w:r w:rsidR="00811A8C" w:rsidRPr="00342527">
        <w:rPr>
          <w:rFonts w:hint="eastAsia"/>
          <w:lang w:eastAsia="zh-CN"/>
        </w:rPr>
        <w:t>，重点关注区域相关性</w:t>
      </w:r>
      <w:r w:rsidR="00811A8C">
        <w:rPr>
          <w:rFonts w:hint="eastAsia"/>
          <w:lang w:eastAsia="zh-CN"/>
        </w:rPr>
        <w:t>。</w:t>
      </w:r>
    </w:p>
    <w:p w14:paraId="2B58CFE1" w14:textId="57913B0C" w:rsidR="00811A8C" w:rsidRPr="00297398" w:rsidRDefault="00616D4C" w:rsidP="00616D4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11A8C" w:rsidRPr="00342527">
        <w:rPr>
          <w:rFonts w:hint="eastAsia"/>
          <w:lang w:eastAsia="zh-CN"/>
        </w:rPr>
        <w:t>改进整体流程和效率的更广泛的建议</w:t>
      </w:r>
      <w:r w:rsidR="00811A8C">
        <w:rPr>
          <w:rFonts w:hint="eastAsia"/>
          <w:lang w:eastAsia="zh-CN"/>
        </w:rPr>
        <w:t>。</w:t>
      </w:r>
    </w:p>
    <w:p w14:paraId="092BA7A9" w14:textId="77777777" w:rsidR="00811A8C" w:rsidRPr="00297398" w:rsidRDefault="00811A8C" w:rsidP="0073330B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342527">
        <w:rPr>
          <w:rFonts w:hint="eastAsia"/>
          <w:lang w:eastAsia="zh-CN"/>
        </w:rPr>
        <w:t>审查</w:t>
      </w:r>
      <w:r>
        <w:rPr>
          <w:rFonts w:hint="eastAsia"/>
          <w:lang w:eastAsia="zh-CN"/>
        </w:rPr>
        <w:t>意见</w:t>
      </w:r>
      <w:r w:rsidRPr="00342527">
        <w:rPr>
          <w:rFonts w:hint="eastAsia"/>
          <w:lang w:eastAsia="zh-CN"/>
        </w:rPr>
        <w:t>和建议由</w:t>
      </w:r>
      <w:r w:rsidRPr="00342527">
        <w:rPr>
          <w:lang w:eastAsia="zh-CN"/>
        </w:rPr>
        <w:t>GCBI</w:t>
      </w:r>
      <w:r w:rsidRPr="00342527">
        <w:rPr>
          <w:rFonts w:hint="eastAsia"/>
          <w:lang w:eastAsia="zh-CN"/>
        </w:rPr>
        <w:t>成员提交给主席，主席编制了一份全球输入意见</w:t>
      </w:r>
      <w:r>
        <w:rPr>
          <w:rFonts w:hint="eastAsia"/>
          <w:lang w:eastAsia="zh-CN"/>
        </w:rPr>
        <w:t>汇总</w:t>
      </w:r>
      <w:r w:rsidRPr="00342527">
        <w:rPr>
          <w:rFonts w:hint="eastAsia"/>
          <w:lang w:eastAsia="zh-CN"/>
        </w:rPr>
        <w:t>清单。这些输入意见将在定于</w:t>
      </w:r>
      <w:r w:rsidRPr="00342527">
        <w:rPr>
          <w:lang w:eastAsia="zh-CN"/>
        </w:rPr>
        <w:t>2025</w:t>
      </w:r>
      <w:r w:rsidRPr="00342527">
        <w:rPr>
          <w:rFonts w:hint="eastAsia"/>
          <w:lang w:eastAsia="zh-CN"/>
        </w:rPr>
        <w:t>年</w:t>
      </w:r>
      <w:r w:rsidRPr="00342527">
        <w:rPr>
          <w:lang w:eastAsia="zh-CN"/>
        </w:rPr>
        <w:t>4</w:t>
      </w:r>
      <w:r w:rsidRPr="00342527">
        <w:rPr>
          <w:rFonts w:hint="eastAsia"/>
          <w:lang w:eastAsia="zh-CN"/>
        </w:rPr>
        <w:t>月</w:t>
      </w:r>
      <w:r w:rsidRPr="00342527">
        <w:rPr>
          <w:lang w:eastAsia="zh-CN"/>
        </w:rPr>
        <w:t>16-17</w:t>
      </w:r>
      <w:r w:rsidRPr="00342527">
        <w:rPr>
          <w:rFonts w:hint="eastAsia"/>
          <w:lang w:eastAsia="zh-CN"/>
        </w:rPr>
        <w:t>日举行的</w:t>
      </w:r>
      <w:r w:rsidRPr="00342527">
        <w:rPr>
          <w:lang w:eastAsia="zh-CN"/>
        </w:rPr>
        <w:t>GCBI</w:t>
      </w:r>
      <w:r w:rsidRPr="00342527">
        <w:rPr>
          <w:rFonts w:hint="eastAsia"/>
          <w:lang w:eastAsia="zh-CN"/>
        </w:rPr>
        <w:t>会议上讨论</w:t>
      </w:r>
      <w:r>
        <w:rPr>
          <w:rFonts w:hint="eastAsia"/>
          <w:lang w:eastAsia="zh-CN"/>
        </w:rPr>
        <w:t>。</w:t>
      </w:r>
    </w:p>
    <w:p w14:paraId="6ACBA55B" w14:textId="77777777" w:rsidR="00811A8C" w:rsidRPr="002732D4" w:rsidRDefault="00811A8C" w:rsidP="0073330B">
      <w:pPr>
        <w:pStyle w:val="Headingi"/>
        <w:rPr>
          <w:lang w:eastAsia="zh-CN"/>
        </w:rPr>
      </w:pPr>
      <w:r w:rsidRPr="002F34E4">
        <w:rPr>
          <w:rFonts w:hint="eastAsia"/>
          <w:lang w:eastAsia="zh-CN"/>
        </w:rPr>
        <w:t>数字技能战略研究</w:t>
      </w:r>
    </w:p>
    <w:p w14:paraId="21937F48" w14:textId="77777777" w:rsidR="00811A8C" w:rsidRPr="00297398" w:rsidRDefault="00811A8C" w:rsidP="0073330B">
      <w:pPr>
        <w:tabs>
          <w:tab w:val="left" w:pos="567"/>
          <w:tab w:val="left" w:pos="1701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A60C5C">
        <w:rPr>
          <w:rFonts w:hint="eastAsia"/>
          <w:lang w:eastAsia="zh-CN"/>
        </w:rPr>
        <w:t>这项案头研究的目的是全面了解国际电</w:t>
      </w:r>
      <w:proofErr w:type="gramStart"/>
      <w:r w:rsidRPr="00A60C5C">
        <w:rPr>
          <w:rFonts w:hint="eastAsia"/>
          <w:lang w:eastAsia="zh-CN"/>
        </w:rPr>
        <w:t>联不同</w:t>
      </w:r>
      <w:proofErr w:type="gramEnd"/>
      <w:r w:rsidRPr="00A60C5C">
        <w:rPr>
          <w:rFonts w:hint="eastAsia"/>
          <w:lang w:eastAsia="zh-CN"/>
        </w:rPr>
        <w:t>区域</w:t>
      </w:r>
      <w:r>
        <w:rPr>
          <w:rFonts w:hint="eastAsia"/>
          <w:lang w:eastAsia="zh-CN"/>
        </w:rPr>
        <w:t>对</w:t>
      </w:r>
      <w:r w:rsidRPr="00A60C5C">
        <w:rPr>
          <w:rFonts w:hint="eastAsia"/>
          <w:lang w:eastAsia="zh-CN"/>
        </w:rPr>
        <w:t>数字技能发展战略的采用和部署状况，以支持电信发展局在这一领域的工作。为实现这一目标，</w:t>
      </w:r>
      <w:r w:rsidRPr="00A60C5C">
        <w:rPr>
          <w:lang w:eastAsia="zh-CN"/>
        </w:rPr>
        <w:t>GCBI</w:t>
      </w:r>
      <w:r w:rsidRPr="00A60C5C">
        <w:rPr>
          <w:rFonts w:hint="eastAsia"/>
          <w:lang w:eastAsia="zh-CN"/>
        </w:rPr>
        <w:t>的每</w:t>
      </w:r>
      <w:r>
        <w:rPr>
          <w:rFonts w:hint="eastAsia"/>
          <w:lang w:eastAsia="zh-CN"/>
        </w:rPr>
        <w:t>位</w:t>
      </w:r>
      <w:r w:rsidRPr="00A60C5C">
        <w:rPr>
          <w:rFonts w:hint="eastAsia"/>
          <w:lang w:eastAsia="zh-CN"/>
        </w:rPr>
        <w:t>成员与来自其区域的其他代表协调编写了：</w:t>
      </w:r>
    </w:p>
    <w:p w14:paraId="3286C44D" w14:textId="0DF1C448" w:rsidR="00811A8C" w:rsidRPr="00297398" w:rsidRDefault="00035B96" w:rsidP="00035B96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811A8C" w:rsidRPr="00A60C5C">
        <w:rPr>
          <w:rFonts w:hint="eastAsia"/>
          <w:lang w:eastAsia="zh-CN"/>
        </w:rPr>
        <w:t>各区域已</w:t>
      </w:r>
      <w:r w:rsidR="00811A8C">
        <w:rPr>
          <w:rFonts w:hint="eastAsia"/>
          <w:lang w:eastAsia="zh-CN"/>
        </w:rPr>
        <w:t>采用</w:t>
      </w:r>
      <w:r w:rsidR="00811A8C" w:rsidRPr="00A60C5C">
        <w:rPr>
          <w:rFonts w:hint="eastAsia"/>
          <w:lang w:eastAsia="zh-CN"/>
        </w:rPr>
        <w:t>并</w:t>
      </w:r>
      <w:r w:rsidR="00811A8C">
        <w:rPr>
          <w:rFonts w:hint="eastAsia"/>
          <w:lang w:eastAsia="zh-CN"/>
        </w:rPr>
        <w:t>公</w:t>
      </w:r>
      <w:r w:rsidR="00811A8C" w:rsidRPr="00A60C5C">
        <w:rPr>
          <w:rFonts w:hint="eastAsia"/>
          <w:lang w:eastAsia="zh-CN"/>
        </w:rPr>
        <w:t>布国家数字技能</w:t>
      </w:r>
      <w:r w:rsidR="00811A8C">
        <w:rPr>
          <w:rFonts w:hint="eastAsia"/>
          <w:lang w:eastAsia="zh-CN"/>
        </w:rPr>
        <w:t>发展</w:t>
      </w:r>
      <w:r w:rsidR="00811A8C" w:rsidRPr="00A60C5C">
        <w:rPr>
          <w:rFonts w:hint="eastAsia"/>
          <w:lang w:eastAsia="zh-CN"/>
        </w:rPr>
        <w:t>战略或路线图（包括关键支柱和目标）的国家名单</w:t>
      </w:r>
      <w:r w:rsidR="00811A8C">
        <w:rPr>
          <w:rFonts w:hint="eastAsia"/>
          <w:lang w:eastAsia="zh-CN"/>
        </w:rPr>
        <w:t>。</w:t>
      </w:r>
    </w:p>
    <w:p w14:paraId="77257AF6" w14:textId="46C92E39" w:rsidR="00811A8C" w:rsidRPr="00297398" w:rsidRDefault="00035B96" w:rsidP="00035B96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811A8C" w:rsidRPr="00A60C5C">
        <w:rPr>
          <w:rFonts w:hint="eastAsia"/>
          <w:lang w:eastAsia="zh-CN"/>
        </w:rPr>
        <w:t>参与制定和实施这些战略的国家和全球利益攸关方名单</w:t>
      </w:r>
      <w:r w:rsidR="00811A8C">
        <w:rPr>
          <w:rFonts w:hint="eastAsia"/>
          <w:lang w:eastAsia="zh-CN"/>
        </w:rPr>
        <w:t>。</w:t>
      </w:r>
      <w:r w:rsidR="00811A8C" w:rsidRPr="00A60C5C">
        <w:rPr>
          <w:rFonts w:hint="eastAsia"/>
          <w:lang w:eastAsia="zh-CN"/>
        </w:rPr>
        <w:t>主席编写了有关此项研究的汇编表格，并将在</w:t>
      </w:r>
      <w:r w:rsidR="00811A8C" w:rsidRPr="00A60C5C">
        <w:rPr>
          <w:lang w:eastAsia="zh-CN"/>
        </w:rPr>
        <w:t>GCBI</w:t>
      </w:r>
      <w:r w:rsidR="00811A8C" w:rsidRPr="00A60C5C">
        <w:rPr>
          <w:rFonts w:hint="eastAsia"/>
          <w:lang w:eastAsia="zh-CN"/>
        </w:rPr>
        <w:t>下次会议上进一步详细审议</w:t>
      </w:r>
      <w:r w:rsidR="00811A8C">
        <w:rPr>
          <w:rFonts w:hint="eastAsia"/>
          <w:lang w:eastAsia="zh-CN"/>
        </w:rPr>
        <w:t>。</w:t>
      </w:r>
    </w:p>
    <w:p w14:paraId="73EB2A06" w14:textId="77777777" w:rsidR="00811A8C" w:rsidRPr="00297398" w:rsidRDefault="00811A8C" w:rsidP="00447C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关于</w:t>
      </w:r>
      <w:r w:rsidRPr="00297398">
        <w:rPr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Pr="00297398">
        <w:rPr>
          <w:lang w:eastAsia="zh-CN"/>
        </w:rPr>
        <w:t>16-17</w:t>
      </w:r>
      <w:r>
        <w:rPr>
          <w:rFonts w:hint="eastAsia"/>
          <w:lang w:eastAsia="zh-CN"/>
        </w:rPr>
        <w:t>日举行的</w:t>
      </w:r>
      <w:r>
        <w:rPr>
          <w:rFonts w:hint="eastAsia"/>
          <w:lang w:eastAsia="zh-CN"/>
        </w:rPr>
        <w:t>GCBI</w:t>
      </w:r>
      <w:r>
        <w:rPr>
          <w:rFonts w:hint="eastAsia"/>
          <w:lang w:eastAsia="zh-CN"/>
        </w:rPr>
        <w:t>会议的报告</w:t>
      </w:r>
    </w:p>
    <w:p w14:paraId="1FB80F5C" w14:textId="77777777" w:rsidR="00811A8C" w:rsidRPr="00297398" w:rsidRDefault="00811A8C" w:rsidP="00447C7D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proofErr w:type="gramStart"/>
      <w:r>
        <w:rPr>
          <w:rFonts w:hint="eastAsia"/>
          <w:highlight w:val="lightGray"/>
          <w:lang w:eastAsia="zh-CN"/>
        </w:rPr>
        <w:t>待会议</w:t>
      </w:r>
      <w:proofErr w:type="gramEnd"/>
      <w:r>
        <w:rPr>
          <w:rFonts w:hint="eastAsia"/>
          <w:highlight w:val="lightGray"/>
          <w:lang w:eastAsia="zh-CN"/>
        </w:rPr>
        <w:t>结束后提供。</w:t>
      </w:r>
    </w:p>
    <w:p w14:paraId="143C2F83" w14:textId="77777777" w:rsidR="00821996" w:rsidRDefault="003C58BF" w:rsidP="001057F2">
      <w:pPr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15"/>
      <w:footerReference w:type="first" r:id="rId16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E1CB0" w14:textId="77777777" w:rsidR="004C1B8D" w:rsidRDefault="004C1B8D">
      <w:r>
        <w:separator/>
      </w:r>
    </w:p>
  </w:endnote>
  <w:endnote w:type="continuationSeparator" w:id="0">
    <w:p w14:paraId="1971FBC4" w14:textId="77777777" w:rsidR="004C1B8D" w:rsidRDefault="004C1B8D">
      <w:r>
        <w:continuationSeparator/>
      </w:r>
    </w:p>
  </w:endnote>
  <w:endnote w:type="continuationNotice" w:id="1">
    <w:p w14:paraId="1F24B3A9" w14:textId="77777777" w:rsidR="004C1B8D" w:rsidRDefault="004C1B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Email"/>
          <w:bookmarkEnd w:id="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10E84ED1" w:rsidR="005C45B6" w:rsidRPr="00217762" w:rsidRDefault="00811A8C" w:rsidP="005C45B6">
          <w:pPr>
            <w:pStyle w:val="FirstFooter"/>
            <w:tabs>
              <w:tab w:val="left" w:pos="1593"/>
            </w:tabs>
            <w:rPr>
              <w:sz w:val="18"/>
              <w:szCs w:val="18"/>
              <w:lang w:val="es-ES" w:eastAsia="zh-CN"/>
            </w:rPr>
          </w:pPr>
          <w:r w:rsidRPr="0007493F">
            <w:rPr>
              <w:rFonts w:hint="eastAsia"/>
              <w:sz w:val="18"/>
              <w:szCs w:val="18"/>
              <w:lang w:val="en-US" w:eastAsia="zh-CN"/>
            </w:rPr>
            <w:t>摩洛哥</w:t>
          </w:r>
          <w:r w:rsidRPr="0007493F">
            <w:rPr>
              <w:rFonts w:ascii="SimSun" w:hAnsi="SimSun" w:cs="SimSun" w:hint="eastAsia"/>
              <w:sz w:val="18"/>
              <w:szCs w:val="18"/>
              <w:lang w:val="en-US" w:eastAsia="zh-CN"/>
            </w:rPr>
            <w:t>电气</w:t>
          </w:r>
          <w:r w:rsidRPr="0007493F">
            <w:rPr>
              <w:rFonts w:hint="eastAsia"/>
              <w:sz w:val="18"/>
              <w:szCs w:val="18"/>
              <w:lang w:val="en-US" w:eastAsia="zh-CN"/>
            </w:rPr>
            <w:t>和</w:t>
          </w:r>
          <w:r w:rsidRPr="0007493F">
            <w:rPr>
              <w:rFonts w:ascii="SimSun" w:hAnsi="SimSun" w:cs="SimSun" w:hint="eastAsia"/>
              <w:sz w:val="18"/>
              <w:szCs w:val="18"/>
              <w:lang w:val="en-US" w:eastAsia="zh-CN"/>
            </w:rPr>
            <w:t>电</w:t>
          </w:r>
          <w:r w:rsidRPr="0007493F">
            <w:rPr>
              <w:rFonts w:hint="eastAsia"/>
              <w:sz w:val="18"/>
              <w:szCs w:val="18"/>
              <w:lang w:val="en-US" w:eastAsia="zh-CN"/>
            </w:rPr>
            <w:t>子工程</w:t>
          </w:r>
          <w:r w:rsidRPr="0007493F">
            <w:rPr>
              <w:rFonts w:ascii="SimSun" w:hAnsi="SimSun" w:cs="SimSun" w:hint="eastAsia"/>
              <w:sz w:val="18"/>
              <w:szCs w:val="18"/>
              <w:lang w:val="en-US" w:eastAsia="zh-CN"/>
            </w:rPr>
            <w:t>师学会（</w:t>
          </w:r>
          <w:r w:rsidRPr="0007493F">
            <w:rPr>
              <w:rFonts w:ascii="Calibri" w:hAnsi="Calibri" w:cs="Calibri"/>
              <w:sz w:val="18"/>
              <w:szCs w:val="18"/>
              <w:lang w:val="en-US" w:eastAsia="zh-CN"/>
            </w:rPr>
            <w:t>IEEE</w:t>
          </w:r>
          <w:r w:rsidRPr="0007493F">
            <w:rPr>
              <w:rFonts w:ascii="SimSun" w:hAnsi="SimSun" w:cs="SimSun" w:hint="eastAsia"/>
              <w:sz w:val="18"/>
              <w:szCs w:val="18"/>
              <w:lang w:val="en-US" w:eastAsia="zh-CN"/>
            </w:rPr>
            <w:t>）</w:t>
          </w:r>
          <w:r w:rsidRPr="0007493F">
            <w:rPr>
              <w:sz w:val="18"/>
              <w:szCs w:val="18"/>
              <w:lang w:val="en-US"/>
            </w:rPr>
            <w:t xml:space="preserve">Mustapha </w:t>
          </w:r>
          <w:proofErr w:type="spellStart"/>
          <w:r w:rsidRPr="0007493F">
            <w:rPr>
              <w:sz w:val="18"/>
              <w:szCs w:val="18"/>
              <w:lang w:val="en-US"/>
            </w:rPr>
            <w:t>Benjillali</w:t>
          </w:r>
          <w:proofErr w:type="spellEnd"/>
          <w:r w:rsidRPr="0007493F">
            <w:rPr>
              <w:rFonts w:ascii="SimSun" w:hAnsi="SimSun" w:cs="SimSun" w:hint="eastAsia"/>
              <w:sz w:val="18"/>
              <w:szCs w:val="18"/>
              <w:lang w:val="en-US" w:eastAsia="zh-CN"/>
            </w:rPr>
            <w:t>教授</w:t>
          </w:r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725E55B5" w:rsidR="005C45B6" w:rsidRPr="00536F3A" w:rsidRDefault="00811A8C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5D170508" w:rsidR="005C45B6" w:rsidRPr="00536F3A" w:rsidRDefault="00811A8C" w:rsidP="005C45B6">
          <w:pPr>
            <w:pStyle w:val="FirstFooter"/>
            <w:tabs>
              <w:tab w:val="left" w:pos="2443"/>
            </w:tabs>
          </w:pPr>
          <w:hyperlink r:id="rId1" w:history="1">
            <w:r w:rsidRPr="0007493F">
              <w:rPr>
                <w:rStyle w:val="Hyperlink"/>
                <w:sz w:val="18"/>
                <w:szCs w:val="18"/>
              </w:rPr>
              <w:t>benjillali@ieee.org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F935" w14:textId="77777777" w:rsidR="004C1B8D" w:rsidRDefault="004C1B8D">
      <w:r>
        <w:t>____________________</w:t>
      </w:r>
    </w:p>
  </w:footnote>
  <w:footnote w:type="continuationSeparator" w:id="0">
    <w:p w14:paraId="7C8429D0" w14:textId="77777777" w:rsidR="004C1B8D" w:rsidRDefault="004C1B8D">
      <w:r>
        <w:continuationSeparator/>
      </w:r>
    </w:p>
  </w:footnote>
  <w:footnote w:type="continuationNotice" w:id="1">
    <w:p w14:paraId="76281AF2" w14:textId="77777777" w:rsidR="004C1B8D" w:rsidRDefault="004C1B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2F862D0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811A8C">
      <w:rPr>
        <w:rFonts w:hint="eastAsia"/>
        <w:sz w:val="22"/>
        <w:szCs w:val="22"/>
        <w:lang w:eastAsia="zh-CN"/>
      </w:rPr>
      <w:t>11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31395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31395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AE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D450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408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A0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5C3B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E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EF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C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18D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881B23"/>
    <w:multiLevelType w:val="hybridMultilevel"/>
    <w:tmpl w:val="2F2AB478"/>
    <w:lvl w:ilvl="0" w:tplc="93E649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8B755C3"/>
    <w:multiLevelType w:val="hybridMultilevel"/>
    <w:tmpl w:val="C40CB06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64310104">
    <w:abstractNumId w:val="11"/>
  </w:num>
  <w:num w:numId="2" w16cid:durableId="938179392">
    <w:abstractNumId w:val="10"/>
  </w:num>
  <w:num w:numId="3" w16cid:durableId="1262839894">
    <w:abstractNumId w:val="9"/>
  </w:num>
  <w:num w:numId="4" w16cid:durableId="1581719690">
    <w:abstractNumId w:val="7"/>
  </w:num>
  <w:num w:numId="5" w16cid:durableId="1613053081">
    <w:abstractNumId w:val="6"/>
  </w:num>
  <w:num w:numId="6" w16cid:durableId="559364563">
    <w:abstractNumId w:val="5"/>
  </w:num>
  <w:num w:numId="7" w16cid:durableId="140587061">
    <w:abstractNumId w:val="4"/>
  </w:num>
  <w:num w:numId="8" w16cid:durableId="806359339">
    <w:abstractNumId w:val="8"/>
  </w:num>
  <w:num w:numId="9" w16cid:durableId="568272604">
    <w:abstractNumId w:val="3"/>
  </w:num>
  <w:num w:numId="10" w16cid:durableId="542523188">
    <w:abstractNumId w:val="2"/>
  </w:num>
  <w:num w:numId="11" w16cid:durableId="1049232762">
    <w:abstractNumId w:val="1"/>
  </w:num>
  <w:num w:numId="12" w16cid:durableId="812600648">
    <w:abstractNumId w:val="0"/>
  </w:num>
  <w:num w:numId="13" w16cid:durableId="232542748">
    <w:abstractNumId w:val="8"/>
  </w:num>
  <w:num w:numId="14" w16cid:durableId="1671248720">
    <w:abstractNumId w:val="3"/>
  </w:num>
  <w:num w:numId="15" w16cid:durableId="2109616369">
    <w:abstractNumId w:val="2"/>
  </w:num>
  <w:num w:numId="16" w16cid:durableId="1075011927">
    <w:abstractNumId w:val="1"/>
  </w:num>
  <w:num w:numId="17" w16cid:durableId="15234229">
    <w:abstractNumId w:val="0"/>
  </w:num>
  <w:num w:numId="18" w16cid:durableId="1853492845">
    <w:abstractNumId w:val="8"/>
  </w:num>
  <w:num w:numId="19" w16cid:durableId="673068094">
    <w:abstractNumId w:val="3"/>
  </w:num>
  <w:num w:numId="20" w16cid:durableId="996687886">
    <w:abstractNumId w:val="2"/>
  </w:num>
  <w:num w:numId="21" w16cid:durableId="907493013">
    <w:abstractNumId w:val="1"/>
  </w:num>
  <w:num w:numId="22" w16cid:durableId="1695156710">
    <w:abstractNumId w:val="0"/>
  </w:num>
  <w:num w:numId="23" w16cid:durableId="909115956">
    <w:abstractNumId w:val="8"/>
  </w:num>
  <w:num w:numId="24" w16cid:durableId="1813282262">
    <w:abstractNumId w:val="3"/>
  </w:num>
  <w:num w:numId="25" w16cid:durableId="744764585">
    <w:abstractNumId w:val="2"/>
  </w:num>
  <w:num w:numId="26" w16cid:durableId="508954940">
    <w:abstractNumId w:val="1"/>
  </w:num>
  <w:num w:numId="27" w16cid:durableId="1391660408">
    <w:abstractNumId w:val="0"/>
  </w:num>
  <w:num w:numId="28" w16cid:durableId="33623680">
    <w:abstractNumId w:val="8"/>
  </w:num>
  <w:num w:numId="29" w16cid:durableId="201482075">
    <w:abstractNumId w:val="3"/>
  </w:num>
  <w:num w:numId="30" w16cid:durableId="1318878606">
    <w:abstractNumId w:val="2"/>
  </w:num>
  <w:num w:numId="31" w16cid:durableId="1030716444">
    <w:abstractNumId w:val="1"/>
  </w:num>
  <w:num w:numId="32" w16cid:durableId="119350283">
    <w:abstractNumId w:val="0"/>
  </w:num>
  <w:num w:numId="33" w16cid:durableId="1831411575">
    <w:abstractNumId w:val="8"/>
  </w:num>
  <w:num w:numId="34" w16cid:durableId="277152115">
    <w:abstractNumId w:val="3"/>
  </w:num>
  <w:num w:numId="35" w16cid:durableId="404497176">
    <w:abstractNumId w:val="2"/>
  </w:num>
  <w:num w:numId="36" w16cid:durableId="956567739">
    <w:abstractNumId w:val="1"/>
  </w:num>
  <w:num w:numId="37" w16cid:durableId="1782339039">
    <w:abstractNumId w:val="0"/>
  </w:num>
  <w:num w:numId="38" w16cid:durableId="1622417181">
    <w:abstractNumId w:val="8"/>
  </w:num>
  <w:num w:numId="39" w16cid:durableId="1108697090">
    <w:abstractNumId w:val="3"/>
  </w:num>
  <w:num w:numId="40" w16cid:durableId="1857689117">
    <w:abstractNumId w:val="2"/>
  </w:num>
  <w:num w:numId="41" w16cid:durableId="746994061">
    <w:abstractNumId w:val="1"/>
  </w:num>
  <w:num w:numId="42" w16cid:durableId="653412089">
    <w:abstractNumId w:val="0"/>
  </w:num>
  <w:num w:numId="43" w16cid:durableId="2131972777">
    <w:abstractNumId w:val="8"/>
  </w:num>
  <w:num w:numId="44" w16cid:durableId="6907712">
    <w:abstractNumId w:val="3"/>
  </w:num>
  <w:num w:numId="45" w16cid:durableId="2127773073">
    <w:abstractNumId w:val="2"/>
  </w:num>
  <w:num w:numId="46" w16cid:durableId="1117068803">
    <w:abstractNumId w:val="1"/>
  </w:num>
  <w:num w:numId="47" w16cid:durableId="15937800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F2E"/>
    <w:rsid w:val="00002716"/>
    <w:rsid w:val="00003C43"/>
    <w:rsid w:val="00005791"/>
    <w:rsid w:val="00010827"/>
    <w:rsid w:val="00015089"/>
    <w:rsid w:val="0002520B"/>
    <w:rsid w:val="00035B96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7F2"/>
    <w:rsid w:val="00107E85"/>
    <w:rsid w:val="001113B9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4F62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50E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32D4"/>
    <w:rsid w:val="002770B1"/>
    <w:rsid w:val="00285B33"/>
    <w:rsid w:val="00287A3C"/>
    <w:rsid w:val="002A2FC6"/>
    <w:rsid w:val="002B23D7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37617"/>
    <w:rsid w:val="003442FE"/>
    <w:rsid w:val="003458A4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269F5"/>
    <w:rsid w:val="0044411E"/>
    <w:rsid w:val="00447C7D"/>
    <w:rsid w:val="00453435"/>
    <w:rsid w:val="00460089"/>
    <w:rsid w:val="004604E0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C1B8D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139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76DC7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16D4C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38B0"/>
    <w:rsid w:val="006B5AA9"/>
    <w:rsid w:val="006B655F"/>
    <w:rsid w:val="006B66E2"/>
    <w:rsid w:val="006C10A2"/>
    <w:rsid w:val="006C1F18"/>
    <w:rsid w:val="006C529F"/>
    <w:rsid w:val="006D40D5"/>
    <w:rsid w:val="006F009A"/>
    <w:rsid w:val="006F3D93"/>
    <w:rsid w:val="007019B1"/>
    <w:rsid w:val="00721657"/>
    <w:rsid w:val="0072187A"/>
    <w:rsid w:val="007279A8"/>
    <w:rsid w:val="00727B1A"/>
    <w:rsid w:val="0073330B"/>
    <w:rsid w:val="00741337"/>
    <w:rsid w:val="00752258"/>
    <w:rsid w:val="007529E1"/>
    <w:rsid w:val="00762880"/>
    <w:rsid w:val="00762AD6"/>
    <w:rsid w:val="00762E02"/>
    <w:rsid w:val="00772290"/>
    <w:rsid w:val="00776E83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2C7A"/>
    <w:rsid w:val="0080332E"/>
    <w:rsid w:val="008069EB"/>
    <w:rsid w:val="00811A8C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E5523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5C0D"/>
    <w:rsid w:val="009F3940"/>
    <w:rsid w:val="009F3EB2"/>
    <w:rsid w:val="009F6EB1"/>
    <w:rsid w:val="00A000C2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139A"/>
    <w:rsid w:val="00C27AA2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1F0D"/>
    <w:rsid w:val="00CD2470"/>
    <w:rsid w:val="00CD2FCD"/>
    <w:rsid w:val="00CD7207"/>
    <w:rsid w:val="00CE0422"/>
    <w:rsid w:val="00CE0DBE"/>
    <w:rsid w:val="00CE36E9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4FC"/>
    <w:rsid w:val="00E00CAA"/>
    <w:rsid w:val="00E03EBF"/>
    <w:rsid w:val="00E05209"/>
    <w:rsid w:val="00E05AC1"/>
    <w:rsid w:val="00E11BCF"/>
    <w:rsid w:val="00E2258E"/>
    <w:rsid w:val="00E260C2"/>
    <w:rsid w:val="00E32596"/>
    <w:rsid w:val="00E32F81"/>
    <w:rsid w:val="00E368F7"/>
    <w:rsid w:val="00E36EB8"/>
    <w:rsid w:val="00E37FB8"/>
    <w:rsid w:val="00E40B07"/>
    <w:rsid w:val="00E42326"/>
    <w:rsid w:val="00E43544"/>
    <w:rsid w:val="00E44D89"/>
    <w:rsid w:val="00E47328"/>
    <w:rsid w:val="00E477EA"/>
    <w:rsid w:val="00E47A51"/>
    <w:rsid w:val="00E5535B"/>
    <w:rsid w:val="00E55807"/>
    <w:rsid w:val="00E63B14"/>
    <w:rsid w:val="00E65CA0"/>
    <w:rsid w:val="00E70D9F"/>
    <w:rsid w:val="00E83810"/>
    <w:rsid w:val="00E83FE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2027A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55F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F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6DC7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Figure">
    <w:name w:val="Figure"/>
    <w:basedOn w:val="Normal"/>
    <w:next w:val="Figuretitle"/>
    <w:rsid w:val="00E83FE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SimSun" w:hAnsi="Times New Roman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811A8C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research-publications/digital-skills-toolk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d/meetings/digital-skills-for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jillali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17272-3110-457D-A549-45C6890679D6}"/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1054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LING-C(LZ)</cp:lastModifiedBy>
  <cp:revision>27</cp:revision>
  <cp:lastPrinted>2014-11-04T09:22:00Z</cp:lastPrinted>
  <dcterms:created xsi:type="dcterms:W3CDTF">2025-04-22T08:16:00Z</dcterms:created>
  <dcterms:modified xsi:type="dcterms:W3CDTF">2025-04-23T11:49:00Z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