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60D50AB2" w14:textId="77777777" w:rsidTr="00042FE4">
        <w:trPr>
          <w:cantSplit/>
          <w:trHeight w:val="1134"/>
        </w:trPr>
        <w:tc>
          <w:tcPr>
            <w:tcW w:w="1985" w:type="dxa"/>
          </w:tcPr>
          <w:p w14:paraId="78E9E342"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24075F20" wp14:editId="535DBAC0">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3FC04872"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4EA825CA"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23BE9133" w14:textId="77777777" w:rsidR="00307769" w:rsidRPr="00683C32" w:rsidRDefault="00307769" w:rsidP="00042FE4">
            <w:pPr>
              <w:spacing w:after="120"/>
              <w:ind w:right="142"/>
              <w:jc w:val="right"/>
            </w:pPr>
            <w:r>
              <w:rPr>
                <w:noProof/>
                <w:lang w:val="fr-FR" w:eastAsia="fr-FR"/>
              </w:rPr>
              <w:drawing>
                <wp:inline distT="0" distB="0" distL="0" distR="0" wp14:anchorId="25D08A02" wp14:editId="4C4B254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4CB9EC08" w14:textId="77777777" w:rsidTr="0009076F">
        <w:trPr>
          <w:cantSplit/>
        </w:trPr>
        <w:tc>
          <w:tcPr>
            <w:tcW w:w="6379" w:type="dxa"/>
            <w:gridSpan w:val="2"/>
            <w:tcBorders>
              <w:top w:val="single" w:sz="12" w:space="0" w:color="auto"/>
            </w:tcBorders>
          </w:tcPr>
          <w:p w14:paraId="68083F34"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1F6DA75A" w14:textId="77777777" w:rsidR="00683C32" w:rsidRPr="00997358" w:rsidRDefault="00683C32" w:rsidP="00107E85">
            <w:pPr>
              <w:spacing w:before="0"/>
              <w:rPr>
                <w:b/>
                <w:bCs/>
                <w:sz w:val="20"/>
              </w:rPr>
            </w:pPr>
          </w:p>
        </w:tc>
      </w:tr>
      <w:tr w:rsidR="00683C32" w:rsidRPr="00002716" w14:paraId="245F6115" w14:textId="77777777" w:rsidTr="0009076F">
        <w:trPr>
          <w:cantSplit/>
        </w:trPr>
        <w:tc>
          <w:tcPr>
            <w:tcW w:w="6379" w:type="dxa"/>
            <w:gridSpan w:val="2"/>
          </w:tcPr>
          <w:p w14:paraId="13A0BB90" w14:textId="77777777" w:rsidR="00683C32" w:rsidRPr="007F1CC7" w:rsidRDefault="00683C32" w:rsidP="00400CCF">
            <w:pPr>
              <w:pStyle w:val="Committee"/>
              <w:spacing w:before="0"/>
              <w:rPr>
                <w:b w:val="0"/>
                <w:szCs w:val="24"/>
              </w:rPr>
            </w:pPr>
          </w:p>
        </w:tc>
        <w:tc>
          <w:tcPr>
            <w:tcW w:w="3509" w:type="dxa"/>
            <w:gridSpan w:val="2"/>
          </w:tcPr>
          <w:p w14:paraId="18482FD3" w14:textId="72C2402E"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772C93">
              <w:rPr>
                <w:rFonts w:hint="eastAsia"/>
                <w:b/>
                <w:bCs/>
                <w:lang w:val="en-US" w:eastAsia="zh-CN"/>
              </w:rPr>
              <w:t>10</w:t>
            </w:r>
            <w:r w:rsidR="0096201B">
              <w:rPr>
                <w:b/>
                <w:bCs/>
                <w:lang w:val="en-US"/>
              </w:rPr>
              <w:t>-</w:t>
            </w:r>
            <w:r>
              <w:rPr>
                <w:rFonts w:hint="eastAsia"/>
                <w:b/>
                <w:bCs/>
                <w:lang w:val="en-US" w:eastAsia="zh-CN"/>
              </w:rPr>
              <w:t>C</w:t>
            </w:r>
          </w:p>
        </w:tc>
      </w:tr>
      <w:tr w:rsidR="00683C32" w14:paraId="4726125F" w14:textId="77777777" w:rsidTr="0009076F">
        <w:trPr>
          <w:cantSplit/>
        </w:trPr>
        <w:tc>
          <w:tcPr>
            <w:tcW w:w="6379" w:type="dxa"/>
            <w:gridSpan w:val="2"/>
          </w:tcPr>
          <w:p w14:paraId="7A1C3BA4" w14:textId="77777777" w:rsidR="00683C32" w:rsidRPr="007F1CC7" w:rsidRDefault="00683C32" w:rsidP="00400CCF">
            <w:pPr>
              <w:spacing w:before="0"/>
              <w:rPr>
                <w:b/>
                <w:bCs/>
                <w:smallCaps/>
                <w:szCs w:val="24"/>
                <w:lang w:val="en-US"/>
              </w:rPr>
            </w:pPr>
          </w:p>
        </w:tc>
        <w:tc>
          <w:tcPr>
            <w:tcW w:w="3509" w:type="dxa"/>
            <w:gridSpan w:val="2"/>
          </w:tcPr>
          <w:p w14:paraId="2828FAB1" w14:textId="02E20251" w:rsidR="00683C32" w:rsidRPr="007F1CC7" w:rsidRDefault="00772C93" w:rsidP="00B648C7">
            <w:pPr>
              <w:spacing w:before="0"/>
              <w:rPr>
                <w:b/>
                <w:szCs w:val="24"/>
              </w:rPr>
            </w:pPr>
            <w:bookmarkStart w:id="2" w:name="CreationDate"/>
            <w:bookmarkEnd w:id="2"/>
            <w:r w:rsidRPr="00226F56">
              <w:rPr>
                <w:b/>
                <w:bCs/>
                <w:szCs w:val="28"/>
              </w:rPr>
              <w:t>2025</w:t>
            </w:r>
            <w:r>
              <w:rPr>
                <w:rFonts w:hint="eastAsia"/>
                <w:b/>
                <w:bCs/>
                <w:szCs w:val="28"/>
                <w:lang w:eastAsia="zh-CN"/>
              </w:rPr>
              <w:t>年</w:t>
            </w:r>
            <w:r>
              <w:rPr>
                <w:rFonts w:hint="eastAsia"/>
                <w:b/>
                <w:bCs/>
                <w:szCs w:val="28"/>
                <w:lang w:eastAsia="zh-CN"/>
              </w:rPr>
              <w:t>3</w:t>
            </w:r>
            <w:r>
              <w:rPr>
                <w:rFonts w:hint="eastAsia"/>
                <w:b/>
                <w:bCs/>
                <w:szCs w:val="28"/>
                <w:lang w:eastAsia="zh-CN"/>
              </w:rPr>
              <w:t>月</w:t>
            </w:r>
            <w:r>
              <w:rPr>
                <w:rFonts w:hint="eastAsia"/>
                <w:b/>
                <w:bCs/>
                <w:szCs w:val="28"/>
                <w:lang w:eastAsia="zh-CN"/>
              </w:rPr>
              <w:t>31</w:t>
            </w:r>
            <w:r>
              <w:rPr>
                <w:rFonts w:hint="eastAsia"/>
                <w:b/>
                <w:bCs/>
                <w:szCs w:val="28"/>
                <w:lang w:eastAsia="zh-CN"/>
              </w:rPr>
              <w:t>日</w:t>
            </w:r>
          </w:p>
        </w:tc>
      </w:tr>
      <w:tr w:rsidR="00683C32" w14:paraId="1E5F8055" w14:textId="77777777" w:rsidTr="0009076F">
        <w:trPr>
          <w:cantSplit/>
        </w:trPr>
        <w:tc>
          <w:tcPr>
            <w:tcW w:w="6379" w:type="dxa"/>
            <w:gridSpan w:val="2"/>
          </w:tcPr>
          <w:p w14:paraId="1A9B9796" w14:textId="77777777" w:rsidR="00683C32" w:rsidRPr="007F1CC7" w:rsidRDefault="00683C32" w:rsidP="00400CCF">
            <w:pPr>
              <w:spacing w:before="0"/>
              <w:rPr>
                <w:b/>
                <w:bCs/>
                <w:smallCaps/>
                <w:szCs w:val="24"/>
              </w:rPr>
            </w:pPr>
          </w:p>
        </w:tc>
        <w:tc>
          <w:tcPr>
            <w:tcW w:w="3509" w:type="dxa"/>
            <w:gridSpan w:val="2"/>
          </w:tcPr>
          <w:p w14:paraId="5E131D7F" w14:textId="77777777" w:rsidR="00514D2F" w:rsidRPr="007F1CC7" w:rsidRDefault="00966BA6" w:rsidP="00400CCF">
            <w:pPr>
              <w:spacing w:before="0"/>
              <w:rPr>
                <w:szCs w:val="24"/>
              </w:rPr>
            </w:pPr>
            <w:r>
              <w:rPr>
                <w:rFonts w:hint="eastAsia"/>
                <w:b/>
                <w:lang w:eastAsia="zh-CN"/>
              </w:rPr>
              <w:t>原文：英文</w:t>
            </w:r>
          </w:p>
        </w:tc>
      </w:tr>
      <w:tr w:rsidR="00A13162" w14:paraId="17A40001" w14:textId="77777777" w:rsidTr="00107E85">
        <w:trPr>
          <w:cantSplit/>
          <w:trHeight w:val="852"/>
        </w:trPr>
        <w:tc>
          <w:tcPr>
            <w:tcW w:w="9888" w:type="dxa"/>
            <w:gridSpan w:val="4"/>
          </w:tcPr>
          <w:p w14:paraId="50CB05A2" w14:textId="0E471ED7" w:rsidR="00A13162" w:rsidRPr="0030353C" w:rsidRDefault="00772C93" w:rsidP="0030353C">
            <w:pPr>
              <w:pStyle w:val="Source"/>
            </w:pPr>
            <w:bookmarkStart w:id="3" w:name="Source"/>
            <w:bookmarkEnd w:id="3"/>
            <w:r>
              <w:rPr>
                <w:rFonts w:hint="eastAsia"/>
                <w:lang w:eastAsia="zh-CN"/>
              </w:rPr>
              <w:t>电信发展局主任</w:t>
            </w:r>
          </w:p>
        </w:tc>
      </w:tr>
      <w:tr w:rsidR="00AC6F14" w:rsidRPr="002E6963" w14:paraId="7D94FEF6" w14:textId="77777777" w:rsidTr="00107E85">
        <w:trPr>
          <w:cantSplit/>
        </w:trPr>
        <w:tc>
          <w:tcPr>
            <w:tcW w:w="9888" w:type="dxa"/>
            <w:gridSpan w:val="4"/>
          </w:tcPr>
          <w:p w14:paraId="09A0EC46" w14:textId="415604D2" w:rsidR="00AC6F14" w:rsidRPr="0030353C" w:rsidRDefault="00772C93" w:rsidP="0030353C">
            <w:pPr>
              <w:pStyle w:val="Title1"/>
              <w:rPr>
                <w:lang w:eastAsia="zh-CN"/>
              </w:rPr>
            </w:pPr>
            <w:bookmarkStart w:id="4" w:name="Title"/>
            <w:bookmarkEnd w:id="4"/>
            <w:r w:rsidRPr="00226F56">
              <w:rPr>
                <w:rFonts w:hint="eastAsia"/>
                <w:lang w:eastAsia="zh-CN"/>
              </w:rPr>
              <w:t>数字化发展创新</w:t>
            </w:r>
            <w:r>
              <w:rPr>
                <w:rFonts w:hint="eastAsia"/>
                <w:lang w:eastAsia="zh-CN"/>
              </w:rPr>
              <w:t>和</w:t>
            </w:r>
            <w:r w:rsidRPr="00226F56">
              <w:rPr>
                <w:rFonts w:hint="eastAsia"/>
                <w:lang w:eastAsia="zh-CN"/>
              </w:rPr>
              <w:t>创业联盟</w:t>
            </w:r>
          </w:p>
        </w:tc>
      </w:tr>
      <w:tr w:rsidR="00A721F4" w:rsidRPr="002E6963" w14:paraId="7C0B86C0" w14:textId="77777777" w:rsidTr="00A721F4">
        <w:trPr>
          <w:cantSplit/>
        </w:trPr>
        <w:tc>
          <w:tcPr>
            <w:tcW w:w="9888" w:type="dxa"/>
            <w:gridSpan w:val="4"/>
            <w:tcBorders>
              <w:bottom w:val="single" w:sz="4" w:space="0" w:color="auto"/>
            </w:tcBorders>
          </w:tcPr>
          <w:p w14:paraId="580612C9" w14:textId="77777777" w:rsidR="00A721F4" w:rsidRPr="00A721F4" w:rsidRDefault="00A721F4" w:rsidP="0030353C">
            <w:pPr>
              <w:rPr>
                <w:lang w:eastAsia="zh-CN"/>
              </w:rPr>
            </w:pPr>
          </w:p>
        </w:tc>
      </w:tr>
      <w:tr w:rsidR="00A721F4" w:rsidRPr="002E6963" w14:paraId="0E3F7345"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13D7CDE" w14:textId="77777777" w:rsidR="00A721F4" w:rsidRPr="00D9621A" w:rsidRDefault="00966BA6" w:rsidP="00EA0C51">
            <w:pPr>
              <w:spacing w:after="120"/>
              <w:rPr>
                <w:b/>
                <w:bCs/>
                <w:szCs w:val="24"/>
                <w:lang w:eastAsia="zh-CN"/>
              </w:rPr>
            </w:pPr>
            <w:r>
              <w:rPr>
                <w:rFonts w:hint="eastAsia"/>
                <w:b/>
                <w:bCs/>
                <w:szCs w:val="24"/>
                <w:lang w:eastAsia="zh-CN"/>
              </w:rPr>
              <w:t>概要：</w:t>
            </w:r>
          </w:p>
          <w:p w14:paraId="16C96885" w14:textId="77777777" w:rsidR="00772C93" w:rsidRPr="00226F56" w:rsidRDefault="00772C93" w:rsidP="00772C93">
            <w:pPr>
              <w:spacing w:after="120"/>
              <w:ind w:firstLineChars="200" w:firstLine="480"/>
              <w:rPr>
                <w:lang w:eastAsia="zh-CN"/>
              </w:rPr>
            </w:pPr>
            <w:r w:rsidRPr="00065979">
              <w:rPr>
                <w:rFonts w:hint="eastAsia"/>
                <w:lang w:eastAsia="zh-CN"/>
              </w:rPr>
              <w:t>本文件提供了数字</w:t>
            </w:r>
            <w:r>
              <w:rPr>
                <w:rFonts w:hint="eastAsia"/>
                <w:lang w:eastAsia="zh-CN"/>
              </w:rPr>
              <w:t>化</w:t>
            </w:r>
            <w:r w:rsidRPr="00065979">
              <w:rPr>
                <w:rFonts w:hint="eastAsia"/>
                <w:lang w:eastAsia="zh-CN"/>
              </w:rPr>
              <w:t>发展创新和创业联盟的最新</w:t>
            </w:r>
            <w:r>
              <w:rPr>
                <w:rFonts w:hint="eastAsia"/>
                <w:lang w:eastAsia="zh-CN"/>
              </w:rPr>
              <w:t>信息。成立</w:t>
            </w:r>
            <w:r w:rsidRPr="00065979">
              <w:rPr>
                <w:rFonts w:hint="eastAsia"/>
                <w:lang w:eastAsia="zh-CN"/>
              </w:rPr>
              <w:t>该联盟</w:t>
            </w:r>
            <w:r>
              <w:rPr>
                <w:rFonts w:hint="eastAsia"/>
                <w:lang w:eastAsia="zh-CN"/>
              </w:rPr>
              <w:t>旨在解决</w:t>
            </w:r>
            <w:r w:rsidRPr="00065979">
              <w:rPr>
                <w:rFonts w:hint="eastAsia"/>
                <w:lang w:eastAsia="zh-CN"/>
              </w:rPr>
              <w:t>国际电联成员在创新领域未</w:t>
            </w:r>
            <w:r>
              <w:rPr>
                <w:rFonts w:hint="eastAsia"/>
                <w:lang w:eastAsia="zh-CN"/>
              </w:rPr>
              <w:t>得到</w:t>
            </w:r>
            <w:r w:rsidRPr="00065979">
              <w:rPr>
                <w:rFonts w:hint="eastAsia"/>
                <w:lang w:eastAsia="zh-CN"/>
              </w:rPr>
              <w:t>满足的重大需求</w:t>
            </w:r>
            <w:r>
              <w:rPr>
                <w:rFonts w:hint="eastAsia"/>
                <w:lang w:eastAsia="zh-CN"/>
              </w:rPr>
              <w:t>，如下文</w:t>
            </w:r>
            <w:proofErr w:type="gramStart"/>
            <w:r>
              <w:rPr>
                <w:rFonts w:hint="eastAsia"/>
                <w:lang w:eastAsia="zh-CN"/>
              </w:rPr>
              <w:t>所参引的</w:t>
            </w:r>
            <w:proofErr w:type="gramEnd"/>
            <w:r w:rsidRPr="00065979">
              <w:rPr>
                <w:lang w:eastAsia="zh-CN"/>
              </w:rPr>
              <w:t>2022</w:t>
            </w:r>
            <w:r w:rsidRPr="00065979">
              <w:rPr>
                <w:rFonts w:hint="eastAsia"/>
                <w:lang w:eastAsia="zh-CN"/>
              </w:rPr>
              <w:t>年世界电信发展大会（</w:t>
            </w:r>
            <w:r w:rsidRPr="00065979">
              <w:rPr>
                <w:lang w:eastAsia="zh-CN"/>
              </w:rPr>
              <w:t>WTDC-22</w:t>
            </w:r>
            <w:r w:rsidRPr="00065979">
              <w:rPr>
                <w:rFonts w:hint="eastAsia"/>
                <w:lang w:eastAsia="zh-CN"/>
              </w:rPr>
              <w:t>）通过的《基加利行动计划》和</w:t>
            </w:r>
            <w:r>
              <w:rPr>
                <w:rFonts w:hint="eastAsia"/>
                <w:lang w:eastAsia="zh-CN"/>
              </w:rPr>
              <w:t>2022</w:t>
            </w:r>
            <w:r>
              <w:rPr>
                <w:rFonts w:hint="eastAsia"/>
                <w:lang w:eastAsia="zh-CN"/>
              </w:rPr>
              <w:t>年</w:t>
            </w:r>
            <w:r w:rsidRPr="00065979">
              <w:rPr>
                <w:rFonts w:hint="eastAsia"/>
                <w:lang w:eastAsia="zh-CN"/>
              </w:rPr>
              <w:t>国际电联全权代表大会（</w:t>
            </w:r>
            <w:r w:rsidRPr="00065979">
              <w:rPr>
                <w:lang w:eastAsia="zh-CN"/>
              </w:rPr>
              <w:t>PP-22</w:t>
            </w:r>
            <w:r w:rsidRPr="00065979">
              <w:rPr>
                <w:rFonts w:hint="eastAsia"/>
                <w:lang w:eastAsia="zh-CN"/>
              </w:rPr>
              <w:t>）相关决议所述。</w:t>
            </w:r>
          </w:p>
          <w:p w14:paraId="47BB7422" w14:textId="77777777" w:rsidR="00772C93" w:rsidRPr="00226F56" w:rsidRDefault="00772C93" w:rsidP="00772C93">
            <w:pPr>
              <w:spacing w:after="120"/>
              <w:ind w:firstLineChars="200" w:firstLine="480"/>
              <w:rPr>
                <w:lang w:eastAsia="zh-CN"/>
              </w:rPr>
            </w:pPr>
            <w:r w:rsidRPr="00065979">
              <w:rPr>
                <w:rFonts w:hint="eastAsia"/>
                <w:lang w:eastAsia="zh-CN"/>
              </w:rPr>
              <w:t>该联盟将为实施</w:t>
            </w:r>
            <w:r w:rsidRPr="00065979">
              <w:rPr>
                <w:lang w:eastAsia="zh-CN"/>
              </w:rPr>
              <w:t>WTDC-22</w:t>
            </w:r>
            <w:r w:rsidRPr="00065979">
              <w:rPr>
                <w:rFonts w:hint="eastAsia"/>
                <w:lang w:eastAsia="zh-CN"/>
              </w:rPr>
              <w:t>的五个优先领域和有关数字化转型的优先领域做出贡献。</w:t>
            </w:r>
          </w:p>
          <w:p w14:paraId="0EEC3A13" w14:textId="7D631091" w:rsidR="00A721F4" w:rsidRPr="00D9621A" w:rsidRDefault="00772C93" w:rsidP="00772C93">
            <w:pPr>
              <w:spacing w:after="120"/>
              <w:ind w:firstLineChars="200" w:firstLine="480"/>
              <w:rPr>
                <w:szCs w:val="24"/>
                <w:lang w:eastAsia="zh-CN"/>
              </w:rPr>
            </w:pPr>
            <w:r>
              <w:rPr>
                <w:rFonts w:hint="eastAsia"/>
                <w:lang w:eastAsia="zh-CN"/>
              </w:rPr>
              <w:t>本</w:t>
            </w:r>
            <w:r w:rsidRPr="00065979">
              <w:rPr>
                <w:rFonts w:hint="eastAsia"/>
                <w:lang w:eastAsia="zh-CN"/>
              </w:rPr>
              <w:t>文件介绍了数字化发展创新</w:t>
            </w:r>
            <w:r>
              <w:rPr>
                <w:rFonts w:hint="eastAsia"/>
                <w:lang w:eastAsia="zh-CN"/>
              </w:rPr>
              <w:t>和</w:t>
            </w:r>
            <w:r w:rsidRPr="00065979">
              <w:rPr>
                <w:rFonts w:hint="eastAsia"/>
                <w:lang w:eastAsia="zh-CN"/>
              </w:rPr>
              <w:t>创业联盟取得的进展，并就其即将开展的实施活动提出了见解。</w:t>
            </w:r>
            <w:r>
              <w:rPr>
                <w:rFonts w:hint="eastAsia"/>
                <w:lang w:eastAsia="zh-CN"/>
              </w:rPr>
              <w:t>此</w:t>
            </w:r>
            <w:r w:rsidRPr="00065979">
              <w:rPr>
                <w:rFonts w:hint="eastAsia"/>
                <w:lang w:eastAsia="zh-CN"/>
              </w:rPr>
              <w:t>举措将有助于区域性创新和创业举措</w:t>
            </w:r>
            <w:proofErr w:type="gramStart"/>
            <w:r w:rsidRPr="00065979">
              <w:rPr>
                <w:rFonts w:hint="eastAsia"/>
                <w:lang w:eastAsia="zh-CN"/>
              </w:rPr>
              <w:t>下</w:t>
            </w:r>
            <w:r>
              <w:rPr>
                <w:rFonts w:hint="eastAsia"/>
                <w:lang w:eastAsia="zh-CN"/>
              </w:rPr>
              <w:t>各</w:t>
            </w:r>
            <w:r w:rsidRPr="00065979">
              <w:rPr>
                <w:rFonts w:hint="eastAsia"/>
                <w:lang w:eastAsia="zh-CN"/>
              </w:rPr>
              <w:t>项</w:t>
            </w:r>
            <w:proofErr w:type="gramEnd"/>
            <w:r w:rsidRPr="00065979">
              <w:rPr>
                <w:rFonts w:hint="eastAsia"/>
                <w:lang w:eastAsia="zh-CN"/>
              </w:rPr>
              <w:t>目</w:t>
            </w:r>
            <w:r>
              <w:rPr>
                <w:rFonts w:hint="eastAsia"/>
                <w:lang w:eastAsia="zh-CN"/>
              </w:rPr>
              <w:t>的顺利</w:t>
            </w:r>
            <w:r w:rsidRPr="00065979">
              <w:rPr>
                <w:rFonts w:hint="eastAsia"/>
                <w:lang w:eastAsia="zh-CN"/>
              </w:rPr>
              <w:t>实施。</w:t>
            </w:r>
          </w:p>
          <w:p w14:paraId="177CB42F" w14:textId="77777777" w:rsidR="00A721F4" w:rsidRPr="00D9621A" w:rsidRDefault="00966BA6" w:rsidP="00EA0C51">
            <w:pPr>
              <w:spacing w:after="120"/>
              <w:rPr>
                <w:b/>
                <w:bCs/>
                <w:szCs w:val="24"/>
                <w:lang w:eastAsia="zh-CN"/>
              </w:rPr>
            </w:pPr>
            <w:r>
              <w:rPr>
                <w:rFonts w:hint="eastAsia"/>
                <w:b/>
                <w:bCs/>
                <w:lang w:eastAsia="zh-CN"/>
              </w:rPr>
              <w:t>需采取的行动：</w:t>
            </w:r>
          </w:p>
          <w:p w14:paraId="26193B47" w14:textId="585A8050" w:rsidR="00A721F4" w:rsidRPr="00D9621A" w:rsidRDefault="00772C93" w:rsidP="00772C93">
            <w:pPr>
              <w:spacing w:after="120"/>
              <w:ind w:firstLineChars="200" w:firstLine="480"/>
              <w:rPr>
                <w:szCs w:val="24"/>
                <w:lang w:eastAsia="zh-CN"/>
              </w:rPr>
            </w:pPr>
            <w:r w:rsidRPr="00065979">
              <w:rPr>
                <w:rFonts w:hint="eastAsia"/>
                <w:lang w:eastAsia="zh-CN"/>
              </w:rPr>
              <w:t>请</w:t>
            </w:r>
            <w:r w:rsidRPr="00065979">
              <w:rPr>
                <w:lang w:eastAsia="zh-CN"/>
              </w:rPr>
              <w:t>TDAG</w:t>
            </w:r>
            <w:r w:rsidRPr="00065979">
              <w:rPr>
                <w:rFonts w:hint="eastAsia"/>
                <w:lang w:eastAsia="zh-CN"/>
              </w:rPr>
              <w:t>将本文件记录在案并酌情提供指导。</w:t>
            </w:r>
          </w:p>
          <w:p w14:paraId="3103E238" w14:textId="77777777" w:rsidR="00A721F4" w:rsidRPr="00D9621A" w:rsidRDefault="00966BA6" w:rsidP="00EA0C51">
            <w:pPr>
              <w:spacing w:after="120"/>
              <w:rPr>
                <w:b/>
                <w:bCs/>
                <w:szCs w:val="24"/>
                <w:lang w:eastAsia="zh-CN"/>
              </w:rPr>
            </w:pPr>
            <w:r>
              <w:rPr>
                <w:rFonts w:hint="eastAsia"/>
                <w:b/>
                <w:bCs/>
                <w:szCs w:val="24"/>
                <w:lang w:eastAsia="zh-CN"/>
              </w:rPr>
              <w:t>参考文件：</w:t>
            </w:r>
          </w:p>
          <w:p w14:paraId="41659566" w14:textId="77777777" w:rsidR="00772C93" w:rsidRPr="00226F56" w:rsidRDefault="00772C93" w:rsidP="00772C93">
            <w:pPr>
              <w:spacing w:after="120"/>
              <w:rPr>
                <w:lang w:eastAsia="zh-CN"/>
              </w:rPr>
            </w:pPr>
            <w:r w:rsidRPr="00065979">
              <w:rPr>
                <w:lang w:eastAsia="zh-CN"/>
              </w:rPr>
              <w:t>WTDC</w:t>
            </w:r>
            <w:r w:rsidRPr="00065979">
              <w:rPr>
                <w:rFonts w:hint="eastAsia"/>
                <w:lang w:eastAsia="zh-CN"/>
              </w:rPr>
              <w:t>第</w:t>
            </w:r>
            <w:r w:rsidRPr="00065979">
              <w:rPr>
                <w:lang w:eastAsia="zh-CN"/>
              </w:rPr>
              <w:t>90</w:t>
            </w:r>
            <w:r w:rsidRPr="00065979">
              <w:rPr>
                <w:rFonts w:hint="eastAsia"/>
                <w:lang w:eastAsia="zh-CN"/>
              </w:rPr>
              <w:t>、</w:t>
            </w:r>
            <w:r w:rsidRPr="00065979">
              <w:rPr>
                <w:lang w:eastAsia="zh-CN"/>
              </w:rPr>
              <w:t>89</w:t>
            </w:r>
            <w:r w:rsidRPr="00065979">
              <w:rPr>
                <w:rFonts w:hint="eastAsia"/>
                <w:lang w:eastAsia="zh-CN"/>
              </w:rPr>
              <w:t>和</w:t>
            </w:r>
            <w:r w:rsidRPr="00065979">
              <w:rPr>
                <w:lang w:eastAsia="zh-CN"/>
              </w:rPr>
              <w:t>85</w:t>
            </w:r>
            <w:r w:rsidRPr="00065979">
              <w:rPr>
                <w:rFonts w:hint="eastAsia"/>
                <w:lang w:eastAsia="zh-CN"/>
              </w:rPr>
              <w:t>号决议（</w:t>
            </w:r>
            <w:r w:rsidRPr="00065979">
              <w:rPr>
                <w:lang w:eastAsia="zh-CN"/>
              </w:rPr>
              <w:t>2022</w:t>
            </w:r>
            <w:r w:rsidRPr="00065979">
              <w:rPr>
                <w:rFonts w:hint="eastAsia"/>
                <w:lang w:eastAsia="zh-CN"/>
              </w:rPr>
              <w:t>年，基加利）。</w:t>
            </w:r>
          </w:p>
          <w:p w14:paraId="712133B5" w14:textId="77777777" w:rsidR="00772C93" w:rsidRPr="00226F56" w:rsidRDefault="00772C93" w:rsidP="00772C93">
            <w:pPr>
              <w:spacing w:after="120"/>
              <w:rPr>
                <w:lang w:eastAsia="zh-CN"/>
              </w:rPr>
            </w:pPr>
            <w:r w:rsidRPr="00065979">
              <w:rPr>
                <w:rFonts w:hint="eastAsia"/>
                <w:lang w:eastAsia="zh-CN"/>
              </w:rPr>
              <w:t>国际电联区域性举措</w:t>
            </w:r>
            <w:r w:rsidRPr="00065979">
              <w:rPr>
                <w:lang w:eastAsia="zh-CN"/>
              </w:rPr>
              <w:t>AFR4</w:t>
            </w:r>
            <w:r w:rsidRPr="00065979">
              <w:rPr>
                <w:rFonts w:hint="eastAsia"/>
                <w:lang w:eastAsia="zh-CN"/>
              </w:rPr>
              <w:t>、</w:t>
            </w:r>
            <w:r w:rsidRPr="00065979">
              <w:rPr>
                <w:lang w:eastAsia="zh-CN"/>
              </w:rPr>
              <w:t>AMS3</w:t>
            </w:r>
            <w:r w:rsidRPr="00065979">
              <w:rPr>
                <w:rFonts w:hint="eastAsia"/>
                <w:lang w:eastAsia="zh-CN"/>
              </w:rPr>
              <w:t>、</w:t>
            </w:r>
            <w:r w:rsidRPr="00065979">
              <w:rPr>
                <w:lang w:eastAsia="zh-CN"/>
              </w:rPr>
              <w:t>ARB4</w:t>
            </w:r>
            <w:r w:rsidRPr="00065979">
              <w:rPr>
                <w:rFonts w:hint="eastAsia"/>
                <w:lang w:eastAsia="zh-CN"/>
              </w:rPr>
              <w:t>、</w:t>
            </w:r>
            <w:r w:rsidRPr="00065979">
              <w:rPr>
                <w:lang w:eastAsia="zh-CN"/>
              </w:rPr>
              <w:t>ASP4</w:t>
            </w:r>
            <w:r w:rsidRPr="00065979">
              <w:rPr>
                <w:rFonts w:hint="eastAsia"/>
                <w:lang w:eastAsia="zh-CN"/>
              </w:rPr>
              <w:t>、</w:t>
            </w:r>
            <w:r w:rsidRPr="00065979">
              <w:rPr>
                <w:lang w:eastAsia="zh-CN"/>
              </w:rPr>
              <w:t>CIS3</w:t>
            </w:r>
            <w:r w:rsidRPr="00065979">
              <w:rPr>
                <w:rFonts w:hint="eastAsia"/>
                <w:lang w:eastAsia="zh-CN"/>
              </w:rPr>
              <w:t>、</w:t>
            </w:r>
            <w:r w:rsidRPr="00065979">
              <w:rPr>
                <w:lang w:eastAsia="zh-CN"/>
              </w:rPr>
              <w:t>CIS5</w:t>
            </w:r>
            <w:r w:rsidRPr="00065979">
              <w:rPr>
                <w:rFonts w:hint="eastAsia"/>
                <w:lang w:eastAsia="zh-CN"/>
              </w:rPr>
              <w:t>、</w:t>
            </w:r>
            <w:r w:rsidRPr="00065979">
              <w:rPr>
                <w:lang w:eastAsia="zh-CN"/>
              </w:rPr>
              <w:t>EUR5</w:t>
            </w:r>
            <w:r w:rsidRPr="00065979">
              <w:rPr>
                <w:rFonts w:hint="eastAsia"/>
                <w:lang w:eastAsia="zh-CN"/>
              </w:rPr>
              <w:t>。</w:t>
            </w:r>
          </w:p>
          <w:p w14:paraId="7D0A467F" w14:textId="21C995CD" w:rsidR="00A721F4" w:rsidRPr="00D9621A" w:rsidRDefault="00772C93" w:rsidP="00772C93">
            <w:pPr>
              <w:spacing w:after="120"/>
              <w:rPr>
                <w:lang w:eastAsia="zh-CN"/>
              </w:rPr>
            </w:pPr>
            <w:r w:rsidRPr="00065979">
              <w:rPr>
                <w:rFonts w:hint="eastAsia"/>
                <w:lang w:eastAsia="zh-CN"/>
              </w:rPr>
              <w:t>全权代表大会</w:t>
            </w:r>
            <w:r>
              <w:rPr>
                <w:rFonts w:hint="eastAsia"/>
                <w:lang w:eastAsia="zh-CN"/>
              </w:rPr>
              <w:t>（</w:t>
            </w:r>
            <w:r>
              <w:rPr>
                <w:rFonts w:hint="eastAsia"/>
                <w:lang w:eastAsia="zh-CN"/>
              </w:rPr>
              <w:t>PP</w:t>
            </w:r>
            <w:r>
              <w:rPr>
                <w:rFonts w:hint="eastAsia"/>
                <w:lang w:eastAsia="zh-CN"/>
              </w:rPr>
              <w:t>）</w:t>
            </w:r>
            <w:r w:rsidRPr="00065979">
              <w:rPr>
                <w:rFonts w:hint="eastAsia"/>
                <w:lang w:eastAsia="zh-CN"/>
              </w:rPr>
              <w:t>第</w:t>
            </w:r>
            <w:r w:rsidRPr="00065979">
              <w:rPr>
                <w:lang w:eastAsia="zh-CN"/>
              </w:rPr>
              <w:t>205</w:t>
            </w:r>
            <w:r w:rsidRPr="00065979">
              <w:rPr>
                <w:rFonts w:hint="eastAsia"/>
                <w:lang w:eastAsia="zh-CN"/>
              </w:rPr>
              <w:t>号决议</w:t>
            </w:r>
            <w:r>
              <w:rPr>
                <w:rFonts w:hint="eastAsia"/>
                <w:lang w:eastAsia="zh-CN"/>
              </w:rPr>
              <w:t>；《</w:t>
            </w:r>
            <w:r w:rsidRPr="00065979">
              <w:rPr>
                <w:rFonts w:hint="eastAsia"/>
                <w:lang w:eastAsia="zh-CN"/>
              </w:rPr>
              <w:t>国际电联战略规划</w:t>
            </w:r>
            <w:r>
              <w:rPr>
                <w:rFonts w:hint="eastAsia"/>
                <w:lang w:eastAsia="zh-CN"/>
              </w:rPr>
              <w:t>》</w:t>
            </w:r>
            <w:r w:rsidRPr="00065979">
              <w:rPr>
                <w:rFonts w:hint="eastAsia"/>
                <w:lang w:eastAsia="zh-CN"/>
              </w:rPr>
              <w:t>（</w:t>
            </w:r>
            <w:r w:rsidRPr="00065979">
              <w:rPr>
                <w:lang w:eastAsia="zh-CN"/>
              </w:rPr>
              <w:t>PP</w:t>
            </w:r>
            <w:r w:rsidRPr="00065979">
              <w:rPr>
                <w:rFonts w:hint="eastAsia"/>
                <w:lang w:eastAsia="zh-CN"/>
              </w:rPr>
              <w:t>第</w:t>
            </w:r>
            <w:r w:rsidRPr="00065979">
              <w:rPr>
                <w:lang w:eastAsia="zh-CN"/>
              </w:rPr>
              <w:t>71</w:t>
            </w:r>
            <w:r w:rsidRPr="00065979">
              <w:rPr>
                <w:rFonts w:hint="eastAsia"/>
                <w:lang w:eastAsia="zh-CN"/>
              </w:rPr>
              <w:t>号决议，</w:t>
            </w:r>
            <w:r w:rsidRPr="00065979">
              <w:rPr>
                <w:lang w:eastAsia="zh-CN"/>
              </w:rPr>
              <w:t>2022</w:t>
            </w:r>
            <w:r w:rsidRPr="00065979">
              <w:rPr>
                <w:rFonts w:hint="eastAsia"/>
                <w:lang w:eastAsia="zh-CN"/>
              </w:rPr>
              <w:t>年，布加勒斯特，修订版）。</w:t>
            </w:r>
          </w:p>
        </w:tc>
      </w:tr>
    </w:tbl>
    <w:p w14:paraId="34AE7C68"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F78520A" w14:textId="6C676326" w:rsidR="00772C93" w:rsidRPr="002B2A8B" w:rsidRDefault="002B2A8B" w:rsidP="002B2A8B">
      <w:pPr>
        <w:pStyle w:val="Heading1"/>
        <w:rPr>
          <w:sz w:val="24"/>
          <w:szCs w:val="24"/>
          <w:lang w:eastAsia="zh-CN"/>
        </w:rPr>
      </w:pPr>
      <w:r w:rsidRPr="002B2A8B">
        <w:rPr>
          <w:sz w:val="24"/>
          <w:szCs w:val="24"/>
          <w:lang w:val="en-US" w:eastAsia="zh-CN"/>
        </w:rPr>
        <w:lastRenderedPageBreak/>
        <w:t>1</w:t>
      </w:r>
      <w:r w:rsidRPr="002B2A8B">
        <w:rPr>
          <w:sz w:val="24"/>
          <w:szCs w:val="24"/>
          <w:lang w:val="en-US" w:eastAsia="zh-CN"/>
        </w:rPr>
        <w:tab/>
      </w:r>
      <w:r w:rsidR="00772C93" w:rsidRPr="002B2A8B">
        <w:rPr>
          <w:rFonts w:hint="eastAsia"/>
          <w:sz w:val="24"/>
          <w:szCs w:val="24"/>
          <w:lang w:eastAsia="zh-CN"/>
        </w:rPr>
        <w:t>背景</w:t>
      </w:r>
    </w:p>
    <w:p w14:paraId="65F01B3A" w14:textId="77777777" w:rsidR="00772C93" w:rsidRPr="00226F56" w:rsidRDefault="00772C93" w:rsidP="002B2A8B">
      <w:pPr>
        <w:spacing w:after="120"/>
        <w:ind w:firstLineChars="200" w:firstLine="480"/>
        <w:rPr>
          <w:lang w:eastAsia="zh-CN"/>
        </w:rPr>
      </w:pPr>
      <w:r w:rsidRPr="00203AE0">
        <w:rPr>
          <w:rFonts w:hint="eastAsia"/>
          <w:lang w:eastAsia="zh-CN"/>
        </w:rPr>
        <w:t>数字化发展创新</w:t>
      </w:r>
      <w:r>
        <w:rPr>
          <w:rFonts w:hint="eastAsia"/>
          <w:lang w:eastAsia="zh-CN"/>
        </w:rPr>
        <w:t>和</w:t>
      </w:r>
      <w:r w:rsidRPr="00203AE0">
        <w:rPr>
          <w:rFonts w:hint="eastAsia"/>
          <w:lang w:eastAsia="zh-CN"/>
        </w:rPr>
        <w:t>创业联盟由电信发展局</w:t>
      </w:r>
      <w:r>
        <w:rPr>
          <w:rFonts w:hint="eastAsia"/>
          <w:lang w:eastAsia="zh-CN"/>
        </w:rPr>
        <w:t>（</w:t>
      </w:r>
      <w:r>
        <w:rPr>
          <w:rFonts w:hint="eastAsia"/>
          <w:lang w:eastAsia="zh-CN"/>
        </w:rPr>
        <w:t>BDT</w:t>
      </w:r>
      <w:r>
        <w:rPr>
          <w:rFonts w:hint="eastAsia"/>
          <w:lang w:eastAsia="zh-CN"/>
        </w:rPr>
        <w:t>）</w:t>
      </w:r>
      <w:r w:rsidRPr="00203AE0">
        <w:rPr>
          <w:rFonts w:hint="eastAsia"/>
          <w:lang w:eastAsia="zh-CN"/>
        </w:rPr>
        <w:t>主任于</w:t>
      </w:r>
      <w:r w:rsidRPr="00203AE0">
        <w:rPr>
          <w:lang w:eastAsia="zh-CN"/>
        </w:rPr>
        <w:t>2023</w:t>
      </w:r>
      <w:r w:rsidRPr="00203AE0">
        <w:rPr>
          <w:rFonts w:hint="eastAsia"/>
          <w:lang w:eastAsia="zh-CN"/>
        </w:rPr>
        <w:t>年</w:t>
      </w:r>
      <w:r w:rsidRPr="00203AE0">
        <w:rPr>
          <w:lang w:eastAsia="zh-CN"/>
        </w:rPr>
        <w:t>1</w:t>
      </w:r>
      <w:r w:rsidRPr="00203AE0">
        <w:rPr>
          <w:rFonts w:hint="eastAsia"/>
          <w:lang w:eastAsia="zh-CN"/>
        </w:rPr>
        <w:t>月</w:t>
      </w:r>
      <w:r w:rsidRPr="00203AE0">
        <w:rPr>
          <w:lang w:eastAsia="zh-CN"/>
        </w:rPr>
        <w:t>25</w:t>
      </w:r>
      <w:r w:rsidRPr="00203AE0">
        <w:rPr>
          <w:rFonts w:hint="eastAsia"/>
          <w:lang w:eastAsia="zh-CN"/>
        </w:rPr>
        <w:t>日成立。该举措</w:t>
      </w:r>
      <w:r>
        <w:rPr>
          <w:rFonts w:hint="eastAsia"/>
          <w:lang w:eastAsia="zh-CN"/>
        </w:rPr>
        <w:t>旨在</w:t>
      </w:r>
      <w:r w:rsidRPr="00203AE0">
        <w:rPr>
          <w:rFonts w:hint="eastAsia"/>
          <w:lang w:eastAsia="zh-CN"/>
        </w:rPr>
        <w:t>解决国际电联成员在创新领域未</w:t>
      </w:r>
      <w:r>
        <w:rPr>
          <w:rFonts w:hint="eastAsia"/>
          <w:lang w:eastAsia="zh-CN"/>
        </w:rPr>
        <w:t>得到</w:t>
      </w:r>
      <w:r w:rsidRPr="00203AE0">
        <w:rPr>
          <w:rFonts w:hint="eastAsia"/>
          <w:lang w:eastAsia="zh-CN"/>
        </w:rPr>
        <w:t>满足的重大需求</w:t>
      </w:r>
      <w:r>
        <w:rPr>
          <w:rFonts w:hint="eastAsia"/>
          <w:lang w:eastAsia="zh-CN"/>
        </w:rPr>
        <w:t>，如</w:t>
      </w:r>
      <w:r w:rsidRPr="00203AE0">
        <w:rPr>
          <w:lang w:eastAsia="zh-CN"/>
        </w:rPr>
        <w:t>2022</w:t>
      </w:r>
      <w:r w:rsidRPr="00203AE0">
        <w:rPr>
          <w:rFonts w:hint="eastAsia"/>
          <w:lang w:eastAsia="zh-CN"/>
        </w:rPr>
        <w:t>年世界电信发展大会（</w:t>
      </w:r>
      <w:r w:rsidRPr="00203AE0">
        <w:rPr>
          <w:lang w:eastAsia="zh-CN"/>
        </w:rPr>
        <w:t>WTDC-22</w:t>
      </w:r>
      <w:r w:rsidRPr="00203AE0">
        <w:rPr>
          <w:rFonts w:hint="eastAsia"/>
          <w:lang w:eastAsia="zh-CN"/>
        </w:rPr>
        <w:t>）通过的《基加利行动计划》和</w:t>
      </w:r>
      <w:r w:rsidRPr="00203AE0">
        <w:rPr>
          <w:lang w:eastAsia="zh-CN"/>
        </w:rPr>
        <w:t>2022</w:t>
      </w:r>
      <w:r w:rsidRPr="00203AE0">
        <w:rPr>
          <w:rFonts w:hint="eastAsia"/>
          <w:lang w:eastAsia="zh-CN"/>
        </w:rPr>
        <w:t>年国际电联全权代表大会（</w:t>
      </w:r>
      <w:r w:rsidRPr="00203AE0">
        <w:rPr>
          <w:lang w:eastAsia="zh-CN"/>
        </w:rPr>
        <w:t>PP-22</w:t>
      </w:r>
      <w:r w:rsidRPr="00203AE0">
        <w:rPr>
          <w:rFonts w:hint="eastAsia"/>
          <w:lang w:eastAsia="zh-CN"/>
        </w:rPr>
        <w:t>）成果</w:t>
      </w:r>
      <w:r>
        <w:rPr>
          <w:rFonts w:hint="eastAsia"/>
          <w:lang w:eastAsia="zh-CN"/>
        </w:rPr>
        <w:t>所</w:t>
      </w:r>
      <w:r w:rsidRPr="00203AE0">
        <w:rPr>
          <w:rFonts w:hint="eastAsia"/>
          <w:lang w:eastAsia="zh-CN"/>
        </w:rPr>
        <w:t>述。</w:t>
      </w:r>
    </w:p>
    <w:p w14:paraId="475178DB" w14:textId="77777777" w:rsidR="00772C93" w:rsidRPr="00226F56" w:rsidRDefault="00772C93" w:rsidP="002B2A8B">
      <w:pPr>
        <w:overflowPunct/>
        <w:autoSpaceDE/>
        <w:autoSpaceDN/>
        <w:adjustRightInd/>
        <w:spacing w:after="120"/>
        <w:ind w:firstLineChars="200" w:firstLine="480"/>
        <w:textAlignment w:val="auto"/>
        <w:rPr>
          <w:lang w:eastAsia="zh-CN"/>
        </w:rPr>
      </w:pPr>
      <w:r w:rsidRPr="00203AE0">
        <w:rPr>
          <w:rFonts w:hint="eastAsia"/>
          <w:lang w:eastAsia="zh-CN"/>
        </w:rPr>
        <w:t>该联盟旨在为所有人创造一个更加公平的数字未来，并</w:t>
      </w:r>
      <w:r>
        <w:rPr>
          <w:rFonts w:hint="eastAsia"/>
          <w:lang w:eastAsia="zh-CN"/>
        </w:rPr>
        <w:t>重点关注</w:t>
      </w:r>
      <w:r w:rsidRPr="00203AE0">
        <w:rPr>
          <w:rFonts w:hint="eastAsia"/>
          <w:lang w:eastAsia="zh-CN"/>
        </w:rPr>
        <w:t>与</w:t>
      </w:r>
      <w:r>
        <w:rPr>
          <w:rFonts w:hint="eastAsia"/>
          <w:lang w:eastAsia="zh-CN"/>
        </w:rPr>
        <w:t>ITU-D</w:t>
      </w:r>
      <w:r w:rsidRPr="00203AE0">
        <w:rPr>
          <w:rFonts w:hint="eastAsia"/>
          <w:lang w:eastAsia="zh-CN"/>
        </w:rPr>
        <w:t>重点</w:t>
      </w:r>
      <w:r>
        <w:rPr>
          <w:rFonts w:hint="eastAsia"/>
          <w:lang w:eastAsia="zh-CN"/>
        </w:rPr>
        <w:t>工作</w:t>
      </w:r>
      <w:r w:rsidRPr="00203AE0">
        <w:rPr>
          <w:rFonts w:hint="eastAsia"/>
          <w:lang w:eastAsia="zh-CN"/>
        </w:rPr>
        <w:t>相关的两项关键成果</w:t>
      </w:r>
      <w:r>
        <w:rPr>
          <w:rFonts w:hint="eastAsia"/>
          <w:lang w:eastAsia="zh-CN"/>
        </w:rPr>
        <w:t>的</w:t>
      </w:r>
      <w:r w:rsidRPr="00203AE0">
        <w:rPr>
          <w:rFonts w:hint="eastAsia"/>
          <w:lang w:eastAsia="zh-CN"/>
        </w:rPr>
        <w:t>实现：</w:t>
      </w:r>
    </w:p>
    <w:p w14:paraId="1B963BE8" w14:textId="2D4D3D57" w:rsidR="00772C93" w:rsidRPr="00226F56" w:rsidRDefault="002B2A8B" w:rsidP="002B2A8B">
      <w:pPr>
        <w:pStyle w:val="enumlev1"/>
        <w:rPr>
          <w:lang w:eastAsia="zh-CN"/>
        </w:rPr>
      </w:pPr>
      <w:r>
        <w:rPr>
          <w:lang w:eastAsia="zh-CN"/>
        </w:rPr>
        <w:t>–</w:t>
      </w:r>
      <w:r>
        <w:rPr>
          <w:lang w:val="en-US" w:eastAsia="zh-CN"/>
        </w:rPr>
        <w:tab/>
      </w:r>
      <w:r w:rsidR="00772C93" w:rsidRPr="00203AE0">
        <w:rPr>
          <w:rFonts w:hint="eastAsia"/>
          <w:lang w:eastAsia="zh-CN"/>
        </w:rPr>
        <w:t>加强国际电联成员将电信和</w:t>
      </w:r>
      <w:r w:rsidR="00772C93">
        <w:rPr>
          <w:rFonts w:hint="eastAsia"/>
          <w:lang w:eastAsia="zh-CN"/>
        </w:rPr>
        <w:t>信息通信技术（</w:t>
      </w:r>
      <w:r w:rsidR="00772C93" w:rsidRPr="00203AE0">
        <w:rPr>
          <w:lang w:eastAsia="zh-CN"/>
        </w:rPr>
        <w:t>ICT</w:t>
      </w:r>
      <w:r w:rsidR="00772C93">
        <w:rPr>
          <w:rFonts w:hint="eastAsia"/>
          <w:lang w:eastAsia="zh-CN"/>
        </w:rPr>
        <w:t>）</w:t>
      </w:r>
      <w:r w:rsidR="00772C93" w:rsidRPr="00203AE0">
        <w:rPr>
          <w:rFonts w:hint="eastAsia"/>
          <w:lang w:eastAsia="zh-CN"/>
        </w:rPr>
        <w:t>创新与数字化纳入其国家发展议程的能力。这包括制定战略，通过</w:t>
      </w:r>
      <w:r w:rsidR="00772C93">
        <w:rPr>
          <w:rFonts w:hint="eastAsia"/>
          <w:lang w:eastAsia="zh-CN"/>
        </w:rPr>
        <w:t>公共</w:t>
      </w:r>
      <w:r w:rsidR="00772C93" w:rsidRPr="00203AE0">
        <w:rPr>
          <w:rFonts w:hint="eastAsia"/>
          <w:lang w:eastAsia="zh-CN"/>
        </w:rPr>
        <w:t>、私营和公私伙伴关系</w:t>
      </w:r>
      <w:r w:rsidR="00772C93">
        <w:rPr>
          <w:rFonts w:hint="eastAsia"/>
          <w:lang w:eastAsia="zh-CN"/>
        </w:rPr>
        <w:t>推广</w:t>
      </w:r>
      <w:r w:rsidR="00772C93" w:rsidRPr="00203AE0">
        <w:rPr>
          <w:rFonts w:hint="eastAsia"/>
          <w:lang w:eastAsia="zh-CN"/>
        </w:rPr>
        <w:t>创新举措。</w:t>
      </w:r>
    </w:p>
    <w:p w14:paraId="6D84FEA8" w14:textId="74F467CC" w:rsidR="00772C93" w:rsidRPr="00226F56" w:rsidRDefault="002B2A8B" w:rsidP="002B2A8B">
      <w:pPr>
        <w:pStyle w:val="enumlev1"/>
        <w:rPr>
          <w:lang w:eastAsia="zh-CN"/>
        </w:rPr>
      </w:pPr>
      <w:bookmarkStart w:id="5" w:name="_Hlk196313099"/>
      <w:r>
        <w:rPr>
          <w:lang w:eastAsia="zh-CN"/>
        </w:rPr>
        <w:t>–</w:t>
      </w:r>
      <w:r>
        <w:rPr>
          <w:lang w:val="en-US" w:eastAsia="zh-CN"/>
        </w:rPr>
        <w:tab/>
      </w:r>
      <w:bookmarkEnd w:id="5"/>
      <w:r w:rsidR="00772C93">
        <w:rPr>
          <w:rFonts w:hint="eastAsia"/>
          <w:lang w:eastAsia="zh-CN"/>
        </w:rPr>
        <w:t>增强</w:t>
      </w:r>
      <w:r w:rsidR="00772C93" w:rsidRPr="00203AE0">
        <w:rPr>
          <w:rFonts w:hint="eastAsia"/>
          <w:lang w:eastAsia="zh-CN"/>
        </w:rPr>
        <w:t>国际电联成员在电信和</w:t>
      </w:r>
      <w:r w:rsidR="00772C93">
        <w:rPr>
          <w:rFonts w:hint="eastAsia"/>
          <w:lang w:eastAsia="zh-CN"/>
        </w:rPr>
        <w:t>ICT</w:t>
      </w:r>
      <w:r w:rsidR="00772C93" w:rsidRPr="00203AE0">
        <w:rPr>
          <w:rFonts w:hint="eastAsia"/>
          <w:lang w:eastAsia="zh-CN"/>
        </w:rPr>
        <w:t>方面的人员和机构能力，促进数字化转型。</w:t>
      </w:r>
    </w:p>
    <w:p w14:paraId="222A68E5" w14:textId="77777777" w:rsidR="00772C93" w:rsidRPr="00226F56" w:rsidRDefault="00772C93" w:rsidP="002B2A8B">
      <w:pPr>
        <w:overflowPunct/>
        <w:autoSpaceDE/>
        <w:autoSpaceDN/>
        <w:adjustRightInd/>
        <w:spacing w:after="120"/>
        <w:ind w:firstLineChars="200" w:firstLine="480"/>
        <w:textAlignment w:val="auto"/>
        <w:rPr>
          <w:lang w:eastAsia="zh-CN"/>
        </w:rPr>
      </w:pPr>
      <w:r w:rsidRPr="00203AE0">
        <w:rPr>
          <w:rFonts w:hint="eastAsia"/>
          <w:lang w:eastAsia="zh-CN"/>
        </w:rPr>
        <w:t>这得到了各种区域性举措和决议的支持，包括</w:t>
      </w:r>
      <w:r w:rsidRPr="00203AE0">
        <w:rPr>
          <w:lang w:eastAsia="zh-CN"/>
        </w:rPr>
        <w:t>2022</w:t>
      </w:r>
      <w:r w:rsidRPr="00203AE0">
        <w:rPr>
          <w:rFonts w:hint="eastAsia"/>
          <w:lang w:eastAsia="zh-CN"/>
        </w:rPr>
        <w:t>年基加利</w:t>
      </w:r>
      <w:r w:rsidRPr="00203AE0">
        <w:rPr>
          <w:lang w:eastAsia="zh-CN"/>
        </w:rPr>
        <w:t>WTDC</w:t>
      </w:r>
      <w:r w:rsidRPr="00203AE0">
        <w:rPr>
          <w:rFonts w:hint="eastAsia"/>
          <w:lang w:eastAsia="zh-CN"/>
        </w:rPr>
        <w:t>第</w:t>
      </w:r>
      <w:r w:rsidRPr="00203AE0">
        <w:rPr>
          <w:lang w:eastAsia="zh-CN"/>
        </w:rPr>
        <w:t>90</w:t>
      </w:r>
      <w:r w:rsidRPr="00203AE0">
        <w:rPr>
          <w:rFonts w:hint="eastAsia"/>
          <w:lang w:eastAsia="zh-CN"/>
        </w:rPr>
        <w:t>、</w:t>
      </w:r>
      <w:r w:rsidRPr="00203AE0">
        <w:rPr>
          <w:lang w:eastAsia="zh-CN"/>
        </w:rPr>
        <w:t>89</w:t>
      </w:r>
      <w:r w:rsidRPr="00203AE0">
        <w:rPr>
          <w:rFonts w:hint="eastAsia"/>
          <w:lang w:eastAsia="zh-CN"/>
        </w:rPr>
        <w:t>和</w:t>
      </w:r>
      <w:r w:rsidRPr="00203AE0">
        <w:rPr>
          <w:lang w:eastAsia="zh-CN"/>
        </w:rPr>
        <w:t>85</w:t>
      </w:r>
      <w:r w:rsidRPr="00203AE0">
        <w:rPr>
          <w:rFonts w:hint="eastAsia"/>
          <w:lang w:eastAsia="zh-CN"/>
        </w:rPr>
        <w:t>号决议以及</w:t>
      </w:r>
      <w:r>
        <w:rPr>
          <w:rFonts w:hint="eastAsia"/>
          <w:lang w:eastAsia="zh-CN"/>
        </w:rPr>
        <w:t>PP</w:t>
      </w:r>
      <w:r w:rsidRPr="00203AE0">
        <w:rPr>
          <w:rFonts w:hint="eastAsia"/>
          <w:lang w:eastAsia="zh-CN"/>
        </w:rPr>
        <w:t>第</w:t>
      </w:r>
      <w:r w:rsidRPr="00203AE0">
        <w:rPr>
          <w:lang w:eastAsia="zh-CN"/>
        </w:rPr>
        <w:t>205</w:t>
      </w:r>
      <w:r w:rsidRPr="00203AE0">
        <w:rPr>
          <w:rFonts w:hint="eastAsia"/>
          <w:lang w:eastAsia="zh-CN"/>
        </w:rPr>
        <w:t>号决议。这些决议强调了促进以</w:t>
      </w:r>
      <w:r w:rsidRPr="00203AE0">
        <w:rPr>
          <w:lang w:eastAsia="zh-CN"/>
        </w:rPr>
        <w:t>ICT</w:t>
      </w:r>
      <w:r w:rsidRPr="00203AE0">
        <w:rPr>
          <w:rFonts w:hint="eastAsia"/>
          <w:lang w:eastAsia="zh-CN"/>
        </w:rPr>
        <w:t>为中心的创新以支持数字经济和社会</w:t>
      </w:r>
      <w:r>
        <w:rPr>
          <w:rFonts w:hint="eastAsia"/>
          <w:lang w:eastAsia="zh-CN"/>
        </w:rPr>
        <w:t>发展</w:t>
      </w:r>
      <w:r w:rsidRPr="00203AE0">
        <w:rPr>
          <w:rFonts w:hint="eastAsia"/>
          <w:lang w:eastAsia="zh-CN"/>
        </w:rPr>
        <w:t>的重要性，并重申了</w:t>
      </w:r>
      <w:r>
        <w:rPr>
          <w:rFonts w:hint="eastAsia"/>
          <w:lang w:eastAsia="zh-CN"/>
        </w:rPr>
        <w:t>BDT</w:t>
      </w:r>
      <w:r w:rsidRPr="00203AE0">
        <w:rPr>
          <w:rFonts w:hint="eastAsia"/>
          <w:lang w:eastAsia="zh-CN"/>
        </w:rPr>
        <w:t>根据</w:t>
      </w:r>
      <w:r>
        <w:rPr>
          <w:rFonts w:hint="eastAsia"/>
          <w:lang w:eastAsia="zh-CN"/>
        </w:rPr>
        <w:t>PP</w:t>
      </w:r>
      <w:r w:rsidRPr="00203AE0">
        <w:rPr>
          <w:rFonts w:hint="eastAsia"/>
          <w:lang w:eastAsia="zh-CN"/>
        </w:rPr>
        <w:t>第</w:t>
      </w:r>
      <w:r w:rsidRPr="00203AE0">
        <w:rPr>
          <w:lang w:eastAsia="zh-CN"/>
        </w:rPr>
        <w:t>71</w:t>
      </w:r>
      <w:r w:rsidRPr="00203AE0">
        <w:rPr>
          <w:rFonts w:hint="eastAsia"/>
          <w:lang w:eastAsia="zh-CN"/>
        </w:rPr>
        <w:t>号决议（</w:t>
      </w:r>
      <w:r w:rsidRPr="00203AE0">
        <w:rPr>
          <w:lang w:eastAsia="zh-CN"/>
        </w:rPr>
        <w:t>2022</w:t>
      </w:r>
      <w:r w:rsidRPr="00203AE0">
        <w:rPr>
          <w:rFonts w:hint="eastAsia"/>
          <w:lang w:eastAsia="zh-CN"/>
        </w:rPr>
        <w:t>年，布加勒斯特，修订版）概述的</w:t>
      </w:r>
      <w:r>
        <w:rPr>
          <w:rFonts w:hint="eastAsia"/>
          <w:lang w:eastAsia="zh-CN"/>
        </w:rPr>
        <w:t>《</w:t>
      </w:r>
      <w:r w:rsidRPr="00203AE0">
        <w:rPr>
          <w:rFonts w:hint="eastAsia"/>
          <w:lang w:eastAsia="zh-CN"/>
        </w:rPr>
        <w:t>国际电联战略规划</w:t>
      </w:r>
      <w:r>
        <w:rPr>
          <w:rFonts w:hint="eastAsia"/>
          <w:lang w:eastAsia="zh-CN"/>
        </w:rPr>
        <w:t>》</w:t>
      </w:r>
      <w:r w:rsidRPr="00203AE0">
        <w:rPr>
          <w:rFonts w:hint="eastAsia"/>
          <w:lang w:eastAsia="zh-CN"/>
        </w:rPr>
        <w:t>，在促进创新</w:t>
      </w:r>
      <w:r>
        <w:rPr>
          <w:rFonts w:hint="eastAsia"/>
          <w:lang w:eastAsia="zh-CN"/>
        </w:rPr>
        <w:t>、实现</w:t>
      </w:r>
      <w:r w:rsidRPr="00203AE0">
        <w:rPr>
          <w:rFonts w:hint="eastAsia"/>
          <w:lang w:eastAsia="zh-CN"/>
        </w:rPr>
        <w:t>数字</w:t>
      </w:r>
      <w:r>
        <w:rPr>
          <w:rFonts w:hint="eastAsia"/>
          <w:lang w:eastAsia="zh-CN"/>
        </w:rPr>
        <w:t>化</w:t>
      </w:r>
      <w:r w:rsidRPr="00203AE0">
        <w:rPr>
          <w:rFonts w:hint="eastAsia"/>
          <w:lang w:eastAsia="zh-CN"/>
        </w:rPr>
        <w:t>发展方面的主导作用。</w:t>
      </w:r>
    </w:p>
    <w:p w14:paraId="5006E864" w14:textId="77777777" w:rsidR="00772C93" w:rsidRPr="00226F56" w:rsidRDefault="00772C93" w:rsidP="002B2A8B">
      <w:pPr>
        <w:spacing w:after="120"/>
        <w:ind w:firstLineChars="200" w:firstLine="480"/>
        <w:rPr>
          <w:lang w:eastAsia="zh-CN"/>
        </w:rPr>
      </w:pPr>
      <w:r w:rsidRPr="00203AE0">
        <w:rPr>
          <w:rFonts w:hint="eastAsia"/>
          <w:lang w:eastAsia="zh-CN"/>
        </w:rPr>
        <w:t>该联盟</w:t>
      </w:r>
      <w:proofErr w:type="gramStart"/>
      <w:r w:rsidRPr="00203AE0">
        <w:rPr>
          <w:rFonts w:hint="eastAsia"/>
          <w:lang w:eastAsia="zh-CN"/>
        </w:rPr>
        <w:t>的</w:t>
      </w:r>
      <w:r w:rsidRPr="0054152A">
        <w:rPr>
          <w:rFonts w:hint="eastAsia"/>
          <w:b/>
          <w:bCs/>
          <w:lang w:eastAsia="zh-CN"/>
        </w:rPr>
        <w:t>愿景</w:t>
      </w:r>
      <w:r w:rsidRPr="00203AE0">
        <w:rPr>
          <w:rFonts w:hint="eastAsia"/>
          <w:lang w:eastAsia="zh-CN"/>
        </w:rPr>
        <w:t>是</w:t>
      </w:r>
      <w:proofErr w:type="gramEnd"/>
      <w:r w:rsidRPr="00203AE0">
        <w:rPr>
          <w:rFonts w:hint="eastAsia"/>
          <w:lang w:eastAsia="zh-CN"/>
        </w:rPr>
        <w:t>“以更具</w:t>
      </w:r>
      <w:r>
        <w:rPr>
          <w:rFonts w:hint="eastAsia"/>
          <w:lang w:eastAsia="zh-CN"/>
        </w:rPr>
        <w:t>韧</w:t>
      </w:r>
      <w:r w:rsidRPr="00203AE0">
        <w:rPr>
          <w:rFonts w:hint="eastAsia"/>
          <w:lang w:eastAsia="zh-CN"/>
        </w:rPr>
        <w:t>性和前瞻性的</w:t>
      </w:r>
      <w:r>
        <w:rPr>
          <w:rFonts w:hint="eastAsia"/>
          <w:lang w:eastAsia="zh-CN"/>
        </w:rPr>
        <w:t>新</w:t>
      </w:r>
      <w:r w:rsidRPr="00203AE0">
        <w:rPr>
          <w:rFonts w:hint="eastAsia"/>
          <w:lang w:eastAsia="zh-CN"/>
        </w:rPr>
        <w:t>方法支持</w:t>
      </w:r>
      <w:r>
        <w:rPr>
          <w:rFonts w:hint="eastAsia"/>
          <w:lang w:eastAsia="zh-CN"/>
        </w:rPr>
        <w:t>ITU-D</w:t>
      </w:r>
      <w:r w:rsidRPr="00203AE0">
        <w:rPr>
          <w:rFonts w:hint="eastAsia"/>
          <w:lang w:eastAsia="zh-CN"/>
        </w:rPr>
        <w:t>成员，确保他们能够安全地应对日益动荡、不确定、复杂和模糊</w:t>
      </w:r>
      <w:r>
        <w:rPr>
          <w:rFonts w:hint="eastAsia"/>
          <w:lang w:eastAsia="zh-CN"/>
        </w:rPr>
        <w:t>（</w:t>
      </w:r>
      <w:r>
        <w:rPr>
          <w:rFonts w:hint="eastAsia"/>
          <w:lang w:eastAsia="zh-CN"/>
        </w:rPr>
        <w:t>VUCA</w:t>
      </w:r>
      <w:r>
        <w:rPr>
          <w:rFonts w:hint="eastAsia"/>
          <w:lang w:eastAsia="zh-CN"/>
        </w:rPr>
        <w:t>）</w:t>
      </w:r>
      <w:r w:rsidRPr="00203AE0">
        <w:rPr>
          <w:rFonts w:hint="eastAsia"/>
          <w:lang w:eastAsia="zh-CN"/>
        </w:rPr>
        <w:t>的数字世界，并实现《基加利行动计划》的成果。</w:t>
      </w:r>
      <w:r>
        <w:rPr>
          <w:rFonts w:hint="eastAsia"/>
          <w:lang w:eastAsia="zh-CN"/>
        </w:rPr>
        <w:t>”</w:t>
      </w:r>
    </w:p>
    <w:p w14:paraId="340E1DF2" w14:textId="77777777" w:rsidR="00772C93" w:rsidRPr="00226F56" w:rsidRDefault="00772C93" w:rsidP="002B2A8B">
      <w:pPr>
        <w:spacing w:after="120"/>
        <w:ind w:firstLineChars="200" w:firstLine="480"/>
        <w:rPr>
          <w:lang w:eastAsia="zh-CN"/>
        </w:rPr>
      </w:pPr>
      <w:r w:rsidRPr="00203AE0">
        <w:rPr>
          <w:rFonts w:hint="eastAsia"/>
          <w:lang w:eastAsia="zh-CN"/>
        </w:rPr>
        <w:t>自成立以来，该联盟一直致力于履行使命，“弥合数字创新鸿沟，</w:t>
      </w:r>
      <w:r>
        <w:rPr>
          <w:rFonts w:hint="eastAsia"/>
          <w:lang w:eastAsia="zh-CN"/>
        </w:rPr>
        <w:t>赋能</w:t>
      </w:r>
      <w:r>
        <w:rPr>
          <w:rFonts w:hint="eastAsia"/>
          <w:lang w:eastAsia="zh-CN"/>
        </w:rPr>
        <w:t>ITU-D</w:t>
      </w:r>
      <w:r w:rsidRPr="00203AE0">
        <w:rPr>
          <w:rFonts w:hint="eastAsia"/>
          <w:lang w:eastAsia="zh-CN"/>
        </w:rPr>
        <w:t>成员克服数字化转型之旅中的挑战”。其目标是加快其生态系统对各行各业的影响，促进建设一个包容和</w:t>
      </w:r>
      <w:proofErr w:type="gramStart"/>
      <w:r w:rsidRPr="00203AE0">
        <w:rPr>
          <w:rFonts w:hint="eastAsia"/>
          <w:lang w:eastAsia="zh-CN"/>
        </w:rPr>
        <w:t>可</w:t>
      </w:r>
      <w:proofErr w:type="gramEnd"/>
      <w:r w:rsidRPr="00203AE0">
        <w:rPr>
          <w:rFonts w:hint="eastAsia"/>
          <w:lang w:eastAsia="zh-CN"/>
        </w:rPr>
        <w:t>持续的社会。联盟通过三项关键机制实现其目标：</w:t>
      </w:r>
    </w:p>
    <w:p w14:paraId="1C9F89AF" w14:textId="3FAA1A92" w:rsidR="00772C93" w:rsidRPr="002B2A8B" w:rsidRDefault="002B2A8B" w:rsidP="002B2A8B">
      <w:pPr>
        <w:pStyle w:val="enumlev1"/>
        <w:rPr>
          <w:lang w:eastAsia="zh-CN"/>
        </w:rPr>
      </w:pPr>
      <w:r>
        <w:rPr>
          <w:lang w:eastAsia="zh-CN"/>
        </w:rPr>
        <w:t>–</w:t>
      </w:r>
      <w:r>
        <w:rPr>
          <w:lang w:val="en-US" w:eastAsia="zh-CN"/>
        </w:rPr>
        <w:tab/>
      </w:r>
      <w:r w:rsidR="00772C93" w:rsidRPr="002B2A8B">
        <w:rPr>
          <w:rFonts w:hint="eastAsia"/>
          <w:lang w:eastAsia="zh-CN"/>
        </w:rPr>
        <w:t>数字化创新委员会，</w:t>
      </w:r>
    </w:p>
    <w:p w14:paraId="2F71BDF7" w14:textId="7BCA38CA" w:rsidR="00772C93" w:rsidRPr="002B2A8B" w:rsidRDefault="002B2A8B" w:rsidP="002B2A8B">
      <w:pPr>
        <w:pStyle w:val="enumlev1"/>
        <w:rPr>
          <w:lang w:eastAsia="zh-CN"/>
        </w:rPr>
      </w:pPr>
      <w:r>
        <w:rPr>
          <w:lang w:eastAsia="zh-CN"/>
        </w:rPr>
        <w:t>–</w:t>
      </w:r>
      <w:r>
        <w:rPr>
          <w:lang w:val="en-US" w:eastAsia="zh-CN"/>
        </w:rPr>
        <w:tab/>
      </w:r>
      <w:r w:rsidR="00772C93" w:rsidRPr="002B2A8B">
        <w:rPr>
          <w:rFonts w:hint="eastAsia"/>
          <w:lang w:eastAsia="zh-CN"/>
        </w:rPr>
        <w:t>国际电联加速中心网络，以及</w:t>
      </w:r>
    </w:p>
    <w:p w14:paraId="399179D5" w14:textId="34EC6CA0" w:rsidR="00772C93" w:rsidRPr="002B2A8B" w:rsidRDefault="002B2A8B" w:rsidP="002B2A8B">
      <w:pPr>
        <w:pStyle w:val="enumlev1"/>
        <w:rPr>
          <w:lang w:eastAsia="zh-CN"/>
        </w:rPr>
      </w:pPr>
      <w:r>
        <w:rPr>
          <w:lang w:eastAsia="zh-CN"/>
        </w:rPr>
        <w:t>–</w:t>
      </w:r>
      <w:r>
        <w:rPr>
          <w:lang w:val="en-US" w:eastAsia="zh-CN"/>
        </w:rPr>
        <w:tab/>
      </w:r>
      <w:r w:rsidR="00772C93" w:rsidRPr="002B2A8B">
        <w:rPr>
          <w:rFonts w:hint="eastAsia"/>
          <w:lang w:eastAsia="zh-CN"/>
        </w:rPr>
        <w:t>数字化转型实验室。</w:t>
      </w:r>
    </w:p>
    <w:p w14:paraId="1CFBB6B3" w14:textId="77777777" w:rsidR="00772C93" w:rsidRPr="00226F56" w:rsidRDefault="00772C93" w:rsidP="002B2A8B">
      <w:pPr>
        <w:spacing w:after="120"/>
        <w:ind w:firstLineChars="200" w:firstLine="480"/>
        <w:rPr>
          <w:lang w:eastAsia="zh-CN"/>
        </w:rPr>
      </w:pPr>
      <w:r w:rsidRPr="00203AE0">
        <w:rPr>
          <w:rFonts w:hint="eastAsia"/>
          <w:lang w:eastAsia="zh-CN"/>
        </w:rPr>
        <w:t>联盟将支持各国</w:t>
      </w:r>
      <w:r>
        <w:rPr>
          <w:rFonts w:hint="eastAsia"/>
          <w:lang w:eastAsia="zh-CN"/>
        </w:rPr>
        <w:t>在</w:t>
      </w:r>
      <w:r w:rsidRPr="00203AE0">
        <w:rPr>
          <w:rFonts w:hint="eastAsia"/>
          <w:lang w:eastAsia="zh-CN"/>
        </w:rPr>
        <w:t>创新和创业</w:t>
      </w:r>
      <w:r>
        <w:rPr>
          <w:rFonts w:hint="eastAsia"/>
          <w:lang w:eastAsia="zh-CN"/>
        </w:rPr>
        <w:t>方面</w:t>
      </w:r>
      <w:r w:rsidRPr="00203AE0">
        <w:rPr>
          <w:rFonts w:hint="eastAsia"/>
          <w:lang w:eastAsia="zh-CN"/>
        </w:rPr>
        <w:t>进行本地能力建设，实现五项战略目标：</w:t>
      </w:r>
    </w:p>
    <w:tbl>
      <w:tblPr>
        <w:tblStyle w:val="TableGrid"/>
        <w:tblW w:w="5000" w:type="pct"/>
        <w:tblLook w:val="04A0" w:firstRow="1" w:lastRow="0" w:firstColumn="1" w:lastColumn="0" w:noHBand="0" w:noVBand="1"/>
      </w:tblPr>
      <w:tblGrid>
        <w:gridCol w:w="2878"/>
        <w:gridCol w:w="6751"/>
      </w:tblGrid>
      <w:tr w:rsidR="00772C93" w:rsidRPr="00226F56" w14:paraId="11B8E551" w14:textId="77777777" w:rsidTr="00242622">
        <w:tc>
          <w:tcPr>
            <w:tcW w:w="2695" w:type="dxa"/>
          </w:tcPr>
          <w:p w14:paraId="7F9CAE17" w14:textId="77777777" w:rsidR="00772C93" w:rsidRPr="00226F56" w:rsidRDefault="00772C93" w:rsidP="00242622">
            <w:pPr>
              <w:spacing w:before="60" w:after="60"/>
              <w:rPr>
                <w:lang w:eastAsia="zh-CN"/>
              </w:rPr>
            </w:pPr>
            <w:proofErr w:type="spellStart"/>
            <w:r w:rsidRPr="00203AE0">
              <w:rPr>
                <w:rFonts w:hint="eastAsia"/>
              </w:rPr>
              <w:t>趋势研究就绪</w:t>
            </w:r>
            <w:proofErr w:type="spellEnd"/>
          </w:p>
        </w:tc>
        <w:tc>
          <w:tcPr>
            <w:tcW w:w="6321" w:type="dxa"/>
          </w:tcPr>
          <w:p w14:paraId="38CFA9FB" w14:textId="77777777" w:rsidR="00772C93" w:rsidRPr="00226F56" w:rsidRDefault="00772C93" w:rsidP="00242622">
            <w:pPr>
              <w:spacing w:before="60" w:after="60"/>
              <w:rPr>
                <w:lang w:eastAsia="zh-CN"/>
              </w:rPr>
            </w:pPr>
            <w:r w:rsidRPr="00203AE0">
              <w:rPr>
                <w:rFonts w:hint="eastAsia"/>
                <w:lang w:eastAsia="zh-CN"/>
              </w:rPr>
              <w:t>使各国走在趋势的前面，并理解技术、政策和创新动态的演变。</w:t>
            </w:r>
          </w:p>
        </w:tc>
      </w:tr>
      <w:tr w:rsidR="00772C93" w:rsidRPr="00226F56" w14:paraId="549710EF" w14:textId="77777777" w:rsidTr="00242622">
        <w:tc>
          <w:tcPr>
            <w:tcW w:w="2695" w:type="dxa"/>
          </w:tcPr>
          <w:p w14:paraId="7D4213D0" w14:textId="77777777" w:rsidR="00772C93" w:rsidRPr="00226F56" w:rsidRDefault="00772C93" w:rsidP="00242622">
            <w:pPr>
              <w:spacing w:before="60" w:after="60"/>
            </w:pPr>
            <w:proofErr w:type="spellStart"/>
            <w:r w:rsidRPr="00203AE0">
              <w:rPr>
                <w:rFonts w:hint="eastAsia"/>
              </w:rPr>
              <w:t>开放技术创新</w:t>
            </w:r>
            <w:proofErr w:type="spellEnd"/>
          </w:p>
        </w:tc>
        <w:tc>
          <w:tcPr>
            <w:tcW w:w="6321" w:type="dxa"/>
          </w:tcPr>
          <w:p w14:paraId="6AFF0606" w14:textId="77777777" w:rsidR="00772C93" w:rsidRPr="00226F56" w:rsidRDefault="00772C93" w:rsidP="00242622">
            <w:pPr>
              <w:spacing w:before="60" w:after="60"/>
              <w:rPr>
                <w:lang w:eastAsia="zh-CN"/>
              </w:rPr>
            </w:pPr>
            <w:r w:rsidRPr="00203AE0">
              <w:rPr>
                <w:rFonts w:hint="eastAsia"/>
                <w:lang w:eastAsia="zh-CN"/>
              </w:rPr>
              <w:t>通过开放创新和利益攸关多方机制，将技术知识融入全球商品中，加</w:t>
            </w:r>
            <w:r>
              <w:rPr>
                <w:rFonts w:hint="eastAsia"/>
                <w:lang w:eastAsia="zh-CN"/>
              </w:rPr>
              <w:t>快</w:t>
            </w:r>
            <w:r w:rsidRPr="00203AE0">
              <w:rPr>
                <w:rFonts w:hint="eastAsia"/>
                <w:lang w:eastAsia="zh-CN"/>
              </w:rPr>
              <w:t>全民对新兴技术的获取。</w:t>
            </w:r>
          </w:p>
        </w:tc>
      </w:tr>
      <w:tr w:rsidR="00772C93" w:rsidRPr="00226F56" w14:paraId="40633214" w14:textId="77777777" w:rsidTr="00242622">
        <w:tc>
          <w:tcPr>
            <w:tcW w:w="2695" w:type="dxa"/>
          </w:tcPr>
          <w:p w14:paraId="42718B4C" w14:textId="77777777" w:rsidR="00772C93" w:rsidRPr="00226F56" w:rsidRDefault="00772C93" w:rsidP="00242622">
            <w:pPr>
              <w:spacing w:before="60" w:after="60"/>
            </w:pPr>
            <w:proofErr w:type="spellStart"/>
            <w:r w:rsidRPr="00203AE0">
              <w:rPr>
                <w:rFonts w:hint="eastAsia"/>
              </w:rPr>
              <w:t>创业和中小企业增长</w:t>
            </w:r>
            <w:proofErr w:type="spellEnd"/>
          </w:p>
        </w:tc>
        <w:tc>
          <w:tcPr>
            <w:tcW w:w="6321" w:type="dxa"/>
          </w:tcPr>
          <w:p w14:paraId="18F9C0B9" w14:textId="77777777" w:rsidR="00772C93" w:rsidRPr="00226F56" w:rsidRDefault="00772C93" w:rsidP="00242622">
            <w:pPr>
              <w:spacing w:before="60" w:after="60"/>
              <w:rPr>
                <w:lang w:eastAsia="zh-CN"/>
              </w:rPr>
            </w:pPr>
            <w:r w:rsidRPr="00203AE0">
              <w:rPr>
                <w:rFonts w:hint="eastAsia"/>
                <w:lang w:eastAsia="zh-CN"/>
              </w:rPr>
              <w:t>加</w:t>
            </w:r>
            <w:r>
              <w:rPr>
                <w:rFonts w:hint="eastAsia"/>
                <w:lang w:eastAsia="zh-CN"/>
              </w:rPr>
              <w:t>快利用</w:t>
            </w:r>
            <w:r w:rsidRPr="00203AE0">
              <w:rPr>
                <w:rFonts w:hint="eastAsia"/>
                <w:lang w:eastAsia="zh-CN"/>
              </w:rPr>
              <w:t>数字化创新驱动的创业和人才</w:t>
            </w:r>
            <w:r>
              <w:rPr>
                <w:rFonts w:hint="eastAsia"/>
                <w:lang w:eastAsia="zh-CN"/>
              </w:rPr>
              <w:t>机遇</w:t>
            </w:r>
            <w:r w:rsidRPr="00203AE0">
              <w:rPr>
                <w:rFonts w:hint="eastAsia"/>
                <w:lang w:eastAsia="zh-CN"/>
              </w:rPr>
              <w:t>，实现其社区的社会经济包容性。</w:t>
            </w:r>
          </w:p>
        </w:tc>
      </w:tr>
      <w:tr w:rsidR="00772C93" w:rsidRPr="00226F56" w14:paraId="08B9619F" w14:textId="77777777" w:rsidTr="00242622">
        <w:tc>
          <w:tcPr>
            <w:tcW w:w="2695" w:type="dxa"/>
          </w:tcPr>
          <w:p w14:paraId="3884FDEF" w14:textId="77777777" w:rsidR="00772C93" w:rsidRPr="00226F56" w:rsidRDefault="00772C93" w:rsidP="00242622">
            <w:pPr>
              <w:spacing w:before="60" w:after="60"/>
            </w:pPr>
            <w:proofErr w:type="spellStart"/>
            <w:r w:rsidRPr="00203AE0">
              <w:rPr>
                <w:rFonts w:hint="eastAsia"/>
              </w:rPr>
              <w:t>政策实验</w:t>
            </w:r>
            <w:proofErr w:type="spellEnd"/>
          </w:p>
        </w:tc>
        <w:tc>
          <w:tcPr>
            <w:tcW w:w="6321" w:type="dxa"/>
          </w:tcPr>
          <w:p w14:paraId="610E9D67" w14:textId="77777777" w:rsidR="00772C93" w:rsidRPr="00226F56" w:rsidRDefault="00772C93" w:rsidP="00242622">
            <w:pPr>
              <w:spacing w:before="60" w:after="60"/>
              <w:rPr>
                <w:lang w:eastAsia="zh-CN"/>
              </w:rPr>
            </w:pPr>
            <w:r w:rsidRPr="00203AE0">
              <w:rPr>
                <w:rFonts w:hint="eastAsia"/>
                <w:lang w:eastAsia="zh-CN"/>
              </w:rPr>
              <w:t>制定灵活的政策，为利益攸关方提供安全的实验空间，鼓励创新并吸引数字生态系统投资。</w:t>
            </w:r>
          </w:p>
        </w:tc>
      </w:tr>
      <w:tr w:rsidR="00772C93" w:rsidRPr="00226F56" w14:paraId="5291A075" w14:textId="77777777" w:rsidTr="00242622">
        <w:tc>
          <w:tcPr>
            <w:tcW w:w="2695" w:type="dxa"/>
          </w:tcPr>
          <w:p w14:paraId="4AE2C523" w14:textId="77777777" w:rsidR="00772C93" w:rsidRPr="00226F56" w:rsidRDefault="00772C93" w:rsidP="00242622">
            <w:pPr>
              <w:spacing w:before="60" w:after="60"/>
              <w:rPr>
                <w:lang w:eastAsia="zh-CN"/>
              </w:rPr>
            </w:pPr>
            <w:r>
              <w:rPr>
                <w:rFonts w:hint="eastAsia"/>
                <w:lang w:eastAsia="zh-CN"/>
              </w:rPr>
              <w:t>加快实施</w:t>
            </w:r>
            <w:r w:rsidRPr="00203AE0">
              <w:rPr>
                <w:rFonts w:hint="eastAsia"/>
                <w:lang w:eastAsia="zh-CN"/>
              </w:rPr>
              <w:t>生态系统举措</w:t>
            </w:r>
          </w:p>
        </w:tc>
        <w:tc>
          <w:tcPr>
            <w:tcW w:w="6321" w:type="dxa"/>
          </w:tcPr>
          <w:p w14:paraId="78B1A847" w14:textId="77777777" w:rsidR="00772C93" w:rsidRPr="00226F56" w:rsidRDefault="00772C93" w:rsidP="00242622">
            <w:pPr>
              <w:spacing w:before="60" w:after="60"/>
              <w:rPr>
                <w:lang w:eastAsia="zh-CN"/>
              </w:rPr>
            </w:pPr>
            <w:r w:rsidRPr="00203AE0">
              <w:rPr>
                <w:rFonts w:hint="eastAsia"/>
                <w:lang w:eastAsia="zh-CN"/>
              </w:rPr>
              <w:t>促进协作和协同效应，扩大数字创新规模，并在各经济部门创造价值，建设有竞争力的数字经济。</w:t>
            </w:r>
          </w:p>
        </w:tc>
      </w:tr>
    </w:tbl>
    <w:p w14:paraId="37C57B4D" w14:textId="77777777" w:rsidR="00772C93" w:rsidRPr="00226F56" w:rsidRDefault="00772C93" w:rsidP="002B2A8B">
      <w:pPr>
        <w:spacing w:after="120"/>
        <w:ind w:firstLineChars="200" w:firstLine="480"/>
        <w:rPr>
          <w:lang w:eastAsia="zh-CN"/>
        </w:rPr>
      </w:pPr>
      <w:r w:rsidRPr="00203AE0">
        <w:rPr>
          <w:rFonts w:hint="eastAsia"/>
          <w:lang w:eastAsia="zh-CN"/>
        </w:rPr>
        <w:t>下一节概述了</w:t>
      </w:r>
      <w:proofErr w:type="gramStart"/>
      <w:r w:rsidRPr="00203AE0">
        <w:rPr>
          <w:rFonts w:hint="eastAsia"/>
          <w:lang w:eastAsia="zh-CN"/>
        </w:rPr>
        <w:t>各机制</w:t>
      </w:r>
      <w:proofErr w:type="gramEnd"/>
      <w:r w:rsidRPr="00203AE0">
        <w:rPr>
          <w:rFonts w:hint="eastAsia"/>
          <w:lang w:eastAsia="zh-CN"/>
        </w:rPr>
        <w:t>取得的进展，以及它们如何帮助联盟实现目标。</w:t>
      </w:r>
    </w:p>
    <w:p w14:paraId="2E1807CC" w14:textId="460073EA" w:rsidR="00772C93" w:rsidRPr="002B2A8B" w:rsidRDefault="002B2A8B" w:rsidP="002B2A8B">
      <w:pPr>
        <w:pStyle w:val="Heading1"/>
        <w:rPr>
          <w:sz w:val="24"/>
          <w:szCs w:val="24"/>
          <w:lang w:val="en-US" w:eastAsia="zh-CN"/>
        </w:rPr>
      </w:pPr>
      <w:r>
        <w:rPr>
          <w:sz w:val="24"/>
          <w:szCs w:val="24"/>
          <w:lang w:val="en-US" w:eastAsia="zh-CN"/>
        </w:rPr>
        <w:lastRenderedPageBreak/>
        <w:t>2</w:t>
      </w:r>
      <w:r>
        <w:rPr>
          <w:sz w:val="24"/>
          <w:szCs w:val="24"/>
          <w:lang w:val="en-US" w:eastAsia="zh-CN"/>
        </w:rPr>
        <w:tab/>
      </w:r>
      <w:r w:rsidR="00772C93" w:rsidRPr="002B2A8B">
        <w:rPr>
          <w:rFonts w:hint="eastAsia"/>
          <w:sz w:val="24"/>
          <w:szCs w:val="24"/>
          <w:lang w:val="en-US" w:eastAsia="zh-CN"/>
        </w:rPr>
        <w:t>主要活动和成果</w:t>
      </w:r>
    </w:p>
    <w:p w14:paraId="6AEFFA3E" w14:textId="77777777" w:rsidR="00772C93" w:rsidRPr="00226F56" w:rsidRDefault="00772C93" w:rsidP="002B2A8B">
      <w:pPr>
        <w:spacing w:after="120"/>
        <w:ind w:firstLineChars="200" w:firstLine="480"/>
        <w:rPr>
          <w:lang w:eastAsia="zh-CN"/>
        </w:rPr>
      </w:pPr>
      <w:r w:rsidRPr="00203AE0">
        <w:rPr>
          <w:rFonts w:hint="eastAsia"/>
          <w:lang w:eastAsia="zh-CN"/>
        </w:rPr>
        <w:t>创新</w:t>
      </w:r>
      <w:r>
        <w:rPr>
          <w:rFonts w:hint="eastAsia"/>
          <w:lang w:eastAsia="zh-CN"/>
        </w:rPr>
        <w:t>与</w:t>
      </w:r>
      <w:r w:rsidRPr="00203AE0">
        <w:rPr>
          <w:rFonts w:hint="eastAsia"/>
          <w:lang w:eastAsia="zh-CN"/>
        </w:rPr>
        <w:t>价值创造实验和</w:t>
      </w:r>
      <w:r>
        <w:rPr>
          <w:rFonts w:hint="eastAsia"/>
          <w:lang w:eastAsia="zh-CN"/>
        </w:rPr>
        <w:t>价值创造</w:t>
      </w:r>
      <w:r w:rsidRPr="00203AE0">
        <w:rPr>
          <w:rFonts w:hint="eastAsia"/>
          <w:lang w:eastAsia="zh-CN"/>
        </w:rPr>
        <w:t>敏捷性</w:t>
      </w:r>
      <w:r>
        <w:rPr>
          <w:rFonts w:hint="eastAsia"/>
          <w:lang w:eastAsia="zh-CN"/>
        </w:rPr>
        <w:t>有关</w:t>
      </w:r>
      <w:r w:rsidRPr="00203AE0">
        <w:rPr>
          <w:rFonts w:hint="eastAsia"/>
          <w:lang w:eastAsia="zh-CN"/>
        </w:rPr>
        <w:t>，</w:t>
      </w:r>
      <w:r>
        <w:rPr>
          <w:rFonts w:hint="eastAsia"/>
          <w:lang w:eastAsia="zh-CN"/>
        </w:rPr>
        <w:t>BDT</w:t>
      </w:r>
      <w:r w:rsidRPr="00203AE0">
        <w:rPr>
          <w:rFonts w:hint="eastAsia"/>
          <w:lang w:eastAsia="zh-CN"/>
        </w:rPr>
        <w:t>继续将三种机制付诸实践，并根据从过程中吸取的经验教训调整战略和战术。本节重点介绍</w:t>
      </w:r>
      <w:proofErr w:type="gramStart"/>
      <w:r w:rsidRPr="00203AE0">
        <w:rPr>
          <w:rFonts w:hint="eastAsia"/>
          <w:lang w:eastAsia="zh-CN"/>
        </w:rPr>
        <w:t>各机制</w:t>
      </w:r>
      <w:proofErr w:type="gramEnd"/>
      <w:r w:rsidRPr="00203AE0">
        <w:rPr>
          <w:rFonts w:hint="eastAsia"/>
          <w:lang w:eastAsia="zh-CN"/>
        </w:rPr>
        <w:t>的最新情况、成功故事、经验教训和下一步行动。</w:t>
      </w:r>
    </w:p>
    <w:p w14:paraId="13601443" w14:textId="33311D7A" w:rsidR="00772C93" w:rsidRPr="00226F56" w:rsidRDefault="002B2A8B" w:rsidP="002B2A8B">
      <w:pPr>
        <w:pStyle w:val="Heading2"/>
      </w:pPr>
      <w:r>
        <w:rPr>
          <w:lang w:val="en-US" w:eastAsia="zh-CN"/>
        </w:rPr>
        <w:t>2.1</w:t>
      </w:r>
      <w:r>
        <w:rPr>
          <w:lang w:val="en-US" w:eastAsia="zh-CN"/>
        </w:rPr>
        <w:tab/>
      </w:r>
      <w:r w:rsidR="00772C93">
        <w:rPr>
          <w:rFonts w:hint="eastAsia"/>
          <w:lang w:eastAsia="zh-CN"/>
        </w:rPr>
        <w:t>数字化创新委员会</w:t>
      </w:r>
    </w:p>
    <w:p w14:paraId="67F60C01" w14:textId="77777777"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数字化创新委员会负责指导联盟的工作，确保以有效和负责任的方式实施《基加利行动计划》并取得战略进展，同时推动高级别宣传，并围绕关键工作流进行报告，以实现目标。委员会由以个人身份提供服务的杰出人士组成，确保联盟遵守国际电联的使命和战略规划以及</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BDT</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的职责。</w:t>
      </w:r>
    </w:p>
    <w:p w14:paraId="65376F02" w14:textId="6C4A8F81"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当前委员会</w:t>
      </w:r>
      <w:hyperlink r:id="rId13" w:anchor="/zh" w:history="1">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由</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31</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名成员组成，包括</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BDT</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主</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任</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、一名创始成员和一名共同主席</w:t>
        </w:r>
      </w:hyperlink>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。委员会目前提供的指导和建议可在两次重要会议的报告中找到：</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2024</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年</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3</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月</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19</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日至</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20</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日</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fldChar w:fldCharType="begin"/>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instrText>HYPERLINK "https://www.itu.int/itu-d/sites/innovation-alliance/wp-content/uploads/sites/35/2024/05/Inaugural_Meeting_of_the_Digital_Innovation_Board_-_Summary_rev1.pdf"</w:instrTex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fldChar w:fldCharType="separate"/>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在瑞</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士</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日内瓦举行的委员会第一次会议</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fldChar w:fldCharType="end"/>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，以及</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2024</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年</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10</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月</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28</w:t>
      </w: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日于全球创新论坛期间</w:t>
      </w:r>
      <w:hyperlink r:id="rId14" w:history="1">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在马</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耳</w:t>
        </w:r>
        <w:r w:rsidRPr="002B2A8B">
          <w:rPr>
            <w:rStyle w:val="Hyperlink"/>
            <w:rFonts w:asciiTheme="minorHAnsi" w:eastAsiaTheme="minorEastAsia" w:hAnsiTheme="minorHAnsi" w:cstheme="minorHAnsi"/>
            <w:sz w:val="24"/>
            <w:szCs w:val="24"/>
            <w:bdr w:val="none" w:sz="0" w:space="0" w:color="auto"/>
            <w:lang w:eastAsia="zh-CN"/>
            <w14:textOutline w14:w="0" w14:cap="rnd" w14:cmpd="sng" w14:algn="ctr">
              <w14:noFill/>
              <w14:prstDash w14:val="solid"/>
              <w14:bevel/>
            </w14:textOutline>
          </w:rPr>
          <w:t>他瓦莱塔举行的委员会第二次会议</w:t>
        </w:r>
      </w:hyperlink>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w:t>
      </w:r>
    </w:p>
    <w:p w14:paraId="1AAA881B" w14:textId="77777777"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4"/>
          <w:bdr w:val="none" w:sz="0" w:space="0" w:color="auto"/>
          <w:lang w:eastAsia="zh-CN"/>
          <w14:textOutline w14:w="0" w14:cap="rnd" w14:cmpd="sng" w14:algn="ctr">
            <w14:noFill/>
            <w14:prstDash w14:val="solid"/>
            <w14:bevel/>
          </w14:textOutline>
        </w:rPr>
        <w:t>每次委员会会议均得到成员们的积极参与，他们在会上分享经验、提出未来举措、为联盟项目提供支持、提出可执行的工作建议以取得进展，并重申致力于推动履行国际电联的职责。主要讨论围绕委员会的职能、制定高级别工作计划、促进三个机构之间的合作以及概述实现其使命的机制展开。</w:t>
      </w:r>
    </w:p>
    <w:p w14:paraId="1B342843" w14:textId="77777777"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2024</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年数字化发展创新和创业联盟数字化创新委员会第二次会议吸引了委员会成员的现场和虚拟参加。本次会议的主要目的是审查在执行委员会第一次会议通过的建议方面取得的进展，包括评估高级别工作计划、战略沟通计划、监测和评估框架、各工作组的职责范围、资源筹措机制以及交流和协作平台。</w:t>
      </w:r>
    </w:p>
    <w:p w14:paraId="3AF94B83" w14:textId="77777777"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委员会还听取了国际电联加速中心的介绍，并讨论了它们面临的挑战和机遇，以及它们的工作对可持续发展目标（</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SDG</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）和国际电联区域性举措的影响。</w:t>
      </w:r>
    </w:p>
    <w:p w14:paraId="08D2AAC6" w14:textId="77777777" w:rsidR="00772C93" w:rsidRPr="002B2A8B" w:rsidRDefault="00772C93" w:rsidP="002B2A8B">
      <w:pPr>
        <w:pStyle w:val="Body"/>
        <w:spacing w:before="120" w:after="120"/>
        <w:ind w:firstLineChars="200" w:firstLine="440"/>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pPr>
      <w:r w:rsidRPr="002B2A8B">
        <w:rPr>
          <w:rFonts w:asciiTheme="minorHAnsi" w:eastAsia="SimSun" w:hAnsiTheme="minorHAnsi" w:cstheme="minorHAnsi"/>
          <w:lang w:eastAsia="zh-CN"/>
        </w:rPr>
        <w:t>取得的</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进一步进展包括委员会批准了</w:t>
      </w:r>
      <w:hyperlink r:id="rId15" w:history="1">
        <w:r w:rsidRPr="002B2A8B">
          <w:rPr>
            <w:rStyle w:val="Hyperlink"/>
            <w:rFonts w:asciiTheme="minorHAnsi" w:eastAsiaTheme="minorEastAsia" w:hAnsiTheme="minorHAnsi" w:cstheme="minorHAnsi"/>
            <w:sz w:val="24"/>
            <w:szCs w:val="20"/>
            <w:bdr w:val="none" w:sz="0" w:space="0" w:color="auto"/>
            <w:lang w:eastAsia="zh-CN"/>
            <w14:textOutline w14:w="0" w14:cap="rnd" w14:cmpd="sng" w14:algn="ctr">
              <w14:noFill/>
              <w14:prstDash w14:val="solid"/>
              <w14:bevel/>
            </w14:textOutline>
          </w:rPr>
          <w:t>专家网络的</w:t>
        </w:r>
        <w:r w:rsidRPr="002B2A8B">
          <w:rPr>
            <w:rStyle w:val="Hyperlink"/>
            <w:rFonts w:asciiTheme="minorHAnsi" w:eastAsiaTheme="minorEastAsia" w:hAnsiTheme="minorHAnsi" w:cstheme="minorHAnsi"/>
            <w:sz w:val="24"/>
            <w:szCs w:val="20"/>
            <w:bdr w:val="none" w:sz="0" w:space="0" w:color="auto"/>
            <w:lang w:eastAsia="zh-CN"/>
            <w14:textOutline w14:w="0" w14:cap="rnd" w14:cmpd="sng" w14:algn="ctr">
              <w14:noFill/>
              <w14:prstDash w14:val="solid"/>
              <w14:bevel/>
            </w14:textOutline>
          </w:rPr>
          <w:t>职</w:t>
        </w:r>
        <w:r w:rsidRPr="002B2A8B">
          <w:rPr>
            <w:rStyle w:val="Hyperlink"/>
            <w:rFonts w:asciiTheme="minorHAnsi" w:eastAsiaTheme="minorEastAsia" w:hAnsiTheme="minorHAnsi" w:cstheme="minorHAnsi"/>
            <w:sz w:val="24"/>
            <w:szCs w:val="20"/>
            <w:bdr w:val="none" w:sz="0" w:space="0" w:color="auto"/>
            <w:lang w:eastAsia="zh-CN"/>
            <w14:textOutline w14:w="0" w14:cap="rnd" w14:cmpd="sng" w14:algn="ctr">
              <w14:noFill/>
              <w14:prstDash w14:val="solid"/>
              <w14:bevel/>
            </w14:textOutline>
          </w:rPr>
          <w:t>责范围</w:t>
        </w:r>
      </w:hyperlink>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。虚拟专家网络的目的是通过头脑风暴和研究，作为落实数字创新委员会决定的工具。该小组将为增加联盟的整体影响力、可持续性和创新资本做出贡献。</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BDT</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目前正在运营该网络以支持委员会的发展。</w:t>
      </w:r>
    </w:p>
    <w:p w14:paraId="14EE1AAA" w14:textId="081DA500" w:rsidR="00772C93" w:rsidRPr="002B2A8B" w:rsidRDefault="00772C93" w:rsidP="002B2A8B">
      <w:pPr>
        <w:pStyle w:val="Body"/>
        <w:spacing w:before="120" w:after="120"/>
        <w:ind w:firstLineChars="200" w:firstLine="480"/>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pP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委员会还批准了</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2024-2026</w:t>
      </w:r>
      <w:r w:rsidRPr="002B2A8B">
        <w:rPr>
          <w:rFonts w:asciiTheme="minorHAnsi" w:eastAsiaTheme="minorEastAsia" w:hAnsiTheme="minorHAnsi" w:cstheme="minorHAnsi"/>
          <w:color w:val="auto"/>
          <w:sz w:val="24"/>
          <w:szCs w:val="20"/>
          <w:bdr w:val="none" w:sz="0" w:space="0" w:color="auto"/>
          <w:lang w:eastAsia="zh-CN"/>
          <w14:textOutline w14:w="0" w14:cap="rnd" w14:cmpd="sng" w14:algn="ctr">
            <w14:noFill/>
            <w14:prstDash w14:val="solid"/>
            <w14:bevel/>
          </w14:textOutline>
        </w:rPr>
        <w:t>年的全面工作计划，该计划侧重于两个关键领域：</w:t>
      </w:r>
    </w:p>
    <w:p w14:paraId="0D81B019" w14:textId="366FB67F" w:rsidR="00772C93" w:rsidRPr="00226F56" w:rsidRDefault="000566B4" w:rsidP="000566B4">
      <w:pPr>
        <w:pStyle w:val="enumlev1"/>
        <w:rPr>
          <w:lang w:eastAsia="zh-CN"/>
        </w:rPr>
      </w:pPr>
      <w:bookmarkStart w:id="6" w:name="_Hlk196313300"/>
      <w:r w:rsidRPr="000566B4">
        <w:rPr>
          <w:lang w:val="en-US" w:eastAsia="zh-CN"/>
        </w:rPr>
        <w:t>1)</w:t>
      </w:r>
      <w:r>
        <w:rPr>
          <w:b/>
          <w:bCs/>
          <w:lang w:val="en-US" w:eastAsia="zh-CN"/>
        </w:rPr>
        <w:tab/>
      </w:r>
      <w:bookmarkEnd w:id="6"/>
      <w:proofErr w:type="gramStart"/>
      <w:r w:rsidR="00772C93" w:rsidRPr="00697F9C">
        <w:rPr>
          <w:rFonts w:hint="eastAsia"/>
          <w:b/>
          <w:bCs/>
          <w:lang w:eastAsia="zh-CN"/>
        </w:rPr>
        <w:t>制定前瞻系列</w:t>
      </w:r>
      <w:r w:rsidR="00772C93" w:rsidRPr="00502FF8">
        <w:rPr>
          <w:rFonts w:hint="eastAsia"/>
          <w:lang w:eastAsia="zh-CN"/>
        </w:rPr>
        <w:t>：</w:t>
      </w:r>
      <w:r w:rsidR="00772C93">
        <w:rPr>
          <w:rFonts w:hint="eastAsia"/>
          <w:lang w:eastAsia="zh-CN"/>
        </w:rPr>
        <w:t>此</w:t>
      </w:r>
      <w:r w:rsidR="00772C93" w:rsidRPr="00502FF8">
        <w:rPr>
          <w:rFonts w:hint="eastAsia"/>
          <w:lang w:eastAsia="zh-CN"/>
        </w:rPr>
        <w:t>工作流将包括一系列报告</w:t>
      </w:r>
      <w:r w:rsidR="00772C93">
        <w:rPr>
          <w:rFonts w:hint="eastAsia"/>
          <w:lang w:eastAsia="zh-CN"/>
        </w:rPr>
        <w:t>，</w:t>
      </w:r>
      <w:r w:rsidR="00772C93" w:rsidRPr="00502FF8">
        <w:rPr>
          <w:rFonts w:hint="eastAsia"/>
          <w:lang w:eastAsia="zh-CN"/>
        </w:rPr>
        <w:t>设想公平</w:t>
      </w:r>
      <w:r w:rsidR="00772C93">
        <w:rPr>
          <w:rFonts w:hint="eastAsia"/>
          <w:lang w:eastAsia="zh-CN"/>
        </w:rPr>
        <w:t>的</w:t>
      </w:r>
      <w:r w:rsidR="00772C93" w:rsidRPr="00502FF8">
        <w:rPr>
          <w:rFonts w:hint="eastAsia"/>
          <w:lang w:eastAsia="zh-CN"/>
        </w:rPr>
        <w:t>未来。其目的是指导未来</w:t>
      </w:r>
      <w:r w:rsidR="00772C93">
        <w:rPr>
          <w:rFonts w:hint="eastAsia"/>
          <w:lang w:eastAsia="zh-CN"/>
        </w:rPr>
        <w:t>场景</w:t>
      </w:r>
      <w:r w:rsidR="00772C93" w:rsidRPr="00502FF8">
        <w:rPr>
          <w:rFonts w:hint="eastAsia"/>
          <w:lang w:eastAsia="zh-CN"/>
        </w:rPr>
        <w:t>的发展，并塑造这些</w:t>
      </w:r>
      <w:r w:rsidR="00772C93">
        <w:rPr>
          <w:rFonts w:hint="eastAsia"/>
          <w:lang w:eastAsia="zh-CN"/>
        </w:rPr>
        <w:t>场景</w:t>
      </w:r>
      <w:r w:rsidR="00772C93" w:rsidRPr="00502FF8">
        <w:rPr>
          <w:rFonts w:hint="eastAsia"/>
          <w:lang w:eastAsia="zh-CN"/>
        </w:rPr>
        <w:t>以应对不断变化的世界，确保数字生态系统做好准备应对新</w:t>
      </w:r>
      <w:r w:rsidR="00772C93">
        <w:rPr>
          <w:rFonts w:hint="eastAsia"/>
          <w:lang w:eastAsia="zh-CN"/>
        </w:rPr>
        <w:t>兴</w:t>
      </w:r>
      <w:r w:rsidR="00772C93" w:rsidRPr="00502FF8">
        <w:rPr>
          <w:rFonts w:hint="eastAsia"/>
          <w:lang w:eastAsia="zh-CN"/>
        </w:rPr>
        <w:t>趋势</w:t>
      </w:r>
      <w:r w:rsidR="00772C93">
        <w:rPr>
          <w:rFonts w:hint="eastAsia"/>
          <w:lang w:eastAsia="zh-CN"/>
        </w:rPr>
        <w:t>，</w:t>
      </w:r>
      <w:r w:rsidR="00772C93" w:rsidRPr="00502FF8">
        <w:rPr>
          <w:rFonts w:hint="eastAsia"/>
          <w:lang w:eastAsia="zh-CN"/>
        </w:rPr>
        <w:t>并具有竞争力。</w:t>
      </w:r>
      <w:proofErr w:type="gramEnd"/>
    </w:p>
    <w:p w14:paraId="434D555F" w14:textId="767B19E2" w:rsidR="00772C93" w:rsidRPr="00226F56" w:rsidRDefault="000566B4" w:rsidP="000566B4">
      <w:pPr>
        <w:pStyle w:val="enumlev1"/>
        <w:rPr>
          <w:lang w:eastAsia="zh-CN"/>
        </w:rPr>
      </w:pPr>
      <w:r w:rsidRPr="000566B4">
        <w:rPr>
          <w:lang w:val="en-US" w:eastAsia="zh-CN"/>
        </w:rPr>
        <w:t>2</w:t>
      </w:r>
      <w:r w:rsidRPr="000566B4">
        <w:rPr>
          <w:lang w:val="en-US" w:eastAsia="zh-CN"/>
        </w:rPr>
        <w:t>)</w:t>
      </w:r>
      <w:r>
        <w:rPr>
          <w:b/>
          <w:bCs/>
          <w:lang w:val="en-US" w:eastAsia="zh-CN"/>
        </w:rPr>
        <w:tab/>
      </w:r>
      <w:r w:rsidR="00772C93" w:rsidRPr="00697F9C">
        <w:rPr>
          <w:rFonts w:hint="eastAsia"/>
          <w:b/>
          <w:bCs/>
          <w:lang w:eastAsia="zh-CN"/>
        </w:rPr>
        <w:t>促进建立伙伴关系生态系统</w:t>
      </w:r>
      <w:r w:rsidR="00772C93" w:rsidRPr="00502FF8">
        <w:rPr>
          <w:rFonts w:hint="eastAsia"/>
          <w:lang w:eastAsia="zh-CN"/>
        </w:rPr>
        <w:t>：此工作流旨在创建一个</w:t>
      </w:r>
      <w:r w:rsidR="00772C93">
        <w:rPr>
          <w:rFonts w:hint="eastAsia"/>
          <w:lang w:eastAsia="zh-CN"/>
        </w:rPr>
        <w:t>由各组织组成，</w:t>
      </w:r>
      <w:r w:rsidR="00772C93" w:rsidRPr="00502FF8">
        <w:rPr>
          <w:rFonts w:hint="eastAsia"/>
          <w:lang w:eastAsia="zh-CN"/>
        </w:rPr>
        <w:t>共享资源、专业知识和服务的协作网络。其目标是加速全球合作，为创新和创业创造机会。</w:t>
      </w:r>
    </w:p>
    <w:p w14:paraId="08D0F063" w14:textId="77777777" w:rsidR="00772C93" w:rsidRPr="000566B4" w:rsidRDefault="00772C93" w:rsidP="000566B4">
      <w:pPr>
        <w:pStyle w:val="Body"/>
        <w:spacing w:before="120" w:after="120"/>
        <w:ind w:firstLineChars="200" w:firstLine="480"/>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pPr>
      <w:r w:rsidRPr="000566B4">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该计划强调，委员会成员需通过专家网络积极参与，允许他们表达自己对特定议题的偏好，并与专家网络积极接触。</w:t>
      </w:r>
    </w:p>
    <w:p w14:paraId="52A2B565" w14:textId="649586DA" w:rsidR="00772C93" w:rsidRPr="000566B4" w:rsidRDefault="00772C93" w:rsidP="000566B4">
      <w:pPr>
        <w:pStyle w:val="Body"/>
        <w:spacing w:before="120" w:after="120"/>
        <w:ind w:firstLineChars="200" w:firstLine="480"/>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pPr>
      <w:r w:rsidRPr="000566B4">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委员会批准了一份针对该系列的议题纲要，并收到了关于即将出版的第一份报告</w:t>
      </w:r>
      <w:r w:rsidRPr="000566B4">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 xml:space="preserve"> </w:t>
      </w:r>
      <w:r w:rsidR="00035EAF" w:rsidRPr="00035EAF">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w:t>
      </w:r>
      <w:r w:rsidRPr="000566B4">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 xml:space="preserve"> </w:t>
      </w:r>
      <w:r w:rsidRPr="000566B4">
        <w:rPr>
          <w:rFonts w:asciiTheme="minorHAnsi" w:eastAsia="SimSun" w:hAnsiTheme="minorHAnsi" w:cstheme="minorHAnsi"/>
          <w:color w:val="auto"/>
          <w:sz w:val="24"/>
          <w:szCs w:val="20"/>
          <w:bdr w:val="none" w:sz="0" w:space="0" w:color="auto"/>
          <w:lang w:eastAsia="zh-CN"/>
          <w14:textOutline w14:w="0" w14:cap="rnd" w14:cmpd="sng" w14:algn="ctr">
            <w14:noFill/>
            <w14:prstDash w14:val="solid"/>
            <w14:bevel/>
          </w14:textOutline>
        </w:rPr>
        <w:t>《塑造面向未来的教育》的介绍。该报告采用国际电联的前瞻方法，展示各国如何通过发展其数字创新生态系统来应对不断变化的全球教育挑战和机遇。</w:t>
      </w:r>
    </w:p>
    <w:p w14:paraId="4715BCB5" w14:textId="7BD378AF" w:rsidR="00772C93" w:rsidRPr="000566B4" w:rsidRDefault="000566B4" w:rsidP="000566B4">
      <w:pPr>
        <w:pStyle w:val="Heading2"/>
        <w:rPr>
          <w:lang w:val="en-US" w:eastAsia="zh-CN"/>
        </w:rPr>
      </w:pPr>
      <w:r>
        <w:rPr>
          <w:lang w:val="en-US" w:eastAsia="zh-CN"/>
        </w:rPr>
        <w:lastRenderedPageBreak/>
        <w:t>2.2</w:t>
      </w:r>
      <w:r>
        <w:rPr>
          <w:lang w:val="en-US" w:eastAsia="zh-CN"/>
        </w:rPr>
        <w:tab/>
      </w:r>
      <w:r w:rsidR="00772C93" w:rsidRPr="000566B4">
        <w:rPr>
          <w:rFonts w:hint="eastAsia"/>
          <w:lang w:val="en-US" w:eastAsia="zh-CN"/>
        </w:rPr>
        <w:t>加速中心网络</w:t>
      </w:r>
    </w:p>
    <w:p w14:paraId="27F53D81" w14:textId="77777777" w:rsidR="00772C93" w:rsidRPr="00226F56" w:rsidRDefault="00772C93" w:rsidP="000566B4">
      <w:pPr>
        <w:spacing w:after="120"/>
        <w:ind w:firstLineChars="200" w:firstLine="480"/>
        <w:rPr>
          <w:lang w:eastAsia="zh-CN"/>
        </w:rPr>
      </w:pPr>
      <w:r w:rsidRPr="00502FF8">
        <w:rPr>
          <w:rFonts w:hint="eastAsia"/>
          <w:lang w:eastAsia="zh-CN"/>
        </w:rPr>
        <w:t>国际电联加速中心网络利用技术、政策和旗舰举措的</w:t>
      </w:r>
      <w:r>
        <w:rPr>
          <w:rFonts w:hint="eastAsia"/>
          <w:lang w:eastAsia="zh-CN"/>
        </w:rPr>
        <w:t>发展</w:t>
      </w:r>
      <w:r w:rsidRPr="00502FF8">
        <w:rPr>
          <w:rFonts w:hint="eastAsia"/>
          <w:lang w:eastAsia="zh-CN"/>
        </w:rPr>
        <w:t>增强全球、区域和国家的创新能力，同时促进</w:t>
      </w:r>
      <w:r>
        <w:rPr>
          <w:rFonts w:hint="eastAsia"/>
          <w:lang w:eastAsia="zh-CN"/>
        </w:rPr>
        <w:t>本</w:t>
      </w:r>
      <w:r w:rsidRPr="00502FF8">
        <w:rPr>
          <w:rFonts w:hint="eastAsia"/>
          <w:lang w:eastAsia="zh-CN"/>
        </w:rPr>
        <w:t>地创新和创业，加</w:t>
      </w:r>
      <w:r>
        <w:rPr>
          <w:rFonts w:hint="eastAsia"/>
          <w:lang w:eastAsia="zh-CN"/>
        </w:rPr>
        <w:t>快</w:t>
      </w:r>
      <w:r w:rsidRPr="00502FF8">
        <w:rPr>
          <w:rFonts w:hint="eastAsia"/>
          <w:lang w:eastAsia="zh-CN"/>
        </w:rPr>
        <w:t>数字化转型。</w:t>
      </w:r>
    </w:p>
    <w:p w14:paraId="064537DD" w14:textId="3FBFA3A7" w:rsidR="00772C93" w:rsidRPr="00226F56" w:rsidRDefault="00772C93" w:rsidP="000566B4">
      <w:pPr>
        <w:spacing w:after="120"/>
        <w:ind w:firstLineChars="200" w:firstLine="480"/>
        <w:rPr>
          <w:lang w:eastAsia="zh-CN"/>
        </w:rPr>
      </w:pPr>
      <w:r w:rsidRPr="000566B4">
        <w:rPr>
          <w:rFonts w:cstheme="minorHAnsi"/>
          <w:lang w:eastAsia="zh-CN"/>
        </w:rPr>
        <w:t>2024</w:t>
      </w:r>
      <w:r w:rsidRPr="000566B4">
        <w:rPr>
          <w:rFonts w:cstheme="minorHAnsi"/>
          <w:lang w:eastAsia="zh-CN"/>
        </w:rPr>
        <w:t>年，</w:t>
      </w:r>
      <w:r w:rsidRPr="000566B4">
        <w:rPr>
          <w:rFonts w:cstheme="minorHAnsi"/>
          <w:lang w:eastAsia="zh-CN"/>
        </w:rPr>
        <w:t>BDT</w:t>
      </w:r>
      <w:r w:rsidRPr="00502FF8">
        <w:rPr>
          <w:rFonts w:hint="eastAsia"/>
          <w:lang w:eastAsia="zh-CN"/>
        </w:rPr>
        <w:t>努力</w:t>
      </w:r>
      <w:r>
        <w:rPr>
          <w:rFonts w:hint="eastAsia"/>
          <w:lang w:eastAsia="zh-CN"/>
        </w:rPr>
        <w:t>推动</w:t>
      </w:r>
      <w:hyperlink r:id="rId16" w:anchor="/zh" w:history="1">
        <w:r>
          <w:rPr>
            <w:rStyle w:val="Hyperlink"/>
            <w:rFonts w:hint="eastAsia"/>
            <w:lang w:eastAsia="zh-CN"/>
          </w:rPr>
          <w:t>获选设立中心的全部</w:t>
        </w:r>
        <w:r>
          <w:rPr>
            <w:rStyle w:val="Hyperlink"/>
            <w:rFonts w:hint="eastAsia"/>
            <w:lang w:eastAsia="zh-CN"/>
          </w:rPr>
          <w:t>1</w:t>
        </w:r>
        <w:r>
          <w:rPr>
            <w:rStyle w:val="Hyperlink"/>
            <w:rFonts w:hint="eastAsia"/>
            <w:lang w:eastAsia="zh-CN"/>
          </w:rPr>
          <w:t>7</w:t>
        </w:r>
        <w:r>
          <w:rPr>
            <w:rStyle w:val="Hyperlink"/>
            <w:rFonts w:hint="eastAsia"/>
            <w:lang w:eastAsia="zh-CN"/>
          </w:rPr>
          <w:t>家组织</w:t>
        </w:r>
      </w:hyperlink>
      <w:r w:rsidRPr="000C5166">
        <w:rPr>
          <w:rFonts w:hint="eastAsia"/>
          <w:lang w:eastAsia="zh-CN"/>
        </w:rPr>
        <w:t>投入运作。每</w:t>
      </w:r>
      <w:r>
        <w:rPr>
          <w:rFonts w:hint="eastAsia"/>
          <w:lang w:eastAsia="zh-CN"/>
        </w:rPr>
        <w:t>家</w:t>
      </w:r>
      <w:r w:rsidRPr="000C5166">
        <w:rPr>
          <w:rFonts w:hint="eastAsia"/>
          <w:lang w:eastAsia="zh-CN"/>
        </w:rPr>
        <w:t>入选</w:t>
      </w:r>
      <w:r>
        <w:rPr>
          <w:rFonts w:hint="eastAsia"/>
          <w:lang w:eastAsia="zh-CN"/>
        </w:rPr>
        <w:t>组织</w:t>
      </w:r>
      <w:r w:rsidRPr="000C5166">
        <w:rPr>
          <w:rFonts w:hint="eastAsia"/>
          <w:lang w:eastAsia="zh-CN"/>
        </w:rPr>
        <w:t>须：</w:t>
      </w:r>
    </w:p>
    <w:p w14:paraId="287CBD07" w14:textId="07401AB8" w:rsidR="00772C93" w:rsidRPr="00226F56" w:rsidRDefault="000566B4" w:rsidP="000566B4">
      <w:pPr>
        <w:pStyle w:val="enumlev1"/>
        <w:rPr>
          <w:lang w:eastAsia="zh-CN"/>
        </w:rPr>
      </w:pPr>
      <w:r>
        <w:rPr>
          <w:lang w:eastAsia="zh-CN"/>
        </w:rPr>
        <w:t>–</w:t>
      </w:r>
      <w:r>
        <w:rPr>
          <w:lang w:val="en-US" w:eastAsia="zh-CN"/>
        </w:rPr>
        <w:tab/>
      </w:r>
      <w:r w:rsidR="00772C93" w:rsidRPr="00502FF8">
        <w:rPr>
          <w:rFonts w:hint="eastAsia"/>
          <w:lang w:eastAsia="zh-CN"/>
        </w:rPr>
        <w:t>与</w:t>
      </w:r>
      <w:r w:rsidR="00772C93">
        <w:rPr>
          <w:rFonts w:hint="eastAsia"/>
          <w:lang w:eastAsia="zh-CN"/>
        </w:rPr>
        <w:t>BDT</w:t>
      </w:r>
      <w:r w:rsidR="00772C93" w:rsidRPr="00502FF8">
        <w:rPr>
          <w:rFonts w:hint="eastAsia"/>
          <w:lang w:eastAsia="zh-CN"/>
        </w:rPr>
        <w:t>签署合作协议，管理该中心的行为及其与国际电联的关系，</w:t>
      </w:r>
    </w:p>
    <w:p w14:paraId="546C81AB" w14:textId="5D4BD778" w:rsidR="00772C93" w:rsidRPr="00226F56" w:rsidRDefault="000566B4" w:rsidP="000566B4">
      <w:pPr>
        <w:pStyle w:val="enumlev1"/>
        <w:rPr>
          <w:lang w:eastAsia="zh-CN"/>
        </w:rPr>
      </w:pPr>
      <w:r>
        <w:rPr>
          <w:lang w:eastAsia="zh-CN"/>
        </w:rPr>
        <w:t>–</w:t>
      </w:r>
      <w:r>
        <w:rPr>
          <w:lang w:val="en-US" w:eastAsia="zh-CN"/>
        </w:rPr>
        <w:tab/>
      </w:r>
      <w:r w:rsidR="00772C93" w:rsidRPr="00502FF8">
        <w:rPr>
          <w:rFonts w:hint="eastAsia"/>
          <w:lang w:eastAsia="zh-CN"/>
        </w:rPr>
        <w:t>获得足够的财政和政治支持以踏上变革之旅，并且</w:t>
      </w:r>
    </w:p>
    <w:p w14:paraId="61B76BF0" w14:textId="4195FCA5" w:rsidR="00772C93" w:rsidRPr="00226F56" w:rsidRDefault="000566B4" w:rsidP="000566B4">
      <w:pPr>
        <w:pStyle w:val="enumlev1"/>
        <w:rPr>
          <w:lang w:eastAsia="zh-CN"/>
        </w:rPr>
      </w:pPr>
      <w:r>
        <w:rPr>
          <w:lang w:eastAsia="zh-CN"/>
        </w:rPr>
        <w:t>–</w:t>
      </w:r>
      <w:r>
        <w:rPr>
          <w:lang w:val="en-US" w:eastAsia="zh-CN"/>
        </w:rPr>
        <w:tab/>
      </w:r>
      <w:r w:rsidR="00772C93" w:rsidRPr="00502FF8">
        <w:rPr>
          <w:rFonts w:hint="eastAsia"/>
          <w:lang w:eastAsia="zh-CN"/>
        </w:rPr>
        <w:t>参与</w:t>
      </w:r>
      <w:r w:rsidR="00772C93">
        <w:rPr>
          <w:rFonts w:hint="eastAsia"/>
          <w:lang w:eastAsia="zh-CN"/>
        </w:rPr>
        <w:t>行动手册的</w:t>
      </w:r>
      <w:r w:rsidR="00772C93" w:rsidRPr="00502FF8">
        <w:rPr>
          <w:rFonts w:hint="eastAsia"/>
          <w:lang w:eastAsia="zh-CN"/>
        </w:rPr>
        <w:t>设计过程，并获得国际电联</w:t>
      </w:r>
      <w:r w:rsidR="00772C93">
        <w:rPr>
          <w:rFonts w:hint="eastAsia"/>
          <w:lang w:eastAsia="zh-CN"/>
        </w:rPr>
        <w:t>的</w:t>
      </w:r>
      <w:r w:rsidR="00772C93" w:rsidRPr="00502FF8">
        <w:rPr>
          <w:rFonts w:hint="eastAsia"/>
          <w:lang w:eastAsia="zh-CN"/>
        </w:rPr>
        <w:t>能力建设支持</w:t>
      </w:r>
      <w:r w:rsidR="00772C93">
        <w:rPr>
          <w:rFonts w:hint="eastAsia"/>
          <w:lang w:eastAsia="zh-CN"/>
        </w:rPr>
        <w:t>，以</w:t>
      </w:r>
      <w:r w:rsidR="00772C93" w:rsidRPr="00502FF8">
        <w:rPr>
          <w:rFonts w:hint="eastAsia"/>
          <w:lang w:eastAsia="zh-CN"/>
        </w:rPr>
        <w:t>实现其预期战略目标。</w:t>
      </w:r>
    </w:p>
    <w:p w14:paraId="54B4C8D4" w14:textId="77777777" w:rsidR="00772C93" w:rsidRPr="00226F56" w:rsidRDefault="00772C93" w:rsidP="000566B4">
      <w:pPr>
        <w:spacing w:after="120"/>
        <w:ind w:firstLineChars="200" w:firstLine="480"/>
        <w:rPr>
          <w:lang w:eastAsia="zh-CN"/>
        </w:rPr>
      </w:pPr>
      <w:r w:rsidRPr="00502FF8">
        <w:rPr>
          <w:lang w:eastAsia="zh-CN"/>
        </w:rPr>
        <w:t>2024</w:t>
      </w:r>
      <w:r w:rsidRPr="00502FF8">
        <w:rPr>
          <w:rFonts w:hint="eastAsia"/>
          <w:lang w:eastAsia="zh-CN"/>
        </w:rPr>
        <w:t>年，三家</w:t>
      </w:r>
      <w:r>
        <w:rPr>
          <w:rFonts w:hint="eastAsia"/>
          <w:lang w:eastAsia="zh-CN"/>
        </w:rPr>
        <w:t>组织</w:t>
      </w:r>
      <w:r w:rsidRPr="00502FF8">
        <w:rPr>
          <w:rFonts w:hint="eastAsia"/>
          <w:lang w:eastAsia="zh-CN"/>
        </w:rPr>
        <w:t>因未能签署合作协议或缺乏足够的财政或政治支持而无法继续合作</w:t>
      </w:r>
      <w:r>
        <w:rPr>
          <w:rFonts w:hint="eastAsia"/>
          <w:lang w:eastAsia="zh-CN"/>
        </w:rPr>
        <w:t>，</w:t>
      </w:r>
      <w:r w:rsidRPr="00502FF8">
        <w:rPr>
          <w:rFonts w:hint="eastAsia"/>
          <w:lang w:eastAsia="zh-CN"/>
        </w:rPr>
        <w:t>被从批准名单中删除。</w:t>
      </w:r>
      <w:r>
        <w:rPr>
          <w:rFonts w:hint="eastAsia"/>
          <w:lang w:eastAsia="zh-CN"/>
        </w:rPr>
        <w:t>还有四家组织因</w:t>
      </w:r>
      <w:r w:rsidRPr="00502FF8">
        <w:rPr>
          <w:rFonts w:hint="eastAsia"/>
          <w:lang w:eastAsia="zh-CN"/>
        </w:rPr>
        <w:t>各自国家的行政管理延误，尚未签署合作协议。</w:t>
      </w:r>
    </w:p>
    <w:p w14:paraId="36894369" w14:textId="2D9858EC" w:rsidR="00772C93" w:rsidRPr="00226F56" w:rsidRDefault="00772C93" w:rsidP="000566B4">
      <w:pPr>
        <w:spacing w:after="120"/>
        <w:ind w:firstLineChars="200" w:firstLine="480"/>
        <w:rPr>
          <w:lang w:eastAsia="zh-CN"/>
        </w:rPr>
      </w:pPr>
      <w:r w:rsidRPr="00502FF8">
        <w:rPr>
          <w:rFonts w:hint="eastAsia"/>
          <w:lang w:eastAsia="zh-CN"/>
        </w:rPr>
        <w:t>截至目前，</w:t>
      </w:r>
      <w:r w:rsidRPr="00502FF8">
        <w:rPr>
          <w:lang w:eastAsia="zh-CN"/>
        </w:rPr>
        <w:t>10</w:t>
      </w:r>
      <w:r w:rsidRPr="00502FF8">
        <w:rPr>
          <w:rFonts w:hint="eastAsia"/>
          <w:lang w:eastAsia="zh-CN"/>
        </w:rPr>
        <w:t>个中心已完成设计程序，正在</w:t>
      </w:r>
      <w:r>
        <w:rPr>
          <w:rFonts w:hint="eastAsia"/>
          <w:lang w:eastAsia="zh-CN"/>
        </w:rPr>
        <w:t>开展</w:t>
      </w:r>
      <w:r w:rsidRPr="00502FF8">
        <w:rPr>
          <w:rFonts w:hint="eastAsia"/>
          <w:lang w:eastAsia="zh-CN"/>
        </w:rPr>
        <w:t>能力建设和服务部署。</w:t>
      </w:r>
      <w:r>
        <w:rPr>
          <w:rFonts w:hint="eastAsia"/>
          <w:lang w:eastAsia="zh-CN"/>
        </w:rPr>
        <w:t>BDT</w:t>
      </w:r>
      <w:r w:rsidRPr="00502FF8">
        <w:rPr>
          <w:rFonts w:hint="eastAsia"/>
          <w:lang w:eastAsia="zh-CN"/>
        </w:rPr>
        <w:t>将继续利用国际电联学院平台以及由</w:t>
      </w:r>
      <w:r>
        <w:rPr>
          <w:rFonts w:hint="eastAsia"/>
          <w:lang w:eastAsia="zh-CN"/>
        </w:rPr>
        <w:t>阿联酋电信和数字政府监管局（</w:t>
      </w:r>
      <w:r w:rsidRPr="00502FF8">
        <w:rPr>
          <w:lang w:eastAsia="zh-CN"/>
        </w:rPr>
        <w:t>TDRA</w:t>
      </w:r>
      <w:r>
        <w:rPr>
          <w:rFonts w:hint="eastAsia"/>
          <w:lang w:eastAsia="zh-CN"/>
        </w:rPr>
        <w:t>）</w:t>
      </w:r>
      <w:r w:rsidRPr="00502FF8">
        <w:rPr>
          <w:rFonts w:hint="eastAsia"/>
          <w:lang w:eastAsia="zh-CN"/>
        </w:rPr>
        <w:t>在阿联酋联合组织的</w:t>
      </w:r>
      <w:proofErr w:type="spellStart"/>
      <w:r w:rsidRPr="00502FF8">
        <w:rPr>
          <w:lang w:eastAsia="zh-CN"/>
        </w:rPr>
        <w:t>iCodi</w:t>
      </w:r>
      <w:proofErr w:type="spellEnd"/>
      <w:r w:rsidRPr="00502FF8">
        <w:rPr>
          <w:rFonts w:hint="eastAsia"/>
          <w:lang w:eastAsia="zh-CN"/>
        </w:rPr>
        <w:t>讲习班为中心</w:t>
      </w:r>
      <w:r>
        <w:rPr>
          <w:rFonts w:hint="eastAsia"/>
          <w:lang w:eastAsia="zh-CN"/>
        </w:rPr>
        <w:t>开展</w:t>
      </w:r>
      <w:r w:rsidRPr="00502FF8">
        <w:rPr>
          <w:rFonts w:hint="eastAsia"/>
          <w:lang w:eastAsia="zh-CN"/>
        </w:rPr>
        <w:t>能力建设课程（如</w:t>
      </w:r>
      <w:r>
        <w:rPr>
          <w:lang w:eastAsia="zh-CN"/>
        </w:rPr>
        <w:fldChar w:fldCharType="begin"/>
      </w:r>
      <w:r w:rsidR="00C838A6">
        <w:rPr>
          <w:lang w:eastAsia="zh-CN"/>
        </w:rPr>
        <w:instrText>HYPERLINK "https://academy.itu.int/training-courses/full-catalogue/strategic-foresight-201" \l "/zh"</w:instrText>
      </w:r>
      <w:r w:rsidR="00C838A6">
        <w:rPr>
          <w:lang w:eastAsia="zh-CN"/>
        </w:rPr>
      </w:r>
      <w:r>
        <w:rPr>
          <w:lang w:eastAsia="zh-CN"/>
        </w:rPr>
        <w:fldChar w:fldCharType="separate"/>
      </w:r>
      <w:r w:rsidRPr="00E75C9E">
        <w:rPr>
          <w:rStyle w:val="Hyperlink"/>
          <w:rFonts w:hint="eastAsia"/>
          <w:lang w:eastAsia="zh-CN"/>
        </w:rPr>
        <w:t>战略</w:t>
      </w:r>
      <w:r w:rsidRPr="00E75C9E">
        <w:rPr>
          <w:rStyle w:val="Hyperlink"/>
          <w:rFonts w:hint="eastAsia"/>
          <w:lang w:eastAsia="zh-CN"/>
        </w:rPr>
        <w:t>远</w:t>
      </w:r>
      <w:r w:rsidRPr="00E75C9E">
        <w:rPr>
          <w:rStyle w:val="Hyperlink"/>
          <w:rFonts w:hint="eastAsia"/>
          <w:lang w:eastAsia="zh-CN"/>
        </w:rPr>
        <w:t>见</w:t>
      </w:r>
      <w:r w:rsidRPr="00E75C9E">
        <w:rPr>
          <w:rStyle w:val="Hyperlink"/>
          <w:lang w:eastAsia="zh-CN"/>
        </w:rPr>
        <w:t>201</w:t>
      </w:r>
      <w:r>
        <w:rPr>
          <w:lang w:eastAsia="zh-CN"/>
        </w:rPr>
        <w:fldChar w:fldCharType="end"/>
      </w:r>
      <w:r w:rsidRPr="00502FF8">
        <w:rPr>
          <w:rFonts w:hint="eastAsia"/>
          <w:lang w:eastAsia="zh-CN"/>
        </w:rPr>
        <w:t>和</w:t>
      </w:r>
      <w:r>
        <w:rPr>
          <w:lang w:eastAsia="zh-CN"/>
        </w:rPr>
        <w:fldChar w:fldCharType="begin"/>
      </w:r>
      <w:r w:rsidR="00923F36">
        <w:rPr>
          <w:lang w:eastAsia="zh-CN"/>
        </w:rPr>
        <w:instrText>HYPERLINK "https://academy.itu.int/training-courses/full-catalogue/ecosystem-initiative-development-201" \l "/zh"</w:instrText>
      </w:r>
      <w:r w:rsidR="00923F36">
        <w:rPr>
          <w:lang w:eastAsia="zh-CN"/>
        </w:rPr>
      </w:r>
      <w:r>
        <w:rPr>
          <w:lang w:eastAsia="zh-CN"/>
        </w:rPr>
        <w:fldChar w:fldCharType="separate"/>
      </w:r>
      <w:r w:rsidRPr="00E75C9E">
        <w:rPr>
          <w:rStyle w:val="Hyperlink"/>
          <w:rFonts w:hint="eastAsia"/>
          <w:lang w:eastAsia="zh-CN"/>
        </w:rPr>
        <w:t>生态系统举措发展</w:t>
      </w:r>
      <w:r w:rsidRPr="00E75C9E">
        <w:rPr>
          <w:rStyle w:val="Hyperlink"/>
          <w:lang w:eastAsia="zh-CN"/>
        </w:rPr>
        <w:t>201</w:t>
      </w:r>
      <w:r>
        <w:rPr>
          <w:lang w:eastAsia="zh-CN"/>
        </w:rPr>
        <w:fldChar w:fldCharType="end"/>
      </w:r>
      <w:r w:rsidRPr="00502FF8">
        <w:rPr>
          <w:rFonts w:hint="eastAsia"/>
          <w:lang w:eastAsia="zh-CN"/>
        </w:rPr>
        <w:t>）。值得注意的是，各中心</w:t>
      </w:r>
      <w:r>
        <w:rPr>
          <w:rFonts w:hint="eastAsia"/>
          <w:lang w:eastAsia="zh-CN"/>
        </w:rPr>
        <w:t>正在</w:t>
      </w:r>
      <w:r w:rsidRPr="00502FF8">
        <w:rPr>
          <w:rFonts w:hint="eastAsia"/>
          <w:lang w:eastAsia="zh-CN"/>
        </w:rPr>
        <w:t>按照自己的步调</w:t>
      </w:r>
      <w:r>
        <w:rPr>
          <w:rFonts w:hint="eastAsia"/>
          <w:lang w:eastAsia="zh-CN"/>
        </w:rPr>
        <w:t>陆续启动</w:t>
      </w:r>
      <w:r w:rsidRPr="00502FF8">
        <w:rPr>
          <w:rFonts w:hint="eastAsia"/>
          <w:lang w:eastAsia="zh-CN"/>
        </w:rPr>
        <w:t>，一旦达到国际电联规定的要求就会开展工作。</w:t>
      </w:r>
      <w:r w:rsidRPr="00432015">
        <w:rPr>
          <w:rFonts w:hint="eastAsia"/>
          <w:lang w:eastAsia="zh-CN"/>
        </w:rPr>
        <w:t>目前已有部分中心投入运营，并获得协助与跟进服务，</w:t>
      </w:r>
      <w:r w:rsidRPr="00502FF8">
        <w:rPr>
          <w:rFonts w:hint="eastAsia"/>
          <w:lang w:eastAsia="zh-CN"/>
        </w:rPr>
        <w:t>以确保它们符合这些要求并部署服务</w:t>
      </w:r>
      <w:r w:rsidRPr="00432015">
        <w:rPr>
          <w:rFonts w:hint="eastAsia"/>
          <w:lang w:eastAsia="zh-CN"/>
        </w:rPr>
        <w:t>。</w:t>
      </w:r>
    </w:p>
    <w:p w14:paraId="4AEBD72E" w14:textId="77777777" w:rsidR="00772C93" w:rsidRPr="00226F56" w:rsidRDefault="00772C93" w:rsidP="000566B4">
      <w:pPr>
        <w:spacing w:after="120"/>
        <w:ind w:firstLineChars="200" w:firstLine="480"/>
        <w:rPr>
          <w:lang w:eastAsia="zh-CN"/>
        </w:rPr>
      </w:pPr>
      <w:r w:rsidRPr="00502FF8">
        <w:rPr>
          <w:rFonts w:hint="eastAsia"/>
          <w:lang w:eastAsia="zh-CN"/>
        </w:rPr>
        <w:t>国际电联加速中心是对国际电联其他能力建设举措的补充。</w:t>
      </w:r>
      <w:r>
        <w:rPr>
          <w:rFonts w:hint="eastAsia"/>
          <w:lang w:eastAsia="zh-CN"/>
        </w:rPr>
        <w:t>部分承办</w:t>
      </w:r>
      <w:r w:rsidRPr="00502FF8">
        <w:rPr>
          <w:lang w:eastAsia="zh-CN"/>
        </w:rPr>
        <w:t>ATC</w:t>
      </w:r>
      <w:r w:rsidRPr="00502FF8">
        <w:rPr>
          <w:rFonts w:hint="eastAsia"/>
          <w:lang w:eastAsia="zh-CN"/>
        </w:rPr>
        <w:t>的组织也是国际电联加速中心的</w:t>
      </w:r>
      <w:r>
        <w:rPr>
          <w:rFonts w:hint="eastAsia"/>
          <w:lang w:eastAsia="zh-CN"/>
        </w:rPr>
        <w:t>承</w:t>
      </w:r>
      <w:r w:rsidRPr="00502FF8">
        <w:rPr>
          <w:rFonts w:hint="eastAsia"/>
          <w:lang w:eastAsia="zh-CN"/>
        </w:rPr>
        <w:t>办方。国际电联加速中心</w:t>
      </w:r>
      <w:r>
        <w:rPr>
          <w:rFonts w:hint="eastAsia"/>
          <w:lang w:eastAsia="zh-CN"/>
        </w:rPr>
        <w:t>通过</w:t>
      </w:r>
      <w:r w:rsidRPr="00502FF8">
        <w:rPr>
          <w:rFonts w:hint="eastAsia"/>
          <w:lang w:eastAsia="zh-CN"/>
        </w:rPr>
        <w:t>提供</w:t>
      </w:r>
      <w:r>
        <w:rPr>
          <w:rFonts w:hint="eastAsia"/>
          <w:lang w:eastAsia="zh-CN"/>
        </w:rPr>
        <w:t>规划设计</w:t>
      </w:r>
      <w:r w:rsidRPr="00502FF8">
        <w:rPr>
          <w:rFonts w:hint="eastAsia"/>
          <w:lang w:eastAsia="zh-CN"/>
        </w:rPr>
        <w:t>，推动数字创新</w:t>
      </w:r>
      <w:r>
        <w:rPr>
          <w:rFonts w:hint="eastAsia"/>
          <w:lang w:eastAsia="zh-CN"/>
        </w:rPr>
        <w:t>，重点关</w:t>
      </w:r>
      <w:r w:rsidRPr="00502FF8">
        <w:rPr>
          <w:rFonts w:hint="eastAsia"/>
          <w:lang w:eastAsia="zh-CN"/>
        </w:rPr>
        <w:t>注战略前瞻、政策加速等关键</w:t>
      </w:r>
      <w:r>
        <w:rPr>
          <w:rFonts w:hint="eastAsia"/>
          <w:lang w:eastAsia="zh-CN"/>
        </w:rPr>
        <w:t>议题</w:t>
      </w:r>
      <w:r w:rsidRPr="00502FF8">
        <w:rPr>
          <w:rFonts w:hint="eastAsia"/>
          <w:lang w:eastAsia="zh-CN"/>
        </w:rPr>
        <w:t>。它利用未来思维、设计思维和系统思维来推动机构能力建设。这与其他国际电联</w:t>
      </w:r>
      <w:r>
        <w:rPr>
          <w:rFonts w:hint="eastAsia"/>
          <w:lang w:eastAsia="zh-CN"/>
        </w:rPr>
        <w:t>认证</w:t>
      </w:r>
      <w:r w:rsidRPr="00502FF8">
        <w:rPr>
          <w:rFonts w:hint="eastAsia"/>
          <w:lang w:eastAsia="zh-CN"/>
        </w:rPr>
        <w:t>中心</w:t>
      </w:r>
      <w:r>
        <w:rPr>
          <w:rFonts w:hint="eastAsia"/>
          <w:lang w:eastAsia="zh-CN"/>
        </w:rPr>
        <w:t>（</w:t>
      </w:r>
      <w:r w:rsidRPr="00502FF8">
        <w:rPr>
          <w:rFonts w:hint="eastAsia"/>
          <w:lang w:eastAsia="zh-CN"/>
        </w:rPr>
        <w:t>例如</w:t>
      </w:r>
      <w:r w:rsidRPr="00502FF8">
        <w:rPr>
          <w:lang w:eastAsia="zh-CN"/>
        </w:rPr>
        <w:t>ATC</w:t>
      </w:r>
      <w:r w:rsidRPr="00502FF8">
        <w:rPr>
          <w:rFonts w:hint="eastAsia"/>
          <w:lang w:eastAsia="zh-CN"/>
        </w:rPr>
        <w:t>和</w:t>
      </w:r>
      <w:r w:rsidRPr="00502FF8">
        <w:rPr>
          <w:lang w:eastAsia="zh-CN"/>
        </w:rPr>
        <w:t>DTC</w:t>
      </w:r>
      <w:r>
        <w:rPr>
          <w:rFonts w:hint="eastAsia"/>
          <w:lang w:eastAsia="zh-CN"/>
        </w:rPr>
        <w:t>）</w:t>
      </w:r>
      <w:r w:rsidRPr="00502FF8">
        <w:rPr>
          <w:rFonts w:hint="eastAsia"/>
          <w:lang w:eastAsia="zh-CN"/>
        </w:rPr>
        <w:t>不同，后者更</w:t>
      </w:r>
      <w:r>
        <w:rPr>
          <w:rFonts w:hint="eastAsia"/>
          <w:lang w:eastAsia="zh-CN"/>
        </w:rPr>
        <w:t>侧重于</w:t>
      </w:r>
      <w:r w:rsidRPr="00502FF8">
        <w:rPr>
          <w:rFonts w:hint="eastAsia"/>
          <w:lang w:eastAsia="zh-CN"/>
        </w:rPr>
        <w:t>技能发展。</w:t>
      </w:r>
    </w:p>
    <w:p w14:paraId="54AAD6DA" w14:textId="77777777" w:rsidR="00772C93" w:rsidRPr="00226F56" w:rsidRDefault="00772C93" w:rsidP="000566B4">
      <w:pPr>
        <w:spacing w:after="120"/>
        <w:ind w:firstLineChars="200" w:firstLine="480"/>
        <w:rPr>
          <w:lang w:eastAsia="zh-CN"/>
        </w:rPr>
      </w:pPr>
      <w:r w:rsidRPr="00502FF8">
        <w:rPr>
          <w:rFonts w:hint="eastAsia"/>
          <w:lang w:eastAsia="zh-CN"/>
        </w:rPr>
        <w:t>数字化转型实验室</w:t>
      </w:r>
      <w:r>
        <w:rPr>
          <w:rFonts w:hint="eastAsia"/>
          <w:lang w:eastAsia="zh-CN"/>
        </w:rPr>
        <w:t>以</w:t>
      </w:r>
      <w:proofErr w:type="gramStart"/>
      <w:r w:rsidRPr="00502FF8">
        <w:rPr>
          <w:rFonts w:hint="eastAsia"/>
          <w:lang w:eastAsia="zh-CN"/>
        </w:rPr>
        <w:t>跨利益</w:t>
      </w:r>
      <w:proofErr w:type="gramEnd"/>
      <w:r w:rsidRPr="00502FF8">
        <w:rPr>
          <w:rFonts w:hint="eastAsia"/>
          <w:lang w:eastAsia="zh-CN"/>
        </w:rPr>
        <w:t>攸关方</w:t>
      </w:r>
      <w:r>
        <w:rPr>
          <w:rFonts w:hint="eastAsia"/>
          <w:lang w:eastAsia="zh-CN"/>
        </w:rPr>
        <w:t>的方式</w:t>
      </w:r>
      <w:r w:rsidRPr="00502FF8">
        <w:rPr>
          <w:rFonts w:hint="eastAsia"/>
          <w:lang w:eastAsia="zh-CN"/>
        </w:rPr>
        <w:t>创建这种</w:t>
      </w:r>
      <w:r>
        <w:rPr>
          <w:rFonts w:hint="eastAsia"/>
          <w:lang w:eastAsia="zh-CN"/>
        </w:rPr>
        <w:t>纲领性</w:t>
      </w:r>
      <w:r w:rsidRPr="00502FF8">
        <w:rPr>
          <w:rFonts w:hint="eastAsia"/>
          <w:lang w:eastAsia="zh-CN"/>
        </w:rPr>
        <w:t>知识，然后通过国际电联学院平台或</w:t>
      </w:r>
      <w:proofErr w:type="spellStart"/>
      <w:r w:rsidRPr="00502FF8">
        <w:rPr>
          <w:lang w:eastAsia="zh-CN"/>
        </w:rPr>
        <w:t>iCodi</w:t>
      </w:r>
      <w:proofErr w:type="spellEnd"/>
      <w:r w:rsidRPr="00502FF8">
        <w:rPr>
          <w:rFonts w:hint="eastAsia"/>
          <w:lang w:eastAsia="zh-CN"/>
        </w:rPr>
        <w:t>讲习班</w:t>
      </w:r>
      <w:r>
        <w:rPr>
          <w:rFonts w:hint="eastAsia"/>
          <w:lang w:eastAsia="zh-CN"/>
        </w:rPr>
        <w:t>，将</w:t>
      </w:r>
      <w:r w:rsidRPr="00502FF8">
        <w:rPr>
          <w:rFonts w:hint="eastAsia"/>
          <w:lang w:eastAsia="zh-CN"/>
        </w:rPr>
        <w:t>这些知识</w:t>
      </w:r>
      <w:r>
        <w:rPr>
          <w:rFonts w:hint="eastAsia"/>
          <w:lang w:eastAsia="zh-CN"/>
        </w:rPr>
        <w:t>用于</w:t>
      </w:r>
      <w:r w:rsidRPr="00502FF8">
        <w:rPr>
          <w:rFonts w:hint="eastAsia"/>
          <w:lang w:eastAsia="zh-CN"/>
        </w:rPr>
        <w:t>培训中心的工作人员和更广泛的利益攸关方。内容</w:t>
      </w:r>
      <w:r>
        <w:rPr>
          <w:rFonts w:hint="eastAsia"/>
          <w:lang w:eastAsia="zh-CN"/>
        </w:rPr>
        <w:t>的创作</w:t>
      </w:r>
      <w:r w:rsidRPr="00502FF8">
        <w:rPr>
          <w:rFonts w:hint="eastAsia"/>
          <w:lang w:eastAsia="zh-CN"/>
        </w:rPr>
        <w:t>主要</w:t>
      </w:r>
      <w:r>
        <w:rPr>
          <w:rFonts w:hint="eastAsia"/>
          <w:lang w:eastAsia="zh-CN"/>
        </w:rPr>
        <w:t>受</w:t>
      </w:r>
      <w:r w:rsidRPr="00502FF8">
        <w:rPr>
          <w:rFonts w:hint="eastAsia"/>
          <w:lang w:eastAsia="zh-CN"/>
        </w:rPr>
        <w:t>国际电联推动，而不是</w:t>
      </w:r>
      <w:proofErr w:type="gramStart"/>
      <w:r w:rsidRPr="00502FF8">
        <w:rPr>
          <w:rFonts w:hint="eastAsia"/>
          <w:lang w:eastAsia="zh-CN"/>
        </w:rPr>
        <w:t>像数字</w:t>
      </w:r>
      <w:proofErr w:type="gramEnd"/>
      <w:r w:rsidRPr="00502FF8">
        <w:rPr>
          <w:rFonts w:hint="eastAsia"/>
          <w:lang w:eastAsia="zh-CN"/>
        </w:rPr>
        <w:t>技能中心那样</w:t>
      </w:r>
      <w:r>
        <w:rPr>
          <w:rFonts w:hint="eastAsia"/>
          <w:lang w:eastAsia="zh-CN"/>
        </w:rPr>
        <w:t>受</w:t>
      </w:r>
      <w:r w:rsidRPr="00502FF8">
        <w:rPr>
          <w:rFonts w:hint="eastAsia"/>
          <w:lang w:eastAsia="zh-CN"/>
        </w:rPr>
        <w:t>外部利益攸关方</w:t>
      </w:r>
      <w:r>
        <w:rPr>
          <w:rFonts w:hint="eastAsia"/>
          <w:lang w:eastAsia="zh-CN"/>
        </w:rPr>
        <w:t>推动</w:t>
      </w:r>
      <w:r w:rsidRPr="00502FF8">
        <w:rPr>
          <w:rFonts w:hint="eastAsia"/>
          <w:lang w:eastAsia="zh-CN"/>
        </w:rPr>
        <w:t>。这种新方式强化了</w:t>
      </w:r>
      <w:r>
        <w:rPr>
          <w:rFonts w:hint="eastAsia"/>
          <w:lang w:eastAsia="zh-CN"/>
        </w:rPr>
        <w:t>BDT</w:t>
      </w:r>
      <w:r w:rsidRPr="00502FF8">
        <w:rPr>
          <w:rFonts w:hint="eastAsia"/>
          <w:lang w:eastAsia="zh-CN"/>
        </w:rPr>
        <w:t>的工作，并通过共同创造、共同设计和提供标准运作流程，</w:t>
      </w:r>
      <w:r>
        <w:rPr>
          <w:rFonts w:hint="eastAsia"/>
          <w:lang w:eastAsia="zh-CN"/>
        </w:rPr>
        <w:t>吸引</w:t>
      </w:r>
      <w:proofErr w:type="gramStart"/>
      <w:r w:rsidRPr="00502FF8">
        <w:rPr>
          <w:rFonts w:hint="eastAsia"/>
          <w:lang w:eastAsia="zh-CN"/>
        </w:rPr>
        <w:t>所有利益</w:t>
      </w:r>
      <w:proofErr w:type="gramEnd"/>
      <w:r w:rsidRPr="00502FF8">
        <w:rPr>
          <w:rFonts w:hint="eastAsia"/>
          <w:lang w:eastAsia="zh-CN"/>
        </w:rPr>
        <w:t>攸关方参与</w:t>
      </w:r>
      <w:r>
        <w:rPr>
          <w:rFonts w:hint="eastAsia"/>
          <w:lang w:eastAsia="zh-CN"/>
        </w:rPr>
        <w:t>一种新的能力建设形式</w:t>
      </w:r>
      <w:r w:rsidRPr="00502FF8">
        <w:rPr>
          <w:rFonts w:hint="eastAsia"/>
          <w:lang w:eastAsia="zh-CN"/>
        </w:rPr>
        <w:t>，使</w:t>
      </w:r>
      <w:r>
        <w:rPr>
          <w:rFonts w:hint="eastAsia"/>
          <w:lang w:eastAsia="zh-CN"/>
        </w:rPr>
        <w:t>各</w:t>
      </w:r>
      <w:r w:rsidRPr="00502FF8">
        <w:rPr>
          <w:rFonts w:hint="eastAsia"/>
          <w:lang w:eastAsia="zh-CN"/>
        </w:rPr>
        <w:t>中心成为战略目标相关举措的真正服务中心。数字创新委员会建立的专家网络</w:t>
      </w:r>
      <w:r>
        <w:rPr>
          <w:rFonts w:hint="eastAsia"/>
          <w:lang w:eastAsia="zh-CN"/>
        </w:rPr>
        <w:t>也通过</w:t>
      </w:r>
      <w:r w:rsidRPr="00502FF8">
        <w:rPr>
          <w:rFonts w:hint="eastAsia"/>
          <w:lang w:eastAsia="zh-CN"/>
        </w:rPr>
        <w:t>促进知识共享和实践社区加强了这种模式。</w:t>
      </w:r>
    </w:p>
    <w:p w14:paraId="39014C8D" w14:textId="77777777" w:rsidR="00772C93" w:rsidRPr="00226F56" w:rsidRDefault="00772C93" w:rsidP="000566B4">
      <w:pPr>
        <w:spacing w:after="120"/>
        <w:ind w:firstLineChars="200" w:firstLine="480"/>
        <w:rPr>
          <w:lang w:eastAsia="zh-CN"/>
        </w:rPr>
      </w:pPr>
      <w:r>
        <w:rPr>
          <w:rFonts w:hint="eastAsia"/>
          <w:lang w:eastAsia="zh-CN"/>
        </w:rPr>
        <w:t>BDT</w:t>
      </w:r>
      <w:r w:rsidRPr="00502FF8">
        <w:rPr>
          <w:rFonts w:hint="eastAsia"/>
          <w:lang w:eastAsia="zh-CN"/>
        </w:rPr>
        <w:t>在</w:t>
      </w:r>
      <w:hyperlink r:id="rId17" w:history="1">
        <w:r w:rsidRPr="001C2081">
          <w:rPr>
            <w:rStyle w:val="Hyperlink"/>
            <w:rFonts w:hint="eastAsia"/>
            <w:lang w:eastAsia="zh-CN"/>
          </w:rPr>
          <w:t>全球创</w:t>
        </w:r>
        <w:r w:rsidRPr="001C2081">
          <w:rPr>
            <w:rStyle w:val="Hyperlink"/>
            <w:rFonts w:hint="eastAsia"/>
            <w:lang w:eastAsia="zh-CN"/>
          </w:rPr>
          <w:t>新</w:t>
        </w:r>
        <w:r w:rsidRPr="001C2081">
          <w:rPr>
            <w:rStyle w:val="Hyperlink"/>
            <w:rFonts w:hint="eastAsia"/>
            <w:lang w:eastAsia="zh-CN"/>
          </w:rPr>
          <w:t>论坛</w:t>
        </w:r>
      </w:hyperlink>
      <w:r w:rsidRPr="00502FF8">
        <w:rPr>
          <w:rFonts w:hint="eastAsia"/>
          <w:lang w:eastAsia="zh-CN"/>
        </w:rPr>
        <w:t>期间举行了第二次加速中心会议。这次会议汇集了各中心的代表，审查进展情况、确定挑战</w:t>
      </w:r>
      <w:r>
        <w:rPr>
          <w:rFonts w:hint="eastAsia"/>
          <w:lang w:eastAsia="zh-CN"/>
        </w:rPr>
        <w:t>并</w:t>
      </w:r>
      <w:r w:rsidRPr="00502FF8">
        <w:rPr>
          <w:rFonts w:hint="eastAsia"/>
          <w:lang w:eastAsia="zh-CN"/>
        </w:rPr>
        <w:t>探索解决方案，以确保中心的可持续性及其与国际电联区域性举措的协调一致。讨论的重点是加强整个中心网络的协作</w:t>
      </w:r>
      <w:r>
        <w:rPr>
          <w:rFonts w:hint="eastAsia"/>
          <w:lang w:eastAsia="zh-CN"/>
        </w:rPr>
        <w:t>、</w:t>
      </w:r>
      <w:r w:rsidRPr="00502FF8">
        <w:rPr>
          <w:rFonts w:hint="eastAsia"/>
          <w:lang w:eastAsia="zh-CN"/>
        </w:rPr>
        <w:t>应对系统性挑战，以及为有影响力和可持续的数字化转型制定战略。提出的一些问题包括</w:t>
      </w:r>
      <w:r>
        <w:rPr>
          <w:rFonts w:hint="eastAsia"/>
          <w:lang w:eastAsia="zh-CN"/>
        </w:rPr>
        <w:t>：</w:t>
      </w:r>
      <w:r w:rsidRPr="00502FF8">
        <w:rPr>
          <w:rFonts w:hint="eastAsia"/>
          <w:lang w:eastAsia="zh-CN"/>
        </w:rPr>
        <w:t>获得资金、招聘技能人才和建立适合各国具体情况的强大生态系统</w:t>
      </w:r>
      <w:r>
        <w:rPr>
          <w:rFonts w:hint="eastAsia"/>
          <w:lang w:eastAsia="zh-CN"/>
        </w:rPr>
        <w:t>所面临的困难</w:t>
      </w:r>
      <w:r w:rsidRPr="00502FF8">
        <w:rPr>
          <w:rFonts w:hint="eastAsia"/>
          <w:lang w:eastAsia="zh-CN"/>
        </w:rPr>
        <w:t>。</w:t>
      </w:r>
      <w:r>
        <w:rPr>
          <w:rFonts w:hint="eastAsia"/>
          <w:lang w:eastAsia="zh-CN"/>
        </w:rPr>
        <w:t>会议</w:t>
      </w:r>
      <w:r w:rsidRPr="00502FF8">
        <w:rPr>
          <w:rFonts w:hint="eastAsia"/>
          <w:lang w:eastAsia="zh-CN"/>
        </w:rPr>
        <w:t>强调了促进中心之间合作以分享最佳做法、经验教训和资源的机会，这可增强其集体影响力。会议结束时</w:t>
      </w:r>
      <w:r>
        <w:rPr>
          <w:rFonts w:hint="eastAsia"/>
          <w:lang w:eastAsia="zh-CN"/>
        </w:rPr>
        <w:t>，代表们</w:t>
      </w:r>
      <w:r w:rsidRPr="00502FF8">
        <w:rPr>
          <w:rFonts w:hint="eastAsia"/>
          <w:lang w:eastAsia="zh-CN"/>
        </w:rPr>
        <w:t>共同承诺</w:t>
      </w:r>
      <w:r>
        <w:rPr>
          <w:rFonts w:hint="eastAsia"/>
          <w:lang w:eastAsia="zh-CN"/>
        </w:rPr>
        <w:t>将实现</w:t>
      </w:r>
      <w:r w:rsidRPr="00502FF8">
        <w:rPr>
          <w:rFonts w:hint="eastAsia"/>
          <w:lang w:eastAsia="zh-CN"/>
        </w:rPr>
        <w:t>专家网络</w:t>
      </w:r>
      <w:r>
        <w:rPr>
          <w:rFonts w:hint="eastAsia"/>
          <w:lang w:eastAsia="zh-CN"/>
        </w:rPr>
        <w:t>的运作</w:t>
      </w:r>
      <w:r w:rsidRPr="00502FF8">
        <w:rPr>
          <w:rFonts w:hint="eastAsia"/>
          <w:lang w:eastAsia="zh-CN"/>
        </w:rPr>
        <w:t>，深化各中心之间的合作，并为每个中心制定</w:t>
      </w:r>
      <w:r>
        <w:rPr>
          <w:rFonts w:hint="eastAsia"/>
          <w:lang w:eastAsia="zh-CN"/>
        </w:rPr>
        <w:t>以</w:t>
      </w:r>
      <w:r w:rsidRPr="00502FF8">
        <w:rPr>
          <w:rFonts w:hint="eastAsia"/>
          <w:lang w:eastAsia="zh-CN"/>
        </w:rPr>
        <w:t>目标</w:t>
      </w:r>
      <w:r>
        <w:rPr>
          <w:rFonts w:hint="eastAsia"/>
          <w:lang w:eastAsia="zh-CN"/>
        </w:rPr>
        <w:t>为</w:t>
      </w:r>
      <w:r w:rsidRPr="00502FF8">
        <w:rPr>
          <w:rFonts w:hint="eastAsia"/>
          <w:lang w:eastAsia="zh-CN"/>
        </w:rPr>
        <w:t>导向的战略性计划。</w:t>
      </w:r>
    </w:p>
    <w:p w14:paraId="01E29185" w14:textId="7EEE8B2F" w:rsidR="00772C93" w:rsidRPr="00226F56" w:rsidRDefault="00772C93" w:rsidP="000566B4">
      <w:pPr>
        <w:spacing w:after="120"/>
        <w:ind w:firstLineChars="200" w:firstLine="480"/>
        <w:rPr>
          <w:lang w:eastAsia="zh-CN"/>
        </w:rPr>
      </w:pPr>
      <w:r w:rsidRPr="00502FF8">
        <w:rPr>
          <w:rFonts w:hint="eastAsia"/>
          <w:lang w:eastAsia="zh-CN"/>
        </w:rPr>
        <w:t>正如去年提交</w:t>
      </w:r>
      <w:r w:rsidRPr="00502FF8">
        <w:rPr>
          <w:lang w:eastAsia="zh-CN"/>
        </w:rPr>
        <w:t>TDAG</w:t>
      </w:r>
      <w:r w:rsidRPr="00502FF8">
        <w:rPr>
          <w:rFonts w:hint="eastAsia"/>
          <w:lang w:eastAsia="zh-CN"/>
        </w:rPr>
        <w:t>的报告所讨论的那样，</w:t>
      </w:r>
      <w:r w:rsidRPr="00502FF8">
        <w:rPr>
          <w:lang w:eastAsia="zh-CN"/>
        </w:rPr>
        <w:t>BDT</w:t>
      </w:r>
      <w:r w:rsidRPr="00502FF8">
        <w:rPr>
          <w:rFonts w:hint="eastAsia"/>
          <w:lang w:eastAsia="zh-CN"/>
        </w:rPr>
        <w:t>计划推迟接收新中心的程序，直到</w:t>
      </w:r>
      <w:r>
        <w:rPr>
          <w:rFonts w:hint="eastAsia"/>
          <w:lang w:eastAsia="zh-CN"/>
        </w:rPr>
        <w:t>从</w:t>
      </w:r>
      <w:r w:rsidRPr="00502FF8">
        <w:rPr>
          <w:rFonts w:hint="eastAsia"/>
          <w:lang w:eastAsia="zh-CN"/>
        </w:rPr>
        <w:t>第一批中心吸取的经验教训</w:t>
      </w:r>
      <w:r>
        <w:rPr>
          <w:rFonts w:hint="eastAsia"/>
          <w:lang w:eastAsia="zh-CN"/>
        </w:rPr>
        <w:t>得到解决</w:t>
      </w:r>
      <w:r w:rsidRPr="00502FF8">
        <w:rPr>
          <w:rFonts w:hint="eastAsia"/>
          <w:lang w:eastAsia="zh-CN"/>
        </w:rPr>
        <w:t>，</w:t>
      </w:r>
      <w:r>
        <w:rPr>
          <w:rFonts w:hint="eastAsia"/>
          <w:lang w:eastAsia="zh-CN"/>
        </w:rPr>
        <w:t>同时</w:t>
      </w:r>
      <w:r w:rsidRPr="00502FF8">
        <w:rPr>
          <w:rFonts w:hint="eastAsia"/>
          <w:lang w:eastAsia="zh-CN"/>
        </w:rPr>
        <w:t>秘书处</w:t>
      </w:r>
      <w:r>
        <w:rPr>
          <w:rFonts w:hint="eastAsia"/>
          <w:lang w:eastAsia="zh-CN"/>
        </w:rPr>
        <w:t>已做好</w:t>
      </w:r>
      <w:r w:rsidRPr="00502FF8">
        <w:rPr>
          <w:rFonts w:hint="eastAsia"/>
          <w:lang w:eastAsia="zh-CN"/>
        </w:rPr>
        <w:t>接受新</w:t>
      </w:r>
      <w:r>
        <w:rPr>
          <w:rFonts w:hint="eastAsia"/>
          <w:lang w:eastAsia="zh-CN"/>
        </w:rPr>
        <w:t>承办方</w:t>
      </w:r>
      <w:r w:rsidRPr="00502FF8">
        <w:rPr>
          <w:rFonts w:hint="eastAsia"/>
          <w:lang w:eastAsia="zh-CN"/>
        </w:rPr>
        <w:t>的准备。</w:t>
      </w:r>
      <w:r>
        <w:rPr>
          <w:rFonts w:hint="eastAsia"/>
          <w:lang w:eastAsia="zh-CN"/>
        </w:rPr>
        <w:t>BDT</w:t>
      </w:r>
      <w:r w:rsidRPr="00502FF8">
        <w:rPr>
          <w:rFonts w:hint="eastAsia"/>
          <w:lang w:eastAsia="zh-CN"/>
        </w:rPr>
        <w:t>高兴地宣布，</w:t>
      </w:r>
      <w:r>
        <w:rPr>
          <w:rFonts w:hint="eastAsia"/>
          <w:lang w:eastAsia="zh-CN"/>
        </w:rPr>
        <w:t>已接受</w:t>
      </w:r>
      <w:r w:rsidRPr="00502FF8">
        <w:rPr>
          <w:rFonts w:hint="eastAsia"/>
          <w:lang w:eastAsia="zh-CN"/>
        </w:rPr>
        <w:t>两</w:t>
      </w:r>
      <w:r>
        <w:rPr>
          <w:rFonts w:hint="eastAsia"/>
          <w:lang w:eastAsia="zh-CN"/>
        </w:rPr>
        <w:t>家</w:t>
      </w:r>
      <w:r w:rsidRPr="00502FF8">
        <w:rPr>
          <w:rFonts w:hint="eastAsia"/>
          <w:lang w:eastAsia="zh-CN"/>
        </w:rPr>
        <w:t>新组织</w:t>
      </w:r>
      <w:r w:rsidRPr="00502FF8">
        <w:rPr>
          <w:lang w:eastAsia="zh-CN"/>
        </w:rPr>
        <w:t xml:space="preserve"> </w:t>
      </w:r>
      <w:r w:rsidR="00035EAF">
        <w:rPr>
          <w:lang w:eastAsia="zh-CN"/>
        </w:rPr>
        <w:t>–</w:t>
      </w:r>
      <w:r w:rsidRPr="00502FF8">
        <w:rPr>
          <w:lang w:eastAsia="zh-CN"/>
        </w:rPr>
        <w:t xml:space="preserve"> </w:t>
      </w:r>
      <w:r w:rsidRPr="00502FF8">
        <w:rPr>
          <w:rFonts w:hint="eastAsia"/>
          <w:lang w:eastAsia="zh-CN"/>
        </w:rPr>
        <w:t>南非共和国通信和数字技术部以及沙特阿拉伯通信、空间和技术委员会</w:t>
      </w:r>
      <w:r w:rsidRPr="00502FF8">
        <w:rPr>
          <w:lang w:eastAsia="zh-CN"/>
        </w:rPr>
        <w:t xml:space="preserve"> </w:t>
      </w:r>
      <w:r w:rsidR="00035EAF">
        <w:rPr>
          <w:lang w:eastAsia="zh-CN"/>
        </w:rPr>
        <w:t>–</w:t>
      </w:r>
      <w:r w:rsidRPr="00502FF8">
        <w:rPr>
          <w:lang w:eastAsia="zh-CN"/>
        </w:rPr>
        <w:t xml:space="preserve"> </w:t>
      </w:r>
      <w:r w:rsidRPr="00502FF8">
        <w:rPr>
          <w:rFonts w:hint="eastAsia"/>
          <w:lang w:eastAsia="zh-CN"/>
        </w:rPr>
        <w:t>作为国际电联加速中心的</w:t>
      </w:r>
      <w:r>
        <w:rPr>
          <w:rFonts w:hint="eastAsia"/>
          <w:lang w:eastAsia="zh-CN"/>
        </w:rPr>
        <w:t>承办方</w:t>
      </w:r>
      <w:r w:rsidRPr="00502FF8">
        <w:rPr>
          <w:rFonts w:hint="eastAsia"/>
          <w:lang w:eastAsia="zh-CN"/>
        </w:rPr>
        <w:t>。该决定是应主管部门</w:t>
      </w:r>
      <w:r>
        <w:rPr>
          <w:rFonts w:hint="eastAsia"/>
          <w:lang w:eastAsia="zh-CN"/>
        </w:rPr>
        <w:t>的请求</w:t>
      </w:r>
      <w:r w:rsidRPr="00502FF8">
        <w:rPr>
          <w:rFonts w:hint="eastAsia"/>
          <w:lang w:eastAsia="zh-CN"/>
        </w:rPr>
        <w:t>做出的，并经过了全面的尽职调查作为佐证，以确保</w:t>
      </w:r>
      <w:r>
        <w:rPr>
          <w:rFonts w:hint="eastAsia"/>
          <w:lang w:eastAsia="zh-CN"/>
        </w:rPr>
        <w:t>满足作为中心承办方</w:t>
      </w:r>
      <w:r w:rsidRPr="00502FF8">
        <w:rPr>
          <w:rFonts w:hint="eastAsia"/>
          <w:lang w:eastAsia="zh-CN"/>
        </w:rPr>
        <w:t>的所有要求。未来，将根据主管部门的</w:t>
      </w:r>
      <w:r>
        <w:rPr>
          <w:rFonts w:hint="eastAsia"/>
          <w:lang w:eastAsia="zh-CN"/>
        </w:rPr>
        <w:t>请</w:t>
      </w:r>
      <w:r w:rsidRPr="00502FF8">
        <w:rPr>
          <w:rFonts w:hint="eastAsia"/>
          <w:lang w:eastAsia="zh-CN"/>
        </w:rPr>
        <w:t>求和参与资源的可用情况，滚动接受新的中心</w:t>
      </w:r>
      <w:r>
        <w:rPr>
          <w:rFonts w:hint="eastAsia"/>
          <w:lang w:eastAsia="zh-CN"/>
        </w:rPr>
        <w:t>设立</w:t>
      </w:r>
      <w:r w:rsidRPr="00502FF8">
        <w:rPr>
          <w:rFonts w:hint="eastAsia"/>
          <w:lang w:eastAsia="zh-CN"/>
        </w:rPr>
        <w:t>申请。</w:t>
      </w:r>
    </w:p>
    <w:p w14:paraId="6BF55C0D" w14:textId="4BAF0998" w:rsidR="00772C93" w:rsidRPr="000566B4" w:rsidRDefault="000566B4" w:rsidP="000566B4">
      <w:pPr>
        <w:pStyle w:val="Heading2"/>
        <w:rPr>
          <w:lang w:val="en-US" w:eastAsia="zh-CN"/>
        </w:rPr>
      </w:pPr>
      <w:r>
        <w:rPr>
          <w:lang w:val="en-US" w:eastAsia="zh-CN"/>
        </w:rPr>
        <w:lastRenderedPageBreak/>
        <w:t>2.3</w:t>
      </w:r>
      <w:r>
        <w:rPr>
          <w:lang w:val="en-US" w:eastAsia="zh-CN"/>
        </w:rPr>
        <w:tab/>
      </w:r>
      <w:r w:rsidR="00772C93" w:rsidRPr="000566B4">
        <w:rPr>
          <w:rFonts w:hint="eastAsia"/>
          <w:lang w:val="en-US" w:eastAsia="zh-CN"/>
        </w:rPr>
        <w:t>数字化转型实验室</w:t>
      </w:r>
    </w:p>
    <w:p w14:paraId="3ED95C88" w14:textId="77777777" w:rsidR="00772C93" w:rsidRPr="00226F56" w:rsidRDefault="00772C93" w:rsidP="000566B4">
      <w:pPr>
        <w:spacing w:after="120"/>
        <w:ind w:firstLineChars="200" w:firstLine="480"/>
        <w:rPr>
          <w:lang w:eastAsia="zh-CN"/>
        </w:rPr>
      </w:pPr>
      <w:r w:rsidRPr="00502FF8">
        <w:rPr>
          <w:rFonts w:hint="eastAsia"/>
          <w:lang w:eastAsia="zh-CN"/>
        </w:rPr>
        <w:t>数字化转型实验室（</w:t>
      </w:r>
      <w:r w:rsidRPr="00502FF8">
        <w:rPr>
          <w:lang w:eastAsia="zh-CN"/>
        </w:rPr>
        <w:t>DT</w:t>
      </w:r>
      <w:r w:rsidRPr="00502FF8">
        <w:rPr>
          <w:rFonts w:hint="eastAsia"/>
          <w:lang w:eastAsia="zh-CN"/>
        </w:rPr>
        <w:t>实验室）</w:t>
      </w:r>
      <w:r>
        <w:rPr>
          <w:rFonts w:hint="eastAsia"/>
          <w:lang w:eastAsia="zh-CN"/>
        </w:rPr>
        <w:t>通过制定</w:t>
      </w:r>
      <w:r w:rsidRPr="00502FF8">
        <w:rPr>
          <w:rFonts w:hint="eastAsia"/>
          <w:lang w:eastAsia="zh-CN"/>
        </w:rPr>
        <w:t>创新知识计划</w:t>
      </w:r>
      <w:r>
        <w:rPr>
          <w:rFonts w:hint="eastAsia"/>
          <w:lang w:eastAsia="zh-CN"/>
        </w:rPr>
        <w:t>来赋能</w:t>
      </w:r>
      <w:r w:rsidRPr="00502FF8">
        <w:rPr>
          <w:rFonts w:hint="eastAsia"/>
          <w:lang w:eastAsia="zh-CN"/>
        </w:rPr>
        <w:t>加速中心网络，并支持</w:t>
      </w:r>
      <w:r>
        <w:rPr>
          <w:rFonts w:hint="eastAsia"/>
          <w:lang w:eastAsia="zh-CN"/>
        </w:rPr>
        <w:t>各</w:t>
      </w:r>
      <w:r w:rsidRPr="00502FF8">
        <w:rPr>
          <w:rFonts w:hint="eastAsia"/>
          <w:lang w:eastAsia="zh-CN"/>
        </w:rPr>
        <w:t>中心启动其政策和生态系统举措。它</w:t>
      </w:r>
      <w:r>
        <w:rPr>
          <w:rFonts w:hint="eastAsia"/>
          <w:lang w:eastAsia="zh-CN"/>
        </w:rPr>
        <w:t>发挥着</w:t>
      </w:r>
      <w:r w:rsidRPr="00502FF8">
        <w:rPr>
          <w:rFonts w:hint="eastAsia"/>
          <w:lang w:eastAsia="zh-CN"/>
        </w:rPr>
        <w:t>利用通过联盟获得的知识来支持</w:t>
      </w:r>
      <w:r w:rsidRPr="00502FF8">
        <w:rPr>
          <w:lang w:eastAsia="zh-CN"/>
        </w:rPr>
        <w:t>BDT</w:t>
      </w:r>
      <w:r w:rsidRPr="00502FF8">
        <w:rPr>
          <w:rFonts w:hint="eastAsia"/>
          <w:lang w:eastAsia="zh-CN"/>
        </w:rPr>
        <w:t>加</w:t>
      </w:r>
      <w:r>
        <w:rPr>
          <w:rFonts w:hint="eastAsia"/>
          <w:lang w:eastAsia="zh-CN"/>
        </w:rPr>
        <w:t>快</w:t>
      </w:r>
      <w:r w:rsidRPr="00502FF8">
        <w:rPr>
          <w:rFonts w:hint="eastAsia"/>
          <w:lang w:eastAsia="zh-CN"/>
        </w:rPr>
        <w:t>数字化发展和利益攸关方之间合作</w:t>
      </w:r>
      <w:r>
        <w:rPr>
          <w:rFonts w:hint="eastAsia"/>
          <w:lang w:eastAsia="zh-CN"/>
        </w:rPr>
        <w:t>的</w:t>
      </w:r>
      <w:r w:rsidRPr="00502FF8">
        <w:rPr>
          <w:rFonts w:hint="eastAsia"/>
          <w:lang w:eastAsia="zh-CN"/>
        </w:rPr>
        <w:t>双重作用。</w:t>
      </w:r>
    </w:p>
    <w:p w14:paraId="33BF96E9" w14:textId="77777777" w:rsidR="00772C93" w:rsidRPr="00226F56" w:rsidRDefault="00772C93" w:rsidP="000566B4">
      <w:pPr>
        <w:spacing w:after="120"/>
        <w:ind w:firstLineChars="200" w:firstLine="480"/>
        <w:rPr>
          <w:lang w:eastAsia="zh-CN"/>
        </w:rPr>
      </w:pPr>
      <w:r w:rsidRPr="00502FF8">
        <w:rPr>
          <w:rFonts w:hint="eastAsia"/>
          <w:lang w:eastAsia="zh-CN"/>
        </w:rPr>
        <w:t>在日本内务省的资助下，数字化转型实验室为该联盟</w:t>
      </w:r>
      <w:r>
        <w:rPr>
          <w:rFonts w:hint="eastAsia"/>
          <w:lang w:eastAsia="zh-CN"/>
        </w:rPr>
        <w:t>编写</w:t>
      </w:r>
      <w:r w:rsidRPr="00502FF8">
        <w:rPr>
          <w:rFonts w:hint="eastAsia"/>
          <w:lang w:eastAsia="zh-CN"/>
        </w:rPr>
        <w:t>了八本手册。其中包括</w:t>
      </w:r>
      <w:r>
        <w:rPr>
          <w:rFonts w:hint="eastAsia"/>
          <w:lang w:eastAsia="zh-CN"/>
        </w:rPr>
        <w:t>一本关于</w:t>
      </w:r>
      <w:r w:rsidRPr="00502FF8">
        <w:rPr>
          <w:rFonts w:hint="eastAsia"/>
          <w:lang w:eastAsia="zh-CN"/>
        </w:rPr>
        <w:t>联盟战略目标的核心手册，</w:t>
      </w:r>
      <w:r>
        <w:rPr>
          <w:rFonts w:hint="eastAsia"/>
          <w:lang w:eastAsia="zh-CN"/>
        </w:rPr>
        <w:t>以及具体的</w:t>
      </w:r>
      <w:r w:rsidRPr="00502FF8">
        <w:rPr>
          <w:rFonts w:hint="eastAsia"/>
          <w:lang w:eastAsia="zh-CN"/>
        </w:rPr>
        <w:t>战略前瞻手册、生态系统举措发展手册、开放技术创新手册、政策实验手册以及中小企业和创业增长手册。</w:t>
      </w:r>
    </w:p>
    <w:p w14:paraId="580D49C0" w14:textId="005264D4" w:rsidR="00772C93" w:rsidRPr="00226F56" w:rsidRDefault="00772C93" w:rsidP="000566B4">
      <w:pPr>
        <w:spacing w:after="120"/>
        <w:ind w:firstLineChars="200" w:firstLine="480"/>
        <w:rPr>
          <w:lang w:eastAsia="zh-CN"/>
        </w:rPr>
      </w:pPr>
      <w:r w:rsidRPr="00502FF8">
        <w:rPr>
          <w:rFonts w:hint="eastAsia"/>
          <w:lang w:eastAsia="zh-CN"/>
        </w:rPr>
        <w:t>此外，</w:t>
      </w:r>
      <w:r w:rsidRPr="00502FF8">
        <w:rPr>
          <w:lang w:eastAsia="zh-CN"/>
        </w:rPr>
        <w:t>BDT</w:t>
      </w:r>
      <w:r w:rsidRPr="00502FF8">
        <w:rPr>
          <w:rFonts w:hint="eastAsia"/>
          <w:lang w:eastAsia="zh-CN"/>
        </w:rPr>
        <w:t>还</w:t>
      </w:r>
      <w:r>
        <w:rPr>
          <w:rFonts w:hint="eastAsia"/>
          <w:lang w:eastAsia="zh-CN"/>
        </w:rPr>
        <w:t>编写</w:t>
      </w:r>
      <w:r w:rsidRPr="00502FF8">
        <w:rPr>
          <w:rFonts w:hint="eastAsia"/>
          <w:lang w:eastAsia="zh-CN"/>
        </w:rPr>
        <w:t>了两</w:t>
      </w:r>
      <w:r>
        <w:rPr>
          <w:rFonts w:hint="eastAsia"/>
          <w:lang w:eastAsia="zh-CN"/>
        </w:rPr>
        <w:t>本</w:t>
      </w:r>
      <w:r w:rsidRPr="00502FF8">
        <w:rPr>
          <w:rFonts w:hint="eastAsia"/>
          <w:lang w:eastAsia="zh-CN"/>
        </w:rPr>
        <w:t>跨领域手册</w:t>
      </w:r>
      <w:r>
        <w:rPr>
          <w:rFonts w:hint="eastAsia"/>
          <w:lang w:eastAsia="zh-CN"/>
        </w:rPr>
        <w:t>，</w:t>
      </w:r>
      <w:r w:rsidRPr="001A7538">
        <w:rPr>
          <w:rFonts w:hint="eastAsia"/>
          <w:lang w:eastAsia="zh-CN"/>
        </w:rPr>
        <w:t>对任何</w:t>
      </w:r>
      <w:r>
        <w:rPr>
          <w:rFonts w:hint="eastAsia"/>
          <w:lang w:eastAsia="zh-CN"/>
        </w:rPr>
        <w:t>希望确保</w:t>
      </w:r>
      <w:r w:rsidRPr="001A7538">
        <w:rPr>
          <w:rFonts w:hint="eastAsia"/>
          <w:lang w:eastAsia="zh-CN"/>
        </w:rPr>
        <w:t>运营敏捷性与可持续性的中心都具有重要价值。</w:t>
      </w:r>
      <w:r w:rsidRPr="00502FF8">
        <w:rPr>
          <w:rFonts w:hint="eastAsia"/>
          <w:lang w:eastAsia="zh-CN"/>
        </w:rPr>
        <w:t>这些是联合</w:t>
      </w:r>
      <w:r>
        <w:rPr>
          <w:rFonts w:hint="eastAsia"/>
          <w:lang w:eastAsia="zh-CN"/>
        </w:rPr>
        <w:t>项目</w:t>
      </w:r>
      <w:r w:rsidRPr="00502FF8">
        <w:rPr>
          <w:rFonts w:hint="eastAsia"/>
          <w:lang w:eastAsia="zh-CN"/>
        </w:rPr>
        <w:t>设计</w:t>
      </w:r>
      <w:r>
        <w:rPr>
          <w:rFonts w:hint="eastAsia"/>
          <w:lang w:eastAsia="zh-CN"/>
        </w:rPr>
        <w:t>手册</w:t>
      </w:r>
      <w:r w:rsidRPr="00502FF8">
        <w:rPr>
          <w:rFonts w:hint="eastAsia"/>
          <w:lang w:eastAsia="zh-CN"/>
        </w:rPr>
        <w:t>、战略宣传</w:t>
      </w:r>
      <w:r>
        <w:rPr>
          <w:rFonts w:hint="eastAsia"/>
          <w:lang w:eastAsia="zh-CN"/>
        </w:rPr>
        <w:t>手册</w:t>
      </w:r>
      <w:r w:rsidRPr="00502FF8">
        <w:rPr>
          <w:rFonts w:hint="eastAsia"/>
          <w:lang w:eastAsia="zh-CN"/>
        </w:rPr>
        <w:t>以及资源</w:t>
      </w:r>
      <w:r>
        <w:rPr>
          <w:rFonts w:hint="eastAsia"/>
          <w:lang w:eastAsia="zh-CN"/>
        </w:rPr>
        <w:t>筹措</w:t>
      </w:r>
      <w:r w:rsidRPr="00502FF8">
        <w:rPr>
          <w:rFonts w:hint="eastAsia"/>
          <w:lang w:eastAsia="zh-CN"/>
        </w:rPr>
        <w:t>和伙伴关系</w:t>
      </w:r>
      <w:r>
        <w:rPr>
          <w:rFonts w:hint="eastAsia"/>
          <w:lang w:eastAsia="zh-CN"/>
        </w:rPr>
        <w:t>手册</w:t>
      </w:r>
      <w:r w:rsidRPr="00502FF8">
        <w:rPr>
          <w:rFonts w:hint="eastAsia"/>
          <w:lang w:eastAsia="zh-CN"/>
        </w:rPr>
        <w:t>。</w:t>
      </w:r>
    </w:p>
    <w:p w14:paraId="10D3342D" w14:textId="77777777" w:rsidR="00772C93" w:rsidRPr="00226F56" w:rsidRDefault="00772C93" w:rsidP="000566B4">
      <w:pPr>
        <w:spacing w:after="120"/>
        <w:ind w:firstLineChars="200" w:firstLine="480"/>
        <w:rPr>
          <w:lang w:eastAsia="zh-CN"/>
        </w:rPr>
      </w:pPr>
      <w:r>
        <w:rPr>
          <w:rFonts w:hint="eastAsia"/>
          <w:lang w:eastAsia="zh-CN"/>
        </w:rPr>
        <w:t>BDT</w:t>
      </w:r>
      <w:r w:rsidRPr="00502FF8">
        <w:rPr>
          <w:rFonts w:hint="eastAsia"/>
          <w:lang w:eastAsia="zh-CN"/>
        </w:rPr>
        <w:t>还开始与</w:t>
      </w:r>
      <w:r>
        <w:rPr>
          <w:rFonts w:hint="eastAsia"/>
          <w:lang w:eastAsia="zh-CN"/>
        </w:rPr>
        <w:t>TSB</w:t>
      </w:r>
      <w:r w:rsidRPr="00502FF8">
        <w:rPr>
          <w:rFonts w:hint="eastAsia"/>
          <w:lang w:eastAsia="zh-CN"/>
        </w:rPr>
        <w:t>合作，支持编写关于弥合标准化工作差距的手册。</w:t>
      </w:r>
      <w:r>
        <w:rPr>
          <w:rFonts w:hint="eastAsia"/>
          <w:lang w:eastAsia="zh-CN"/>
        </w:rPr>
        <w:t>DT</w:t>
      </w:r>
      <w:r w:rsidRPr="00502FF8">
        <w:rPr>
          <w:rFonts w:hint="eastAsia"/>
          <w:lang w:eastAsia="zh-CN"/>
        </w:rPr>
        <w:t>实验室的主要</w:t>
      </w:r>
      <w:r>
        <w:rPr>
          <w:rFonts w:hint="eastAsia"/>
          <w:lang w:eastAsia="zh-CN"/>
        </w:rPr>
        <w:t>职责</w:t>
      </w:r>
      <w:r w:rsidRPr="00502FF8">
        <w:rPr>
          <w:rFonts w:hint="eastAsia"/>
          <w:lang w:eastAsia="zh-CN"/>
        </w:rPr>
        <w:t>是利用其生态系统思维方法</w:t>
      </w:r>
      <w:r>
        <w:rPr>
          <w:rFonts w:hint="eastAsia"/>
          <w:lang w:eastAsia="zh-CN"/>
        </w:rPr>
        <w:t>（</w:t>
      </w:r>
      <w:r w:rsidRPr="00502FF8">
        <w:rPr>
          <w:rFonts w:hint="eastAsia"/>
          <w:lang w:eastAsia="zh-CN"/>
        </w:rPr>
        <w:t>包括系统设计和以人为本的方法</w:t>
      </w:r>
      <w:r>
        <w:rPr>
          <w:rFonts w:hint="eastAsia"/>
          <w:lang w:eastAsia="zh-CN"/>
        </w:rPr>
        <w:t>）</w:t>
      </w:r>
      <w:r w:rsidRPr="00502FF8">
        <w:rPr>
          <w:rFonts w:hint="eastAsia"/>
          <w:lang w:eastAsia="zh-CN"/>
        </w:rPr>
        <w:t>加强</w:t>
      </w:r>
      <w:r>
        <w:rPr>
          <w:rFonts w:hint="eastAsia"/>
          <w:lang w:eastAsia="zh-CN"/>
        </w:rPr>
        <w:t>TSB</w:t>
      </w:r>
      <w:r w:rsidRPr="00502FF8">
        <w:rPr>
          <w:rFonts w:hint="eastAsia"/>
          <w:lang w:eastAsia="zh-CN"/>
        </w:rPr>
        <w:t>的现有工作，将其转化为加速中心可使用的</w:t>
      </w:r>
      <w:r>
        <w:rPr>
          <w:rFonts w:hint="eastAsia"/>
          <w:lang w:eastAsia="zh-CN"/>
        </w:rPr>
        <w:t>模式</w:t>
      </w:r>
      <w:r w:rsidRPr="00502FF8">
        <w:rPr>
          <w:rFonts w:hint="eastAsia"/>
          <w:lang w:eastAsia="zh-CN"/>
        </w:rPr>
        <w:t>，并在此过程中提供一种新方法支持能力发展。</w:t>
      </w:r>
    </w:p>
    <w:p w14:paraId="11856BA1" w14:textId="77777777" w:rsidR="00772C93" w:rsidRPr="00226F56" w:rsidRDefault="00772C93" w:rsidP="000566B4">
      <w:pPr>
        <w:spacing w:after="120"/>
        <w:ind w:firstLineChars="200" w:firstLine="480"/>
        <w:rPr>
          <w:lang w:eastAsia="zh-CN"/>
        </w:rPr>
      </w:pPr>
      <w:r>
        <w:rPr>
          <w:rFonts w:hint="eastAsia"/>
          <w:lang w:eastAsia="zh-CN"/>
        </w:rPr>
        <w:t>虽然</w:t>
      </w:r>
      <w:r w:rsidRPr="00502FF8">
        <w:rPr>
          <w:rFonts w:hint="eastAsia"/>
          <w:lang w:eastAsia="zh-CN"/>
        </w:rPr>
        <w:t>手册和工具是为中心设计的，但也可以重新调整用途，为</w:t>
      </w:r>
      <w:r>
        <w:rPr>
          <w:rFonts w:hint="eastAsia"/>
          <w:lang w:eastAsia="zh-CN"/>
        </w:rPr>
        <w:t>BDT</w:t>
      </w:r>
      <w:r w:rsidRPr="00502FF8">
        <w:rPr>
          <w:rFonts w:hint="eastAsia"/>
          <w:lang w:eastAsia="zh-CN"/>
        </w:rPr>
        <w:t>提供新的服务。这就是</w:t>
      </w:r>
      <w:r>
        <w:rPr>
          <w:rFonts w:hint="eastAsia"/>
          <w:lang w:eastAsia="zh-CN"/>
        </w:rPr>
        <w:t>DT</w:t>
      </w:r>
      <w:r w:rsidRPr="00502FF8">
        <w:rPr>
          <w:rFonts w:hint="eastAsia"/>
          <w:lang w:eastAsia="zh-CN"/>
        </w:rPr>
        <w:t>实验室着手开发服务</w:t>
      </w:r>
      <w:r>
        <w:rPr>
          <w:rFonts w:hint="eastAsia"/>
          <w:lang w:eastAsia="zh-CN"/>
        </w:rPr>
        <w:t>（</w:t>
      </w:r>
      <w:r w:rsidRPr="00502FF8">
        <w:rPr>
          <w:rFonts w:hint="eastAsia"/>
          <w:lang w:eastAsia="zh-CN"/>
        </w:rPr>
        <w:t>包括助力国际电</w:t>
      </w:r>
      <w:proofErr w:type="gramStart"/>
      <w:r w:rsidRPr="00502FF8">
        <w:rPr>
          <w:rFonts w:hint="eastAsia"/>
          <w:lang w:eastAsia="zh-CN"/>
        </w:rPr>
        <w:t>联战略</w:t>
      </w:r>
      <w:proofErr w:type="gramEnd"/>
      <w:r w:rsidRPr="00502FF8">
        <w:rPr>
          <w:rFonts w:hint="eastAsia"/>
          <w:lang w:eastAsia="zh-CN"/>
        </w:rPr>
        <w:t>前瞻实践</w:t>
      </w:r>
      <w:r>
        <w:rPr>
          <w:rFonts w:hint="eastAsia"/>
          <w:lang w:eastAsia="zh-CN"/>
        </w:rPr>
        <w:t>的服务，</w:t>
      </w:r>
      <w:r w:rsidRPr="00502FF8">
        <w:rPr>
          <w:rFonts w:hint="eastAsia"/>
          <w:lang w:eastAsia="zh-CN"/>
        </w:rPr>
        <w:t>为区域代表处开发创新咖啡屋</w:t>
      </w:r>
      <w:r>
        <w:rPr>
          <w:rFonts w:hint="eastAsia"/>
          <w:lang w:eastAsia="zh-CN"/>
        </w:rPr>
        <w:t>的</w:t>
      </w:r>
      <w:r w:rsidRPr="00502FF8">
        <w:rPr>
          <w:rFonts w:hint="eastAsia"/>
          <w:lang w:eastAsia="zh-CN"/>
        </w:rPr>
        <w:t>服务等</w:t>
      </w:r>
      <w:r>
        <w:rPr>
          <w:rFonts w:hint="eastAsia"/>
          <w:lang w:eastAsia="zh-CN"/>
        </w:rPr>
        <w:t>）</w:t>
      </w:r>
      <w:r w:rsidRPr="00502FF8">
        <w:rPr>
          <w:rFonts w:hint="eastAsia"/>
          <w:lang w:eastAsia="zh-CN"/>
        </w:rPr>
        <w:t>的原因。这些</w:t>
      </w:r>
      <w:r>
        <w:rPr>
          <w:rFonts w:hint="eastAsia"/>
          <w:lang w:eastAsia="zh-CN"/>
        </w:rPr>
        <w:t>服</w:t>
      </w:r>
      <w:r w:rsidRPr="00502FF8">
        <w:rPr>
          <w:rFonts w:hint="eastAsia"/>
          <w:lang w:eastAsia="zh-CN"/>
        </w:rPr>
        <w:t>务正在</w:t>
      </w:r>
      <w:r>
        <w:rPr>
          <w:rFonts w:hint="eastAsia"/>
          <w:lang w:eastAsia="zh-CN"/>
        </w:rPr>
        <w:t>顺利</w:t>
      </w:r>
      <w:r w:rsidRPr="00502FF8">
        <w:rPr>
          <w:rFonts w:hint="eastAsia"/>
          <w:lang w:eastAsia="zh-CN"/>
        </w:rPr>
        <w:t>部署，并受到各国的极大关注。</w:t>
      </w:r>
    </w:p>
    <w:p w14:paraId="467ECBB1" w14:textId="77777777" w:rsidR="00772C93" w:rsidRPr="00226F56" w:rsidRDefault="00772C93" w:rsidP="000566B4">
      <w:pPr>
        <w:spacing w:after="120"/>
        <w:ind w:firstLineChars="200" w:firstLine="480"/>
        <w:rPr>
          <w:lang w:eastAsia="zh-CN"/>
        </w:rPr>
      </w:pPr>
      <w:r>
        <w:rPr>
          <w:rFonts w:hint="eastAsia"/>
          <w:lang w:eastAsia="zh-CN"/>
        </w:rPr>
        <w:t>DT</w:t>
      </w:r>
      <w:r w:rsidRPr="00502FF8">
        <w:rPr>
          <w:rFonts w:hint="eastAsia"/>
          <w:lang w:eastAsia="zh-CN"/>
        </w:rPr>
        <w:t>实验室正与国际电联南亚地区办事处创新中心合作，推出前瞻报告</w:t>
      </w:r>
      <w:r>
        <w:rPr>
          <w:rFonts w:hint="eastAsia"/>
          <w:lang w:eastAsia="zh-CN"/>
        </w:rPr>
        <w:t>和</w:t>
      </w:r>
      <w:r w:rsidRPr="00502FF8">
        <w:rPr>
          <w:rFonts w:hint="eastAsia"/>
          <w:lang w:eastAsia="zh-CN"/>
        </w:rPr>
        <w:t>建立创新咖啡</w:t>
      </w:r>
      <w:r>
        <w:rPr>
          <w:rFonts w:hint="eastAsia"/>
          <w:lang w:eastAsia="zh-CN"/>
        </w:rPr>
        <w:t>屋</w:t>
      </w:r>
      <w:r w:rsidRPr="00502FF8">
        <w:rPr>
          <w:rFonts w:hint="eastAsia"/>
          <w:lang w:eastAsia="zh-CN"/>
        </w:rPr>
        <w:t>。此外，</w:t>
      </w:r>
      <w:r>
        <w:rPr>
          <w:rFonts w:hint="eastAsia"/>
          <w:lang w:eastAsia="zh-CN"/>
        </w:rPr>
        <w:t>DT</w:t>
      </w:r>
      <w:r w:rsidRPr="00502FF8">
        <w:rPr>
          <w:rFonts w:hint="eastAsia"/>
          <w:lang w:eastAsia="zh-CN"/>
        </w:rPr>
        <w:t>实验室还</w:t>
      </w:r>
      <w:r>
        <w:rPr>
          <w:rFonts w:hint="eastAsia"/>
          <w:lang w:eastAsia="zh-CN"/>
        </w:rPr>
        <w:t>通过举办讲习班的方式，向</w:t>
      </w:r>
      <w:r w:rsidRPr="00502FF8">
        <w:rPr>
          <w:rFonts w:hint="eastAsia"/>
          <w:lang w:eastAsia="zh-CN"/>
        </w:rPr>
        <w:t>阿拉伯国家区域代表处</w:t>
      </w:r>
      <w:r>
        <w:rPr>
          <w:rFonts w:hint="eastAsia"/>
          <w:lang w:eastAsia="zh-CN"/>
        </w:rPr>
        <w:t>提供支持</w:t>
      </w:r>
      <w:r w:rsidRPr="00502FF8">
        <w:rPr>
          <w:rFonts w:hint="eastAsia"/>
          <w:lang w:eastAsia="zh-CN"/>
        </w:rPr>
        <w:t>，该讲习班旨在通过使用前瞻方法</w:t>
      </w:r>
      <w:r>
        <w:rPr>
          <w:rFonts w:hint="eastAsia"/>
          <w:lang w:eastAsia="zh-CN"/>
        </w:rPr>
        <w:t>帮助</w:t>
      </w:r>
      <w:r w:rsidRPr="00502FF8">
        <w:rPr>
          <w:rFonts w:hint="eastAsia"/>
          <w:lang w:eastAsia="zh-CN"/>
        </w:rPr>
        <w:t>阿拉伯国家</w:t>
      </w:r>
      <w:r>
        <w:rPr>
          <w:rFonts w:hint="eastAsia"/>
          <w:lang w:eastAsia="zh-CN"/>
        </w:rPr>
        <w:t>规划</w:t>
      </w:r>
      <w:r w:rsidRPr="00502FF8">
        <w:rPr>
          <w:rFonts w:hint="eastAsia"/>
          <w:lang w:eastAsia="zh-CN"/>
        </w:rPr>
        <w:t>下一</w:t>
      </w:r>
      <w:r>
        <w:rPr>
          <w:rFonts w:hint="eastAsia"/>
          <w:lang w:eastAsia="zh-CN"/>
        </w:rPr>
        <w:t>阶段的</w:t>
      </w:r>
      <w:r w:rsidRPr="00502FF8">
        <w:rPr>
          <w:rFonts w:hint="eastAsia"/>
          <w:lang w:eastAsia="zh-CN"/>
        </w:rPr>
        <w:t>区域性举措。</w:t>
      </w:r>
    </w:p>
    <w:p w14:paraId="095914BA" w14:textId="77777777" w:rsidR="00772C93" w:rsidRPr="00226F56" w:rsidRDefault="00772C93" w:rsidP="000566B4">
      <w:pPr>
        <w:spacing w:after="120"/>
        <w:ind w:firstLineChars="200" w:firstLine="480"/>
        <w:rPr>
          <w:lang w:eastAsia="zh-CN"/>
        </w:rPr>
      </w:pPr>
      <w:r>
        <w:rPr>
          <w:rFonts w:hint="eastAsia"/>
          <w:lang w:eastAsia="zh-CN"/>
        </w:rPr>
        <w:t>在</w:t>
      </w:r>
      <w:r w:rsidRPr="00502FF8">
        <w:rPr>
          <w:rFonts w:hint="eastAsia"/>
          <w:lang w:eastAsia="zh-CN"/>
        </w:rPr>
        <w:t>中国工信部的资助</w:t>
      </w:r>
      <w:r>
        <w:rPr>
          <w:rFonts w:hint="eastAsia"/>
          <w:lang w:eastAsia="zh-CN"/>
        </w:rPr>
        <w:t>下</w:t>
      </w:r>
      <w:r w:rsidRPr="00502FF8">
        <w:rPr>
          <w:rFonts w:hint="eastAsia"/>
          <w:lang w:eastAsia="zh-CN"/>
        </w:rPr>
        <w:t>，</w:t>
      </w:r>
      <w:r>
        <w:rPr>
          <w:rFonts w:hint="eastAsia"/>
          <w:lang w:eastAsia="zh-CN"/>
        </w:rPr>
        <w:t>BDT</w:t>
      </w:r>
      <w:r w:rsidRPr="00502FF8">
        <w:rPr>
          <w:rFonts w:hint="eastAsia"/>
          <w:lang w:eastAsia="zh-CN"/>
        </w:rPr>
        <w:t>建立了区域性举措加速器服务（</w:t>
      </w:r>
      <w:r w:rsidRPr="00502FF8">
        <w:rPr>
          <w:lang w:eastAsia="zh-CN"/>
        </w:rPr>
        <w:t>RI</w:t>
      </w:r>
      <w:r w:rsidRPr="00502FF8">
        <w:rPr>
          <w:rFonts w:hint="eastAsia"/>
          <w:lang w:eastAsia="zh-CN"/>
        </w:rPr>
        <w:t>加速器或</w:t>
      </w:r>
      <w:r w:rsidRPr="00502FF8">
        <w:rPr>
          <w:lang w:eastAsia="zh-CN"/>
        </w:rPr>
        <w:t>RIA</w:t>
      </w:r>
      <w:r w:rsidRPr="00502FF8">
        <w:rPr>
          <w:rFonts w:hint="eastAsia"/>
          <w:lang w:eastAsia="zh-CN"/>
        </w:rPr>
        <w:t>），以提高区域代表处有效解决区域重点工作的能力。</w:t>
      </w:r>
      <w:r>
        <w:rPr>
          <w:rFonts w:hint="eastAsia"/>
          <w:lang w:eastAsia="zh-CN"/>
        </w:rPr>
        <w:t>这一</w:t>
      </w:r>
      <w:r w:rsidRPr="00502FF8">
        <w:rPr>
          <w:rFonts w:hint="eastAsia"/>
          <w:lang w:eastAsia="zh-CN"/>
        </w:rPr>
        <w:t>新</w:t>
      </w:r>
      <w:r>
        <w:rPr>
          <w:rFonts w:hint="eastAsia"/>
          <w:lang w:eastAsia="zh-CN"/>
        </w:rPr>
        <w:t>的</w:t>
      </w:r>
      <w:r w:rsidRPr="00502FF8">
        <w:rPr>
          <w:rFonts w:hint="eastAsia"/>
          <w:lang w:eastAsia="zh-CN"/>
        </w:rPr>
        <w:t>区域性举措加速器是一个试点项目，主要目标有两个：</w:t>
      </w:r>
    </w:p>
    <w:p w14:paraId="397CEBBA" w14:textId="2C682303" w:rsidR="00772C93" w:rsidRPr="00226F56" w:rsidRDefault="000D564C" w:rsidP="000D564C">
      <w:pPr>
        <w:pStyle w:val="enumlev1"/>
        <w:rPr>
          <w:lang w:eastAsia="zh-CN"/>
        </w:rPr>
      </w:pPr>
      <w:r>
        <w:rPr>
          <w:lang w:val="en-US" w:eastAsia="zh-CN"/>
        </w:rPr>
        <w:t>1)</w:t>
      </w:r>
      <w:r>
        <w:rPr>
          <w:lang w:val="en-US" w:eastAsia="zh-CN"/>
        </w:rPr>
        <w:tab/>
      </w:r>
      <w:r w:rsidR="00772C93" w:rsidRPr="00502FF8">
        <w:rPr>
          <w:rFonts w:hint="eastAsia"/>
          <w:lang w:eastAsia="zh-CN"/>
        </w:rPr>
        <w:t>通过利益攸关方的参与，启动区域性举措（</w:t>
      </w:r>
      <w:r w:rsidR="00772C93" w:rsidRPr="00502FF8">
        <w:rPr>
          <w:lang w:eastAsia="zh-CN"/>
        </w:rPr>
        <w:t>RI</w:t>
      </w:r>
      <w:r w:rsidR="00772C93" w:rsidRPr="00502FF8">
        <w:rPr>
          <w:rFonts w:hint="eastAsia"/>
          <w:lang w:eastAsia="zh-CN"/>
        </w:rPr>
        <w:t>）和项目概念的构思和定义。</w:t>
      </w:r>
    </w:p>
    <w:p w14:paraId="086C1557" w14:textId="21125D21" w:rsidR="00772C93" w:rsidRPr="00226F56" w:rsidRDefault="000D564C" w:rsidP="000D564C">
      <w:pPr>
        <w:pStyle w:val="enumlev1"/>
        <w:rPr>
          <w:lang w:eastAsia="zh-CN"/>
        </w:rPr>
      </w:pPr>
      <w:r>
        <w:rPr>
          <w:lang w:val="en-US" w:eastAsia="zh-CN"/>
        </w:rPr>
        <w:t>2</w:t>
      </w:r>
      <w:r>
        <w:rPr>
          <w:lang w:val="en-US" w:eastAsia="zh-CN"/>
        </w:rPr>
        <w:t>)</w:t>
      </w:r>
      <w:r>
        <w:rPr>
          <w:lang w:val="en-US" w:eastAsia="zh-CN"/>
        </w:rPr>
        <w:tab/>
      </w:r>
      <w:r w:rsidR="00772C93" w:rsidRPr="00502FF8">
        <w:rPr>
          <w:rFonts w:hint="eastAsia"/>
          <w:lang w:eastAsia="zh-CN"/>
        </w:rPr>
        <w:t>支持定义和实施与国际电联区域性举措相关的关键里程碑。</w:t>
      </w:r>
    </w:p>
    <w:p w14:paraId="357B6B1F" w14:textId="77777777" w:rsidR="00772C93" w:rsidRPr="00226F56" w:rsidRDefault="00772C93" w:rsidP="000D564C">
      <w:pPr>
        <w:spacing w:after="120"/>
        <w:ind w:firstLineChars="200" w:firstLine="480"/>
        <w:rPr>
          <w:lang w:eastAsia="zh-CN"/>
        </w:rPr>
      </w:pPr>
      <w:r w:rsidRPr="00502FF8">
        <w:rPr>
          <w:rFonts w:hint="eastAsia"/>
          <w:lang w:eastAsia="zh-CN"/>
        </w:rPr>
        <w:t>区域性举措加速器（</w:t>
      </w:r>
      <w:r w:rsidRPr="00502FF8">
        <w:rPr>
          <w:lang w:eastAsia="zh-CN"/>
        </w:rPr>
        <w:t>RIA</w:t>
      </w:r>
      <w:r w:rsidRPr="00502FF8">
        <w:rPr>
          <w:rFonts w:hint="eastAsia"/>
          <w:lang w:eastAsia="zh-CN"/>
        </w:rPr>
        <w:t>）是由</w:t>
      </w:r>
      <w:r>
        <w:rPr>
          <w:rFonts w:hint="eastAsia"/>
          <w:lang w:eastAsia="zh-CN"/>
        </w:rPr>
        <w:t>BDT</w:t>
      </w:r>
      <w:r w:rsidRPr="00502FF8">
        <w:rPr>
          <w:rFonts w:hint="eastAsia"/>
          <w:lang w:eastAsia="zh-CN"/>
        </w:rPr>
        <w:t>策划的一个开放平台，旨在供感兴趣的利益攸关方开展协作</w:t>
      </w:r>
      <w:r>
        <w:rPr>
          <w:rFonts w:hint="eastAsia"/>
          <w:lang w:eastAsia="zh-CN"/>
        </w:rPr>
        <w:t>和</w:t>
      </w:r>
      <w:r w:rsidRPr="00502FF8">
        <w:rPr>
          <w:rFonts w:hint="eastAsia"/>
          <w:lang w:eastAsia="zh-CN"/>
        </w:rPr>
        <w:t>共同创建项目概念。这一举措旨在利用创新能力和</w:t>
      </w:r>
      <w:r>
        <w:rPr>
          <w:rFonts w:hint="eastAsia"/>
          <w:lang w:eastAsia="zh-CN"/>
        </w:rPr>
        <w:t>帮助成熟项目筹措</w:t>
      </w:r>
      <w:r w:rsidRPr="00502FF8">
        <w:rPr>
          <w:rFonts w:hint="eastAsia"/>
          <w:lang w:eastAsia="zh-CN"/>
        </w:rPr>
        <w:t>资源，加快国际电联区域性举措的实施。</w:t>
      </w:r>
    </w:p>
    <w:p w14:paraId="5AC946CC" w14:textId="77777777" w:rsidR="00772C93" w:rsidRPr="00226F56" w:rsidRDefault="00772C93" w:rsidP="000D564C">
      <w:pPr>
        <w:spacing w:after="120"/>
        <w:ind w:firstLineChars="200" w:firstLine="480"/>
        <w:rPr>
          <w:lang w:eastAsia="zh-CN"/>
        </w:rPr>
      </w:pPr>
      <w:r w:rsidRPr="00502FF8">
        <w:rPr>
          <w:lang w:val="en-US" w:eastAsia="zh-CN"/>
        </w:rPr>
        <w:t>RIA</w:t>
      </w:r>
      <w:r w:rsidRPr="00502FF8">
        <w:rPr>
          <w:rFonts w:hint="eastAsia"/>
          <w:lang w:val="en-US" w:eastAsia="zh-CN"/>
        </w:rPr>
        <w:t>是一个开放平台，旨在供利益攸关方共同创建、完善和实施符合国际电联区域性举措的项目。</w:t>
      </w:r>
      <w:r w:rsidRPr="00502FF8">
        <w:rPr>
          <w:lang w:val="en-US" w:eastAsia="zh-CN"/>
        </w:rPr>
        <w:t>RIA</w:t>
      </w:r>
      <w:r w:rsidRPr="00502FF8">
        <w:rPr>
          <w:rFonts w:hint="eastAsia"/>
          <w:lang w:val="en-US" w:eastAsia="zh-CN"/>
        </w:rPr>
        <w:t>框架提供了整合政策、研究、宣传、伙伴关系和项目开发的必要结构，所有这些都旨在促进有意义和可扩展的数字化转型。该机制是对</w:t>
      </w:r>
      <w:r w:rsidRPr="00502FF8">
        <w:rPr>
          <w:lang w:val="en-US" w:eastAsia="zh-CN"/>
        </w:rPr>
        <w:t>BDT</w:t>
      </w:r>
      <w:r w:rsidRPr="00502FF8">
        <w:rPr>
          <w:rFonts w:hint="eastAsia"/>
          <w:lang w:val="en-US" w:eastAsia="zh-CN"/>
        </w:rPr>
        <w:t>其它举措的补充。</w:t>
      </w:r>
    </w:p>
    <w:p w14:paraId="76ADE556" w14:textId="59ADC1C8" w:rsidR="00772C93" w:rsidRPr="00226F56" w:rsidRDefault="00772C93" w:rsidP="000D564C">
      <w:pPr>
        <w:spacing w:after="120"/>
        <w:ind w:firstLineChars="200" w:firstLine="480"/>
        <w:rPr>
          <w:lang w:eastAsia="zh-CN"/>
        </w:rPr>
      </w:pPr>
      <w:r w:rsidRPr="00502FF8">
        <w:rPr>
          <w:lang w:eastAsia="zh-CN"/>
        </w:rPr>
        <w:t>BDT</w:t>
      </w:r>
      <w:r w:rsidRPr="00502FF8">
        <w:rPr>
          <w:rFonts w:hint="eastAsia"/>
          <w:lang w:eastAsia="zh-CN"/>
        </w:rPr>
        <w:t>于</w:t>
      </w:r>
      <w:r w:rsidRPr="00502FF8">
        <w:rPr>
          <w:lang w:eastAsia="zh-CN"/>
        </w:rPr>
        <w:t>2025</w:t>
      </w:r>
      <w:r w:rsidRPr="00502FF8">
        <w:rPr>
          <w:rFonts w:hint="eastAsia"/>
          <w:lang w:eastAsia="zh-CN"/>
        </w:rPr>
        <w:t>年</w:t>
      </w:r>
      <w:r w:rsidRPr="00502FF8">
        <w:rPr>
          <w:lang w:eastAsia="zh-CN"/>
        </w:rPr>
        <w:t>2</w:t>
      </w:r>
      <w:r w:rsidRPr="00502FF8">
        <w:rPr>
          <w:rFonts w:hint="eastAsia"/>
          <w:lang w:eastAsia="zh-CN"/>
        </w:rPr>
        <w:t>月</w:t>
      </w:r>
      <w:r w:rsidRPr="00502FF8">
        <w:rPr>
          <w:lang w:eastAsia="zh-CN"/>
        </w:rPr>
        <w:t>3</w:t>
      </w:r>
      <w:r>
        <w:rPr>
          <w:rFonts w:hint="eastAsia"/>
          <w:lang w:eastAsia="zh-CN"/>
        </w:rPr>
        <w:t>-</w:t>
      </w:r>
      <w:r w:rsidRPr="00502FF8">
        <w:rPr>
          <w:lang w:eastAsia="zh-CN"/>
        </w:rPr>
        <w:t>5</w:t>
      </w:r>
      <w:r w:rsidRPr="00502FF8">
        <w:rPr>
          <w:rFonts w:hint="eastAsia"/>
          <w:lang w:eastAsia="zh-CN"/>
        </w:rPr>
        <w:t>日在黑山波德戈里察</w:t>
      </w:r>
      <w:r>
        <w:rPr>
          <w:rFonts w:hint="eastAsia"/>
          <w:lang w:eastAsia="zh-CN"/>
        </w:rPr>
        <w:t>为</w:t>
      </w:r>
      <w:r w:rsidRPr="00502FF8">
        <w:rPr>
          <w:rFonts w:hint="eastAsia"/>
          <w:lang w:eastAsia="zh-CN"/>
        </w:rPr>
        <w:t>该加速器</w:t>
      </w:r>
      <w:r>
        <w:rPr>
          <w:rFonts w:hint="eastAsia"/>
          <w:lang w:eastAsia="zh-CN"/>
        </w:rPr>
        <w:t>举办</w:t>
      </w:r>
      <w:r w:rsidRPr="00502FF8">
        <w:rPr>
          <w:rFonts w:hint="eastAsia"/>
          <w:lang w:eastAsia="zh-CN"/>
        </w:rPr>
        <w:t>了第一</w:t>
      </w:r>
      <w:r>
        <w:rPr>
          <w:rFonts w:hint="eastAsia"/>
          <w:lang w:eastAsia="zh-CN"/>
        </w:rPr>
        <w:t>次活动</w:t>
      </w:r>
      <w:r w:rsidRPr="00502FF8">
        <w:rPr>
          <w:rFonts w:hint="eastAsia"/>
          <w:lang w:eastAsia="zh-CN"/>
        </w:rPr>
        <w:t>。</w:t>
      </w:r>
      <w:r>
        <w:rPr>
          <w:rFonts w:hint="eastAsia"/>
          <w:lang w:eastAsia="zh-CN"/>
        </w:rPr>
        <w:t>此次</w:t>
      </w:r>
      <w:r w:rsidRPr="00502FF8">
        <w:rPr>
          <w:rFonts w:hint="eastAsia"/>
          <w:lang w:eastAsia="zh-CN"/>
        </w:rPr>
        <w:t>活动汇集了来自西巴尔干</w:t>
      </w:r>
      <w:r>
        <w:rPr>
          <w:rFonts w:hint="eastAsia"/>
          <w:lang w:eastAsia="zh-CN"/>
        </w:rPr>
        <w:t>地区</w:t>
      </w:r>
      <w:r w:rsidRPr="00502FF8">
        <w:rPr>
          <w:rFonts w:hint="eastAsia"/>
          <w:lang w:eastAsia="zh-CN"/>
        </w:rPr>
        <w:t>五个国家的代表，共同设计和验证五个总价值</w:t>
      </w:r>
      <w:r>
        <w:rPr>
          <w:rFonts w:hint="eastAsia"/>
          <w:lang w:eastAsia="zh-CN"/>
        </w:rPr>
        <w:t>达</w:t>
      </w:r>
      <w:r w:rsidRPr="00502FF8">
        <w:rPr>
          <w:lang w:eastAsia="zh-CN"/>
        </w:rPr>
        <w:t>2 000</w:t>
      </w:r>
      <w:r w:rsidRPr="00502FF8">
        <w:rPr>
          <w:rFonts w:hint="eastAsia"/>
          <w:lang w:eastAsia="zh-CN"/>
        </w:rPr>
        <w:t>万美元的项目。</w:t>
      </w:r>
    </w:p>
    <w:p w14:paraId="0843FD4C" w14:textId="77777777" w:rsidR="00772C93" w:rsidRPr="00226F56" w:rsidRDefault="00772C93" w:rsidP="000D564C">
      <w:pPr>
        <w:spacing w:after="120"/>
        <w:ind w:firstLineChars="200" w:firstLine="480"/>
        <w:rPr>
          <w:lang w:eastAsia="zh-CN"/>
        </w:rPr>
      </w:pPr>
      <w:r>
        <w:rPr>
          <w:rFonts w:hint="eastAsia"/>
          <w:lang w:eastAsia="zh-CN"/>
        </w:rPr>
        <w:t>该</w:t>
      </w:r>
      <w:r w:rsidRPr="00502FF8">
        <w:rPr>
          <w:rFonts w:hint="eastAsia"/>
          <w:lang w:eastAsia="zh-CN"/>
        </w:rPr>
        <w:t>加速器的下一阶段</w:t>
      </w:r>
      <w:r>
        <w:rPr>
          <w:rFonts w:hint="eastAsia"/>
          <w:lang w:eastAsia="zh-CN"/>
        </w:rPr>
        <w:t>活动</w:t>
      </w:r>
      <w:r w:rsidRPr="00502FF8">
        <w:rPr>
          <w:rFonts w:hint="eastAsia"/>
          <w:lang w:eastAsia="zh-CN"/>
        </w:rPr>
        <w:t>将侧重于资源筹措和项目启动，采用系统性方法来解决区域优先事项。</w:t>
      </w:r>
    </w:p>
    <w:p w14:paraId="3358F333" w14:textId="77777777" w:rsidR="00772C93" w:rsidRPr="00226F56" w:rsidRDefault="00772C93" w:rsidP="000D564C">
      <w:pPr>
        <w:spacing w:after="120"/>
        <w:ind w:firstLineChars="200" w:firstLine="480"/>
        <w:rPr>
          <w:lang w:eastAsia="zh-CN"/>
        </w:rPr>
      </w:pPr>
      <w:r>
        <w:rPr>
          <w:rFonts w:hint="eastAsia"/>
          <w:lang w:eastAsia="zh-CN"/>
        </w:rPr>
        <w:t>BDT</w:t>
      </w:r>
      <w:r w:rsidRPr="00502FF8">
        <w:rPr>
          <w:rFonts w:hint="eastAsia"/>
          <w:lang w:eastAsia="zh-CN"/>
        </w:rPr>
        <w:t>将继续试验这一创新机制，以确保加速器满足各</w:t>
      </w:r>
      <w:r>
        <w:rPr>
          <w:rFonts w:hint="eastAsia"/>
          <w:lang w:eastAsia="zh-CN"/>
        </w:rPr>
        <w:t>项</w:t>
      </w:r>
      <w:r w:rsidRPr="00502FF8">
        <w:rPr>
          <w:rFonts w:hint="eastAsia"/>
          <w:lang w:eastAsia="zh-CN"/>
        </w:rPr>
        <w:t>区域性举措的需求。</w:t>
      </w:r>
      <w:r w:rsidRPr="00502FF8">
        <w:rPr>
          <w:lang w:eastAsia="zh-CN"/>
        </w:rPr>
        <w:t>2025</w:t>
      </w:r>
      <w:r w:rsidRPr="00502FF8">
        <w:rPr>
          <w:rFonts w:hint="eastAsia"/>
          <w:lang w:eastAsia="zh-CN"/>
        </w:rPr>
        <w:t>年，预计亚太和其他可能对该加速器感兴趣的区域将</w:t>
      </w:r>
      <w:r>
        <w:rPr>
          <w:rFonts w:hint="eastAsia"/>
          <w:lang w:eastAsia="zh-CN"/>
        </w:rPr>
        <w:t>举办</w:t>
      </w:r>
      <w:r w:rsidRPr="00502FF8">
        <w:rPr>
          <w:rFonts w:hint="eastAsia"/>
          <w:lang w:eastAsia="zh-CN"/>
        </w:rPr>
        <w:t>新的</w:t>
      </w:r>
      <w:r>
        <w:rPr>
          <w:rFonts w:hint="eastAsia"/>
          <w:lang w:eastAsia="zh-CN"/>
        </w:rPr>
        <w:t>活动</w:t>
      </w:r>
      <w:r w:rsidRPr="00502FF8">
        <w:rPr>
          <w:rFonts w:hint="eastAsia"/>
          <w:lang w:eastAsia="zh-CN"/>
        </w:rPr>
        <w:t>。鼓励国际电联成员与</w:t>
      </w:r>
      <w:r>
        <w:rPr>
          <w:rFonts w:hint="eastAsia"/>
          <w:lang w:eastAsia="zh-CN"/>
        </w:rPr>
        <w:t>BDT</w:t>
      </w:r>
      <w:r w:rsidRPr="00502FF8">
        <w:rPr>
          <w:rFonts w:hint="eastAsia"/>
          <w:lang w:eastAsia="zh-CN"/>
        </w:rPr>
        <w:t>联系，了解如何</w:t>
      </w:r>
      <w:r>
        <w:rPr>
          <w:rFonts w:hint="eastAsia"/>
          <w:lang w:eastAsia="zh-CN"/>
        </w:rPr>
        <w:t>参与</w:t>
      </w:r>
      <w:r w:rsidRPr="00502FF8">
        <w:rPr>
          <w:rFonts w:hint="eastAsia"/>
          <w:lang w:eastAsia="zh-CN"/>
        </w:rPr>
        <w:t>这一新机制。</w:t>
      </w:r>
    </w:p>
    <w:p w14:paraId="0F9CE0A4" w14:textId="77777777" w:rsidR="00923F36" w:rsidRDefault="00923F36">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szCs w:val="24"/>
          <w:lang w:val="en-US" w:eastAsia="zh-CN"/>
        </w:rPr>
        <w:br w:type="page"/>
      </w:r>
    </w:p>
    <w:p w14:paraId="7676B3E8" w14:textId="489823A9" w:rsidR="00772C93" w:rsidRPr="00035EAF" w:rsidRDefault="00035EAF" w:rsidP="00035EAF">
      <w:pPr>
        <w:pStyle w:val="Heading1"/>
        <w:rPr>
          <w:sz w:val="24"/>
          <w:szCs w:val="24"/>
        </w:rPr>
      </w:pPr>
      <w:r w:rsidRPr="00035EAF">
        <w:rPr>
          <w:sz w:val="24"/>
          <w:szCs w:val="24"/>
          <w:lang w:val="en-US" w:eastAsia="zh-CN"/>
        </w:rPr>
        <w:lastRenderedPageBreak/>
        <w:t>3</w:t>
      </w:r>
      <w:r w:rsidRPr="00035EAF">
        <w:rPr>
          <w:sz w:val="24"/>
          <w:szCs w:val="24"/>
          <w:lang w:val="en-US" w:eastAsia="zh-CN"/>
        </w:rPr>
        <w:tab/>
      </w:r>
      <w:r w:rsidR="00772C93" w:rsidRPr="00035EAF">
        <w:rPr>
          <w:rFonts w:hint="eastAsia"/>
          <w:sz w:val="24"/>
          <w:szCs w:val="24"/>
          <w:lang w:eastAsia="zh-CN"/>
        </w:rPr>
        <w:t>前进方向</w:t>
      </w:r>
    </w:p>
    <w:p w14:paraId="42E0B6F4" w14:textId="77777777" w:rsidR="00772C93" w:rsidRPr="00035EAF" w:rsidRDefault="00772C93" w:rsidP="00035EAF">
      <w:pPr>
        <w:pStyle w:val="Body"/>
        <w:spacing w:before="120" w:after="120"/>
        <w:ind w:firstLineChars="200" w:firstLine="480"/>
        <w:rPr>
          <w:rFonts w:asciiTheme="minorHAnsi" w:eastAsiaTheme="minorEastAsia" w:hAnsiTheme="minorHAnsi" w:cs="Times New Roman"/>
          <w:color w:val="auto"/>
          <w:sz w:val="24"/>
          <w:szCs w:val="24"/>
          <w:bdr w:val="none" w:sz="0" w:space="0" w:color="auto"/>
          <w:lang w:eastAsia="zh-CN"/>
          <w14:textOutline w14:w="0" w14:cap="rnd" w14:cmpd="sng" w14:algn="ctr">
            <w14:noFill/>
            <w14:prstDash w14:val="solid"/>
            <w14:bevel/>
          </w14:textOutline>
        </w:rPr>
      </w:pPr>
      <w:r w:rsidRPr="00035EAF">
        <w:rPr>
          <w:rFonts w:asciiTheme="minorHAnsi" w:eastAsiaTheme="minorEastAsia" w:hAnsiTheme="minorHAnsi" w:cs="Times New Roman"/>
          <w:color w:val="auto"/>
          <w:sz w:val="24"/>
          <w:szCs w:val="24"/>
          <w:bdr w:val="none" w:sz="0" w:space="0" w:color="auto"/>
          <w:lang w:eastAsia="zh-CN"/>
          <w14:textOutline w14:w="0" w14:cap="rnd" w14:cmpd="sng" w14:algn="ctr">
            <w14:noFill/>
            <w14:prstDash w14:val="solid"/>
            <w14:bevel/>
          </w14:textOutline>
        </w:rPr>
        <w:t>BDT</w:t>
      </w:r>
      <w:r w:rsidRPr="00035EAF">
        <w:rPr>
          <w:rFonts w:asciiTheme="minorHAnsi" w:eastAsiaTheme="minorEastAsia" w:hAnsiTheme="minorHAnsi" w:cs="Times New Roman" w:hint="eastAsia"/>
          <w:color w:val="auto"/>
          <w:sz w:val="24"/>
          <w:szCs w:val="24"/>
          <w:bdr w:val="none" w:sz="0" w:space="0" w:color="auto"/>
          <w:lang w:eastAsia="zh-CN"/>
          <w14:textOutline w14:w="0" w14:cap="rnd" w14:cmpd="sng" w14:algn="ctr">
            <w14:noFill/>
            <w14:prstDash w14:val="solid"/>
            <w14:bevel/>
          </w14:textOutline>
        </w:rPr>
        <w:t>将继续运作联盟的所有工具，并筹措资源来支持各国。</w:t>
      </w:r>
    </w:p>
    <w:p w14:paraId="41D7893B" w14:textId="77777777" w:rsidR="00772C93" w:rsidRPr="00035EAF" w:rsidRDefault="00772C93" w:rsidP="00035EAF">
      <w:pPr>
        <w:pStyle w:val="s19"/>
        <w:spacing w:before="120" w:beforeAutospacing="0" w:after="120" w:afterAutospacing="0"/>
        <w:ind w:firstLineChars="200" w:firstLine="480"/>
        <w:rPr>
          <w:rFonts w:asciiTheme="minorHAnsi" w:eastAsiaTheme="minorEastAsia" w:hAnsiTheme="minorHAnsi" w:cstheme="minorHAnsi"/>
          <w:color w:val="000000"/>
          <w:sz w:val="24"/>
          <w:szCs w:val="24"/>
          <w:lang w:eastAsia="zh-CN"/>
        </w:rPr>
      </w:pPr>
      <w:r w:rsidRPr="00035EAF">
        <w:rPr>
          <w:rFonts w:hint="eastAsia"/>
          <w:sz w:val="24"/>
          <w:szCs w:val="24"/>
          <w:lang w:eastAsia="zh-CN"/>
        </w:rPr>
        <w:t>BDT</w:t>
      </w:r>
      <w:r w:rsidRPr="00035EAF">
        <w:rPr>
          <w:rStyle w:val="s22"/>
          <w:rFonts w:eastAsiaTheme="minorEastAsia" w:cstheme="minorHAnsi" w:hint="eastAsia"/>
          <w:color w:val="000000"/>
          <w:sz w:val="24"/>
          <w:szCs w:val="24"/>
          <w:lang w:eastAsia="zh-CN"/>
        </w:rPr>
        <w:t>将通过以下活动加强联盟的发展及其举措，举例如下：</w:t>
      </w:r>
    </w:p>
    <w:p w14:paraId="04B86711" w14:textId="0D2F4DF6" w:rsidR="00772C93" w:rsidRPr="00226F56" w:rsidRDefault="00035EAF" w:rsidP="00035EAF">
      <w:pPr>
        <w:pStyle w:val="enumlev1"/>
        <w:rPr>
          <w:rStyle w:val="s22"/>
          <w:rFonts w:cstheme="minorHAnsi"/>
          <w:color w:val="000000"/>
          <w:szCs w:val="24"/>
          <w:lang w:eastAsia="zh-CN"/>
        </w:rPr>
      </w:pPr>
      <w:bookmarkStart w:id="7" w:name="_Hlk196313657"/>
      <w:r w:rsidRPr="00035EAF">
        <w:rPr>
          <w:rStyle w:val="s22"/>
          <w:rFonts w:cstheme="minorHAnsi"/>
          <w:color w:val="000000"/>
          <w:szCs w:val="24"/>
          <w:lang w:eastAsia="zh-CN"/>
        </w:rPr>
        <w:t>–</w:t>
      </w:r>
      <w:r>
        <w:rPr>
          <w:rStyle w:val="s22"/>
          <w:rFonts w:cstheme="minorHAnsi"/>
          <w:color w:val="000000"/>
          <w:szCs w:val="24"/>
          <w:lang w:val="en-US" w:eastAsia="zh-CN"/>
        </w:rPr>
        <w:tab/>
      </w:r>
      <w:bookmarkEnd w:id="7"/>
      <w:r w:rsidR="00772C93" w:rsidRPr="00502FF8">
        <w:rPr>
          <w:rStyle w:val="s22"/>
          <w:rFonts w:cstheme="minorHAnsi" w:hint="eastAsia"/>
          <w:color w:val="000000"/>
          <w:szCs w:val="24"/>
          <w:lang w:eastAsia="zh-CN"/>
        </w:rPr>
        <w:t>继续为联盟</w:t>
      </w:r>
      <w:r w:rsidR="00772C93">
        <w:rPr>
          <w:rStyle w:val="s22"/>
          <w:rFonts w:cstheme="minorHAnsi" w:hint="eastAsia"/>
          <w:color w:val="000000"/>
          <w:szCs w:val="24"/>
          <w:lang w:eastAsia="zh-CN"/>
        </w:rPr>
        <w:t>各</w:t>
      </w:r>
      <w:r w:rsidR="00772C93" w:rsidRPr="00502FF8">
        <w:rPr>
          <w:rStyle w:val="s22"/>
          <w:rFonts w:cstheme="minorHAnsi" w:hint="eastAsia"/>
          <w:color w:val="000000"/>
          <w:szCs w:val="24"/>
          <w:lang w:eastAsia="zh-CN"/>
        </w:rPr>
        <w:t>中心</w:t>
      </w:r>
      <w:r w:rsidR="00772C93">
        <w:rPr>
          <w:rStyle w:val="s22"/>
          <w:rFonts w:cstheme="minorHAnsi" w:hint="eastAsia"/>
          <w:color w:val="000000"/>
          <w:szCs w:val="24"/>
          <w:lang w:eastAsia="zh-CN"/>
        </w:rPr>
        <w:t>编写</w:t>
      </w:r>
      <w:r w:rsidR="00772C93" w:rsidRPr="00502FF8">
        <w:rPr>
          <w:rStyle w:val="s22"/>
          <w:rFonts w:cstheme="minorHAnsi" w:hint="eastAsia"/>
          <w:color w:val="000000"/>
          <w:szCs w:val="24"/>
          <w:lang w:eastAsia="zh-CN"/>
        </w:rPr>
        <w:t>和实施手册</w:t>
      </w:r>
      <w:r w:rsidR="00772C93">
        <w:rPr>
          <w:rStyle w:val="s22"/>
          <w:rFonts w:cstheme="minorHAnsi" w:hint="eastAsia"/>
          <w:color w:val="000000"/>
          <w:szCs w:val="24"/>
          <w:lang w:eastAsia="zh-CN"/>
        </w:rPr>
        <w:t>，</w:t>
      </w:r>
      <w:proofErr w:type="gramStart"/>
      <w:r w:rsidR="00772C93">
        <w:rPr>
          <w:rStyle w:val="s22"/>
          <w:rFonts w:cstheme="minorHAnsi" w:hint="eastAsia"/>
          <w:color w:val="000000"/>
          <w:szCs w:val="24"/>
          <w:lang w:eastAsia="zh-CN"/>
        </w:rPr>
        <w:t>以及开展</w:t>
      </w:r>
      <w:r w:rsidR="00772C93" w:rsidRPr="00502FF8">
        <w:rPr>
          <w:rStyle w:val="s22"/>
          <w:rFonts w:cstheme="minorHAnsi" w:hint="eastAsia"/>
          <w:color w:val="000000"/>
          <w:szCs w:val="24"/>
          <w:lang w:eastAsia="zh-CN"/>
        </w:rPr>
        <w:t>能力建设</w:t>
      </w:r>
      <w:r w:rsidR="00772C93">
        <w:rPr>
          <w:rStyle w:val="s22"/>
          <w:rFonts w:cstheme="minorHAnsi" w:hint="eastAsia"/>
          <w:color w:val="000000"/>
          <w:szCs w:val="24"/>
          <w:lang w:eastAsia="zh-CN"/>
        </w:rPr>
        <w:t>；</w:t>
      </w:r>
      <w:proofErr w:type="gramEnd"/>
    </w:p>
    <w:p w14:paraId="3156A75B" w14:textId="551B47A1" w:rsidR="00772C93" w:rsidRPr="00226F56" w:rsidRDefault="00035EAF" w:rsidP="00035EAF">
      <w:pPr>
        <w:pStyle w:val="enumlev1"/>
        <w:rPr>
          <w:rStyle w:val="s22"/>
          <w:rFonts w:cstheme="minorHAnsi"/>
          <w:color w:val="000000"/>
          <w:szCs w:val="24"/>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proofErr w:type="gramStart"/>
      <w:r w:rsidR="00772C93" w:rsidRPr="00502FF8">
        <w:rPr>
          <w:rStyle w:val="s22"/>
          <w:rFonts w:cstheme="minorHAnsi" w:hint="eastAsia"/>
          <w:color w:val="000000"/>
          <w:szCs w:val="24"/>
          <w:lang w:eastAsia="zh-CN"/>
        </w:rPr>
        <w:t>协助各中心向其</w:t>
      </w:r>
      <w:r w:rsidR="00772C93">
        <w:rPr>
          <w:rStyle w:val="s22"/>
          <w:rFonts w:cstheme="minorHAnsi" w:hint="eastAsia"/>
          <w:color w:val="000000"/>
          <w:szCs w:val="24"/>
          <w:lang w:eastAsia="zh-CN"/>
        </w:rPr>
        <w:t>所在</w:t>
      </w:r>
      <w:r w:rsidR="00772C93" w:rsidRPr="00502FF8">
        <w:rPr>
          <w:rStyle w:val="s22"/>
          <w:rFonts w:cstheme="minorHAnsi" w:hint="eastAsia"/>
          <w:color w:val="000000"/>
          <w:szCs w:val="24"/>
          <w:lang w:eastAsia="zh-CN"/>
        </w:rPr>
        <w:t>社区</w:t>
      </w:r>
      <w:r w:rsidR="00772C93">
        <w:rPr>
          <w:rStyle w:val="s22"/>
          <w:rFonts w:cstheme="minorHAnsi" w:hint="eastAsia"/>
          <w:color w:val="000000"/>
          <w:szCs w:val="24"/>
          <w:lang w:eastAsia="zh-CN"/>
        </w:rPr>
        <w:t>和授权范围</w:t>
      </w:r>
      <w:r w:rsidR="00772C93" w:rsidRPr="00502FF8">
        <w:rPr>
          <w:rStyle w:val="s22"/>
          <w:rFonts w:cstheme="minorHAnsi" w:hint="eastAsia"/>
          <w:color w:val="000000"/>
          <w:szCs w:val="24"/>
          <w:lang w:eastAsia="zh-CN"/>
        </w:rPr>
        <w:t>提供首批服务</w:t>
      </w:r>
      <w:r w:rsidR="00772C93">
        <w:rPr>
          <w:rStyle w:val="s22"/>
          <w:rFonts w:cstheme="minorHAnsi" w:hint="eastAsia"/>
          <w:color w:val="000000"/>
          <w:szCs w:val="24"/>
          <w:lang w:eastAsia="zh-CN"/>
        </w:rPr>
        <w:t>；</w:t>
      </w:r>
      <w:proofErr w:type="gramEnd"/>
    </w:p>
    <w:p w14:paraId="645F2007" w14:textId="1297CCC0" w:rsidR="00772C93" w:rsidRPr="00226F56" w:rsidRDefault="00035EAF" w:rsidP="00035EAF">
      <w:pPr>
        <w:pStyle w:val="enumlev1"/>
        <w:rPr>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r w:rsidR="00772C93" w:rsidRPr="00502FF8">
        <w:rPr>
          <w:rStyle w:val="s22"/>
          <w:rFonts w:cstheme="minorHAnsi" w:hint="eastAsia"/>
          <w:color w:val="000000"/>
          <w:szCs w:val="24"/>
          <w:lang w:eastAsia="zh-CN"/>
        </w:rPr>
        <w:t>视尽职调查和资源可用性情况，</w:t>
      </w:r>
      <w:proofErr w:type="gramStart"/>
      <w:r w:rsidR="00772C93" w:rsidRPr="00502FF8">
        <w:rPr>
          <w:rStyle w:val="s22"/>
          <w:rFonts w:cstheme="minorHAnsi" w:hint="eastAsia"/>
          <w:color w:val="000000"/>
          <w:szCs w:val="24"/>
          <w:lang w:eastAsia="zh-CN"/>
        </w:rPr>
        <w:t>滚动受理新中心的</w:t>
      </w:r>
      <w:r w:rsidR="00772C93">
        <w:rPr>
          <w:rStyle w:val="s22"/>
          <w:rFonts w:cstheme="minorHAnsi" w:hint="eastAsia"/>
          <w:color w:val="000000"/>
          <w:szCs w:val="24"/>
          <w:lang w:eastAsia="zh-CN"/>
        </w:rPr>
        <w:t>设立</w:t>
      </w:r>
      <w:r w:rsidR="00772C93" w:rsidRPr="00502FF8">
        <w:rPr>
          <w:rStyle w:val="s22"/>
          <w:rFonts w:cstheme="minorHAnsi" w:hint="eastAsia"/>
          <w:color w:val="000000"/>
          <w:szCs w:val="24"/>
          <w:lang w:eastAsia="zh-CN"/>
        </w:rPr>
        <w:t>申请</w:t>
      </w:r>
      <w:r w:rsidR="00772C93">
        <w:rPr>
          <w:rStyle w:val="s22"/>
          <w:rFonts w:cstheme="minorHAnsi" w:hint="eastAsia"/>
          <w:color w:val="000000"/>
          <w:szCs w:val="24"/>
          <w:lang w:eastAsia="zh-CN"/>
        </w:rPr>
        <w:t>；</w:t>
      </w:r>
      <w:proofErr w:type="gramEnd"/>
    </w:p>
    <w:p w14:paraId="305CA1CF" w14:textId="64968C62" w:rsidR="00772C93" w:rsidRPr="00226F56" w:rsidRDefault="00035EAF" w:rsidP="00035EAF">
      <w:pPr>
        <w:pStyle w:val="enumlev1"/>
        <w:rPr>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r w:rsidR="00772C93" w:rsidRPr="00502FF8">
        <w:rPr>
          <w:rStyle w:val="s22"/>
          <w:rFonts w:cstheme="minorHAnsi" w:hint="eastAsia"/>
          <w:color w:val="000000"/>
          <w:szCs w:val="24"/>
          <w:lang w:eastAsia="zh-CN"/>
        </w:rPr>
        <w:t>继续在联盟框架内与</w:t>
      </w:r>
      <w:r w:rsidR="00772C93">
        <w:rPr>
          <w:rStyle w:val="s22"/>
          <w:rFonts w:cstheme="minorHAnsi" w:hint="eastAsia"/>
          <w:color w:val="000000"/>
          <w:szCs w:val="24"/>
          <w:lang w:eastAsia="zh-CN"/>
        </w:rPr>
        <w:t>TSB</w:t>
      </w:r>
      <w:r w:rsidR="00772C93" w:rsidRPr="00502FF8">
        <w:rPr>
          <w:rStyle w:val="s22"/>
          <w:rFonts w:cstheme="minorHAnsi" w:hint="eastAsia"/>
          <w:color w:val="000000"/>
          <w:szCs w:val="24"/>
          <w:lang w:eastAsia="zh-CN"/>
        </w:rPr>
        <w:t>合作，</w:t>
      </w:r>
      <w:proofErr w:type="gramStart"/>
      <w:r w:rsidR="00772C93">
        <w:rPr>
          <w:rStyle w:val="s22"/>
          <w:rFonts w:cstheme="minorHAnsi" w:hint="eastAsia"/>
          <w:color w:val="000000"/>
          <w:szCs w:val="24"/>
          <w:lang w:eastAsia="zh-CN"/>
        </w:rPr>
        <w:t>以便</w:t>
      </w:r>
      <w:r w:rsidR="00772C93" w:rsidRPr="00502FF8">
        <w:rPr>
          <w:rStyle w:val="s22"/>
          <w:rFonts w:cstheme="minorHAnsi" w:hint="eastAsia"/>
          <w:color w:val="000000"/>
          <w:szCs w:val="24"/>
          <w:lang w:eastAsia="zh-CN"/>
        </w:rPr>
        <w:t>在区域活动中对新方法进行一些测试</w:t>
      </w:r>
      <w:r w:rsidR="00772C93">
        <w:rPr>
          <w:rStyle w:val="s22"/>
          <w:rFonts w:cstheme="minorHAnsi" w:hint="eastAsia"/>
          <w:color w:val="000000"/>
          <w:szCs w:val="24"/>
          <w:lang w:eastAsia="zh-CN"/>
        </w:rPr>
        <w:t>；</w:t>
      </w:r>
      <w:proofErr w:type="gramEnd"/>
    </w:p>
    <w:p w14:paraId="6CB83FF0" w14:textId="26F77EDB" w:rsidR="00772C93" w:rsidRPr="00226F56" w:rsidRDefault="00035EAF" w:rsidP="00035EAF">
      <w:pPr>
        <w:pStyle w:val="enumlev1"/>
        <w:rPr>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proofErr w:type="gramStart"/>
      <w:r w:rsidR="00772C93" w:rsidRPr="00502FF8">
        <w:rPr>
          <w:rStyle w:val="s22"/>
          <w:rFonts w:cstheme="minorHAnsi" w:hint="eastAsia"/>
          <w:color w:val="000000"/>
          <w:szCs w:val="24"/>
          <w:lang w:eastAsia="zh-CN"/>
        </w:rPr>
        <w:t>继续强</w:t>
      </w:r>
      <w:r w:rsidR="00772C93">
        <w:rPr>
          <w:rStyle w:val="s22"/>
          <w:rFonts w:cstheme="minorHAnsi" w:hint="eastAsia"/>
          <w:color w:val="000000"/>
          <w:szCs w:val="24"/>
          <w:lang w:eastAsia="zh-CN"/>
        </w:rPr>
        <w:t>化</w:t>
      </w:r>
      <w:r w:rsidR="00772C93" w:rsidRPr="00502FF8">
        <w:rPr>
          <w:rStyle w:val="s22"/>
          <w:rFonts w:cstheme="minorHAnsi" w:hint="eastAsia"/>
          <w:color w:val="000000"/>
          <w:szCs w:val="24"/>
          <w:lang w:eastAsia="zh-CN"/>
        </w:rPr>
        <w:t>国际电联南亚地区办事处的创新中心</w:t>
      </w:r>
      <w:r w:rsidR="00772C93">
        <w:rPr>
          <w:rStyle w:val="s22"/>
          <w:rFonts w:cstheme="minorHAnsi" w:hint="eastAsia"/>
          <w:color w:val="000000"/>
          <w:szCs w:val="24"/>
          <w:lang w:eastAsia="zh-CN"/>
        </w:rPr>
        <w:t>；</w:t>
      </w:r>
      <w:proofErr w:type="gramEnd"/>
    </w:p>
    <w:p w14:paraId="7379CDCD" w14:textId="7FCA51D9" w:rsidR="00772C93" w:rsidRPr="00226F56" w:rsidRDefault="00035EAF" w:rsidP="00035EAF">
      <w:pPr>
        <w:pStyle w:val="enumlev1"/>
        <w:rPr>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r w:rsidR="00772C93" w:rsidRPr="00502FF8">
        <w:rPr>
          <w:rStyle w:val="s22"/>
          <w:rFonts w:cstheme="minorHAnsi" w:hint="eastAsia"/>
          <w:color w:val="000000"/>
          <w:szCs w:val="24"/>
          <w:lang w:eastAsia="zh-CN"/>
        </w:rPr>
        <w:t>通过数字化创新委员会专家网络实施资源筹措、</w:t>
      </w:r>
      <w:proofErr w:type="gramStart"/>
      <w:r w:rsidR="00772C93" w:rsidRPr="00502FF8">
        <w:rPr>
          <w:rStyle w:val="s22"/>
          <w:rFonts w:cstheme="minorHAnsi" w:hint="eastAsia"/>
          <w:color w:val="000000"/>
          <w:szCs w:val="24"/>
          <w:lang w:eastAsia="zh-CN"/>
        </w:rPr>
        <w:t>沟通和伙伴关系战略</w:t>
      </w:r>
      <w:r w:rsidR="00772C93">
        <w:rPr>
          <w:rStyle w:val="s22"/>
          <w:rFonts w:cstheme="minorHAnsi" w:hint="eastAsia"/>
          <w:color w:val="000000"/>
          <w:szCs w:val="24"/>
          <w:lang w:eastAsia="zh-CN"/>
        </w:rPr>
        <w:t>；</w:t>
      </w:r>
      <w:proofErr w:type="gramEnd"/>
    </w:p>
    <w:p w14:paraId="22D915CE" w14:textId="0FB2FE2D" w:rsidR="00772C93" w:rsidRPr="00226F56" w:rsidRDefault="00035EAF" w:rsidP="00035EAF">
      <w:pPr>
        <w:pStyle w:val="enumlev1"/>
        <w:rPr>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r w:rsidR="00772C93">
        <w:rPr>
          <w:rStyle w:val="s22"/>
          <w:rFonts w:cstheme="minorHAnsi" w:hint="eastAsia"/>
          <w:color w:val="000000"/>
          <w:szCs w:val="24"/>
          <w:lang w:eastAsia="zh-CN"/>
        </w:rPr>
        <w:t>强化</w:t>
      </w:r>
      <w:r w:rsidR="00772C93" w:rsidRPr="00502FF8">
        <w:rPr>
          <w:rStyle w:val="s22"/>
          <w:rFonts w:cstheme="minorHAnsi" w:hint="eastAsia"/>
          <w:color w:val="000000"/>
          <w:szCs w:val="24"/>
          <w:lang w:eastAsia="zh-CN"/>
        </w:rPr>
        <w:t>区域性举措加速器实验，</w:t>
      </w:r>
      <w:proofErr w:type="gramStart"/>
      <w:r w:rsidR="00772C93" w:rsidRPr="00502FF8">
        <w:rPr>
          <w:rStyle w:val="s22"/>
          <w:rFonts w:cstheme="minorHAnsi" w:hint="eastAsia"/>
          <w:color w:val="000000"/>
          <w:szCs w:val="24"/>
          <w:lang w:eastAsia="zh-CN"/>
        </w:rPr>
        <w:t>并为成员</w:t>
      </w:r>
      <w:r w:rsidR="00772C93">
        <w:rPr>
          <w:rStyle w:val="s22"/>
          <w:rFonts w:cstheme="minorHAnsi" w:hint="eastAsia"/>
          <w:color w:val="000000"/>
          <w:szCs w:val="24"/>
          <w:lang w:eastAsia="zh-CN"/>
        </w:rPr>
        <w:t>制定</w:t>
      </w:r>
      <w:r w:rsidR="00772C93" w:rsidRPr="00502FF8">
        <w:rPr>
          <w:rStyle w:val="s22"/>
          <w:rFonts w:cstheme="minorHAnsi" w:hint="eastAsia"/>
          <w:color w:val="000000"/>
          <w:szCs w:val="24"/>
          <w:lang w:eastAsia="zh-CN"/>
        </w:rPr>
        <w:t>工具包草案</w:t>
      </w:r>
      <w:r w:rsidR="00772C93">
        <w:rPr>
          <w:rStyle w:val="s22"/>
          <w:rFonts w:cstheme="minorHAnsi" w:hint="eastAsia"/>
          <w:color w:val="000000"/>
          <w:szCs w:val="24"/>
          <w:lang w:eastAsia="zh-CN"/>
        </w:rPr>
        <w:t>；</w:t>
      </w:r>
      <w:proofErr w:type="gramEnd"/>
    </w:p>
    <w:p w14:paraId="7D263BB3" w14:textId="60CDC010" w:rsidR="00772C93" w:rsidRPr="00226F56" w:rsidRDefault="00035EAF" w:rsidP="00035EAF">
      <w:pPr>
        <w:pStyle w:val="enumlev1"/>
        <w:rPr>
          <w:rStyle w:val="s22"/>
          <w:rFonts w:cstheme="minorHAnsi"/>
          <w:color w:val="000000"/>
          <w:szCs w:val="24"/>
          <w:lang w:eastAsia="zh-CN"/>
        </w:rPr>
      </w:pPr>
      <w:r w:rsidRPr="00035EAF">
        <w:rPr>
          <w:rStyle w:val="s22"/>
          <w:rFonts w:cstheme="minorHAnsi"/>
          <w:color w:val="000000"/>
          <w:szCs w:val="24"/>
          <w:lang w:eastAsia="zh-CN"/>
        </w:rPr>
        <w:t>–</w:t>
      </w:r>
      <w:r>
        <w:rPr>
          <w:rStyle w:val="s22"/>
          <w:rFonts w:cstheme="minorHAnsi"/>
          <w:color w:val="000000"/>
          <w:szCs w:val="24"/>
          <w:lang w:val="en-US" w:eastAsia="zh-CN"/>
        </w:rPr>
        <w:tab/>
      </w:r>
      <w:r w:rsidR="00772C93" w:rsidRPr="00502FF8">
        <w:rPr>
          <w:rStyle w:val="s22"/>
          <w:rFonts w:cstheme="minorHAnsi" w:hint="eastAsia"/>
          <w:color w:val="000000"/>
          <w:szCs w:val="24"/>
          <w:lang w:eastAsia="zh-CN"/>
        </w:rPr>
        <w:t>进一步发展与联合国和其它相关国际组织的伙伴关系。</w:t>
      </w:r>
    </w:p>
    <w:p w14:paraId="3ECD4740" w14:textId="77777777" w:rsidR="00772C93" w:rsidRPr="00035EAF" w:rsidRDefault="00772C93" w:rsidP="00035EAF">
      <w:pPr>
        <w:ind w:firstLineChars="200" w:firstLine="480"/>
        <w:rPr>
          <w:rStyle w:val="s22"/>
          <w:rFonts w:cstheme="minorHAnsi"/>
          <w:color w:val="000000"/>
          <w:szCs w:val="24"/>
          <w:lang w:eastAsia="zh-CN"/>
        </w:rPr>
      </w:pPr>
      <w:r w:rsidRPr="00035EAF">
        <w:rPr>
          <w:rStyle w:val="s22"/>
          <w:rFonts w:cstheme="minorHAnsi" w:hint="eastAsia"/>
          <w:color w:val="000000"/>
          <w:szCs w:val="24"/>
          <w:lang w:eastAsia="zh-CN"/>
        </w:rPr>
        <w:t>请</w:t>
      </w:r>
      <w:r w:rsidRPr="00035EAF">
        <w:rPr>
          <w:rStyle w:val="s22"/>
          <w:rFonts w:cstheme="minorHAnsi"/>
          <w:color w:val="000000"/>
          <w:szCs w:val="24"/>
          <w:lang w:eastAsia="zh-CN"/>
        </w:rPr>
        <w:t>TDAG</w:t>
      </w:r>
      <w:r w:rsidRPr="00035EAF">
        <w:rPr>
          <w:rStyle w:val="s22"/>
          <w:rFonts w:cstheme="minorHAnsi" w:hint="eastAsia"/>
          <w:color w:val="000000"/>
          <w:szCs w:val="24"/>
          <w:lang w:eastAsia="zh-CN"/>
        </w:rPr>
        <w:t>将本报告记录在案并提出必要的建议。</w:t>
      </w:r>
    </w:p>
    <w:p w14:paraId="24E77EC5" w14:textId="77777777" w:rsidR="00EC6FED" w:rsidRDefault="00EC6FED" w:rsidP="00935FF0">
      <w:pPr>
        <w:rPr>
          <w:lang w:eastAsia="zh-CN"/>
        </w:rPr>
      </w:pPr>
    </w:p>
    <w:p w14:paraId="5FF70F00" w14:textId="77777777" w:rsidR="00821996" w:rsidRDefault="003C58BF" w:rsidP="00DF240D">
      <w:pPr>
        <w:tabs>
          <w:tab w:val="clear" w:pos="794"/>
          <w:tab w:val="clear" w:pos="1191"/>
          <w:tab w:val="clear" w:pos="1588"/>
          <w:tab w:val="clear" w:pos="1985"/>
        </w:tabs>
        <w:spacing w:after="120"/>
        <w:jc w:val="center"/>
      </w:pPr>
      <w:bookmarkStart w:id="8" w:name="Proposal"/>
      <w:bookmarkEnd w:id="8"/>
      <w:r>
        <w:t>_____________</w:t>
      </w:r>
      <w:r w:rsidR="004122C5">
        <w:t>_</w:t>
      </w:r>
      <w:r w:rsidR="00922EC1">
        <w:t>_</w:t>
      </w:r>
    </w:p>
    <w:sectPr w:rsidR="00821996" w:rsidSect="008069EB">
      <w:headerReference w:type="default" r:id="rId18"/>
      <w:footerReference w:type="first" r:id="rId19"/>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E48A" w14:textId="77777777" w:rsidR="00772C93" w:rsidRDefault="00772C93">
      <w:r>
        <w:separator/>
      </w:r>
    </w:p>
  </w:endnote>
  <w:endnote w:type="continuationSeparator" w:id="0">
    <w:p w14:paraId="57C520A1" w14:textId="77777777" w:rsidR="00772C93" w:rsidRDefault="00772C93">
      <w:r>
        <w:continuationSeparator/>
      </w:r>
    </w:p>
  </w:endnote>
  <w:endnote w:type="continuationNotice" w:id="1">
    <w:p w14:paraId="4B1AEB5F" w14:textId="77777777" w:rsidR="00772C93" w:rsidRDefault="00772C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Book">
    <w:altName w:val="Tw Cen MT"/>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42D80281" w14:textId="77777777" w:rsidTr="005539C3">
      <w:tc>
        <w:tcPr>
          <w:tcW w:w="1526" w:type="dxa"/>
          <w:tcBorders>
            <w:top w:val="single" w:sz="4" w:space="0" w:color="000000" w:themeColor="text1"/>
          </w:tcBorders>
        </w:tcPr>
        <w:p w14:paraId="75A1E1BE" w14:textId="77777777" w:rsidR="005C45B6" w:rsidRPr="00BA0009" w:rsidRDefault="005C45B6" w:rsidP="005C45B6">
          <w:pPr>
            <w:pStyle w:val="FirstFooter"/>
            <w:tabs>
              <w:tab w:val="left" w:pos="1559"/>
              <w:tab w:val="left" w:pos="3828"/>
            </w:tabs>
            <w:rPr>
              <w:sz w:val="18"/>
              <w:szCs w:val="18"/>
            </w:rPr>
          </w:pPr>
          <w:bookmarkStart w:id="9" w:name="Email"/>
          <w:bookmarkEnd w:id="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E5E242B"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5C9E600F" w14:textId="7B026049" w:rsidR="005C45B6" w:rsidRPr="00217762" w:rsidRDefault="00772C93" w:rsidP="005C45B6">
          <w:pPr>
            <w:pStyle w:val="FirstFooter"/>
            <w:tabs>
              <w:tab w:val="left" w:pos="1593"/>
            </w:tabs>
            <w:rPr>
              <w:sz w:val="18"/>
              <w:szCs w:val="18"/>
              <w:lang w:val="es-ES" w:eastAsia="zh-CN"/>
            </w:rPr>
          </w:pPr>
          <w:r w:rsidRPr="00065979">
            <w:rPr>
              <w:rFonts w:eastAsia="SimSun" w:cs="SimSun" w:hint="eastAsia"/>
              <w:sz w:val="18"/>
              <w:szCs w:val="18"/>
              <w:lang w:val="en-US" w:eastAsia="zh-CN"/>
            </w:rPr>
            <w:t>电信发展局（</w:t>
          </w:r>
          <w:r w:rsidRPr="00065979">
            <w:rPr>
              <w:rFonts w:eastAsia="SimSun" w:cs="Calibri"/>
              <w:sz w:val="18"/>
              <w:szCs w:val="18"/>
              <w:lang w:val="en-US" w:eastAsia="zh-CN"/>
            </w:rPr>
            <w:t>BDT</w:t>
          </w:r>
          <w:r w:rsidRPr="00065979">
            <w:rPr>
              <w:rFonts w:eastAsia="SimSun" w:cs="SimSun" w:hint="eastAsia"/>
              <w:sz w:val="18"/>
              <w:szCs w:val="18"/>
              <w:lang w:val="en-US" w:eastAsia="zh-CN"/>
            </w:rPr>
            <w:t>）数字知识社会处处长</w:t>
          </w:r>
          <w:r w:rsidRPr="00065979">
            <w:rPr>
              <w:rFonts w:eastAsia="SimSun"/>
              <w:sz w:val="18"/>
              <w:szCs w:val="18"/>
              <w:lang w:val="en-US" w:eastAsia="zh-CN"/>
            </w:rPr>
            <w:t>Sofie Maddens</w:t>
          </w:r>
          <w:r w:rsidRPr="00065979">
            <w:rPr>
              <w:rFonts w:eastAsia="SimSun" w:hint="eastAsia"/>
              <w:sz w:val="18"/>
              <w:szCs w:val="18"/>
              <w:lang w:val="en-US" w:eastAsia="zh-CN"/>
            </w:rPr>
            <w:t>女士</w:t>
          </w:r>
        </w:p>
      </w:tc>
    </w:tr>
    <w:tr w:rsidR="00772C93" w:rsidRPr="00CB110F" w14:paraId="057B1481" w14:textId="77777777" w:rsidTr="005539C3">
      <w:tc>
        <w:tcPr>
          <w:tcW w:w="1526" w:type="dxa"/>
        </w:tcPr>
        <w:p w14:paraId="73E4EDA5" w14:textId="77777777" w:rsidR="00772C93" w:rsidRPr="00217762" w:rsidRDefault="00772C93" w:rsidP="00772C93">
          <w:pPr>
            <w:pStyle w:val="FirstFooter"/>
            <w:tabs>
              <w:tab w:val="left" w:pos="1559"/>
              <w:tab w:val="left" w:pos="3828"/>
            </w:tabs>
            <w:rPr>
              <w:sz w:val="20"/>
              <w:lang w:val="es-ES" w:eastAsia="zh-CN"/>
            </w:rPr>
          </w:pPr>
        </w:p>
      </w:tc>
      <w:tc>
        <w:tcPr>
          <w:tcW w:w="2410" w:type="dxa"/>
        </w:tcPr>
        <w:p w14:paraId="307DCA87" w14:textId="77777777" w:rsidR="00772C93" w:rsidRPr="00CB110F" w:rsidRDefault="00772C93" w:rsidP="00772C93">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64CF72FC" w14:textId="62E12CE5" w:rsidR="00772C93" w:rsidRPr="00536F3A" w:rsidRDefault="00772C93" w:rsidP="00772C93">
          <w:pPr>
            <w:pStyle w:val="FirstFooter"/>
            <w:tabs>
              <w:tab w:val="left" w:pos="2443"/>
            </w:tabs>
            <w:rPr>
              <w:sz w:val="18"/>
              <w:szCs w:val="18"/>
              <w:lang w:val="es-ES_tradnl"/>
            </w:rPr>
          </w:pPr>
          <w:r w:rsidRPr="00065979">
            <w:rPr>
              <w:rFonts w:eastAsia="SimSun"/>
              <w:sz w:val="18"/>
              <w:szCs w:val="18"/>
              <w:lang w:val="en-US"/>
            </w:rPr>
            <w:t>+41 22 730 6256</w:t>
          </w:r>
        </w:p>
      </w:tc>
    </w:tr>
    <w:tr w:rsidR="00772C93" w:rsidRPr="00CB110F" w14:paraId="0791651A" w14:textId="77777777" w:rsidTr="005539C3">
      <w:tc>
        <w:tcPr>
          <w:tcW w:w="1526" w:type="dxa"/>
        </w:tcPr>
        <w:p w14:paraId="5DCE3C01" w14:textId="77777777" w:rsidR="00772C93" w:rsidRPr="00CB110F" w:rsidRDefault="00772C93" w:rsidP="00772C93">
          <w:pPr>
            <w:pStyle w:val="FirstFooter"/>
            <w:tabs>
              <w:tab w:val="left" w:pos="1559"/>
              <w:tab w:val="left" w:pos="3828"/>
            </w:tabs>
            <w:rPr>
              <w:sz w:val="20"/>
              <w:lang w:val="en-US"/>
            </w:rPr>
          </w:pPr>
        </w:p>
      </w:tc>
      <w:tc>
        <w:tcPr>
          <w:tcW w:w="2410" w:type="dxa"/>
        </w:tcPr>
        <w:p w14:paraId="4BE0D378" w14:textId="77777777" w:rsidR="00772C93" w:rsidRPr="00CB110F" w:rsidRDefault="00772C93" w:rsidP="00772C93">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0B1D8C05" w14:textId="6FB266CE" w:rsidR="00772C93" w:rsidRPr="00673575" w:rsidRDefault="00772C93" w:rsidP="00772C93">
          <w:pPr>
            <w:pStyle w:val="FirstFooter"/>
            <w:tabs>
              <w:tab w:val="left" w:pos="2443"/>
            </w:tabs>
            <w:rPr>
              <w:sz w:val="18"/>
              <w:szCs w:val="18"/>
            </w:rPr>
          </w:pPr>
          <w:hyperlink r:id="rId1" w:history="1">
            <w:r w:rsidRPr="00673575">
              <w:rPr>
                <w:rStyle w:val="Hyperlink"/>
                <w:rFonts w:eastAsia="SimSun"/>
                <w:sz w:val="18"/>
                <w:szCs w:val="18"/>
              </w:rPr>
              <w:t>sofie.maddens@itu.int</w:t>
            </w:r>
          </w:hyperlink>
        </w:p>
      </w:tc>
    </w:tr>
  </w:tbl>
  <w:p w14:paraId="6FE03C48"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C138" w14:textId="77777777" w:rsidR="00772C93" w:rsidRDefault="00772C93">
      <w:r>
        <w:t>____________________</w:t>
      </w:r>
    </w:p>
  </w:footnote>
  <w:footnote w:type="continuationSeparator" w:id="0">
    <w:p w14:paraId="74B66505" w14:textId="77777777" w:rsidR="00772C93" w:rsidRDefault="00772C93">
      <w:r>
        <w:continuationSeparator/>
      </w:r>
    </w:p>
  </w:footnote>
  <w:footnote w:type="continuationNotice" w:id="1">
    <w:p w14:paraId="1CE30624" w14:textId="77777777" w:rsidR="00772C93" w:rsidRDefault="00772C9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20E7" w14:textId="1C5323D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85B75">
      <w:rPr>
        <w:rFonts w:hint="eastAsia"/>
        <w:sz w:val="22"/>
        <w:szCs w:val="22"/>
        <w:lang w:val="de-CH" w:eastAsia="zh-CN"/>
      </w:rPr>
      <w:t>5</w:t>
    </w:r>
    <w:r w:rsidRPr="00A54E72">
      <w:rPr>
        <w:sz w:val="22"/>
        <w:szCs w:val="22"/>
        <w:lang w:val="de-CH"/>
      </w:rPr>
      <w:t>/</w:t>
    </w:r>
    <w:r w:rsidR="00772C93" w:rsidRPr="00772C93">
      <w:rPr>
        <w:rFonts w:hint="eastAsia"/>
        <w:sz w:val="22"/>
        <w:szCs w:val="22"/>
        <w:lang w:eastAsia="zh-CN"/>
      </w:rPr>
      <w:t>10</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38C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405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68B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D05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4EB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9C6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A7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022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25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87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C35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1642AD"/>
    <w:multiLevelType w:val="hybridMultilevel"/>
    <w:tmpl w:val="21F4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7254380">
    <w:abstractNumId w:val="12"/>
  </w:num>
  <w:num w:numId="2" w16cid:durableId="672879971">
    <w:abstractNumId w:val="11"/>
  </w:num>
  <w:num w:numId="3" w16cid:durableId="480193362">
    <w:abstractNumId w:val="10"/>
  </w:num>
  <w:num w:numId="4" w16cid:durableId="306127532">
    <w:abstractNumId w:val="9"/>
  </w:num>
  <w:num w:numId="5" w16cid:durableId="2034652858">
    <w:abstractNumId w:val="7"/>
  </w:num>
  <w:num w:numId="6" w16cid:durableId="886405792">
    <w:abstractNumId w:val="6"/>
  </w:num>
  <w:num w:numId="7" w16cid:durableId="1658530877">
    <w:abstractNumId w:val="5"/>
  </w:num>
  <w:num w:numId="8" w16cid:durableId="2091540089">
    <w:abstractNumId w:val="4"/>
  </w:num>
  <w:num w:numId="9" w16cid:durableId="129833282">
    <w:abstractNumId w:val="8"/>
  </w:num>
  <w:num w:numId="10" w16cid:durableId="1657341824">
    <w:abstractNumId w:val="3"/>
  </w:num>
  <w:num w:numId="11" w16cid:durableId="1608661256">
    <w:abstractNumId w:val="2"/>
  </w:num>
  <w:num w:numId="12" w16cid:durableId="1380783892">
    <w:abstractNumId w:val="1"/>
  </w:num>
  <w:num w:numId="13" w16cid:durableId="183638476">
    <w:abstractNumId w:val="0"/>
  </w:num>
  <w:num w:numId="14" w16cid:durableId="2031645071">
    <w:abstractNumId w:val="8"/>
  </w:num>
  <w:num w:numId="15" w16cid:durableId="1625115648">
    <w:abstractNumId w:val="3"/>
  </w:num>
  <w:num w:numId="16" w16cid:durableId="1621296821">
    <w:abstractNumId w:val="2"/>
  </w:num>
  <w:num w:numId="17" w16cid:durableId="1374111927">
    <w:abstractNumId w:val="1"/>
  </w:num>
  <w:num w:numId="18" w16cid:durableId="776024823">
    <w:abstractNumId w:val="0"/>
  </w:num>
  <w:num w:numId="19" w16cid:durableId="1597592640">
    <w:abstractNumId w:val="8"/>
  </w:num>
  <w:num w:numId="20" w16cid:durableId="244266861">
    <w:abstractNumId w:val="3"/>
  </w:num>
  <w:num w:numId="21" w16cid:durableId="344404526">
    <w:abstractNumId w:val="2"/>
  </w:num>
  <w:num w:numId="22" w16cid:durableId="2068917875">
    <w:abstractNumId w:val="1"/>
  </w:num>
  <w:num w:numId="23" w16cid:durableId="1577595281">
    <w:abstractNumId w:val="0"/>
  </w:num>
  <w:num w:numId="24" w16cid:durableId="1412503223">
    <w:abstractNumId w:val="8"/>
  </w:num>
  <w:num w:numId="25" w16cid:durableId="1634864282">
    <w:abstractNumId w:val="3"/>
  </w:num>
  <w:num w:numId="26" w16cid:durableId="594049540">
    <w:abstractNumId w:val="2"/>
  </w:num>
  <w:num w:numId="27" w16cid:durableId="2066827921">
    <w:abstractNumId w:val="1"/>
  </w:num>
  <w:num w:numId="28" w16cid:durableId="1174304246">
    <w:abstractNumId w:val="0"/>
  </w:num>
  <w:num w:numId="29" w16cid:durableId="1433630009">
    <w:abstractNumId w:val="8"/>
  </w:num>
  <w:num w:numId="30" w16cid:durableId="1702120725">
    <w:abstractNumId w:val="3"/>
  </w:num>
  <w:num w:numId="31" w16cid:durableId="222258277">
    <w:abstractNumId w:val="2"/>
  </w:num>
  <w:num w:numId="32" w16cid:durableId="1677686598">
    <w:abstractNumId w:val="1"/>
  </w:num>
  <w:num w:numId="33" w16cid:durableId="1666743242">
    <w:abstractNumId w:val="0"/>
  </w:num>
  <w:num w:numId="34" w16cid:durableId="791634184">
    <w:abstractNumId w:val="8"/>
  </w:num>
  <w:num w:numId="35" w16cid:durableId="602613707">
    <w:abstractNumId w:val="3"/>
  </w:num>
  <w:num w:numId="36" w16cid:durableId="885679653">
    <w:abstractNumId w:val="2"/>
  </w:num>
  <w:num w:numId="37" w16cid:durableId="1195119460">
    <w:abstractNumId w:val="1"/>
  </w:num>
  <w:num w:numId="38" w16cid:durableId="2141023441">
    <w:abstractNumId w:val="0"/>
  </w:num>
  <w:num w:numId="39" w16cid:durableId="1993024014">
    <w:abstractNumId w:val="8"/>
  </w:num>
  <w:num w:numId="40" w16cid:durableId="1116146033">
    <w:abstractNumId w:val="3"/>
  </w:num>
  <w:num w:numId="41" w16cid:durableId="824586007">
    <w:abstractNumId w:val="2"/>
  </w:num>
  <w:num w:numId="42" w16cid:durableId="1098601845">
    <w:abstractNumId w:val="1"/>
  </w:num>
  <w:num w:numId="43" w16cid:durableId="49041699">
    <w:abstractNumId w:val="0"/>
  </w:num>
  <w:num w:numId="44" w16cid:durableId="208957926">
    <w:abstractNumId w:val="8"/>
  </w:num>
  <w:num w:numId="45" w16cid:durableId="837035855">
    <w:abstractNumId w:val="3"/>
  </w:num>
  <w:num w:numId="46" w16cid:durableId="974481453">
    <w:abstractNumId w:val="2"/>
  </w:num>
  <w:num w:numId="47" w16cid:durableId="2100983573">
    <w:abstractNumId w:val="1"/>
  </w:num>
  <w:num w:numId="48" w16cid:durableId="13708343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EAF"/>
    <w:rsid w:val="00037A9E"/>
    <w:rsid w:val="00037F91"/>
    <w:rsid w:val="00042FE4"/>
    <w:rsid w:val="000539F1"/>
    <w:rsid w:val="00054747"/>
    <w:rsid w:val="00055A2A"/>
    <w:rsid w:val="000566B4"/>
    <w:rsid w:val="000615C1"/>
    <w:rsid w:val="00061675"/>
    <w:rsid w:val="000743AA"/>
    <w:rsid w:val="0009076F"/>
    <w:rsid w:val="0009225C"/>
    <w:rsid w:val="000A17C4"/>
    <w:rsid w:val="000A36A4"/>
    <w:rsid w:val="000B2352"/>
    <w:rsid w:val="000C1340"/>
    <w:rsid w:val="000C7B84"/>
    <w:rsid w:val="000D261B"/>
    <w:rsid w:val="000D564C"/>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22F1"/>
    <w:rsid w:val="00245D0F"/>
    <w:rsid w:val="002548C3"/>
    <w:rsid w:val="00257ACD"/>
    <w:rsid w:val="00262908"/>
    <w:rsid w:val="002650F4"/>
    <w:rsid w:val="002715FD"/>
    <w:rsid w:val="002770B1"/>
    <w:rsid w:val="00285B33"/>
    <w:rsid w:val="00287A3C"/>
    <w:rsid w:val="002A2FC6"/>
    <w:rsid w:val="002B2A8B"/>
    <w:rsid w:val="002B36D0"/>
    <w:rsid w:val="002C1EC7"/>
    <w:rsid w:val="002C3015"/>
    <w:rsid w:val="002C4342"/>
    <w:rsid w:val="002C7021"/>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61E92"/>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3575"/>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2C93"/>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23F36"/>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4C69"/>
    <w:rsid w:val="00B97BB9"/>
    <w:rsid w:val="00BA0009"/>
    <w:rsid w:val="00BA2143"/>
    <w:rsid w:val="00BB02B5"/>
    <w:rsid w:val="00BB1863"/>
    <w:rsid w:val="00BB25EE"/>
    <w:rsid w:val="00BB363A"/>
    <w:rsid w:val="00BC10A0"/>
    <w:rsid w:val="00BC7BA2"/>
    <w:rsid w:val="00BD426B"/>
    <w:rsid w:val="00BD79F0"/>
    <w:rsid w:val="00BE2B4D"/>
    <w:rsid w:val="00BF0C0A"/>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38A6"/>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57F3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772C93"/>
    <w:rPr>
      <w:rFonts w:asciiTheme="minorHAnsi" w:hAnsiTheme="minorHAnsi"/>
      <w:sz w:val="24"/>
      <w:lang w:val="en-GB" w:eastAsia="en-US"/>
    </w:rPr>
  </w:style>
  <w:style w:type="character" w:customStyle="1" w:styleId="s22">
    <w:name w:val="s22"/>
    <w:basedOn w:val="DefaultParagraphFont"/>
    <w:rsid w:val="00772C93"/>
  </w:style>
  <w:style w:type="paragraph" w:customStyle="1" w:styleId="s19">
    <w:name w:val="s19"/>
    <w:basedOn w:val="Normal"/>
    <w:rsid w:val="00772C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Body">
    <w:name w:val="Body"/>
    <w:rsid w:val="00772C93"/>
    <w:pPr>
      <w:pBdr>
        <w:top w:val="nil"/>
        <w:left w:val="nil"/>
        <w:bottom w:val="nil"/>
        <w:right w:val="nil"/>
        <w:between w:val="nil"/>
        <w:bar w:val="nil"/>
      </w:pBdr>
      <w:spacing w:after="240"/>
    </w:pPr>
    <w:rPr>
      <w:rFonts w:ascii="Avenir Book" w:eastAsia="Arial Unicode MS" w:hAnsi="Avenir Book" w:cs="Arial Unicode MS"/>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innovation-alliance/board-memb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meetings/gif-24/wp-content/uploads/sites/30/2025/01/Global-Innovation-Forum-Malta-2024-Outcome-Report.pdf" TargetMode="External"/><Relationship Id="rId2" Type="http://schemas.openxmlformats.org/officeDocument/2006/relationships/customXml" Target="../customXml/item2.xml"/><Relationship Id="rId16" Type="http://schemas.openxmlformats.org/officeDocument/2006/relationships/hyperlink" Target="https://www.itu.int/itu-d/sites/innovation-alliance/events/news/member-communique-2023-septemb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sites/innovation-alliance/wp-content/uploads/sites/35/2024/11/Draft-Terms-of-Reference-of-the-Expert-Network-of-the-Digital-Innovation-Boar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innovation-alliance/wp-content/uploads/sites/35/2024/12/Second-Meeting-of-the-Digital-Innovation-Board-28-October-2024-Summar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ofie.madden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D79A9525-8706-4004-9B9E-1CDEB4C5BE89}"/>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5197</Words>
  <Characters>1604</Characters>
  <Application>Microsoft Office Word</Application>
  <DocSecurity>0</DocSecurity>
  <Lines>13</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Kong, Hongli</cp:lastModifiedBy>
  <cp:revision>7</cp:revision>
  <cp:lastPrinted>2014-11-04T09:22:00Z</cp:lastPrinted>
  <dcterms:created xsi:type="dcterms:W3CDTF">2025-04-22T13:01:00Z</dcterms:created>
  <dcterms:modified xsi:type="dcterms:W3CDTF">2025-04-23T14:00:00Z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