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E8728A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E8728A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E8728A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59817A74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E8728A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E8728A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E8728A">
              <w:rPr>
                <w:b/>
                <w:bCs/>
                <w:sz w:val="30"/>
                <w:szCs w:val="30"/>
              </w:rPr>
              <w:br/>
              <w:t>по развитию электросвязи (</w:t>
            </w:r>
            <w:proofErr w:type="spellStart"/>
            <w:r w:rsidRPr="00E8728A">
              <w:rPr>
                <w:b/>
                <w:bCs/>
                <w:sz w:val="30"/>
                <w:szCs w:val="30"/>
              </w:rPr>
              <w:t>КГРЭ</w:t>
            </w:r>
            <w:proofErr w:type="spellEnd"/>
            <w:r w:rsidRPr="00E8728A">
              <w:rPr>
                <w:b/>
                <w:bCs/>
                <w:sz w:val="30"/>
                <w:szCs w:val="30"/>
              </w:rPr>
              <w:t>)</w:t>
            </w:r>
          </w:p>
          <w:p w14:paraId="2DCF59CB" w14:textId="488DCFA0" w:rsidR="00AE1244" w:rsidRPr="00E8728A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8728A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E8728A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E8728A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8728A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E8728A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E8728A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E8728A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E8728A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081210B0" w:rsidR="00D87035" w:rsidRPr="00E8728A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E8728A">
              <w:rPr>
                <w:b/>
                <w:bCs/>
                <w:szCs w:val="22"/>
              </w:rPr>
              <w:t>Документ</w:t>
            </w:r>
            <w:r w:rsidR="00D87035" w:rsidRPr="00E8728A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proofErr w:type="spellStart"/>
            <w:r w:rsidR="00D87035" w:rsidRPr="00E8728A">
              <w:rPr>
                <w:b/>
                <w:bCs/>
                <w:szCs w:val="22"/>
              </w:rPr>
              <w:t>TDAG</w:t>
            </w:r>
            <w:proofErr w:type="spellEnd"/>
            <w:r w:rsidR="00D87035" w:rsidRPr="00E8728A">
              <w:rPr>
                <w:b/>
                <w:bCs/>
                <w:szCs w:val="22"/>
              </w:rPr>
              <w:t>-</w:t>
            </w:r>
            <w:r w:rsidR="00523934" w:rsidRPr="00E8728A">
              <w:rPr>
                <w:b/>
                <w:bCs/>
                <w:szCs w:val="22"/>
              </w:rPr>
              <w:t>2</w:t>
            </w:r>
            <w:r w:rsidR="0081159E" w:rsidRPr="00E8728A">
              <w:rPr>
                <w:b/>
                <w:bCs/>
                <w:szCs w:val="22"/>
              </w:rPr>
              <w:t>5</w:t>
            </w:r>
            <w:r w:rsidR="00D87035" w:rsidRPr="00E8728A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840BF3" w:rsidRPr="00E8728A">
              <w:rPr>
                <w:b/>
                <w:bCs/>
                <w:szCs w:val="22"/>
              </w:rPr>
              <w:t>9</w:t>
            </w:r>
            <w:r w:rsidR="00D87035" w:rsidRPr="00E8728A">
              <w:rPr>
                <w:b/>
                <w:bCs/>
                <w:szCs w:val="22"/>
              </w:rPr>
              <w:t>-</w:t>
            </w:r>
            <w:r w:rsidRPr="00E8728A">
              <w:rPr>
                <w:b/>
                <w:bCs/>
                <w:szCs w:val="22"/>
              </w:rPr>
              <w:t>R</w:t>
            </w:r>
          </w:p>
        </w:tc>
      </w:tr>
      <w:tr w:rsidR="00D87035" w:rsidRPr="00E8728A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E8728A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4848DFC4" w:rsidR="00D87035" w:rsidRPr="00E8728A" w:rsidRDefault="00840BF3" w:rsidP="00CE66E4">
            <w:pPr>
              <w:spacing w:before="0"/>
              <w:rPr>
                <w:rFonts w:cstheme="minorHAnsi"/>
                <w:szCs w:val="22"/>
              </w:rPr>
            </w:pPr>
            <w:r w:rsidRPr="00E8728A">
              <w:rPr>
                <w:b/>
                <w:bCs/>
                <w:szCs w:val="22"/>
              </w:rPr>
              <w:t>25 марта 2025 года</w:t>
            </w:r>
          </w:p>
        </w:tc>
      </w:tr>
      <w:bookmarkEnd w:id="6"/>
      <w:bookmarkEnd w:id="7"/>
      <w:tr w:rsidR="00D87035" w:rsidRPr="00E8728A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E8728A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E8728A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E8728A">
              <w:rPr>
                <w:b/>
                <w:bCs/>
                <w:szCs w:val="22"/>
              </w:rPr>
              <w:t>Оригинал</w:t>
            </w:r>
            <w:r w:rsidR="00D87035" w:rsidRPr="00E8728A">
              <w:rPr>
                <w:b/>
                <w:bCs/>
                <w:szCs w:val="22"/>
              </w:rPr>
              <w:t xml:space="preserve">: </w:t>
            </w:r>
            <w:r w:rsidRPr="00E8728A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E8728A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0D1E0E34" w:rsidR="00D83BF5" w:rsidRPr="00E8728A" w:rsidRDefault="00840BF3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E8728A">
              <w:t>Директор Бюро развития электросвязи</w:t>
            </w:r>
          </w:p>
        </w:tc>
      </w:tr>
      <w:tr w:rsidR="00D83BF5" w:rsidRPr="00E8728A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2617AA0A" w:rsidR="00D83BF5" w:rsidRPr="00E8728A" w:rsidRDefault="00840BF3" w:rsidP="006774C6">
            <w:pPr>
              <w:pStyle w:val="Title1"/>
              <w:rPr>
                <w:caps/>
              </w:rPr>
            </w:pPr>
            <w:r w:rsidRPr="00E8728A">
              <w:rPr>
                <w:szCs w:val="28"/>
              </w:rPr>
              <w:t>Партнерские отношения и мобилизация ресурсов в МСЭ-D</w:t>
            </w:r>
          </w:p>
        </w:tc>
      </w:tr>
      <w:tr w:rsidR="00D83BF5" w:rsidRPr="00E8728A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E8728A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E8728A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E8728A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E8728A">
              <w:rPr>
                <w:szCs w:val="22"/>
                <w:lang w:val="ru-RU"/>
              </w:rPr>
              <w:t>Резюме</w:t>
            </w:r>
          </w:p>
          <w:p w14:paraId="4F70BA09" w14:textId="2083138B" w:rsidR="001E252D" w:rsidRPr="00E8728A" w:rsidRDefault="00840BF3" w:rsidP="00840BF3">
            <w:pPr>
              <w:spacing w:after="120"/>
            </w:pPr>
            <w:r w:rsidRPr="00E8728A">
              <w:t>Значение партнерских отношений и мобилизации ресурсов было подчеркнуто Всемирной конференцией по развитию электросвязи 2022 года (</w:t>
            </w:r>
            <w:proofErr w:type="spellStart"/>
            <w:r w:rsidRPr="00E8728A">
              <w:t>ВКРЭ</w:t>
            </w:r>
            <w:proofErr w:type="spellEnd"/>
            <w:r w:rsidRPr="00E8728A">
              <w:t xml:space="preserve">-22), в частности в </w:t>
            </w:r>
            <w:proofErr w:type="spellStart"/>
            <w:r w:rsidRPr="00E8728A">
              <w:t>Кигалийской</w:t>
            </w:r>
            <w:proofErr w:type="spellEnd"/>
            <w:r w:rsidRPr="00E8728A">
              <w:t xml:space="preserve"> декларации, в</w:t>
            </w:r>
            <w:r w:rsidR="003450FC" w:rsidRPr="00E8728A">
              <w:t> </w:t>
            </w:r>
            <w:proofErr w:type="spellStart"/>
            <w:r w:rsidRPr="00E8728A">
              <w:t>Кигалийском</w:t>
            </w:r>
            <w:proofErr w:type="spellEnd"/>
            <w:r w:rsidRPr="00E8728A">
              <w:t xml:space="preserve"> плане действий (разделы 3.1 и 3.3) и в Резолюции 17 (</w:t>
            </w:r>
            <w:proofErr w:type="spellStart"/>
            <w:r w:rsidRPr="00E8728A">
              <w:t>Пересм</w:t>
            </w:r>
            <w:proofErr w:type="spellEnd"/>
            <w:r w:rsidRPr="00E8728A">
              <w:t>. Кигали, 2022 г.) "Осуществление на национальном, региональном, межрегиональном и глобальном уровнях одобренных региональных инициатив и сотрудничество по ним". В настоящем документе содержится отчет о деятельности по партнерским отношениям и мобилизации ресурсов, реализованной в</w:t>
            </w:r>
            <w:r w:rsidR="003450FC" w:rsidRPr="00E8728A">
              <w:t> </w:t>
            </w:r>
            <w:r w:rsidRPr="00E8728A">
              <w:t>2024</w:t>
            </w:r>
            <w:r w:rsidR="003450FC" w:rsidRPr="00E8728A">
              <w:t> </w:t>
            </w:r>
            <w:r w:rsidRPr="00E8728A">
              <w:t>году.</w:t>
            </w:r>
          </w:p>
          <w:p w14:paraId="404BE8A6" w14:textId="77777777" w:rsidR="005E032D" w:rsidRPr="00E8728A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E8728A">
              <w:rPr>
                <w:szCs w:val="22"/>
                <w:lang w:val="ru-RU"/>
              </w:rPr>
              <w:t>Необходимые действия</w:t>
            </w:r>
          </w:p>
          <w:p w14:paraId="6BDE7AFA" w14:textId="4A772CDC" w:rsidR="001E252D" w:rsidRPr="00E8728A" w:rsidRDefault="00840BF3" w:rsidP="00EB4AE6">
            <w:pPr>
              <w:rPr>
                <w:szCs w:val="22"/>
              </w:rPr>
            </w:pPr>
            <w:proofErr w:type="spellStart"/>
            <w:r w:rsidRPr="00E8728A">
              <w:t>КГРЭ</w:t>
            </w:r>
            <w:proofErr w:type="spellEnd"/>
            <w:r w:rsidRPr="00E8728A">
              <w:t xml:space="preserve"> предлагается принять к сведению настоящий документ и предоставить руководящие указания</w:t>
            </w:r>
            <w:r w:rsidR="003450FC" w:rsidRPr="00E8728A">
              <w:t>,</w:t>
            </w:r>
            <w:r w:rsidRPr="00E8728A">
              <w:t xml:space="preserve"> по</w:t>
            </w:r>
            <w:r w:rsidR="003450FC" w:rsidRPr="00E8728A">
              <w:t> </w:t>
            </w:r>
            <w:r w:rsidRPr="00E8728A">
              <w:t>мере необходимости.</w:t>
            </w:r>
          </w:p>
          <w:p w14:paraId="5120B5FD" w14:textId="41E15B9D" w:rsidR="001E252D" w:rsidRPr="00E8728A" w:rsidRDefault="004A3CDF" w:rsidP="00EB4AE6">
            <w:pPr>
              <w:rPr>
                <w:b/>
                <w:bCs/>
                <w:szCs w:val="22"/>
              </w:rPr>
            </w:pPr>
            <w:r w:rsidRPr="00E8728A">
              <w:rPr>
                <w:b/>
                <w:bCs/>
                <w:szCs w:val="22"/>
              </w:rPr>
              <w:t>Справочные материалы</w:t>
            </w:r>
          </w:p>
          <w:p w14:paraId="0F86935E" w14:textId="3D0FB2AF" w:rsidR="00840BF3" w:rsidRPr="00E8728A" w:rsidRDefault="00840BF3" w:rsidP="00840BF3">
            <w:pPr>
              <w:spacing w:after="120"/>
            </w:pPr>
            <w:r w:rsidRPr="00E8728A">
              <w:t>Ра</w:t>
            </w:r>
            <w:r w:rsidR="000D6BB1" w:rsidRPr="00E8728A">
              <w:t>з</w:t>
            </w:r>
            <w:r w:rsidRPr="00E8728A">
              <w:t xml:space="preserve">делы 3.1 и 3.3 </w:t>
            </w:r>
            <w:proofErr w:type="spellStart"/>
            <w:r w:rsidRPr="00E8728A">
              <w:t>Кигалийского</w:t>
            </w:r>
            <w:proofErr w:type="spellEnd"/>
            <w:r w:rsidRPr="00E8728A">
              <w:t xml:space="preserve"> плана действий</w:t>
            </w:r>
          </w:p>
          <w:p w14:paraId="38D0441B" w14:textId="0E9D869E" w:rsidR="00840BF3" w:rsidRPr="00E8728A" w:rsidRDefault="00840BF3" w:rsidP="00840BF3">
            <w:pPr>
              <w:spacing w:after="120"/>
            </w:pPr>
            <w:r w:rsidRPr="00E8728A">
              <w:t>Резолюция 17 (</w:t>
            </w:r>
            <w:proofErr w:type="spellStart"/>
            <w:r w:rsidRPr="00E8728A">
              <w:t>Пересм</w:t>
            </w:r>
            <w:proofErr w:type="spellEnd"/>
            <w:r w:rsidRPr="00E8728A">
              <w:t>. Кигали, 2022 г.) "Осуществление на национальном, региональном, межрегиональном и глобальном уровнях одобренных региональных инициатив и сотрудничество по</w:t>
            </w:r>
            <w:r w:rsidR="003450FC" w:rsidRPr="00E8728A">
              <w:t> </w:t>
            </w:r>
            <w:r w:rsidRPr="00E8728A">
              <w:t>ним"</w:t>
            </w:r>
          </w:p>
          <w:p w14:paraId="6EF29DC6" w14:textId="28D19A2D" w:rsidR="001E252D" w:rsidRPr="00E8728A" w:rsidRDefault="00840BF3" w:rsidP="00840BF3">
            <w:pPr>
              <w:spacing w:after="120"/>
            </w:pPr>
            <w:r w:rsidRPr="00E8728A">
              <w:t xml:space="preserve">Декларация </w:t>
            </w:r>
            <w:proofErr w:type="spellStart"/>
            <w:r w:rsidRPr="00E8728A">
              <w:t>ВКРЭ</w:t>
            </w:r>
            <w:proofErr w:type="spellEnd"/>
            <w:r w:rsidRPr="00E8728A">
              <w:t>-22</w:t>
            </w:r>
          </w:p>
        </w:tc>
      </w:tr>
      <w:bookmarkEnd w:id="8"/>
      <w:bookmarkEnd w:id="9"/>
    </w:tbl>
    <w:p w14:paraId="30707726" w14:textId="77777777" w:rsidR="00075C63" w:rsidRPr="00E8728A" w:rsidRDefault="00075C63" w:rsidP="00CE66E4">
      <w:pPr>
        <w:rPr>
          <w:szCs w:val="24"/>
        </w:rPr>
      </w:pPr>
      <w:r w:rsidRPr="00E8728A">
        <w:rPr>
          <w:szCs w:val="24"/>
        </w:rPr>
        <w:br w:type="page"/>
      </w:r>
    </w:p>
    <w:p w14:paraId="40456356" w14:textId="5CE98496" w:rsidR="00840BF3" w:rsidRPr="00E8728A" w:rsidRDefault="00840BF3" w:rsidP="00840BF3">
      <w:pPr>
        <w:pStyle w:val="Heading1"/>
      </w:pPr>
      <w:r w:rsidRPr="00E8728A">
        <w:lastRenderedPageBreak/>
        <w:t>1</w:t>
      </w:r>
      <w:r w:rsidRPr="00E8728A">
        <w:tab/>
        <w:t>Базовая информация</w:t>
      </w:r>
    </w:p>
    <w:p w14:paraId="4100A519" w14:textId="43FAD35F" w:rsidR="00840BF3" w:rsidRPr="00E8728A" w:rsidRDefault="00840BF3" w:rsidP="00586BB8">
      <w:pPr>
        <w:spacing w:line="300" w:lineRule="exact"/>
      </w:pPr>
      <w:r w:rsidRPr="00E8728A">
        <w:t>Всемирная конференция по развитию электросвязи 2022 года (</w:t>
      </w:r>
      <w:proofErr w:type="spellStart"/>
      <w:r w:rsidRPr="00E8728A">
        <w:t>ВКРЭ</w:t>
      </w:r>
      <w:proofErr w:type="spellEnd"/>
      <w:r w:rsidRPr="00E8728A">
        <w:t>-22) признала значение мобилизации ресурсов и международного сотрудничества в качестве нового приоритета МСЭ-D и</w:t>
      </w:r>
      <w:r w:rsidR="003450FC" w:rsidRPr="00E8728A">
        <w:t> </w:t>
      </w:r>
      <w:r w:rsidRPr="00E8728A">
        <w:t xml:space="preserve">средства достижения целей </w:t>
      </w:r>
      <w:proofErr w:type="spellStart"/>
      <w:r w:rsidRPr="00E8728A">
        <w:t>Кигалийского</w:t>
      </w:r>
      <w:proofErr w:type="spellEnd"/>
      <w:r w:rsidRPr="00E8728A">
        <w:t xml:space="preserve"> плана действий: "Цель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 Данный 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результатов. При этом потребности развивающихся стран, наименее развитых стран, малых островных развивающихся государств, развивающихся стран, не</w:t>
      </w:r>
      <w:r w:rsidR="003450FC" w:rsidRPr="00E8728A">
        <w:t> </w:t>
      </w:r>
      <w:r w:rsidRPr="00E8728A">
        <w:t>имеющих выхода к морю, и стран с переходной экономикой, а также недостаточно обслуживаемых и уязвимых групп населения следует отнести к числу приоритетных и уделять им</w:t>
      </w:r>
      <w:r w:rsidR="003450FC" w:rsidRPr="00E8728A">
        <w:t> </w:t>
      </w:r>
      <w:r w:rsidRPr="00E8728A">
        <w:t>должное внимание" (</w:t>
      </w:r>
      <w:proofErr w:type="spellStart"/>
      <w:r w:rsidRPr="00E8728A">
        <w:t>Кигалийский</w:t>
      </w:r>
      <w:proofErr w:type="spellEnd"/>
      <w:r w:rsidRPr="00E8728A">
        <w:t xml:space="preserve"> план действий).</w:t>
      </w:r>
    </w:p>
    <w:p w14:paraId="50CA752A" w14:textId="7475F128" w:rsidR="00840BF3" w:rsidRPr="00E8728A" w:rsidRDefault="00840BF3" w:rsidP="00586BB8">
      <w:pPr>
        <w:spacing w:line="300" w:lineRule="exact"/>
      </w:pPr>
      <w:r w:rsidRPr="00E8728A">
        <w:t>В Резолюции 17 (</w:t>
      </w:r>
      <w:proofErr w:type="spellStart"/>
      <w:r w:rsidRPr="00E8728A">
        <w:t>Пересм</w:t>
      </w:r>
      <w:proofErr w:type="spellEnd"/>
      <w:r w:rsidRPr="00E8728A">
        <w:t>. Кигали, 2022 г.) об осуществлении на национальном, региональном, межрегиональном и глобальном уровнях одобренных региональных инициатив и сотрудничестве по</w:t>
      </w:r>
      <w:r w:rsidR="003450FC" w:rsidRPr="00E8728A">
        <w:t> </w:t>
      </w:r>
      <w:r w:rsidRPr="00E8728A">
        <w:t xml:space="preserve">ним Директору </w:t>
      </w:r>
      <w:proofErr w:type="spellStart"/>
      <w:r w:rsidRPr="00E8728A">
        <w:t>БРЭ</w:t>
      </w:r>
      <w:proofErr w:type="spellEnd"/>
      <w:r w:rsidRPr="00E8728A">
        <w:t xml:space="preserve"> поручается "обеспечить, чтобы </w:t>
      </w:r>
      <w:proofErr w:type="spellStart"/>
      <w:r w:rsidRPr="00E8728A">
        <w:t>БРЭ</w:t>
      </w:r>
      <w:proofErr w:type="spellEnd"/>
      <w:r w:rsidRPr="00E8728A">
        <w:t xml:space="preserve"> способствовало активному участию региональных и субрегиональных организаций электросвязи в различных этапах управления проектами, установленных МСЭ, а также в налаживании партнерских отношений и мобилизации ресурсов в целях оказания эффективного содействия реализации региональных инициатив". </w:t>
      </w:r>
    </w:p>
    <w:p w14:paraId="01FDB83C" w14:textId="0898138E" w:rsidR="00840BF3" w:rsidRPr="00E8728A" w:rsidRDefault="00840BF3" w:rsidP="00840BF3">
      <w:pPr>
        <w:pStyle w:val="Heading1"/>
      </w:pPr>
      <w:r w:rsidRPr="00E8728A">
        <w:t>2</w:t>
      </w:r>
      <w:r w:rsidRPr="00E8728A">
        <w:tab/>
        <w:t>Стратегическая цель МСЭ-D – партнерские отношения и мобилизация ресурсов</w:t>
      </w:r>
    </w:p>
    <w:p w14:paraId="7D917F74" w14:textId="1453482B" w:rsidR="00840BF3" w:rsidRPr="00E8728A" w:rsidRDefault="00840BF3" w:rsidP="00586BB8">
      <w:pPr>
        <w:spacing w:line="300" w:lineRule="exact"/>
      </w:pPr>
      <w:r w:rsidRPr="00E8728A">
        <w:t xml:space="preserve">В соответствии с итоговыми документами </w:t>
      </w:r>
      <w:proofErr w:type="spellStart"/>
      <w:r w:rsidRPr="00E8728A">
        <w:t>ВКРЭ</w:t>
      </w:r>
      <w:proofErr w:type="spellEnd"/>
      <w:r w:rsidRPr="00E8728A">
        <w:t>-22 поставлена цель стимулирования, развития и</w:t>
      </w:r>
      <w:r w:rsidR="003450FC" w:rsidRPr="00E8728A">
        <w:t> </w:t>
      </w:r>
      <w:r w:rsidRPr="00E8728A">
        <w:t xml:space="preserve">укрепления партнерских отношений и международного сотрудничества с широким кругом партнеров как из развитых, так и из развивающихся стран. </w:t>
      </w:r>
    </w:p>
    <w:p w14:paraId="51D3850B" w14:textId="746A2E98" w:rsidR="00840BF3" w:rsidRPr="00E8728A" w:rsidRDefault="00840BF3" w:rsidP="00586BB8">
      <w:pPr>
        <w:spacing w:line="300" w:lineRule="exact"/>
      </w:pPr>
      <w:r w:rsidRPr="00E8728A">
        <w:t>Эта цель заключается в усилении координации, обмене опытом и мобилизации ресурсов для</w:t>
      </w:r>
      <w:r w:rsidR="003450FC" w:rsidRPr="00E8728A">
        <w:t> </w:t>
      </w:r>
      <w:r w:rsidRPr="00E8728A">
        <w:t>реализации программ, мероприятий и инициатив в интересах устойчивого развития.</w:t>
      </w:r>
    </w:p>
    <w:p w14:paraId="3AA3EA29" w14:textId="6EF354BB" w:rsidR="00840BF3" w:rsidRPr="00E8728A" w:rsidRDefault="00840BF3" w:rsidP="00840BF3">
      <w:pPr>
        <w:pStyle w:val="Heading1"/>
      </w:pPr>
      <w:r w:rsidRPr="00E8728A">
        <w:t>3</w:t>
      </w:r>
      <w:r w:rsidRPr="00E8728A">
        <w:tab/>
        <w:t>Партнерские отношения и результаты мобилизации ресурсов в 2024 году</w:t>
      </w:r>
    </w:p>
    <w:p w14:paraId="3D5B07B4" w14:textId="49344DE0" w:rsidR="00840BF3" w:rsidRPr="00E8728A" w:rsidRDefault="00840BF3" w:rsidP="00586BB8">
      <w:pPr>
        <w:spacing w:line="300" w:lineRule="exact"/>
      </w:pPr>
      <w:r w:rsidRPr="00E8728A">
        <w:t xml:space="preserve">В 2024 году совместными усилиями членов МСЭ, партнеров и персонала </w:t>
      </w:r>
      <w:proofErr w:type="spellStart"/>
      <w:r w:rsidRPr="00E8728A">
        <w:t>БРЭ</w:t>
      </w:r>
      <w:proofErr w:type="spellEnd"/>
      <w:r w:rsidRPr="00E8728A">
        <w:t xml:space="preserve"> (как в регионах, так</w:t>
      </w:r>
      <w:r w:rsidR="003450FC" w:rsidRPr="00E8728A">
        <w:t> </w:t>
      </w:r>
      <w:r w:rsidRPr="00E8728A">
        <w:t>и</w:t>
      </w:r>
      <w:r w:rsidR="003450FC" w:rsidRPr="00E8728A">
        <w:t> </w:t>
      </w:r>
      <w:r w:rsidRPr="00E8728A">
        <w:t>в</w:t>
      </w:r>
      <w:r w:rsidR="003450FC" w:rsidRPr="00E8728A">
        <w:t> </w:t>
      </w:r>
      <w:r w:rsidRPr="00E8728A">
        <w:t xml:space="preserve">штаб-квартире) </w:t>
      </w:r>
      <w:proofErr w:type="spellStart"/>
      <w:r w:rsidRPr="00E8728A">
        <w:t>БРЭ</w:t>
      </w:r>
      <w:proofErr w:type="spellEnd"/>
      <w:r w:rsidRPr="00E8728A">
        <w:t xml:space="preserve"> МСЭ подписали 89 соглашений о партнерстве</w:t>
      </w:r>
      <w:r w:rsidRPr="00E8728A">
        <w:rPr>
          <w:rStyle w:val="FootnoteReference"/>
        </w:rPr>
        <w:footnoteReference w:id="2"/>
      </w:r>
      <w:r w:rsidRPr="00E8728A">
        <w:t>, 53 из которых предусматривали финансовые взносы на общую сумму около 33,8 млн. долл. США; при этом 92%</w:t>
      </w:r>
      <w:r w:rsidR="003450FC" w:rsidRPr="00E8728A">
        <w:t> </w:t>
      </w:r>
      <w:r w:rsidRPr="00E8728A">
        <w:t xml:space="preserve">средств были предоставлены партнерами </w:t>
      </w:r>
      <w:proofErr w:type="spellStart"/>
      <w:r w:rsidRPr="00E8728A">
        <w:t>БРЭ</w:t>
      </w:r>
      <w:proofErr w:type="spellEnd"/>
      <w:r w:rsidRPr="00E8728A">
        <w:t xml:space="preserve">, а 8% – МСЭ. </w:t>
      </w:r>
    </w:p>
    <w:p w14:paraId="684351F0" w14:textId="77777777" w:rsidR="00840BF3" w:rsidRPr="00E8728A" w:rsidRDefault="00840BF3" w:rsidP="00586BB8">
      <w:pPr>
        <w:keepNext/>
      </w:pPr>
      <w:r w:rsidRPr="00E8728A">
        <w:lastRenderedPageBreak/>
        <w:t>Эти партнерские соглашения были подписаны с 73 партнерами различного типа, распределенными следующим образом:</w:t>
      </w:r>
    </w:p>
    <w:p w14:paraId="2E1CB38B" w14:textId="44A4A8AB" w:rsidR="000E40AB" w:rsidRPr="00E8728A" w:rsidRDefault="008C73B3" w:rsidP="00586BB8">
      <w:pPr>
        <w:spacing w:after="120"/>
        <w:jc w:val="center"/>
      </w:pPr>
      <w:r w:rsidRPr="00E8728A">
        <w:drawing>
          <wp:inline distT="0" distB="0" distL="0" distR="0" wp14:anchorId="7BE77F69" wp14:editId="4B76BAB6">
            <wp:extent cx="6082665" cy="2987819"/>
            <wp:effectExtent l="0" t="0" r="0" b="3175"/>
            <wp:docPr id="1348986157" name="Picture 9" descr="A pie chart with different colored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6157" name="Picture 9" descr="A pie chart with different colored circl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560" cy="302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6E3F" w14:textId="2E0F1EC0" w:rsidR="00840BF3" w:rsidRPr="00E8728A" w:rsidRDefault="00840BF3" w:rsidP="00E8728A">
      <w:pPr>
        <w:spacing w:before="240"/>
      </w:pPr>
      <w:r w:rsidRPr="00E8728A">
        <w:t xml:space="preserve">Исходя из категорий членского состава МСЭ, в число этих партнеров входили 19 Государств-Членов, </w:t>
      </w:r>
      <w:r w:rsidR="00491109" w:rsidRPr="00E8728A">
        <w:t xml:space="preserve">семь </w:t>
      </w:r>
      <w:r w:rsidRPr="00E8728A">
        <w:t xml:space="preserve">Членов Сектора МСЭ-D, </w:t>
      </w:r>
      <w:r w:rsidR="00491109" w:rsidRPr="00E8728A">
        <w:t>три</w:t>
      </w:r>
      <w:r w:rsidRPr="00E8728A">
        <w:t xml:space="preserve"> </w:t>
      </w:r>
      <w:r w:rsidR="00C7388D" w:rsidRPr="00E8728A">
        <w:t xml:space="preserve">академические </w:t>
      </w:r>
      <w:r w:rsidRPr="00E8728A">
        <w:t xml:space="preserve">организации, </w:t>
      </w:r>
      <w:r w:rsidR="00491109" w:rsidRPr="00E8728A">
        <w:t>две</w:t>
      </w:r>
      <w:r w:rsidRPr="00E8728A">
        <w:t xml:space="preserve"> региональные и другие международные организации</w:t>
      </w:r>
      <w:r w:rsidRPr="00E8728A">
        <w:rPr>
          <w:rStyle w:val="FootnoteReference"/>
        </w:rPr>
        <w:footnoteReference w:id="3"/>
      </w:r>
      <w:r w:rsidRPr="00E8728A">
        <w:t>.</w:t>
      </w:r>
    </w:p>
    <w:p w14:paraId="27795DF3" w14:textId="5E02181C" w:rsidR="00840BF3" w:rsidRPr="00E8728A" w:rsidRDefault="00840BF3" w:rsidP="00E8728A">
      <w:pPr>
        <w:spacing w:after="120"/>
      </w:pPr>
      <w:r w:rsidRPr="00E8728A">
        <w:t xml:space="preserve">Из 73 партнеров </w:t>
      </w:r>
      <w:proofErr w:type="spellStart"/>
      <w:r w:rsidRPr="00E8728A">
        <w:t>БРЭ</w:t>
      </w:r>
      <w:proofErr w:type="spellEnd"/>
      <w:r w:rsidRPr="00E8728A">
        <w:t xml:space="preserve"> 33 подписали финансовый(е) взнос(ы) на общую сумму около 31,1 млн. долл. США, которые распределялись следующим образом:</w:t>
      </w:r>
      <w:bookmarkStart w:id="10" w:name="_Hlk196396155"/>
    </w:p>
    <w:p w14:paraId="47D92377" w14:textId="1764C209" w:rsidR="009B4C4F" w:rsidRPr="00E8728A" w:rsidRDefault="008C73B3" w:rsidP="00586BB8">
      <w:pPr>
        <w:jc w:val="center"/>
      </w:pPr>
      <w:r w:rsidRPr="00E8728A">
        <w:drawing>
          <wp:inline distT="0" distB="0" distL="0" distR="0" wp14:anchorId="0F74A026" wp14:editId="13206E63">
            <wp:extent cx="6082665" cy="3039605"/>
            <wp:effectExtent l="0" t="0" r="0" b="8890"/>
            <wp:docPr id="929653680" name="Picture 10" descr="A screenshot of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53680" name="Picture 10" descr="A screenshot of a graph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228" cy="307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 w14:paraId="2171777F" w14:textId="77777777" w:rsidR="00840BF3" w:rsidRPr="00E8728A" w:rsidRDefault="00840BF3" w:rsidP="000E40AB">
      <w:pPr>
        <w:keepNext/>
        <w:spacing w:after="120"/>
      </w:pPr>
      <w:r w:rsidRPr="00E8728A">
        <w:lastRenderedPageBreak/>
        <w:t>В 2024 году, в первую десятку финансовых партнеров</w:t>
      </w:r>
      <w:r w:rsidRPr="00E8728A">
        <w:rPr>
          <w:rStyle w:val="FootnoteReference"/>
        </w:rPr>
        <w:footnoteReference w:id="4"/>
      </w:r>
      <w:r w:rsidRPr="00E8728A">
        <w:t xml:space="preserve"> </w:t>
      </w:r>
      <w:proofErr w:type="spellStart"/>
      <w:r w:rsidRPr="00E8728A">
        <w:t>БРЭ</w:t>
      </w:r>
      <w:proofErr w:type="spellEnd"/>
      <w:r w:rsidRPr="00E8728A">
        <w:t xml:space="preserve"> входили:</w:t>
      </w:r>
    </w:p>
    <w:tbl>
      <w:tblPr>
        <w:tblStyle w:val="TableGrid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4110"/>
      </w:tblGrid>
      <w:tr w:rsidR="00840BF3" w:rsidRPr="00E8728A" w14:paraId="462D402C" w14:textId="77777777" w:rsidTr="00C13DC3">
        <w:trPr>
          <w:tblHeader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02127D" w14:textId="77777777" w:rsidR="00840BF3" w:rsidRPr="00E8728A" w:rsidRDefault="00840BF3" w:rsidP="000E40AB">
            <w:pPr>
              <w:keepNext/>
              <w:spacing w:after="60"/>
              <w:jc w:val="center"/>
              <w:rPr>
                <w:b/>
                <w:bCs/>
                <w:sz w:val="20"/>
              </w:rPr>
            </w:pPr>
            <w:r w:rsidRPr="00E8728A">
              <w:rPr>
                <w:b/>
                <w:bCs/>
                <w:sz w:val="20"/>
              </w:rPr>
              <w:t>Партнер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8C0698" w14:textId="35161D6F" w:rsidR="00840BF3" w:rsidRPr="00E8728A" w:rsidRDefault="00840BF3" w:rsidP="000E40AB">
            <w:pPr>
              <w:keepNext/>
              <w:spacing w:before="60"/>
              <w:jc w:val="center"/>
              <w:rPr>
                <w:b/>
                <w:bCs/>
                <w:sz w:val="20"/>
              </w:rPr>
            </w:pPr>
            <w:r w:rsidRPr="00E8728A">
              <w:rPr>
                <w:b/>
                <w:bCs/>
                <w:sz w:val="20"/>
              </w:rPr>
              <w:t>Подписанные финансовые взносы</w:t>
            </w:r>
          </w:p>
          <w:p w14:paraId="39E5F679" w14:textId="77777777" w:rsidR="00840BF3" w:rsidRPr="00E8728A" w:rsidRDefault="00840BF3" w:rsidP="000E40AB">
            <w:pPr>
              <w:keepNext/>
              <w:spacing w:before="0" w:after="60"/>
              <w:jc w:val="center"/>
              <w:rPr>
                <w:sz w:val="20"/>
              </w:rPr>
            </w:pPr>
            <w:r w:rsidRPr="00E8728A">
              <w:rPr>
                <w:sz w:val="20"/>
              </w:rPr>
              <w:t>(в долл. США на дату подписания)</w:t>
            </w:r>
          </w:p>
        </w:tc>
      </w:tr>
      <w:tr w:rsidR="00840BF3" w:rsidRPr="00E8728A" w14:paraId="4E68373D" w14:textId="77777777" w:rsidTr="00491109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503" w14:textId="77777777" w:rsidR="00840BF3" w:rsidRPr="00E8728A" w:rsidRDefault="00840BF3" w:rsidP="000E40AB">
            <w:pPr>
              <w:keepNext/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Европейский союз в лице Европейской комиссии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3371" w14:textId="77777777" w:rsidR="00840BF3" w:rsidRPr="00E8728A" w:rsidRDefault="00840BF3" w:rsidP="00491109">
            <w:pPr>
              <w:keepNext/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19,82 млн. долл. США</w:t>
            </w:r>
          </w:p>
        </w:tc>
      </w:tr>
      <w:tr w:rsidR="00840BF3" w:rsidRPr="00E8728A" w14:paraId="2879D858" w14:textId="77777777" w:rsidTr="00491109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A0D" w14:textId="77777777" w:rsidR="00840BF3" w:rsidRPr="00E8728A" w:rsidRDefault="00840BF3" w:rsidP="000E40AB">
            <w:pPr>
              <w:keepNext/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 xml:space="preserve">Детский фонд Организации Объединенных Наций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484DD" w14:textId="77777777" w:rsidR="00840BF3" w:rsidRPr="00E8728A" w:rsidRDefault="00840BF3" w:rsidP="00491109">
            <w:pPr>
              <w:keepNext/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1,82 млн. долл. США</w:t>
            </w:r>
          </w:p>
        </w:tc>
      </w:tr>
      <w:tr w:rsidR="00840BF3" w:rsidRPr="00E8728A" w14:paraId="18B522B3" w14:textId="77777777" w:rsidTr="00491109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B70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Управление Организации Объединенных Наций по снижению риска бедствий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5EDD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1,75 млн. долл. США</w:t>
            </w:r>
          </w:p>
        </w:tc>
      </w:tr>
      <w:tr w:rsidR="00840BF3" w:rsidRPr="00E8728A" w14:paraId="6ECEEEBE" w14:textId="77777777" w:rsidTr="00491109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B68" w14:textId="77777777" w:rsidR="00840BF3" w:rsidRPr="00E8728A" w:rsidRDefault="00840BF3" w:rsidP="00C13DC3">
            <w:pPr>
              <w:tabs>
                <w:tab w:val="left" w:pos="1532"/>
              </w:tabs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 xml:space="preserve">Deutsche Gesellschaft </w:t>
            </w:r>
            <w:proofErr w:type="spellStart"/>
            <w:r w:rsidRPr="00E8728A">
              <w:rPr>
                <w:sz w:val="20"/>
              </w:rPr>
              <w:t>für</w:t>
            </w:r>
            <w:proofErr w:type="spellEnd"/>
            <w:r w:rsidRPr="00E8728A">
              <w:rPr>
                <w:sz w:val="20"/>
              </w:rPr>
              <w:t xml:space="preserve"> Internationale </w:t>
            </w:r>
            <w:proofErr w:type="spellStart"/>
            <w:r w:rsidRPr="00E8728A">
              <w:rPr>
                <w:sz w:val="20"/>
              </w:rPr>
              <w:t>Zusammenarbeit</w:t>
            </w:r>
            <w:proofErr w:type="spellEnd"/>
            <w:r w:rsidRPr="00E8728A">
              <w:rPr>
                <w:sz w:val="20"/>
              </w:rPr>
              <w:t xml:space="preserve"> GmbH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0F54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1,09 млн. долл. США</w:t>
            </w:r>
          </w:p>
        </w:tc>
      </w:tr>
      <w:tr w:rsidR="00840BF3" w:rsidRPr="00E8728A" w14:paraId="3F2D22F1" w14:textId="77777777" w:rsidTr="00491109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813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Всемирная метеорологическая организация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1DDA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0,96 млн. долл. США</w:t>
            </w:r>
          </w:p>
        </w:tc>
      </w:tr>
      <w:tr w:rsidR="00840BF3" w:rsidRPr="00E8728A" w14:paraId="3728C621" w14:textId="77777777" w:rsidTr="00491109">
        <w:trPr>
          <w:trHeight w:val="53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D02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Министерство инфраструктуры, транспорта, регионального развития, связи и искусств, Австралия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5E2E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0,65 млн. долл. США</w:t>
            </w:r>
          </w:p>
        </w:tc>
      </w:tr>
      <w:tr w:rsidR="00840BF3" w:rsidRPr="00E8728A" w14:paraId="1DB7A809" w14:textId="77777777" w:rsidTr="00491109">
        <w:trPr>
          <w:trHeight w:val="35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B67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Министерство иностранных дел, по делам Содружества и развития, Соединенное Королевство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328F9" w14:textId="19EBE80C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0,56 млн.</w:t>
            </w:r>
            <w:r w:rsidR="000D6BB1" w:rsidRPr="00E8728A">
              <w:rPr>
                <w:sz w:val="20"/>
              </w:rPr>
              <w:t xml:space="preserve"> </w:t>
            </w:r>
            <w:r w:rsidRPr="00E8728A">
              <w:rPr>
                <w:sz w:val="20"/>
              </w:rPr>
              <w:t>долл. США</w:t>
            </w:r>
          </w:p>
        </w:tc>
      </w:tr>
      <w:tr w:rsidR="00840BF3" w:rsidRPr="00E8728A" w14:paraId="2EDC2B4F" w14:textId="77777777" w:rsidTr="00491109">
        <w:trPr>
          <w:trHeight w:val="39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100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Министерство информационно-коммуникационных технологий, Колумбия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FB86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0,43 млн. долл. США</w:t>
            </w:r>
          </w:p>
        </w:tc>
      </w:tr>
      <w:tr w:rsidR="00840BF3" w:rsidRPr="00E8728A" w14:paraId="27025C82" w14:textId="77777777" w:rsidTr="00491109">
        <w:trPr>
          <w:trHeight w:val="33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131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proofErr w:type="spellStart"/>
            <w:r w:rsidRPr="00E8728A">
              <w:rPr>
                <w:sz w:val="20"/>
              </w:rPr>
              <w:t>EYGS</w:t>
            </w:r>
            <w:proofErr w:type="spellEnd"/>
            <w:r w:rsidRPr="00E8728A">
              <w:rPr>
                <w:sz w:val="20"/>
              </w:rPr>
              <w:t xml:space="preserve"> </w:t>
            </w:r>
            <w:proofErr w:type="spellStart"/>
            <w:r w:rsidRPr="00E8728A">
              <w:rPr>
                <w:sz w:val="20"/>
              </w:rPr>
              <w:t>LPP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0730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0,41 млн. долл. США</w:t>
            </w:r>
          </w:p>
        </w:tc>
      </w:tr>
      <w:tr w:rsidR="00840BF3" w:rsidRPr="00E8728A" w14:paraId="605116A7" w14:textId="77777777" w:rsidTr="00491109">
        <w:trPr>
          <w:trHeight w:val="33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72D" w14:textId="77777777" w:rsidR="00840BF3" w:rsidRPr="00E8728A" w:rsidRDefault="00840BF3" w:rsidP="00BC2D9A">
            <w:pPr>
              <w:spacing w:before="60" w:after="60"/>
              <w:rPr>
                <w:sz w:val="20"/>
              </w:rPr>
            </w:pPr>
            <w:r w:rsidRPr="00E8728A">
              <w:rPr>
                <w:sz w:val="20"/>
              </w:rPr>
              <w:t>Министерство науки и ИКТ, Республика Корея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0BEB" w14:textId="77777777" w:rsidR="00840BF3" w:rsidRPr="00E8728A" w:rsidRDefault="00840BF3" w:rsidP="00491109">
            <w:pPr>
              <w:spacing w:before="60" w:after="60"/>
              <w:ind w:right="851"/>
              <w:jc w:val="right"/>
              <w:rPr>
                <w:sz w:val="20"/>
              </w:rPr>
            </w:pPr>
            <w:r w:rsidRPr="00E8728A">
              <w:rPr>
                <w:sz w:val="20"/>
              </w:rPr>
              <w:t>0,37 млн. долл. США</w:t>
            </w:r>
          </w:p>
        </w:tc>
      </w:tr>
    </w:tbl>
    <w:p w14:paraId="21DEEE2B" w14:textId="77777777" w:rsidR="00840BF3" w:rsidRPr="00E8728A" w:rsidRDefault="00840BF3" w:rsidP="00E8728A">
      <w:pPr>
        <w:spacing w:before="240" w:after="120"/>
      </w:pPr>
      <w:r w:rsidRPr="00E8728A">
        <w:t>Информация о регионах и приоритетах МСЭ-D, на которые распространяются подписанные соглашения о партнерстве, с точки зрения количества (с финансовыми взносами и без них), а также финансовых взносов, представлена в следующих таблицах:</w:t>
      </w:r>
      <w:bookmarkStart w:id="11" w:name="_Hlk196397235"/>
    </w:p>
    <w:p w14:paraId="6B879DC4" w14:textId="6CD84B90" w:rsidR="00687EE6" w:rsidRPr="00E8728A" w:rsidRDefault="008C73B3" w:rsidP="000E40AB">
      <w:pPr>
        <w:jc w:val="center"/>
      </w:pPr>
      <w:r w:rsidRPr="00E8728A">
        <w:drawing>
          <wp:inline distT="0" distB="0" distL="0" distR="0" wp14:anchorId="40D7CD39" wp14:editId="4749D246">
            <wp:extent cx="6074797" cy="3131376"/>
            <wp:effectExtent l="0" t="0" r="2540" b="0"/>
            <wp:docPr id="819970317" name="Picture 11" descr="A graph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70317" name="Picture 11" descr="A graph with numbers and tex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96" cy="316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4F9C" w14:textId="77777777" w:rsidR="0098236D" w:rsidRPr="00E8728A" w:rsidRDefault="0098236D" w:rsidP="00986895">
      <w:pPr>
        <w:spacing w:before="0"/>
      </w:pPr>
      <w:bookmarkStart w:id="12" w:name="_Hlk196399303"/>
      <w:bookmarkEnd w:id="11"/>
    </w:p>
    <w:p w14:paraId="2FC6259C" w14:textId="2845458F" w:rsidR="0098236D" w:rsidRPr="00E8728A" w:rsidRDefault="00284107" w:rsidP="000E40AB">
      <w:pPr>
        <w:jc w:val="center"/>
      </w:pPr>
      <w:r w:rsidRPr="00E8728A">
        <w:lastRenderedPageBreak/>
        <w:drawing>
          <wp:inline distT="0" distB="0" distL="0" distR="0" wp14:anchorId="048A501A" wp14:editId="69D5D3B5">
            <wp:extent cx="6098650" cy="3816051"/>
            <wp:effectExtent l="0" t="0" r="0" b="0"/>
            <wp:docPr id="3712047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04713" name="Picture 3712047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068" cy="384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9229" w14:textId="4159DED3" w:rsidR="005C7572" w:rsidRPr="00E8728A" w:rsidRDefault="005C7572" w:rsidP="00E8728A">
      <w:pPr>
        <w:spacing w:after="120"/>
      </w:pPr>
      <w:r w:rsidRPr="00E8728A">
        <w:t xml:space="preserve">Количество соглашений и финансовых взносов, подписанных в период с 2020 по 2024 годы, представлено в таблице ниже, где отражен значительный уровень мобилизации ресурсов, достигнутый в прошлом году для поддержки реализации проектов в области развития, региональных и глобальных инициатив и видов деятельности на национальном, региональном и глобальном уровнях. </w:t>
      </w:r>
    </w:p>
    <w:p w14:paraId="57C155C1" w14:textId="0CB70704" w:rsidR="000E40AB" w:rsidRPr="00E8728A" w:rsidRDefault="00756B3E" w:rsidP="00756B3E">
      <w:pPr>
        <w:jc w:val="center"/>
      </w:pPr>
      <w:r w:rsidRPr="00E8728A">
        <w:drawing>
          <wp:inline distT="0" distB="0" distL="0" distR="0" wp14:anchorId="6494D23B" wp14:editId="3B4A2822">
            <wp:extent cx="6114553" cy="2887409"/>
            <wp:effectExtent l="0" t="0" r="635" b="8255"/>
            <wp:docPr id="1547126242" name="Picture 15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26242" name="Picture 15" descr="A graph with numbers and a line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432" cy="290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p w14:paraId="7D0EEF5B" w14:textId="60047D63" w:rsidR="00840BF3" w:rsidRPr="00E8728A" w:rsidRDefault="00840BF3" w:rsidP="00840BF3">
      <w:pPr>
        <w:pStyle w:val="Heading1"/>
      </w:pPr>
      <w:r w:rsidRPr="00E8728A">
        <w:lastRenderedPageBreak/>
        <w:t>4</w:t>
      </w:r>
      <w:r w:rsidRPr="00E8728A">
        <w:tab/>
        <w:t>Основные действия и результаты</w:t>
      </w:r>
    </w:p>
    <w:p w14:paraId="41017CC8" w14:textId="1EB59BD5" w:rsidR="00840BF3" w:rsidRPr="00E8728A" w:rsidRDefault="00840BF3" w:rsidP="00491109">
      <w:pPr>
        <w:keepNext/>
      </w:pPr>
      <w:r w:rsidRPr="00E8728A">
        <w:t xml:space="preserve">Воздействие работы </w:t>
      </w:r>
      <w:proofErr w:type="spellStart"/>
      <w:r w:rsidRPr="00E8728A">
        <w:t>БРЭ</w:t>
      </w:r>
      <w:proofErr w:type="spellEnd"/>
      <w:r w:rsidRPr="00E8728A">
        <w:t xml:space="preserve"> в сотрудничестве с его партнерами демонстрируется в формате "Рассказы</w:t>
      </w:r>
      <w:r w:rsidR="00491109" w:rsidRPr="00E8728A">
        <w:t> </w:t>
      </w:r>
      <w:r w:rsidRPr="00E8728A">
        <w:t>о</w:t>
      </w:r>
      <w:r w:rsidR="00491109" w:rsidRPr="00E8728A">
        <w:t> </w:t>
      </w:r>
      <w:r w:rsidRPr="00E8728A">
        <w:t>воздействии", доступном по следующему адресу:</w:t>
      </w:r>
      <w:r w:rsidRPr="00E8728A" w:rsidDel="002B67EE">
        <w:t xml:space="preserve"> </w:t>
      </w:r>
      <w:r w:rsidR="00491109" w:rsidRPr="00E8728A">
        <w:br/>
      </w:r>
      <w:hyperlink r:id="rId18" w:history="1">
        <w:r w:rsidR="00491109" w:rsidRPr="00E8728A">
          <w:rPr>
            <w:rStyle w:val="Hyperlink"/>
          </w:rPr>
          <w:t>https://www.itu.int/itu-d/sites/digital-impact-unlocked/all-stories/list/</w:t>
        </w:r>
      </w:hyperlink>
      <w:r w:rsidRPr="00E8728A">
        <w:t>.</w:t>
      </w:r>
    </w:p>
    <w:p w14:paraId="711CCEE8" w14:textId="77777777" w:rsidR="00840BF3" w:rsidRPr="00E8728A" w:rsidRDefault="00840BF3" w:rsidP="00840BF3">
      <w:r w:rsidRPr="00E8728A">
        <w:t xml:space="preserve">Результаты партнерских отношений и мобилизации ресурсов, показанные выше, стали возможными благодаря следующим стратегическим мерам, которые включают: </w:t>
      </w:r>
    </w:p>
    <w:p w14:paraId="793A9AB5" w14:textId="1303DB03" w:rsidR="00840BF3" w:rsidRPr="00E8728A" w:rsidRDefault="00840BF3" w:rsidP="00840BF3">
      <w:pPr>
        <w:pStyle w:val="enumlev1"/>
      </w:pPr>
      <w:r w:rsidRPr="00E8728A">
        <w:t>–</w:t>
      </w:r>
      <w:r w:rsidRPr="00E8728A">
        <w:rPr>
          <w:b/>
          <w:bCs/>
        </w:rPr>
        <w:tab/>
        <w:t>Развитие/укрепление отношений с существующими партнерами</w:t>
      </w:r>
      <w:r w:rsidRPr="00E8728A">
        <w:t xml:space="preserve">: </w:t>
      </w:r>
      <w:proofErr w:type="spellStart"/>
      <w:r w:rsidRPr="00E8728A">
        <w:t>БРЭ</w:t>
      </w:r>
      <w:proofErr w:type="spellEnd"/>
      <w:r w:rsidRPr="00E8728A">
        <w:t xml:space="preserve"> сотрудничает с</w:t>
      </w:r>
      <w:r w:rsidR="00DE002F">
        <w:t> </w:t>
      </w:r>
      <w:r w:rsidRPr="00E8728A">
        <w:t>широким кругом партнеров</w:t>
      </w:r>
      <w:r w:rsidRPr="00E8728A">
        <w:rPr>
          <w:rStyle w:val="FootnoteReference"/>
        </w:rPr>
        <w:footnoteReference w:id="5"/>
      </w:r>
      <w:r w:rsidRPr="00E8728A">
        <w:t>, включая правительственные органы, финансовые учреждения, международные и региональные организации и ассоциации, объединения частного сектора (включая фонды), организации системы ООН и академические организации, как из развитых, так и из развивающихся стран. Эти партнеры делятся своим опытом и оказывают финансовую поддержку реализации программ, региональных и глобальных инициатив, а также деятельности, направленной на</w:t>
      </w:r>
      <w:r w:rsidR="00DE002F">
        <w:t> </w:t>
      </w:r>
      <w:r w:rsidRPr="00E8728A">
        <w:t>устойчивое развитие. Признавая, что успешные партнерские отношения строятся на</w:t>
      </w:r>
      <w:r w:rsidR="00DE002F">
        <w:t> </w:t>
      </w:r>
      <w:r w:rsidRPr="00E8728A">
        <w:t xml:space="preserve">доверии, уважении и уверенности, </w:t>
      </w:r>
      <w:proofErr w:type="spellStart"/>
      <w:r w:rsidRPr="00E8728A">
        <w:t>БРЭ</w:t>
      </w:r>
      <w:proofErr w:type="spellEnd"/>
      <w:r w:rsidRPr="00E8728A">
        <w:t xml:space="preserve"> уделяет особое внимание развитию прочных отношений со своими давними партнерами, в том числе перечисленными в</w:t>
      </w:r>
      <w:r w:rsidR="00DE002F">
        <w:t> </w:t>
      </w:r>
      <w:r w:rsidRPr="00E8728A">
        <w:t>Документе</w:t>
      </w:r>
      <w:r w:rsidR="00DE002F">
        <w:t> </w:t>
      </w:r>
      <w:proofErr w:type="spellStart"/>
      <w:r w:rsidRPr="00E8728A">
        <w:t>TDAG25</w:t>
      </w:r>
      <w:proofErr w:type="spellEnd"/>
      <w:r w:rsidRPr="00E8728A">
        <w:t>/</w:t>
      </w:r>
      <w:proofErr w:type="spellStart"/>
      <w:r w:rsidRPr="00E8728A">
        <w:t>INF</w:t>
      </w:r>
      <w:proofErr w:type="spellEnd"/>
      <w:r w:rsidRPr="00E8728A">
        <w:t>/1.</w:t>
      </w:r>
    </w:p>
    <w:p w14:paraId="584DF87B" w14:textId="1EF995F6" w:rsidR="00840BF3" w:rsidRPr="00E8728A" w:rsidRDefault="00840BF3" w:rsidP="00840BF3">
      <w:pPr>
        <w:pStyle w:val="enumlev1"/>
      </w:pPr>
      <w:r w:rsidRPr="00E8728A">
        <w:t>–</w:t>
      </w:r>
      <w:r w:rsidRPr="00E8728A">
        <w:rPr>
          <w:b/>
          <w:bCs/>
        </w:rPr>
        <w:tab/>
        <w:t>Укрепление сотрудничества с учреждениями системы ООН</w:t>
      </w:r>
      <w:r w:rsidRPr="00E8728A">
        <w:t xml:space="preserve">: </w:t>
      </w:r>
      <w:proofErr w:type="spellStart"/>
      <w:r w:rsidRPr="00E8728A">
        <w:t>БРЭ</w:t>
      </w:r>
      <w:proofErr w:type="spellEnd"/>
      <w:r w:rsidRPr="00E8728A">
        <w:t xml:space="preserve"> продолжает укреплять сотрудничество с другими учреждениями системы ООН, способствуя его популяризации и подчеркивая уникальную роль МСЭ как ведущей организации в секторе электросвязи/ИКТ. Сотрудничество с учреждениями системы ООН способствует достижению синергии и совместному использованию знаний, а также позволяет получать новые и увеличенные объемы финансирования благодаря мобилизации возможностей многосторонних партнеров. Благодаря тесному сотрудничеству с</w:t>
      </w:r>
      <w:r w:rsidR="00DE002F">
        <w:t> </w:t>
      </w:r>
      <w:r w:rsidRPr="00E8728A">
        <w:t xml:space="preserve">родственными учреждениями системы ООН </w:t>
      </w:r>
      <w:proofErr w:type="spellStart"/>
      <w:r w:rsidRPr="00E8728A">
        <w:t>БРЭ</w:t>
      </w:r>
      <w:proofErr w:type="spellEnd"/>
      <w:r w:rsidRPr="00E8728A">
        <w:t xml:space="preserve"> получает доступ к новым возможностям финансирования (в том числе объединенным средствам ООН) для</w:t>
      </w:r>
      <w:r w:rsidR="00DE002F">
        <w:t> </w:t>
      </w:r>
      <w:r w:rsidRPr="00E8728A">
        <w:t>реализации совместных проектов на национальном, региональном и глобальном уровнях в целях претворения в жизнь Повестки дня на период до 2030 года.</w:t>
      </w:r>
    </w:p>
    <w:p w14:paraId="424261B9" w14:textId="437B158C" w:rsidR="00840BF3" w:rsidRPr="00E8728A" w:rsidRDefault="00840BF3" w:rsidP="00840BF3">
      <w:pPr>
        <w:pStyle w:val="enumlev1"/>
      </w:pPr>
      <w:r w:rsidRPr="00E8728A">
        <w:t>–</w:t>
      </w:r>
      <w:r w:rsidRPr="00E8728A">
        <w:rPr>
          <w:b/>
          <w:bCs/>
        </w:rPr>
        <w:tab/>
        <w:t>Работа с новыми потенциальными партнерами</w:t>
      </w:r>
      <w:r w:rsidRPr="00E8728A">
        <w:t xml:space="preserve">: </w:t>
      </w:r>
      <w:proofErr w:type="spellStart"/>
      <w:r w:rsidRPr="00E8728A">
        <w:t>БРЭ</w:t>
      </w:r>
      <w:proofErr w:type="spellEnd"/>
      <w:r w:rsidRPr="00E8728A">
        <w:t xml:space="preserve"> придает большое значение укреплению отношений с существующими партнерами и привлечению их к</w:t>
      </w:r>
      <w:r w:rsidR="00DE002F">
        <w:t> </w:t>
      </w:r>
      <w:r w:rsidRPr="00E8728A">
        <w:t xml:space="preserve">долгосрочному сотрудничеству, но одновременно с этим признает важность расширения и диверсификации круга своих партнеров. Для этого </w:t>
      </w:r>
      <w:proofErr w:type="spellStart"/>
      <w:r w:rsidRPr="00E8728A">
        <w:t>БРЭ</w:t>
      </w:r>
      <w:proofErr w:type="spellEnd"/>
      <w:r w:rsidRPr="00E8728A">
        <w:t xml:space="preserve"> активно взаимодействует с</w:t>
      </w:r>
      <w:r w:rsidR="00DE002F">
        <w:t> </w:t>
      </w:r>
      <w:r w:rsidRPr="00E8728A">
        <w:t>перспективными партнерами, используя стратегический подход для</w:t>
      </w:r>
      <w:r w:rsidR="005163E4">
        <w:t> </w:t>
      </w:r>
      <w:r w:rsidRPr="00E8728A">
        <w:t>повышения значимости МСЭ/</w:t>
      </w:r>
      <w:proofErr w:type="spellStart"/>
      <w:r w:rsidRPr="00E8728A">
        <w:t>БРЭ</w:t>
      </w:r>
      <w:proofErr w:type="spellEnd"/>
      <w:r w:rsidRPr="00E8728A">
        <w:t xml:space="preserve">, выявления синергии и изучения возможностей будущего сотрудничества. </w:t>
      </w:r>
    </w:p>
    <w:p w14:paraId="07ABC449" w14:textId="3CCACDC7" w:rsidR="00840BF3" w:rsidRPr="00E8728A" w:rsidRDefault="00491109" w:rsidP="00840BF3">
      <w:pPr>
        <w:pStyle w:val="Heading1"/>
      </w:pPr>
      <w:r w:rsidRPr="00E8728A">
        <w:t>5</w:t>
      </w:r>
      <w:r w:rsidR="00840BF3" w:rsidRPr="00E8728A">
        <w:tab/>
        <w:t>Дальнейшие действия</w:t>
      </w:r>
    </w:p>
    <w:p w14:paraId="6395E255" w14:textId="258BB1D0" w:rsidR="00840BF3" w:rsidRPr="00E8728A" w:rsidRDefault="00840BF3" w:rsidP="00840BF3">
      <w:proofErr w:type="spellStart"/>
      <w:r w:rsidRPr="00E8728A">
        <w:t>БРЭ</w:t>
      </w:r>
      <w:proofErr w:type="spellEnd"/>
      <w:r w:rsidRPr="00E8728A">
        <w:t xml:space="preserve"> признает и ценит как своих давних партнеров, так и новых партнеров, сотрудничество с</w:t>
      </w:r>
      <w:r w:rsidR="00DE002F">
        <w:t> </w:t>
      </w:r>
      <w:r w:rsidRPr="00E8728A">
        <w:t>которыми позволяет содействовать осуществлению проектов, программ и инициатив на</w:t>
      </w:r>
      <w:r w:rsidR="00DE002F">
        <w:t> </w:t>
      </w:r>
      <w:r w:rsidRPr="00E8728A">
        <w:t xml:space="preserve">глобальном, региональном и национальном уровнях. В дальнейшем </w:t>
      </w:r>
      <w:proofErr w:type="spellStart"/>
      <w:r w:rsidRPr="00E8728A">
        <w:t>БРЭ</w:t>
      </w:r>
      <w:proofErr w:type="spellEnd"/>
      <w:r w:rsidRPr="00E8728A">
        <w:t xml:space="preserve"> продолжит развивать и</w:t>
      </w:r>
      <w:r w:rsidR="00DE002F">
        <w:t> </w:t>
      </w:r>
      <w:r w:rsidRPr="00E8728A">
        <w:t>укреплять свои партнерские отношения с широким кругом заинтересованных сторон, включая правительственные органы, финансовые учреждения, частный сектор, учреждения системы Организации Объединенных Наций и академические организации.</w:t>
      </w:r>
    </w:p>
    <w:p w14:paraId="5348E6D0" w14:textId="2DE2AB85" w:rsidR="00CE66E4" w:rsidRPr="00E8728A" w:rsidRDefault="00CE66E4" w:rsidP="00491109">
      <w:pPr>
        <w:spacing w:before="480"/>
        <w:jc w:val="center"/>
      </w:pPr>
      <w:r w:rsidRPr="00E8728A">
        <w:t>______________</w:t>
      </w:r>
    </w:p>
    <w:sectPr w:rsidR="00CE66E4" w:rsidRPr="00E8728A" w:rsidSect="00CE66E4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657D" w14:textId="77777777" w:rsidR="003C5DD6" w:rsidRDefault="003C5DD6">
      <w:r>
        <w:separator/>
      </w:r>
    </w:p>
    <w:p w14:paraId="2B3B5875" w14:textId="77777777" w:rsidR="003C5DD6" w:rsidRDefault="003C5DD6"/>
  </w:endnote>
  <w:endnote w:type="continuationSeparator" w:id="0">
    <w:p w14:paraId="60D2788E" w14:textId="77777777" w:rsidR="003C5DD6" w:rsidRDefault="003C5DD6">
      <w:r>
        <w:continuationSeparator/>
      </w:r>
    </w:p>
    <w:p w14:paraId="0567BC20" w14:textId="77777777" w:rsidR="003C5DD6" w:rsidRDefault="003C5DD6"/>
  </w:endnote>
  <w:endnote w:type="continuationNotice" w:id="1">
    <w:p w14:paraId="23648086" w14:textId="77777777" w:rsidR="003C5DD6" w:rsidRDefault="003C5DD6">
      <w:pPr>
        <w:spacing w:before="0"/>
      </w:pPr>
    </w:p>
    <w:p w14:paraId="61A34A1A" w14:textId="77777777" w:rsidR="003C5DD6" w:rsidRDefault="003C5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840BF3" w:rsidRPr="00491109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840BF3" w:rsidRPr="00491109" w:rsidRDefault="00840BF3" w:rsidP="00840BF3">
          <w:pPr>
            <w:pStyle w:val="FirstFooter"/>
            <w:rPr>
              <w:sz w:val="18"/>
              <w:szCs w:val="18"/>
            </w:rPr>
          </w:pPr>
          <w:r w:rsidRPr="00491109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840BF3" w:rsidRPr="00491109" w:rsidRDefault="00840BF3" w:rsidP="00840BF3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49110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3E7133FF" w:rsidR="00840BF3" w:rsidRPr="00491109" w:rsidRDefault="00840BF3" w:rsidP="00840BF3">
          <w:pPr>
            <w:pStyle w:val="FirstFooter"/>
            <w:rPr>
              <w:sz w:val="18"/>
              <w:szCs w:val="18"/>
            </w:rPr>
          </w:pPr>
          <w:r w:rsidRPr="00491109">
            <w:rPr>
              <w:rFonts w:eastAsia="Calibri" w:cs="Calibri"/>
              <w:color w:val="000000" w:themeColor="text1"/>
              <w:sz w:val="18"/>
              <w:szCs w:val="18"/>
            </w:rPr>
            <w:t>г-жа Ын-Чжу Ким (Ms Eun Ju Kim), руководитель Департамента инноваций, партнерств и цифровых навыков (PPS)</w:t>
          </w:r>
        </w:p>
      </w:tc>
      <w:bookmarkStart w:id="13" w:name="OrgName"/>
      <w:bookmarkEnd w:id="13"/>
    </w:tr>
    <w:tr w:rsidR="00840BF3" w:rsidRPr="00491109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840BF3" w:rsidRPr="00491109" w:rsidRDefault="00840BF3" w:rsidP="00840BF3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840BF3" w:rsidRPr="00491109" w:rsidRDefault="00840BF3" w:rsidP="00840BF3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491109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6BC2B1D1" w:rsidR="00840BF3" w:rsidRPr="00491109" w:rsidRDefault="00840BF3" w:rsidP="00840BF3">
          <w:pPr>
            <w:pStyle w:val="FirstFooter"/>
            <w:rPr>
              <w:sz w:val="18"/>
              <w:szCs w:val="18"/>
            </w:rPr>
          </w:pPr>
          <w:r w:rsidRPr="00491109">
            <w:rPr>
              <w:sz w:val="18"/>
              <w:szCs w:val="18"/>
            </w:rPr>
            <w:t>+41 22 730 5900</w:t>
          </w:r>
        </w:p>
      </w:tc>
      <w:bookmarkStart w:id="14" w:name="PhoneNo"/>
      <w:bookmarkEnd w:id="14"/>
    </w:tr>
    <w:tr w:rsidR="00840BF3" w:rsidRPr="00491109" w14:paraId="0E4D2617" w14:textId="77777777" w:rsidTr="005539C3">
      <w:tc>
        <w:tcPr>
          <w:tcW w:w="1526" w:type="dxa"/>
        </w:tcPr>
        <w:p w14:paraId="7845751D" w14:textId="77777777" w:rsidR="00840BF3" w:rsidRPr="00491109" w:rsidRDefault="00840BF3" w:rsidP="00840BF3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840BF3" w:rsidRPr="00491109" w:rsidRDefault="00840BF3" w:rsidP="00840BF3">
          <w:pPr>
            <w:pStyle w:val="FirstFooter"/>
            <w:ind w:left="3010" w:hanging="3010"/>
            <w:rPr>
              <w:sz w:val="18"/>
              <w:szCs w:val="18"/>
            </w:rPr>
          </w:pPr>
          <w:r w:rsidRPr="00491109">
            <w:rPr>
              <w:sz w:val="18"/>
              <w:szCs w:val="18"/>
            </w:rPr>
            <w:t>Эл.</w:t>
          </w:r>
          <w:r w:rsidRPr="00491109">
            <w:rPr>
              <w:sz w:val="18"/>
              <w:szCs w:val="18"/>
              <w:lang w:val="en-US"/>
            </w:rPr>
            <w:t> </w:t>
          </w:r>
          <w:r w:rsidRPr="00491109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545CEC18" w:rsidR="00840BF3" w:rsidRPr="00491109" w:rsidRDefault="00C7388D" w:rsidP="00840BF3">
          <w:pPr>
            <w:pStyle w:val="FirstFooter"/>
            <w:rPr>
              <w:sz w:val="18"/>
              <w:szCs w:val="18"/>
            </w:rPr>
          </w:pPr>
          <w:hyperlink r:id="rId1" w:history="1">
            <w:r w:rsidR="00840BF3" w:rsidRPr="00491109">
              <w:rPr>
                <w:rStyle w:val="Hyperlink"/>
                <w:sz w:val="18"/>
                <w:szCs w:val="18"/>
              </w:rPr>
              <w:t>eun-ju.kim@itu.int</w:t>
            </w:r>
          </w:hyperlink>
        </w:p>
      </w:tc>
      <w:bookmarkStart w:id="15" w:name="Email"/>
      <w:bookmarkEnd w:id="15"/>
    </w:tr>
  </w:tbl>
  <w:p w14:paraId="7B8DD400" w14:textId="77777777" w:rsidR="00F723AC" w:rsidRPr="00840BF3" w:rsidRDefault="00F7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2713" w14:textId="77777777" w:rsidR="003C5DD6" w:rsidRPr="0054377E" w:rsidRDefault="003C5DD6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57B9F04" w14:textId="77777777" w:rsidR="003C5DD6" w:rsidRDefault="003C5DD6" w:rsidP="0054377E">
      <w:pPr>
        <w:spacing w:before="0"/>
      </w:pPr>
      <w:r>
        <w:continuationSeparator/>
      </w:r>
    </w:p>
    <w:p w14:paraId="22905BAF" w14:textId="77777777" w:rsidR="003C5DD6" w:rsidRDefault="003C5DD6"/>
  </w:footnote>
  <w:footnote w:type="continuationNotice" w:id="1">
    <w:p w14:paraId="5D5FB3F1" w14:textId="77777777" w:rsidR="003C5DD6" w:rsidRDefault="003C5DD6">
      <w:pPr>
        <w:spacing w:before="0"/>
      </w:pPr>
    </w:p>
    <w:p w14:paraId="3B870C07" w14:textId="77777777" w:rsidR="003C5DD6" w:rsidRDefault="003C5DD6"/>
  </w:footnote>
  <w:footnote w:id="2">
    <w:p w14:paraId="2B479598" w14:textId="474A82A1" w:rsidR="00840BF3" w:rsidRPr="0036332D" w:rsidRDefault="00840BF3" w:rsidP="005C7572">
      <w:pPr>
        <w:pStyle w:val="FootnoteText"/>
      </w:pPr>
      <w:r w:rsidRPr="00C13DC3">
        <w:rPr>
          <w:rStyle w:val="FootnoteReference"/>
        </w:rPr>
        <w:footnoteRef/>
      </w:r>
      <w:r>
        <w:tab/>
      </w:r>
      <w:r w:rsidRPr="005C7572">
        <w:t>Полный</w:t>
      </w:r>
      <w:r w:rsidRPr="0036332D">
        <w:t xml:space="preserve"> </w:t>
      </w:r>
      <w:r>
        <w:t>список</w:t>
      </w:r>
      <w:r w:rsidRPr="0036332D">
        <w:t xml:space="preserve"> </w:t>
      </w:r>
      <w:r>
        <w:t>соглашений</w:t>
      </w:r>
      <w:r w:rsidRPr="0036332D">
        <w:t xml:space="preserve"> </w:t>
      </w:r>
      <w:r>
        <w:t>см</w:t>
      </w:r>
      <w:r w:rsidRPr="0036332D">
        <w:t xml:space="preserve">. </w:t>
      </w:r>
      <w:r>
        <w:t>в</w:t>
      </w:r>
      <w:r w:rsidRPr="0036332D">
        <w:t xml:space="preserve"> </w:t>
      </w:r>
      <w:r>
        <w:t>Документе</w:t>
      </w:r>
      <w:r w:rsidRPr="0036332D">
        <w:t xml:space="preserve"> </w:t>
      </w:r>
      <w:r w:rsidRPr="000D2492">
        <w:t>TDAG</w:t>
      </w:r>
      <w:r w:rsidRPr="0036332D">
        <w:t>25/</w:t>
      </w:r>
      <w:r w:rsidRPr="000D2492">
        <w:t>INF</w:t>
      </w:r>
      <w:r w:rsidRPr="0036332D">
        <w:t>/1.</w:t>
      </w:r>
    </w:p>
  </w:footnote>
  <w:footnote w:id="3">
    <w:p w14:paraId="7442A43C" w14:textId="3AE4A652" w:rsidR="00840BF3" w:rsidRPr="00501E8A" w:rsidRDefault="00840BF3" w:rsidP="005C7572">
      <w:pPr>
        <w:pStyle w:val="FootnoteText"/>
      </w:pPr>
      <w:r w:rsidRPr="005C7572">
        <w:rPr>
          <w:rStyle w:val="FootnoteReference"/>
        </w:rPr>
        <w:footnoteRef/>
      </w:r>
      <w:r>
        <w:tab/>
      </w:r>
      <w:hyperlink r:id="rId1" w:history="1">
        <w:r w:rsidRPr="001F4030">
          <w:rPr>
            <w:rStyle w:val="Hyperlink"/>
          </w:rPr>
          <w:t>https://www.itu.int/hub/membership/our-members/</w:t>
        </w:r>
      </w:hyperlink>
      <w:r w:rsidR="00491109" w:rsidRPr="0036332D">
        <w:t>.</w:t>
      </w:r>
    </w:p>
  </w:footnote>
  <w:footnote w:id="4">
    <w:p w14:paraId="3BA37E98" w14:textId="285F3023" w:rsidR="00840BF3" w:rsidRPr="00655353" w:rsidRDefault="00840BF3" w:rsidP="00840BF3">
      <w:pPr>
        <w:pStyle w:val="FootnoteText"/>
        <w:spacing w:before="0"/>
      </w:pPr>
      <w:r w:rsidRPr="005C7572">
        <w:rPr>
          <w:rStyle w:val="FootnoteReference"/>
        </w:rPr>
        <w:footnoteRef/>
      </w:r>
      <w:r>
        <w:tab/>
        <w:t>Полный</w:t>
      </w:r>
      <w:r w:rsidRPr="00655353">
        <w:t xml:space="preserve"> </w:t>
      </w:r>
      <w:r>
        <w:t>список</w:t>
      </w:r>
      <w:r w:rsidRPr="00655353">
        <w:t xml:space="preserve"> </w:t>
      </w:r>
      <w:r>
        <w:t>финансовых</w:t>
      </w:r>
      <w:r w:rsidRPr="00655353">
        <w:t xml:space="preserve"> </w:t>
      </w:r>
      <w:r>
        <w:t>партнеров</w:t>
      </w:r>
      <w:r w:rsidRPr="00655353">
        <w:t xml:space="preserve"> </w:t>
      </w:r>
      <w:r>
        <w:t>см</w:t>
      </w:r>
      <w:r w:rsidRPr="00655353">
        <w:t xml:space="preserve">. </w:t>
      </w:r>
      <w:r>
        <w:t>в</w:t>
      </w:r>
      <w:r w:rsidRPr="00655353">
        <w:t xml:space="preserve"> </w:t>
      </w:r>
      <w:r>
        <w:t>Документе</w:t>
      </w:r>
      <w:r w:rsidRPr="00655353">
        <w:t xml:space="preserve"> </w:t>
      </w:r>
      <w:r w:rsidRPr="000D2492">
        <w:t>TDAG</w:t>
      </w:r>
      <w:r w:rsidRPr="00655353">
        <w:t>25/</w:t>
      </w:r>
      <w:r w:rsidRPr="000D2492">
        <w:t>INF</w:t>
      </w:r>
      <w:r w:rsidRPr="00655353">
        <w:t>/1.</w:t>
      </w:r>
    </w:p>
  </w:footnote>
  <w:footnote w:id="5">
    <w:p w14:paraId="0A3C5D2C" w14:textId="481084FE" w:rsidR="00840BF3" w:rsidRPr="00F63525" w:rsidRDefault="00840BF3" w:rsidP="005C7572">
      <w:pPr>
        <w:pStyle w:val="FootnoteText"/>
      </w:pPr>
      <w:r w:rsidRPr="005C7572">
        <w:rPr>
          <w:rStyle w:val="FootnoteReference"/>
        </w:rPr>
        <w:footnoteRef/>
      </w:r>
      <w:r w:rsidR="005C7572">
        <w:tab/>
      </w:r>
      <w:hyperlink r:id="rId2" w:history="1">
        <w:r w:rsidR="005C7572" w:rsidRPr="00B54010">
          <w:rPr>
            <w:rStyle w:val="Hyperlink"/>
          </w:rPr>
          <w:t>https://www.itu.int/en/ITU-D/MembersPartners/Pages/Partners/List-of-Partners.aspx</w:t>
        </w:r>
      </w:hyperlink>
      <w:r w:rsidR="00491109" w:rsidRPr="0036332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1B53" w14:textId="6152D5C5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840BF3">
      <w:rPr>
        <w:sz w:val="20"/>
      </w:rPr>
      <w:t>9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E82194"/>
    <w:multiLevelType w:val="hybridMultilevel"/>
    <w:tmpl w:val="A62C5606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44A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0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8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9"/>
  </w:num>
  <w:num w:numId="12" w16cid:durableId="1514690498">
    <w:abstractNumId w:val="37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3"/>
  </w:num>
  <w:num w:numId="18" w16cid:durableId="1354573477">
    <w:abstractNumId w:val="35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4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0"/>
  </w:num>
  <w:num w:numId="29" w16cid:durableId="2010906637">
    <w:abstractNumId w:val="25"/>
  </w:num>
  <w:num w:numId="30" w16cid:durableId="290525213">
    <w:abstractNumId w:val="42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9"/>
  </w:num>
  <w:num w:numId="35" w16cid:durableId="271744889">
    <w:abstractNumId w:val="36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9"/>
  </w:num>
  <w:num w:numId="40" w16cid:durableId="1037706265">
    <w:abstractNumId w:val="7"/>
  </w:num>
  <w:num w:numId="41" w16cid:durableId="447436251">
    <w:abstractNumId w:val="45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41"/>
  </w:num>
  <w:num w:numId="45" w16cid:durableId="1936010611">
    <w:abstractNumId w:val="34"/>
  </w:num>
  <w:num w:numId="46" w16cid:durableId="975065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BB1"/>
    <w:rsid w:val="000D6E8D"/>
    <w:rsid w:val="000D6EAB"/>
    <w:rsid w:val="000E1F4F"/>
    <w:rsid w:val="000E40AB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33BDE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4107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3D9F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0FC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145A"/>
    <w:rsid w:val="00472FC1"/>
    <w:rsid w:val="004755BA"/>
    <w:rsid w:val="004765FF"/>
    <w:rsid w:val="00481E58"/>
    <w:rsid w:val="0048520E"/>
    <w:rsid w:val="00486163"/>
    <w:rsid w:val="00491109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3E4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5D45"/>
    <w:rsid w:val="00586BB8"/>
    <w:rsid w:val="00586EB9"/>
    <w:rsid w:val="00592321"/>
    <w:rsid w:val="005933B2"/>
    <w:rsid w:val="00593B87"/>
    <w:rsid w:val="005964AB"/>
    <w:rsid w:val="005A2BEB"/>
    <w:rsid w:val="005A2C87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7572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7EE6"/>
    <w:rsid w:val="00690B44"/>
    <w:rsid w:val="006912F3"/>
    <w:rsid w:val="00696E7A"/>
    <w:rsid w:val="006A0D14"/>
    <w:rsid w:val="006A47E5"/>
    <w:rsid w:val="006A6E9B"/>
    <w:rsid w:val="006A747C"/>
    <w:rsid w:val="006B08C6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56B3E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8D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BF3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3BC1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C73B3"/>
    <w:rsid w:val="008D06CB"/>
    <w:rsid w:val="008D279B"/>
    <w:rsid w:val="008D2B46"/>
    <w:rsid w:val="008D42C8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4813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36D"/>
    <w:rsid w:val="009828A4"/>
    <w:rsid w:val="00985001"/>
    <w:rsid w:val="00986895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4C4F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003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3DC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388D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2F44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002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33E9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8728A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6EC6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840BF3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840BF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tu.int/itu-d/sites/digital-impact-unlocked/all-stories/lis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n-ju.kim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MembersPartners/Pages/Partners/List-of-Partners.aspx" TargetMode="External"/><Relationship Id="rId1" Type="http://schemas.openxmlformats.org/officeDocument/2006/relationships/hyperlink" Target="https://www.itu.int/hub/membership/our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9AD11-09C0-402D-BB5D-65F27D438010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1049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Maloletkova, Svetlana</cp:lastModifiedBy>
  <cp:revision>14</cp:revision>
  <cp:lastPrinted>2019-01-16T07:57:00Z</cp:lastPrinted>
  <dcterms:created xsi:type="dcterms:W3CDTF">2025-04-24T13:17:00Z</dcterms:created>
  <dcterms:modified xsi:type="dcterms:W3CDTF">2025-04-25T14:47:00Z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