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57E62499">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5AA6824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57E62499">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57E62499">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7A881020"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821838">
              <w:rPr>
                <w:b/>
                <w:bCs/>
                <w:lang w:val="en-US"/>
              </w:rPr>
              <w:t>9</w:t>
            </w:r>
            <w:r w:rsidRPr="00403C69">
              <w:rPr>
                <w:b/>
                <w:bCs/>
                <w:lang w:val="en-US"/>
              </w:rPr>
              <w:t>-E</w:t>
            </w:r>
          </w:p>
        </w:tc>
      </w:tr>
      <w:tr w:rsidR="005B718F" w:rsidRPr="00403C69" w14:paraId="55AD5FBA" w14:textId="77777777" w:rsidTr="57E62499">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B36F240" w:rsidR="005B718F" w:rsidRPr="00403C69" w:rsidRDefault="000D2492" w:rsidP="005B718F">
            <w:pPr>
              <w:spacing w:before="0" w:line="240" w:lineRule="atLeast"/>
              <w:rPr>
                <w:rFonts w:cstheme="minorHAnsi"/>
                <w:szCs w:val="24"/>
              </w:rPr>
            </w:pPr>
            <w:r>
              <w:rPr>
                <w:b/>
                <w:bCs/>
                <w:szCs w:val="28"/>
              </w:rPr>
              <w:t>25 March 2025</w:t>
            </w:r>
          </w:p>
        </w:tc>
      </w:tr>
      <w:bookmarkEnd w:id="6"/>
      <w:bookmarkEnd w:id="7"/>
      <w:tr w:rsidR="005B718F" w:rsidRPr="00403C69" w14:paraId="07260C0B" w14:textId="77777777" w:rsidTr="57E62499">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57E62499">
        <w:trPr>
          <w:cantSplit/>
          <w:trHeight w:val="23"/>
        </w:trPr>
        <w:tc>
          <w:tcPr>
            <w:tcW w:w="10031" w:type="dxa"/>
            <w:gridSpan w:val="4"/>
            <w:shd w:val="clear" w:color="auto" w:fill="auto"/>
          </w:tcPr>
          <w:p w14:paraId="59A8A61C" w14:textId="5DC9EADD" w:rsidR="003D1814" w:rsidRPr="00403C69" w:rsidRDefault="00BE039E" w:rsidP="003D1814">
            <w:pPr>
              <w:pStyle w:val="Source"/>
              <w:spacing w:before="240" w:after="240"/>
            </w:pPr>
            <w:bookmarkStart w:id="8" w:name="dbluepink" w:colFirst="0" w:colLast="0"/>
            <w:bookmarkStart w:id="9" w:name="dorlang" w:colFirst="1" w:colLast="1"/>
            <w:r w:rsidRPr="009E1CC1">
              <w:t>Director, Telecommunication Development Bureau</w:t>
            </w:r>
          </w:p>
        </w:tc>
      </w:tr>
      <w:tr w:rsidR="003D1814" w:rsidRPr="00403C69" w14:paraId="7EDE1565" w14:textId="77777777" w:rsidTr="57E62499">
        <w:trPr>
          <w:cantSplit/>
          <w:trHeight w:val="23"/>
        </w:trPr>
        <w:tc>
          <w:tcPr>
            <w:tcW w:w="10031" w:type="dxa"/>
            <w:gridSpan w:val="4"/>
            <w:shd w:val="clear" w:color="auto" w:fill="auto"/>
            <w:vAlign w:val="center"/>
          </w:tcPr>
          <w:p w14:paraId="3D29924B" w14:textId="060CAE5E" w:rsidR="003D1814" w:rsidRPr="001655E8" w:rsidRDefault="00D21166" w:rsidP="003D1814">
            <w:pPr>
              <w:pStyle w:val="Title1"/>
              <w:spacing w:before="120" w:after="120"/>
              <w:rPr>
                <w:caps w:val="0"/>
              </w:rPr>
            </w:pPr>
            <w:r>
              <w:rPr>
                <w:caps w:val="0"/>
                <w:szCs w:val="28"/>
                <w:lang w:val="en-US"/>
              </w:rPr>
              <w:t>ITU-D partnerships and resource mobilization</w:t>
            </w:r>
          </w:p>
        </w:tc>
      </w:tr>
      <w:tr w:rsidR="008A75AD" w:rsidRPr="00403C69" w14:paraId="4FBA7816" w14:textId="77777777" w:rsidTr="57E6249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57E6249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50E94B8" w14:textId="2016022F" w:rsidR="00C77589" w:rsidRPr="00403C69" w:rsidRDefault="00D74854" w:rsidP="00C77589">
            <w:pPr>
              <w:spacing w:after="120"/>
            </w:pPr>
            <w:r>
              <w:t>The importance of partnerships and resource mobilization was highlighted by the World Telecommunication Development Conference 2022 (WTDC-22)</w:t>
            </w:r>
            <w:r w:rsidR="00251F7D">
              <w:t xml:space="preserve">, </w:t>
            </w:r>
            <w:r w:rsidR="000253AB">
              <w:t xml:space="preserve">in particular in the Kigali Declaration, in the Kigali Action Plan (sections 3.1 and 3.3) and Resolution 17 (Rev. Kigali, 2022) – </w:t>
            </w:r>
            <w:r w:rsidR="000253AB" w:rsidRPr="000253AB">
              <w:t>Implementation of and cooperation on approved regional initiatives at the national, regional, interregional and global levels</w:t>
            </w:r>
            <w:r>
              <w:t xml:space="preserve">. This document reports on partnerships and resource mobilization activities undertaken in </w:t>
            </w:r>
            <w:r w:rsidRPr="008D00D3">
              <w:t>2024</w:t>
            </w:r>
            <w:r>
              <w:t>.</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571D4E4E" w14:textId="77777777" w:rsidR="003601FB" w:rsidRPr="00DE04AA" w:rsidRDefault="003601FB" w:rsidP="003601FB">
            <w:pPr>
              <w:spacing w:after="120"/>
            </w:pPr>
            <w:r>
              <w:t xml:space="preserve">Sections 3.1 and 3.3 of the </w:t>
            </w:r>
            <w:r w:rsidRPr="00DE04AA">
              <w:t>Kigali Action Plan</w:t>
            </w:r>
          </w:p>
          <w:p w14:paraId="1A51E785" w14:textId="44577DD5" w:rsidR="003601FB" w:rsidRPr="00251F7D" w:rsidRDefault="003601FB" w:rsidP="003601FB">
            <w:pPr>
              <w:spacing w:after="120"/>
            </w:pPr>
            <w:r>
              <w:t>Resolution 17 (Rev. Kigali, 2022)</w:t>
            </w:r>
            <w:r w:rsidR="00251F7D">
              <w:t>, Implementation of and cooperation on approved regional initiatives at the national, regional interregional and global levels</w:t>
            </w:r>
          </w:p>
          <w:p w14:paraId="6A9AF37B" w14:textId="532BA358" w:rsidR="00C77589" w:rsidRPr="00403C69" w:rsidRDefault="003601FB" w:rsidP="003601FB">
            <w:pPr>
              <w:spacing w:after="120"/>
            </w:pPr>
            <w:r>
              <w:t>WTDC-22 Declaration</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109B5C8F" w14:textId="77777777" w:rsidR="00D93FBE" w:rsidRDefault="00FF220A" w:rsidP="00D93FBE">
      <w:pPr>
        <w:overflowPunct/>
        <w:autoSpaceDE/>
        <w:autoSpaceDN/>
        <w:adjustRightInd/>
        <w:spacing w:before="0"/>
        <w:textAlignment w:val="auto"/>
        <w:rPr>
          <w:rFonts w:ascii="Calibri" w:eastAsia="SimHei" w:hAnsi="Calibri" w:cs="Simplified Arabic"/>
          <w:b/>
          <w:bCs/>
          <w:szCs w:val="24"/>
        </w:rPr>
      </w:pPr>
      <w:r>
        <w:rPr>
          <w:szCs w:val="24"/>
        </w:rPr>
        <w:br w:type="page"/>
      </w:r>
    </w:p>
    <w:p w14:paraId="333A8DBA" w14:textId="77777777" w:rsidR="00D93FBE" w:rsidRPr="00FA5EA2" w:rsidRDefault="00D93FBE" w:rsidP="00D93FBE">
      <w:pPr>
        <w:pStyle w:val="ListParagraph"/>
        <w:numPr>
          <w:ilvl w:val="0"/>
          <w:numId w:val="46"/>
        </w:numPr>
        <w:spacing w:after="120"/>
        <w:ind w:left="357" w:hanging="357"/>
        <w:contextualSpacing w:val="0"/>
        <w:rPr>
          <w:b/>
          <w:bCs/>
          <w:szCs w:val="24"/>
        </w:rPr>
      </w:pPr>
      <w:r w:rsidRPr="00FA5EA2">
        <w:rPr>
          <w:b/>
          <w:bCs/>
          <w:szCs w:val="24"/>
        </w:rPr>
        <w:lastRenderedPageBreak/>
        <w:t>Background</w:t>
      </w:r>
    </w:p>
    <w:p w14:paraId="685BDFC0" w14:textId="0733CE1F" w:rsidR="00D93FBE" w:rsidRPr="002249A5" w:rsidRDefault="00D93FBE" w:rsidP="00D93FBE">
      <w:pPr>
        <w:spacing w:after="120"/>
        <w:rPr>
          <w:szCs w:val="24"/>
        </w:rPr>
      </w:pPr>
      <w:r w:rsidRPr="002249A5">
        <w:rPr>
          <w:szCs w:val="24"/>
        </w:rPr>
        <w:t>The World Telecommunication Development Conference 2022 (WTDC-22) recognized the importance of Resource Mobilization and International Cooperation as a new ITU-D Priority and Enabler of the Kigali Action Plan: “The focus of this Priority is on mobilizing and attracting resources and fostering international cooperation on telecommunication/ICT development issues.</w:t>
      </w:r>
      <w:r w:rsidR="00E117AD">
        <w:rPr>
          <w:szCs w:val="24"/>
        </w:rPr>
        <w:t xml:space="preserve"> </w:t>
      </w:r>
      <w:r w:rsidRPr="002249A5">
        <w:rPr>
          <w:szCs w:val="24"/>
        </w:rPr>
        <w:t>This Priority is also cross cutting by providing resources and fostering international cooperation to deliver relevant global outcomes. In doing so, the needs of developing countries, least developed countries, small island developing states, landlocked developing countries, and countries with economies in transition as well as underserved and vulnerable populations should be prioritized and given due attention.” (Kigali Action Plan)</w:t>
      </w:r>
      <w:r>
        <w:rPr>
          <w:szCs w:val="24"/>
        </w:rPr>
        <w:t>.</w:t>
      </w:r>
    </w:p>
    <w:p w14:paraId="27A3B805" w14:textId="77777777" w:rsidR="00D93FBE" w:rsidRPr="002249A5" w:rsidRDefault="00D93FBE" w:rsidP="00D93FBE">
      <w:pPr>
        <w:spacing w:after="120"/>
        <w:rPr>
          <w:szCs w:val="24"/>
        </w:rPr>
      </w:pPr>
      <w:r w:rsidRPr="002249A5">
        <w:rPr>
          <w:szCs w:val="24"/>
        </w:rPr>
        <w:t xml:space="preserve">Resolution 17 (Rev. Kigali, 2022) on “Implementation of and cooperation on approved regional initiatives at the national, regional interregional and global levels” instructs the BDT Director “to ensure that BDT facilitates the active involvement of regional and subregional telecommunication organizations in the different phases of project management established by ITU, as well as in forging partnerships and resource mobilization, with a view to effectively advancing the implementation of regional initiatives.” </w:t>
      </w:r>
    </w:p>
    <w:p w14:paraId="4ED7678A" w14:textId="77777777" w:rsidR="00D93FBE" w:rsidRPr="002249A5" w:rsidRDefault="00D93FBE" w:rsidP="00D93FBE">
      <w:pPr>
        <w:pStyle w:val="ListParagraph"/>
        <w:keepNext/>
        <w:numPr>
          <w:ilvl w:val="0"/>
          <w:numId w:val="46"/>
        </w:numPr>
        <w:spacing w:after="120"/>
        <w:ind w:left="357" w:hanging="357"/>
        <w:contextualSpacing w:val="0"/>
        <w:rPr>
          <w:b/>
          <w:bCs/>
          <w:szCs w:val="24"/>
        </w:rPr>
      </w:pPr>
      <w:r w:rsidRPr="002249A5">
        <w:rPr>
          <w:b/>
          <w:bCs/>
          <w:szCs w:val="24"/>
        </w:rPr>
        <w:t>ITU-D partnerships and resource mobilization strategic objective</w:t>
      </w:r>
    </w:p>
    <w:p w14:paraId="55A7E295" w14:textId="77777777" w:rsidR="009901F2" w:rsidRDefault="00D93FBE" w:rsidP="00D93FBE">
      <w:pPr>
        <w:spacing w:after="120"/>
        <w:rPr>
          <w:szCs w:val="24"/>
        </w:rPr>
      </w:pPr>
      <w:r w:rsidRPr="002249A5">
        <w:rPr>
          <w:szCs w:val="24"/>
        </w:rPr>
        <w:t xml:space="preserve">In </w:t>
      </w:r>
      <w:r>
        <w:rPr>
          <w:szCs w:val="24"/>
        </w:rPr>
        <w:t>line</w:t>
      </w:r>
      <w:r w:rsidRPr="002249A5">
        <w:rPr>
          <w:szCs w:val="24"/>
        </w:rPr>
        <w:t xml:space="preserve"> with the outcomes of the WTDC-22, the </w:t>
      </w:r>
      <w:r>
        <w:rPr>
          <w:szCs w:val="24"/>
        </w:rPr>
        <w:t xml:space="preserve">goal </w:t>
      </w:r>
      <w:r w:rsidRPr="002249A5">
        <w:rPr>
          <w:szCs w:val="24"/>
        </w:rPr>
        <w:t xml:space="preserve">is to </w:t>
      </w:r>
      <w:r>
        <w:rPr>
          <w:szCs w:val="24"/>
        </w:rPr>
        <w:t>foster</w:t>
      </w:r>
      <w:r w:rsidRPr="002249A5">
        <w:rPr>
          <w:szCs w:val="24"/>
        </w:rPr>
        <w:t xml:space="preserve">, develop and strengthen partnership and international collaboration with </w:t>
      </w:r>
      <w:r>
        <w:rPr>
          <w:szCs w:val="24"/>
        </w:rPr>
        <w:t>a broad</w:t>
      </w:r>
      <w:r w:rsidRPr="002249A5">
        <w:rPr>
          <w:szCs w:val="24"/>
        </w:rPr>
        <w:t xml:space="preserve"> range of partners from both developed and developing countries</w:t>
      </w:r>
      <w:r>
        <w:rPr>
          <w:szCs w:val="24"/>
        </w:rPr>
        <w:t xml:space="preserve">. </w:t>
      </w:r>
    </w:p>
    <w:p w14:paraId="38ABFD2A" w14:textId="0078D0EE" w:rsidR="00D93FBE" w:rsidRPr="002249A5" w:rsidRDefault="00D93FBE" w:rsidP="00D93FBE">
      <w:pPr>
        <w:spacing w:after="120"/>
        <w:rPr>
          <w:szCs w:val="24"/>
        </w:rPr>
      </w:pPr>
      <w:r>
        <w:rPr>
          <w:szCs w:val="24"/>
        </w:rPr>
        <w:t xml:space="preserve">This aims to </w:t>
      </w:r>
      <w:r w:rsidRPr="002249A5">
        <w:rPr>
          <w:szCs w:val="24"/>
        </w:rPr>
        <w:t>enhanc</w:t>
      </w:r>
      <w:r>
        <w:rPr>
          <w:szCs w:val="24"/>
        </w:rPr>
        <w:t>e</w:t>
      </w:r>
      <w:r w:rsidRPr="002249A5">
        <w:rPr>
          <w:szCs w:val="24"/>
        </w:rPr>
        <w:t xml:space="preserve"> coordination, </w:t>
      </w:r>
      <w:r>
        <w:rPr>
          <w:szCs w:val="24"/>
        </w:rPr>
        <w:t xml:space="preserve">share </w:t>
      </w:r>
      <w:r w:rsidRPr="002249A5">
        <w:rPr>
          <w:szCs w:val="24"/>
        </w:rPr>
        <w:t>expertise</w:t>
      </w:r>
      <w:r w:rsidR="00251F7D">
        <w:rPr>
          <w:szCs w:val="24"/>
        </w:rPr>
        <w:t>,</w:t>
      </w:r>
      <w:r w:rsidRPr="002249A5">
        <w:rPr>
          <w:szCs w:val="24"/>
        </w:rPr>
        <w:t xml:space="preserve"> and </w:t>
      </w:r>
      <w:r>
        <w:rPr>
          <w:szCs w:val="24"/>
        </w:rPr>
        <w:t xml:space="preserve">mobilize </w:t>
      </w:r>
      <w:r w:rsidRPr="002249A5">
        <w:rPr>
          <w:szCs w:val="24"/>
        </w:rPr>
        <w:t>resource</w:t>
      </w:r>
      <w:r>
        <w:rPr>
          <w:szCs w:val="24"/>
        </w:rPr>
        <w:t xml:space="preserve">s </w:t>
      </w:r>
      <w:r w:rsidRPr="002249A5">
        <w:rPr>
          <w:szCs w:val="24"/>
        </w:rPr>
        <w:t>for the implementation of programmes, activities</w:t>
      </w:r>
      <w:r w:rsidR="00251F7D">
        <w:rPr>
          <w:szCs w:val="24"/>
        </w:rPr>
        <w:t>,</w:t>
      </w:r>
      <w:r w:rsidRPr="002249A5">
        <w:rPr>
          <w:szCs w:val="24"/>
        </w:rPr>
        <w:t xml:space="preserve"> and initiatives for sustainable development.</w:t>
      </w:r>
    </w:p>
    <w:p w14:paraId="391BFA8B" w14:textId="77777777" w:rsidR="00D93FBE" w:rsidRPr="002249A5" w:rsidRDefault="00D93FBE" w:rsidP="00D93FBE">
      <w:pPr>
        <w:pStyle w:val="ListParagraph"/>
        <w:keepNext/>
        <w:numPr>
          <w:ilvl w:val="0"/>
          <w:numId w:val="46"/>
        </w:numPr>
        <w:spacing w:after="120"/>
        <w:ind w:left="357" w:hanging="357"/>
        <w:contextualSpacing w:val="0"/>
        <w:rPr>
          <w:b/>
          <w:bCs/>
          <w:szCs w:val="24"/>
        </w:rPr>
      </w:pPr>
      <w:r w:rsidRPr="002249A5">
        <w:rPr>
          <w:b/>
          <w:bCs/>
          <w:szCs w:val="24"/>
        </w:rPr>
        <w:t>Partnerships and results of resource mobilization in 202</w:t>
      </w:r>
      <w:r>
        <w:rPr>
          <w:b/>
          <w:bCs/>
          <w:szCs w:val="24"/>
        </w:rPr>
        <w:t>4</w:t>
      </w:r>
    </w:p>
    <w:p w14:paraId="01676883" w14:textId="73ABB061" w:rsidR="00D93FBE" w:rsidRDefault="00D93FBE" w:rsidP="00D93FBE">
      <w:pPr>
        <w:spacing w:after="120"/>
      </w:pPr>
      <w:r>
        <w:t>In 2024, through the collaborative efforts of ITU membership</w:t>
      </w:r>
      <w:r w:rsidR="00251F7D">
        <w:t>s</w:t>
      </w:r>
      <w:r>
        <w:t xml:space="preserve">, partners and BDT staff (both in the regions and at headquarters), </w:t>
      </w:r>
      <w:r w:rsidR="00AC5CFD">
        <w:t xml:space="preserve">the </w:t>
      </w:r>
      <w:r>
        <w:t>ITU/BDT signed 89 partnership agreements</w:t>
      </w:r>
      <w:r>
        <w:rPr>
          <w:rStyle w:val="FootnoteReference"/>
        </w:rPr>
        <w:footnoteReference w:id="2"/>
      </w:r>
      <w:r>
        <w:t xml:space="preserve"> out of which 53 included financial contributions totalling approximately USD 33.8 million, with 92% contributed by BDT partners and 8% by ITU.</w:t>
      </w:r>
    </w:p>
    <w:p w14:paraId="0DA2A309" w14:textId="4600909D" w:rsidR="00AC0A1D" w:rsidRDefault="00D93FBE" w:rsidP="00D93FBE">
      <w:pPr>
        <w:spacing w:after="120"/>
      </w:pPr>
      <w:r>
        <w:t>These partnership agreements were signed with 73 partners</w:t>
      </w:r>
      <w:r w:rsidR="00AC0A1D">
        <w:t xml:space="preserve"> </w:t>
      </w:r>
      <w:r w:rsidR="008E47CC">
        <w:t>of different type</w:t>
      </w:r>
      <w:r w:rsidR="000B44C1">
        <w:t xml:space="preserve">, distributed as </w:t>
      </w:r>
      <w:r w:rsidR="00AC0A1D">
        <w:t>follow:</w:t>
      </w:r>
    </w:p>
    <w:p w14:paraId="53B6B354" w14:textId="52BABECC" w:rsidR="00E73B24" w:rsidRDefault="00E73B24" w:rsidP="00AC5CFD">
      <w:pPr>
        <w:spacing w:after="120"/>
        <w:jc w:val="center"/>
      </w:pPr>
      <w:r>
        <w:rPr>
          <w:noProof/>
        </w:rPr>
        <w:drawing>
          <wp:inline distT="0" distB="0" distL="0" distR="0" wp14:anchorId="78DB9D14" wp14:editId="1763FA9C">
            <wp:extent cx="6195060" cy="2247900"/>
            <wp:effectExtent l="0" t="0" r="15240" b="0"/>
            <wp:docPr id="1286971942" name="Chart 1">
              <a:extLst xmlns:a="http://schemas.openxmlformats.org/drawingml/2006/main">
                <a:ext uri="{FF2B5EF4-FFF2-40B4-BE49-F238E27FC236}">
                  <a16:creationId xmlns:a16="http://schemas.microsoft.com/office/drawing/2014/main" id="{9F4A11F8-0397-6619-3F3C-608512B04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817E23" w14:textId="03C53661" w:rsidR="00251F7D" w:rsidRDefault="005E21E3" w:rsidP="00D93FBE">
      <w:pPr>
        <w:spacing w:after="120"/>
      </w:pPr>
      <w:r>
        <w:t>*</w:t>
      </w:r>
    </w:p>
    <w:p w14:paraId="09803F29" w14:textId="3E891203" w:rsidR="00162063" w:rsidRDefault="00AC0A1D" w:rsidP="00D93FBE">
      <w:pPr>
        <w:spacing w:after="120"/>
      </w:pPr>
      <w:r>
        <w:lastRenderedPageBreak/>
        <w:t xml:space="preserve">These partners included </w:t>
      </w:r>
      <w:r w:rsidR="00D93FBE" w:rsidRPr="00DD1B88">
        <w:t>1</w:t>
      </w:r>
      <w:r w:rsidR="00D93FBE">
        <w:t>9</w:t>
      </w:r>
      <w:r w:rsidR="00D93FBE" w:rsidRPr="00DD1B88">
        <w:t xml:space="preserve"> Member States, 7 ITU-D Sector Members, </w:t>
      </w:r>
      <w:r w:rsidR="00267576">
        <w:t>3</w:t>
      </w:r>
      <w:r w:rsidR="00D93FBE" w:rsidRPr="00DD1B88">
        <w:t xml:space="preserve"> Academia</w:t>
      </w:r>
      <w:r w:rsidR="00251F7D">
        <w:t>,</w:t>
      </w:r>
      <w:r w:rsidR="00D93FBE" w:rsidRPr="00DD1B88">
        <w:t xml:space="preserve"> and 2 Regional and other International Organizations, </w:t>
      </w:r>
      <w:r w:rsidR="00D93FBE">
        <w:t xml:space="preserve">based on </w:t>
      </w:r>
      <w:r w:rsidR="00D93FBE" w:rsidRPr="00DD1B88">
        <w:t>ITU Membership categories</w:t>
      </w:r>
      <w:r w:rsidR="00D93FBE">
        <w:rPr>
          <w:rStyle w:val="FootnoteReference"/>
        </w:rPr>
        <w:footnoteReference w:id="3"/>
      </w:r>
      <w:r w:rsidR="00D93FBE">
        <w:t xml:space="preserve">. </w:t>
      </w:r>
    </w:p>
    <w:p w14:paraId="77211E09" w14:textId="4F5B35B1" w:rsidR="00D93FBE" w:rsidRDefault="00251F7D" w:rsidP="00D93FBE">
      <w:pPr>
        <w:spacing w:after="120"/>
      </w:pPr>
      <w:r>
        <w:t xml:space="preserve">Out </w:t>
      </w:r>
      <w:r w:rsidR="000253AB">
        <w:t>o</w:t>
      </w:r>
      <w:r w:rsidR="00D93FBE">
        <w:t xml:space="preserve">f </w:t>
      </w:r>
      <w:r w:rsidR="00731FA3">
        <w:t xml:space="preserve">the </w:t>
      </w:r>
      <w:r w:rsidR="00D93FBE">
        <w:t xml:space="preserve">73 </w:t>
      </w:r>
      <w:r w:rsidR="00731FA3">
        <w:t xml:space="preserve">BDT </w:t>
      </w:r>
      <w:r w:rsidR="00D93FBE">
        <w:t>partners, 33 </w:t>
      </w:r>
      <w:r w:rsidR="001F5C6A">
        <w:t xml:space="preserve">signed </w:t>
      </w:r>
      <w:r w:rsidR="00D93FBE">
        <w:t>financial contribution</w:t>
      </w:r>
      <w:r w:rsidR="001F5C6A">
        <w:t>(s)</w:t>
      </w:r>
      <w:r w:rsidR="008230D7">
        <w:t xml:space="preserve"> </w:t>
      </w:r>
      <w:r w:rsidR="00D93FBE">
        <w:t xml:space="preserve">for a </w:t>
      </w:r>
      <w:r w:rsidR="008C2B07">
        <w:t xml:space="preserve">total </w:t>
      </w:r>
      <w:r w:rsidR="00D93FBE">
        <w:t>amount of about</w:t>
      </w:r>
      <w:r w:rsidR="00C678C3">
        <w:t xml:space="preserve"> </w:t>
      </w:r>
      <w:r w:rsidR="00D93FBE">
        <w:t>USD</w:t>
      </w:r>
      <w:r w:rsidR="00C678C3">
        <w:t> </w:t>
      </w:r>
      <w:r w:rsidR="00D93FBE">
        <w:t>31.1</w:t>
      </w:r>
      <w:r w:rsidR="00C678C3">
        <w:t> </w:t>
      </w:r>
      <w:r w:rsidR="00D93FBE">
        <w:t>million</w:t>
      </w:r>
      <w:r w:rsidR="00C678C3">
        <w:t xml:space="preserve"> distributed </w:t>
      </w:r>
      <w:r w:rsidR="008C2B07">
        <w:t>as detailed below</w:t>
      </w:r>
      <w:r w:rsidR="00A55AF0">
        <w:t>:</w:t>
      </w:r>
    </w:p>
    <w:p w14:paraId="0126EC94" w14:textId="0C1904CE" w:rsidR="000A7760" w:rsidRDefault="000A7760" w:rsidP="00D93FBE">
      <w:pPr>
        <w:spacing w:after="120"/>
      </w:pPr>
      <w:r>
        <w:rPr>
          <w:noProof/>
        </w:rPr>
        <mc:AlternateContent>
          <mc:Choice Requires="cx1">
            <w:drawing>
              <wp:inline distT="0" distB="0" distL="0" distR="0" wp14:anchorId="36DA07D0" wp14:editId="2D00AC31">
                <wp:extent cx="6118860" cy="2453640"/>
                <wp:effectExtent l="0" t="0" r="15240" b="3810"/>
                <wp:docPr id="1168178718" name="Chart 1">
                  <a:extLst xmlns:a="http://schemas.openxmlformats.org/drawingml/2006/main">
                    <a:ext uri="{FF2B5EF4-FFF2-40B4-BE49-F238E27FC236}">
                      <a16:creationId xmlns:a16="http://schemas.microsoft.com/office/drawing/2014/main" id="{992DD401-5E67-CF28-D5E2-BCFBAE54E3D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arto="http://schemas.microsoft.com/office/word/2006/arto">
            <w:drawing>
              <wp:inline distT="0" distB="0" distL="0" distR="0" wp14:anchorId="2210155E" wp14:editId="2D00AC31">
                <wp:extent cx="6118860" cy="2453640"/>
                <wp:effectExtent l="0" t="0" r="15240" b="3810"/>
                <wp:docPr id="1324421822" name="Chart 1">
                  <a:extLst xmlns:a="http://schemas.openxmlformats.org/drawingml/2006/main">
                    <a:ext uri="{FF2B5EF4-FFF2-40B4-BE49-F238E27FC236}">
                      <a16:creationId xmlns:a16="http://schemas.microsoft.com/office/drawing/2014/main" id="{992DD401-5E67-CF28-D5E2-BCFBAE54E3D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68178718" name="Chart 1">
                          <a:extLst>
                            <a:ext uri="{FF2B5EF4-FFF2-40B4-BE49-F238E27FC236}">
                              <a16:creationId xmlns:a16="http://schemas.microsoft.com/office/drawing/2014/main" id="{992DD401-5E67-CF28-D5E2-BCFBAE54E3D9}"/>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6118860" cy="2453640"/>
                        </a:xfrm>
                        <a:prstGeom prst="rect">
                          <a:avLst/>
                        </a:prstGeom>
                      </pic:spPr>
                    </pic:pic>
                  </a:graphicData>
                </a:graphic>
              </wp:inline>
            </w:drawing>
          </mc:Fallback>
        </mc:AlternateContent>
      </w:r>
    </w:p>
    <w:p w14:paraId="1EF4B6FB" w14:textId="2B43EB7B" w:rsidR="00D93FBE" w:rsidRDefault="00C6239E" w:rsidP="00D93FBE">
      <w:pPr>
        <w:keepNext/>
        <w:spacing w:after="120"/>
        <w:jc w:val="both"/>
      </w:pPr>
      <w:r>
        <w:rPr>
          <w:lang w:val="en-US"/>
        </w:rPr>
        <w:t>For 2024, BDT</w:t>
      </w:r>
      <w:r w:rsidR="00251F7D">
        <w:rPr>
          <w:lang w:val="en-US"/>
        </w:rPr>
        <w:t>’s</w:t>
      </w:r>
      <w:r>
        <w:rPr>
          <w:lang w:val="en-US"/>
        </w:rPr>
        <w:t xml:space="preserve"> </w:t>
      </w:r>
      <w:r w:rsidR="00D93FBE">
        <w:t>top 10 financial partners</w:t>
      </w:r>
      <w:r w:rsidR="00D93FBE">
        <w:rPr>
          <w:rStyle w:val="FootnoteReference"/>
        </w:rPr>
        <w:footnoteReference w:id="4"/>
      </w:r>
      <w:r w:rsidR="00D93FBE">
        <w:t xml:space="preserve"> were:</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519"/>
        <w:gridCol w:w="4110"/>
      </w:tblGrid>
      <w:tr w:rsidR="00D93FBE" w:rsidRPr="007C4BE0" w14:paraId="17284476" w14:textId="77777777" w:rsidTr="00C6239E">
        <w:tc>
          <w:tcPr>
            <w:tcW w:w="5519" w:type="dxa"/>
            <w:tcBorders>
              <w:bottom w:val="single" w:sz="4" w:space="0" w:color="auto"/>
            </w:tcBorders>
            <w:shd w:val="clear" w:color="auto" w:fill="DBE5F1" w:themeFill="accent1" w:themeFillTint="33"/>
          </w:tcPr>
          <w:p w14:paraId="2D1C8331" w14:textId="77777777" w:rsidR="00D93FBE" w:rsidRPr="00960B89" w:rsidRDefault="00D93FBE">
            <w:pPr>
              <w:spacing w:after="60"/>
              <w:rPr>
                <w:b/>
                <w:bCs/>
                <w:szCs w:val="24"/>
              </w:rPr>
            </w:pPr>
            <w:r w:rsidRPr="00960B89">
              <w:rPr>
                <w:b/>
                <w:bCs/>
                <w:szCs w:val="24"/>
              </w:rPr>
              <w:t>Partner</w:t>
            </w:r>
          </w:p>
        </w:tc>
        <w:tc>
          <w:tcPr>
            <w:tcW w:w="4110" w:type="dxa"/>
            <w:tcBorders>
              <w:bottom w:val="single" w:sz="4" w:space="0" w:color="auto"/>
            </w:tcBorders>
            <w:shd w:val="clear" w:color="auto" w:fill="DBE5F1" w:themeFill="accent1" w:themeFillTint="33"/>
          </w:tcPr>
          <w:p w14:paraId="39E1B7A2" w14:textId="77777777" w:rsidR="00D93FBE" w:rsidRPr="00960B89" w:rsidRDefault="00D93FBE">
            <w:pPr>
              <w:spacing w:before="60"/>
              <w:jc w:val="center"/>
              <w:rPr>
                <w:b/>
                <w:bCs/>
                <w:szCs w:val="24"/>
              </w:rPr>
            </w:pPr>
            <w:r w:rsidRPr="00960B89">
              <w:rPr>
                <w:b/>
                <w:bCs/>
                <w:szCs w:val="24"/>
              </w:rPr>
              <w:t>Signed financial contributions</w:t>
            </w:r>
          </w:p>
          <w:p w14:paraId="234E8A9C" w14:textId="77777777" w:rsidR="00D93FBE" w:rsidRPr="00960B89" w:rsidRDefault="00D93FBE">
            <w:pPr>
              <w:spacing w:before="0" w:after="60"/>
              <w:jc w:val="center"/>
              <w:rPr>
                <w:szCs w:val="24"/>
              </w:rPr>
            </w:pPr>
            <w:r w:rsidRPr="00E4260D">
              <w:rPr>
                <w:sz w:val="22"/>
                <w:szCs w:val="22"/>
              </w:rPr>
              <w:t>(in USD as per date of signature)</w:t>
            </w:r>
          </w:p>
        </w:tc>
      </w:tr>
      <w:tr w:rsidR="00D93FBE" w:rsidRPr="007C4BE0" w14:paraId="1385D113" w14:textId="77777777">
        <w:tc>
          <w:tcPr>
            <w:tcW w:w="5519" w:type="dxa"/>
            <w:tcBorders>
              <w:top w:val="single" w:sz="4" w:space="0" w:color="auto"/>
              <w:left w:val="single" w:sz="4" w:space="0" w:color="auto"/>
              <w:bottom w:val="single" w:sz="4" w:space="0" w:color="auto"/>
              <w:right w:val="single" w:sz="4" w:space="0" w:color="auto"/>
            </w:tcBorders>
          </w:tcPr>
          <w:p w14:paraId="7ED728C6" w14:textId="77777777" w:rsidR="00D93FBE" w:rsidRPr="00960B89" w:rsidRDefault="00D93FBE">
            <w:pPr>
              <w:spacing w:before="60" w:after="60"/>
              <w:rPr>
                <w:szCs w:val="24"/>
              </w:rPr>
            </w:pPr>
            <w:r w:rsidRPr="00960B89">
              <w:rPr>
                <w:szCs w:val="24"/>
              </w:rPr>
              <w:t xml:space="preserve">European </w:t>
            </w:r>
            <w:r>
              <w:rPr>
                <w:szCs w:val="24"/>
              </w:rPr>
              <w:t>Union represented by the European Commission</w:t>
            </w:r>
          </w:p>
        </w:tc>
        <w:tc>
          <w:tcPr>
            <w:tcW w:w="4110" w:type="dxa"/>
            <w:tcBorders>
              <w:top w:val="single" w:sz="4" w:space="0" w:color="auto"/>
              <w:left w:val="single" w:sz="4" w:space="0" w:color="auto"/>
              <w:bottom w:val="single" w:sz="4" w:space="0" w:color="auto"/>
              <w:right w:val="single" w:sz="4" w:space="0" w:color="auto"/>
            </w:tcBorders>
          </w:tcPr>
          <w:p w14:paraId="1F441FD4" w14:textId="77777777" w:rsidR="00D93FBE" w:rsidRPr="00960B89" w:rsidRDefault="00D93FBE">
            <w:pPr>
              <w:spacing w:before="60" w:after="60"/>
              <w:jc w:val="center"/>
              <w:rPr>
                <w:szCs w:val="24"/>
              </w:rPr>
            </w:pPr>
            <w:r w:rsidRPr="00960B89">
              <w:rPr>
                <w:szCs w:val="24"/>
              </w:rPr>
              <w:t>USD 19.82 million</w:t>
            </w:r>
          </w:p>
        </w:tc>
      </w:tr>
      <w:tr w:rsidR="00D93FBE" w:rsidRPr="007C4BE0" w14:paraId="58F88F75" w14:textId="77777777">
        <w:tc>
          <w:tcPr>
            <w:tcW w:w="5519" w:type="dxa"/>
            <w:tcBorders>
              <w:top w:val="single" w:sz="4" w:space="0" w:color="auto"/>
              <w:left w:val="single" w:sz="4" w:space="0" w:color="auto"/>
              <w:bottom w:val="single" w:sz="4" w:space="0" w:color="auto"/>
              <w:right w:val="single" w:sz="4" w:space="0" w:color="auto"/>
            </w:tcBorders>
          </w:tcPr>
          <w:p w14:paraId="0FB27D34" w14:textId="77777777" w:rsidR="00D93FBE" w:rsidRPr="00960B89" w:rsidRDefault="00D93FBE">
            <w:pPr>
              <w:spacing w:before="60" w:after="60"/>
              <w:rPr>
                <w:szCs w:val="24"/>
              </w:rPr>
            </w:pPr>
            <w:r w:rsidRPr="00960B89">
              <w:rPr>
                <w:szCs w:val="24"/>
              </w:rPr>
              <w:t>United Nations Children's Fund</w:t>
            </w:r>
          </w:p>
        </w:tc>
        <w:tc>
          <w:tcPr>
            <w:tcW w:w="4110" w:type="dxa"/>
            <w:tcBorders>
              <w:top w:val="single" w:sz="4" w:space="0" w:color="auto"/>
              <w:left w:val="single" w:sz="4" w:space="0" w:color="auto"/>
              <w:bottom w:val="single" w:sz="4" w:space="0" w:color="auto"/>
              <w:right w:val="single" w:sz="4" w:space="0" w:color="auto"/>
            </w:tcBorders>
          </w:tcPr>
          <w:p w14:paraId="4D79E950" w14:textId="77777777" w:rsidR="00D93FBE" w:rsidRPr="00960B89" w:rsidRDefault="00D93FBE">
            <w:pPr>
              <w:spacing w:before="60" w:after="60"/>
              <w:jc w:val="center"/>
              <w:rPr>
                <w:szCs w:val="24"/>
              </w:rPr>
            </w:pPr>
            <w:r w:rsidRPr="00960B89">
              <w:rPr>
                <w:szCs w:val="24"/>
              </w:rPr>
              <w:t>USD 1.82 million</w:t>
            </w:r>
          </w:p>
        </w:tc>
      </w:tr>
      <w:tr w:rsidR="00D93FBE" w:rsidRPr="007C4BE0" w14:paraId="0406E40A" w14:textId="77777777">
        <w:trPr>
          <w:trHeight w:val="354"/>
        </w:trPr>
        <w:tc>
          <w:tcPr>
            <w:tcW w:w="5519" w:type="dxa"/>
            <w:tcBorders>
              <w:top w:val="single" w:sz="4" w:space="0" w:color="auto"/>
              <w:left w:val="single" w:sz="4" w:space="0" w:color="auto"/>
              <w:bottom w:val="single" w:sz="4" w:space="0" w:color="auto"/>
              <w:right w:val="single" w:sz="4" w:space="0" w:color="auto"/>
            </w:tcBorders>
          </w:tcPr>
          <w:p w14:paraId="52A45CD6" w14:textId="77777777" w:rsidR="00D93FBE" w:rsidRPr="00960B89" w:rsidRDefault="00D93FBE">
            <w:pPr>
              <w:spacing w:before="60" w:after="60"/>
              <w:rPr>
                <w:szCs w:val="24"/>
              </w:rPr>
            </w:pPr>
            <w:r w:rsidRPr="00960B89">
              <w:rPr>
                <w:szCs w:val="24"/>
              </w:rPr>
              <w:t>United Nations Office for Disaster Risk Reduction</w:t>
            </w:r>
            <w:r>
              <w:rPr>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14:paraId="068A55B6" w14:textId="77777777" w:rsidR="00D93FBE" w:rsidRPr="00960B89" w:rsidRDefault="00D93FBE">
            <w:pPr>
              <w:spacing w:before="60" w:after="60"/>
              <w:jc w:val="center"/>
              <w:rPr>
                <w:szCs w:val="24"/>
              </w:rPr>
            </w:pPr>
            <w:r w:rsidRPr="00960B89">
              <w:rPr>
                <w:szCs w:val="24"/>
              </w:rPr>
              <w:t>USD 1.75 million</w:t>
            </w:r>
          </w:p>
        </w:tc>
      </w:tr>
      <w:tr w:rsidR="00D93FBE" w:rsidRPr="007C4BE0" w14:paraId="2FEDBA1E" w14:textId="77777777">
        <w:trPr>
          <w:trHeight w:val="354"/>
        </w:trPr>
        <w:tc>
          <w:tcPr>
            <w:tcW w:w="5519" w:type="dxa"/>
            <w:tcBorders>
              <w:top w:val="single" w:sz="4" w:space="0" w:color="auto"/>
              <w:left w:val="single" w:sz="4" w:space="0" w:color="auto"/>
              <w:bottom w:val="single" w:sz="4" w:space="0" w:color="auto"/>
              <w:right w:val="single" w:sz="4" w:space="0" w:color="auto"/>
            </w:tcBorders>
          </w:tcPr>
          <w:p w14:paraId="1766FA99" w14:textId="77777777" w:rsidR="00D93FBE" w:rsidRPr="00F610E2" w:rsidRDefault="00D93FBE">
            <w:pPr>
              <w:spacing w:before="60" w:after="60"/>
              <w:rPr>
                <w:szCs w:val="24"/>
                <w:lang w:val="de-DE"/>
              </w:rPr>
            </w:pPr>
            <w:r w:rsidRPr="00F610E2">
              <w:rPr>
                <w:szCs w:val="24"/>
                <w:lang w:val="de-DE"/>
              </w:rPr>
              <w:t xml:space="preserve">Deutsche Gesellschaft für Internationale Zusammenarbeit GmbH </w:t>
            </w:r>
          </w:p>
        </w:tc>
        <w:tc>
          <w:tcPr>
            <w:tcW w:w="4110" w:type="dxa"/>
            <w:tcBorders>
              <w:top w:val="single" w:sz="4" w:space="0" w:color="auto"/>
              <w:left w:val="single" w:sz="4" w:space="0" w:color="auto"/>
              <w:bottom w:val="single" w:sz="4" w:space="0" w:color="auto"/>
              <w:right w:val="single" w:sz="4" w:space="0" w:color="auto"/>
            </w:tcBorders>
          </w:tcPr>
          <w:p w14:paraId="64A88470" w14:textId="77777777" w:rsidR="00D93FBE" w:rsidRPr="00960B89" w:rsidRDefault="00D93FBE">
            <w:pPr>
              <w:spacing w:before="60" w:after="60"/>
              <w:jc w:val="center"/>
              <w:rPr>
                <w:szCs w:val="24"/>
              </w:rPr>
            </w:pPr>
            <w:r w:rsidRPr="00960B89">
              <w:rPr>
                <w:szCs w:val="24"/>
              </w:rPr>
              <w:t>USD 1.09 million</w:t>
            </w:r>
          </w:p>
        </w:tc>
      </w:tr>
      <w:tr w:rsidR="00D93FBE" w:rsidRPr="007C4BE0" w14:paraId="6748748D" w14:textId="77777777" w:rsidTr="00C6239E">
        <w:trPr>
          <w:trHeight w:val="354"/>
        </w:trPr>
        <w:tc>
          <w:tcPr>
            <w:tcW w:w="5519" w:type="dxa"/>
            <w:tcBorders>
              <w:top w:val="single" w:sz="4" w:space="0" w:color="auto"/>
              <w:left w:val="single" w:sz="4" w:space="0" w:color="auto"/>
              <w:bottom w:val="single" w:sz="4" w:space="0" w:color="auto"/>
              <w:right w:val="single" w:sz="4" w:space="0" w:color="auto"/>
            </w:tcBorders>
          </w:tcPr>
          <w:p w14:paraId="4E09ED49" w14:textId="77777777" w:rsidR="00D93FBE" w:rsidRPr="00960B89" w:rsidRDefault="00D93FBE">
            <w:pPr>
              <w:spacing w:before="60" w:after="60"/>
              <w:rPr>
                <w:szCs w:val="24"/>
              </w:rPr>
            </w:pPr>
            <w:r w:rsidRPr="00960B89">
              <w:rPr>
                <w:szCs w:val="24"/>
              </w:rPr>
              <w:t>World Meteorological Organization</w:t>
            </w:r>
          </w:p>
        </w:tc>
        <w:tc>
          <w:tcPr>
            <w:tcW w:w="4110" w:type="dxa"/>
            <w:tcBorders>
              <w:top w:val="single" w:sz="4" w:space="0" w:color="auto"/>
              <w:left w:val="single" w:sz="4" w:space="0" w:color="auto"/>
              <w:bottom w:val="single" w:sz="4" w:space="0" w:color="auto"/>
              <w:right w:val="single" w:sz="4" w:space="0" w:color="auto"/>
            </w:tcBorders>
          </w:tcPr>
          <w:p w14:paraId="6DE0E1EF" w14:textId="77777777" w:rsidR="00D93FBE" w:rsidRPr="00960B89" w:rsidRDefault="00D93FBE">
            <w:pPr>
              <w:spacing w:before="60" w:after="60"/>
              <w:jc w:val="center"/>
              <w:rPr>
                <w:szCs w:val="24"/>
              </w:rPr>
            </w:pPr>
            <w:r w:rsidRPr="00960B89">
              <w:rPr>
                <w:szCs w:val="24"/>
              </w:rPr>
              <w:t>USD 0.96 million</w:t>
            </w:r>
          </w:p>
        </w:tc>
      </w:tr>
      <w:tr w:rsidR="00D93FBE" w:rsidRPr="007C4BE0" w14:paraId="7A3E5EAF" w14:textId="77777777" w:rsidTr="00C6239E">
        <w:trPr>
          <w:trHeight w:val="535"/>
        </w:trPr>
        <w:tc>
          <w:tcPr>
            <w:tcW w:w="5519" w:type="dxa"/>
            <w:tcBorders>
              <w:top w:val="single" w:sz="4" w:space="0" w:color="auto"/>
              <w:left w:val="single" w:sz="4" w:space="0" w:color="auto"/>
              <w:bottom w:val="single" w:sz="4" w:space="0" w:color="auto"/>
              <w:right w:val="single" w:sz="4" w:space="0" w:color="auto"/>
            </w:tcBorders>
          </w:tcPr>
          <w:p w14:paraId="61AC2042" w14:textId="77777777" w:rsidR="00D93FBE" w:rsidRPr="00960B89" w:rsidRDefault="00D93FBE">
            <w:pPr>
              <w:spacing w:before="60" w:after="60"/>
              <w:rPr>
                <w:szCs w:val="24"/>
              </w:rPr>
            </w:pPr>
            <w:r w:rsidRPr="00960B89">
              <w:rPr>
                <w:szCs w:val="24"/>
              </w:rPr>
              <w:t>Department of Infrastructure, Transport, Regional Development, Communications and the Arts, Australia</w:t>
            </w:r>
          </w:p>
        </w:tc>
        <w:tc>
          <w:tcPr>
            <w:tcW w:w="4110" w:type="dxa"/>
            <w:tcBorders>
              <w:top w:val="single" w:sz="4" w:space="0" w:color="auto"/>
              <w:left w:val="single" w:sz="4" w:space="0" w:color="auto"/>
              <w:bottom w:val="single" w:sz="4" w:space="0" w:color="auto"/>
              <w:right w:val="single" w:sz="4" w:space="0" w:color="auto"/>
            </w:tcBorders>
          </w:tcPr>
          <w:p w14:paraId="235E786B" w14:textId="77777777" w:rsidR="00D93FBE" w:rsidRPr="00960B89" w:rsidRDefault="00D93FBE">
            <w:pPr>
              <w:spacing w:before="60" w:after="60"/>
              <w:jc w:val="center"/>
              <w:rPr>
                <w:szCs w:val="24"/>
              </w:rPr>
            </w:pPr>
            <w:r w:rsidRPr="00960B89">
              <w:rPr>
                <w:szCs w:val="24"/>
              </w:rPr>
              <w:t>USD 0.65 million</w:t>
            </w:r>
          </w:p>
        </w:tc>
      </w:tr>
      <w:tr w:rsidR="00D93FBE" w:rsidRPr="007C4BE0" w14:paraId="63C8A551" w14:textId="77777777" w:rsidTr="00C6239E">
        <w:trPr>
          <w:trHeight w:val="350"/>
        </w:trPr>
        <w:tc>
          <w:tcPr>
            <w:tcW w:w="5519" w:type="dxa"/>
            <w:tcBorders>
              <w:top w:val="single" w:sz="4" w:space="0" w:color="auto"/>
              <w:left w:val="single" w:sz="4" w:space="0" w:color="auto"/>
              <w:bottom w:val="single" w:sz="4" w:space="0" w:color="auto"/>
              <w:right w:val="single" w:sz="4" w:space="0" w:color="auto"/>
            </w:tcBorders>
          </w:tcPr>
          <w:p w14:paraId="45C35A28" w14:textId="77777777" w:rsidR="00D93FBE" w:rsidRPr="00960B89" w:rsidRDefault="00D93FBE">
            <w:pPr>
              <w:spacing w:before="60" w:after="60"/>
              <w:rPr>
                <w:szCs w:val="24"/>
              </w:rPr>
            </w:pPr>
            <w:r w:rsidRPr="00960B89">
              <w:rPr>
                <w:szCs w:val="24"/>
              </w:rPr>
              <w:t>Foreign, Commonwealth &amp; Development Office, United Kingdom</w:t>
            </w:r>
          </w:p>
        </w:tc>
        <w:tc>
          <w:tcPr>
            <w:tcW w:w="4110" w:type="dxa"/>
            <w:tcBorders>
              <w:top w:val="single" w:sz="4" w:space="0" w:color="auto"/>
              <w:left w:val="single" w:sz="4" w:space="0" w:color="auto"/>
              <w:bottom w:val="single" w:sz="4" w:space="0" w:color="auto"/>
              <w:right w:val="single" w:sz="4" w:space="0" w:color="auto"/>
            </w:tcBorders>
          </w:tcPr>
          <w:p w14:paraId="726690A9" w14:textId="77777777" w:rsidR="00D93FBE" w:rsidRPr="00960B89" w:rsidRDefault="00D93FBE">
            <w:pPr>
              <w:spacing w:before="60" w:after="60"/>
              <w:jc w:val="center"/>
              <w:rPr>
                <w:szCs w:val="24"/>
              </w:rPr>
            </w:pPr>
            <w:r w:rsidRPr="00960B89">
              <w:rPr>
                <w:szCs w:val="24"/>
              </w:rPr>
              <w:t>USD 0.56 million</w:t>
            </w:r>
          </w:p>
        </w:tc>
      </w:tr>
      <w:tr w:rsidR="00D93FBE" w:rsidRPr="007C4BE0" w14:paraId="346AFE09" w14:textId="77777777" w:rsidTr="00C6239E">
        <w:trPr>
          <w:trHeight w:val="399"/>
        </w:trPr>
        <w:tc>
          <w:tcPr>
            <w:tcW w:w="5519" w:type="dxa"/>
            <w:tcBorders>
              <w:top w:val="single" w:sz="4" w:space="0" w:color="auto"/>
              <w:left w:val="single" w:sz="4" w:space="0" w:color="auto"/>
              <w:bottom w:val="single" w:sz="4" w:space="0" w:color="auto"/>
              <w:right w:val="single" w:sz="4" w:space="0" w:color="auto"/>
            </w:tcBorders>
          </w:tcPr>
          <w:p w14:paraId="237B136E" w14:textId="77777777" w:rsidR="00D93FBE" w:rsidRPr="00960B89" w:rsidRDefault="00D93FBE">
            <w:pPr>
              <w:spacing w:before="60" w:after="60"/>
              <w:rPr>
                <w:szCs w:val="24"/>
                <w:lang w:val="fr-CH"/>
              </w:rPr>
            </w:pPr>
            <w:r w:rsidRPr="00960B89">
              <w:rPr>
                <w:szCs w:val="24"/>
                <w:lang w:val="fr-CH"/>
              </w:rPr>
              <w:t>Ministerio de Tecnologías de la Información y las Comunicaciones, Colombia</w:t>
            </w:r>
          </w:p>
        </w:tc>
        <w:tc>
          <w:tcPr>
            <w:tcW w:w="4110" w:type="dxa"/>
            <w:tcBorders>
              <w:top w:val="single" w:sz="4" w:space="0" w:color="auto"/>
              <w:left w:val="single" w:sz="4" w:space="0" w:color="auto"/>
              <w:bottom w:val="single" w:sz="4" w:space="0" w:color="auto"/>
              <w:right w:val="single" w:sz="4" w:space="0" w:color="auto"/>
            </w:tcBorders>
          </w:tcPr>
          <w:p w14:paraId="43A5383B" w14:textId="77777777" w:rsidR="00D93FBE" w:rsidRPr="00960B89" w:rsidRDefault="00D93FBE">
            <w:pPr>
              <w:spacing w:before="60" w:after="60"/>
              <w:jc w:val="center"/>
              <w:rPr>
                <w:szCs w:val="24"/>
              </w:rPr>
            </w:pPr>
            <w:r w:rsidRPr="00960B89">
              <w:rPr>
                <w:szCs w:val="24"/>
              </w:rPr>
              <w:t>USD 0.43 million</w:t>
            </w:r>
          </w:p>
        </w:tc>
      </w:tr>
      <w:tr w:rsidR="00D93FBE" w:rsidRPr="007C4BE0" w14:paraId="797E1B8D" w14:textId="77777777" w:rsidTr="00C6239E">
        <w:trPr>
          <w:trHeight w:val="339"/>
        </w:trPr>
        <w:tc>
          <w:tcPr>
            <w:tcW w:w="5519" w:type="dxa"/>
            <w:tcBorders>
              <w:top w:val="single" w:sz="4" w:space="0" w:color="auto"/>
              <w:left w:val="single" w:sz="4" w:space="0" w:color="auto"/>
              <w:bottom w:val="single" w:sz="4" w:space="0" w:color="auto"/>
              <w:right w:val="single" w:sz="4" w:space="0" w:color="auto"/>
            </w:tcBorders>
          </w:tcPr>
          <w:p w14:paraId="07A06781" w14:textId="77777777" w:rsidR="00D93FBE" w:rsidRPr="00960B89" w:rsidRDefault="00D93FBE">
            <w:pPr>
              <w:spacing w:before="60" w:after="60"/>
              <w:rPr>
                <w:szCs w:val="24"/>
              </w:rPr>
            </w:pPr>
            <w:r w:rsidRPr="00960B89">
              <w:rPr>
                <w:szCs w:val="24"/>
              </w:rPr>
              <w:t>EYGS LPP</w:t>
            </w:r>
          </w:p>
        </w:tc>
        <w:tc>
          <w:tcPr>
            <w:tcW w:w="4110" w:type="dxa"/>
            <w:tcBorders>
              <w:top w:val="single" w:sz="4" w:space="0" w:color="auto"/>
              <w:left w:val="single" w:sz="4" w:space="0" w:color="auto"/>
              <w:bottom w:val="single" w:sz="4" w:space="0" w:color="auto"/>
              <w:right w:val="single" w:sz="4" w:space="0" w:color="auto"/>
            </w:tcBorders>
          </w:tcPr>
          <w:p w14:paraId="2FAF773D" w14:textId="77777777" w:rsidR="00D93FBE" w:rsidRPr="00960B89" w:rsidRDefault="00D93FBE">
            <w:pPr>
              <w:spacing w:before="60" w:after="60"/>
              <w:jc w:val="center"/>
              <w:rPr>
                <w:szCs w:val="24"/>
              </w:rPr>
            </w:pPr>
            <w:r w:rsidRPr="00960B89">
              <w:rPr>
                <w:szCs w:val="24"/>
              </w:rPr>
              <w:t>USD 0.41 million</w:t>
            </w:r>
          </w:p>
        </w:tc>
      </w:tr>
      <w:tr w:rsidR="00D93FBE" w:rsidRPr="007C4BE0" w14:paraId="3D0818DC" w14:textId="77777777">
        <w:trPr>
          <w:trHeight w:val="339"/>
        </w:trPr>
        <w:tc>
          <w:tcPr>
            <w:tcW w:w="5519" w:type="dxa"/>
            <w:tcBorders>
              <w:top w:val="single" w:sz="4" w:space="0" w:color="auto"/>
              <w:left w:val="single" w:sz="4" w:space="0" w:color="auto"/>
              <w:bottom w:val="single" w:sz="4" w:space="0" w:color="auto"/>
              <w:right w:val="single" w:sz="4" w:space="0" w:color="auto"/>
            </w:tcBorders>
          </w:tcPr>
          <w:p w14:paraId="75F3D97E" w14:textId="77777777" w:rsidR="00D93FBE" w:rsidRPr="00960B89" w:rsidRDefault="00D93FBE">
            <w:pPr>
              <w:spacing w:before="60" w:after="60"/>
              <w:rPr>
                <w:szCs w:val="24"/>
              </w:rPr>
            </w:pPr>
            <w:r w:rsidRPr="00960B89">
              <w:rPr>
                <w:szCs w:val="24"/>
              </w:rPr>
              <w:t>Ministry of Science and ICT, Korea Rep.</w:t>
            </w:r>
          </w:p>
        </w:tc>
        <w:tc>
          <w:tcPr>
            <w:tcW w:w="4110" w:type="dxa"/>
            <w:tcBorders>
              <w:top w:val="single" w:sz="4" w:space="0" w:color="auto"/>
              <w:left w:val="single" w:sz="4" w:space="0" w:color="auto"/>
              <w:bottom w:val="single" w:sz="4" w:space="0" w:color="auto"/>
              <w:right w:val="single" w:sz="4" w:space="0" w:color="auto"/>
            </w:tcBorders>
          </w:tcPr>
          <w:p w14:paraId="26EBBEEC" w14:textId="77777777" w:rsidR="00D93FBE" w:rsidRPr="00960B89" w:rsidRDefault="00D93FBE">
            <w:pPr>
              <w:spacing w:before="60" w:after="60"/>
              <w:jc w:val="center"/>
              <w:rPr>
                <w:szCs w:val="24"/>
              </w:rPr>
            </w:pPr>
            <w:r w:rsidRPr="00960B89">
              <w:rPr>
                <w:szCs w:val="24"/>
              </w:rPr>
              <w:t>USD 0.37 million</w:t>
            </w:r>
          </w:p>
        </w:tc>
      </w:tr>
    </w:tbl>
    <w:p w14:paraId="13A8BDDF" w14:textId="033FB469" w:rsidR="00D93FBE" w:rsidRDefault="2AB2033B" w:rsidP="00D93FBE">
      <w:pPr>
        <w:spacing w:after="120"/>
      </w:pPr>
      <w:commentRangeStart w:id="10"/>
      <w:r>
        <w:t xml:space="preserve">The </w:t>
      </w:r>
      <w:r w:rsidR="002B4407">
        <w:t xml:space="preserve">regions and ITU-D priorities </w:t>
      </w:r>
      <w:r>
        <w:t>benefitt</w:t>
      </w:r>
      <w:r w:rsidR="002B4407">
        <w:t xml:space="preserve">ing in 2024 </w:t>
      </w:r>
      <w:r>
        <w:t xml:space="preserve">of the partnership agreements signed in terms of number (with and without financial contributions) and </w:t>
      </w:r>
      <w:r w:rsidR="58D8EC19">
        <w:t xml:space="preserve">of </w:t>
      </w:r>
      <w:r>
        <w:t>financial contributions are presented in the charts below:</w:t>
      </w:r>
      <w:commentRangeEnd w:id="10"/>
      <w:r w:rsidR="00D93FBE">
        <w:rPr>
          <w:rStyle w:val="CommentReference"/>
        </w:rPr>
        <w:commentReference w:id="10"/>
      </w:r>
    </w:p>
    <w:p w14:paraId="4B88C431" w14:textId="77777777" w:rsidR="00D93FBE" w:rsidRDefault="00D93FBE" w:rsidP="00D93FBE">
      <w:pPr>
        <w:spacing w:after="120"/>
      </w:pPr>
      <w:r>
        <w:rPr>
          <w:noProof/>
        </w:rPr>
        <w:drawing>
          <wp:inline distT="0" distB="0" distL="0" distR="0" wp14:anchorId="1697A112" wp14:editId="18287363">
            <wp:extent cx="6120765" cy="2880360"/>
            <wp:effectExtent l="0" t="0" r="13335" b="15240"/>
            <wp:docPr id="867334427" name="Chart 1">
              <a:extLst xmlns:a="http://schemas.openxmlformats.org/drawingml/2006/main">
                <a:ext uri="{FF2B5EF4-FFF2-40B4-BE49-F238E27FC236}">
                  <a16:creationId xmlns:a16="http://schemas.microsoft.com/office/drawing/2014/main" id="{99F57827-5F22-3C11-7DAB-8C923683E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8E8BE5" w14:textId="77777777" w:rsidR="007743EB" w:rsidRDefault="007743EB" w:rsidP="00D93FBE">
      <w:pPr>
        <w:spacing w:after="120"/>
      </w:pPr>
    </w:p>
    <w:p w14:paraId="02E863C2" w14:textId="77777777" w:rsidR="00EE4C7F" w:rsidRDefault="00D93FBE" w:rsidP="00EE4C7F">
      <w:pPr>
        <w:spacing w:after="120"/>
        <w:rPr>
          <w:szCs w:val="24"/>
        </w:rPr>
      </w:pPr>
      <w:r>
        <w:rPr>
          <w:noProof/>
        </w:rPr>
        <w:drawing>
          <wp:inline distT="0" distB="0" distL="0" distR="0" wp14:anchorId="0868CE79" wp14:editId="4287BCE3">
            <wp:extent cx="6120765" cy="2941320"/>
            <wp:effectExtent l="0" t="0" r="13335" b="11430"/>
            <wp:docPr id="411570003" name="Chart 1">
              <a:extLst xmlns:a="http://schemas.openxmlformats.org/drawingml/2006/main">
                <a:ext uri="{FF2B5EF4-FFF2-40B4-BE49-F238E27FC236}">
                  <a16:creationId xmlns:a16="http://schemas.microsoft.com/office/drawing/2014/main" id="{DE8B11CE-7365-5620-24D3-5BAEBB86A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689B9E" w14:textId="03E58DBD" w:rsidR="00F6139D" w:rsidRDefault="00D93FBE" w:rsidP="00EE4C7F">
      <w:pPr>
        <w:spacing w:after="120"/>
        <w:rPr>
          <w:szCs w:val="24"/>
        </w:rPr>
      </w:pPr>
      <w:r>
        <w:rPr>
          <w:szCs w:val="24"/>
        </w:rPr>
        <w:t xml:space="preserve">The </w:t>
      </w:r>
      <w:r w:rsidRPr="00FA5EA2">
        <w:rPr>
          <w:szCs w:val="24"/>
        </w:rPr>
        <w:t xml:space="preserve">number of agreements and financial contributions signed </w:t>
      </w:r>
      <w:r>
        <w:rPr>
          <w:szCs w:val="24"/>
        </w:rPr>
        <w:t xml:space="preserve">between 2020 and 2024 are </w:t>
      </w:r>
      <w:r w:rsidR="0043484D">
        <w:rPr>
          <w:szCs w:val="24"/>
        </w:rPr>
        <w:t xml:space="preserve">presented </w:t>
      </w:r>
      <w:r>
        <w:rPr>
          <w:szCs w:val="24"/>
        </w:rPr>
        <w:t>in the chart below</w:t>
      </w:r>
      <w:r w:rsidR="002D24D9">
        <w:rPr>
          <w:szCs w:val="24"/>
        </w:rPr>
        <w:t xml:space="preserve">, highlighting the significant </w:t>
      </w:r>
      <w:r w:rsidR="00E8234A">
        <w:rPr>
          <w:szCs w:val="24"/>
        </w:rPr>
        <w:t xml:space="preserve">resource mobilization </w:t>
      </w:r>
      <w:r w:rsidR="002D24D9">
        <w:rPr>
          <w:szCs w:val="24"/>
        </w:rPr>
        <w:t xml:space="preserve">achieved </w:t>
      </w:r>
      <w:r w:rsidR="00EE4C7F">
        <w:rPr>
          <w:szCs w:val="24"/>
        </w:rPr>
        <w:t xml:space="preserve">in the past year to support </w:t>
      </w:r>
      <w:r w:rsidR="00E8234A">
        <w:rPr>
          <w:szCs w:val="24"/>
        </w:rPr>
        <w:t xml:space="preserve">the implementation of development projects, </w:t>
      </w:r>
      <w:r w:rsidR="0058584E">
        <w:rPr>
          <w:szCs w:val="24"/>
        </w:rPr>
        <w:t xml:space="preserve">regional and global </w:t>
      </w:r>
      <w:r w:rsidR="00E8234A">
        <w:rPr>
          <w:szCs w:val="24"/>
        </w:rPr>
        <w:t>initiative</w:t>
      </w:r>
      <w:r w:rsidR="00E47B56">
        <w:rPr>
          <w:szCs w:val="24"/>
        </w:rPr>
        <w:t>s</w:t>
      </w:r>
      <w:r w:rsidR="0058584E">
        <w:rPr>
          <w:szCs w:val="24"/>
        </w:rPr>
        <w:t>,</w:t>
      </w:r>
      <w:r w:rsidR="00E8234A">
        <w:rPr>
          <w:szCs w:val="24"/>
        </w:rPr>
        <w:t xml:space="preserve"> and activities</w:t>
      </w:r>
      <w:r w:rsidR="0043484D">
        <w:rPr>
          <w:szCs w:val="24"/>
        </w:rPr>
        <w:t xml:space="preserve"> at national, regional</w:t>
      </w:r>
      <w:r w:rsidR="0058584E">
        <w:rPr>
          <w:szCs w:val="24"/>
        </w:rPr>
        <w:t>,</w:t>
      </w:r>
      <w:r w:rsidR="0043484D">
        <w:rPr>
          <w:szCs w:val="24"/>
        </w:rPr>
        <w:t xml:space="preserve"> and global levels.</w:t>
      </w:r>
    </w:p>
    <w:p w14:paraId="46A40CA8" w14:textId="77777777" w:rsidR="00D93FBE" w:rsidRDefault="00D93FBE" w:rsidP="00D93FBE">
      <w:pPr>
        <w:keepNext/>
        <w:spacing w:after="120"/>
        <w:rPr>
          <w:szCs w:val="24"/>
        </w:rPr>
      </w:pPr>
      <w:r>
        <w:rPr>
          <w:noProof/>
        </w:rPr>
        <w:drawing>
          <wp:inline distT="0" distB="0" distL="0" distR="0" wp14:anchorId="335A6980" wp14:editId="3C79B6A1">
            <wp:extent cx="6089015" cy="2880360"/>
            <wp:effectExtent l="0" t="0" r="6985" b="15240"/>
            <wp:docPr id="2118112663" name="Chart 1">
              <a:extLst xmlns:a="http://schemas.openxmlformats.org/drawingml/2006/main">
                <a:ext uri="{FF2B5EF4-FFF2-40B4-BE49-F238E27FC236}">
                  <a16:creationId xmlns:a16="http://schemas.microsoft.com/office/drawing/2014/main" id="{8C2F8064-864D-7E08-21F5-0CCCEF545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DF32EF" w14:textId="77777777" w:rsidR="00D93FBE" w:rsidRPr="00FA5EA2" w:rsidRDefault="00D93FBE" w:rsidP="00D93FBE">
      <w:pPr>
        <w:pStyle w:val="ListParagraph"/>
        <w:keepNext/>
        <w:numPr>
          <w:ilvl w:val="0"/>
          <w:numId w:val="46"/>
        </w:numPr>
        <w:spacing w:after="120"/>
        <w:ind w:left="357" w:hanging="357"/>
        <w:contextualSpacing w:val="0"/>
        <w:rPr>
          <w:b/>
          <w:bCs/>
          <w:szCs w:val="24"/>
        </w:rPr>
      </w:pPr>
      <w:r w:rsidRPr="00FA5EA2">
        <w:rPr>
          <w:b/>
          <w:bCs/>
          <w:szCs w:val="24"/>
        </w:rPr>
        <w:t>Key Actions and Outcomes</w:t>
      </w:r>
    </w:p>
    <w:p w14:paraId="33EDBE3B" w14:textId="15E77B8E" w:rsidR="00EF2E99" w:rsidRDefault="00EF2E99" w:rsidP="00D93FBE">
      <w:pPr>
        <w:spacing w:after="120"/>
      </w:pPr>
      <w:r w:rsidRPr="0079294D">
        <w:t>The impact of BDT's work</w:t>
      </w:r>
      <w:r>
        <w:t xml:space="preserve"> in collaboration with its partners </w:t>
      </w:r>
      <w:r w:rsidRPr="0079294D">
        <w:t xml:space="preserve">is showcased through Impact Stories, available </w:t>
      </w:r>
      <w:r>
        <w:t>at:</w:t>
      </w:r>
      <w:r w:rsidDel="002B67EE">
        <w:t xml:space="preserve"> </w:t>
      </w:r>
      <w:hyperlink r:id="rId23" w:history="1">
        <w:r w:rsidRPr="00452B64">
          <w:rPr>
            <w:rStyle w:val="Hyperlink"/>
          </w:rPr>
          <w:t>https://www.itu.int/itu-d/sites/digital-impact-unlocked/all-stories/list/</w:t>
        </w:r>
      </w:hyperlink>
      <w:r w:rsidR="0058584E">
        <w:t>.</w:t>
      </w:r>
    </w:p>
    <w:p w14:paraId="21B1CFCC" w14:textId="153BD882" w:rsidR="00D93FBE" w:rsidRPr="00FA5EA2" w:rsidRDefault="00EF2E99" w:rsidP="00D93FBE">
      <w:pPr>
        <w:spacing w:after="120"/>
      </w:pPr>
      <w:r>
        <w:t xml:space="preserve">Partnership and resource mobilization outcomes illustrated above have </w:t>
      </w:r>
      <w:r w:rsidR="00304792" w:rsidRPr="00304792">
        <w:t>been made possible through strategic actions</w:t>
      </w:r>
      <w:r w:rsidR="004B1F1C">
        <w:t>, that included</w:t>
      </w:r>
      <w:r w:rsidR="00304792" w:rsidRPr="00304792">
        <w:t>:</w:t>
      </w:r>
    </w:p>
    <w:p w14:paraId="3D7D77D6" w14:textId="24BEE284" w:rsidR="00D93FBE" w:rsidRDefault="2AB2033B" w:rsidP="5802ED00">
      <w:pPr>
        <w:pStyle w:val="ListParagraph"/>
        <w:numPr>
          <w:ilvl w:val="0"/>
          <w:numId w:val="48"/>
        </w:numPr>
        <w:spacing w:before="60" w:after="60"/>
        <w:ind w:left="714" w:hanging="357"/>
      </w:pPr>
      <w:r w:rsidRPr="00407FFD">
        <w:rPr>
          <w:b/>
          <w:bCs/>
        </w:rPr>
        <w:t>Cultivating/strengthening</w:t>
      </w:r>
      <w:r>
        <w:rPr>
          <w:b/>
          <w:bCs/>
        </w:rPr>
        <w:t xml:space="preserve"> </w:t>
      </w:r>
      <w:r w:rsidRPr="00407FFD">
        <w:rPr>
          <w:b/>
          <w:bCs/>
        </w:rPr>
        <w:t>relationship</w:t>
      </w:r>
      <w:r>
        <w:rPr>
          <w:b/>
          <w:bCs/>
        </w:rPr>
        <w:t>s</w:t>
      </w:r>
      <w:r w:rsidRPr="00407FFD">
        <w:rPr>
          <w:b/>
          <w:bCs/>
        </w:rPr>
        <w:t xml:space="preserve"> with existing partners:</w:t>
      </w:r>
      <w:r w:rsidRPr="00FA5EA2">
        <w:t xml:space="preserve"> </w:t>
      </w:r>
      <w:r w:rsidRPr="00B8708F">
        <w:t>BDT collaborates with a diverse range of partners</w:t>
      </w:r>
      <w:r w:rsidR="00D93FBE" w:rsidRPr="00B60933">
        <w:rPr>
          <w:rStyle w:val="FootnoteReference"/>
        </w:rPr>
        <w:footnoteReference w:id="5"/>
      </w:r>
      <w:r w:rsidRPr="00B60933">
        <w:t>,</w:t>
      </w:r>
      <w:r w:rsidRPr="00B8708F">
        <w:t xml:space="preserve"> including governmental entities, financial</w:t>
      </w:r>
      <w:r>
        <w:t xml:space="preserve"> institutions</w:t>
      </w:r>
      <w:r w:rsidRPr="00B8708F">
        <w:t>, international and regional organizations</w:t>
      </w:r>
      <w:r w:rsidR="67321489">
        <w:t xml:space="preserve"> and associations</w:t>
      </w:r>
      <w:r w:rsidRPr="00B8708F">
        <w:t>, private sector entities</w:t>
      </w:r>
      <w:r w:rsidR="67321489">
        <w:t xml:space="preserve"> (including foundations)</w:t>
      </w:r>
      <w:r w:rsidRPr="00B8708F">
        <w:t xml:space="preserve">, UN organizations, and </w:t>
      </w:r>
      <w:r w:rsidR="67321489">
        <w:t>a</w:t>
      </w:r>
      <w:r>
        <w:t>cademia</w:t>
      </w:r>
      <w:r w:rsidRPr="00B8708F">
        <w:t>, from both developed and developing countries.</w:t>
      </w:r>
      <w:r>
        <w:t xml:space="preserve"> </w:t>
      </w:r>
      <w:r w:rsidRPr="00921906">
        <w:t>These partners share their expertise and</w:t>
      </w:r>
      <w:r w:rsidR="227104FD">
        <w:t xml:space="preserve"> support financially the </w:t>
      </w:r>
      <w:r w:rsidRPr="00921906">
        <w:t xml:space="preserve">implementation of programs, </w:t>
      </w:r>
      <w:r w:rsidR="3F841E8C">
        <w:t xml:space="preserve">regional and global </w:t>
      </w:r>
      <w:r w:rsidRPr="00921906">
        <w:t>initiatives</w:t>
      </w:r>
      <w:r w:rsidR="3F841E8C">
        <w:t>,</w:t>
      </w:r>
      <w:r w:rsidRPr="00921906">
        <w:t xml:space="preserve"> </w:t>
      </w:r>
      <w:r w:rsidR="227104FD">
        <w:t xml:space="preserve">and activities </w:t>
      </w:r>
      <w:r w:rsidRPr="00921906">
        <w:t xml:space="preserve">aimed at sustainable development. Recognizing that successful partnerships are built on trust, respect, and confidence, BDT </w:t>
      </w:r>
      <w:r>
        <w:t xml:space="preserve">pays particular attention at cultivating </w:t>
      </w:r>
      <w:r w:rsidRPr="00921906">
        <w:t xml:space="preserve">strong relationships with its long-standing partners, including those listed in </w:t>
      </w:r>
      <w:r w:rsidRPr="00835F0B">
        <w:t>Document TDAG25/INF/1</w:t>
      </w:r>
      <w:r w:rsidRPr="00921906">
        <w:t>.</w:t>
      </w:r>
    </w:p>
    <w:p w14:paraId="5021A20E" w14:textId="1C28666C" w:rsidR="00A37578" w:rsidRPr="00A37578" w:rsidRDefault="00006EB6" w:rsidP="000D2492">
      <w:pPr>
        <w:pStyle w:val="ListParagraph"/>
        <w:numPr>
          <w:ilvl w:val="0"/>
          <w:numId w:val="48"/>
        </w:numPr>
        <w:spacing w:before="60" w:after="60"/>
        <w:ind w:left="714" w:hanging="357"/>
        <w:contextualSpacing w:val="0"/>
      </w:pPr>
      <w:r>
        <w:rPr>
          <w:b/>
          <w:bCs/>
        </w:rPr>
        <w:t xml:space="preserve">Enhancing </w:t>
      </w:r>
      <w:r w:rsidR="00A37578" w:rsidRPr="00FA5EA2">
        <w:rPr>
          <w:b/>
          <w:bCs/>
        </w:rPr>
        <w:t>collaboration with UN agencies</w:t>
      </w:r>
      <w:r w:rsidR="00A37578" w:rsidRPr="00FA5EA2">
        <w:t xml:space="preserve">: BDT </w:t>
      </w:r>
      <w:r w:rsidR="00A37578">
        <w:t>continues to strengthen its collaboration</w:t>
      </w:r>
      <w:r w:rsidR="00A37578" w:rsidRPr="00FA5EA2">
        <w:t xml:space="preserve"> with other UN agencies</w:t>
      </w:r>
      <w:r w:rsidR="002C4CBE">
        <w:t>,</w:t>
      </w:r>
      <w:r w:rsidR="00A37578" w:rsidRPr="00FA5EA2">
        <w:t xml:space="preserve"> enhancing its visibility</w:t>
      </w:r>
      <w:r w:rsidR="00A37578">
        <w:t xml:space="preserve"> and emphasizing </w:t>
      </w:r>
      <w:r w:rsidR="00A37578" w:rsidRPr="00FA5EA2">
        <w:t xml:space="preserve">ITU’s unique role as leading organization in the telecommunication/ICT </w:t>
      </w:r>
      <w:r w:rsidR="00A37578">
        <w:t xml:space="preserve">sector. </w:t>
      </w:r>
      <w:r w:rsidR="002C4CBE">
        <w:t>C</w:t>
      </w:r>
      <w:r w:rsidR="00A37578">
        <w:t xml:space="preserve">ollaboration </w:t>
      </w:r>
      <w:r w:rsidR="002C4CBE">
        <w:t xml:space="preserve">with UN agencies </w:t>
      </w:r>
      <w:r w:rsidR="00A37578">
        <w:t xml:space="preserve">fosters </w:t>
      </w:r>
      <w:r w:rsidR="00A37578" w:rsidRPr="00FA5EA2">
        <w:t xml:space="preserve">synergies and knowledge-sharing, and </w:t>
      </w:r>
      <w:r w:rsidR="00A37578">
        <w:t>generates</w:t>
      </w:r>
      <w:r w:rsidR="00A37578" w:rsidRPr="00FA5EA2">
        <w:t xml:space="preserve"> new and increased funding</w:t>
      </w:r>
      <w:r w:rsidR="00A37578">
        <w:t xml:space="preserve"> by</w:t>
      </w:r>
      <w:r w:rsidR="00A37578" w:rsidRPr="00FA5EA2">
        <w:t xml:space="preserve"> leveraging multilateral convening power</w:t>
      </w:r>
      <w:r w:rsidR="00E72088">
        <w:t>.</w:t>
      </w:r>
      <w:r w:rsidR="00A37578" w:rsidRPr="00FA5EA2">
        <w:t xml:space="preserve"> </w:t>
      </w:r>
      <w:r w:rsidR="00A37578">
        <w:t>By w</w:t>
      </w:r>
      <w:r w:rsidR="00A37578" w:rsidRPr="00FA5EA2">
        <w:t xml:space="preserve">orking closely with </w:t>
      </w:r>
      <w:r w:rsidR="00A37578" w:rsidRPr="00FA5EA2">
        <w:rPr>
          <w:rFonts w:ascii="Calibri" w:eastAsia="Calibri" w:hAnsi="Calibri" w:cs="Calibri"/>
          <w:szCs w:val="24"/>
        </w:rPr>
        <w:t>UN sister a</w:t>
      </w:r>
      <w:r w:rsidR="00A37578">
        <w:rPr>
          <w:rFonts w:ascii="Calibri" w:eastAsia="Calibri" w:hAnsi="Calibri" w:cs="Calibri"/>
          <w:szCs w:val="24"/>
        </w:rPr>
        <w:t>g</w:t>
      </w:r>
      <w:r w:rsidR="00A37578" w:rsidRPr="00FA5EA2">
        <w:rPr>
          <w:rFonts w:ascii="Calibri" w:eastAsia="Calibri" w:hAnsi="Calibri" w:cs="Calibri"/>
          <w:szCs w:val="24"/>
        </w:rPr>
        <w:t>encies</w:t>
      </w:r>
      <w:r w:rsidR="00A37578">
        <w:rPr>
          <w:rFonts w:ascii="Calibri" w:eastAsia="Calibri" w:hAnsi="Calibri" w:cs="Calibri"/>
          <w:szCs w:val="24"/>
        </w:rPr>
        <w:t>, BDT gains access to new funding</w:t>
      </w:r>
      <w:r w:rsidR="00A37578" w:rsidRPr="00FA5EA2">
        <w:rPr>
          <w:rFonts w:ascii="Calibri" w:eastAsia="Calibri" w:hAnsi="Calibri" w:cs="Calibri"/>
          <w:szCs w:val="24"/>
        </w:rPr>
        <w:t xml:space="preserve"> opportunities </w:t>
      </w:r>
      <w:r w:rsidR="00E72088">
        <w:rPr>
          <w:rFonts w:ascii="Calibri" w:eastAsia="Calibri" w:hAnsi="Calibri" w:cs="Calibri"/>
          <w:szCs w:val="24"/>
        </w:rPr>
        <w:t xml:space="preserve">(including UN pooled funds) </w:t>
      </w:r>
      <w:r w:rsidR="00A37578" w:rsidRPr="00FA5EA2">
        <w:rPr>
          <w:rFonts w:ascii="Calibri" w:eastAsia="Calibri" w:hAnsi="Calibri" w:cs="Calibri"/>
          <w:szCs w:val="24"/>
        </w:rPr>
        <w:t>for joint projects’ implementation at national, regional</w:t>
      </w:r>
      <w:r w:rsidR="0058584E">
        <w:rPr>
          <w:rFonts w:ascii="Calibri" w:eastAsia="Calibri" w:hAnsi="Calibri" w:cs="Calibri"/>
          <w:szCs w:val="24"/>
        </w:rPr>
        <w:t>,</w:t>
      </w:r>
      <w:r w:rsidR="00A37578" w:rsidRPr="00FA5EA2">
        <w:rPr>
          <w:rFonts w:ascii="Calibri" w:eastAsia="Calibri" w:hAnsi="Calibri" w:cs="Calibri"/>
          <w:szCs w:val="24"/>
        </w:rPr>
        <w:t xml:space="preserve"> and global levels towards the 2030 Agenda.</w:t>
      </w:r>
    </w:p>
    <w:p w14:paraId="54407F52" w14:textId="397FE54B" w:rsidR="006D2C88" w:rsidRPr="00FA5EA2" w:rsidRDefault="00D93FBE" w:rsidP="000D2492">
      <w:pPr>
        <w:pStyle w:val="ListParagraph"/>
        <w:numPr>
          <w:ilvl w:val="0"/>
          <w:numId w:val="48"/>
        </w:numPr>
        <w:spacing w:before="60" w:after="60"/>
        <w:ind w:left="714" w:hanging="357"/>
        <w:contextualSpacing w:val="0"/>
      </w:pPr>
      <w:r w:rsidRPr="00EF2E99">
        <w:rPr>
          <w:b/>
          <w:bCs/>
        </w:rPr>
        <w:t>Outreach to new potential partners</w:t>
      </w:r>
      <w:r>
        <w:t xml:space="preserve">: </w:t>
      </w:r>
      <w:r w:rsidR="00A37578">
        <w:t xml:space="preserve">While </w:t>
      </w:r>
      <w:r w:rsidR="00A37578" w:rsidRPr="00A37578">
        <w:t xml:space="preserve">BDT places a strong emphasis on fostering </w:t>
      </w:r>
      <w:r>
        <w:t>its</w:t>
      </w:r>
      <w:r w:rsidR="00A37578">
        <w:t xml:space="preserve"> </w:t>
      </w:r>
      <w:r>
        <w:t xml:space="preserve">relationship with its existing partners and engaging them in a lasting relationship, BDT also recognizes the importance of widening and diversifying its pool of partners. </w:t>
      </w:r>
      <w:r w:rsidR="00A37578">
        <w:t xml:space="preserve">To do so, </w:t>
      </w:r>
      <w:r>
        <w:t>BDT actively engage</w:t>
      </w:r>
      <w:r w:rsidR="00A37578">
        <w:t>s</w:t>
      </w:r>
      <w:r>
        <w:t xml:space="preserve"> with prospects through a strategic approach </w:t>
      </w:r>
      <w:r w:rsidRPr="00676862">
        <w:t>to raise the ITU/BDT profile, identify synergies, and explore opportunities for future collaboration.</w:t>
      </w:r>
    </w:p>
    <w:p w14:paraId="7E2C2D59" w14:textId="77777777" w:rsidR="00D93FBE" w:rsidRPr="00FA5EA2" w:rsidRDefault="00D93FBE" w:rsidP="00D93FBE">
      <w:pPr>
        <w:pStyle w:val="ListParagraph"/>
        <w:keepNext/>
        <w:numPr>
          <w:ilvl w:val="0"/>
          <w:numId w:val="46"/>
        </w:numPr>
        <w:spacing w:after="120"/>
        <w:ind w:left="357" w:hanging="357"/>
        <w:contextualSpacing w:val="0"/>
        <w:rPr>
          <w:b/>
          <w:bCs/>
          <w:szCs w:val="24"/>
        </w:rPr>
      </w:pPr>
      <w:r w:rsidRPr="00FA5EA2">
        <w:rPr>
          <w:b/>
          <w:bCs/>
          <w:szCs w:val="24"/>
        </w:rPr>
        <w:t>Way forward</w:t>
      </w:r>
    </w:p>
    <w:p w14:paraId="7FD49A7A" w14:textId="3DF8C383" w:rsidR="00D93FBE" w:rsidRPr="002249A5" w:rsidRDefault="2AB2033B" w:rsidP="5802ED00">
      <w:pPr>
        <w:pStyle w:val="Default"/>
        <w:spacing w:before="120" w:after="120"/>
        <w:rPr>
          <w:rFonts w:asciiTheme="minorHAnsi" w:hAnsiTheme="minorHAnsi" w:cs="Times New Roman"/>
          <w:color w:val="auto"/>
          <w:lang w:eastAsia="en-US"/>
        </w:rPr>
      </w:pPr>
      <w:r w:rsidRPr="5802ED00">
        <w:rPr>
          <w:rFonts w:asciiTheme="minorHAnsi" w:hAnsiTheme="minorHAnsi" w:cs="Times New Roman"/>
          <w:color w:val="auto"/>
          <w:lang w:eastAsia="en-US"/>
        </w:rPr>
        <w:t xml:space="preserve">BDT acknowledges and values both its longstanding </w:t>
      </w:r>
      <w:r w:rsidR="2A9DCF44" w:rsidRPr="5802ED00">
        <w:rPr>
          <w:rFonts w:asciiTheme="minorHAnsi" w:hAnsiTheme="minorHAnsi" w:cs="Times New Roman"/>
          <w:color w:val="auto"/>
          <w:lang w:eastAsia="en-US"/>
        </w:rPr>
        <w:t xml:space="preserve">partners </w:t>
      </w:r>
      <w:r w:rsidRPr="5802ED00">
        <w:rPr>
          <w:rFonts w:asciiTheme="minorHAnsi" w:hAnsiTheme="minorHAnsi" w:cs="Times New Roman"/>
          <w:color w:val="auto"/>
          <w:lang w:eastAsia="en-US"/>
        </w:rPr>
        <w:t>and new partners, whose collaboration makes it possible to support the implementation of projects, programmes</w:t>
      </w:r>
      <w:r w:rsidR="3F841E8C" w:rsidRPr="5802ED00">
        <w:rPr>
          <w:rFonts w:asciiTheme="minorHAnsi" w:hAnsiTheme="minorHAnsi" w:cs="Times New Roman"/>
          <w:color w:val="auto"/>
          <w:lang w:eastAsia="en-US"/>
        </w:rPr>
        <w:t>,</w:t>
      </w:r>
      <w:r w:rsidRPr="5802ED00">
        <w:rPr>
          <w:rFonts w:asciiTheme="minorHAnsi" w:hAnsiTheme="minorHAnsi" w:cs="Times New Roman"/>
          <w:color w:val="auto"/>
          <w:lang w:eastAsia="en-US"/>
        </w:rPr>
        <w:t xml:space="preserve"> and initiatives at the global, regional and national levels. Moving forward, BDT will continue to cultivate and strengthen its partnerships with a wide range of stakeholders including Governmental entities, </w:t>
      </w:r>
      <w:r w:rsidR="48813D48" w:rsidRPr="5802ED00">
        <w:rPr>
          <w:rFonts w:asciiTheme="minorHAnsi" w:hAnsiTheme="minorHAnsi" w:cs="Times New Roman"/>
          <w:color w:val="auto"/>
          <w:lang w:eastAsia="en-US"/>
        </w:rPr>
        <w:t>financial</w:t>
      </w:r>
      <w:r w:rsidRPr="5802ED00">
        <w:rPr>
          <w:rFonts w:asciiTheme="minorHAnsi" w:hAnsiTheme="minorHAnsi" w:cs="Times New Roman"/>
          <w:color w:val="auto"/>
          <w:lang w:eastAsia="en-US"/>
        </w:rPr>
        <w:t xml:space="preserve"> </w:t>
      </w:r>
      <w:r w:rsidR="05C3DDB4" w:rsidRPr="5802ED00">
        <w:rPr>
          <w:rFonts w:asciiTheme="minorHAnsi" w:hAnsiTheme="minorHAnsi" w:cs="Times New Roman"/>
          <w:color w:val="auto"/>
          <w:lang w:eastAsia="en-US"/>
        </w:rPr>
        <w:t>i</w:t>
      </w:r>
      <w:r w:rsidRPr="5802ED00">
        <w:rPr>
          <w:rFonts w:asciiTheme="minorHAnsi" w:hAnsiTheme="minorHAnsi" w:cs="Times New Roman"/>
          <w:color w:val="auto"/>
          <w:lang w:eastAsia="en-US"/>
        </w:rPr>
        <w:t xml:space="preserve">nstitutions, the </w:t>
      </w:r>
      <w:r w:rsidR="05C3DDB4" w:rsidRPr="5802ED00">
        <w:rPr>
          <w:rFonts w:asciiTheme="minorHAnsi" w:hAnsiTheme="minorHAnsi" w:cs="Times New Roman"/>
          <w:color w:val="auto"/>
          <w:lang w:eastAsia="en-US"/>
        </w:rPr>
        <w:t>p</w:t>
      </w:r>
      <w:r w:rsidRPr="5802ED00">
        <w:rPr>
          <w:rFonts w:asciiTheme="minorHAnsi" w:hAnsiTheme="minorHAnsi" w:cs="Times New Roman"/>
          <w:color w:val="auto"/>
          <w:lang w:eastAsia="en-US"/>
        </w:rPr>
        <w:t>rivate sector, United Nations agencies and Academia.</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134"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GULATI, Archana" w:date="2025-03-30T17:23:00Z" w:initials="GA">
    <w:p w14:paraId="7A0C2FA7" w14:textId="6E5FCDF0" w:rsidR="00CF65C0" w:rsidRDefault="00CF65C0">
      <w:pPr>
        <w:pStyle w:val="CommentText"/>
      </w:pPr>
      <w:r>
        <w:rPr>
          <w:rStyle w:val="CommentReference"/>
        </w:rPr>
        <w:annotationRef/>
      </w:r>
      <w:r w:rsidRPr="63405CEC">
        <w:t>Some language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C2F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4BFAC5" w16cex:dateUtc="2025-03-30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C2FA7" w16cid:durableId="6F4BF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69B4E" w14:textId="77777777" w:rsidR="00FD42FE" w:rsidRDefault="00FD42FE">
      <w:r>
        <w:separator/>
      </w:r>
    </w:p>
    <w:p w14:paraId="5290DE1F" w14:textId="77777777" w:rsidR="00FD42FE" w:rsidRDefault="00FD42FE"/>
  </w:endnote>
  <w:endnote w:type="continuationSeparator" w:id="0">
    <w:p w14:paraId="719F96FD" w14:textId="77777777" w:rsidR="00FD42FE" w:rsidRDefault="00FD42FE">
      <w:r>
        <w:continuationSeparator/>
      </w:r>
    </w:p>
    <w:p w14:paraId="12704EDD" w14:textId="77777777" w:rsidR="00FD42FE" w:rsidRDefault="00FD42FE"/>
  </w:endnote>
  <w:endnote w:type="continuationNotice" w:id="1">
    <w:p w14:paraId="60EB0F3B" w14:textId="77777777" w:rsidR="00FD42FE" w:rsidRDefault="00FD42FE">
      <w:pPr>
        <w:spacing w:before="0"/>
      </w:pPr>
    </w:p>
    <w:p w14:paraId="34B42BC4" w14:textId="77777777" w:rsidR="00FD42FE" w:rsidRDefault="00FD4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893D" w14:textId="77777777" w:rsidR="00111533" w:rsidRDefault="0011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0D76" w14:textId="77777777" w:rsidR="00111533" w:rsidRDefault="00111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Layout w:type="fixed"/>
      <w:tblLook w:val="04A0" w:firstRow="1" w:lastRow="0" w:firstColumn="1" w:lastColumn="0" w:noHBand="0" w:noVBand="1"/>
    </w:tblPr>
    <w:tblGrid>
      <w:gridCol w:w="1526"/>
      <w:gridCol w:w="2410"/>
      <w:gridCol w:w="5987"/>
      <w:gridCol w:w="142"/>
    </w:tblGrid>
    <w:tr w:rsidR="003447A8" w:rsidRPr="000253AB" w14:paraId="65E77649" w14:textId="77777777" w:rsidTr="000253AB">
      <w:tc>
        <w:tcPr>
          <w:tcW w:w="1526" w:type="dxa"/>
          <w:tcBorders>
            <w:top w:val="single" w:sz="4" w:space="0" w:color="000000"/>
          </w:tcBorders>
          <w:shd w:val="clear" w:color="auto" w:fill="auto"/>
        </w:tcPr>
        <w:p w14:paraId="6D3E3B87" w14:textId="48D84AC7" w:rsidR="003447A8" w:rsidRPr="000253AB" w:rsidRDefault="003447A8" w:rsidP="003447A8">
          <w:pPr>
            <w:pStyle w:val="FirstFooter"/>
            <w:tabs>
              <w:tab w:val="left" w:pos="1559"/>
              <w:tab w:val="left" w:pos="3828"/>
            </w:tabs>
            <w:rPr>
              <w:sz w:val="18"/>
              <w:szCs w:val="18"/>
            </w:rPr>
          </w:pPr>
          <w:r w:rsidRPr="000253AB">
            <w:rPr>
              <w:sz w:val="18"/>
              <w:szCs w:val="18"/>
              <w:lang w:val="en-US"/>
            </w:rPr>
            <w:t>Contact:</w:t>
          </w:r>
        </w:p>
      </w:tc>
      <w:tc>
        <w:tcPr>
          <w:tcW w:w="2410" w:type="dxa"/>
          <w:tcBorders>
            <w:top w:val="single" w:sz="4" w:space="0" w:color="000000"/>
          </w:tcBorders>
          <w:shd w:val="clear" w:color="auto" w:fill="auto"/>
        </w:tcPr>
        <w:p w14:paraId="077E88D5" w14:textId="7D6C8255" w:rsidR="003447A8" w:rsidRPr="000253AB" w:rsidRDefault="003447A8" w:rsidP="003447A8">
          <w:pPr>
            <w:pStyle w:val="FirstFooter"/>
            <w:tabs>
              <w:tab w:val="left" w:pos="2302"/>
            </w:tabs>
            <w:ind w:left="2302" w:hanging="2302"/>
            <w:rPr>
              <w:sz w:val="18"/>
              <w:szCs w:val="18"/>
              <w:lang w:val="en-US"/>
            </w:rPr>
          </w:pPr>
          <w:r w:rsidRPr="000253AB">
            <w:rPr>
              <w:sz w:val="18"/>
              <w:szCs w:val="18"/>
              <w:lang w:val="en-US"/>
            </w:rPr>
            <w:t>Name/Organization/Entity:</w:t>
          </w:r>
          <w:r w:rsidR="00821838" w:rsidRPr="000253AB">
            <w:rPr>
              <w:sz w:val="18"/>
              <w:szCs w:val="18"/>
              <w:lang w:val="en-US"/>
            </w:rPr>
            <w:t xml:space="preserve"> </w:t>
          </w:r>
        </w:p>
      </w:tc>
      <w:tc>
        <w:tcPr>
          <w:tcW w:w="6129" w:type="dxa"/>
          <w:gridSpan w:val="2"/>
          <w:tcBorders>
            <w:top w:val="single" w:sz="4" w:space="0" w:color="000000"/>
          </w:tcBorders>
        </w:tcPr>
        <w:p w14:paraId="1C53FE51" w14:textId="2F7684B2" w:rsidR="000253AB" w:rsidRPr="000253AB" w:rsidRDefault="000253AB" w:rsidP="003447A8">
          <w:pPr>
            <w:pStyle w:val="FirstFooter"/>
            <w:tabs>
              <w:tab w:val="left" w:pos="2302"/>
            </w:tabs>
            <w:rPr>
              <w:rFonts w:ascii="Calibri" w:eastAsia="Calibri" w:hAnsi="Calibri" w:cs="Calibri"/>
              <w:color w:val="000000" w:themeColor="text1"/>
              <w:sz w:val="18"/>
              <w:szCs w:val="24"/>
            </w:rPr>
          </w:pPr>
          <w:r w:rsidRPr="000253AB">
            <w:rPr>
              <w:rFonts w:ascii="Calibri" w:eastAsia="Calibri" w:hAnsi="Calibri" w:cs="Calibri"/>
              <w:color w:val="000000" w:themeColor="text1"/>
              <w:sz w:val="18"/>
              <w:szCs w:val="24"/>
            </w:rPr>
            <w:t>Ms Eun Ju Kim, Chief, Projects, Partnerships and Digital Skills Department (PPS)</w:t>
          </w:r>
        </w:p>
      </w:tc>
      <w:bookmarkStart w:id="11" w:name="OrgName"/>
      <w:bookmarkEnd w:id="11"/>
    </w:tr>
    <w:tr w:rsidR="003447A8" w:rsidRPr="004D495C" w14:paraId="1CC09AE7" w14:textId="77777777" w:rsidTr="000253AB">
      <w:trPr>
        <w:gridAfter w:val="1"/>
        <w:wAfter w:w="142" w:type="dxa"/>
      </w:trPr>
      <w:tc>
        <w:tcPr>
          <w:tcW w:w="1526" w:type="dxa"/>
          <w:shd w:val="clear" w:color="auto" w:fill="auto"/>
        </w:tcPr>
        <w:p w14:paraId="7BB1BEC2" w14:textId="77777777" w:rsidR="003447A8" w:rsidRPr="000253AB" w:rsidRDefault="003447A8" w:rsidP="003447A8">
          <w:pPr>
            <w:pStyle w:val="FirstFooter"/>
            <w:tabs>
              <w:tab w:val="left" w:pos="1559"/>
              <w:tab w:val="left" w:pos="3828"/>
            </w:tabs>
            <w:rPr>
              <w:sz w:val="20"/>
              <w:highlight w:val="yellow"/>
            </w:rPr>
          </w:pPr>
        </w:p>
      </w:tc>
      <w:tc>
        <w:tcPr>
          <w:tcW w:w="2410" w:type="dxa"/>
          <w:shd w:val="clear" w:color="auto" w:fill="auto"/>
        </w:tcPr>
        <w:p w14:paraId="6CF01C6C" w14:textId="77777777" w:rsidR="003447A8" w:rsidRPr="000253AB" w:rsidRDefault="003447A8" w:rsidP="003447A8">
          <w:pPr>
            <w:pStyle w:val="FirstFooter"/>
            <w:tabs>
              <w:tab w:val="left" w:pos="2302"/>
            </w:tabs>
            <w:rPr>
              <w:sz w:val="18"/>
              <w:szCs w:val="18"/>
              <w:lang w:val="en-US"/>
            </w:rPr>
          </w:pPr>
          <w:r w:rsidRPr="000253AB">
            <w:rPr>
              <w:sz w:val="18"/>
              <w:szCs w:val="18"/>
              <w:lang w:val="en-US"/>
            </w:rPr>
            <w:t>Phone number:</w:t>
          </w:r>
        </w:p>
      </w:tc>
      <w:tc>
        <w:tcPr>
          <w:tcW w:w="5987" w:type="dxa"/>
        </w:tcPr>
        <w:p w14:paraId="527F567E" w14:textId="259E7A6F" w:rsidR="003447A8" w:rsidRPr="000253AB" w:rsidRDefault="000253AB" w:rsidP="003447A8">
          <w:pPr>
            <w:pStyle w:val="FirstFooter"/>
            <w:tabs>
              <w:tab w:val="left" w:pos="2302"/>
            </w:tabs>
            <w:rPr>
              <w:sz w:val="18"/>
              <w:szCs w:val="24"/>
              <w:lang w:val="en-US"/>
            </w:rPr>
          </w:pPr>
          <w:r w:rsidRPr="000253AB">
            <w:rPr>
              <w:sz w:val="18"/>
              <w:szCs w:val="24"/>
              <w:lang w:val="en-US"/>
            </w:rPr>
            <w:t>+41</w:t>
          </w:r>
          <w:r w:rsidR="00111533">
            <w:rPr>
              <w:sz w:val="18"/>
              <w:szCs w:val="24"/>
              <w:lang w:val="en-US"/>
            </w:rPr>
            <w:t xml:space="preserve"> </w:t>
          </w:r>
          <w:r w:rsidRPr="000253AB">
            <w:rPr>
              <w:sz w:val="18"/>
              <w:szCs w:val="24"/>
              <w:lang w:val="en-US"/>
            </w:rPr>
            <w:t>22</w:t>
          </w:r>
          <w:r w:rsidR="00111533">
            <w:rPr>
              <w:sz w:val="18"/>
              <w:szCs w:val="24"/>
              <w:lang w:val="en-US"/>
            </w:rPr>
            <w:t xml:space="preserve"> </w:t>
          </w:r>
          <w:r w:rsidRPr="000253AB">
            <w:rPr>
              <w:sz w:val="18"/>
              <w:szCs w:val="24"/>
              <w:lang w:val="en-US"/>
            </w:rPr>
            <w:t>730</w:t>
          </w:r>
          <w:r w:rsidR="00111533">
            <w:rPr>
              <w:sz w:val="18"/>
              <w:szCs w:val="24"/>
              <w:lang w:val="en-US"/>
            </w:rPr>
            <w:t xml:space="preserve"> </w:t>
          </w:r>
          <w:r w:rsidRPr="000253AB">
            <w:rPr>
              <w:sz w:val="18"/>
              <w:szCs w:val="24"/>
              <w:lang w:val="en-US"/>
            </w:rPr>
            <w:t>5900</w:t>
          </w:r>
        </w:p>
      </w:tc>
      <w:bookmarkStart w:id="12" w:name="PhoneNo"/>
      <w:bookmarkEnd w:id="12"/>
    </w:tr>
    <w:tr w:rsidR="003447A8" w:rsidRPr="004D495C" w14:paraId="34A468D3" w14:textId="77777777" w:rsidTr="000253AB">
      <w:trPr>
        <w:gridAfter w:val="1"/>
        <w:wAfter w:w="142" w:type="dxa"/>
      </w:trPr>
      <w:tc>
        <w:tcPr>
          <w:tcW w:w="1526" w:type="dxa"/>
          <w:shd w:val="clear" w:color="auto" w:fill="auto"/>
        </w:tcPr>
        <w:p w14:paraId="2403414C" w14:textId="77777777" w:rsidR="003447A8" w:rsidRPr="000253AB"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0253AB" w:rsidRDefault="003447A8" w:rsidP="003447A8">
          <w:pPr>
            <w:pStyle w:val="FirstFooter"/>
            <w:tabs>
              <w:tab w:val="left" w:pos="2302"/>
            </w:tabs>
            <w:rPr>
              <w:sz w:val="18"/>
              <w:szCs w:val="18"/>
              <w:lang w:val="en-US"/>
            </w:rPr>
          </w:pPr>
          <w:r w:rsidRPr="000253AB">
            <w:rPr>
              <w:sz w:val="18"/>
              <w:szCs w:val="18"/>
              <w:lang w:val="en-US"/>
            </w:rPr>
            <w:t>E-mail:</w:t>
          </w:r>
        </w:p>
      </w:tc>
      <w:tc>
        <w:tcPr>
          <w:tcW w:w="5987" w:type="dxa"/>
        </w:tcPr>
        <w:p w14:paraId="36CD733D" w14:textId="7A66A0B6" w:rsidR="003447A8" w:rsidRPr="000253AB" w:rsidRDefault="00111533" w:rsidP="003447A8">
          <w:pPr>
            <w:pStyle w:val="FirstFooter"/>
            <w:tabs>
              <w:tab w:val="left" w:pos="2302"/>
            </w:tabs>
            <w:rPr>
              <w:sz w:val="18"/>
              <w:szCs w:val="24"/>
            </w:rPr>
          </w:pPr>
          <w:hyperlink r:id="rId1" w:history="1">
            <w:r w:rsidRPr="00C3432A">
              <w:rPr>
                <w:rStyle w:val="Hyperlink"/>
                <w:sz w:val="18"/>
                <w:szCs w:val="24"/>
              </w:rPr>
              <w:t>eun-ju.kim@itu.int</w:t>
            </w:r>
          </w:hyperlink>
          <w:r>
            <w:rPr>
              <w:sz w:val="18"/>
              <w:szCs w:val="24"/>
            </w:rPr>
            <w:t xml:space="preserve"> </w:t>
          </w:r>
        </w:p>
      </w:tc>
      <w:bookmarkStart w:id="13" w:name="Email"/>
      <w:bookmarkEnd w:id="13"/>
    </w:tr>
  </w:tbl>
  <w:p w14:paraId="3FF320CD" w14:textId="2FE7C1DA"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262D" w14:textId="77777777" w:rsidR="00FD42FE" w:rsidRPr="0054377E" w:rsidRDefault="00FD42FE" w:rsidP="0054377E">
      <w:pPr>
        <w:spacing w:before="0"/>
      </w:pPr>
      <w:r w:rsidRPr="0054377E">
        <w:rPr>
          <w:b/>
        </w:rPr>
        <w:t>_______________</w:t>
      </w:r>
    </w:p>
  </w:footnote>
  <w:footnote w:type="continuationSeparator" w:id="0">
    <w:p w14:paraId="22A128E8" w14:textId="77777777" w:rsidR="00FD42FE" w:rsidRDefault="00FD42FE" w:rsidP="0054377E">
      <w:pPr>
        <w:spacing w:before="0"/>
      </w:pPr>
      <w:r>
        <w:continuationSeparator/>
      </w:r>
    </w:p>
    <w:p w14:paraId="1BAB1CD5" w14:textId="77777777" w:rsidR="00FD42FE" w:rsidRDefault="00FD42FE"/>
  </w:footnote>
  <w:footnote w:type="continuationNotice" w:id="1">
    <w:p w14:paraId="0C6013C6" w14:textId="77777777" w:rsidR="00FD42FE" w:rsidRDefault="00FD42FE">
      <w:pPr>
        <w:spacing w:before="0"/>
      </w:pPr>
    </w:p>
    <w:p w14:paraId="5CE35910" w14:textId="77777777" w:rsidR="00FD42FE" w:rsidRDefault="00FD42FE"/>
  </w:footnote>
  <w:footnote w:id="2">
    <w:p w14:paraId="1D96C97D" w14:textId="77777777" w:rsidR="00D93FBE" w:rsidRPr="000D2492" w:rsidRDefault="00D93FBE" w:rsidP="00D93FBE">
      <w:pPr>
        <w:pStyle w:val="FootnoteText"/>
        <w:spacing w:before="0"/>
        <w:rPr>
          <w:sz w:val="20"/>
          <w:lang w:val="en-US"/>
        </w:rPr>
      </w:pPr>
      <w:r w:rsidRPr="000D2492">
        <w:rPr>
          <w:rStyle w:val="FootnoteReference"/>
          <w:sz w:val="20"/>
        </w:rPr>
        <w:footnoteRef/>
      </w:r>
      <w:r w:rsidRPr="000D2492">
        <w:rPr>
          <w:sz w:val="20"/>
        </w:rPr>
        <w:t xml:space="preserve"> </w:t>
      </w:r>
      <w:r w:rsidRPr="000D2492">
        <w:rPr>
          <w:sz w:val="20"/>
          <w:lang w:val="en-US"/>
        </w:rPr>
        <w:t xml:space="preserve">For the full list of agreements, please refer to Document </w:t>
      </w:r>
      <w:r w:rsidRPr="000D2492">
        <w:rPr>
          <w:sz w:val="20"/>
        </w:rPr>
        <w:t>TDAG25/INF/1.</w:t>
      </w:r>
    </w:p>
  </w:footnote>
  <w:footnote w:id="3">
    <w:p w14:paraId="3CBC8B1D" w14:textId="6769D4C5" w:rsidR="00D93FBE" w:rsidRPr="000D2492" w:rsidRDefault="00D93FBE" w:rsidP="00E4260D">
      <w:pPr>
        <w:pStyle w:val="FootnoteText"/>
        <w:spacing w:before="0"/>
        <w:rPr>
          <w:sz w:val="20"/>
        </w:rPr>
      </w:pPr>
      <w:r w:rsidRPr="000D2492">
        <w:rPr>
          <w:rStyle w:val="FootnoteReference"/>
          <w:sz w:val="20"/>
        </w:rPr>
        <w:footnoteRef/>
      </w:r>
      <w:r w:rsidRPr="000D2492">
        <w:rPr>
          <w:sz w:val="20"/>
        </w:rPr>
        <w:t xml:space="preserve"> </w:t>
      </w:r>
      <w:hyperlink r:id="rId1" w:history="1">
        <w:r w:rsidR="00E4260D" w:rsidRPr="000D2492">
          <w:rPr>
            <w:rStyle w:val="Hyperlink"/>
            <w:sz w:val="20"/>
          </w:rPr>
          <w:t>https://www.itu.int/hub/membership/our-members/</w:t>
        </w:r>
      </w:hyperlink>
      <w:r w:rsidR="00E4260D" w:rsidRPr="000D2492">
        <w:rPr>
          <w:sz w:val="20"/>
        </w:rPr>
        <w:t xml:space="preserve"> </w:t>
      </w:r>
    </w:p>
  </w:footnote>
  <w:footnote w:id="4">
    <w:p w14:paraId="2831B50C" w14:textId="77777777" w:rsidR="00D93FBE" w:rsidRPr="000D2492" w:rsidRDefault="00D93FBE" w:rsidP="00E4260D">
      <w:pPr>
        <w:pStyle w:val="FootnoteText"/>
        <w:spacing w:before="0"/>
        <w:rPr>
          <w:sz w:val="20"/>
          <w:lang w:val="en-US"/>
        </w:rPr>
      </w:pPr>
      <w:r w:rsidRPr="000D2492">
        <w:rPr>
          <w:rStyle w:val="FootnoteReference"/>
          <w:sz w:val="20"/>
        </w:rPr>
        <w:footnoteRef/>
      </w:r>
      <w:r w:rsidRPr="000D2492">
        <w:rPr>
          <w:sz w:val="20"/>
        </w:rPr>
        <w:t xml:space="preserve"> For the full list of financial partners, please refer to Document TDAG25/INF/1.</w:t>
      </w:r>
    </w:p>
  </w:footnote>
  <w:footnote w:id="5">
    <w:p w14:paraId="15FB5B36" w14:textId="77777777" w:rsidR="00D93FBE" w:rsidRPr="000D2492" w:rsidRDefault="00D93FBE" w:rsidP="00D93FBE">
      <w:pPr>
        <w:pStyle w:val="FootnoteText"/>
        <w:spacing w:before="0"/>
        <w:rPr>
          <w:sz w:val="20"/>
        </w:rPr>
      </w:pPr>
      <w:r w:rsidRPr="000D2492">
        <w:rPr>
          <w:rStyle w:val="FootnoteReference"/>
          <w:sz w:val="20"/>
        </w:rPr>
        <w:footnoteRef/>
      </w:r>
      <w:r w:rsidRPr="000D2492">
        <w:rPr>
          <w:sz w:val="20"/>
        </w:rPr>
        <w:t xml:space="preserve"> </w:t>
      </w:r>
      <w:hyperlink r:id="rId2" w:history="1">
        <w:r w:rsidRPr="000D2492">
          <w:rPr>
            <w:rStyle w:val="Hyperlink"/>
            <w:sz w:val="20"/>
          </w:rPr>
          <w:t>https://www.itu.int/en/ITU-D/MembersPartners/Pages/Partners/List-of-Partners.aspx</w:t>
        </w:r>
      </w:hyperlink>
      <w:r w:rsidRPr="000D2492">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4D89" w14:textId="77777777" w:rsidR="00111533" w:rsidRDefault="0011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54F7CDC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A60CD4">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AB73" w14:textId="77777777" w:rsidR="00111533" w:rsidRDefault="0011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964A6"/>
    <w:multiLevelType w:val="hybridMultilevel"/>
    <w:tmpl w:val="6352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6E82194"/>
    <w:multiLevelType w:val="hybridMultilevel"/>
    <w:tmpl w:val="A62C560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6D35AA"/>
    <w:multiLevelType w:val="hybridMultilevel"/>
    <w:tmpl w:val="C6CC195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4"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2"/>
  </w:num>
  <w:num w:numId="4" w16cid:durableId="1830174465">
    <w:abstractNumId w:val="3"/>
  </w:num>
  <w:num w:numId="5" w16cid:durableId="1479105461">
    <w:abstractNumId w:val="33"/>
  </w:num>
  <w:num w:numId="6" w16cid:durableId="869954702">
    <w:abstractNumId w:val="40"/>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1"/>
  </w:num>
  <w:num w:numId="12" w16cid:durableId="1514690498">
    <w:abstractNumId w:val="39"/>
  </w:num>
  <w:num w:numId="13" w16cid:durableId="1235118698">
    <w:abstractNumId w:val="2"/>
  </w:num>
  <w:num w:numId="14" w16cid:durableId="509291828">
    <w:abstractNumId w:val="5"/>
  </w:num>
  <w:num w:numId="15" w16cid:durableId="383218916">
    <w:abstractNumId w:val="12"/>
  </w:num>
  <w:num w:numId="16" w16cid:durableId="1227569663">
    <w:abstractNumId w:val="8"/>
  </w:num>
  <w:num w:numId="17" w16cid:durableId="810974550">
    <w:abstractNumId w:val="45"/>
  </w:num>
  <w:num w:numId="18" w16cid:durableId="1354573477">
    <w:abstractNumId w:val="37"/>
  </w:num>
  <w:num w:numId="19" w16cid:durableId="435754545">
    <w:abstractNumId w:val="19"/>
  </w:num>
  <w:num w:numId="20" w16cid:durableId="1066875134">
    <w:abstractNumId w:val="30"/>
  </w:num>
  <w:num w:numId="21" w16cid:durableId="1689939216">
    <w:abstractNumId w:val="29"/>
  </w:num>
  <w:num w:numId="22" w16cid:durableId="1257783837">
    <w:abstractNumId w:val="46"/>
  </w:num>
  <w:num w:numId="23" w16cid:durableId="970285242">
    <w:abstractNumId w:val="24"/>
  </w:num>
  <w:num w:numId="24" w16cid:durableId="1876889861">
    <w:abstractNumId w:val="18"/>
  </w:num>
  <w:num w:numId="25" w16cid:durableId="138228398">
    <w:abstractNumId w:val="21"/>
  </w:num>
  <w:num w:numId="26" w16cid:durableId="1871145006">
    <w:abstractNumId w:val="22"/>
  </w:num>
  <w:num w:numId="27" w16cid:durableId="1946108508">
    <w:abstractNumId w:val="25"/>
  </w:num>
  <w:num w:numId="28" w16cid:durableId="1629045729">
    <w:abstractNumId w:val="11"/>
  </w:num>
  <w:num w:numId="29" w16cid:durableId="2010906637">
    <w:abstractNumId w:val="27"/>
  </w:num>
  <w:num w:numId="30" w16cid:durableId="290525213">
    <w:abstractNumId w:val="44"/>
  </w:num>
  <w:num w:numId="31" w16cid:durableId="191966975">
    <w:abstractNumId w:val="28"/>
  </w:num>
  <w:num w:numId="32" w16cid:durableId="2014406757">
    <w:abstractNumId w:val="34"/>
  </w:num>
  <w:num w:numId="33" w16cid:durableId="648558829">
    <w:abstractNumId w:val="20"/>
  </w:num>
  <w:num w:numId="34" w16cid:durableId="2071807613">
    <w:abstractNumId w:val="10"/>
  </w:num>
  <w:num w:numId="35" w16cid:durableId="271744889">
    <w:abstractNumId w:val="38"/>
  </w:num>
  <w:num w:numId="36" w16cid:durableId="1457527817">
    <w:abstractNumId w:val="23"/>
  </w:num>
  <w:num w:numId="37" w16cid:durableId="10661010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5"/>
  </w:num>
  <w:num w:numId="39" w16cid:durableId="359361948">
    <w:abstractNumId w:val="41"/>
  </w:num>
  <w:num w:numId="40" w16cid:durableId="1037706265">
    <w:abstractNumId w:val="7"/>
  </w:num>
  <w:num w:numId="41" w16cid:durableId="447436251">
    <w:abstractNumId w:val="47"/>
  </w:num>
  <w:num w:numId="42" w16cid:durableId="655766109">
    <w:abstractNumId w:val="16"/>
  </w:num>
  <w:num w:numId="43" w16cid:durableId="577523632">
    <w:abstractNumId w:val="15"/>
  </w:num>
  <w:num w:numId="44" w16cid:durableId="1138063662">
    <w:abstractNumId w:val="43"/>
  </w:num>
  <w:num w:numId="45" w16cid:durableId="1750929543">
    <w:abstractNumId w:val="9"/>
  </w:num>
  <w:num w:numId="46" w16cid:durableId="1936010611">
    <w:abstractNumId w:val="36"/>
  </w:num>
  <w:num w:numId="47" w16cid:durableId="559941856">
    <w:abstractNumId w:val="26"/>
  </w:num>
  <w:num w:numId="48" w16cid:durableId="97506581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LATI, Archana">
    <w15:presenceInfo w15:providerId="AD" w15:userId="S::archana.gulati@itu.int::68b33b2d-bc3b-4979-a044-aab89b6db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489"/>
    <w:rsid w:val="00006EB6"/>
    <w:rsid w:val="00007BDB"/>
    <w:rsid w:val="00011ECB"/>
    <w:rsid w:val="000150B0"/>
    <w:rsid w:val="00015E52"/>
    <w:rsid w:val="00022A29"/>
    <w:rsid w:val="000253AB"/>
    <w:rsid w:val="00025926"/>
    <w:rsid w:val="00025965"/>
    <w:rsid w:val="000355FD"/>
    <w:rsid w:val="0003589F"/>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4489"/>
    <w:rsid w:val="0009581F"/>
    <w:rsid w:val="00095901"/>
    <w:rsid w:val="00097074"/>
    <w:rsid w:val="000A3B54"/>
    <w:rsid w:val="000A59AE"/>
    <w:rsid w:val="000A7760"/>
    <w:rsid w:val="000B44C1"/>
    <w:rsid w:val="000B738A"/>
    <w:rsid w:val="000C03F4"/>
    <w:rsid w:val="000C17EA"/>
    <w:rsid w:val="000C2592"/>
    <w:rsid w:val="000C3923"/>
    <w:rsid w:val="000C42BA"/>
    <w:rsid w:val="000C4FD1"/>
    <w:rsid w:val="000D1759"/>
    <w:rsid w:val="000D2492"/>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464E"/>
    <w:rsid w:val="001048D8"/>
    <w:rsid w:val="00105DCD"/>
    <w:rsid w:val="001066B3"/>
    <w:rsid w:val="001114AC"/>
    <w:rsid w:val="00111533"/>
    <w:rsid w:val="00114584"/>
    <w:rsid w:val="00114CF7"/>
    <w:rsid w:val="00115411"/>
    <w:rsid w:val="00115B33"/>
    <w:rsid w:val="00116B95"/>
    <w:rsid w:val="00117233"/>
    <w:rsid w:val="00123B68"/>
    <w:rsid w:val="00124AF4"/>
    <w:rsid w:val="00124CAA"/>
    <w:rsid w:val="00125E69"/>
    <w:rsid w:val="00126F2E"/>
    <w:rsid w:val="00127FC6"/>
    <w:rsid w:val="00131D01"/>
    <w:rsid w:val="001342D0"/>
    <w:rsid w:val="001424DC"/>
    <w:rsid w:val="00143A87"/>
    <w:rsid w:val="00144E69"/>
    <w:rsid w:val="00146F6F"/>
    <w:rsid w:val="0014714E"/>
    <w:rsid w:val="00147A83"/>
    <w:rsid w:val="00147DA1"/>
    <w:rsid w:val="00152957"/>
    <w:rsid w:val="00162063"/>
    <w:rsid w:val="001655E8"/>
    <w:rsid w:val="00166196"/>
    <w:rsid w:val="001664A7"/>
    <w:rsid w:val="00167327"/>
    <w:rsid w:val="00167A9D"/>
    <w:rsid w:val="00170C5A"/>
    <w:rsid w:val="0017171C"/>
    <w:rsid w:val="00171758"/>
    <w:rsid w:val="0017500F"/>
    <w:rsid w:val="00176991"/>
    <w:rsid w:val="0017765A"/>
    <w:rsid w:val="00180444"/>
    <w:rsid w:val="001819D5"/>
    <w:rsid w:val="001832B9"/>
    <w:rsid w:val="00185737"/>
    <w:rsid w:val="00187BD9"/>
    <w:rsid w:val="0019060A"/>
    <w:rsid w:val="00190B55"/>
    <w:rsid w:val="00190D52"/>
    <w:rsid w:val="0019158A"/>
    <w:rsid w:val="00191F5C"/>
    <w:rsid w:val="00192FA9"/>
    <w:rsid w:val="00194CFB"/>
    <w:rsid w:val="001960A4"/>
    <w:rsid w:val="001A1FFD"/>
    <w:rsid w:val="001A3858"/>
    <w:rsid w:val="001A4BD2"/>
    <w:rsid w:val="001A5839"/>
    <w:rsid w:val="001A65F6"/>
    <w:rsid w:val="001B2ED3"/>
    <w:rsid w:val="001B643A"/>
    <w:rsid w:val="001B6675"/>
    <w:rsid w:val="001B7EA3"/>
    <w:rsid w:val="001C0DFB"/>
    <w:rsid w:val="001C32DF"/>
    <w:rsid w:val="001C3B5F"/>
    <w:rsid w:val="001C61EA"/>
    <w:rsid w:val="001D058F"/>
    <w:rsid w:val="001D2025"/>
    <w:rsid w:val="001D520B"/>
    <w:rsid w:val="001D78D5"/>
    <w:rsid w:val="001E0384"/>
    <w:rsid w:val="001E24AF"/>
    <w:rsid w:val="001E252D"/>
    <w:rsid w:val="001E285A"/>
    <w:rsid w:val="001E43DC"/>
    <w:rsid w:val="001F0DE0"/>
    <w:rsid w:val="001F5C6A"/>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5685"/>
    <w:rsid w:val="00246B32"/>
    <w:rsid w:val="00251A53"/>
    <w:rsid w:val="00251F7D"/>
    <w:rsid w:val="0025489C"/>
    <w:rsid w:val="00257B92"/>
    <w:rsid w:val="0026406F"/>
    <w:rsid w:val="002653F2"/>
    <w:rsid w:val="00266589"/>
    <w:rsid w:val="00267576"/>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9719F"/>
    <w:rsid w:val="002A032D"/>
    <w:rsid w:val="002A0A7A"/>
    <w:rsid w:val="002A0D8C"/>
    <w:rsid w:val="002A27F8"/>
    <w:rsid w:val="002A4E57"/>
    <w:rsid w:val="002A51DF"/>
    <w:rsid w:val="002A684E"/>
    <w:rsid w:val="002B074A"/>
    <w:rsid w:val="002B10D5"/>
    <w:rsid w:val="002B3296"/>
    <w:rsid w:val="002B3C84"/>
    <w:rsid w:val="002B4407"/>
    <w:rsid w:val="002B5490"/>
    <w:rsid w:val="002C12ED"/>
    <w:rsid w:val="002C49BA"/>
    <w:rsid w:val="002C4B75"/>
    <w:rsid w:val="002C4CBE"/>
    <w:rsid w:val="002C6B70"/>
    <w:rsid w:val="002C73F6"/>
    <w:rsid w:val="002C7D5E"/>
    <w:rsid w:val="002D24D9"/>
    <w:rsid w:val="002D58BE"/>
    <w:rsid w:val="002D5CE8"/>
    <w:rsid w:val="002E19DF"/>
    <w:rsid w:val="002E4D1D"/>
    <w:rsid w:val="002E51E0"/>
    <w:rsid w:val="002E5411"/>
    <w:rsid w:val="002E7A84"/>
    <w:rsid w:val="002F1BD0"/>
    <w:rsid w:val="003013EE"/>
    <w:rsid w:val="00304031"/>
    <w:rsid w:val="00304792"/>
    <w:rsid w:val="00311808"/>
    <w:rsid w:val="00311851"/>
    <w:rsid w:val="00311CD5"/>
    <w:rsid w:val="00316725"/>
    <w:rsid w:val="00316A69"/>
    <w:rsid w:val="003218F7"/>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4EA5"/>
    <w:rsid w:val="00356083"/>
    <w:rsid w:val="003572D4"/>
    <w:rsid w:val="003601FB"/>
    <w:rsid w:val="00361609"/>
    <w:rsid w:val="00364098"/>
    <w:rsid w:val="00366978"/>
    <w:rsid w:val="0037003F"/>
    <w:rsid w:val="00372BCF"/>
    <w:rsid w:val="00373365"/>
    <w:rsid w:val="00375431"/>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555C"/>
    <w:rsid w:val="003B6306"/>
    <w:rsid w:val="003B6602"/>
    <w:rsid w:val="003B6F14"/>
    <w:rsid w:val="003B6F60"/>
    <w:rsid w:val="003C1870"/>
    <w:rsid w:val="003C6136"/>
    <w:rsid w:val="003D0F8B"/>
    <w:rsid w:val="003D1814"/>
    <w:rsid w:val="003D39F2"/>
    <w:rsid w:val="003D4B5D"/>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3357"/>
    <w:rsid w:val="0043484D"/>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5B7B"/>
    <w:rsid w:val="00486163"/>
    <w:rsid w:val="00492075"/>
    <w:rsid w:val="0049304E"/>
    <w:rsid w:val="00495290"/>
    <w:rsid w:val="0049588B"/>
    <w:rsid w:val="00496256"/>
    <w:rsid w:val="004969AD"/>
    <w:rsid w:val="00496BA6"/>
    <w:rsid w:val="00496E2A"/>
    <w:rsid w:val="004A0244"/>
    <w:rsid w:val="004A3FF4"/>
    <w:rsid w:val="004A7674"/>
    <w:rsid w:val="004A783D"/>
    <w:rsid w:val="004B13CB"/>
    <w:rsid w:val="004B1F1C"/>
    <w:rsid w:val="004B2466"/>
    <w:rsid w:val="004B3C6F"/>
    <w:rsid w:val="004B4578"/>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3C2"/>
    <w:rsid w:val="005004A4"/>
    <w:rsid w:val="0050139F"/>
    <w:rsid w:val="005048DF"/>
    <w:rsid w:val="0050712D"/>
    <w:rsid w:val="005071EB"/>
    <w:rsid w:val="00510528"/>
    <w:rsid w:val="00510692"/>
    <w:rsid w:val="00510F4D"/>
    <w:rsid w:val="00516722"/>
    <w:rsid w:val="00517624"/>
    <w:rsid w:val="00520565"/>
    <w:rsid w:val="00521223"/>
    <w:rsid w:val="00523934"/>
    <w:rsid w:val="00523D3E"/>
    <w:rsid w:val="00524DF1"/>
    <w:rsid w:val="005252E6"/>
    <w:rsid w:val="00526DAF"/>
    <w:rsid w:val="0052716E"/>
    <w:rsid w:val="0052756F"/>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584E"/>
    <w:rsid w:val="00586EB9"/>
    <w:rsid w:val="00592321"/>
    <w:rsid w:val="005933B2"/>
    <w:rsid w:val="00593B87"/>
    <w:rsid w:val="00595443"/>
    <w:rsid w:val="005964AB"/>
    <w:rsid w:val="005979B9"/>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21E3"/>
    <w:rsid w:val="005E61DD"/>
    <w:rsid w:val="005E6321"/>
    <w:rsid w:val="005F20E9"/>
    <w:rsid w:val="005F5413"/>
    <w:rsid w:val="005F6A85"/>
    <w:rsid w:val="00600B9C"/>
    <w:rsid w:val="006023DF"/>
    <w:rsid w:val="00602D53"/>
    <w:rsid w:val="0060534D"/>
    <w:rsid w:val="006055C4"/>
    <w:rsid w:val="0060693B"/>
    <w:rsid w:val="006117C6"/>
    <w:rsid w:val="00611CD2"/>
    <w:rsid w:val="00613FA2"/>
    <w:rsid w:val="00615AB9"/>
    <w:rsid w:val="00617602"/>
    <w:rsid w:val="00620ECD"/>
    <w:rsid w:val="00621FDD"/>
    <w:rsid w:val="00622B63"/>
    <w:rsid w:val="00624A81"/>
    <w:rsid w:val="0062697F"/>
    <w:rsid w:val="00627881"/>
    <w:rsid w:val="006334DF"/>
    <w:rsid w:val="00636181"/>
    <w:rsid w:val="00637E99"/>
    <w:rsid w:val="006422AD"/>
    <w:rsid w:val="006430DA"/>
    <w:rsid w:val="0064322F"/>
    <w:rsid w:val="006449A5"/>
    <w:rsid w:val="00644F99"/>
    <w:rsid w:val="006463EE"/>
    <w:rsid w:val="00654006"/>
    <w:rsid w:val="00657DE0"/>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38D5"/>
    <w:rsid w:val="006A47E5"/>
    <w:rsid w:val="006A6E9B"/>
    <w:rsid w:val="006A747C"/>
    <w:rsid w:val="006B1038"/>
    <w:rsid w:val="006B502E"/>
    <w:rsid w:val="006B5AA9"/>
    <w:rsid w:val="006B73C2"/>
    <w:rsid w:val="006B7C2A"/>
    <w:rsid w:val="006C03CD"/>
    <w:rsid w:val="006C23DA"/>
    <w:rsid w:val="006C250D"/>
    <w:rsid w:val="006C7898"/>
    <w:rsid w:val="006C7CA9"/>
    <w:rsid w:val="006D2C88"/>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1FA3"/>
    <w:rsid w:val="00733A1D"/>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1F81"/>
    <w:rsid w:val="007742CA"/>
    <w:rsid w:val="007743EB"/>
    <w:rsid w:val="0077509B"/>
    <w:rsid w:val="00776DB1"/>
    <w:rsid w:val="0077768B"/>
    <w:rsid w:val="0077794B"/>
    <w:rsid w:val="007917FC"/>
    <w:rsid w:val="00792DB8"/>
    <w:rsid w:val="00793BB0"/>
    <w:rsid w:val="00794ABD"/>
    <w:rsid w:val="00795C00"/>
    <w:rsid w:val="0079605E"/>
    <w:rsid w:val="007A4C7D"/>
    <w:rsid w:val="007A7FAF"/>
    <w:rsid w:val="007B12EB"/>
    <w:rsid w:val="007B2EB6"/>
    <w:rsid w:val="007B3BF6"/>
    <w:rsid w:val="007B4578"/>
    <w:rsid w:val="007B5182"/>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41BA"/>
    <w:rsid w:val="007F535C"/>
    <w:rsid w:val="007F54EB"/>
    <w:rsid w:val="007F62F2"/>
    <w:rsid w:val="007F735C"/>
    <w:rsid w:val="00800972"/>
    <w:rsid w:val="00804475"/>
    <w:rsid w:val="008064F1"/>
    <w:rsid w:val="00810CBE"/>
    <w:rsid w:val="0081159E"/>
    <w:rsid w:val="00811633"/>
    <w:rsid w:val="00814C00"/>
    <w:rsid w:val="00816EA5"/>
    <w:rsid w:val="00821838"/>
    <w:rsid w:val="00821CEF"/>
    <w:rsid w:val="008230D7"/>
    <w:rsid w:val="00823A96"/>
    <w:rsid w:val="00823BDC"/>
    <w:rsid w:val="008324BA"/>
    <w:rsid w:val="00832828"/>
    <w:rsid w:val="00833049"/>
    <w:rsid w:val="008334AF"/>
    <w:rsid w:val="00835F0B"/>
    <w:rsid w:val="0083645A"/>
    <w:rsid w:val="0083797D"/>
    <w:rsid w:val="00837AB9"/>
    <w:rsid w:val="00840B0F"/>
    <w:rsid w:val="00840FD0"/>
    <w:rsid w:val="0084590A"/>
    <w:rsid w:val="00845C0D"/>
    <w:rsid w:val="00845CFB"/>
    <w:rsid w:val="008501C4"/>
    <w:rsid w:val="008529D3"/>
    <w:rsid w:val="00854840"/>
    <w:rsid w:val="00854B10"/>
    <w:rsid w:val="0085555B"/>
    <w:rsid w:val="00855865"/>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745"/>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2B07"/>
    <w:rsid w:val="008C3D02"/>
    <w:rsid w:val="008C4ADD"/>
    <w:rsid w:val="008D00D3"/>
    <w:rsid w:val="008D06CB"/>
    <w:rsid w:val="008D279B"/>
    <w:rsid w:val="008D2B46"/>
    <w:rsid w:val="008D678E"/>
    <w:rsid w:val="008E33DA"/>
    <w:rsid w:val="008E47CC"/>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099"/>
    <w:rsid w:val="00942FC1"/>
    <w:rsid w:val="00943545"/>
    <w:rsid w:val="00944A5C"/>
    <w:rsid w:val="00944A99"/>
    <w:rsid w:val="00951816"/>
    <w:rsid w:val="00952848"/>
    <w:rsid w:val="009528FD"/>
    <w:rsid w:val="00952A66"/>
    <w:rsid w:val="00953C32"/>
    <w:rsid w:val="00964C68"/>
    <w:rsid w:val="009737F9"/>
    <w:rsid w:val="00974C9F"/>
    <w:rsid w:val="00980AD1"/>
    <w:rsid w:val="00980AD6"/>
    <w:rsid w:val="009828A4"/>
    <w:rsid w:val="009834B8"/>
    <w:rsid w:val="00985001"/>
    <w:rsid w:val="00986EBB"/>
    <w:rsid w:val="009901F2"/>
    <w:rsid w:val="009907F3"/>
    <w:rsid w:val="00990A55"/>
    <w:rsid w:val="00992CDA"/>
    <w:rsid w:val="00992F9A"/>
    <w:rsid w:val="009944BE"/>
    <w:rsid w:val="00996913"/>
    <w:rsid w:val="00996ACA"/>
    <w:rsid w:val="00997678"/>
    <w:rsid w:val="009A04EC"/>
    <w:rsid w:val="009A234F"/>
    <w:rsid w:val="009A291A"/>
    <w:rsid w:val="009B28F2"/>
    <w:rsid w:val="009B438A"/>
    <w:rsid w:val="009B5126"/>
    <w:rsid w:val="009B71C3"/>
    <w:rsid w:val="009B75FF"/>
    <w:rsid w:val="009C39A2"/>
    <w:rsid w:val="009C4858"/>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07BC6"/>
    <w:rsid w:val="00A11EC5"/>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1C8"/>
    <w:rsid w:val="00A32267"/>
    <w:rsid w:val="00A32291"/>
    <w:rsid w:val="00A33D45"/>
    <w:rsid w:val="00A34772"/>
    <w:rsid w:val="00A35D6D"/>
    <w:rsid w:val="00A37578"/>
    <w:rsid w:val="00A4049B"/>
    <w:rsid w:val="00A43642"/>
    <w:rsid w:val="00A44D51"/>
    <w:rsid w:val="00A4600A"/>
    <w:rsid w:val="00A524E6"/>
    <w:rsid w:val="00A538A6"/>
    <w:rsid w:val="00A54C25"/>
    <w:rsid w:val="00A55AF0"/>
    <w:rsid w:val="00A56C71"/>
    <w:rsid w:val="00A60CD4"/>
    <w:rsid w:val="00A612BB"/>
    <w:rsid w:val="00A62F73"/>
    <w:rsid w:val="00A6422E"/>
    <w:rsid w:val="00A67FB8"/>
    <w:rsid w:val="00A7027A"/>
    <w:rsid w:val="00A710E7"/>
    <w:rsid w:val="00A7120F"/>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0A1D"/>
    <w:rsid w:val="00AC1A8E"/>
    <w:rsid w:val="00AC4C17"/>
    <w:rsid w:val="00AC4DB5"/>
    <w:rsid w:val="00AC5CFD"/>
    <w:rsid w:val="00AC62B6"/>
    <w:rsid w:val="00AD0AEB"/>
    <w:rsid w:val="00AD1AD9"/>
    <w:rsid w:val="00AD4C7B"/>
    <w:rsid w:val="00AE5E80"/>
    <w:rsid w:val="00AF17A2"/>
    <w:rsid w:val="00AF2081"/>
    <w:rsid w:val="00AF2664"/>
    <w:rsid w:val="00AF57EF"/>
    <w:rsid w:val="00B004E5"/>
    <w:rsid w:val="00B053F3"/>
    <w:rsid w:val="00B055E7"/>
    <w:rsid w:val="00B100CB"/>
    <w:rsid w:val="00B10A09"/>
    <w:rsid w:val="00B10B6E"/>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077"/>
    <w:rsid w:val="00B36A3C"/>
    <w:rsid w:val="00B378D3"/>
    <w:rsid w:val="00B4012B"/>
    <w:rsid w:val="00B41367"/>
    <w:rsid w:val="00B423AE"/>
    <w:rsid w:val="00B43D73"/>
    <w:rsid w:val="00B44083"/>
    <w:rsid w:val="00B441B1"/>
    <w:rsid w:val="00B45C98"/>
    <w:rsid w:val="00B50520"/>
    <w:rsid w:val="00B52388"/>
    <w:rsid w:val="00B5337E"/>
    <w:rsid w:val="00B535D2"/>
    <w:rsid w:val="00B5544A"/>
    <w:rsid w:val="00B60933"/>
    <w:rsid w:val="00B613AB"/>
    <w:rsid w:val="00B639E9"/>
    <w:rsid w:val="00B6598C"/>
    <w:rsid w:val="00B66F17"/>
    <w:rsid w:val="00B67EB6"/>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746E"/>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039E"/>
    <w:rsid w:val="00BE34A3"/>
    <w:rsid w:val="00BE7042"/>
    <w:rsid w:val="00BE7870"/>
    <w:rsid w:val="00BF095D"/>
    <w:rsid w:val="00BF3618"/>
    <w:rsid w:val="00BF4F16"/>
    <w:rsid w:val="00BF65C9"/>
    <w:rsid w:val="00C0018F"/>
    <w:rsid w:val="00C02487"/>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0C00"/>
    <w:rsid w:val="00C324A8"/>
    <w:rsid w:val="00C349B4"/>
    <w:rsid w:val="00C35C13"/>
    <w:rsid w:val="00C36662"/>
    <w:rsid w:val="00C40DF2"/>
    <w:rsid w:val="00C54517"/>
    <w:rsid w:val="00C55DBA"/>
    <w:rsid w:val="00C56E3C"/>
    <w:rsid w:val="00C60AEF"/>
    <w:rsid w:val="00C6239E"/>
    <w:rsid w:val="00C6240E"/>
    <w:rsid w:val="00C6439C"/>
    <w:rsid w:val="00C64CD8"/>
    <w:rsid w:val="00C678C3"/>
    <w:rsid w:val="00C720B0"/>
    <w:rsid w:val="00C72FD0"/>
    <w:rsid w:val="00C73347"/>
    <w:rsid w:val="00C75E0E"/>
    <w:rsid w:val="00C75FF8"/>
    <w:rsid w:val="00C76A69"/>
    <w:rsid w:val="00C76A6C"/>
    <w:rsid w:val="00C77589"/>
    <w:rsid w:val="00C80652"/>
    <w:rsid w:val="00C80A64"/>
    <w:rsid w:val="00C87447"/>
    <w:rsid w:val="00C90579"/>
    <w:rsid w:val="00C9309D"/>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5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65C0"/>
    <w:rsid w:val="00D00E2A"/>
    <w:rsid w:val="00D03A73"/>
    <w:rsid w:val="00D0723D"/>
    <w:rsid w:val="00D10D23"/>
    <w:rsid w:val="00D12A27"/>
    <w:rsid w:val="00D14CE0"/>
    <w:rsid w:val="00D21166"/>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55F6"/>
    <w:rsid w:val="00D66202"/>
    <w:rsid w:val="00D67A2E"/>
    <w:rsid w:val="00D71278"/>
    <w:rsid w:val="00D724BE"/>
    <w:rsid w:val="00D73550"/>
    <w:rsid w:val="00D73CFE"/>
    <w:rsid w:val="00D74854"/>
    <w:rsid w:val="00D74898"/>
    <w:rsid w:val="00D75941"/>
    <w:rsid w:val="00D75EB3"/>
    <w:rsid w:val="00D801ED"/>
    <w:rsid w:val="00D83BF5"/>
    <w:rsid w:val="00D8609B"/>
    <w:rsid w:val="00D864B0"/>
    <w:rsid w:val="00D87035"/>
    <w:rsid w:val="00D8730D"/>
    <w:rsid w:val="00D87E9C"/>
    <w:rsid w:val="00D90F93"/>
    <w:rsid w:val="00D91F0E"/>
    <w:rsid w:val="00D925C2"/>
    <w:rsid w:val="00D936BC"/>
    <w:rsid w:val="00D93FBE"/>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0958"/>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17AD"/>
    <w:rsid w:val="00E12074"/>
    <w:rsid w:val="00E1307C"/>
    <w:rsid w:val="00E17BAD"/>
    <w:rsid w:val="00E20A0C"/>
    <w:rsid w:val="00E212AB"/>
    <w:rsid w:val="00E21B22"/>
    <w:rsid w:val="00E239BD"/>
    <w:rsid w:val="00E241C9"/>
    <w:rsid w:val="00E26226"/>
    <w:rsid w:val="00E31B77"/>
    <w:rsid w:val="00E36E67"/>
    <w:rsid w:val="00E378D8"/>
    <w:rsid w:val="00E4021C"/>
    <w:rsid w:val="00E4059F"/>
    <w:rsid w:val="00E407FC"/>
    <w:rsid w:val="00E4165C"/>
    <w:rsid w:val="00E422AC"/>
    <w:rsid w:val="00E425D0"/>
    <w:rsid w:val="00E4260D"/>
    <w:rsid w:val="00E45D05"/>
    <w:rsid w:val="00E47B56"/>
    <w:rsid w:val="00E528F8"/>
    <w:rsid w:val="00E5442B"/>
    <w:rsid w:val="00E55816"/>
    <w:rsid w:val="00E55AEF"/>
    <w:rsid w:val="00E61442"/>
    <w:rsid w:val="00E61DF9"/>
    <w:rsid w:val="00E64B4B"/>
    <w:rsid w:val="00E66A93"/>
    <w:rsid w:val="00E70BE5"/>
    <w:rsid w:val="00E71B64"/>
    <w:rsid w:val="00E72088"/>
    <w:rsid w:val="00E73B24"/>
    <w:rsid w:val="00E81961"/>
    <w:rsid w:val="00E8234A"/>
    <w:rsid w:val="00E82877"/>
    <w:rsid w:val="00E83BBB"/>
    <w:rsid w:val="00E83C2D"/>
    <w:rsid w:val="00E84088"/>
    <w:rsid w:val="00E90BE9"/>
    <w:rsid w:val="00E976C1"/>
    <w:rsid w:val="00EA025D"/>
    <w:rsid w:val="00EA07F0"/>
    <w:rsid w:val="00EA1288"/>
    <w:rsid w:val="00EA12E5"/>
    <w:rsid w:val="00EA2136"/>
    <w:rsid w:val="00EA36A2"/>
    <w:rsid w:val="00EA3D99"/>
    <w:rsid w:val="00EA66A4"/>
    <w:rsid w:val="00EB00F7"/>
    <w:rsid w:val="00EB0E5E"/>
    <w:rsid w:val="00EB2238"/>
    <w:rsid w:val="00EB4C45"/>
    <w:rsid w:val="00EC00DF"/>
    <w:rsid w:val="00EC0FC2"/>
    <w:rsid w:val="00EC132A"/>
    <w:rsid w:val="00EC3585"/>
    <w:rsid w:val="00EC48EE"/>
    <w:rsid w:val="00EC6B65"/>
    <w:rsid w:val="00ED0DE0"/>
    <w:rsid w:val="00ED29AB"/>
    <w:rsid w:val="00ED335C"/>
    <w:rsid w:val="00ED44A8"/>
    <w:rsid w:val="00ED5AAF"/>
    <w:rsid w:val="00ED6F73"/>
    <w:rsid w:val="00EE3198"/>
    <w:rsid w:val="00EE4646"/>
    <w:rsid w:val="00EE4C7F"/>
    <w:rsid w:val="00EE67EC"/>
    <w:rsid w:val="00EF2E99"/>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C54"/>
    <w:rsid w:val="00F16F35"/>
    <w:rsid w:val="00F20CA2"/>
    <w:rsid w:val="00F21A1D"/>
    <w:rsid w:val="00F21D10"/>
    <w:rsid w:val="00F25E6D"/>
    <w:rsid w:val="00F277F9"/>
    <w:rsid w:val="00F339E3"/>
    <w:rsid w:val="00F340C8"/>
    <w:rsid w:val="00F349CB"/>
    <w:rsid w:val="00F354F7"/>
    <w:rsid w:val="00F357E0"/>
    <w:rsid w:val="00F45470"/>
    <w:rsid w:val="00F45892"/>
    <w:rsid w:val="00F53615"/>
    <w:rsid w:val="00F579D6"/>
    <w:rsid w:val="00F6139D"/>
    <w:rsid w:val="00F61818"/>
    <w:rsid w:val="00F623D9"/>
    <w:rsid w:val="00F6378C"/>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642D"/>
    <w:rsid w:val="00F971FB"/>
    <w:rsid w:val="00FA1D7B"/>
    <w:rsid w:val="00FA4CD4"/>
    <w:rsid w:val="00FA579C"/>
    <w:rsid w:val="00FA668B"/>
    <w:rsid w:val="00FB20E0"/>
    <w:rsid w:val="00FB3056"/>
    <w:rsid w:val="00FB34B9"/>
    <w:rsid w:val="00FC0BEF"/>
    <w:rsid w:val="00FC24DA"/>
    <w:rsid w:val="00FC4678"/>
    <w:rsid w:val="00FC6545"/>
    <w:rsid w:val="00FD0183"/>
    <w:rsid w:val="00FD037B"/>
    <w:rsid w:val="00FD2546"/>
    <w:rsid w:val="00FD3A5B"/>
    <w:rsid w:val="00FD42FE"/>
    <w:rsid w:val="00FD6F1F"/>
    <w:rsid w:val="00FD772E"/>
    <w:rsid w:val="00FE3346"/>
    <w:rsid w:val="00FE3926"/>
    <w:rsid w:val="00FE399E"/>
    <w:rsid w:val="00FE3C1D"/>
    <w:rsid w:val="00FE43D6"/>
    <w:rsid w:val="00FE48BE"/>
    <w:rsid w:val="00FE7205"/>
    <w:rsid w:val="00FE78C7"/>
    <w:rsid w:val="00FF21ED"/>
    <w:rsid w:val="00FF220A"/>
    <w:rsid w:val="00FF2A26"/>
    <w:rsid w:val="00FF3D55"/>
    <w:rsid w:val="00FF43AC"/>
    <w:rsid w:val="00FF73AE"/>
    <w:rsid w:val="00FF7C84"/>
    <w:rsid w:val="05C3DDB4"/>
    <w:rsid w:val="13C881A5"/>
    <w:rsid w:val="15740DCA"/>
    <w:rsid w:val="227104FD"/>
    <w:rsid w:val="2A9DCF44"/>
    <w:rsid w:val="2AB2033B"/>
    <w:rsid w:val="3F841E8C"/>
    <w:rsid w:val="48813D48"/>
    <w:rsid w:val="57E62499"/>
    <w:rsid w:val="5802ED00"/>
    <w:rsid w:val="58D8EC19"/>
    <w:rsid w:val="67321489"/>
    <w:rsid w:val="6AA3FC88"/>
    <w:rsid w:val="750ACE48"/>
    <w:rsid w:val="7F058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55169FC6-C01F-4E1D-876E-32B1FD14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chart" Target="charts/chart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itu-d/sites/digital-impact-unlocked/all-stories/list/" TargetMode="External"/><Relationship Id="rId28"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chart" Target="charts/chart4.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hub/membership/our-memb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5/Agreements%202024_FINAL_TDA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5/Agreements%202024_FINAL_TDAG.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5/Agreements%202024_FINAL_TDAG.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5/Agreements%202024_FINAL_TDAG.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ituint-my.sharepoint.com/personal/sandrine_guyot_itu_int/Documents/TDAG/2025/Agreements%202024_FINAL_TDA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a:t>BDT Partners</a:t>
            </a:r>
            <a:r>
              <a:rPr lang="fr-CH" sz="1200" b="1" baseline="0"/>
              <a:t> by type (2024</a:t>
            </a:r>
            <a:r>
              <a:rPr lang="fr-CH" sz="1200" b="1"/>
              <a:t>)</a:t>
            </a:r>
          </a:p>
        </c:rich>
      </c:tx>
      <c:layout>
        <c:manualLayout>
          <c:xMode val="edge"/>
          <c:yMode val="edge"/>
          <c:x val="5.1769063406547869E-2"/>
          <c:y val="9.55414012738853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61330094932163337"/>
          <c:y val="0.16749586238025979"/>
          <c:w val="0.27298367088442305"/>
          <c:h val="0.69897729742380932"/>
        </c:manualLayout>
      </c:layout>
      <c:pieChart>
        <c:varyColors val="1"/>
        <c:ser>
          <c:idx val="0"/>
          <c:order val="0"/>
          <c:tx>
            <c:strRef>
              <c:f>Types!$F$1</c:f>
              <c:strCache>
                <c:ptCount val="1"/>
                <c:pt idx="0">
                  <c:v>Number partnes (total:73)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7E-4684-9B66-D584710FAE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7E-4684-9B66-D584710FAE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7E-4684-9B66-D584710FAE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7E-4684-9B66-D584710FAE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7E-4684-9B66-D584710FAE3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7E-4684-9B66-D584710FAE3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Types!$E$2:$E$7</c:f>
              <c:strCache>
                <c:ptCount val="6"/>
                <c:pt idx="0">
                  <c:v>Academia</c:v>
                </c:pt>
                <c:pt idx="1">
                  <c:v>Financial institutions</c:v>
                </c:pt>
                <c:pt idx="2">
                  <c:v>Governmental entities</c:v>
                </c:pt>
                <c:pt idx="3">
                  <c:v>Int'l &amp; Reg. Org.</c:v>
                </c:pt>
                <c:pt idx="4">
                  <c:v>Private sector (incl. Foundations)</c:v>
                </c:pt>
                <c:pt idx="5">
                  <c:v>UN organizations</c:v>
                </c:pt>
              </c:strCache>
            </c:strRef>
          </c:cat>
          <c:val>
            <c:numRef>
              <c:f>Types!$F$2:$F$7</c:f>
              <c:numCache>
                <c:formatCode>0%</c:formatCode>
                <c:ptCount val="6"/>
                <c:pt idx="0">
                  <c:v>8.2191780821917804E-2</c:v>
                </c:pt>
                <c:pt idx="1">
                  <c:v>5.4794520547945202E-2</c:v>
                </c:pt>
                <c:pt idx="2">
                  <c:v>0.43835616438356162</c:v>
                </c:pt>
                <c:pt idx="3">
                  <c:v>8.2191780821917804E-2</c:v>
                </c:pt>
                <c:pt idx="4">
                  <c:v>0.13698630136986301</c:v>
                </c:pt>
                <c:pt idx="5">
                  <c:v>0.20547945205479451</c:v>
                </c:pt>
              </c:numCache>
            </c:numRef>
          </c:val>
          <c:extLst>
            <c:ext xmlns:c16="http://schemas.microsoft.com/office/drawing/2014/chart" uri="{C3380CC4-5D6E-409C-BE32-E72D297353CC}">
              <c16:uniqueId val="{0000000C-3E7E-4684-9B66-D584710FAE37}"/>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1794139201234537E-2"/>
          <c:y val="0.29272698396776836"/>
          <c:w val="0.41532086940624957"/>
          <c:h val="0.5064813517527391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Tahoma" panose="020B0604030504040204" pitchFamily="34" charset="0"/>
              <a:cs typeface="Tahoma" panose="020B060403050404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a:t>S</a:t>
            </a:r>
            <a:r>
              <a:rPr lang="fr-CH" sz="1200" b="1" baseline="0"/>
              <a:t>igned agremeents and financial contributions by regions (2024)</a:t>
            </a:r>
            <a:endParaRPr lang="fr-CH"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CH"/>
        </a:p>
      </c:txPr>
    </c:title>
    <c:autoTitleDeleted val="0"/>
    <c:plotArea>
      <c:layout/>
      <c:barChart>
        <c:barDir val="col"/>
        <c:grouping val="clustered"/>
        <c:varyColors val="0"/>
        <c:ser>
          <c:idx val="0"/>
          <c:order val="0"/>
          <c:tx>
            <c:strRef>
              <c:f>Regions!$H$1</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Regions!$G$2:$G$8</c:f>
              <c:strCache>
                <c:ptCount val="7"/>
                <c:pt idx="0">
                  <c:v>AFR</c:v>
                </c:pt>
                <c:pt idx="1">
                  <c:v>AMS</c:v>
                </c:pt>
                <c:pt idx="2">
                  <c:v>ARB</c:v>
                </c:pt>
                <c:pt idx="3">
                  <c:v>ASP</c:v>
                </c:pt>
                <c:pt idx="4">
                  <c:v>CIS</c:v>
                </c:pt>
                <c:pt idx="5">
                  <c:v>EUR</c:v>
                </c:pt>
                <c:pt idx="6">
                  <c:v>Multi regions</c:v>
                </c:pt>
              </c:strCache>
            </c:strRef>
          </c:cat>
          <c:val>
            <c:numRef>
              <c:f>Regions!$H$2:$H$8</c:f>
              <c:numCache>
                <c:formatCode>0%</c:formatCode>
                <c:ptCount val="7"/>
                <c:pt idx="0">
                  <c:v>0.21348314606741572</c:v>
                </c:pt>
                <c:pt idx="1">
                  <c:v>0.12359550561797752</c:v>
                </c:pt>
                <c:pt idx="2">
                  <c:v>5.6179775280898875E-2</c:v>
                </c:pt>
                <c:pt idx="3">
                  <c:v>0.1348314606741573</c:v>
                </c:pt>
                <c:pt idx="4">
                  <c:v>4.49438202247191E-2</c:v>
                </c:pt>
                <c:pt idx="5">
                  <c:v>4.49438202247191E-2</c:v>
                </c:pt>
                <c:pt idx="6">
                  <c:v>0.38202247191011235</c:v>
                </c:pt>
              </c:numCache>
            </c:numRef>
          </c:val>
          <c:extLst>
            <c:ext xmlns:c16="http://schemas.microsoft.com/office/drawing/2014/chart" uri="{C3380CC4-5D6E-409C-BE32-E72D297353CC}">
              <c16:uniqueId val="{00000000-5A7B-4FAA-95A7-27B748B8D8EF}"/>
            </c:ext>
          </c:extLst>
        </c:ser>
        <c:ser>
          <c:idx val="1"/>
          <c:order val="1"/>
          <c:tx>
            <c:strRef>
              <c:f>Regions!$I$1</c:f>
              <c:strCache>
                <c:ptCount val="1"/>
                <c:pt idx="0">
                  <c:v>Financial contributions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Regions!$G$2:$G$8</c:f>
              <c:strCache>
                <c:ptCount val="7"/>
                <c:pt idx="0">
                  <c:v>AFR</c:v>
                </c:pt>
                <c:pt idx="1">
                  <c:v>AMS</c:v>
                </c:pt>
                <c:pt idx="2">
                  <c:v>ARB</c:v>
                </c:pt>
                <c:pt idx="3">
                  <c:v>ASP</c:v>
                </c:pt>
                <c:pt idx="4">
                  <c:v>CIS</c:v>
                </c:pt>
                <c:pt idx="5">
                  <c:v>EUR</c:v>
                </c:pt>
                <c:pt idx="6">
                  <c:v>Multi regions</c:v>
                </c:pt>
              </c:strCache>
            </c:strRef>
          </c:cat>
          <c:val>
            <c:numRef>
              <c:f>Regions!$I$2:$I$8</c:f>
              <c:numCache>
                <c:formatCode>0%</c:formatCode>
                <c:ptCount val="7"/>
                <c:pt idx="0">
                  <c:v>0.50677426416478932</c:v>
                </c:pt>
                <c:pt idx="1">
                  <c:v>0.12579772358687433</c:v>
                </c:pt>
                <c:pt idx="2">
                  <c:v>2.9587133100067615E-3</c:v>
                </c:pt>
                <c:pt idx="3">
                  <c:v>3.7600213974789874E-2</c:v>
                </c:pt>
                <c:pt idx="4">
                  <c:v>5.912578305802765E-3</c:v>
                </c:pt>
                <c:pt idx="5">
                  <c:v>1.301519395925781E-2</c:v>
                </c:pt>
                <c:pt idx="6">
                  <c:v>0.30794131269847924</c:v>
                </c:pt>
              </c:numCache>
            </c:numRef>
          </c:val>
          <c:extLst>
            <c:ext xmlns:c16="http://schemas.microsoft.com/office/drawing/2014/chart" uri="{C3380CC4-5D6E-409C-BE32-E72D297353CC}">
              <c16:uniqueId val="{00000001-5A7B-4FAA-95A7-27B748B8D8EF}"/>
            </c:ext>
          </c:extLst>
        </c:ser>
        <c:dLbls>
          <c:showLegendKey val="0"/>
          <c:showVal val="0"/>
          <c:showCatName val="0"/>
          <c:showSerName val="0"/>
          <c:showPercent val="0"/>
          <c:showBubbleSize val="0"/>
        </c:dLbls>
        <c:gapWidth val="219"/>
        <c:overlap val="-27"/>
        <c:axId val="552633439"/>
        <c:axId val="552609919"/>
      </c:barChart>
      <c:catAx>
        <c:axId val="5526334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52609919"/>
        <c:crosses val="autoZero"/>
        <c:auto val="1"/>
        <c:lblAlgn val="ctr"/>
        <c:lblOffset val="100"/>
        <c:noMultiLvlLbl val="0"/>
      </c:catAx>
      <c:valAx>
        <c:axId val="55260991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55263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i="0" u="none" strike="noStrike" kern="1200" spc="0" baseline="0">
                <a:solidFill>
                  <a:sysClr val="windowText" lastClr="000000">
                    <a:lumMod val="65000"/>
                    <a:lumOff val="35000"/>
                  </a:sysClr>
                </a:solidFill>
              </a:rPr>
              <a:t>Signed agremeents and financial contributions by ITU-D priorities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Thematics!$I$1</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Thematics!$H$2:$H$6</c:f>
              <c:strCache>
                <c:ptCount val="5"/>
                <c:pt idx="0">
                  <c:v>Multi-priorities</c:v>
                </c:pt>
                <c:pt idx="1">
                  <c:v>Inclusive &amp; secure telecom/ICTs for sustainable dev.</c:v>
                </c:pt>
                <c:pt idx="2">
                  <c:v>Enabling policy &amp; regulatory envir.</c:v>
                </c:pt>
                <c:pt idx="3">
                  <c:v>Digital Transformation</c:v>
                </c:pt>
                <c:pt idx="4">
                  <c:v>Affordable connectivity </c:v>
                </c:pt>
              </c:strCache>
            </c:strRef>
          </c:cat>
          <c:val>
            <c:numRef>
              <c:f>Thematics!$I$2:$I$6</c:f>
              <c:numCache>
                <c:formatCode>0%</c:formatCode>
                <c:ptCount val="5"/>
                <c:pt idx="0">
                  <c:v>0.15730337078651685</c:v>
                </c:pt>
                <c:pt idx="1">
                  <c:v>0.11235955056179775</c:v>
                </c:pt>
                <c:pt idx="2">
                  <c:v>0.16853932584269662</c:v>
                </c:pt>
                <c:pt idx="3">
                  <c:v>0.39325842696629215</c:v>
                </c:pt>
                <c:pt idx="4">
                  <c:v>0.16853932584269662</c:v>
                </c:pt>
              </c:numCache>
            </c:numRef>
          </c:val>
          <c:extLst>
            <c:ext xmlns:c16="http://schemas.microsoft.com/office/drawing/2014/chart" uri="{C3380CC4-5D6E-409C-BE32-E72D297353CC}">
              <c16:uniqueId val="{00000000-579D-4DAD-893C-3151E520C5A2}"/>
            </c:ext>
          </c:extLst>
        </c:ser>
        <c:ser>
          <c:idx val="1"/>
          <c:order val="1"/>
          <c:tx>
            <c:strRef>
              <c:f>Thematics!$J$1</c:f>
              <c:strCache>
                <c:ptCount val="1"/>
                <c:pt idx="0">
                  <c:v>Financial contributions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Thematics!$H$2:$H$6</c:f>
              <c:strCache>
                <c:ptCount val="5"/>
                <c:pt idx="0">
                  <c:v>Multi-priorities</c:v>
                </c:pt>
                <c:pt idx="1">
                  <c:v>Inclusive &amp; secure telecom/ICTs for sustainable dev.</c:v>
                </c:pt>
                <c:pt idx="2">
                  <c:v>Enabling policy &amp; regulatory envir.</c:v>
                </c:pt>
                <c:pt idx="3">
                  <c:v>Digital Transformation</c:v>
                </c:pt>
                <c:pt idx="4">
                  <c:v>Affordable connectivity </c:v>
                </c:pt>
              </c:strCache>
            </c:strRef>
          </c:cat>
          <c:val>
            <c:numRef>
              <c:f>Thematics!$J$2:$J$6</c:f>
              <c:numCache>
                <c:formatCode>0%</c:formatCode>
                <c:ptCount val="5"/>
                <c:pt idx="0">
                  <c:v>0.1145386147544688</c:v>
                </c:pt>
                <c:pt idx="1">
                  <c:v>3.4820622224557403E-2</c:v>
                </c:pt>
                <c:pt idx="2">
                  <c:v>0.11554460329521565</c:v>
                </c:pt>
                <c:pt idx="3">
                  <c:v>0.13091799393190198</c:v>
                </c:pt>
                <c:pt idx="4">
                  <c:v>0.60417816579385619</c:v>
                </c:pt>
              </c:numCache>
            </c:numRef>
          </c:val>
          <c:extLst>
            <c:ext xmlns:c16="http://schemas.microsoft.com/office/drawing/2014/chart" uri="{C3380CC4-5D6E-409C-BE32-E72D297353CC}">
              <c16:uniqueId val="{00000001-579D-4DAD-893C-3151E520C5A2}"/>
            </c:ext>
          </c:extLst>
        </c:ser>
        <c:dLbls>
          <c:dLblPos val="outEnd"/>
          <c:showLegendKey val="0"/>
          <c:showVal val="1"/>
          <c:showCatName val="0"/>
          <c:showSerName val="0"/>
          <c:showPercent val="0"/>
          <c:showBubbleSize val="0"/>
        </c:dLbls>
        <c:gapWidth val="182"/>
        <c:axId val="815145616"/>
        <c:axId val="815146096"/>
      </c:barChart>
      <c:catAx>
        <c:axId val="815145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815146096"/>
        <c:crosses val="autoZero"/>
        <c:auto val="1"/>
        <c:lblAlgn val="ctr"/>
        <c:lblOffset val="100"/>
        <c:noMultiLvlLbl val="0"/>
      </c:catAx>
      <c:valAx>
        <c:axId val="8151460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1514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Number of signed agreements and </a:t>
            </a:r>
          </a:p>
          <a:p>
            <a:pPr>
              <a:defRPr sz="1200"/>
            </a:pPr>
            <a:r>
              <a:rPr lang="en-GB" sz="1200" b="1" i="0" u="none" strike="noStrike" kern="1200" spc="0" baseline="0">
                <a:solidFill>
                  <a:sysClr val="windowText" lastClr="000000">
                    <a:lumMod val="65000"/>
                    <a:lumOff val="35000"/>
                  </a:sysClr>
                </a:solidFill>
              </a:rPr>
              <a:t>financial contributions (in USD million)</a:t>
            </a:r>
          </a:p>
        </c:rich>
      </c:tx>
      <c:layout>
        <c:manualLayout>
          <c:xMode val="edge"/>
          <c:yMode val="edge"/>
          <c:x val="0.31771115689483437"/>
          <c:y val="4.164733557682882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2.2942955469809158E-2"/>
          <c:y val="0.25283214079567856"/>
          <c:w val="0.95411408906038164"/>
          <c:h val="0.52296678682799502"/>
        </c:manualLayout>
      </c:layout>
      <c:barChart>
        <c:barDir val="col"/>
        <c:grouping val="clustered"/>
        <c:varyColors val="0"/>
        <c:ser>
          <c:idx val="0"/>
          <c:order val="0"/>
          <c:tx>
            <c:strRef>
              <c:f>'5 Years'!$B$1</c:f>
              <c:strCache>
                <c:ptCount val="1"/>
                <c:pt idx="0">
                  <c:v>ITU contributions (USD M)</c:v>
                </c:pt>
              </c:strCache>
            </c:strRef>
          </c:tx>
          <c:spPr>
            <a:solidFill>
              <a:schemeClr val="accent1"/>
            </a:solidFill>
            <a:ln>
              <a:noFill/>
            </a:ln>
            <a:effectLst/>
          </c:spPr>
          <c:invertIfNegative val="0"/>
          <c:dLbls>
            <c:dLbl>
              <c:idx val="0"/>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927-4389-849F-E81860C69EB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Years'!$B$2:$B$6</c:f>
              <c:numCache>
                <c:formatCode>General</c:formatCode>
                <c:ptCount val="5"/>
                <c:pt idx="0">
                  <c:v>3.1</c:v>
                </c:pt>
                <c:pt idx="1">
                  <c:v>3.9</c:v>
                </c:pt>
                <c:pt idx="2">
                  <c:v>1</c:v>
                </c:pt>
                <c:pt idx="3">
                  <c:v>2.1</c:v>
                </c:pt>
                <c:pt idx="4">
                  <c:v>2.7</c:v>
                </c:pt>
              </c:numCache>
            </c:numRef>
          </c:val>
          <c:extLst>
            <c:ext xmlns:c16="http://schemas.microsoft.com/office/drawing/2014/chart" uri="{C3380CC4-5D6E-409C-BE32-E72D297353CC}">
              <c16:uniqueId val="{00000001-4927-4389-849F-E81860C69EB2}"/>
            </c:ext>
          </c:extLst>
        </c:ser>
        <c:ser>
          <c:idx val="1"/>
          <c:order val="1"/>
          <c:tx>
            <c:strRef>
              <c:f>'5 Years'!$C$1</c:f>
              <c:strCache>
                <c:ptCount val="1"/>
                <c:pt idx="0">
                  <c:v>Partners' contributions (USD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Years'!$C$2:$C$6</c:f>
              <c:numCache>
                <c:formatCode>General</c:formatCode>
                <c:ptCount val="5"/>
                <c:pt idx="0">
                  <c:v>12.4</c:v>
                </c:pt>
                <c:pt idx="1">
                  <c:v>15.6</c:v>
                </c:pt>
                <c:pt idx="2">
                  <c:v>9</c:v>
                </c:pt>
                <c:pt idx="3">
                  <c:v>22.2</c:v>
                </c:pt>
                <c:pt idx="4">
                  <c:v>31.1</c:v>
                </c:pt>
              </c:numCache>
            </c:numRef>
          </c:val>
          <c:extLst>
            <c:ext xmlns:c16="http://schemas.microsoft.com/office/drawing/2014/chart" uri="{C3380CC4-5D6E-409C-BE32-E72D297353CC}">
              <c16:uniqueId val="{00000002-4927-4389-849F-E81860C69EB2}"/>
            </c:ext>
          </c:extLst>
        </c:ser>
        <c:dLbls>
          <c:dLblPos val="outEnd"/>
          <c:showLegendKey val="0"/>
          <c:showVal val="1"/>
          <c:showCatName val="0"/>
          <c:showSerName val="0"/>
          <c:showPercent val="0"/>
          <c:showBubbleSize val="0"/>
        </c:dLbls>
        <c:gapWidth val="219"/>
        <c:overlap val="-27"/>
        <c:axId val="1048384111"/>
        <c:axId val="1048375951"/>
      </c:barChart>
      <c:lineChart>
        <c:grouping val="standard"/>
        <c:varyColors val="0"/>
        <c:ser>
          <c:idx val="2"/>
          <c:order val="2"/>
          <c:tx>
            <c:strRef>
              <c:f>'5 Years'!$D$1</c:f>
              <c:strCache>
                <c:ptCount val="1"/>
                <c:pt idx="0">
                  <c:v>Number Agreements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Years'!$D$2:$D$6</c:f>
              <c:numCache>
                <c:formatCode>General</c:formatCode>
                <c:ptCount val="5"/>
                <c:pt idx="0">
                  <c:v>42</c:v>
                </c:pt>
                <c:pt idx="1">
                  <c:v>72</c:v>
                </c:pt>
                <c:pt idx="2">
                  <c:v>75</c:v>
                </c:pt>
                <c:pt idx="3">
                  <c:v>88</c:v>
                </c:pt>
                <c:pt idx="4">
                  <c:v>89</c:v>
                </c:pt>
              </c:numCache>
            </c:numRef>
          </c:val>
          <c:smooth val="0"/>
          <c:extLst>
            <c:ext xmlns:c16="http://schemas.microsoft.com/office/drawing/2014/chart" uri="{C3380CC4-5D6E-409C-BE32-E72D297353CC}">
              <c16:uniqueId val="{00000003-4927-4389-849F-E81860C69EB2}"/>
            </c:ext>
          </c:extLst>
        </c:ser>
        <c:dLbls>
          <c:showLegendKey val="0"/>
          <c:showVal val="1"/>
          <c:showCatName val="0"/>
          <c:showSerName val="0"/>
          <c:showPercent val="0"/>
          <c:showBubbleSize val="0"/>
        </c:dLbls>
        <c:marker val="1"/>
        <c:smooth val="0"/>
        <c:axId val="947109199"/>
        <c:axId val="947109679"/>
      </c:lineChart>
      <c:catAx>
        <c:axId val="9471091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947109679"/>
        <c:crosses val="autoZero"/>
        <c:auto val="1"/>
        <c:lblAlgn val="ctr"/>
        <c:lblOffset val="100"/>
        <c:noMultiLvlLbl val="0"/>
      </c:catAx>
      <c:valAx>
        <c:axId val="947109679"/>
        <c:scaling>
          <c:orientation val="minMax"/>
        </c:scaling>
        <c:delete val="1"/>
        <c:axPos val="l"/>
        <c:numFmt formatCode="General" sourceLinked="1"/>
        <c:majorTickMark val="out"/>
        <c:minorTickMark val="none"/>
        <c:tickLblPos val="nextTo"/>
        <c:crossAx val="947109199"/>
        <c:crosses val="autoZero"/>
        <c:crossBetween val="between"/>
      </c:valAx>
      <c:valAx>
        <c:axId val="1048375951"/>
        <c:scaling>
          <c:orientation val="minMax"/>
        </c:scaling>
        <c:delete val="1"/>
        <c:axPos val="r"/>
        <c:numFmt formatCode="General" sourceLinked="1"/>
        <c:majorTickMark val="out"/>
        <c:minorTickMark val="none"/>
        <c:tickLblPos val="nextTo"/>
        <c:crossAx val="1048384111"/>
        <c:crosses val="max"/>
        <c:crossBetween val="between"/>
      </c:valAx>
      <c:catAx>
        <c:axId val="1048384111"/>
        <c:scaling>
          <c:orientation val="minMax"/>
        </c:scaling>
        <c:delete val="1"/>
        <c:axPos val="t"/>
        <c:numFmt formatCode="General" sourceLinked="1"/>
        <c:majorTickMark val="out"/>
        <c:minorTickMark val="none"/>
        <c:tickLblPos val="nextTo"/>
        <c:crossAx val="1048375951"/>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Types!$E$26:$E$29</cx:f>
        <cx:lvl ptCount="4">
          <cx:pt idx="0">Financial institutions</cx:pt>
          <cx:pt idx="1">Governmental entities</cx:pt>
          <cx:pt idx="2">Private sector (incl. Foundations)</cx:pt>
          <cx:pt idx="3">UN organizations</cx:pt>
        </cx:lvl>
      </cx:strDim>
      <cx:numDim type="size">
        <cx:f>Types!$F$26:$F$29</cx:f>
        <cx:lvl ptCount="4" formatCode="0%">
          <cx:pt idx="0">0.63795123646490937</cx:pt>
          <cx:pt idx="1">0.16991342286793781</cx:pt>
          <cx:pt idx="2">0.026300425519870281</cx:pt>
          <cx:pt idx="3">0.16422829171906816</cx:pt>
        </cx:lvl>
      </cx:numDim>
    </cx:data>
  </cx:chartData>
  <cx:chart>
    <cx:title pos="t" align="ctr" overlay="0">
      <cx:tx>
        <cx:rich>
          <a:bodyPr spcFirstLastPara="1" vertOverflow="ellipsis" horzOverflow="overflow" wrap="square" lIns="0" tIns="0" rIns="0" bIns="0" anchor="ctr" anchorCtr="1"/>
          <a:lstStyle/>
          <a:p>
            <a:pPr algn="ctr" rtl="0">
              <a:defRPr/>
            </a:pPr>
            <a:r>
              <a:rPr lang="en-US" sz="1200" b="1" i="0" u="none" strike="noStrike" baseline="0">
                <a:solidFill>
                  <a:sysClr val="windowText" lastClr="000000">
                    <a:lumMod val="65000"/>
                    <a:lumOff val="35000"/>
                  </a:sysClr>
                </a:solidFill>
                <a:latin typeface="Aptos Narrow" panose="02110004020202020204"/>
              </a:rPr>
              <a:t>Financial contributions signed by partners (2024)</a:t>
            </a:r>
          </a:p>
          <a:p>
            <a:pPr algn="ctr" rtl="0">
              <a:defRPr/>
            </a:pPr>
            <a:endParaRPr lang="en-US" sz="500" b="1" i="0" u="none" strike="noStrike" baseline="0">
              <a:solidFill>
                <a:sysClr val="windowText" lastClr="000000">
                  <a:lumMod val="65000"/>
                  <a:lumOff val="35000"/>
                </a:sysClr>
              </a:solidFill>
              <a:latin typeface="Aptos Narrow" panose="02110004020202020204"/>
            </a:endParaRPr>
          </a:p>
        </cx:rich>
      </cx:tx>
    </cx:title>
    <cx:plotArea>
      <cx:plotAreaRegion>
        <cx:series layoutId="treemap" uniqueId="{9F6011A0-7CDF-4CF2-91DD-F7EA589F8C80}">
          <cx:tx>
            <cx:txData>
              <cx:f>Types!$F$25</cx:f>
              <cx:v>BDT partners financial contributions</cx:v>
            </cx:txData>
          </cx:tx>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1163</Words>
  <Characters>6631</Characters>
  <Application>Microsoft Office Word</Application>
  <DocSecurity>0</DocSecurity>
  <Lines>55</Lines>
  <Paragraphs>15</Paragraphs>
  <ScaleCrop>false</ScaleCrop>
  <Manager>General Secretariat - Pool</Manager>
  <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Guyot, Sandrine</cp:lastModifiedBy>
  <cp:revision>19</cp:revision>
  <cp:lastPrinted>2019-01-16T07:57:00Z</cp:lastPrinted>
  <dcterms:created xsi:type="dcterms:W3CDTF">2025-03-24T16:18:00Z</dcterms:created>
  <dcterms:modified xsi:type="dcterms:W3CDTF">2025-04-07T10:06:00Z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