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06869154">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3D2D4CDF"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E32109">
              <w:rPr>
                <w:rFonts w:hint="eastAsia"/>
                <w:b/>
                <w:bCs/>
                <w:lang w:val="en-US" w:eastAsia="zh-CN"/>
              </w:rPr>
              <w:t>9</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70CBF7E4"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E32109">
              <w:rPr>
                <w:rFonts w:hint="eastAsia"/>
                <w:b/>
                <w:bCs/>
                <w:szCs w:val="28"/>
                <w:lang w:eastAsia="zh-CN"/>
              </w:rPr>
              <w:t>3</w:t>
            </w:r>
            <w:r w:rsidRPr="00227A1C">
              <w:rPr>
                <w:rFonts w:ascii="SimSun" w:eastAsia="SimSun" w:hAnsi="SimSun" w:hint="eastAsia"/>
                <w:b/>
                <w:bCs/>
                <w:szCs w:val="28"/>
                <w:lang w:eastAsia="zh-CN"/>
              </w:rPr>
              <w:t>月</w:t>
            </w:r>
            <w:r w:rsidR="00E32109">
              <w:rPr>
                <w:rFonts w:hint="eastAsia"/>
                <w:b/>
                <w:bCs/>
                <w:szCs w:val="28"/>
                <w:lang w:eastAsia="zh-CN"/>
              </w:rPr>
              <w:t>25</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50A615CF" w:rsidR="00A13162" w:rsidRPr="0030353C" w:rsidRDefault="00E32109" w:rsidP="0030353C">
            <w:pPr>
              <w:pStyle w:val="Source"/>
            </w:pPr>
            <w:bookmarkStart w:id="3" w:name="Source"/>
            <w:bookmarkEnd w:id="3"/>
            <w:r>
              <w:rPr>
                <w:bCs/>
                <w:color w:val="000000"/>
                <w:lang w:val="zh-CN"/>
              </w:rPr>
              <w:t>电信发展局主任</w:t>
            </w:r>
          </w:p>
        </w:tc>
      </w:tr>
      <w:tr w:rsidR="00AC6F14" w:rsidRPr="002E6963" w14:paraId="581FD305" w14:textId="77777777" w:rsidTr="00107E85">
        <w:trPr>
          <w:cantSplit/>
        </w:trPr>
        <w:tc>
          <w:tcPr>
            <w:tcW w:w="9888" w:type="dxa"/>
            <w:gridSpan w:val="4"/>
          </w:tcPr>
          <w:p w14:paraId="43ACD2CD" w14:textId="10ACE630" w:rsidR="00AC6F14" w:rsidRPr="0030353C" w:rsidRDefault="00E32109" w:rsidP="0030353C">
            <w:pPr>
              <w:pStyle w:val="Title1"/>
              <w:rPr>
                <w:lang w:eastAsia="zh-CN"/>
              </w:rPr>
            </w:pPr>
            <w:bookmarkStart w:id="4" w:name="Title"/>
            <w:bookmarkEnd w:id="4"/>
            <w:r>
              <w:rPr>
                <w:color w:val="000000"/>
                <w:lang w:val="zh-CN" w:eastAsia="zh-CN"/>
              </w:rPr>
              <w:t>电信发展部门（</w:t>
            </w:r>
            <w:r>
              <w:rPr>
                <w:color w:val="000000"/>
                <w:lang w:val="zh-CN" w:eastAsia="zh-CN"/>
              </w:rPr>
              <w:t>ITU-D</w:t>
            </w:r>
            <w:r>
              <w:rPr>
                <w:color w:val="000000"/>
                <w:lang w:val="zh-CN" w:eastAsia="zh-CN"/>
              </w:rPr>
              <w:t>）伙伴关系和资源筹措</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2974330B" w:rsidR="00A721F4" w:rsidRPr="00D9621A" w:rsidRDefault="00E32109" w:rsidP="008069EB">
            <w:pPr>
              <w:spacing w:after="120"/>
              <w:ind w:firstLineChars="200" w:firstLine="480"/>
              <w:rPr>
                <w:szCs w:val="24"/>
                <w:lang w:eastAsia="zh-CN"/>
              </w:rPr>
            </w:pPr>
            <w:r>
              <w:rPr>
                <w:color w:val="000000"/>
                <w:lang w:val="zh-CN" w:eastAsia="zh-CN"/>
              </w:rPr>
              <w:t>2022</w:t>
            </w:r>
            <w:r>
              <w:rPr>
                <w:color w:val="000000"/>
                <w:lang w:val="zh-CN" w:eastAsia="zh-CN"/>
              </w:rPr>
              <w:t>年世界电信发展大会（</w:t>
            </w:r>
            <w:r>
              <w:rPr>
                <w:color w:val="000000"/>
                <w:lang w:val="zh-CN" w:eastAsia="zh-CN"/>
              </w:rPr>
              <w:t>WTDC-22</w:t>
            </w:r>
            <w:r>
              <w:rPr>
                <w:color w:val="000000"/>
                <w:lang w:val="zh-CN" w:eastAsia="zh-CN"/>
              </w:rPr>
              <w:t>）强调了伙伴关系和资源筹措的重要性，特别</w:t>
            </w:r>
            <w:r w:rsidR="000802B1">
              <w:rPr>
                <w:rFonts w:hint="eastAsia"/>
                <w:color w:val="000000"/>
                <w:lang w:val="zh-CN" w:eastAsia="zh-CN"/>
              </w:rPr>
              <w:t>体现在</w:t>
            </w:r>
            <w:r>
              <w:rPr>
                <w:color w:val="000000"/>
                <w:lang w:val="zh-CN" w:eastAsia="zh-CN"/>
              </w:rPr>
              <w:t>《基加利宣言》、《基加利行动计划》（第</w:t>
            </w:r>
            <w:r>
              <w:rPr>
                <w:color w:val="000000"/>
                <w:lang w:val="zh-CN" w:eastAsia="zh-CN"/>
              </w:rPr>
              <w:t>3</w:t>
            </w:r>
            <w:r w:rsidR="000802B1">
              <w:rPr>
                <w:rFonts w:hint="eastAsia"/>
                <w:color w:val="000000"/>
                <w:lang w:val="zh-CN" w:eastAsia="zh-CN"/>
              </w:rPr>
              <w:t>.</w:t>
            </w:r>
            <w:r>
              <w:rPr>
                <w:color w:val="000000"/>
                <w:lang w:val="zh-CN" w:eastAsia="zh-CN"/>
              </w:rPr>
              <w:t>1</w:t>
            </w:r>
            <w:r>
              <w:rPr>
                <w:color w:val="000000"/>
                <w:lang w:val="zh-CN" w:eastAsia="zh-CN"/>
              </w:rPr>
              <w:t>和</w:t>
            </w:r>
            <w:r>
              <w:rPr>
                <w:color w:val="000000"/>
                <w:lang w:val="zh-CN" w:eastAsia="zh-CN"/>
              </w:rPr>
              <w:t>3</w:t>
            </w:r>
            <w:r w:rsidR="000802B1">
              <w:rPr>
                <w:rFonts w:hint="eastAsia"/>
                <w:color w:val="000000"/>
                <w:lang w:val="zh-CN" w:eastAsia="zh-CN"/>
              </w:rPr>
              <w:t>.</w:t>
            </w:r>
            <w:r>
              <w:rPr>
                <w:color w:val="000000"/>
                <w:lang w:val="zh-CN" w:eastAsia="zh-CN"/>
              </w:rPr>
              <w:t>3</w:t>
            </w:r>
            <w:r>
              <w:rPr>
                <w:color w:val="000000"/>
                <w:lang w:val="zh-CN" w:eastAsia="zh-CN"/>
              </w:rPr>
              <w:t>节）和</w:t>
            </w:r>
            <w:r w:rsidR="00F0588C">
              <w:rPr>
                <w:rFonts w:hint="eastAsia"/>
                <w:lang w:eastAsia="zh-CN"/>
              </w:rPr>
              <w:t>关于</w:t>
            </w:r>
            <w:r w:rsidR="00F0588C" w:rsidRPr="00F0588C">
              <w:rPr>
                <w:rFonts w:hint="eastAsia"/>
                <w:color w:val="000000"/>
                <w:lang w:val="zh-CN" w:eastAsia="zh-CN"/>
              </w:rPr>
              <w:t>“在国家、区域、跨区域和全球层面落实已批准的区域性举措并开展合作</w:t>
            </w:r>
            <w:r w:rsidR="00F0588C">
              <w:rPr>
                <w:rFonts w:hint="eastAsia"/>
                <w:color w:val="000000"/>
                <w:lang w:val="zh-CN" w:eastAsia="zh-CN"/>
              </w:rPr>
              <w:t>”的</w:t>
            </w:r>
            <w:r>
              <w:rPr>
                <w:color w:val="000000"/>
                <w:lang w:val="zh-CN" w:eastAsia="zh-CN"/>
              </w:rPr>
              <w:t>第</w:t>
            </w:r>
            <w:r>
              <w:rPr>
                <w:color w:val="000000"/>
                <w:lang w:val="zh-CN" w:eastAsia="zh-CN"/>
              </w:rPr>
              <w:t>17</w:t>
            </w:r>
            <w:r>
              <w:rPr>
                <w:color w:val="000000"/>
                <w:lang w:val="zh-CN" w:eastAsia="zh-CN"/>
              </w:rPr>
              <w:t>号决议（</w:t>
            </w:r>
            <w:r>
              <w:rPr>
                <w:color w:val="000000"/>
                <w:lang w:val="zh-CN" w:eastAsia="zh-CN"/>
              </w:rPr>
              <w:t>2022</w:t>
            </w:r>
            <w:r>
              <w:rPr>
                <w:color w:val="000000"/>
                <w:lang w:val="zh-CN" w:eastAsia="zh-CN"/>
              </w:rPr>
              <w:t>年，基加利，修订版）</w:t>
            </w:r>
            <w:r w:rsidR="000802B1">
              <w:rPr>
                <w:rFonts w:hint="eastAsia"/>
                <w:color w:val="000000"/>
                <w:lang w:val="zh-CN" w:eastAsia="zh-CN"/>
              </w:rPr>
              <w:t>中</w:t>
            </w:r>
            <w:r>
              <w:rPr>
                <w:color w:val="000000"/>
                <w:lang w:val="zh-CN" w:eastAsia="zh-CN"/>
              </w:rPr>
              <w:t>。本文件就</w:t>
            </w:r>
            <w:r>
              <w:rPr>
                <w:color w:val="000000"/>
                <w:lang w:val="zh-CN" w:eastAsia="zh-CN"/>
              </w:rPr>
              <w:t>2024</w:t>
            </w:r>
            <w:r>
              <w:rPr>
                <w:color w:val="000000"/>
                <w:lang w:val="zh-CN" w:eastAsia="zh-CN"/>
              </w:rPr>
              <w:t>年采取的伙伴关系和资源筹措</w:t>
            </w:r>
            <w:r w:rsidR="000802B1">
              <w:rPr>
                <w:rFonts w:hint="eastAsia"/>
                <w:color w:val="000000"/>
                <w:lang w:val="zh-CN" w:eastAsia="zh-CN"/>
              </w:rPr>
              <w:t>活动</w:t>
            </w:r>
            <w:r>
              <w:rPr>
                <w:color w:val="000000"/>
                <w:lang w:val="zh-CN" w:eastAsia="zh-CN"/>
              </w:rPr>
              <w:t>做出报告。</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77777777"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将本文件记录在案，并酌情提供指导。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5844D618" w14:textId="77777777" w:rsidR="00E32109" w:rsidRPr="00DE04AA" w:rsidRDefault="00E32109" w:rsidP="00E32109">
            <w:pPr>
              <w:rPr>
                <w:lang w:eastAsia="zh-CN"/>
              </w:rPr>
            </w:pPr>
            <w:r>
              <w:rPr>
                <w:color w:val="000000"/>
                <w:lang w:val="zh-CN" w:eastAsia="zh-CN"/>
              </w:rPr>
              <w:t>《基加利行动计划》第</w:t>
            </w:r>
            <w:r>
              <w:rPr>
                <w:color w:val="000000"/>
                <w:lang w:val="zh-CN" w:eastAsia="zh-CN"/>
              </w:rPr>
              <w:t>3.1</w:t>
            </w:r>
            <w:r>
              <w:rPr>
                <w:color w:val="000000"/>
                <w:lang w:val="zh-CN" w:eastAsia="zh-CN"/>
              </w:rPr>
              <w:t>和</w:t>
            </w:r>
            <w:r>
              <w:rPr>
                <w:color w:val="000000"/>
                <w:lang w:val="zh-CN" w:eastAsia="zh-CN"/>
              </w:rPr>
              <w:t>3.3</w:t>
            </w:r>
            <w:r>
              <w:rPr>
                <w:color w:val="000000"/>
                <w:lang w:val="zh-CN" w:eastAsia="zh-CN"/>
              </w:rPr>
              <w:t>节</w:t>
            </w:r>
          </w:p>
          <w:p w14:paraId="63D636DA" w14:textId="5C03C15C" w:rsidR="00E32109" w:rsidRPr="00251F7D" w:rsidRDefault="00F0588C" w:rsidP="00E32109">
            <w:pPr>
              <w:rPr>
                <w:lang w:eastAsia="zh-CN"/>
              </w:rPr>
            </w:pPr>
            <w:r>
              <w:rPr>
                <w:rFonts w:hint="eastAsia"/>
                <w:lang w:eastAsia="zh-CN"/>
              </w:rPr>
              <w:t>关于</w:t>
            </w:r>
            <w:r w:rsidRPr="00F0588C">
              <w:rPr>
                <w:rFonts w:hint="eastAsia"/>
                <w:color w:val="000000"/>
                <w:lang w:val="zh-CN" w:eastAsia="zh-CN"/>
              </w:rPr>
              <w:t>“在国家、区域、跨区域和全球层面落实已批准的区域性举措并开展合作</w:t>
            </w:r>
            <w:r>
              <w:rPr>
                <w:rFonts w:hint="eastAsia"/>
                <w:color w:val="000000"/>
                <w:lang w:val="zh-CN" w:eastAsia="zh-CN"/>
              </w:rPr>
              <w:t>”的</w:t>
            </w:r>
            <w:r>
              <w:rPr>
                <w:color w:val="000000"/>
                <w:lang w:val="zh-CN" w:eastAsia="zh-CN"/>
              </w:rPr>
              <w:t>第</w:t>
            </w:r>
            <w:r>
              <w:rPr>
                <w:color w:val="000000"/>
                <w:lang w:val="zh-CN" w:eastAsia="zh-CN"/>
              </w:rPr>
              <w:t>17</w:t>
            </w:r>
            <w:r>
              <w:rPr>
                <w:color w:val="000000"/>
                <w:lang w:val="zh-CN" w:eastAsia="zh-CN"/>
              </w:rPr>
              <w:t>号决议（</w:t>
            </w:r>
            <w:r>
              <w:rPr>
                <w:color w:val="000000"/>
                <w:lang w:val="zh-CN" w:eastAsia="zh-CN"/>
              </w:rPr>
              <w:t>2022</w:t>
            </w:r>
            <w:r>
              <w:rPr>
                <w:color w:val="000000"/>
                <w:lang w:val="zh-CN" w:eastAsia="zh-CN"/>
              </w:rPr>
              <w:t>年，基加利，修订版）</w:t>
            </w:r>
            <w:r w:rsidR="00E32109">
              <w:rPr>
                <w:color w:val="000000"/>
                <w:lang w:val="zh-CN" w:eastAsia="zh-CN"/>
              </w:rPr>
              <w:t>；</w:t>
            </w:r>
          </w:p>
          <w:p w14:paraId="36C883CF" w14:textId="2C0324C2" w:rsidR="00A721F4" w:rsidRPr="00D9621A" w:rsidRDefault="00E32109" w:rsidP="00066C4F">
            <w:pPr>
              <w:spacing w:after="120"/>
              <w:rPr>
                <w:lang w:eastAsia="zh-CN"/>
              </w:rPr>
            </w:pPr>
            <w:r>
              <w:rPr>
                <w:color w:val="000000"/>
                <w:lang w:val="zh-CN"/>
              </w:rPr>
              <w:t>《</w:t>
            </w:r>
            <w:r>
              <w:rPr>
                <w:color w:val="000000"/>
                <w:lang w:val="zh-CN"/>
              </w:rPr>
              <w:t>WTDC-22</w:t>
            </w:r>
            <w:r>
              <w:rPr>
                <w:color w:val="000000"/>
                <w:lang w:val="zh-CN"/>
              </w:rPr>
              <w:t>宣言》</w:t>
            </w:r>
          </w:p>
        </w:tc>
      </w:tr>
    </w:tbl>
    <w:p w14:paraId="2FF83793" w14:textId="77777777" w:rsidR="00923CF1" w:rsidRDefault="00923CF1" w:rsidP="00AD0FC0">
      <w:r>
        <w:br w:type="page"/>
      </w:r>
    </w:p>
    <w:p w14:paraId="4B6DAA70" w14:textId="448A4820" w:rsidR="00E32109" w:rsidRPr="001C3D0C" w:rsidRDefault="001C3D0C" w:rsidP="001C3D0C">
      <w:pPr>
        <w:pStyle w:val="Heading1"/>
        <w:rPr>
          <w:sz w:val="24"/>
          <w:szCs w:val="24"/>
        </w:rPr>
      </w:pPr>
      <w:r>
        <w:rPr>
          <w:sz w:val="24"/>
          <w:szCs w:val="24"/>
          <w:lang w:val="zh-CN"/>
        </w:rPr>
        <w:lastRenderedPageBreak/>
        <w:t>1</w:t>
      </w:r>
      <w:r>
        <w:rPr>
          <w:sz w:val="24"/>
          <w:szCs w:val="24"/>
          <w:lang w:val="en-US"/>
        </w:rPr>
        <w:tab/>
      </w:r>
      <w:r w:rsidR="00E32109" w:rsidRPr="001C3D0C">
        <w:rPr>
          <w:sz w:val="24"/>
          <w:szCs w:val="24"/>
          <w:lang w:val="zh-CN"/>
        </w:rPr>
        <w:t>背景</w:t>
      </w:r>
    </w:p>
    <w:p w14:paraId="49306859" w14:textId="0334D24B" w:rsidR="00E32109" w:rsidRPr="002249A5" w:rsidRDefault="00E32109" w:rsidP="009B4750">
      <w:pPr>
        <w:ind w:firstLineChars="200" w:firstLine="480"/>
        <w:rPr>
          <w:szCs w:val="24"/>
          <w:lang w:eastAsia="zh-CN"/>
        </w:rPr>
      </w:pPr>
      <w:r>
        <w:rPr>
          <w:lang w:val="zh-CN" w:eastAsia="zh-CN"/>
        </w:rPr>
        <w:t>2022</w:t>
      </w:r>
      <w:r>
        <w:rPr>
          <w:lang w:val="zh-CN" w:eastAsia="zh-CN"/>
        </w:rPr>
        <w:t>年世界电信发展大会（</w:t>
      </w:r>
      <w:r>
        <w:rPr>
          <w:lang w:val="zh-CN" w:eastAsia="zh-CN"/>
        </w:rPr>
        <w:t>WTDC-22</w:t>
      </w:r>
      <w:r>
        <w:rPr>
          <w:lang w:val="zh-CN" w:eastAsia="zh-CN"/>
        </w:rPr>
        <w:t>）认识到资源筹措和国际合作作为</w:t>
      </w:r>
      <w:r>
        <w:rPr>
          <w:lang w:val="zh-CN" w:eastAsia="zh-CN"/>
        </w:rPr>
        <w:t>ITU-D</w:t>
      </w:r>
      <w:r>
        <w:rPr>
          <w:lang w:val="zh-CN" w:eastAsia="zh-CN"/>
        </w:rPr>
        <w:t>新的重点</w:t>
      </w:r>
      <w:r w:rsidR="009D2E58">
        <w:rPr>
          <w:lang w:val="zh-CN" w:eastAsia="zh-CN"/>
        </w:rPr>
        <w:t>工作</w:t>
      </w:r>
      <w:r>
        <w:rPr>
          <w:lang w:val="zh-CN" w:eastAsia="zh-CN"/>
        </w:rPr>
        <w:t>和《基加利行动计划》推动因素的重要性。</w:t>
      </w:r>
      <w:r w:rsidR="009D2E58">
        <w:rPr>
          <w:rFonts w:hint="eastAsia"/>
          <w:lang w:val="zh-CN" w:eastAsia="zh-CN"/>
        </w:rPr>
        <w:t>“</w:t>
      </w:r>
      <w:r>
        <w:rPr>
          <w:lang w:val="zh-CN" w:eastAsia="zh-CN"/>
        </w:rPr>
        <w:t>这一</w:t>
      </w:r>
      <w:r w:rsidR="009D2E58">
        <w:rPr>
          <w:lang w:val="zh-CN" w:eastAsia="zh-CN"/>
        </w:rPr>
        <w:t>重点</w:t>
      </w:r>
      <w:r>
        <w:rPr>
          <w:lang w:val="zh-CN" w:eastAsia="zh-CN"/>
        </w:rPr>
        <w:t>工作侧重于筹措和吸引资源以及就电信</w:t>
      </w:r>
      <w:r w:rsidR="009D2E58">
        <w:rPr>
          <w:rFonts w:hint="eastAsia"/>
          <w:lang w:val="zh-CN" w:eastAsia="zh-CN"/>
        </w:rPr>
        <w:t>/ICT</w:t>
      </w:r>
      <w:r>
        <w:rPr>
          <w:lang w:val="zh-CN" w:eastAsia="zh-CN"/>
        </w:rPr>
        <w:t>发展问题促成国际合作。这一</w:t>
      </w:r>
      <w:r w:rsidR="009D2E58">
        <w:rPr>
          <w:lang w:val="zh-CN" w:eastAsia="zh-CN"/>
        </w:rPr>
        <w:t>重点</w:t>
      </w:r>
      <w:r>
        <w:rPr>
          <w:lang w:val="zh-CN" w:eastAsia="zh-CN"/>
        </w:rPr>
        <w:t>工作也是跨领域的，通过提供资源和促进国际合作以交付相关的国际成果。在此过程中，发展中国家、最不发达国家、小岛屿发展中国家、内陆发展中国家和经济转型国家以及得不到充分服务的弱势群体的需求应得到优先考虑和适当关注。</w:t>
      </w:r>
      <w:r w:rsidR="003C0E88" w:rsidRPr="003C0E88">
        <w:rPr>
          <w:rFonts w:ascii="SimSun" w:eastAsia="SimSun" w:hAnsi="SimSun"/>
          <w:lang w:val="zh-CN" w:eastAsia="zh-CN"/>
        </w:rPr>
        <w:t>”</w:t>
      </w:r>
      <w:r>
        <w:rPr>
          <w:lang w:val="zh-CN" w:eastAsia="zh-CN"/>
        </w:rPr>
        <w:t>（《基加利行动计划》）</w:t>
      </w:r>
    </w:p>
    <w:p w14:paraId="611FFA1E" w14:textId="3A42E2EF" w:rsidR="00E32109" w:rsidRPr="002249A5" w:rsidRDefault="00113C91" w:rsidP="009B4750">
      <w:pPr>
        <w:ind w:firstLineChars="200" w:firstLine="480"/>
        <w:rPr>
          <w:szCs w:val="24"/>
          <w:lang w:eastAsia="zh-CN"/>
        </w:rPr>
      </w:pPr>
      <w:r>
        <w:rPr>
          <w:rFonts w:hint="eastAsia"/>
          <w:lang w:eastAsia="zh-CN"/>
        </w:rPr>
        <w:t>关于</w:t>
      </w:r>
      <w:r w:rsidRPr="00F0588C">
        <w:rPr>
          <w:rFonts w:hint="eastAsia"/>
          <w:color w:val="000000"/>
          <w:lang w:val="zh-CN" w:eastAsia="zh-CN"/>
        </w:rPr>
        <w:t>“在国家、区域、跨区域和全球层面落实已批准的区域性举措并开展合作</w:t>
      </w:r>
      <w:r w:rsidR="003C0E88" w:rsidRPr="003C0E88">
        <w:rPr>
          <w:rFonts w:ascii="SimSun" w:eastAsia="SimSun" w:hAnsi="SimSun" w:hint="eastAsia"/>
          <w:color w:val="000000"/>
          <w:lang w:val="zh-CN" w:eastAsia="zh-CN"/>
        </w:rPr>
        <w:t>”</w:t>
      </w:r>
      <w:r>
        <w:rPr>
          <w:rFonts w:hint="eastAsia"/>
          <w:color w:val="000000"/>
          <w:lang w:val="zh-CN" w:eastAsia="zh-CN"/>
        </w:rPr>
        <w:t>的</w:t>
      </w:r>
      <w:r>
        <w:rPr>
          <w:color w:val="000000"/>
          <w:lang w:val="zh-CN" w:eastAsia="zh-CN"/>
        </w:rPr>
        <w:t>第</w:t>
      </w:r>
      <w:r>
        <w:rPr>
          <w:color w:val="000000"/>
          <w:lang w:val="zh-CN" w:eastAsia="zh-CN"/>
        </w:rPr>
        <w:t>17</w:t>
      </w:r>
      <w:r>
        <w:rPr>
          <w:color w:val="000000"/>
          <w:lang w:val="zh-CN" w:eastAsia="zh-CN"/>
        </w:rPr>
        <w:t>号决议（</w:t>
      </w:r>
      <w:r>
        <w:rPr>
          <w:color w:val="000000"/>
          <w:lang w:val="zh-CN" w:eastAsia="zh-CN"/>
        </w:rPr>
        <w:t>2022</w:t>
      </w:r>
      <w:r>
        <w:rPr>
          <w:color w:val="000000"/>
          <w:lang w:val="zh-CN" w:eastAsia="zh-CN"/>
        </w:rPr>
        <w:t>年，基加利，修订版）</w:t>
      </w:r>
      <w:r w:rsidR="00E32109">
        <w:rPr>
          <w:lang w:val="zh-CN" w:eastAsia="zh-CN"/>
        </w:rPr>
        <w:t>责成电信发展局主任</w:t>
      </w:r>
      <w:r>
        <w:rPr>
          <w:rFonts w:hint="eastAsia"/>
          <w:lang w:val="zh-CN" w:eastAsia="zh-CN"/>
        </w:rPr>
        <w:t>“</w:t>
      </w:r>
      <w:r w:rsidR="00E32109">
        <w:rPr>
          <w:lang w:val="zh-CN" w:eastAsia="zh-CN"/>
        </w:rPr>
        <w:t>确保电信发展局促进区域性和次区域性电信组织积极参与国际电联建立的项目管理的不同阶段，以及建立伙伴关系和筹措资源，以有效推动区域性举措的实施。</w:t>
      </w:r>
      <w:r w:rsidR="003C0E88" w:rsidRPr="003C0E88">
        <w:rPr>
          <w:rFonts w:ascii="SimSun" w:eastAsia="SimSun" w:hAnsi="SimSun" w:hint="eastAsia"/>
          <w:lang w:val="zh-CN" w:eastAsia="zh-CN"/>
        </w:rPr>
        <w:t>”</w:t>
      </w:r>
    </w:p>
    <w:p w14:paraId="22CB3E4C" w14:textId="107D480E" w:rsidR="00E32109" w:rsidRPr="001C3D0C" w:rsidRDefault="001C3D0C" w:rsidP="001C3D0C">
      <w:pPr>
        <w:pStyle w:val="Heading1"/>
        <w:rPr>
          <w:sz w:val="24"/>
          <w:szCs w:val="24"/>
          <w:lang w:val="zh-CN" w:eastAsia="zh-CN"/>
        </w:rPr>
      </w:pPr>
      <w:r>
        <w:rPr>
          <w:sz w:val="24"/>
          <w:szCs w:val="24"/>
          <w:lang w:val="en-US" w:eastAsia="zh-CN"/>
        </w:rPr>
        <w:t>2</w:t>
      </w:r>
      <w:r>
        <w:rPr>
          <w:sz w:val="24"/>
          <w:szCs w:val="24"/>
          <w:lang w:val="en-US" w:eastAsia="zh-CN"/>
        </w:rPr>
        <w:tab/>
      </w:r>
      <w:r w:rsidR="00E32109" w:rsidRPr="001C3D0C">
        <w:rPr>
          <w:sz w:val="24"/>
          <w:szCs w:val="24"/>
          <w:lang w:val="zh-CN" w:eastAsia="zh-CN"/>
        </w:rPr>
        <w:t>ITU-D</w:t>
      </w:r>
      <w:r w:rsidR="00E32109" w:rsidRPr="001C3D0C">
        <w:rPr>
          <w:sz w:val="24"/>
          <w:szCs w:val="24"/>
          <w:lang w:val="zh-CN" w:eastAsia="zh-CN"/>
        </w:rPr>
        <w:t>伙伴关系和资源筹措战略目标</w:t>
      </w:r>
    </w:p>
    <w:p w14:paraId="6A21A493" w14:textId="77777777" w:rsidR="00E32109" w:rsidRDefault="00E32109" w:rsidP="009B4750">
      <w:pPr>
        <w:ind w:firstLineChars="200" w:firstLine="480"/>
        <w:rPr>
          <w:szCs w:val="24"/>
          <w:lang w:eastAsia="zh-CN"/>
        </w:rPr>
      </w:pPr>
      <w:r>
        <w:rPr>
          <w:lang w:val="zh-CN" w:eastAsia="zh-CN"/>
        </w:rPr>
        <w:t>根据</w:t>
      </w:r>
      <w:r>
        <w:rPr>
          <w:lang w:val="zh-CN" w:eastAsia="zh-CN"/>
        </w:rPr>
        <w:t>WTDC-22</w:t>
      </w:r>
      <w:r>
        <w:rPr>
          <w:lang w:val="zh-CN" w:eastAsia="zh-CN"/>
        </w:rPr>
        <w:t>的成果，目标是促进、发展和加强与来自发达国家和发展中国家的广泛合作伙伴的伙伴关系和国际协作。</w:t>
      </w:r>
    </w:p>
    <w:p w14:paraId="27B399BC" w14:textId="2241E397" w:rsidR="00E32109" w:rsidRPr="002249A5" w:rsidRDefault="00E32109" w:rsidP="009B4750">
      <w:pPr>
        <w:ind w:firstLineChars="200" w:firstLine="480"/>
        <w:rPr>
          <w:szCs w:val="24"/>
          <w:lang w:eastAsia="zh-CN"/>
        </w:rPr>
      </w:pPr>
      <w:r>
        <w:rPr>
          <w:lang w:val="zh-CN" w:eastAsia="zh-CN"/>
        </w:rPr>
        <w:t>这旨在加强协调，共享专业知识，并</w:t>
      </w:r>
      <w:r w:rsidR="00113C91">
        <w:rPr>
          <w:rFonts w:hint="eastAsia"/>
          <w:lang w:val="zh-CN" w:eastAsia="zh-CN"/>
        </w:rPr>
        <w:t>筹措</w:t>
      </w:r>
      <w:r>
        <w:rPr>
          <w:lang w:val="zh-CN" w:eastAsia="zh-CN"/>
        </w:rPr>
        <w:t>资源，以实施促进可持续发展的项目、活动和</w:t>
      </w:r>
      <w:r w:rsidR="00113C91">
        <w:rPr>
          <w:rFonts w:hint="eastAsia"/>
          <w:lang w:val="zh-CN" w:eastAsia="zh-CN"/>
        </w:rPr>
        <w:t>举措</w:t>
      </w:r>
      <w:r>
        <w:rPr>
          <w:lang w:val="zh-CN" w:eastAsia="zh-CN"/>
        </w:rPr>
        <w:t>。</w:t>
      </w:r>
    </w:p>
    <w:p w14:paraId="301D7E37" w14:textId="4BA3463A" w:rsidR="00E32109" w:rsidRPr="001C3D0C" w:rsidRDefault="001C3D0C" w:rsidP="001C3D0C">
      <w:pPr>
        <w:pStyle w:val="Heading1"/>
        <w:rPr>
          <w:sz w:val="24"/>
          <w:szCs w:val="24"/>
          <w:lang w:val="zh-CN" w:eastAsia="zh-CN"/>
        </w:rPr>
      </w:pPr>
      <w:r>
        <w:rPr>
          <w:sz w:val="24"/>
          <w:szCs w:val="24"/>
          <w:lang w:val="en-US" w:eastAsia="zh-CN"/>
        </w:rPr>
        <w:t>3</w:t>
      </w:r>
      <w:r>
        <w:rPr>
          <w:sz w:val="24"/>
          <w:szCs w:val="24"/>
          <w:lang w:val="en-US" w:eastAsia="zh-CN"/>
        </w:rPr>
        <w:tab/>
      </w:r>
      <w:r w:rsidR="00E32109" w:rsidRPr="001C3D0C">
        <w:rPr>
          <w:sz w:val="24"/>
          <w:szCs w:val="24"/>
          <w:lang w:val="zh-CN" w:eastAsia="zh-CN"/>
        </w:rPr>
        <w:t>2024</w:t>
      </w:r>
      <w:r w:rsidR="00E32109" w:rsidRPr="001C3D0C">
        <w:rPr>
          <w:sz w:val="24"/>
          <w:szCs w:val="24"/>
          <w:lang w:val="zh-CN" w:eastAsia="zh-CN"/>
        </w:rPr>
        <w:t>年伙伴关系和资源筹措的成果</w:t>
      </w:r>
    </w:p>
    <w:p w14:paraId="767FD14E" w14:textId="6B995A12" w:rsidR="00E32109" w:rsidRDefault="00E32109" w:rsidP="009B4750">
      <w:pPr>
        <w:ind w:firstLineChars="200" w:firstLine="480"/>
        <w:rPr>
          <w:lang w:eastAsia="zh-CN"/>
        </w:rPr>
      </w:pPr>
      <w:r>
        <w:rPr>
          <w:lang w:val="zh-CN" w:eastAsia="zh-CN"/>
        </w:rPr>
        <w:t>202</w:t>
      </w:r>
      <w:r w:rsidR="00113C91">
        <w:rPr>
          <w:rFonts w:hint="eastAsia"/>
          <w:lang w:val="zh-CN" w:eastAsia="zh-CN"/>
        </w:rPr>
        <w:t>4</w:t>
      </w:r>
      <w:r>
        <w:rPr>
          <w:lang w:val="zh-CN" w:eastAsia="zh-CN"/>
        </w:rPr>
        <w:t>年，</w:t>
      </w:r>
      <w:r w:rsidR="00113C91" w:rsidRPr="00113C91">
        <w:rPr>
          <w:rFonts w:hint="eastAsia"/>
          <w:lang w:eastAsia="zh-CN"/>
        </w:rPr>
        <w:t>通过</w:t>
      </w:r>
      <w:r>
        <w:rPr>
          <w:lang w:val="zh-CN" w:eastAsia="zh-CN"/>
        </w:rPr>
        <w:t>国际电联成员、合作伙伴和电信发展局职员（包括</w:t>
      </w:r>
      <w:r w:rsidR="00113C91">
        <w:rPr>
          <w:rFonts w:hint="eastAsia"/>
          <w:lang w:val="zh-CN" w:eastAsia="zh-CN"/>
        </w:rPr>
        <w:t>在各区域</w:t>
      </w:r>
      <w:r>
        <w:rPr>
          <w:lang w:val="zh-CN" w:eastAsia="zh-CN"/>
        </w:rPr>
        <w:t>和</w:t>
      </w:r>
      <w:r w:rsidR="00113C91">
        <w:rPr>
          <w:rFonts w:hint="eastAsia"/>
          <w:lang w:val="zh-CN" w:eastAsia="zh-CN"/>
        </w:rPr>
        <w:t>在</w:t>
      </w:r>
      <w:r>
        <w:rPr>
          <w:lang w:val="zh-CN" w:eastAsia="zh-CN"/>
        </w:rPr>
        <w:t>总部</w:t>
      </w:r>
      <w:r w:rsidR="00113C91">
        <w:rPr>
          <w:rFonts w:hint="eastAsia"/>
          <w:lang w:val="zh-CN" w:eastAsia="zh-CN"/>
        </w:rPr>
        <w:t>的职员</w:t>
      </w:r>
      <w:r>
        <w:rPr>
          <w:lang w:val="zh-CN" w:eastAsia="zh-CN"/>
        </w:rPr>
        <w:t>）的共同努力，电信发展局签署了</w:t>
      </w:r>
      <w:r>
        <w:rPr>
          <w:lang w:val="zh-CN" w:eastAsia="zh-CN"/>
        </w:rPr>
        <w:t>8</w:t>
      </w:r>
      <w:r w:rsidR="00113C91">
        <w:rPr>
          <w:rFonts w:hint="eastAsia"/>
          <w:lang w:val="zh-CN" w:eastAsia="zh-CN"/>
        </w:rPr>
        <w:t>9</w:t>
      </w:r>
      <w:r>
        <w:rPr>
          <w:lang w:val="zh-CN" w:eastAsia="zh-CN"/>
        </w:rPr>
        <w:t>项</w:t>
      </w:r>
      <w:r w:rsidR="00113C91">
        <w:rPr>
          <w:rFonts w:hint="eastAsia"/>
          <w:lang w:val="zh-CN" w:eastAsia="zh-CN"/>
        </w:rPr>
        <w:t>伙伴关系</w:t>
      </w:r>
      <w:r>
        <w:rPr>
          <w:lang w:val="zh-CN" w:eastAsia="zh-CN"/>
        </w:rPr>
        <w:t>协议</w:t>
      </w:r>
      <w:r w:rsidR="00113C91">
        <w:rPr>
          <w:rStyle w:val="FootnoteReference"/>
          <w:lang w:val="zh-CN"/>
        </w:rPr>
        <w:footnoteReference w:id="2"/>
      </w:r>
      <w:r>
        <w:rPr>
          <w:lang w:val="zh-CN" w:eastAsia="zh-CN"/>
        </w:rPr>
        <w:t>，其中</w:t>
      </w:r>
      <w:r>
        <w:rPr>
          <w:lang w:val="zh-CN" w:eastAsia="zh-CN"/>
        </w:rPr>
        <w:t>5</w:t>
      </w:r>
      <w:r w:rsidR="00113C91">
        <w:rPr>
          <w:rFonts w:hint="eastAsia"/>
          <w:lang w:val="zh-CN" w:eastAsia="zh-CN"/>
        </w:rPr>
        <w:t>3</w:t>
      </w:r>
      <w:r>
        <w:rPr>
          <w:lang w:val="zh-CN" w:eastAsia="zh-CN"/>
        </w:rPr>
        <w:t>项协议的</w:t>
      </w:r>
      <w:r w:rsidR="00113C91">
        <w:rPr>
          <w:rFonts w:hint="eastAsia"/>
          <w:lang w:val="zh-CN" w:eastAsia="zh-CN"/>
        </w:rPr>
        <w:t>财务</w:t>
      </w:r>
      <w:r>
        <w:rPr>
          <w:lang w:val="zh-CN" w:eastAsia="zh-CN"/>
        </w:rPr>
        <w:t>捐款约为</w:t>
      </w:r>
      <w:r w:rsidR="003C0E88">
        <w:rPr>
          <w:lang w:val="en-US" w:eastAsia="zh-CN"/>
        </w:rPr>
        <w:br/>
      </w:r>
      <w:r w:rsidR="00113C91">
        <w:rPr>
          <w:rFonts w:hint="eastAsia"/>
          <w:lang w:val="zh-CN" w:eastAsia="zh-CN"/>
        </w:rPr>
        <w:t>3</w:t>
      </w:r>
      <w:r>
        <w:rPr>
          <w:lang w:val="zh-CN" w:eastAsia="zh-CN"/>
        </w:rPr>
        <w:t xml:space="preserve"> 3</w:t>
      </w:r>
      <w:r w:rsidR="00113C91">
        <w:rPr>
          <w:rFonts w:hint="eastAsia"/>
          <w:lang w:val="zh-CN" w:eastAsia="zh-CN"/>
        </w:rPr>
        <w:t>8</w:t>
      </w:r>
      <w:r>
        <w:rPr>
          <w:lang w:val="zh-CN" w:eastAsia="zh-CN"/>
        </w:rPr>
        <w:t>0</w:t>
      </w:r>
      <w:r>
        <w:rPr>
          <w:lang w:val="zh-CN" w:eastAsia="zh-CN"/>
        </w:rPr>
        <w:t>万美元，</w:t>
      </w:r>
      <w:r w:rsidR="00113C91" w:rsidRPr="00113C91">
        <w:rPr>
          <w:rFonts w:hint="eastAsia"/>
          <w:lang w:eastAsia="zh-CN"/>
        </w:rPr>
        <w:t>电信发展局合作伙伴出资</w:t>
      </w:r>
      <w:r w:rsidR="00113C91" w:rsidRPr="00113C91">
        <w:rPr>
          <w:rFonts w:hint="eastAsia"/>
          <w:lang w:eastAsia="zh-CN"/>
        </w:rPr>
        <w:t>92%</w:t>
      </w:r>
      <w:r w:rsidR="00113C91" w:rsidRPr="00113C91">
        <w:rPr>
          <w:rFonts w:hint="eastAsia"/>
          <w:lang w:eastAsia="zh-CN"/>
        </w:rPr>
        <w:t>，国际电联出资</w:t>
      </w:r>
      <w:r w:rsidR="00113C91" w:rsidRPr="00113C91">
        <w:rPr>
          <w:rFonts w:hint="eastAsia"/>
          <w:lang w:eastAsia="zh-CN"/>
        </w:rPr>
        <w:t>8%</w:t>
      </w:r>
      <w:r w:rsidR="00113C91" w:rsidRPr="00113C91">
        <w:rPr>
          <w:rFonts w:hint="eastAsia"/>
          <w:lang w:eastAsia="zh-CN"/>
        </w:rPr>
        <w:t>。</w:t>
      </w:r>
    </w:p>
    <w:p w14:paraId="208D8890" w14:textId="77777777" w:rsidR="00E32109" w:rsidRDefault="00E32109" w:rsidP="009B4750">
      <w:pPr>
        <w:ind w:firstLineChars="200" w:firstLine="480"/>
        <w:rPr>
          <w:lang w:val="zh-CN" w:eastAsia="zh-CN"/>
        </w:rPr>
      </w:pPr>
      <w:r>
        <w:rPr>
          <w:lang w:val="zh-CN" w:eastAsia="zh-CN"/>
        </w:rPr>
        <w:t>这些合作伙伴协议是与</w:t>
      </w:r>
      <w:r>
        <w:rPr>
          <w:lang w:val="zh-CN" w:eastAsia="zh-CN"/>
        </w:rPr>
        <w:t>73</w:t>
      </w:r>
      <w:r>
        <w:rPr>
          <w:lang w:val="zh-CN" w:eastAsia="zh-CN"/>
        </w:rPr>
        <w:t>个不同类型的合作伙伴签署的，分布如下：</w:t>
      </w:r>
    </w:p>
    <w:p w14:paraId="7F6885B3" w14:textId="22608F7B" w:rsidR="003F2306" w:rsidRDefault="003F2306" w:rsidP="009B4750">
      <w:pPr>
        <w:ind w:firstLineChars="200" w:firstLine="480"/>
        <w:rPr>
          <w:rFonts w:hint="eastAsia"/>
          <w:lang w:val="zh-CN" w:eastAsia="zh-CN"/>
        </w:rPr>
      </w:pPr>
      <w:r w:rsidRPr="003F2306">
        <w:rPr>
          <w:lang w:eastAsia="zh-CN"/>
        </w:rPr>
        <w:drawing>
          <wp:inline distT="0" distB="0" distL="0" distR="0" wp14:anchorId="6D6D2C89" wp14:editId="088DA12C">
            <wp:extent cx="5616202" cy="2350433"/>
            <wp:effectExtent l="0" t="0" r="3810" b="12065"/>
            <wp:docPr id="624072377" name="Chart 1">
              <a:extLst xmlns:a="http://schemas.openxmlformats.org/drawingml/2006/main">
                <a:ext uri="{FF2B5EF4-FFF2-40B4-BE49-F238E27FC236}">
                  <a16:creationId xmlns:a16="http://schemas.microsoft.com/office/drawing/2014/main" id="{9F4A11F8-0397-6619-3F3C-608512B04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91D090" w14:textId="5A70CDFD" w:rsidR="00E32109" w:rsidRDefault="00E32109" w:rsidP="009B4750">
      <w:pPr>
        <w:ind w:firstLineChars="200" w:firstLine="480"/>
        <w:rPr>
          <w:lang w:eastAsia="zh-CN"/>
        </w:rPr>
      </w:pPr>
      <w:r>
        <w:rPr>
          <w:lang w:val="zh-CN" w:eastAsia="zh-CN"/>
        </w:rPr>
        <w:t>这些合作伙伴包括</w:t>
      </w:r>
      <w:r>
        <w:rPr>
          <w:lang w:val="zh-CN" w:eastAsia="zh-CN"/>
        </w:rPr>
        <w:t>19</w:t>
      </w:r>
      <w:r>
        <w:rPr>
          <w:lang w:val="zh-CN" w:eastAsia="zh-CN"/>
        </w:rPr>
        <w:t>个成员国、</w:t>
      </w:r>
      <w:r>
        <w:rPr>
          <w:lang w:val="zh-CN" w:eastAsia="zh-CN"/>
        </w:rPr>
        <w:t>7</w:t>
      </w:r>
      <w:r>
        <w:rPr>
          <w:lang w:val="zh-CN" w:eastAsia="zh-CN"/>
        </w:rPr>
        <w:t>个</w:t>
      </w:r>
      <w:r>
        <w:rPr>
          <w:lang w:val="zh-CN" w:eastAsia="zh-CN"/>
        </w:rPr>
        <w:t>ITU-D</w:t>
      </w:r>
      <w:r>
        <w:rPr>
          <w:lang w:val="zh-CN" w:eastAsia="zh-CN"/>
        </w:rPr>
        <w:t>部门成员、</w:t>
      </w:r>
      <w:r>
        <w:rPr>
          <w:lang w:val="zh-CN" w:eastAsia="zh-CN"/>
        </w:rPr>
        <w:t>3</w:t>
      </w:r>
      <w:r>
        <w:rPr>
          <w:lang w:val="zh-CN" w:eastAsia="zh-CN"/>
        </w:rPr>
        <w:t>个学术成员和</w:t>
      </w:r>
      <w:r>
        <w:rPr>
          <w:lang w:val="zh-CN" w:eastAsia="zh-CN"/>
        </w:rPr>
        <w:t>2</w:t>
      </w:r>
      <w:r>
        <w:rPr>
          <w:lang w:val="zh-CN" w:eastAsia="zh-CN"/>
        </w:rPr>
        <w:t>个区域性及其它国际组织（按国际电联成员类别划分）</w:t>
      </w:r>
      <w:r>
        <w:rPr>
          <w:rStyle w:val="FootnoteReference"/>
          <w:lang w:val="zh-CN"/>
        </w:rPr>
        <w:footnoteReference w:id="3"/>
      </w:r>
      <w:r w:rsidR="00E74823">
        <w:rPr>
          <w:lang w:val="zh-CN" w:eastAsia="zh-CN"/>
        </w:rPr>
        <w:t>。</w:t>
      </w:r>
    </w:p>
    <w:p w14:paraId="57FAF2FC" w14:textId="7521560D" w:rsidR="00E32109" w:rsidRDefault="00E32109" w:rsidP="009B4750">
      <w:pPr>
        <w:ind w:firstLineChars="200" w:firstLine="480"/>
        <w:rPr>
          <w:lang w:eastAsia="zh-CN"/>
        </w:rPr>
      </w:pPr>
      <w:r>
        <w:rPr>
          <w:lang w:val="zh-CN" w:eastAsia="zh-CN"/>
        </w:rPr>
        <w:t>电信发展局的</w:t>
      </w:r>
      <w:r>
        <w:rPr>
          <w:lang w:val="zh-CN" w:eastAsia="zh-CN"/>
        </w:rPr>
        <w:t>73</w:t>
      </w:r>
      <w:r>
        <w:rPr>
          <w:lang w:val="zh-CN" w:eastAsia="zh-CN"/>
        </w:rPr>
        <w:t>个合作伙伴中，</w:t>
      </w:r>
      <w:r>
        <w:rPr>
          <w:lang w:val="zh-CN" w:eastAsia="zh-CN"/>
        </w:rPr>
        <w:t>33</w:t>
      </w:r>
      <w:r>
        <w:rPr>
          <w:lang w:val="zh-CN" w:eastAsia="zh-CN"/>
        </w:rPr>
        <w:t>个签署了财务捐款协议，金额约为</w:t>
      </w:r>
      <w:r>
        <w:rPr>
          <w:lang w:val="zh-CN" w:eastAsia="zh-CN"/>
        </w:rPr>
        <w:t>3</w:t>
      </w:r>
      <w:r w:rsidR="003C0E88">
        <w:rPr>
          <w:lang w:val="en-US" w:eastAsia="zh-CN"/>
        </w:rPr>
        <w:t xml:space="preserve"> </w:t>
      </w:r>
      <w:r>
        <w:rPr>
          <w:lang w:val="zh-CN" w:eastAsia="zh-CN"/>
        </w:rPr>
        <w:t>110</w:t>
      </w:r>
      <w:r>
        <w:rPr>
          <w:lang w:val="zh-CN" w:eastAsia="zh-CN"/>
        </w:rPr>
        <w:t>万美元，分配详情如下：</w:t>
      </w:r>
    </w:p>
    <w:p w14:paraId="4015A08C" w14:textId="6F686878" w:rsidR="008C0BA2" w:rsidRDefault="008C0BA2" w:rsidP="00E32109">
      <w:pPr>
        <w:keepNext/>
        <w:rPr>
          <w:lang w:val="zh-CN" w:eastAsia="zh-CN"/>
        </w:rPr>
      </w:pPr>
      <w:r w:rsidRPr="008C0BA2">
        <w:rPr>
          <w:lang w:eastAsia="zh-CN"/>
        </w:rPr>
        <w:lastRenderedPageBreak/>
        <mc:AlternateContent>
          <mc:Choice Requires="cx1">
            <w:drawing>
              <wp:inline distT="0" distB="0" distL="0" distR="0" wp14:anchorId="137CC60C" wp14:editId="7BCB833E">
                <wp:extent cx="5747066" cy="3074205"/>
                <wp:effectExtent l="0" t="0" r="6350" b="12065"/>
                <wp:docPr id="805130032" name="Chart 1">
                  <a:extLst xmlns:a="http://schemas.openxmlformats.org/drawingml/2006/main">
                    <a:ext uri="{FF2B5EF4-FFF2-40B4-BE49-F238E27FC236}">
                      <a16:creationId xmlns:a16="http://schemas.microsoft.com/office/drawing/2014/main" id="{992DD401-5E67-CF28-D5E2-BCFBAE54E3D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137CC60C" wp14:editId="7BCB833E">
                <wp:extent cx="5747066" cy="3074205"/>
                <wp:effectExtent l="0" t="0" r="6350" b="12065"/>
                <wp:docPr id="805130032" name="Chart 1">
                  <a:extLst xmlns:a="http://schemas.openxmlformats.org/drawingml/2006/main">
                    <a:ext uri="{FF2B5EF4-FFF2-40B4-BE49-F238E27FC236}">
                      <a16:creationId xmlns:a16="http://schemas.microsoft.com/office/drawing/2014/main" id="{992DD401-5E67-CF28-D5E2-BCFBAE54E3D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05130032" name="Chart 1">
                          <a:extLst>
                            <a:ext uri="{FF2B5EF4-FFF2-40B4-BE49-F238E27FC236}">
                              <a16:creationId xmlns:a16="http://schemas.microsoft.com/office/drawing/2014/main" id="{992DD401-5E67-CF28-D5E2-BCFBAE54E3D9}"/>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746750" cy="3074035"/>
                        </a:xfrm>
                        <a:prstGeom prst="rect">
                          <a:avLst/>
                        </a:prstGeom>
                      </pic:spPr>
                    </pic:pic>
                  </a:graphicData>
                </a:graphic>
              </wp:inline>
            </w:drawing>
          </mc:Fallback>
        </mc:AlternateContent>
      </w:r>
    </w:p>
    <w:p w14:paraId="6AA642C9" w14:textId="42084F48" w:rsidR="00E32109" w:rsidRDefault="00E32109" w:rsidP="009B4750">
      <w:pPr>
        <w:keepNext/>
        <w:ind w:firstLineChars="200" w:firstLine="480"/>
        <w:rPr>
          <w:lang w:eastAsia="zh-CN"/>
        </w:rPr>
      </w:pPr>
      <w:r>
        <w:rPr>
          <w:lang w:val="zh-CN" w:eastAsia="zh-CN"/>
        </w:rPr>
        <w:t>2024</w:t>
      </w:r>
      <w:r>
        <w:rPr>
          <w:lang w:val="zh-CN" w:eastAsia="zh-CN"/>
        </w:rPr>
        <w:t>年，电信发展局的前十大金融合作伙伴</w:t>
      </w:r>
      <w:r>
        <w:rPr>
          <w:rStyle w:val="FootnoteReference"/>
          <w:lang w:val="zh-CN"/>
        </w:rPr>
        <w:footnoteReference w:id="4"/>
      </w:r>
      <w:r w:rsidR="00E74823">
        <w:rPr>
          <w:lang w:val="zh-CN" w:eastAsia="zh-CN"/>
        </w:rPr>
        <w:t>是：</w:t>
      </w:r>
    </w:p>
    <w:tbl>
      <w:tblPr>
        <w:tblStyle w:val="TableGrid"/>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5519"/>
        <w:gridCol w:w="4110"/>
      </w:tblGrid>
      <w:tr w:rsidR="00E32109" w:rsidRPr="007C4BE0" w14:paraId="2D04B30B" w14:textId="77777777" w:rsidTr="00944170">
        <w:tc>
          <w:tcPr>
            <w:tcW w:w="5519" w:type="dxa"/>
            <w:tcBorders>
              <w:top w:val="single" w:sz="8" w:space="0" w:color="auto"/>
              <w:bottom w:val="single" w:sz="4" w:space="0" w:color="auto"/>
              <w:right w:val="single" w:sz="4" w:space="0" w:color="auto"/>
            </w:tcBorders>
            <w:shd w:val="clear" w:color="auto" w:fill="DBE5F1" w:themeFill="accent1" w:themeFillTint="33"/>
          </w:tcPr>
          <w:p w14:paraId="075CFC27" w14:textId="77777777" w:rsidR="00E32109" w:rsidRPr="00960B89" w:rsidRDefault="00E32109" w:rsidP="009B65D6">
            <w:pPr>
              <w:pStyle w:val="Tablehead"/>
              <w:rPr>
                <w:szCs w:val="24"/>
              </w:rPr>
            </w:pPr>
            <w:r>
              <w:rPr>
                <w:lang w:val="zh-CN"/>
              </w:rPr>
              <w:t>合作伙伴</w:t>
            </w:r>
          </w:p>
        </w:tc>
        <w:tc>
          <w:tcPr>
            <w:tcW w:w="4110" w:type="dxa"/>
            <w:tcBorders>
              <w:top w:val="single" w:sz="8" w:space="0" w:color="auto"/>
              <w:left w:val="single" w:sz="4" w:space="0" w:color="auto"/>
              <w:bottom w:val="single" w:sz="4" w:space="0" w:color="auto"/>
            </w:tcBorders>
            <w:shd w:val="clear" w:color="auto" w:fill="DBE5F1" w:themeFill="accent1" w:themeFillTint="33"/>
          </w:tcPr>
          <w:p w14:paraId="1542238F" w14:textId="77777777" w:rsidR="00E32109" w:rsidRPr="00960B89" w:rsidRDefault="00E32109" w:rsidP="009B65D6">
            <w:pPr>
              <w:pStyle w:val="Tablehead"/>
              <w:rPr>
                <w:szCs w:val="24"/>
                <w:lang w:eastAsia="zh-CN"/>
              </w:rPr>
            </w:pPr>
            <w:r>
              <w:rPr>
                <w:lang w:val="zh-CN" w:eastAsia="zh-CN"/>
              </w:rPr>
              <w:t>已签署的财务捐款</w:t>
            </w:r>
          </w:p>
          <w:p w14:paraId="255AF20D" w14:textId="77777777" w:rsidR="00E32109" w:rsidRPr="009B65D6" w:rsidRDefault="00E32109" w:rsidP="009B65D6">
            <w:pPr>
              <w:pStyle w:val="Tablehead"/>
              <w:rPr>
                <w:b w:val="0"/>
                <w:bCs/>
                <w:szCs w:val="24"/>
                <w:lang w:eastAsia="zh-CN"/>
              </w:rPr>
            </w:pPr>
            <w:r w:rsidRPr="009B65D6">
              <w:rPr>
                <w:b w:val="0"/>
                <w:bCs/>
                <w:lang w:val="zh-CN" w:eastAsia="zh-CN"/>
              </w:rPr>
              <w:t>（</w:t>
            </w:r>
            <w:proofErr w:type="gramStart"/>
            <w:r w:rsidRPr="009B65D6">
              <w:rPr>
                <w:b w:val="0"/>
                <w:bCs/>
                <w:lang w:val="zh-CN" w:eastAsia="zh-CN"/>
              </w:rPr>
              <w:t>按签署</w:t>
            </w:r>
            <w:proofErr w:type="gramEnd"/>
            <w:r w:rsidRPr="009B65D6">
              <w:rPr>
                <w:b w:val="0"/>
                <w:bCs/>
                <w:lang w:val="zh-CN" w:eastAsia="zh-CN"/>
              </w:rPr>
              <w:t>日期计算，单位为美元）</w:t>
            </w:r>
          </w:p>
        </w:tc>
      </w:tr>
      <w:tr w:rsidR="00E74823" w:rsidRPr="007C4BE0" w14:paraId="039292E3" w14:textId="77777777" w:rsidTr="00D95EDF">
        <w:tc>
          <w:tcPr>
            <w:tcW w:w="5519" w:type="dxa"/>
            <w:tcBorders>
              <w:top w:val="single" w:sz="4" w:space="0" w:color="auto"/>
              <w:left w:val="single" w:sz="4" w:space="0" w:color="auto"/>
              <w:bottom w:val="single" w:sz="4" w:space="0" w:color="auto"/>
              <w:right w:val="single" w:sz="4" w:space="0" w:color="auto"/>
            </w:tcBorders>
          </w:tcPr>
          <w:p w14:paraId="28556A10" w14:textId="59E6266C" w:rsidR="00E74823" w:rsidRPr="00960B89" w:rsidRDefault="00E74823" w:rsidP="002D6C91">
            <w:pPr>
              <w:pStyle w:val="Tabletext"/>
              <w:rPr>
                <w:szCs w:val="24"/>
                <w:lang w:eastAsia="zh-CN"/>
              </w:rPr>
            </w:pPr>
            <w:r w:rsidRPr="00E74823">
              <w:rPr>
                <w:rFonts w:hint="eastAsia"/>
                <w:lang w:eastAsia="zh-CN"/>
              </w:rPr>
              <w:t>由欧盟委员会代表的欧洲联盟</w:t>
            </w:r>
          </w:p>
        </w:tc>
        <w:tc>
          <w:tcPr>
            <w:tcW w:w="4110" w:type="dxa"/>
            <w:tcBorders>
              <w:top w:val="single" w:sz="4" w:space="0" w:color="auto"/>
              <w:left w:val="single" w:sz="4" w:space="0" w:color="auto"/>
              <w:bottom w:val="single" w:sz="4" w:space="0" w:color="auto"/>
              <w:right w:val="single" w:sz="4" w:space="0" w:color="auto"/>
            </w:tcBorders>
          </w:tcPr>
          <w:p w14:paraId="6FD2C313" w14:textId="49A0642C" w:rsidR="00E74823" w:rsidRPr="00960B89" w:rsidRDefault="00E74823" w:rsidP="002D6C91">
            <w:pPr>
              <w:pStyle w:val="Tabletext"/>
              <w:jc w:val="center"/>
              <w:rPr>
                <w:szCs w:val="24"/>
              </w:rPr>
            </w:pPr>
            <w:r w:rsidRPr="00B214AB">
              <w:rPr>
                <w:rFonts w:hint="eastAsia"/>
              </w:rPr>
              <w:t>1</w:t>
            </w:r>
            <w:r w:rsidR="00174A79">
              <w:rPr>
                <w:rFonts w:hint="eastAsia"/>
                <w:lang w:eastAsia="zh-CN"/>
              </w:rPr>
              <w:t xml:space="preserve"> </w:t>
            </w:r>
            <w:r w:rsidRPr="00B214AB">
              <w:rPr>
                <w:rFonts w:hint="eastAsia"/>
              </w:rPr>
              <w:t>982</w:t>
            </w:r>
            <w:r w:rsidRPr="00B214AB">
              <w:rPr>
                <w:rFonts w:hint="eastAsia"/>
              </w:rPr>
              <w:t>万美元</w:t>
            </w:r>
          </w:p>
        </w:tc>
      </w:tr>
      <w:tr w:rsidR="00E74823" w:rsidRPr="007C4BE0" w14:paraId="53E4FEF0" w14:textId="77777777" w:rsidTr="00D95EDF">
        <w:tc>
          <w:tcPr>
            <w:tcW w:w="5519" w:type="dxa"/>
            <w:tcBorders>
              <w:top w:val="single" w:sz="4" w:space="0" w:color="auto"/>
              <w:left w:val="single" w:sz="4" w:space="0" w:color="auto"/>
              <w:bottom w:val="single" w:sz="4" w:space="0" w:color="auto"/>
              <w:right w:val="single" w:sz="4" w:space="0" w:color="auto"/>
            </w:tcBorders>
          </w:tcPr>
          <w:p w14:paraId="2919BFFF" w14:textId="77777777" w:rsidR="00E74823" w:rsidRPr="00960B89" w:rsidRDefault="00E74823" w:rsidP="002D6C91">
            <w:pPr>
              <w:pStyle w:val="Tabletext"/>
              <w:rPr>
                <w:szCs w:val="24"/>
              </w:rPr>
            </w:pPr>
            <w:r>
              <w:rPr>
                <w:lang w:val="zh-CN"/>
              </w:rPr>
              <w:t>联合国儿童基金会</w:t>
            </w:r>
          </w:p>
        </w:tc>
        <w:tc>
          <w:tcPr>
            <w:tcW w:w="4110" w:type="dxa"/>
            <w:tcBorders>
              <w:top w:val="single" w:sz="4" w:space="0" w:color="auto"/>
              <w:left w:val="single" w:sz="4" w:space="0" w:color="auto"/>
              <w:bottom w:val="single" w:sz="4" w:space="0" w:color="auto"/>
              <w:right w:val="single" w:sz="4" w:space="0" w:color="auto"/>
            </w:tcBorders>
          </w:tcPr>
          <w:p w14:paraId="5BE74F95" w14:textId="6955F97B" w:rsidR="00E74823" w:rsidRPr="00960B89" w:rsidRDefault="00E74823" w:rsidP="002D6C91">
            <w:pPr>
              <w:pStyle w:val="Tabletext"/>
              <w:jc w:val="center"/>
              <w:rPr>
                <w:szCs w:val="24"/>
              </w:rPr>
            </w:pPr>
            <w:r w:rsidRPr="00B214AB">
              <w:rPr>
                <w:rFonts w:hint="eastAsia"/>
              </w:rPr>
              <w:t>182</w:t>
            </w:r>
            <w:r w:rsidRPr="00B214AB">
              <w:rPr>
                <w:rFonts w:hint="eastAsia"/>
              </w:rPr>
              <w:t>万美元</w:t>
            </w:r>
          </w:p>
        </w:tc>
      </w:tr>
      <w:tr w:rsidR="00E74823" w:rsidRPr="007C4BE0" w14:paraId="7D0CB18C" w14:textId="77777777" w:rsidTr="00D95EDF">
        <w:trPr>
          <w:trHeight w:val="354"/>
        </w:trPr>
        <w:tc>
          <w:tcPr>
            <w:tcW w:w="5519" w:type="dxa"/>
            <w:tcBorders>
              <w:top w:val="single" w:sz="4" w:space="0" w:color="auto"/>
              <w:left w:val="single" w:sz="4" w:space="0" w:color="auto"/>
              <w:bottom w:val="single" w:sz="4" w:space="0" w:color="auto"/>
              <w:right w:val="single" w:sz="4" w:space="0" w:color="auto"/>
            </w:tcBorders>
          </w:tcPr>
          <w:p w14:paraId="1315280A" w14:textId="77777777" w:rsidR="00E74823" w:rsidRPr="00960B89" w:rsidRDefault="00E74823" w:rsidP="002D6C91">
            <w:pPr>
              <w:pStyle w:val="Tabletext"/>
              <w:rPr>
                <w:szCs w:val="24"/>
                <w:lang w:eastAsia="zh-CN"/>
              </w:rPr>
            </w:pPr>
            <w:r>
              <w:rPr>
                <w:lang w:val="zh-CN" w:eastAsia="zh-CN"/>
              </w:rPr>
              <w:t>联合国减少灾害风险办公室</w:t>
            </w:r>
          </w:p>
        </w:tc>
        <w:tc>
          <w:tcPr>
            <w:tcW w:w="4110" w:type="dxa"/>
            <w:tcBorders>
              <w:top w:val="single" w:sz="4" w:space="0" w:color="auto"/>
              <w:left w:val="single" w:sz="4" w:space="0" w:color="auto"/>
              <w:bottom w:val="single" w:sz="4" w:space="0" w:color="auto"/>
              <w:right w:val="single" w:sz="4" w:space="0" w:color="auto"/>
            </w:tcBorders>
          </w:tcPr>
          <w:p w14:paraId="2DADBBDC" w14:textId="12BF3E99" w:rsidR="00E74823" w:rsidRPr="00960B89" w:rsidRDefault="00E74823" w:rsidP="002D6C91">
            <w:pPr>
              <w:pStyle w:val="Tabletext"/>
              <w:jc w:val="center"/>
              <w:rPr>
                <w:szCs w:val="24"/>
              </w:rPr>
            </w:pPr>
            <w:r w:rsidRPr="00B214AB">
              <w:rPr>
                <w:rFonts w:hint="eastAsia"/>
              </w:rPr>
              <w:t>175</w:t>
            </w:r>
            <w:r w:rsidRPr="00B214AB">
              <w:rPr>
                <w:rFonts w:hint="eastAsia"/>
              </w:rPr>
              <w:t>万美元</w:t>
            </w:r>
          </w:p>
        </w:tc>
      </w:tr>
      <w:tr w:rsidR="00E74823" w:rsidRPr="007C4BE0" w14:paraId="253D9E32" w14:textId="77777777" w:rsidTr="00D95EDF">
        <w:trPr>
          <w:trHeight w:val="354"/>
        </w:trPr>
        <w:tc>
          <w:tcPr>
            <w:tcW w:w="5519" w:type="dxa"/>
            <w:tcBorders>
              <w:top w:val="single" w:sz="4" w:space="0" w:color="auto"/>
              <w:left w:val="single" w:sz="4" w:space="0" w:color="auto"/>
              <w:bottom w:val="single" w:sz="4" w:space="0" w:color="auto"/>
              <w:right w:val="single" w:sz="4" w:space="0" w:color="auto"/>
            </w:tcBorders>
          </w:tcPr>
          <w:p w14:paraId="6B0444C3" w14:textId="77777777" w:rsidR="00E74823" w:rsidRPr="00F610E2" w:rsidRDefault="00E74823" w:rsidP="002D6C91">
            <w:pPr>
              <w:pStyle w:val="Tabletext"/>
              <w:rPr>
                <w:szCs w:val="24"/>
                <w:lang w:eastAsia="zh-CN"/>
              </w:rPr>
            </w:pPr>
            <w:r>
              <w:rPr>
                <w:lang w:val="zh-CN" w:eastAsia="zh-CN"/>
              </w:rPr>
              <w:t>德国国际法律顾问有限责任公司</w:t>
            </w:r>
          </w:p>
        </w:tc>
        <w:tc>
          <w:tcPr>
            <w:tcW w:w="4110" w:type="dxa"/>
            <w:tcBorders>
              <w:top w:val="single" w:sz="4" w:space="0" w:color="auto"/>
              <w:left w:val="single" w:sz="4" w:space="0" w:color="auto"/>
              <w:bottom w:val="single" w:sz="4" w:space="0" w:color="auto"/>
              <w:right w:val="single" w:sz="4" w:space="0" w:color="auto"/>
            </w:tcBorders>
          </w:tcPr>
          <w:p w14:paraId="1DCEE541" w14:textId="6EA5BBA8" w:rsidR="00E74823" w:rsidRPr="00960B89" w:rsidRDefault="00E74823" w:rsidP="002D6C91">
            <w:pPr>
              <w:pStyle w:val="Tabletext"/>
              <w:jc w:val="center"/>
              <w:rPr>
                <w:szCs w:val="24"/>
              </w:rPr>
            </w:pPr>
            <w:r w:rsidRPr="00B214AB">
              <w:rPr>
                <w:rFonts w:hint="eastAsia"/>
              </w:rPr>
              <w:t>109</w:t>
            </w:r>
            <w:r w:rsidRPr="00B214AB">
              <w:rPr>
                <w:rFonts w:hint="eastAsia"/>
              </w:rPr>
              <w:t>万美元</w:t>
            </w:r>
          </w:p>
        </w:tc>
      </w:tr>
      <w:tr w:rsidR="00E74823" w:rsidRPr="007C4BE0" w14:paraId="38781382" w14:textId="77777777" w:rsidTr="00D95EDF">
        <w:trPr>
          <w:trHeight w:val="354"/>
        </w:trPr>
        <w:tc>
          <w:tcPr>
            <w:tcW w:w="5519" w:type="dxa"/>
            <w:tcBorders>
              <w:top w:val="single" w:sz="4" w:space="0" w:color="auto"/>
              <w:left w:val="single" w:sz="4" w:space="0" w:color="auto"/>
              <w:bottom w:val="single" w:sz="4" w:space="0" w:color="auto"/>
              <w:right w:val="single" w:sz="4" w:space="0" w:color="auto"/>
            </w:tcBorders>
          </w:tcPr>
          <w:p w14:paraId="47EAA4C1" w14:textId="77777777" w:rsidR="00E74823" w:rsidRPr="00960B89" w:rsidRDefault="00E74823" w:rsidP="002D6C91">
            <w:pPr>
              <w:pStyle w:val="Tabletext"/>
              <w:rPr>
                <w:szCs w:val="24"/>
              </w:rPr>
            </w:pPr>
            <w:r>
              <w:rPr>
                <w:lang w:val="zh-CN"/>
              </w:rPr>
              <w:t>世界气象组织</w:t>
            </w:r>
          </w:p>
        </w:tc>
        <w:tc>
          <w:tcPr>
            <w:tcW w:w="4110" w:type="dxa"/>
            <w:tcBorders>
              <w:top w:val="single" w:sz="4" w:space="0" w:color="auto"/>
              <w:left w:val="single" w:sz="4" w:space="0" w:color="auto"/>
              <w:bottom w:val="single" w:sz="4" w:space="0" w:color="auto"/>
              <w:right w:val="single" w:sz="4" w:space="0" w:color="auto"/>
            </w:tcBorders>
          </w:tcPr>
          <w:p w14:paraId="0FBF499F" w14:textId="62F659C9" w:rsidR="00E74823" w:rsidRPr="00960B89" w:rsidRDefault="00E74823" w:rsidP="002D6C91">
            <w:pPr>
              <w:pStyle w:val="Tabletext"/>
              <w:jc w:val="center"/>
              <w:rPr>
                <w:szCs w:val="24"/>
              </w:rPr>
            </w:pPr>
            <w:r w:rsidRPr="00B214AB">
              <w:rPr>
                <w:rFonts w:hint="eastAsia"/>
              </w:rPr>
              <w:t>96</w:t>
            </w:r>
            <w:r w:rsidRPr="00B214AB">
              <w:rPr>
                <w:rFonts w:hint="eastAsia"/>
              </w:rPr>
              <w:t>万美元</w:t>
            </w:r>
          </w:p>
        </w:tc>
      </w:tr>
      <w:tr w:rsidR="00E74823" w:rsidRPr="007C4BE0" w14:paraId="6C46849B" w14:textId="77777777" w:rsidTr="002D6C91">
        <w:trPr>
          <w:trHeight w:val="383"/>
        </w:trPr>
        <w:tc>
          <w:tcPr>
            <w:tcW w:w="5519" w:type="dxa"/>
            <w:tcBorders>
              <w:top w:val="single" w:sz="4" w:space="0" w:color="auto"/>
              <w:left w:val="single" w:sz="4" w:space="0" w:color="auto"/>
              <w:bottom w:val="single" w:sz="4" w:space="0" w:color="auto"/>
              <w:right w:val="single" w:sz="4" w:space="0" w:color="auto"/>
            </w:tcBorders>
          </w:tcPr>
          <w:p w14:paraId="71912549" w14:textId="77777777" w:rsidR="00E74823" w:rsidRPr="00960B89" w:rsidRDefault="00E74823" w:rsidP="002D6C91">
            <w:pPr>
              <w:pStyle w:val="Tabletext"/>
              <w:rPr>
                <w:szCs w:val="24"/>
                <w:lang w:eastAsia="zh-CN"/>
              </w:rPr>
            </w:pPr>
            <w:r>
              <w:rPr>
                <w:lang w:val="zh-CN" w:eastAsia="zh-CN"/>
              </w:rPr>
              <w:t>澳大利亚基础设施、交通、区域发展、通信和艺术部</w:t>
            </w:r>
          </w:p>
        </w:tc>
        <w:tc>
          <w:tcPr>
            <w:tcW w:w="4110" w:type="dxa"/>
            <w:tcBorders>
              <w:top w:val="single" w:sz="4" w:space="0" w:color="auto"/>
              <w:left w:val="single" w:sz="4" w:space="0" w:color="auto"/>
              <w:bottom w:val="single" w:sz="4" w:space="0" w:color="auto"/>
              <w:right w:val="single" w:sz="4" w:space="0" w:color="auto"/>
            </w:tcBorders>
          </w:tcPr>
          <w:p w14:paraId="68505129" w14:textId="5821BB68" w:rsidR="00E74823" w:rsidRPr="00960B89" w:rsidRDefault="00E74823" w:rsidP="002D6C91">
            <w:pPr>
              <w:pStyle w:val="Tabletext"/>
              <w:jc w:val="center"/>
              <w:rPr>
                <w:szCs w:val="24"/>
              </w:rPr>
            </w:pPr>
            <w:r w:rsidRPr="00B214AB">
              <w:rPr>
                <w:rFonts w:hint="eastAsia"/>
              </w:rPr>
              <w:t>65</w:t>
            </w:r>
            <w:r w:rsidRPr="00B214AB">
              <w:rPr>
                <w:rFonts w:hint="eastAsia"/>
              </w:rPr>
              <w:t>万美元</w:t>
            </w:r>
          </w:p>
        </w:tc>
      </w:tr>
      <w:tr w:rsidR="00E74823" w:rsidRPr="007C4BE0" w14:paraId="5AA9F955" w14:textId="77777777" w:rsidTr="00D95EDF">
        <w:trPr>
          <w:trHeight w:val="350"/>
        </w:trPr>
        <w:tc>
          <w:tcPr>
            <w:tcW w:w="5519" w:type="dxa"/>
            <w:tcBorders>
              <w:top w:val="single" w:sz="4" w:space="0" w:color="auto"/>
              <w:left w:val="single" w:sz="4" w:space="0" w:color="auto"/>
              <w:bottom w:val="single" w:sz="4" w:space="0" w:color="auto"/>
              <w:right w:val="single" w:sz="4" w:space="0" w:color="auto"/>
            </w:tcBorders>
          </w:tcPr>
          <w:p w14:paraId="685A3208" w14:textId="77777777" w:rsidR="00E74823" w:rsidRPr="00960B89" w:rsidRDefault="00E74823" w:rsidP="002D6C91">
            <w:pPr>
              <w:pStyle w:val="Tabletext"/>
              <w:rPr>
                <w:szCs w:val="24"/>
                <w:lang w:eastAsia="zh-CN"/>
              </w:rPr>
            </w:pPr>
            <w:r>
              <w:rPr>
                <w:lang w:val="zh-CN" w:eastAsia="zh-CN"/>
              </w:rPr>
              <w:t>英国外交、联邦与发展办公室</w:t>
            </w:r>
          </w:p>
        </w:tc>
        <w:tc>
          <w:tcPr>
            <w:tcW w:w="4110" w:type="dxa"/>
            <w:tcBorders>
              <w:top w:val="single" w:sz="4" w:space="0" w:color="auto"/>
              <w:left w:val="single" w:sz="4" w:space="0" w:color="auto"/>
              <w:bottom w:val="single" w:sz="4" w:space="0" w:color="auto"/>
              <w:right w:val="single" w:sz="4" w:space="0" w:color="auto"/>
            </w:tcBorders>
          </w:tcPr>
          <w:p w14:paraId="673E4355" w14:textId="4E048E56" w:rsidR="00E74823" w:rsidRPr="00960B89" w:rsidRDefault="00E74823" w:rsidP="002D6C91">
            <w:pPr>
              <w:pStyle w:val="Tabletext"/>
              <w:jc w:val="center"/>
              <w:rPr>
                <w:szCs w:val="24"/>
              </w:rPr>
            </w:pPr>
            <w:r w:rsidRPr="00B214AB">
              <w:rPr>
                <w:rFonts w:hint="eastAsia"/>
              </w:rPr>
              <w:t>56</w:t>
            </w:r>
            <w:r w:rsidRPr="00B214AB">
              <w:rPr>
                <w:rFonts w:hint="eastAsia"/>
              </w:rPr>
              <w:t>万美元</w:t>
            </w:r>
          </w:p>
        </w:tc>
      </w:tr>
      <w:tr w:rsidR="00E74823" w:rsidRPr="007C4BE0" w14:paraId="6B132F9F" w14:textId="77777777" w:rsidTr="00D95EDF">
        <w:trPr>
          <w:trHeight w:val="399"/>
        </w:trPr>
        <w:tc>
          <w:tcPr>
            <w:tcW w:w="5519" w:type="dxa"/>
            <w:tcBorders>
              <w:top w:val="single" w:sz="4" w:space="0" w:color="auto"/>
              <w:left w:val="single" w:sz="4" w:space="0" w:color="auto"/>
              <w:bottom w:val="single" w:sz="4" w:space="0" w:color="auto"/>
              <w:right w:val="single" w:sz="4" w:space="0" w:color="auto"/>
            </w:tcBorders>
          </w:tcPr>
          <w:p w14:paraId="45CF0978" w14:textId="718D00B4" w:rsidR="00E74823" w:rsidRPr="00960B89" w:rsidRDefault="00E74823" w:rsidP="002D6C91">
            <w:pPr>
              <w:pStyle w:val="Tabletext"/>
              <w:rPr>
                <w:szCs w:val="24"/>
                <w:lang w:eastAsia="zh-CN"/>
              </w:rPr>
            </w:pPr>
            <w:r w:rsidRPr="00E74823">
              <w:rPr>
                <w:rFonts w:hint="eastAsia"/>
                <w:lang w:val="zh-CN" w:eastAsia="zh-CN"/>
              </w:rPr>
              <w:t>哥伦比亚信息和通信技术部</w:t>
            </w:r>
          </w:p>
        </w:tc>
        <w:tc>
          <w:tcPr>
            <w:tcW w:w="4110" w:type="dxa"/>
            <w:tcBorders>
              <w:top w:val="single" w:sz="4" w:space="0" w:color="auto"/>
              <w:left w:val="single" w:sz="4" w:space="0" w:color="auto"/>
              <w:bottom w:val="single" w:sz="4" w:space="0" w:color="auto"/>
              <w:right w:val="single" w:sz="4" w:space="0" w:color="auto"/>
            </w:tcBorders>
          </w:tcPr>
          <w:p w14:paraId="32AB2766" w14:textId="54D5CA54" w:rsidR="00E74823" w:rsidRPr="00960B89" w:rsidRDefault="00E74823" w:rsidP="002D6C91">
            <w:pPr>
              <w:pStyle w:val="Tabletext"/>
              <w:jc w:val="center"/>
              <w:rPr>
                <w:szCs w:val="24"/>
              </w:rPr>
            </w:pPr>
            <w:r w:rsidRPr="00B214AB">
              <w:rPr>
                <w:rFonts w:hint="eastAsia"/>
              </w:rPr>
              <w:t>43</w:t>
            </w:r>
            <w:r w:rsidRPr="00B214AB">
              <w:rPr>
                <w:rFonts w:hint="eastAsia"/>
              </w:rPr>
              <w:t>万美元</w:t>
            </w:r>
          </w:p>
        </w:tc>
      </w:tr>
      <w:tr w:rsidR="00E74823" w:rsidRPr="007C4BE0" w14:paraId="3DBED6E6" w14:textId="77777777" w:rsidTr="00D95EDF">
        <w:trPr>
          <w:trHeight w:val="339"/>
        </w:trPr>
        <w:tc>
          <w:tcPr>
            <w:tcW w:w="5519" w:type="dxa"/>
            <w:tcBorders>
              <w:top w:val="single" w:sz="4" w:space="0" w:color="auto"/>
              <w:left w:val="single" w:sz="4" w:space="0" w:color="auto"/>
              <w:bottom w:val="single" w:sz="4" w:space="0" w:color="auto"/>
              <w:right w:val="single" w:sz="4" w:space="0" w:color="auto"/>
            </w:tcBorders>
          </w:tcPr>
          <w:p w14:paraId="5A16D01C" w14:textId="77777777" w:rsidR="00E74823" w:rsidRPr="00960B89" w:rsidRDefault="00E74823" w:rsidP="002D6C91">
            <w:pPr>
              <w:pStyle w:val="Tabletext"/>
              <w:rPr>
                <w:szCs w:val="24"/>
              </w:rPr>
            </w:pPr>
            <w:r>
              <w:rPr>
                <w:lang w:val="zh-CN"/>
              </w:rPr>
              <w:t>EYGS LPP</w:t>
            </w:r>
          </w:p>
        </w:tc>
        <w:tc>
          <w:tcPr>
            <w:tcW w:w="4110" w:type="dxa"/>
            <w:tcBorders>
              <w:top w:val="single" w:sz="4" w:space="0" w:color="auto"/>
              <w:left w:val="single" w:sz="4" w:space="0" w:color="auto"/>
              <w:bottom w:val="single" w:sz="4" w:space="0" w:color="auto"/>
              <w:right w:val="single" w:sz="4" w:space="0" w:color="auto"/>
            </w:tcBorders>
          </w:tcPr>
          <w:p w14:paraId="383AAAFF" w14:textId="61D62027" w:rsidR="00E74823" w:rsidRPr="00960B89" w:rsidRDefault="00E74823" w:rsidP="002D6C91">
            <w:pPr>
              <w:pStyle w:val="Tabletext"/>
              <w:jc w:val="center"/>
              <w:rPr>
                <w:szCs w:val="24"/>
              </w:rPr>
            </w:pPr>
            <w:r w:rsidRPr="00B214AB">
              <w:rPr>
                <w:rFonts w:hint="eastAsia"/>
              </w:rPr>
              <w:t>41</w:t>
            </w:r>
            <w:r w:rsidRPr="00B214AB">
              <w:rPr>
                <w:rFonts w:hint="eastAsia"/>
              </w:rPr>
              <w:t>万美元</w:t>
            </w:r>
          </w:p>
        </w:tc>
      </w:tr>
      <w:tr w:rsidR="00E74823" w:rsidRPr="007C4BE0" w14:paraId="147B23F3" w14:textId="77777777" w:rsidTr="00D95EDF">
        <w:trPr>
          <w:trHeight w:val="339"/>
        </w:trPr>
        <w:tc>
          <w:tcPr>
            <w:tcW w:w="5519" w:type="dxa"/>
            <w:tcBorders>
              <w:top w:val="single" w:sz="4" w:space="0" w:color="auto"/>
              <w:left w:val="single" w:sz="4" w:space="0" w:color="auto"/>
              <w:bottom w:val="single" w:sz="4" w:space="0" w:color="auto"/>
              <w:right w:val="single" w:sz="4" w:space="0" w:color="auto"/>
            </w:tcBorders>
          </w:tcPr>
          <w:p w14:paraId="5D46FC5C" w14:textId="68FBD9F7" w:rsidR="00E74823" w:rsidRPr="00960B89" w:rsidRDefault="00E74823" w:rsidP="002D6C91">
            <w:pPr>
              <w:pStyle w:val="Tabletext"/>
              <w:rPr>
                <w:szCs w:val="24"/>
                <w:lang w:eastAsia="zh-CN"/>
              </w:rPr>
            </w:pPr>
            <w:r>
              <w:rPr>
                <w:rFonts w:hint="eastAsia"/>
                <w:lang w:val="zh-CN" w:eastAsia="zh-CN"/>
              </w:rPr>
              <w:t>大韩民国</w:t>
            </w:r>
            <w:r w:rsidRPr="00E74823">
              <w:rPr>
                <w:rFonts w:hint="eastAsia"/>
                <w:lang w:val="zh-CN" w:eastAsia="zh-CN"/>
              </w:rPr>
              <w:t>科学和信息通信技术部</w:t>
            </w:r>
          </w:p>
        </w:tc>
        <w:tc>
          <w:tcPr>
            <w:tcW w:w="4110" w:type="dxa"/>
            <w:tcBorders>
              <w:top w:val="single" w:sz="4" w:space="0" w:color="auto"/>
              <w:left w:val="single" w:sz="4" w:space="0" w:color="auto"/>
              <w:bottom w:val="single" w:sz="4" w:space="0" w:color="auto"/>
              <w:right w:val="single" w:sz="4" w:space="0" w:color="auto"/>
            </w:tcBorders>
          </w:tcPr>
          <w:p w14:paraId="074C4837" w14:textId="7EFCFD25" w:rsidR="00E74823" w:rsidRPr="00960B89" w:rsidRDefault="00E74823" w:rsidP="002D6C91">
            <w:pPr>
              <w:pStyle w:val="Tabletext"/>
              <w:jc w:val="center"/>
              <w:rPr>
                <w:szCs w:val="24"/>
              </w:rPr>
            </w:pPr>
            <w:r w:rsidRPr="00B214AB">
              <w:rPr>
                <w:rFonts w:hint="eastAsia"/>
              </w:rPr>
              <w:t>37</w:t>
            </w:r>
            <w:r w:rsidRPr="00B214AB">
              <w:rPr>
                <w:rFonts w:hint="eastAsia"/>
              </w:rPr>
              <w:t>万美元</w:t>
            </w:r>
          </w:p>
        </w:tc>
      </w:tr>
    </w:tbl>
    <w:p w14:paraId="714A4A9B" w14:textId="678C1BAA" w:rsidR="00E81567" w:rsidRPr="003F2306" w:rsidRDefault="00590352" w:rsidP="009B4750">
      <w:pPr>
        <w:ind w:firstLineChars="200" w:firstLine="480"/>
        <w:rPr>
          <w:lang w:val="zh-CN" w:eastAsia="zh-CN"/>
        </w:rPr>
      </w:pPr>
      <w:commentRangeStart w:id="5"/>
      <w:r w:rsidRPr="00590352">
        <w:rPr>
          <w:rFonts w:hint="eastAsia"/>
          <w:lang w:val="zh-CN" w:eastAsia="zh-CN"/>
        </w:rPr>
        <w:t>下图显示了</w:t>
      </w:r>
      <w:r w:rsidR="00E32109">
        <w:rPr>
          <w:lang w:val="zh-CN" w:eastAsia="zh-CN"/>
        </w:rPr>
        <w:t>2024</w:t>
      </w:r>
      <w:r w:rsidR="00E32109">
        <w:rPr>
          <w:lang w:val="zh-CN" w:eastAsia="zh-CN"/>
        </w:rPr>
        <w:t>年受益于签署的伙伴关系协议（有和没有财务捐助）和财务捐助的区域和</w:t>
      </w:r>
      <w:r w:rsidR="00E32109">
        <w:rPr>
          <w:lang w:val="zh-CN" w:eastAsia="zh-CN"/>
        </w:rPr>
        <w:t>ITU-D</w:t>
      </w:r>
      <w:r w:rsidR="00E32109">
        <w:rPr>
          <w:lang w:val="zh-CN" w:eastAsia="zh-CN"/>
        </w:rPr>
        <w:t>重点工作：</w:t>
      </w:r>
      <w:commentRangeEnd w:id="5"/>
      <w:r w:rsidR="00E32109">
        <w:rPr>
          <w:rStyle w:val="CommentReference"/>
          <w:lang w:val="zh-CN"/>
        </w:rPr>
        <w:commentReference w:id="5"/>
      </w:r>
    </w:p>
    <w:p w14:paraId="5E6F2D37" w14:textId="194EDC55" w:rsidR="003F2306" w:rsidRDefault="003F2306" w:rsidP="009B4750">
      <w:pPr>
        <w:ind w:firstLineChars="200" w:firstLine="480"/>
        <w:rPr>
          <w:lang w:eastAsia="zh-CN"/>
        </w:rPr>
      </w:pPr>
      <w:r w:rsidRPr="003F2306">
        <w:rPr>
          <w:lang w:eastAsia="zh-CN"/>
        </w:rPr>
        <w:lastRenderedPageBreak/>
        <w:drawing>
          <wp:inline distT="0" distB="0" distL="0" distR="0" wp14:anchorId="01676B32" wp14:editId="218864BE">
            <wp:extent cx="6120765" cy="2875915"/>
            <wp:effectExtent l="0" t="0" r="13335" b="635"/>
            <wp:docPr id="780629501" name="Chart 1">
              <a:extLst xmlns:a="http://schemas.openxmlformats.org/drawingml/2006/main">
                <a:ext uri="{FF2B5EF4-FFF2-40B4-BE49-F238E27FC236}">
                  <a16:creationId xmlns:a16="http://schemas.microsoft.com/office/drawing/2014/main" id="{99F57827-5F22-3C11-7DAB-8C923683EA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E0BACE" w14:textId="5B7A867F" w:rsidR="00B9791D" w:rsidRPr="00EC3EA3" w:rsidRDefault="00EC3EA3" w:rsidP="009B4750">
      <w:pPr>
        <w:ind w:firstLineChars="200" w:firstLine="480"/>
        <w:rPr>
          <w:lang w:eastAsia="zh-CN"/>
        </w:rPr>
      </w:pPr>
      <w:r w:rsidRPr="00EC3EA3">
        <w:rPr>
          <w:lang w:eastAsia="zh-CN"/>
        </w:rPr>
        <w:drawing>
          <wp:inline distT="0" distB="0" distL="0" distR="0" wp14:anchorId="653CB937" wp14:editId="5D9468E1">
            <wp:extent cx="6120765" cy="3161665"/>
            <wp:effectExtent l="0" t="0" r="13335" b="635"/>
            <wp:docPr id="758007921" name="Chart 1">
              <a:extLst xmlns:a="http://schemas.openxmlformats.org/drawingml/2006/main">
                <a:ext uri="{FF2B5EF4-FFF2-40B4-BE49-F238E27FC236}">
                  <a16:creationId xmlns:a16="http://schemas.microsoft.com/office/drawing/2014/main" id="{DE8B11CE-7365-5620-24D3-5BAEBB86A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B4DA27" w14:textId="06E148C1" w:rsidR="00B9791D" w:rsidRPr="003F2306" w:rsidRDefault="00E32109" w:rsidP="003F2306">
      <w:pPr>
        <w:ind w:firstLineChars="200" w:firstLine="480"/>
        <w:rPr>
          <w:lang w:val="en-US" w:eastAsia="zh-CN"/>
        </w:rPr>
      </w:pPr>
      <w:r>
        <w:rPr>
          <w:lang w:val="zh-CN" w:eastAsia="zh-CN"/>
        </w:rPr>
        <w:t>下图展示了</w:t>
      </w:r>
      <w:r>
        <w:rPr>
          <w:lang w:val="zh-CN" w:eastAsia="zh-CN"/>
        </w:rPr>
        <w:t>2020</w:t>
      </w:r>
      <w:r>
        <w:rPr>
          <w:lang w:val="zh-CN" w:eastAsia="zh-CN"/>
        </w:rPr>
        <w:t>年至</w:t>
      </w:r>
      <w:r>
        <w:rPr>
          <w:lang w:val="zh-CN" w:eastAsia="zh-CN"/>
        </w:rPr>
        <w:t>2024</w:t>
      </w:r>
      <w:r>
        <w:rPr>
          <w:lang w:val="zh-CN" w:eastAsia="zh-CN"/>
        </w:rPr>
        <w:t>年期间签署的协议</w:t>
      </w:r>
      <w:r w:rsidR="00E06075">
        <w:rPr>
          <w:lang w:val="zh-CN" w:eastAsia="zh-CN"/>
        </w:rPr>
        <w:t>数量</w:t>
      </w:r>
      <w:r>
        <w:rPr>
          <w:lang w:val="zh-CN" w:eastAsia="zh-CN"/>
        </w:rPr>
        <w:t>和财务捐款，突出了过去一年为支持实施发展项目、区域和全球举措以及国家、区域和全球层面的活动而筹集的重大资源。</w:t>
      </w:r>
    </w:p>
    <w:p w14:paraId="343949B4" w14:textId="5A077CE5" w:rsidR="003F2306" w:rsidRPr="00B9791D" w:rsidRDefault="003F2306" w:rsidP="00B9791D">
      <w:pPr>
        <w:rPr>
          <w:szCs w:val="24"/>
          <w:lang w:val="en-US" w:eastAsia="zh-CN"/>
        </w:rPr>
      </w:pPr>
      <w:r w:rsidRPr="003F2306">
        <w:rPr>
          <w:szCs w:val="24"/>
          <w:lang w:eastAsia="zh-CN"/>
        </w:rPr>
        <w:lastRenderedPageBreak/>
        <w:drawing>
          <wp:inline distT="0" distB="0" distL="0" distR="0" wp14:anchorId="6C4F3694" wp14:editId="35EDC05B">
            <wp:extent cx="6108699" cy="2854325"/>
            <wp:effectExtent l="0" t="0" r="6985" b="3175"/>
            <wp:docPr id="1076430285" name="Chart 1">
              <a:extLst xmlns:a="http://schemas.openxmlformats.org/drawingml/2006/main">
                <a:ext uri="{FF2B5EF4-FFF2-40B4-BE49-F238E27FC236}">
                  <a16:creationId xmlns:a16="http://schemas.microsoft.com/office/drawing/2014/main" id="{8C2F8064-864D-7E08-21F5-0CCCEF5451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F6F03E" w14:textId="3BA6FF32" w:rsidR="00E32109" w:rsidRPr="009B4750" w:rsidRDefault="009B4750" w:rsidP="009B4750">
      <w:pPr>
        <w:pStyle w:val="Heading1"/>
        <w:rPr>
          <w:sz w:val="24"/>
          <w:szCs w:val="24"/>
        </w:rPr>
      </w:pPr>
      <w:r w:rsidRPr="003C0E88">
        <w:rPr>
          <w:sz w:val="24"/>
          <w:szCs w:val="24"/>
        </w:rPr>
        <w:t>4</w:t>
      </w:r>
      <w:r>
        <w:rPr>
          <w:sz w:val="24"/>
          <w:szCs w:val="24"/>
          <w:lang w:val="en-US"/>
        </w:rPr>
        <w:tab/>
      </w:r>
      <w:r w:rsidR="00E32109" w:rsidRPr="009B4750">
        <w:rPr>
          <w:sz w:val="24"/>
          <w:szCs w:val="24"/>
          <w:lang w:val="zh-CN"/>
        </w:rPr>
        <w:t>关键行动和成果</w:t>
      </w:r>
    </w:p>
    <w:p w14:paraId="046B2AB5" w14:textId="737BB345" w:rsidR="00E32109" w:rsidRDefault="00E32109" w:rsidP="009B4750">
      <w:pPr>
        <w:ind w:firstLineChars="200" w:firstLine="480"/>
      </w:pPr>
      <w:proofErr w:type="gramStart"/>
      <w:r>
        <w:rPr>
          <w:lang w:val="zh-CN"/>
        </w:rPr>
        <w:t>通过讲述</w:t>
      </w:r>
      <w:r w:rsidR="00937CC6">
        <w:rPr>
          <w:rFonts w:hint="eastAsia"/>
          <w:lang w:eastAsia="zh-CN"/>
        </w:rPr>
        <w:t>“</w:t>
      </w:r>
      <w:r>
        <w:rPr>
          <w:lang w:val="zh-CN"/>
        </w:rPr>
        <w:t>影响力故事</w:t>
      </w:r>
      <w:r w:rsidR="003C0E88" w:rsidRPr="003C0E88">
        <w:rPr>
          <w:rFonts w:ascii="SimSun" w:eastAsia="SimSun" w:hAnsi="SimSun" w:hint="eastAsia"/>
          <w:lang w:eastAsia="zh-CN"/>
        </w:rPr>
        <w:t>”</w:t>
      </w:r>
      <w:r>
        <w:rPr>
          <w:lang w:val="zh-CN"/>
        </w:rPr>
        <w:t>在以下网站</w:t>
      </w:r>
      <w:r w:rsidR="00937CC6">
        <w:rPr>
          <w:rFonts w:hint="eastAsia"/>
          <w:lang w:val="zh-CN" w:eastAsia="zh-CN"/>
        </w:rPr>
        <w:t>展示了</w:t>
      </w:r>
      <w:r w:rsidR="00937CC6">
        <w:rPr>
          <w:lang w:val="zh-CN" w:eastAsia="zh-CN"/>
        </w:rPr>
        <w:t>电信发展局</w:t>
      </w:r>
      <w:r>
        <w:rPr>
          <w:lang w:val="zh-CN"/>
        </w:rPr>
        <w:t>与合作伙伴共同工作所产生的影响</w:t>
      </w:r>
      <w:proofErr w:type="gramEnd"/>
      <w:r w:rsidRPr="00E32109">
        <w:t>：</w:t>
      </w:r>
      <w:hyperlink r:id="rId22" w:history="1">
        <w:r w:rsidR="00937CC6" w:rsidRPr="00452B64">
          <w:rPr>
            <w:rStyle w:val="Hyperlink"/>
          </w:rPr>
          <w:t>https://www.itu.int/itu-d/sites/digital-impact-unlocked/all-stories/list/</w:t>
        </w:r>
      </w:hyperlink>
    </w:p>
    <w:p w14:paraId="1E520D5D" w14:textId="3D6BBBCF" w:rsidR="00E32109" w:rsidRPr="00FA5EA2" w:rsidRDefault="00E32109" w:rsidP="009B4750">
      <w:pPr>
        <w:ind w:firstLineChars="200" w:firstLine="480"/>
        <w:rPr>
          <w:lang w:eastAsia="zh-CN"/>
        </w:rPr>
      </w:pPr>
      <w:r>
        <w:rPr>
          <w:lang w:val="zh-CN" w:eastAsia="zh-CN"/>
        </w:rPr>
        <w:t>上述伙伴关系和资源筹措成果是通过战略行动实现的</w:t>
      </w:r>
      <w:r w:rsidRPr="00937CC6">
        <w:rPr>
          <w:lang w:eastAsia="zh-CN"/>
        </w:rPr>
        <w:t>，</w:t>
      </w:r>
      <w:r w:rsidR="00937CC6" w:rsidRPr="00937CC6">
        <w:rPr>
          <w:rFonts w:hint="eastAsia"/>
          <w:lang w:val="zh-CN" w:eastAsia="zh-CN"/>
        </w:rPr>
        <w:t>这些行动包括</w:t>
      </w:r>
      <w:r w:rsidR="00937CC6">
        <w:rPr>
          <w:rFonts w:hint="eastAsia"/>
          <w:lang w:val="zh-CN" w:eastAsia="zh-CN"/>
        </w:rPr>
        <w:t>：</w:t>
      </w:r>
    </w:p>
    <w:p w14:paraId="4CD777AF" w14:textId="30BB04A1" w:rsidR="00E32109" w:rsidRPr="00937CC6" w:rsidRDefault="009B4750" w:rsidP="009B4750">
      <w:pPr>
        <w:pStyle w:val="enumlev1"/>
        <w:rPr>
          <w:lang w:eastAsia="zh-CN"/>
        </w:rPr>
      </w:pPr>
      <w:r w:rsidRPr="009B4750">
        <w:rPr>
          <w:b/>
          <w:bCs/>
          <w:lang w:val="zh-CN" w:eastAsia="zh-CN"/>
        </w:rPr>
        <w:t>–</w:t>
      </w:r>
      <w:r>
        <w:rPr>
          <w:b/>
          <w:bCs/>
          <w:lang w:val="en-US" w:eastAsia="zh-CN"/>
        </w:rPr>
        <w:tab/>
      </w:r>
      <w:r w:rsidR="00E32109" w:rsidRPr="00937CC6">
        <w:rPr>
          <w:b/>
          <w:bCs/>
          <w:lang w:val="zh-CN" w:eastAsia="zh-CN"/>
        </w:rPr>
        <w:t>培养</w:t>
      </w:r>
      <w:r w:rsidR="00E32109" w:rsidRPr="00937CC6">
        <w:rPr>
          <w:b/>
          <w:bCs/>
          <w:lang w:val="zh-CN" w:eastAsia="zh-CN"/>
        </w:rPr>
        <w:t>/</w:t>
      </w:r>
      <w:r w:rsidR="00E32109" w:rsidRPr="00937CC6">
        <w:rPr>
          <w:b/>
          <w:bCs/>
          <w:lang w:val="zh-CN" w:eastAsia="zh-CN"/>
        </w:rPr>
        <w:t>加强与现有合作伙伴的关系</w:t>
      </w:r>
      <w:r w:rsidR="00E32109">
        <w:rPr>
          <w:lang w:val="zh-CN" w:eastAsia="zh-CN"/>
        </w:rPr>
        <w:t>：电信发展局与</w:t>
      </w:r>
      <w:r w:rsidR="00937CC6">
        <w:rPr>
          <w:lang w:val="zh-CN" w:eastAsia="zh-CN"/>
        </w:rPr>
        <w:t>来自发达国家和发展中国家</w:t>
      </w:r>
      <w:r w:rsidR="00937CC6">
        <w:rPr>
          <w:rFonts w:hint="eastAsia"/>
          <w:lang w:val="zh-CN" w:eastAsia="zh-CN"/>
        </w:rPr>
        <w:t>的</w:t>
      </w:r>
      <w:r w:rsidR="00E32109">
        <w:rPr>
          <w:lang w:val="zh-CN" w:eastAsia="zh-CN"/>
        </w:rPr>
        <w:t>各种合作伙伴</w:t>
      </w:r>
      <w:r w:rsidR="00937CC6" w:rsidRPr="00B60933">
        <w:rPr>
          <w:rStyle w:val="FootnoteReference"/>
          <w:lang w:val="zh-CN"/>
        </w:rPr>
        <w:footnoteReference w:id="5"/>
      </w:r>
      <w:r w:rsidR="00E32109">
        <w:rPr>
          <w:lang w:val="zh-CN" w:eastAsia="zh-CN"/>
        </w:rPr>
        <w:t>开展协作，</w:t>
      </w:r>
      <w:r w:rsidR="00937CC6" w:rsidRPr="00937CC6">
        <w:rPr>
          <w:rFonts w:hint="eastAsia"/>
          <w:lang w:eastAsia="zh-CN"/>
        </w:rPr>
        <w:t>其中</w:t>
      </w:r>
      <w:r w:rsidR="00E32109">
        <w:rPr>
          <w:lang w:val="zh-CN" w:eastAsia="zh-CN"/>
        </w:rPr>
        <w:t>包括政府实体、金融机构、国际和区域性组织和协会、私营部门实体（包括基金会）、联合国组织和学术界。这些合作伙伴分享他们的专业知识，并</w:t>
      </w:r>
      <w:r w:rsidR="00937CC6">
        <w:rPr>
          <w:lang w:val="zh-CN" w:eastAsia="zh-CN"/>
        </w:rPr>
        <w:t>提供财务支持</w:t>
      </w:r>
      <w:r w:rsidR="00937CC6">
        <w:rPr>
          <w:rFonts w:hint="eastAsia"/>
          <w:lang w:val="zh-CN" w:eastAsia="zh-CN"/>
        </w:rPr>
        <w:t>，</w:t>
      </w:r>
      <w:r w:rsidR="00E32109">
        <w:rPr>
          <w:lang w:val="zh-CN" w:eastAsia="zh-CN"/>
        </w:rPr>
        <w:t>旨在实现可持续发展的项目、区域和全球举措以及活动的实施。认识到成功的伙伴关系建立在信任、尊重和信心的基础上，电信发展局特别</w:t>
      </w:r>
      <w:r w:rsidR="00937CC6" w:rsidRPr="00937CC6">
        <w:rPr>
          <w:rFonts w:hint="eastAsia"/>
          <w:lang w:eastAsia="zh-CN"/>
        </w:rPr>
        <w:t>注重</w:t>
      </w:r>
      <w:r w:rsidR="00E32109">
        <w:rPr>
          <w:lang w:val="zh-CN" w:eastAsia="zh-CN"/>
        </w:rPr>
        <w:t>与</w:t>
      </w:r>
      <w:r w:rsidR="00937CC6">
        <w:rPr>
          <w:rFonts w:hint="eastAsia"/>
          <w:lang w:val="zh-CN" w:eastAsia="zh-CN"/>
        </w:rPr>
        <w:t>其</w:t>
      </w:r>
      <w:r w:rsidR="00937CC6">
        <w:rPr>
          <w:lang w:val="zh-CN" w:eastAsia="zh-CN"/>
        </w:rPr>
        <w:t>长期合作伙伴</w:t>
      </w:r>
      <w:r w:rsidR="00937CC6">
        <w:rPr>
          <w:rFonts w:hint="eastAsia"/>
          <w:lang w:val="zh-CN" w:eastAsia="zh-CN"/>
        </w:rPr>
        <w:t>（</w:t>
      </w:r>
      <w:r w:rsidR="00E32109">
        <w:rPr>
          <w:lang w:val="zh-CN" w:eastAsia="zh-CN"/>
        </w:rPr>
        <w:t>包括</w:t>
      </w:r>
      <w:r w:rsidR="00E32109">
        <w:rPr>
          <w:lang w:val="zh-CN" w:eastAsia="zh-CN"/>
        </w:rPr>
        <w:t>TDAG25/INF/1</w:t>
      </w:r>
      <w:r w:rsidR="00E32109">
        <w:rPr>
          <w:lang w:val="zh-CN" w:eastAsia="zh-CN"/>
        </w:rPr>
        <w:t>号文件所列的</w:t>
      </w:r>
      <w:r w:rsidR="00937CC6" w:rsidRPr="00937CC6">
        <w:rPr>
          <w:rFonts w:hint="eastAsia"/>
          <w:lang w:eastAsia="zh-CN"/>
        </w:rPr>
        <w:t>合作伙伴）</w:t>
      </w:r>
      <w:r w:rsidR="00E32109">
        <w:rPr>
          <w:lang w:val="zh-CN" w:eastAsia="zh-CN"/>
        </w:rPr>
        <w:t>建立牢固的关系。</w:t>
      </w:r>
    </w:p>
    <w:p w14:paraId="36B4D29C" w14:textId="411E8FD9" w:rsidR="00937CC6" w:rsidRPr="00A37578" w:rsidRDefault="009B4750" w:rsidP="009B4750">
      <w:pPr>
        <w:pStyle w:val="enumlev1"/>
        <w:rPr>
          <w:lang w:eastAsia="zh-CN"/>
        </w:rPr>
      </w:pPr>
      <w:r w:rsidRPr="009B4750">
        <w:rPr>
          <w:b/>
          <w:bCs/>
          <w:lang w:val="zh-CN" w:eastAsia="zh-CN"/>
        </w:rPr>
        <w:t>–</w:t>
      </w:r>
      <w:r>
        <w:rPr>
          <w:b/>
          <w:bCs/>
          <w:lang w:val="en-US" w:eastAsia="zh-CN"/>
        </w:rPr>
        <w:tab/>
      </w:r>
      <w:r w:rsidR="00E32109" w:rsidRPr="00742E30">
        <w:rPr>
          <w:b/>
          <w:bCs/>
          <w:lang w:val="zh-CN" w:eastAsia="zh-CN"/>
        </w:rPr>
        <w:t>加强与联合国机构的合作</w:t>
      </w:r>
      <w:r w:rsidR="00E32109" w:rsidRPr="00742E30">
        <w:rPr>
          <w:lang w:val="zh-CN" w:eastAsia="zh-CN"/>
        </w:rPr>
        <w:t>：电信发展局继续加强与其他联合国机构的合作，提高其知名度，并强调国际电联作为电信</w:t>
      </w:r>
      <w:r w:rsidR="00E32109" w:rsidRPr="00742E30">
        <w:rPr>
          <w:lang w:val="zh-CN" w:eastAsia="zh-CN"/>
        </w:rPr>
        <w:t>/ICT</w:t>
      </w:r>
      <w:r w:rsidR="00E32109" w:rsidRPr="00742E30">
        <w:rPr>
          <w:lang w:val="zh-CN" w:eastAsia="zh-CN"/>
        </w:rPr>
        <w:t>行业领导组织的独特作用。与联合国机构的合作促进了协同作用和知识共享，并通过利用多边召集力量产生新的和更多的资金。</w:t>
      </w:r>
      <w:r w:rsidR="00937CC6" w:rsidRPr="00937CC6">
        <w:rPr>
          <w:rFonts w:hint="eastAsia"/>
          <w:lang w:eastAsia="zh-CN"/>
        </w:rPr>
        <w:t>通过</w:t>
      </w:r>
      <w:r w:rsidR="00E32109" w:rsidRPr="00742E30">
        <w:rPr>
          <w:lang w:val="zh-CN" w:eastAsia="zh-CN"/>
        </w:rPr>
        <w:t>与联合国姊妹机构密切合作，电信发展局</w:t>
      </w:r>
      <w:r w:rsidR="00937CC6" w:rsidRPr="00937CC6">
        <w:rPr>
          <w:rFonts w:hint="eastAsia"/>
          <w:lang w:eastAsia="zh-CN"/>
        </w:rPr>
        <w:t>获得了新的筹资机会（包括联合国集合基金），以便在</w:t>
      </w:r>
      <w:r w:rsidR="00742E30" w:rsidRPr="00742E30">
        <w:rPr>
          <w:lang w:val="zh-CN" w:eastAsia="zh-CN"/>
        </w:rPr>
        <w:t>在国家、区域和全球层面实施联合项目</w:t>
      </w:r>
      <w:r w:rsidR="00937CC6" w:rsidRPr="00937CC6">
        <w:rPr>
          <w:rFonts w:hint="eastAsia"/>
          <w:lang w:eastAsia="zh-CN"/>
        </w:rPr>
        <w:t>，实现</w:t>
      </w:r>
      <w:r w:rsidR="00937CC6" w:rsidRPr="00937CC6">
        <w:rPr>
          <w:rFonts w:hint="eastAsia"/>
          <w:lang w:eastAsia="zh-CN"/>
        </w:rPr>
        <w:t>2030</w:t>
      </w:r>
      <w:r w:rsidR="00937CC6" w:rsidRPr="00937CC6">
        <w:rPr>
          <w:rFonts w:hint="eastAsia"/>
          <w:lang w:eastAsia="zh-CN"/>
        </w:rPr>
        <w:t>年议程。</w:t>
      </w:r>
    </w:p>
    <w:p w14:paraId="77B1D875" w14:textId="4C815AD0" w:rsidR="00E32109" w:rsidRPr="00FA5EA2" w:rsidRDefault="009B4750" w:rsidP="009B4750">
      <w:pPr>
        <w:pStyle w:val="enumlev1"/>
        <w:rPr>
          <w:lang w:eastAsia="zh-CN"/>
        </w:rPr>
      </w:pPr>
      <w:r w:rsidRPr="009B4750">
        <w:rPr>
          <w:b/>
          <w:bCs/>
          <w:lang w:val="zh-CN" w:eastAsia="zh-CN"/>
        </w:rPr>
        <w:t>–</w:t>
      </w:r>
      <w:r>
        <w:rPr>
          <w:b/>
          <w:bCs/>
          <w:lang w:val="en-US" w:eastAsia="zh-CN"/>
        </w:rPr>
        <w:tab/>
      </w:r>
      <w:r w:rsidR="00E32109" w:rsidRPr="00742E30">
        <w:rPr>
          <w:b/>
          <w:bCs/>
          <w:lang w:val="zh-CN" w:eastAsia="zh-CN"/>
        </w:rPr>
        <w:t>向新的潜在合作伙伴进行宣传</w:t>
      </w:r>
      <w:r w:rsidR="00E32109">
        <w:rPr>
          <w:lang w:val="zh-CN" w:eastAsia="zh-CN"/>
        </w:rPr>
        <w:t>：电信发展局</w:t>
      </w:r>
      <w:r w:rsidR="00742E30" w:rsidRPr="00742E30">
        <w:rPr>
          <w:rFonts w:hint="eastAsia"/>
          <w:lang w:val="zh-CN" w:eastAsia="zh-CN"/>
        </w:rPr>
        <w:t>非常重视</w:t>
      </w:r>
      <w:r w:rsidR="00E32109">
        <w:rPr>
          <w:lang w:val="zh-CN" w:eastAsia="zh-CN"/>
        </w:rPr>
        <w:t>培养与现有合作伙伴的关系并长久保持这种关系，与此同时电信发展局也认识到</w:t>
      </w:r>
      <w:r w:rsidR="00742E30" w:rsidRPr="00742E30">
        <w:rPr>
          <w:rFonts w:hint="eastAsia"/>
          <w:lang w:val="zh-CN" w:eastAsia="zh-CN"/>
        </w:rPr>
        <w:t>扩大合作伙伴队伍并使之多样化的重要性</w:t>
      </w:r>
      <w:r w:rsidR="00E32109">
        <w:rPr>
          <w:lang w:val="zh-CN" w:eastAsia="zh-CN"/>
        </w:rPr>
        <w:t>。为此，电信发展局通过战略方法积极与潜在合作伙伴接触，以提高国际电联</w:t>
      </w:r>
      <w:r w:rsidR="00E32109">
        <w:rPr>
          <w:lang w:val="zh-CN" w:eastAsia="zh-CN"/>
        </w:rPr>
        <w:t>/</w:t>
      </w:r>
      <w:r w:rsidR="00E32109">
        <w:rPr>
          <w:lang w:val="zh-CN" w:eastAsia="zh-CN"/>
        </w:rPr>
        <w:t>电信发展局的形象，确定协同作用，并探索未来合作的机会。</w:t>
      </w:r>
    </w:p>
    <w:p w14:paraId="12709160" w14:textId="77777777" w:rsidR="00E21F80" w:rsidRDefault="00E21F80">
      <w:pPr>
        <w:tabs>
          <w:tab w:val="clear" w:pos="794"/>
          <w:tab w:val="clear" w:pos="1191"/>
          <w:tab w:val="clear" w:pos="1588"/>
          <w:tab w:val="clear" w:pos="1985"/>
        </w:tabs>
        <w:overflowPunct/>
        <w:autoSpaceDE/>
        <w:autoSpaceDN/>
        <w:adjustRightInd/>
        <w:spacing w:before="0"/>
        <w:textAlignment w:val="auto"/>
        <w:rPr>
          <w:b/>
          <w:szCs w:val="24"/>
          <w:lang w:val="zh-CN" w:eastAsia="zh-CN"/>
        </w:rPr>
      </w:pPr>
      <w:r>
        <w:rPr>
          <w:szCs w:val="24"/>
          <w:lang w:val="zh-CN" w:eastAsia="zh-CN"/>
        </w:rPr>
        <w:br w:type="page"/>
      </w:r>
    </w:p>
    <w:p w14:paraId="7CCA0B1E" w14:textId="24A2BE70" w:rsidR="00E32109" w:rsidRPr="009B4750" w:rsidRDefault="009B4750" w:rsidP="009B4750">
      <w:pPr>
        <w:pStyle w:val="Heading1"/>
        <w:rPr>
          <w:sz w:val="24"/>
          <w:szCs w:val="24"/>
          <w:lang w:val="zh-CN" w:eastAsia="zh-CN"/>
        </w:rPr>
      </w:pPr>
      <w:r>
        <w:rPr>
          <w:sz w:val="24"/>
          <w:szCs w:val="24"/>
          <w:lang w:val="zh-CN" w:eastAsia="zh-CN"/>
        </w:rPr>
        <w:lastRenderedPageBreak/>
        <w:t>5</w:t>
      </w:r>
      <w:r>
        <w:rPr>
          <w:sz w:val="24"/>
          <w:szCs w:val="24"/>
          <w:lang w:val="en-US" w:eastAsia="zh-CN"/>
        </w:rPr>
        <w:tab/>
      </w:r>
      <w:r w:rsidR="00E32109" w:rsidRPr="009B4750">
        <w:rPr>
          <w:sz w:val="24"/>
          <w:szCs w:val="24"/>
          <w:lang w:val="zh-CN" w:eastAsia="zh-CN"/>
        </w:rPr>
        <w:t>前进方向</w:t>
      </w:r>
    </w:p>
    <w:p w14:paraId="6E198AFC" w14:textId="5676BC1A" w:rsidR="00E32109" w:rsidRPr="002249A5" w:rsidRDefault="00E32109" w:rsidP="009B4750">
      <w:pPr>
        <w:ind w:firstLineChars="200" w:firstLine="480"/>
        <w:rPr>
          <w:lang w:eastAsia="zh-CN"/>
        </w:rPr>
      </w:pPr>
      <w:r>
        <w:rPr>
          <w:lang w:val="zh-CN" w:eastAsia="zh-CN"/>
        </w:rPr>
        <w:t>电信发展局承认并</w:t>
      </w:r>
      <w:r w:rsidR="00F345E2">
        <w:rPr>
          <w:rFonts w:hint="eastAsia"/>
          <w:lang w:eastAsia="zh-CN"/>
        </w:rPr>
        <w:t>珍视</w:t>
      </w:r>
      <w:r>
        <w:rPr>
          <w:lang w:val="zh-CN" w:eastAsia="zh-CN"/>
        </w:rPr>
        <w:t>其长期合作伙伴以及新合作伙伴，</w:t>
      </w:r>
      <w:r w:rsidR="00F345E2">
        <w:rPr>
          <w:rFonts w:hint="eastAsia"/>
          <w:lang w:val="zh-CN" w:eastAsia="zh-CN"/>
        </w:rPr>
        <w:t>与他们的协作</w:t>
      </w:r>
      <w:r>
        <w:rPr>
          <w:lang w:val="zh-CN" w:eastAsia="zh-CN"/>
        </w:rPr>
        <w:t>使电信发展局能够在全球、区域和国家层面</w:t>
      </w:r>
      <w:r w:rsidR="00F345E2">
        <w:rPr>
          <w:rFonts w:hint="eastAsia"/>
          <w:lang w:val="zh-CN" w:eastAsia="zh-CN"/>
        </w:rPr>
        <w:t>支持各</w:t>
      </w:r>
      <w:r>
        <w:rPr>
          <w:lang w:val="zh-CN" w:eastAsia="zh-CN"/>
        </w:rPr>
        <w:t>项目、计划和举措</w:t>
      </w:r>
      <w:r w:rsidR="00F345E2">
        <w:rPr>
          <w:rFonts w:hint="eastAsia"/>
          <w:lang w:val="zh-CN" w:eastAsia="zh-CN"/>
        </w:rPr>
        <w:t>的实施</w:t>
      </w:r>
      <w:r>
        <w:rPr>
          <w:lang w:val="zh-CN" w:eastAsia="zh-CN"/>
        </w:rPr>
        <w:t>。展望未来，电信发展局将继续培养和加强与包括政府实体、金融机构、私营部门、联合国机构和学术界在内的广泛利益攸关方的伙伴关系。</w:t>
      </w:r>
    </w:p>
    <w:p w14:paraId="6078C576" w14:textId="241B0A3D" w:rsidR="00EC6FED" w:rsidRDefault="00EC6FED" w:rsidP="00935FF0">
      <w:pPr>
        <w:rPr>
          <w:lang w:eastAsia="zh-CN"/>
        </w:rPr>
      </w:pPr>
    </w:p>
    <w:p w14:paraId="143C2F83" w14:textId="77777777" w:rsidR="00821996" w:rsidRDefault="003C58BF" w:rsidP="00DF240D">
      <w:pPr>
        <w:tabs>
          <w:tab w:val="clear" w:pos="794"/>
          <w:tab w:val="clear" w:pos="1191"/>
          <w:tab w:val="clear" w:pos="1588"/>
          <w:tab w:val="clear" w:pos="1985"/>
        </w:tabs>
        <w:spacing w:after="120"/>
        <w:jc w:val="center"/>
      </w:pPr>
      <w:bookmarkStart w:id="6" w:name="Proposal"/>
      <w:bookmarkEnd w:id="6"/>
      <w:r>
        <w:t>_____________</w:t>
      </w:r>
      <w:r w:rsidR="004122C5">
        <w:t>_</w:t>
      </w:r>
      <w:r w:rsidR="00922EC1">
        <w:t>_</w:t>
      </w:r>
    </w:p>
    <w:sectPr w:rsidR="00821996" w:rsidSect="008069EB">
      <w:headerReference w:type="default" r:id="rId23"/>
      <w:footerReference w:type="first" r:id="rId24"/>
      <w:pgSz w:w="11907" w:h="16834" w:code="9"/>
      <w:pgMar w:top="1418" w:right="1134" w:bottom="1134" w:left="1134" w:header="720" w:footer="720" w:gutter="0"/>
      <w:paperSrc w:first="7" w:other="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GULATI, Archana" w:date="2025-03-30T17:23:00Z" w:initials="GA">
    <w:p w14:paraId="64295168" w14:textId="77777777" w:rsidR="00E32109" w:rsidRDefault="00E32109" w:rsidP="00E32109">
      <w:pPr>
        <w:pStyle w:val="CommentText"/>
      </w:pPr>
      <w:r>
        <w:rPr>
          <w:rStyle w:val="CommentReference"/>
        </w:rPr>
        <w:annotationRef/>
      </w:r>
      <w:r w:rsidRPr="63405CEC">
        <w:t>Some language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2951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4BFAC5" w16cex:dateUtc="2025-03-30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295168" w16cid:durableId="6F4BF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7" w:name="Email"/>
          <w:bookmarkEnd w:id="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437E185B" w:rsidR="005C45B6" w:rsidRPr="00217762" w:rsidRDefault="00E32109" w:rsidP="005C45B6">
          <w:pPr>
            <w:pStyle w:val="FirstFooter"/>
            <w:tabs>
              <w:tab w:val="left" w:pos="1593"/>
            </w:tabs>
            <w:rPr>
              <w:sz w:val="18"/>
              <w:szCs w:val="18"/>
              <w:lang w:val="es-ES" w:eastAsia="zh-CN"/>
            </w:rPr>
          </w:pPr>
          <w:r w:rsidRPr="00E32109">
            <w:rPr>
              <w:rFonts w:hint="eastAsia"/>
              <w:sz w:val="18"/>
              <w:szCs w:val="18"/>
              <w:lang w:val="en-US" w:eastAsia="zh-CN"/>
            </w:rPr>
            <w:t>项目、伙伴关系和数字技能部（</w:t>
          </w:r>
          <w:r w:rsidRPr="00E32109">
            <w:rPr>
              <w:rFonts w:hint="eastAsia"/>
              <w:sz w:val="18"/>
              <w:szCs w:val="18"/>
              <w:lang w:val="en-US" w:eastAsia="zh-CN"/>
            </w:rPr>
            <w:t>PPS</w:t>
          </w:r>
          <w:r w:rsidRPr="00E32109">
            <w:rPr>
              <w:rFonts w:hint="eastAsia"/>
              <w:sz w:val="18"/>
              <w:szCs w:val="18"/>
              <w:lang w:val="en-US" w:eastAsia="zh-CN"/>
            </w:rPr>
            <w:t>）</w:t>
          </w:r>
          <w:r>
            <w:rPr>
              <w:rFonts w:hint="eastAsia"/>
              <w:sz w:val="18"/>
              <w:szCs w:val="18"/>
              <w:lang w:val="en-US" w:eastAsia="zh-CN"/>
            </w:rPr>
            <w:t>主任</w:t>
          </w:r>
          <w:r w:rsidRPr="00E32109">
            <w:rPr>
              <w:rFonts w:hint="eastAsia"/>
              <w:sz w:val="18"/>
              <w:szCs w:val="18"/>
              <w:lang w:val="en-US" w:eastAsia="zh-CN"/>
            </w:rPr>
            <w:t>Eun Ju Kim</w:t>
          </w:r>
          <w:r w:rsidRPr="00E32109">
            <w:rPr>
              <w:rFonts w:hint="eastAsia"/>
              <w:sz w:val="18"/>
              <w:szCs w:val="18"/>
              <w:lang w:val="en-US" w:eastAsia="zh-CN"/>
            </w:rPr>
            <w:t>女士</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eastAsia="zh-CN"/>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2BA234E8" w:rsidR="005C45B6" w:rsidRPr="00536F3A" w:rsidRDefault="00E32109" w:rsidP="005C45B6">
          <w:pPr>
            <w:pStyle w:val="FirstFooter"/>
            <w:tabs>
              <w:tab w:val="left" w:pos="2443"/>
            </w:tabs>
            <w:rPr>
              <w:sz w:val="18"/>
              <w:szCs w:val="18"/>
              <w:lang w:val="es-ES_tradnl"/>
            </w:rPr>
          </w:pPr>
          <w:r w:rsidRPr="000253AB">
            <w:rPr>
              <w:sz w:val="18"/>
              <w:szCs w:val="24"/>
              <w:lang w:val="en-US"/>
            </w:rPr>
            <w:t>+41</w:t>
          </w:r>
          <w:r>
            <w:rPr>
              <w:sz w:val="18"/>
              <w:szCs w:val="24"/>
              <w:lang w:val="en-US"/>
            </w:rPr>
            <w:t xml:space="preserve"> </w:t>
          </w:r>
          <w:r w:rsidRPr="000253AB">
            <w:rPr>
              <w:sz w:val="18"/>
              <w:szCs w:val="24"/>
              <w:lang w:val="en-US"/>
            </w:rPr>
            <w:t>22</w:t>
          </w:r>
          <w:r>
            <w:rPr>
              <w:sz w:val="18"/>
              <w:szCs w:val="24"/>
              <w:lang w:val="en-US"/>
            </w:rPr>
            <w:t xml:space="preserve"> </w:t>
          </w:r>
          <w:r w:rsidRPr="000253AB">
            <w:rPr>
              <w:sz w:val="18"/>
              <w:szCs w:val="24"/>
              <w:lang w:val="en-US"/>
            </w:rPr>
            <w:t>730</w:t>
          </w:r>
          <w:r>
            <w:rPr>
              <w:sz w:val="18"/>
              <w:szCs w:val="24"/>
              <w:lang w:val="en-US"/>
            </w:rPr>
            <w:t xml:space="preserve"> </w:t>
          </w:r>
          <w:r w:rsidRPr="000253AB">
            <w:rPr>
              <w:sz w:val="18"/>
              <w:szCs w:val="24"/>
              <w:lang w:val="en-US"/>
            </w:rPr>
            <w:t>5900</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2021D94D" w:rsidR="005C45B6" w:rsidRPr="00FC17D3" w:rsidRDefault="00E32109" w:rsidP="005C45B6">
          <w:pPr>
            <w:pStyle w:val="FirstFooter"/>
            <w:tabs>
              <w:tab w:val="left" w:pos="2443"/>
            </w:tabs>
            <w:rPr>
              <w:lang w:val="en-US"/>
            </w:rPr>
          </w:pPr>
          <w:hyperlink r:id="rId1" w:history="1">
            <w:r w:rsidRPr="00FC17D3">
              <w:rPr>
                <w:rStyle w:val="Hyperlink"/>
                <w:sz w:val="18"/>
                <w:szCs w:val="24"/>
                <w:lang w:val="en-US"/>
              </w:rPr>
              <w:t>eun-ju.kim@itu.int</w:t>
            </w:r>
          </w:hyperlink>
        </w:p>
      </w:tc>
    </w:tr>
  </w:tbl>
  <w:p w14:paraId="4590B376" w14:textId="77777777" w:rsidR="00AC43E3" w:rsidRPr="00FC17D3" w:rsidRDefault="00AC43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 w:id="2">
    <w:p w14:paraId="2623E421" w14:textId="031626EB" w:rsidR="00113C91" w:rsidRPr="009B4750" w:rsidRDefault="00113C91" w:rsidP="00113C91">
      <w:pPr>
        <w:pStyle w:val="FootnoteText"/>
        <w:spacing w:before="0"/>
        <w:rPr>
          <w:sz w:val="20"/>
          <w:lang w:eastAsia="zh-CN"/>
        </w:rPr>
      </w:pPr>
      <w:r w:rsidRPr="009B4750">
        <w:rPr>
          <w:rStyle w:val="FootnoteReference"/>
          <w:sz w:val="20"/>
          <w:lang w:val="zh-CN"/>
        </w:rPr>
        <w:footnoteRef/>
      </w:r>
      <w:r w:rsidRPr="009B4750">
        <w:rPr>
          <w:sz w:val="20"/>
          <w:lang w:val="zh-CN" w:eastAsia="zh-CN"/>
        </w:rPr>
        <w:t xml:space="preserve"> </w:t>
      </w:r>
      <w:r w:rsidRPr="009B4750">
        <w:rPr>
          <w:rFonts w:hint="eastAsia"/>
          <w:sz w:val="20"/>
          <w:lang w:val="zh-CN" w:eastAsia="zh-CN"/>
        </w:rPr>
        <w:t>有关协议的完整清单，请参阅</w:t>
      </w:r>
      <w:r w:rsidRPr="009B4750">
        <w:rPr>
          <w:rFonts w:hint="eastAsia"/>
          <w:sz w:val="20"/>
          <w:lang w:val="zh-CN" w:eastAsia="zh-CN"/>
        </w:rPr>
        <w:t>TDAG25/INF/1</w:t>
      </w:r>
      <w:r w:rsidRPr="009B4750">
        <w:rPr>
          <w:rFonts w:hint="eastAsia"/>
          <w:sz w:val="20"/>
          <w:lang w:val="zh-CN" w:eastAsia="zh-CN"/>
        </w:rPr>
        <w:t>号文件。</w:t>
      </w:r>
    </w:p>
  </w:footnote>
  <w:footnote w:id="3">
    <w:p w14:paraId="45F91A57" w14:textId="6A020CE5" w:rsidR="00E32109" w:rsidRPr="000D2492" w:rsidRDefault="00E32109" w:rsidP="00E32109">
      <w:pPr>
        <w:pStyle w:val="FootnoteText"/>
        <w:spacing w:before="0"/>
        <w:rPr>
          <w:sz w:val="20"/>
        </w:rPr>
      </w:pPr>
      <w:r w:rsidRPr="000D2492">
        <w:rPr>
          <w:rStyle w:val="FootnoteReference"/>
          <w:sz w:val="20"/>
          <w:lang w:val="zh-CN"/>
        </w:rPr>
        <w:footnoteRef/>
      </w:r>
      <w:r w:rsidRPr="00E32109">
        <w:t xml:space="preserve"> </w:t>
      </w:r>
      <w:hyperlink r:id="rId1" w:history="1">
        <w:r w:rsidR="00030C5D" w:rsidRPr="000D2492">
          <w:rPr>
            <w:rStyle w:val="Hyperlink"/>
            <w:sz w:val="20"/>
          </w:rPr>
          <w:t>https://www.itu.int/hub/membership/our-members/</w:t>
        </w:r>
      </w:hyperlink>
    </w:p>
  </w:footnote>
  <w:footnote w:id="4">
    <w:p w14:paraId="00745E24" w14:textId="35F83211" w:rsidR="00E32109" w:rsidRPr="009B4750" w:rsidRDefault="00E32109" w:rsidP="00E32109">
      <w:pPr>
        <w:pStyle w:val="FootnoteText"/>
        <w:spacing w:before="0"/>
        <w:rPr>
          <w:sz w:val="20"/>
          <w:lang w:eastAsia="zh-CN"/>
        </w:rPr>
      </w:pPr>
      <w:r w:rsidRPr="009B4750">
        <w:rPr>
          <w:rStyle w:val="FootnoteReference"/>
          <w:sz w:val="20"/>
          <w:lang w:val="zh-CN"/>
        </w:rPr>
        <w:footnoteRef/>
      </w:r>
      <w:r w:rsidRPr="009B4750">
        <w:rPr>
          <w:sz w:val="20"/>
          <w:lang w:val="zh-CN" w:eastAsia="zh-CN"/>
        </w:rPr>
        <w:t xml:space="preserve"> </w:t>
      </w:r>
      <w:r w:rsidR="00030C5D" w:rsidRPr="009B4750">
        <w:rPr>
          <w:rFonts w:hint="eastAsia"/>
          <w:sz w:val="20"/>
          <w:lang w:val="zh-CN" w:eastAsia="zh-CN"/>
        </w:rPr>
        <w:t>财务合作伙伴</w:t>
      </w:r>
      <w:r w:rsidRPr="009B4750">
        <w:rPr>
          <w:sz w:val="20"/>
          <w:lang w:val="zh-CN" w:eastAsia="zh-CN"/>
        </w:rPr>
        <w:t>的完整名单请参见</w:t>
      </w:r>
      <w:r w:rsidRPr="009B4750">
        <w:rPr>
          <w:sz w:val="20"/>
          <w:lang w:val="zh-CN" w:eastAsia="zh-CN"/>
        </w:rPr>
        <w:t>TDAG2</w:t>
      </w:r>
      <w:r w:rsidR="00030C5D" w:rsidRPr="009B4750">
        <w:rPr>
          <w:rFonts w:hint="eastAsia"/>
          <w:sz w:val="20"/>
          <w:lang w:val="zh-CN" w:eastAsia="zh-CN"/>
        </w:rPr>
        <w:t>5</w:t>
      </w:r>
      <w:r w:rsidRPr="009B4750">
        <w:rPr>
          <w:sz w:val="20"/>
          <w:lang w:val="zh-CN" w:eastAsia="zh-CN"/>
        </w:rPr>
        <w:t>/INF/1</w:t>
      </w:r>
      <w:r w:rsidRPr="009B4750">
        <w:rPr>
          <w:sz w:val="20"/>
          <w:lang w:val="zh-CN" w:eastAsia="zh-CN"/>
        </w:rPr>
        <w:t>号文件</w:t>
      </w:r>
      <w:r w:rsidR="00030C5D" w:rsidRPr="009B4750">
        <w:rPr>
          <w:rFonts w:hint="eastAsia"/>
          <w:sz w:val="20"/>
          <w:lang w:val="zh-CN" w:eastAsia="zh-CN"/>
        </w:rPr>
        <w:t>。</w:t>
      </w:r>
    </w:p>
  </w:footnote>
  <w:footnote w:id="5">
    <w:p w14:paraId="485925D7" w14:textId="749EF879" w:rsidR="00937CC6" w:rsidRPr="000D2492" w:rsidRDefault="00937CC6" w:rsidP="00937CC6">
      <w:pPr>
        <w:pStyle w:val="FootnoteText"/>
        <w:spacing w:before="0"/>
        <w:rPr>
          <w:sz w:val="20"/>
        </w:rPr>
      </w:pPr>
      <w:r w:rsidRPr="000D2492">
        <w:rPr>
          <w:rStyle w:val="FootnoteReference"/>
          <w:sz w:val="20"/>
          <w:lang w:val="zh-CN"/>
        </w:rPr>
        <w:footnoteRef/>
      </w:r>
      <w:r w:rsidRPr="00E32109">
        <w:t xml:space="preserve"> </w:t>
      </w:r>
      <w:hyperlink r:id="rId2" w:history="1">
        <w:r w:rsidR="00F345E2" w:rsidRPr="000D2492">
          <w:rPr>
            <w:rStyle w:val="Hyperlink"/>
            <w:sz w:val="20"/>
          </w:rPr>
          <w:t>https://www.itu.int/en/ITU-D/MembersPartners/Pages/Partners/List-of-Partners.aspx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1ED95EF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1C3D0C">
      <w:rPr>
        <w:sz w:val="22"/>
        <w:szCs w:val="22"/>
        <w:lang w:eastAsia="zh-CN"/>
      </w:rPr>
      <w:t>9</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LATI, Archana">
    <w15:presenceInfo w15:providerId="AD" w15:userId="S::archana.gulati@itu.int::68b33b2d-bc3b-4979-a044-aab89b6db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C5D"/>
    <w:rsid w:val="00037A9E"/>
    <w:rsid w:val="00037F91"/>
    <w:rsid w:val="00042FE4"/>
    <w:rsid w:val="000539F1"/>
    <w:rsid w:val="00054747"/>
    <w:rsid w:val="00055A2A"/>
    <w:rsid w:val="000615C1"/>
    <w:rsid w:val="00061675"/>
    <w:rsid w:val="00066C4F"/>
    <w:rsid w:val="000743AA"/>
    <w:rsid w:val="000802B1"/>
    <w:rsid w:val="0009076F"/>
    <w:rsid w:val="0009225C"/>
    <w:rsid w:val="000A17C4"/>
    <w:rsid w:val="000A36A4"/>
    <w:rsid w:val="000B2352"/>
    <w:rsid w:val="000C1340"/>
    <w:rsid w:val="000C7B84"/>
    <w:rsid w:val="000D261B"/>
    <w:rsid w:val="000D58A3"/>
    <w:rsid w:val="000E3AE4"/>
    <w:rsid w:val="000E3ED4"/>
    <w:rsid w:val="000E3F9C"/>
    <w:rsid w:val="000F1550"/>
    <w:rsid w:val="000F251B"/>
    <w:rsid w:val="000F5FE8"/>
    <w:rsid w:val="000F6644"/>
    <w:rsid w:val="00100833"/>
    <w:rsid w:val="00102F72"/>
    <w:rsid w:val="00107E85"/>
    <w:rsid w:val="00113C91"/>
    <w:rsid w:val="00113EE8"/>
    <w:rsid w:val="0011455A"/>
    <w:rsid w:val="00114A65"/>
    <w:rsid w:val="00117C59"/>
    <w:rsid w:val="0012683F"/>
    <w:rsid w:val="00133061"/>
    <w:rsid w:val="00141699"/>
    <w:rsid w:val="00147000"/>
    <w:rsid w:val="0016270A"/>
    <w:rsid w:val="00163091"/>
    <w:rsid w:val="001645CB"/>
    <w:rsid w:val="00166305"/>
    <w:rsid w:val="00167545"/>
    <w:rsid w:val="001703C6"/>
    <w:rsid w:val="00173781"/>
    <w:rsid w:val="00174A79"/>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3D0C"/>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36D0"/>
    <w:rsid w:val="002C1EC7"/>
    <w:rsid w:val="002C3015"/>
    <w:rsid w:val="002C4342"/>
    <w:rsid w:val="002C7EA3"/>
    <w:rsid w:val="002D20AE"/>
    <w:rsid w:val="002D6C61"/>
    <w:rsid w:val="002D6C9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36F1B"/>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0E88"/>
    <w:rsid w:val="003C1746"/>
    <w:rsid w:val="003C2AA9"/>
    <w:rsid w:val="003C58BF"/>
    <w:rsid w:val="003D451D"/>
    <w:rsid w:val="003E3102"/>
    <w:rsid w:val="003E6ECD"/>
    <w:rsid w:val="003F2306"/>
    <w:rsid w:val="003F2DD8"/>
    <w:rsid w:val="003F3F2D"/>
    <w:rsid w:val="003F50B2"/>
    <w:rsid w:val="00400CCF"/>
    <w:rsid w:val="00401BFF"/>
    <w:rsid w:val="00404424"/>
    <w:rsid w:val="00410FF2"/>
    <w:rsid w:val="0041156B"/>
    <w:rsid w:val="004122C5"/>
    <w:rsid w:val="00413B78"/>
    <w:rsid w:val="00413CCC"/>
    <w:rsid w:val="00416DDE"/>
    <w:rsid w:val="00425102"/>
    <w:rsid w:val="0044411E"/>
    <w:rsid w:val="00453435"/>
    <w:rsid w:val="00456D3A"/>
    <w:rsid w:val="00460089"/>
    <w:rsid w:val="00466398"/>
    <w:rsid w:val="0047306D"/>
    <w:rsid w:val="00473791"/>
    <w:rsid w:val="00476E48"/>
    <w:rsid w:val="00481DE9"/>
    <w:rsid w:val="0049128B"/>
    <w:rsid w:val="00493B49"/>
    <w:rsid w:val="00495501"/>
    <w:rsid w:val="004A070A"/>
    <w:rsid w:val="004A320E"/>
    <w:rsid w:val="004A4E9C"/>
    <w:rsid w:val="004B1A3C"/>
    <w:rsid w:val="004B742E"/>
    <w:rsid w:val="004C0E2C"/>
    <w:rsid w:val="004D2607"/>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81653"/>
    <w:rsid w:val="005849D6"/>
    <w:rsid w:val="00585367"/>
    <w:rsid w:val="005861B7"/>
    <w:rsid w:val="005865C9"/>
    <w:rsid w:val="005871A1"/>
    <w:rsid w:val="0058737E"/>
    <w:rsid w:val="00590352"/>
    <w:rsid w:val="00592518"/>
    <w:rsid w:val="00592E87"/>
    <w:rsid w:val="0059420B"/>
    <w:rsid w:val="00594C4D"/>
    <w:rsid w:val="005A28AB"/>
    <w:rsid w:val="005A2E03"/>
    <w:rsid w:val="005A33B0"/>
    <w:rsid w:val="005C2DC2"/>
    <w:rsid w:val="005C304A"/>
    <w:rsid w:val="005C3D69"/>
    <w:rsid w:val="005C45B6"/>
    <w:rsid w:val="005C7C98"/>
    <w:rsid w:val="005D2C3A"/>
    <w:rsid w:val="005D55A4"/>
    <w:rsid w:val="005D57C8"/>
    <w:rsid w:val="005D61DE"/>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95C0D"/>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42E30"/>
    <w:rsid w:val="00752258"/>
    <w:rsid w:val="00752402"/>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069EB"/>
    <w:rsid w:val="008141E0"/>
    <w:rsid w:val="008156CC"/>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0BA2"/>
    <w:rsid w:val="008C4010"/>
    <w:rsid w:val="008C4FDF"/>
    <w:rsid w:val="008C6B1F"/>
    <w:rsid w:val="008D5E4F"/>
    <w:rsid w:val="008E34F0"/>
    <w:rsid w:val="008F14F5"/>
    <w:rsid w:val="008F30FB"/>
    <w:rsid w:val="008F71C1"/>
    <w:rsid w:val="00902D41"/>
    <w:rsid w:val="00902F49"/>
    <w:rsid w:val="00904230"/>
    <w:rsid w:val="00914004"/>
    <w:rsid w:val="00915D19"/>
    <w:rsid w:val="00922EC1"/>
    <w:rsid w:val="00923CF1"/>
    <w:rsid w:val="009301F1"/>
    <w:rsid w:val="009307DF"/>
    <w:rsid w:val="009359B8"/>
    <w:rsid w:val="00935FF0"/>
    <w:rsid w:val="00937CC6"/>
    <w:rsid w:val="00940545"/>
    <w:rsid w:val="009431F8"/>
    <w:rsid w:val="00944170"/>
    <w:rsid w:val="00947A35"/>
    <w:rsid w:val="00952667"/>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B4750"/>
    <w:rsid w:val="009B65D6"/>
    <w:rsid w:val="009C110B"/>
    <w:rsid w:val="009C5441"/>
    <w:rsid w:val="009D119F"/>
    <w:rsid w:val="009D2E58"/>
    <w:rsid w:val="009D49A2"/>
    <w:rsid w:val="009F3940"/>
    <w:rsid w:val="009F3EB2"/>
    <w:rsid w:val="009F6113"/>
    <w:rsid w:val="009F6EB1"/>
    <w:rsid w:val="00A0534D"/>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6D14"/>
    <w:rsid w:val="00A97D59"/>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5253"/>
    <w:rsid w:val="00B96D27"/>
    <w:rsid w:val="00B9791D"/>
    <w:rsid w:val="00B97BB9"/>
    <w:rsid w:val="00BA0009"/>
    <w:rsid w:val="00BA2143"/>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74BA"/>
    <w:rsid w:val="00C60A41"/>
    <w:rsid w:val="00C62DE8"/>
    <w:rsid w:val="00C62DFB"/>
    <w:rsid w:val="00C630E6"/>
    <w:rsid w:val="00C63812"/>
    <w:rsid w:val="00C64AF3"/>
    <w:rsid w:val="00C66F4D"/>
    <w:rsid w:val="00C67BB5"/>
    <w:rsid w:val="00C72713"/>
    <w:rsid w:val="00C765BA"/>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671A3"/>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06075"/>
    <w:rsid w:val="00E11BCF"/>
    <w:rsid w:val="00E21F80"/>
    <w:rsid w:val="00E2258E"/>
    <w:rsid w:val="00E260C2"/>
    <w:rsid w:val="00E32109"/>
    <w:rsid w:val="00E32596"/>
    <w:rsid w:val="00E368F7"/>
    <w:rsid w:val="00E36EB8"/>
    <w:rsid w:val="00E37FB8"/>
    <w:rsid w:val="00E40B07"/>
    <w:rsid w:val="00E42326"/>
    <w:rsid w:val="00E43544"/>
    <w:rsid w:val="00E44D89"/>
    <w:rsid w:val="00E477EA"/>
    <w:rsid w:val="00E55807"/>
    <w:rsid w:val="00E63B14"/>
    <w:rsid w:val="00E65CA0"/>
    <w:rsid w:val="00E70D9F"/>
    <w:rsid w:val="00E74823"/>
    <w:rsid w:val="00E81567"/>
    <w:rsid w:val="00E83810"/>
    <w:rsid w:val="00E86933"/>
    <w:rsid w:val="00E9605B"/>
    <w:rsid w:val="00E97298"/>
    <w:rsid w:val="00E97753"/>
    <w:rsid w:val="00EA0C51"/>
    <w:rsid w:val="00EA7DE7"/>
    <w:rsid w:val="00EB7A8A"/>
    <w:rsid w:val="00EC3EA3"/>
    <w:rsid w:val="00EC6FED"/>
    <w:rsid w:val="00EC7F3B"/>
    <w:rsid w:val="00ED4FDF"/>
    <w:rsid w:val="00ED5299"/>
    <w:rsid w:val="00EE3A64"/>
    <w:rsid w:val="00EE50E5"/>
    <w:rsid w:val="00EF01CF"/>
    <w:rsid w:val="00F03590"/>
    <w:rsid w:val="00F03622"/>
    <w:rsid w:val="00F0588C"/>
    <w:rsid w:val="00F077FD"/>
    <w:rsid w:val="00F204F3"/>
    <w:rsid w:val="00F218AB"/>
    <w:rsid w:val="00F21D10"/>
    <w:rsid w:val="00F238B3"/>
    <w:rsid w:val="00F24FED"/>
    <w:rsid w:val="00F25586"/>
    <w:rsid w:val="00F2651D"/>
    <w:rsid w:val="00F27362"/>
    <w:rsid w:val="00F31498"/>
    <w:rsid w:val="00F32FEF"/>
    <w:rsid w:val="00F345E2"/>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17D3"/>
    <w:rsid w:val="00FC7D8C"/>
    <w:rsid w:val="00FD197E"/>
    <w:rsid w:val="00FD3980"/>
    <w:rsid w:val="00FD431E"/>
    <w:rsid w:val="00FD5A2C"/>
    <w:rsid w:val="00FE0D47"/>
    <w:rsid w:val="00FE1D5C"/>
    <w:rsid w:val="00FE2F8B"/>
    <w:rsid w:val="00FE3509"/>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E32109"/>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E32109"/>
    <w:rPr>
      <w:rFonts w:asciiTheme="minorHAnsi" w:hAnsiTheme="minorHAnsi"/>
      <w:sz w:val="24"/>
      <w:lang w:val="en-GB" w:eastAsia="en-US"/>
    </w:rPr>
  </w:style>
  <w:style w:type="character" w:styleId="CommentReference">
    <w:name w:val="annotation reference"/>
    <w:basedOn w:val="DefaultParagraphFont"/>
    <w:semiHidden/>
    <w:unhideWhenUsed/>
    <w:rsid w:val="00E32109"/>
    <w:rPr>
      <w:rFonts w:ascii="Times New Roman" w:eastAsia="SimSun" w:hAnsi="Times New Roman"/>
      <w:sz w:val="6"/>
      <w:szCs w:val="16"/>
    </w:rPr>
  </w:style>
  <w:style w:type="paragraph" w:styleId="CommentText">
    <w:name w:val="annotation text"/>
    <w:basedOn w:val="Normal"/>
    <w:link w:val="CommentTextChar"/>
    <w:unhideWhenUsed/>
    <w:rsid w:val="00E32109"/>
    <w:pPr>
      <w:tabs>
        <w:tab w:val="clear" w:pos="794"/>
        <w:tab w:val="clear" w:pos="1191"/>
        <w:tab w:val="clear" w:pos="1588"/>
        <w:tab w:val="clear" w:pos="1985"/>
        <w:tab w:val="left" w:pos="1134"/>
        <w:tab w:val="left" w:pos="1871"/>
        <w:tab w:val="left" w:pos="2268"/>
      </w:tabs>
      <w:spacing w:after="120" w:line="280" w:lineRule="exact"/>
      <w:jc w:val="both"/>
    </w:pPr>
    <w:rPr>
      <w:rFonts w:eastAsia="SimSun"/>
      <w:sz w:val="20"/>
      <w:szCs w:val="10"/>
      <w:lang w:val="en-US" w:eastAsia="zh-CN"/>
    </w:rPr>
  </w:style>
  <w:style w:type="character" w:customStyle="1" w:styleId="CommentTextChar">
    <w:name w:val="Comment Text Char"/>
    <w:basedOn w:val="DefaultParagraphFont"/>
    <w:link w:val="CommentText"/>
    <w:rsid w:val="00E32109"/>
    <w:rPr>
      <w:rFonts w:asciiTheme="minorHAnsi" w:eastAsia="SimSun" w:hAnsiTheme="minorHAnsi"/>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4/relationships/chartEx" Target="charts/chartEx1.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webSettings" Target="webSettings.xml"/><Relationship Id="rId12" Type="http://schemas.openxmlformats.org/officeDocument/2006/relationships/chart" Target="charts/chart1.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itu.int/itu-d/sites/digital-impact-unlocked/all-stories/lis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hub/membership/our-membe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ng\AppData\Local\Microsoft\Windows\INetCache\Content.Outlook\Y1MHMJ8Q\Fichier_traducteu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ng\AppData\Local\Microsoft\Windows\INetCache\Content.Outlook\Y1MHMJ8Q\Fichier_traducteurs.xlsx"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ong\AppData\Local\Microsoft\Windows\INetCache\Content.Outlook\Y1MHMJ8Q\Fichier_traducteurs.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pool\TRAD\C\gDoc.2.0%202025\2500835\Copy%20of%20Fichier_traducteurs.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kong\AppData\Local\Microsoft\Windows\INetCache\Content.Outlook\Y1MHMJ8Q\Fichier_traducteu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CH"/>
              <a:t>BDT</a:t>
            </a:r>
            <a:r>
              <a:rPr lang="zh-CN" altLang="en-US"/>
              <a:t>合作伙伴的类型（</a:t>
            </a:r>
            <a:r>
              <a:rPr lang="en-GB" altLang="zh-CN"/>
              <a:t>2024</a:t>
            </a:r>
            <a:r>
              <a:rPr lang="zh-CN" altLang="en-US"/>
              <a:t>年）</a:t>
            </a:r>
            <a:endParaRPr lang="fr-CH"/>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r-CH"/>
        </a:p>
      </c:txPr>
    </c:title>
    <c:autoTitleDeleted val="0"/>
    <c:plotArea>
      <c:layout>
        <c:manualLayout>
          <c:layoutTarget val="inner"/>
          <c:xMode val="edge"/>
          <c:yMode val="edge"/>
          <c:x val="0.51492912826141224"/>
          <c:y val="0.28619716922053684"/>
          <c:w val="0.35585746522161904"/>
          <c:h val="0.57548612985309056"/>
        </c:manualLayout>
      </c:layout>
      <c:pieChart>
        <c:varyColors val="1"/>
        <c:ser>
          <c:idx val="0"/>
          <c:order val="0"/>
          <c:tx>
            <c:strRef>
              <c:f>Types!$B$1</c:f>
              <c:strCache>
                <c:ptCount val="1"/>
                <c:pt idx="0">
                  <c:v>Number partnes (total:73)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83-4BEB-AF70-DDC033F84E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83-4BEB-AF70-DDC033F84E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83-4BEB-AF70-DDC033F84ED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83-4BEB-AF70-DDC033F84ED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783-4BEB-AF70-DDC033F84ED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783-4BEB-AF70-DDC033F84ED9}"/>
              </c:ext>
            </c:extLst>
          </c:dPt>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Types!$A$2:$A$7</c:f>
              <c:strCache>
                <c:ptCount val="6"/>
                <c:pt idx="0">
                  <c:v>学术成员</c:v>
                </c:pt>
                <c:pt idx="1">
                  <c:v>金融机构 </c:v>
                </c:pt>
                <c:pt idx="2">
                  <c:v>政府实体</c:v>
                </c:pt>
                <c:pt idx="3">
                  <c:v>国际及区域性组织</c:v>
                </c:pt>
                <c:pt idx="4">
                  <c:v>私营部门（包括基金会）</c:v>
                </c:pt>
                <c:pt idx="5">
                  <c:v>联合国组织</c:v>
                </c:pt>
              </c:strCache>
            </c:strRef>
          </c:cat>
          <c:val>
            <c:numRef>
              <c:f>Types!$B$2:$B$7</c:f>
              <c:numCache>
                <c:formatCode>0%</c:formatCode>
                <c:ptCount val="6"/>
                <c:pt idx="0">
                  <c:v>8.2191780821917804E-2</c:v>
                </c:pt>
                <c:pt idx="1">
                  <c:v>5.4794520547945202E-2</c:v>
                </c:pt>
                <c:pt idx="2">
                  <c:v>0.43835616438356162</c:v>
                </c:pt>
                <c:pt idx="3">
                  <c:v>8.2191780821917804E-2</c:v>
                </c:pt>
                <c:pt idx="4">
                  <c:v>0.13698630136986301</c:v>
                </c:pt>
                <c:pt idx="5">
                  <c:v>0.20547945205479451</c:v>
                </c:pt>
              </c:numCache>
            </c:numRef>
          </c:val>
          <c:extLst>
            <c:ext xmlns:c16="http://schemas.microsoft.com/office/drawing/2014/chart" uri="{C3380CC4-5D6E-409C-BE32-E72D297353CC}">
              <c16:uniqueId val="{0000000C-D783-4BEB-AF70-DDC033F84ED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6.1372589754990381E-2"/>
          <c:y val="0.30095359882738604"/>
          <c:w val="0.30978690500822287"/>
          <c:h val="0.6335319385311303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按区域分列的协议和财务捐助（</a:t>
            </a:r>
            <a:r>
              <a:rPr lang="en-GB" altLang="zh-CN"/>
              <a:t>2024</a:t>
            </a:r>
            <a:r>
              <a:rPr lang="zh-CN" altLang="en-US"/>
              <a:t>年）</a:t>
            </a:r>
            <a:endParaRPr lang="fr-C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CH"/>
        </a:p>
      </c:txPr>
    </c:title>
    <c:autoTitleDeleted val="0"/>
    <c:plotArea>
      <c:layout/>
      <c:barChart>
        <c:barDir val="col"/>
        <c:grouping val="clustered"/>
        <c:varyColors val="0"/>
        <c:ser>
          <c:idx val="0"/>
          <c:order val="0"/>
          <c:tx>
            <c:strRef>
              <c:f>Regions!$B$1</c:f>
              <c:strCache>
                <c:ptCount val="1"/>
                <c:pt idx="0">
                  <c:v>协议数量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Regions!$A$2:$A$8</c:f>
              <c:strCache>
                <c:ptCount val="7"/>
                <c:pt idx="0">
                  <c:v>非洲</c:v>
                </c:pt>
                <c:pt idx="1">
                  <c:v>美洲</c:v>
                </c:pt>
                <c:pt idx="2">
                  <c:v>阿拉伯国家</c:v>
                </c:pt>
                <c:pt idx="3">
                  <c:v>亚太</c:v>
                </c:pt>
                <c:pt idx="4">
                  <c:v>独联体</c:v>
                </c:pt>
                <c:pt idx="5">
                  <c:v>欧洲</c:v>
                </c:pt>
                <c:pt idx="6">
                  <c:v>多区域</c:v>
                </c:pt>
              </c:strCache>
            </c:strRef>
          </c:cat>
          <c:val>
            <c:numRef>
              <c:f>Regions!$B$2:$B$8</c:f>
              <c:numCache>
                <c:formatCode>0%</c:formatCode>
                <c:ptCount val="7"/>
                <c:pt idx="0">
                  <c:v>0.21348314606741572</c:v>
                </c:pt>
                <c:pt idx="1">
                  <c:v>0.12359550561797752</c:v>
                </c:pt>
                <c:pt idx="2">
                  <c:v>5.6179775280898875E-2</c:v>
                </c:pt>
                <c:pt idx="3">
                  <c:v>0.1348314606741573</c:v>
                </c:pt>
                <c:pt idx="4">
                  <c:v>4.49438202247191E-2</c:v>
                </c:pt>
                <c:pt idx="5">
                  <c:v>4.49438202247191E-2</c:v>
                </c:pt>
                <c:pt idx="6">
                  <c:v>0.38202247191011235</c:v>
                </c:pt>
              </c:numCache>
            </c:numRef>
          </c:val>
          <c:extLst>
            <c:ext xmlns:c16="http://schemas.microsoft.com/office/drawing/2014/chart" uri="{C3380CC4-5D6E-409C-BE32-E72D297353CC}">
              <c16:uniqueId val="{00000000-EB2F-4A3E-9DA7-2EE8CFE848BE}"/>
            </c:ext>
          </c:extLst>
        </c:ser>
        <c:ser>
          <c:idx val="1"/>
          <c:order val="1"/>
          <c:tx>
            <c:strRef>
              <c:f>Regions!$C$1</c:f>
              <c:strCache>
                <c:ptCount val="1"/>
                <c:pt idx="0">
                  <c:v>财务捐助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Regions!$A$2:$A$8</c:f>
              <c:strCache>
                <c:ptCount val="7"/>
                <c:pt idx="0">
                  <c:v>非洲</c:v>
                </c:pt>
                <c:pt idx="1">
                  <c:v>美洲</c:v>
                </c:pt>
                <c:pt idx="2">
                  <c:v>阿拉伯国家</c:v>
                </c:pt>
                <c:pt idx="3">
                  <c:v>亚太</c:v>
                </c:pt>
                <c:pt idx="4">
                  <c:v>独联体</c:v>
                </c:pt>
                <c:pt idx="5">
                  <c:v>欧洲</c:v>
                </c:pt>
                <c:pt idx="6">
                  <c:v>多区域</c:v>
                </c:pt>
              </c:strCache>
            </c:strRef>
          </c:cat>
          <c:val>
            <c:numRef>
              <c:f>Regions!$C$2:$C$8</c:f>
              <c:numCache>
                <c:formatCode>0%</c:formatCode>
                <c:ptCount val="7"/>
                <c:pt idx="0">
                  <c:v>0.50677426416478932</c:v>
                </c:pt>
                <c:pt idx="1">
                  <c:v>0.12579772358687433</c:v>
                </c:pt>
                <c:pt idx="2">
                  <c:v>2.9587133100067615E-3</c:v>
                </c:pt>
                <c:pt idx="3">
                  <c:v>3.7600213974789874E-2</c:v>
                </c:pt>
                <c:pt idx="4">
                  <c:v>5.912578305802765E-3</c:v>
                </c:pt>
                <c:pt idx="5">
                  <c:v>1.301519395925781E-2</c:v>
                </c:pt>
                <c:pt idx="6">
                  <c:v>0.30794131269847924</c:v>
                </c:pt>
              </c:numCache>
            </c:numRef>
          </c:val>
          <c:extLst>
            <c:ext xmlns:c16="http://schemas.microsoft.com/office/drawing/2014/chart" uri="{C3380CC4-5D6E-409C-BE32-E72D297353CC}">
              <c16:uniqueId val="{00000001-EB2F-4A3E-9DA7-2EE8CFE848BE}"/>
            </c:ext>
          </c:extLst>
        </c:ser>
        <c:dLbls>
          <c:showLegendKey val="0"/>
          <c:showVal val="0"/>
          <c:showCatName val="0"/>
          <c:showSerName val="0"/>
          <c:showPercent val="0"/>
          <c:showBubbleSize val="0"/>
        </c:dLbls>
        <c:gapWidth val="219"/>
        <c:overlap val="-27"/>
        <c:axId val="552633439"/>
        <c:axId val="552609919"/>
      </c:barChart>
      <c:catAx>
        <c:axId val="55263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52609919"/>
        <c:crosses val="autoZero"/>
        <c:auto val="1"/>
        <c:lblAlgn val="ctr"/>
        <c:lblOffset val="100"/>
        <c:noMultiLvlLbl val="0"/>
      </c:catAx>
      <c:valAx>
        <c:axId val="5526099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2633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b="1" i="0" u="none" strike="noStrike" kern="1200" spc="0" baseline="0">
                <a:solidFill>
                  <a:sysClr val="windowText" lastClr="000000">
                    <a:lumMod val="65000"/>
                    <a:lumOff val="35000"/>
                  </a:sysClr>
                </a:solidFill>
              </a:rPr>
              <a:t>按</a:t>
            </a:r>
            <a:r>
              <a:rPr lang="en-US" altLang="zh-CN" sz="1200" b="1" i="0" u="none" strike="noStrike" kern="1200" spc="0" baseline="0">
                <a:solidFill>
                  <a:sysClr val="windowText" lastClr="000000">
                    <a:lumMod val="65000"/>
                    <a:lumOff val="35000"/>
                  </a:sysClr>
                </a:solidFill>
              </a:rPr>
              <a:t>ITU-D</a:t>
            </a:r>
            <a:r>
              <a:rPr lang="zh-CN" altLang="en-US" sz="1200" b="1" i="0" u="none" strike="noStrike" kern="1200" spc="0" baseline="0">
                <a:solidFill>
                  <a:sysClr val="windowText" lastClr="000000">
                    <a:lumMod val="65000"/>
                    <a:lumOff val="35000"/>
                  </a:sysClr>
                </a:solidFill>
              </a:rPr>
              <a:t>重点工作分列的协议和财务捐助（</a:t>
            </a:r>
            <a:r>
              <a:rPr lang="en-GB" altLang="zh-CN" sz="1200" b="1" i="0" u="none" strike="noStrike" kern="1200" spc="0" baseline="0">
                <a:solidFill>
                  <a:sysClr val="windowText" lastClr="000000">
                    <a:lumMod val="65000"/>
                    <a:lumOff val="35000"/>
                  </a:sysClr>
                </a:solidFill>
              </a:rPr>
              <a:t>2024</a:t>
            </a:r>
            <a:r>
              <a:rPr lang="zh-CN" altLang="en-US" sz="1200" b="1" i="0" u="none" strike="noStrike" kern="1200" spc="0" baseline="0">
                <a:solidFill>
                  <a:sysClr val="windowText" lastClr="000000">
                    <a:lumMod val="65000"/>
                    <a:lumOff val="35000"/>
                  </a:sysClr>
                </a:solidFill>
              </a:rPr>
              <a:t>年）</a:t>
            </a:r>
            <a:endParaRPr lang="fr-CH" sz="1200" b="1"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CH"/>
        </a:p>
      </c:txPr>
    </c:title>
    <c:autoTitleDeleted val="0"/>
    <c:plotArea>
      <c:layout/>
      <c:barChart>
        <c:barDir val="bar"/>
        <c:grouping val="clustered"/>
        <c:varyColors val="0"/>
        <c:ser>
          <c:idx val="0"/>
          <c:order val="0"/>
          <c:tx>
            <c:strRef>
              <c:f>Thematics!$C$1</c:f>
              <c:strCache>
                <c:ptCount val="1"/>
                <c:pt idx="0">
                  <c:v>协议数量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Thematics!$B$2:$B$6</c:f>
              <c:strCache>
                <c:ptCount val="5"/>
                <c:pt idx="0">
                  <c:v>多项重点工作</c:v>
                </c:pt>
                <c:pt idx="1">
                  <c:v>促进可持续发展的包容性和安全的电信/ICT</c:v>
                </c:pt>
                <c:pt idx="2">
                  <c:v>有利的政策和监管环境</c:v>
                </c:pt>
                <c:pt idx="3">
                  <c:v>数字化转型</c:v>
                </c:pt>
                <c:pt idx="4">
                  <c:v>负担得起的连接</c:v>
                </c:pt>
              </c:strCache>
            </c:strRef>
          </c:cat>
          <c:val>
            <c:numRef>
              <c:f>Thematics!$C$2:$C$6</c:f>
              <c:numCache>
                <c:formatCode>0%</c:formatCode>
                <c:ptCount val="5"/>
                <c:pt idx="0">
                  <c:v>0.15730337078651685</c:v>
                </c:pt>
                <c:pt idx="1">
                  <c:v>0.11235955056179775</c:v>
                </c:pt>
                <c:pt idx="2">
                  <c:v>0.16853932584269662</c:v>
                </c:pt>
                <c:pt idx="3">
                  <c:v>0.39325842696629215</c:v>
                </c:pt>
                <c:pt idx="4">
                  <c:v>0.16853932584269662</c:v>
                </c:pt>
              </c:numCache>
            </c:numRef>
          </c:val>
          <c:extLst>
            <c:ext xmlns:c16="http://schemas.microsoft.com/office/drawing/2014/chart" uri="{C3380CC4-5D6E-409C-BE32-E72D297353CC}">
              <c16:uniqueId val="{00000000-B1CE-43B3-A1DD-A9CC7F1793A3}"/>
            </c:ext>
          </c:extLst>
        </c:ser>
        <c:ser>
          <c:idx val="1"/>
          <c:order val="1"/>
          <c:tx>
            <c:strRef>
              <c:f>Thematics!$D$1</c:f>
              <c:strCache>
                <c:ptCount val="1"/>
                <c:pt idx="0">
                  <c:v>财务捐助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Thematics!$B$2:$B$6</c:f>
              <c:strCache>
                <c:ptCount val="5"/>
                <c:pt idx="0">
                  <c:v>多项重点工作</c:v>
                </c:pt>
                <c:pt idx="1">
                  <c:v>促进可持续发展的包容性和安全的电信/ICT</c:v>
                </c:pt>
                <c:pt idx="2">
                  <c:v>有利的政策和监管环境</c:v>
                </c:pt>
                <c:pt idx="3">
                  <c:v>数字化转型</c:v>
                </c:pt>
                <c:pt idx="4">
                  <c:v>负担得起的连接</c:v>
                </c:pt>
              </c:strCache>
            </c:strRef>
          </c:cat>
          <c:val>
            <c:numRef>
              <c:f>Thematics!$D$2:$D$6</c:f>
              <c:numCache>
                <c:formatCode>0%</c:formatCode>
                <c:ptCount val="5"/>
                <c:pt idx="0">
                  <c:v>0.1145386147544688</c:v>
                </c:pt>
                <c:pt idx="1">
                  <c:v>3.4820622224557403E-2</c:v>
                </c:pt>
                <c:pt idx="2">
                  <c:v>0.11554460329521565</c:v>
                </c:pt>
                <c:pt idx="3">
                  <c:v>0.13091799393190198</c:v>
                </c:pt>
                <c:pt idx="4">
                  <c:v>0.60417816579385619</c:v>
                </c:pt>
              </c:numCache>
            </c:numRef>
          </c:val>
          <c:extLst>
            <c:ext xmlns:c16="http://schemas.microsoft.com/office/drawing/2014/chart" uri="{C3380CC4-5D6E-409C-BE32-E72D297353CC}">
              <c16:uniqueId val="{00000001-B1CE-43B3-A1DD-A9CC7F1793A3}"/>
            </c:ext>
          </c:extLst>
        </c:ser>
        <c:dLbls>
          <c:dLblPos val="outEnd"/>
          <c:showLegendKey val="0"/>
          <c:showVal val="1"/>
          <c:showCatName val="0"/>
          <c:showSerName val="0"/>
          <c:showPercent val="0"/>
          <c:showBubbleSize val="0"/>
        </c:dLbls>
        <c:gapWidth val="182"/>
        <c:axId val="815145616"/>
        <c:axId val="815146096"/>
      </c:barChart>
      <c:catAx>
        <c:axId val="815145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815146096"/>
        <c:crosses val="autoZero"/>
        <c:auto val="1"/>
        <c:lblAlgn val="ctr"/>
        <c:lblOffset val="100"/>
        <c:noMultiLvlLbl val="0"/>
      </c:catAx>
      <c:valAx>
        <c:axId val="81514609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1514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100" b="1" i="0" u="none" strike="noStrike" kern="1200" spc="0" baseline="0">
                <a:solidFill>
                  <a:sysClr val="windowText" lastClr="000000">
                    <a:lumMod val="65000"/>
                    <a:lumOff val="35000"/>
                  </a:sysClr>
                </a:solidFill>
              </a:rPr>
              <a:t>签署的协议数量和财务捐款（单位：百万美元）</a:t>
            </a:r>
            <a:endParaRPr lang="en-GB" sz="1100" b="1" i="0" u="none" strike="noStrike" kern="1200" spc="0" baseline="0">
              <a:solidFill>
                <a:sysClr val="windowText" lastClr="000000">
                  <a:lumMod val="65000"/>
                  <a:lumOff val="35000"/>
                </a:sysClr>
              </a:solidFill>
            </a:endParaRPr>
          </a:p>
        </c:rich>
      </c:tx>
      <c:layout>
        <c:manualLayout>
          <c:xMode val="edge"/>
          <c:yMode val="edge"/>
          <c:x val="0.109138888888888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'5 Years'!$B$1</c:f>
              <c:strCache>
                <c:ptCount val="1"/>
                <c:pt idx="0">
                  <c:v>国际电联的捐款（百万美元）</c:v>
                </c:pt>
              </c:strCache>
            </c:strRef>
          </c:tx>
          <c:spPr>
            <a:solidFill>
              <a:schemeClr val="accent1"/>
            </a:solidFill>
            <a:ln>
              <a:noFill/>
            </a:ln>
            <a:effectLst/>
          </c:spPr>
          <c:invertIfNegative val="0"/>
          <c:dLbls>
            <c:dLbl>
              <c:idx val="0"/>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3F-45AB-A30C-5C2C5E383FE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 Years'!$A$2:$A$6</c:f>
              <c:numCache>
                <c:formatCode>General</c:formatCode>
                <c:ptCount val="5"/>
                <c:pt idx="0">
                  <c:v>2020</c:v>
                </c:pt>
                <c:pt idx="1">
                  <c:v>2021</c:v>
                </c:pt>
                <c:pt idx="2">
                  <c:v>2022</c:v>
                </c:pt>
                <c:pt idx="3">
                  <c:v>2023</c:v>
                </c:pt>
                <c:pt idx="4">
                  <c:v>2024</c:v>
                </c:pt>
              </c:numCache>
            </c:numRef>
          </c:cat>
          <c:val>
            <c:numRef>
              <c:f>'5 Years'!$B$2:$B$6</c:f>
              <c:numCache>
                <c:formatCode>General</c:formatCode>
                <c:ptCount val="5"/>
                <c:pt idx="0">
                  <c:v>3.1</c:v>
                </c:pt>
                <c:pt idx="1">
                  <c:v>3.9</c:v>
                </c:pt>
                <c:pt idx="2">
                  <c:v>1</c:v>
                </c:pt>
                <c:pt idx="3">
                  <c:v>2.1</c:v>
                </c:pt>
                <c:pt idx="4">
                  <c:v>2.7</c:v>
                </c:pt>
              </c:numCache>
            </c:numRef>
          </c:val>
          <c:extLst>
            <c:ext xmlns:c16="http://schemas.microsoft.com/office/drawing/2014/chart" uri="{C3380CC4-5D6E-409C-BE32-E72D297353CC}">
              <c16:uniqueId val="{00000001-6E3F-45AB-A30C-5C2C5E383FE1}"/>
            </c:ext>
          </c:extLst>
        </c:ser>
        <c:ser>
          <c:idx val="1"/>
          <c:order val="1"/>
          <c:tx>
            <c:strRef>
              <c:f>'5 Years'!$C$1</c:f>
              <c:strCache>
                <c:ptCount val="1"/>
                <c:pt idx="0">
                  <c:v>合作伙伴的捐款（百万美元）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 Years'!$A$2:$A$6</c:f>
              <c:numCache>
                <c:formatCode>General</c:formatCode>
                <c:ptCount val="5"/>
                <c:pt idx="0">
                  <c:v>2020</c:v>
                </c:pt>
                <c:pt idx="1">
                  <c:v>2021</c:v>
                </c:pt>
                <c:pt idx="2">
                  <c:v>2022</c:v>
                </c:pt>
                <c:pt idx="3">
                  <c:v>2023</c:v>
                </c:pt>
                <c:pt idx="4">
                  <c:v>2024</c:v>
                </c:pt>
              </c:numCache>
            </c:numRef>
          </c:cat>
          <c:val>
            <c:numRef>
              <c:f>'5 Years'!$C$2:$C$6</c:f>
              <c:numCache>
                <c:formatCode>General</c:formatCode>
                <c:ptCount val="5"/>
                <c:pt idx="0">
                  <c:v>12.4</c:v>
                </c:pt>
                <c:pt idx="1">
                  <c:v>15.6</c:v>
                </c:pt>
                <c:pt idx="2">
                  <c:v>9</c:v>
                </c:pt>
                <c:pt idx="3">
                  <c:v>22.2</c:v>
                </c:pt>
                <c:pt idx="4">
                  <c:v>31.1</c:v>
                </c:pt>
              </c:numCache>
            </c:numRef>
          </c:val>
          <c:extLst>
            <c:ext xmlns:c16="http://schemas.microsoft.com/office/drawing/2014/chart" uri="{C3380CC4-5D6E-409C-BE32-E72D297353CC}">
              <c16:uniqueId val="{00000002-6E3F-45AB-A30C-5C2C5E383FE1}"/>
            </c:ext>
          </c:extLst>
        </c:ser>
        <c:dLbls>
          <c:dLblPos val="outEnd"/>
          <c:showLegendKey val="0"/>
          <c:showVal val="1"/>
          <c:showCatName val="0"/>
          <c:showSerName val="0"/>
          <c:showPercent val="0"/>
          <c:showBubbleSize val="0"/>
        </c:dLbls>
        <c:gapWidth val="219"/>
        <c:overlap val="-27"/>
        <c:axId val="1048384111"/>
        <c:axId val="1048375951"/>
      </c:barChart>
      <c:lineChart>
        <c:grouping val="standard"/>
        <c:varyColors val="0"/>
        <c:ser>
          <c:idx val="2"/>
          <c:order val="2"/>
          <c:tx>
            <c:strRef>
              <c:f>'5 Years'!$D$1</c:f>
              <c:strCache>
                <c:ptCount val="1"/>
                <c:pt idx="0">
                  <c:v>协议数量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 Years'!$A$2:$A$6</c:f>
              <c:numCache>
                <c:formatCode>General</c:formatCode>
                <c:ptCount val="5"/>
                <c:pt idx="0">
                  <c:v>2020</c:v>
                </c:pt>
                <c:pt idx="1">
                  <c:v>2021</c:v>
                </c:pt>
                <c:pt idx="2">
                  <c:v>2022</c:v>
                </c:pt>
                <c:pt idx="3">
                  <c:v>2023</c:v>
                </c:pt>
                <c:pt idx="4">
                  <c:v>2024</c:v>
                </c:pt>
              </c:numCache>
            </c:numRef>
          </c:cat>
          <c:val>
            <c:numRef>
              <c:f>'5 Years'!$D$2:$D$6</c:f>
              <c:numCache>
                <c:formatCode>General</c:formatCode>
                <c:ptCount val="5"/>
                <c:pt idx="0">
                  <c:v>42</c:v>
                </c:pt>
                <c:pt idx="1">
                  <c:v>72</c:v>
                </c:pt>
                <c:pt idx="2">
                  <c:v>75</c:v>
                </c:pt>
                <c:pt idx="3">
                  <c:v>88</c:v>
                </c:pt>
                <c:pt idx="4">
                  <c:v>89</c:v>
                </c:pt>
              </c:numCache>
            </c:numRef>
          </c:val>
          <c:smooth val="0"/>
          <c:extLst>
            <c:ext xmlns:c16="http://schemas.microsoft.com/office/drawing/2014/chart" uri="{C3380CC4-5D6E-409C-BE32-E72D297353CC}">
              <c16:uniqueId val="{00000003-6E3F-45AB-A30C-5C2C5E383FE1}"/>
            </c:ext>
          </c:extLst>
        </c:ser>
        <c:dLbls>
          <c:showLegendKey val="0"/>
          <c:showVal val="1"/>
          <c:showCatName val="0"/>
          <c:showSerName val="0"/>
          <c:showPercent val="0"/>
          <c:showBubbleSize val="0"/>
        </c:dLbls>
        <c:marker val="1"/>
        <c:smooth val="0"/>
        <c:axId val="947109199"/>
        <c:axId val="947109679"/>
      </c:lineChart>
      <c:catAx>
        <c:axId val="94710919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947109679"/>
        <c:crosses val="autoZero"/>
        <c:auto val="1"/>
        <c:lblAlgn val="ctr"/>
        <c:lblOffset val="100"/>
        <c:noMultiLvlLbl val="0"/>
      </c:catAx>
      <c:valAx>
        <c:axId val="947109679"/>
        <c:scaling>
          <c:orientation val="minMax"/>
        </c:scaling>
        <c:delete val="1"/>
        <c:axPos val="l"/>
        <c:numFmt formatCode="General" sourceLinked="1"/>
        <c:majorTickMark val="out"/>
        <c:minorTickMark val="none"/>
        <c:tickLblPos val="nextTo"/>
        <c:crossAx val="947109199"/>
        <c:crosses val="autoZero"/>
        <c:crossBetween val="between"/>
      </c:valAx>
      <c:valAx>
        <c:axId val="1048375951"/>
        <c:scaling>
          <c:orientation val="minMax"/>
        </c:scaling>
        <c:delete val="1"/>
        <c:axPos val="r"/>
        <c:numFmt formatCode="General" sourceLinked="1"/>
        <c:majorTickMark val="out"/>
        <c:minorTickMark val="none"/>
        <c:tickLblPos val="nextTo"/>
        <c:crossAx val="1048384111"/>
        <c:crosses val="max"/>
        <c:crossBetween val="between"/>
      </c:valAx>
      <c:catAx>
        <c:axId val="1048384111"/>
        <c:scaling>
          <c:orientation val="minMax"/>
        </c:scaling>
        <c:delete val="1"/>
        <c:axPos val="t"/>
        <c:numFmt formatCode="General" sourceLinked="1"/>
        <c:majorTickMark val="out"/>
        <c:minorTickMark val="none"/>
        <c:tickLblPos val="nextTo"/>
        <c:crossAx val="1048375951"/>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Types!$A$16:$A$19</cx:f>
        <cx:lvl ptCount="4">
          <cx:pt idx="0">金融机构</cx:pt>
          <cx:pt idx="1">政府实体</cx:pt>
          <cx:pt idx="2">私营部门（包括基金会)</cx:pt>
          <cx:pt idx="3">联合国组织</cx:pt>
        </cx:lvl>
      </cx:strDim>
      <cx:numDim type="size">
        <cx:f>Types!$B$16:$B$19</cx:f>
        <cx:lvl ptCount="4" formatCode="0%">
          <cx:pt idx="0">0.63795123646490937</cx:pt>
          <cx:pt idx="1">0.16991342286793781</cx:pt>
          <cx:pt idx="2">0.026300425519870281</cx:pt>
          <cx:pt idx="3">0.16422829171906816</cx:pt>
        </cx:lvl>
      </cx:numDim>
    </cx:data>
  </cx:chartData>
  <cx:chart>
    <cx:title pos="t" align="ctr" overlay="0">
      <cx:tx>
        <cx:rich>
          <a:bodyPr spcFirstLastPara="1" vertOverflow="ellipsis" horzOverflow="overflow" wrap="square" lIns="0" tIns="0" rIns="0" bIns="0" anchor="ctr" anchorCtr="1"/>
          <a:lstStyle/>
          <a:p>
            <a:pPr algn="ctr" rtl="0">
              <a:defRPr b="1"/>
            </a:pPr>
            <a:r>
              <a:rPr lang="zh-CN" altLang="en-US" sz="1400" b="1" i="0" u="none" strike="noStrike" baseline="0">
                <a:solidFill>
                  <a:sysClr val="windowText" lastClr="000000">
                    <a:lumMod val="65000"/>
                    <a:lumOff val="35000"/>
                  </a:sysClr>
                </a:solidFill>
                <a:latin typeface="Aptos Narrow" panose="02110004020202020204"/>
              </a:rPr>
              <a:t>合作伙伴签署的财务捐款</a:t>
            </a:r>
            <a:r>
              <a:rPr lang="en-US" sz="1400" b="1" i="0" u="none" strike="noStrike" baseline="0">
                <a:solidFill>
                  <a:sysClr val="windowText" lastClr="000000">
                    <a:lumMod val="65000"/>
                    <a:lumOff val="35000"/>
                  </a:sysClr>
                </a:solidFill>
                <a:latin typeface="Aptos Narrow" panose="02110004020202020204"/>
              </a:rPr>
              <a:t> </a:t>
            </a:r>
            <a:r>
              <a:rPr lang="zh-CN" altLang="en-US" sz="1400" b="1" i="0" u="none" strike="noStrike" baseline="0">
                <a:solidFill>
                  <a:sysClr val="windowText" lastClr="000000">
                    <a:lumMod val="65000"/>
                    <a:lumOff val="35000"/>
                  </a:sysClr>
                </a:solidFill>
                <a:latin typeface="Aptos Narrow" panose="02110004020202020204"/>
              </a:rPr>
              <a:t>（</a:t>
            </a:r>
            <a:r>
              <a:rPr lang="en-US" sz="1400" b="1" i="0" u="none" strike="noStrike" baseline="0">
                <a:solidFill>
                  <a:sysClr val="windowText" lastClr="000000">
                    <a:lumMod val="65000"/>
                    <a:lumOff val="35000"/>
                  </a:sysClr>
                </a:solidFill>
                <a:latin typeface="Aptos Narrow" panose="02110004020202020204"/>
              </a:rPr>
              <a:t>2024</a:t>
            </a:r>
            <a:r>
              <a:rPr lang="zh-CN" altLang="en-US" sz="1400" b="1" i="0" u="none" strike="noStrike" baseline="0">
                <a:solidFill>
                  <a:sysClr val="windowText" lastClr="000000">
                    <a:lumMod val="65000"/>
                    <a:lumOff val="35000"/>
                  </a:sysClr>
                </a:solidFill>
                <a:latin typeface="Aptos Narrow" panose="02110004020202020204"/>
              </a:rPr>
              <a:t>年）</a:t>
            </a:r>
            <a:endParaRPr lang="en-US" sz="1400" b="1" i="0" u="none" strike="noStrike" baseline="0">
              <a:solidFill>
                <a:sysClr val="windowText" lastClr="000000">
                  <a:lumMod val="65000"/>
                  <a:lumOff val="35000"/>
                </a:sysClr>
              </a:solidFill>
              <a:latin typeface="Aptos Narrow" panose="02110004020202020204"/>
            </a:endParaRPr>
          </a:p>
        </cx:rich>
      </cx:tx>
    </cx:title>
    <cx:plotArea>
      <cx:plotAreaRegion>
        <cx:series layoutId="treemap" uniqueId="{9F6011A0-7CDF-4CF2-91DD-F7EA589F8C80}">
          <cx:tx>
            <cx:txData>
              <cx:f>Types!$B$15</cx:f>
              <cx:v>BDT partners financial contributions</cx:v>
            </cx:txData>
          </cx:tx>
          <cx:dataLabels pos="inEnd">
            <cx:txPr>
              <a:bodyPr spcFirstLastPara="1" vertOverflow="ellipsis" horzOverflow="overflow" wrap="square" lIns="0" tIns="0" rIns="0" bIns="0" anchor="ctr" anchorCtr="1"/>
              <a:lstStyle/>
              <a:p>
                <a:pPr algn="ctr" rtl="0">
                  <a:defRPr b="1"/>
                </a:pPr>
                <a:endParaRPr lang="en-US" sz="900" b="1" i="0" u="none" strike="noStrike" baseline="0">
                  <a:solidFill>
                    <a:sysClr val="window" lastClr="FFFFFF"/>
                  </a:solidFill>
                  <a:latin typeface="Aptos Narrow" panose="02110004020202020204"/>
                </a:endParaRPr>
              </a:p>
            </cx:txPr>
            <cx:visibility seriesName="0" categoryName="0"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Aptos Narrow" panose="02110004020202020204"/>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8CC42E0D-4D9B-4D45-9725-3DD5FAC6952D}"/>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2072</Words>
  <Characters>474</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Kong, Hongli</cp:lastModifiedBy>
  <cp:revision>22</cp:revision>
  <cp:lastPrinted>2014-11-04T09:22:00Z</cp:lastPrinted>
  <dcterms:created xsi:type="dcterms:W3CDTF">2025-04-11T13:40:00Z</dcterms:created>
  <dcterms:modified xsi:type="dcterms:W3CDTF">2025-04-25T14:21:00Z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