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1699"/>
        <w:gridCol w:w="4961"/>
        <w:gridCol w:w="1559"/>
        <w:gridCol w:w="1420"/>
      </w:tblGrid>
      <w:tr w:rsidR="00AD1E92" w:rsidRPr="00783A69" w14:paraId="0427A6F1" w14:textId="77777777" w:rsidTr="00AD1E92">
        <w:trPr>
          <w:cantSplit/>
          <w:trHeight w:val="1310"/>
          <w:jc w:val="center"/>
        </w:trPr>
        <w:tc>
          <w:tcPr>
            <w:tcW w:w="1699" w:type="dxa"/>
            <w:tcBorders>
              <w:bottom w:val="single" w:sz="12" w:space="0" w:color="auto"/>
            </w:tcBorders>
            <w:vAlign w:val="center"/>
          </w:tcPr>
          <w:p w14:paraId="4B675DAB" w14:textId="77777777" w:rsidR="00AD1E92" w:rsidRPr="00C85CB5" w:rsidRDefault="00AD1E92" w:rsidP="00AD1E92">
            <w:pPr>
              <w:spacing w:before="240"/>
              <w:jc w:val="center"/>
              <w:rPr>
                <w:b/>
                <w:bCs/>
                <w:sz w:val="32"/>
                <w:szCs w:val="32"/>
                <w:rtl/>
                <w:lang w:bidi="ar-SY"/>
              </w:rPr>
            </w:pPr>
            <w:r>
              <w:rPr>
                <w:b/>
                <w:bCs/>
                <w:noProof/>
                <w:sz w:val="28"/>
                <w:szCs w:val="28"/>
                <w:lang w:bidi="ar-SY"/>
              </w:rPr>
              <w:drawing>
                <wp:inline distT="0" distB="0" distL="0" distR="0" wp14:anchorId="2947DA21" wp14:editId="4487E7CC">
                  <wp:extent cx="1080000" cy="990000"/>
                  <wp:effectExtent l="0" t="0" r="6350" b="635"/>
                  <wp:docPr id="1506423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55" t="8159" r="25763" b="17753"/>
                          <a:stretch/>
                        </pic:blipFill>
                        <pic:spPr bwMode="auto">
                          <a:xfrm>
                            <a:off x="0" y="0"/>
                            <a:ext cx="1080000" cy="9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Borders>
              <w:bottom w:val="single" w:sz="12" w:space="0" w:color="auto"/>
            </w:tcBorders>
            <w:vAlign w:val="center"/>
          </w:tcPr>
          <w:p w14:paraId="57813BC4" w14:textId="77777777" w:rsidR="00AD1E92" w:rsidRDefault="00AD1E92" w:rsidP="00AD1E92">
            <w:pPr>
              <w:jc w:val="left"/>
              <w:rPr>
                <w:b/>
                <w:bCs/>
                <w:sz w:val="32"/>
                <w:szCs w:val="32"/>
                <w:lang w:bidi="ar-EG"/>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13DEB575" w14:textId="77777777" w:rsidR="00AD1E92" w:rsidRPr="00457D22" w:rsidRDefault="00AD1E92" w:rsidP="00AD1E92">
            <w:pPr>
              <w:jc w:val="left"/>
              <w:rPr>
                <w:b/>
                <w:bCs/>
                <w:sz w:val="28"/>
                <w:szCs w:val="28"/>
                <w:rtl/>
                <w:lang w:bidi="ar-SY"/>
              </w:rPr>
            </w:pPr>
            <w:r w:rsidRPr="00457D22">
              <w:rPr>
                <w:b/>
                <w:bCs/>
                <w:sz w:val="26"/>
                <w:szCs w:val="26"/>
                <w:rtl/>
              </w:rPr>
              <w:t xml:space="preserve">الاجتماع </w:t>
            </w:r>
            <w:r>
              <w:rPr>
                <w:rFonts w:hint="cs"/>
                <w:b/>
                <w:bCs/>
                <w:sz w:val="26"/>
                <w:szCs w:val="26"/>
                <w:rtl/>
              </w:rPr>
              <w:t>الثاني</w:t>
            </w:r>
            <w:r w:rsidRPr="00457D22">
              <w:rPr>
                <w:b/>
                <w:bCs/>
                <w:sz w:val="26"/>
                <w:szCs w:val="26"/>
                <w:rtl/>
              </w:rPr>
              <w:t xml:space="preserve"> والثلاثون، جنيف، سويسرا، </w:t>
            </w:r>
            <w:r>
              <w:rPr>
                <w:rFonts w:hint="cs"/>
                <w:b/>
                <w:bCs/>
                <w:sz w:val="26"/>
                <w:szCs w:val="26"/>
                <w:rtl/>
              </w:rPr>
              <w:t>12</w:t>
            </w:r>
            <w:r w:rsidRPr="00457D22">
              <w:rPr>
                <w:b/>
                <w:bCs/>
                <w:sz w:val="26"/>
                <w:szCs w:val="26"/>
                <w:rtl/>
              </w:rPr>
              <w:t>-</w:t>
            </w:r>
            <w:r>
              <w:rPr>
                <w:rFonts w:hint="cs"/>
                <w:b/>
                <w:bCs/>
                <w:sz w:val="26"/>
                <w:szCs w:val="26"/>
                <w:rtl/>
              </w:rPr>
              <w:t>16</w:t>
            </w:r>
            <w:r w:rsidRPr="00457D22">
              <w:rPr>
                <w:b/>
                <w:bCs/>
                <w:sz w:val="26"/>
                <w:szCs w:val="26"/>
                <w:rtl/>
              </w:rPr>
              <w:t xml:space="preserve"> مايو </w:t>
            </w:r>
            <w:r>
              <w:rPr>
                <w:rFonts w:hint="cs"/>
                <w:b/>
                <w:bCs/>
                <w:sz w:val="26"/>
                <w:szCs w:val="26"/>
                <w:rtl/>
              </w:rPr>
              <w:t>2025</w:t>
            </w:r>
          </w:p>
        </w:tc>
        <w:tc>
          <w:tcPr>
            <w:tcW w:w="1420" w:type="dxa"/>
            <w:tcBorders>
              <w:bottom w:val="single" w:sz="12" w:space="0" w:color="auto"/>
            </w:tcBorders>
            <w:vAlign w:val="center"/>
          </w:tcPr>
          <w:p w14:paraId="61E40884" w14:textId="77777777" w:rsidR="00AD1E92" w:rsidRPr="00783A69" w:rsidRDefault="00AD1E92" w:rsidP="00AD1E92">
            <w:pPr>
              <w:spacing w:after="120"/>
              <w:jc w:val="center"/>
              <w:rPr>
                <w:lang w:val="en-GB" w:bidi="ar-EG"/>
              </w:rPr>
            </w:pPr>
            <w:bookmarkStart w:id="0" w:name="ditulogo"/>
            <w:bookmarkEnd w:id="0"/>
            <w:r>
              <w:rPr>
                <w:noProof/>
                <w:lang w:val="fr-FR" w:eastAsia="fr-FR"/>
              </w:rPr>
              <w:drawing>
                <wp:inline distT="0" distB="0" distL="0" distR="0" wp14:anchorId="2CD465B6" wp14:editId="6B4EC07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67E06371" w14:textId="77777777" w:rsidTr="00AD1E92">
        <w:trPr>
          <w:cantSplit/>
          <w:jc w:val="center"/>
        </w:trPr>
        <w:tc>
          <w:tcPr>
            <w:tcW w:w="6660" w:type="dxa"/>
            <w:gridSpan w:val="2"/>
            <w:tcBorders>
              <w:top w:val="single" w:sz="12" w:space="0" w:color="auto"/>
            </w:tcBorders>
          </w:tcPr>
          <w:p w14:paraId="003C301D" w14:textId="77777777" w:rsidR="00CA08BA" w:rsidRPr="00783A69" w:rsidRDefault="00CA08BA" w:rsidP="00B93B7B">
            <w:pPr>
              <w:spacing w:before="20" w:after="20" w:line="300" w:lineRule="exact"/>
              <w:rPr>
                <w:b/>
                <w:bCs/>
                <w:rtl/>
                <w:lang w:bidi="ar-EG"/>
              </w:rPr>
            </w:pPr>
          </w:p>
        </w:tc>
        <w:tc>
          <w:tcPr>
            <w:tcW w:w="2979" w:type="dxa"/>
            <w:gridSpan w:val="2"/>
            <w:tcBorders>
              <w:top w:val="single" w:sz="12" w:space="0" w:color="auto"/>
            </w:tcBorders>
          </w:tcPr>
          <w:p w14:paraId="200E83BB" w14:textId="77777777" w:rsidR="00CA08BA" w:rsidRPr="00C85CB5" w:rsidRDefault="00CA08BA" w:rsidP="00B93B7B">
            <w:pPr>
              <w:spacing w:before="20" w:after="20" w:line="300" w:lineRule="exact"/>
              <w:rPr>
                <w:b/>
                <w:bCs/>
                <w:highlight w:val="yellow"/>
                <w:rtl/>
                <w:lang w:bidi="ar-EG"/>
              </w:rPr>
            </w:pPr>
          </w:p>
        </w:tc>
      </w:tr>
      <w:tr w:rsidR="00783A69" w:rsidRPr="00783A69" w14:paraId="4972D429" w14:textId="77777777" w:rsidTr="00AD1E92">
        <w:trPr>
          <w:cantSplit/>
          <w:jc w:val="center"/>
        </w:trPr>
        <w:tc>
          <w:tcPr>
            <w:tcW w:w="6660" w:type="dxa"/>
            <w:gridSpan w:val="2"/>
          </w:tcPr>
          <w:p w14:paraId="2653CB5B" w14:textId="77777777" w:rsidR="00783A69" w:rsidRPr="00783A69" w:rsidRDefault="00783A69" w:rsidP="00B93B7B">
            <w:pPr>
              <w:spacing w:before="20" w:after="20" w:line="300" w:lineRule="exact"/>
              <w:rPr>
                <w:b/>
                <w:bCs/>
                <w:rtl/>
                <w:lang w:bidi="ar-EG"/>
              </w:rPr>
            </w:pPr>
          </w:p>
        </w:tc>
        <w:tc>
          <w:tcPr>
            <w:tcW w:w="2979" w:type="dxa"/>
            <w:gridSpan w:val="2"/>
          </w:tcPr>
          <w:p w14:paraId="77AD2BB6" w14:textId="14AB9506" w:rsidR="00783A69" w:rsidRPr="00153471" w:rsidRDefault="00783A69" w:rsidP="006B266A">
            <w:pPr>
              <w:spacing w:before="20" w:after="20" w:line="300" w:lineRule="exact"/>
              <w:rPr>
                <w:b/>
                <w:bCs/>
                <w:rtl/>
                <w:lang w:bidi="ar-SY"/>
              </w:rPr>
            </w:pPr>
            <w:r w:rsidRPr="00153471">
              <w:rPr>
                <w:rFonts w:hint="cs"/>
                <w:b/>
                <w:bCs/>
                <w:rtl/>
                <w:lang w:bidi="ar-EG"/>
              </w:rPr>
              <w:t xml:space="preserve">الوثيقة </w:t>
            </w:r>
            <w:r w:rsidRPr="00153471">
              <w:rPr>
                <w:b/>
                <w:bCs/>
                <w:lang w:bidi="ar-EG"/>
              </w:rPr>
              <w:t>TDAG-</w:t>
            </w:r>
            <w:r w:rsidR="006B266A">
              <w:rPr>
                <w:b/>
                <w:bCs/>
                <w:lang w:bidi="ar-EG"/>
              </w:rPr>
              <w:t>25</w:t>
            </w:r>
            <w:r w:rsidR="008562F3" w:rsidRPr="006B266A">
              <w:rPr>
                <w:b/>
                <w:bCs/>
                <w:lang w:bidi="ar-EG"/>
              </w:rPr>
              <w:t>/</w:t>
            </w:r>
            <w:r w:rsidR="00E306FF">
              <w:rPr>
                <w:b/>
                <w:bCs/>
                <w:lang w:bidi="ar-EG"/>
              </w:rPr>
              <w:t>9</w:t>
            </w:r>
            <w:r w:rsidRPr="00153471">
              <w:rPr>
                <w:b/>
                <w:bCs/>
                <w:lang w:bidi="ar-EG"/>
              </w:rPr>
              <w:t>-A</w:t>
            </w:r>
          </w:p>
        </w:tc>
      </w:tr>
      <w:tr w:rsidR="00783A69" w:rsidRPr="00783A69" w14:paraId="4C72DB8D" w14:textId="77777777" w:rsidTr="00AD1E92">
        <w:trPr>
          <w:cantSplit/>
          <w:jc w:val="center"/>
        </w:trPr>
        <w:tc>
          <w:tcPr>
            <w:tcW w:w="6660" w:type="dxa"/>
            <w:gridSpan w:val="2"/>
          </w:tcPr>
          <w:p w14:paraId="55420A3A" w14:textId="77777777" w:rsidR="00783A69" w:rsidRPr="00783A69" w:rsidRDefault="00783A69" w:rsidP="00B93B7B">
            <w:pPr>
              <w:spacing w:before="20" w:after="20" w:line="300" w:lineRule="exact"/>
              <w:rPr>
                <w:b/>
                <w:bCs/>
              </w:rPr>
            </w:pPr>
          </w:p>
        </w:tc>
        <w:tc>
          <w:tcPr>
            <w:tcW w:w="2979" w:type="dxa"/>
            <w:gridSpan w:val="2"/>
          </w:tcPr>
          <w:p w14:paraId="618F2B09" w14:textId="33A83D2B" w:rsidR="00783A69" w:rsidRPr="00C85CB5" w:rsidRDefault="00E306FF" w:rsidP="00B319BC">
            <w:pPr>
              <w:spacing w:before="20" w:after="20" w:line="300" w:lineRule="exact"/>
              <w:rPr>
                <w:b/>
                <w:bCs/>
                <w:highlight w:val="yellow"/>
                <w:rtl/>
              </w:rPr>
            </w:pPr>
            <w:r>
              <w:rPr>
                <w:b/>
                <w:bCs/>
                <w:lang w:bidi="ar-EG"/>
              </w:rPr>
              <w:t>25</w:t>
            </w:r>
            <w:r w:rsidR="00783A69" w:rsidRPr="006B266A">
              <w:rPr>
                <w:rFonts w:hint="cs"/>
                <w:b/>
                <w:bCs/>
                <w:rtl/>
                <w:lang w:bidi="ar-EG"/>
              </w:rPr>
              <w:t xml:space="preserve"> </w:t>
            </w:r>
            <w:r>
              <w:rPr>
                <w:rFonts w:hint="cs"/>
                <w:b/>
                <w:bCs/>
                <w:rtl/>
                <w:lang w:bidi="ar-EG"/>
              </w:rPr>
              <w:t>مارس</w:t>
            </w:r>
            <w:r w:rsidR="00783A69" w:rsidRPr="006B266A">
              <w:rPr>
                <w:rFonts w:hint="cs"/>
                <w:b/>
                <w:bCs/>
                <w:rtl/>
                <w:lang w:bidi="ar-EG"/>
              </w:rPr>
              <w:t xml:space="preserve"> </w:t>
            </w:r>
            <w:r w:rsidR="00457D22" w:rsidRPr="006B266A">
              <w:rPr>
                <w:b/>
                <w:bCs/>
                <w:lang w:bidi="ar-EG"/>
              </w:rPr>
              <w:t>202</w:t>
            </w:r>
            <w:r w:rsidR="006B266A" w:rsidRPr="006B266A">
              <w:rPr>
                <w:b/>
                <w:bCs/>
                <w:lang w:bidi="ar-EG"/>
              </w:rPr>
              <w:t>5</w:t>
            </w:r>
          </w:p>
        </w:tc>
      </w:tr>
      <w:tr w:rsidR="00783A69" w:rsidRPr="00783A69" w14:paraId="2534AFC6" w14:textId="77777777" w:rsidTr="00AD1E92">
        <w:trPr>
          <w:cantSplit/>
          <w:jc w:val="center"/>
        </w:trPr>
        <w:tc>
          <w:tcPr>
            <w:tcW w:w="6660" w:type="dxa"/>
            <w:gridSpan w:val="2"/>
          </w:tcPr>
          <w:p w14:paraId="6D5D7D8C" w14:textId="77777777" w:rsidR="00783A69" w:rsidRPr="00783A69" w:rsidRDefault="00783A69" w:rsidP="00B93B7B">
            <w:pPr>
              <w:spacing w:before="20" w:after="20" w:line="300" w:lineRule="exact"/>
              <w:rPr>
                <w:b/>
                <w:bCs/>
                <w:lang w:bidi="ar-EG"/>
              </w:rPr>
            </w:pPr>
          </w:p>
        </w:tc>
        <w:tc>
          <w:tcPr>
            <w:tcW w:w="2979" w:type="dxa"/>
            <w:gridSpan w:val="2"/>
          </w:tcPr>
          <w:p w14:paraId="36A64F15" w14:textId="77777777" w:rsidR="00783A69" w:rsidRPr="00153471" w:rsidRDefault="00783A69" w:rsidP="00B93B7B">
            <w:pPr>
              <w:spacing w:before="20" w:after="20" w:line="300" w:lineRule="exact"/>
              <w:rPr>
                <w:b/>
                <w:bCs/>
                <w:rtl/>
                <w:lang w:bidi="ar-EG"/>
              </w:rPr>
            </w:pPr>
            <w:r w:rsidRPr="00153471">
              <w:rPr>
                <w:rFonts w:hint="cs"/>
                <w:b/>
                <w:bCs/>
                <w:rtl/>
                <w:lang w:bidi="ar-EG"/>
              </w:rPr>
              <w:t>الأصل: بالإنكليزية</w:t>
            </w:r>
          </w:p>
        </w:tc>
      </w:tr>
      <w:tr w:rsidR="00783A69" w:rsidRPr="00783A69" w14:paraId="71986107" w14:textId="77777777" w:rsidTr="00EE5CF2">
        <w:trPr>
          <w:cantSplit/>
          <w:jc w:val="center"/>
        </w:trPr>
        <w:tc>
          <w:tcPr>
            <w:tcW w:w="9639" w:type="dxa"/>
            <w:gridSpan w:val="4"/>
          </w:tcPr>
          <w:p w14:paraId="7147FBEB" w14:textId="58B9D176" w:rsidR="00783A69" w:rsidRPr="00783A69" w:rsidRDefault="00E306FF" w:rsidP="00E306FF">
            <w:pPr>
              <w:pStyle w:val="Source"/>
              <w:rPr>
                <w:rFonts w:hint="cs"/>
                <w:lang w:bidi="ar-EG"/>
              </w:rPr>
            </w:pPr>
            <w:r w:rsidRPr="00473622">
              <w:rPr>
                <w:rtl/>
              </w:rPr>
              <w:t>مدير مكتب تنمية الاتصالات</w:t>
            </w:r>
          </w:p>
        </w:tc>
      </w:tr>
      <w:tr w:rsidR="00783A69" w:rsidRPr="00783A69" w14:paraId="108CE155" w14:textId="77777777" w:rsidTr="00EE5CF2">
        <w:trPr>
          <w:cantSplit/>
          <w:jc w:val="center"/>
        </w:trPr>
        <w:tc>
          <w:tcPr>
            <w:tcW w:w="9639" w:type="dxa"/>
            <w:gridSpan w:val="4"/>
          </w:tcPr>
          <w:p w14:paraId="7DCF30B7" w14:textId="094F6B9C" w:rsidR="00783A69" w:rsidRPr="00783A69" w:rsidRDefault="00E306FF" w:rsidP="00E306FF">
            <w:pPr>
              <w:pStyle w:val="Title1"/>
              <w:rPr>
                <w:lang w:bidi="ar-EG"/>
              </w:rPr>
            </w:pPr>
            <w:r w:rsidRPr="00473622">
              <w:rPr>
                <w:rtl/>
              </w:rPr>
              <w:t>الشراكات وتعبئة الموارد في قطاع تنمية الاتصالات بالاتحاد الدولي للاتصالات</w:t>
            </w:r>
          </w:p>
        </w:tc>
      </w:tr>
    </w:tbl>
    <w:p w14:paraId="07AD2F4E"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4C3B8AF2" w14:textId="77777777" w:rsidTr="006B266A">
        <w:trPr>
          <w:cantSplit/>
          <w:jc w:val="center"/>
        </w:trPr>
        <w:tc>
          <w:tcPr>
            <w:tcW w:w="9638" w:type="dxa"/>
            <w:tcBorders>
              <w:top w:val="single" w:sz="6" w:space="0" w:color="auto"/>
              <w:left w:val="single" w:sz="6" w:space="0" w:color="auto"/>
              <w:bottom w:val="single" w:sz="6" w:space="0" w:color="auto"/>
              <w:right w:val="single" w:sz="6" w:space="0" w:color="auto"/>
            </w:tcBorders>
          </w:tcPr>
          <w:p w14:paraId="19FC8A5F" w14:textId="77777777" w:rsidR="00783A69" w:rsidRPr="00153471" w:rsidRDefault="00783A69" w:rsidP="00EE5CF2">
            <w:pPr>
              <w:rPr>
                <w:b/>
                <w:bCs/>
                <w:rtl/>
                <w:lang w:bidi="ar-SY"/>
              </w:rPr>
            </w:pPr>
            <w:r w:rsidRPr="00153471">
              <w:rPr>
                <w:rFonts w:hint="cs"/>
                <w:b/>
                <w:bCs/>
                <w:rtl/>
                <w:lang w:bidi="ar-SY"/>
              </w:rPr>
              <w:t>ملخص</w:t>
            </w:r>
            <w:r w:rsidR="005874F2" w:rsidRPr="00153471">
              <w:rPr>
                <w:rFonts w:hint="cs"/>
                <w:b/>
                <w:bCs/>
                <w:rtl/>
                <w:lang w:bidi="ar-SY"/>
              </w:rPr>
              <w:t>:</w:t>
            </w:r>
          </w:p>
          <w:p w14:paraId="0855197C" w14:textId="7B1983F1" w:rsidR="00783A69" w:rsidRPr="00E306FF" w:rsidRDefault="00E306FF" w:rsidP="00E306FF">
            <w:pPr>
              <w:rPr>
                <w:rtl/>
              </w:rPr>
            </w:pPr>
            <w:r w:rsidRPr="00E306FF">
              <w:rPr>
                <w:rtl/>
              </w:rPr>
              <w:t>سُلط الضوء على أهمية الشراكات وتعبئة الموارد خلال المؤتمر العالمي لتنمية الاتصالات لعام 2022 (WTDC-22)، ولا</w:t>
            </w:r>
            <w:r w:rsidR="000876C9">
              <w:rPr>
                <w:rFonts w:hint="cs"/>
                <w:rtl/>
              </w:rPr>
              <w:t> </w:t>
            </w:r>
            <w:r w:rsidRPr="00E306FF">
              <w:rPr>
                <w:rtl/>
              </w:rPr>
              <w:t>سيما في إعلان كيغالي، وفي خطة عمل كيغالي (القسمان 1.3 و3.3) وفي القرار 17 (المراجَع في كيغالي، 2022) - تنفيذ المبادرات الإقليمية المعتمدة على الأصعدة الوطنية والإقليمية والأقاليمية والعالمية والتعاون بشأنها. وتقدم هذه الوثيقة تقريراً عن الشراكات وأنشطة تعبئة الموارد المضطلع بها في عام 2024.</w:t>
            </w:r>
          </w:p>
          <w:p w14:paraId="43BF5BA6" w14:textId="77777777" w:rsidR="00783A69" w:rsidRPr="00E43176" w:rsidRDefault="00783A69" w:rsidP="00EE5CF2">
            <w:pPr>
              <w:rPr>
                <w:rtl/>
                <w:lang w:bidi="ar-SY"/>
              </w:rPr>
            </w:pPr>
            <w:r w:rsidRPr="00153471">
              <w:rPr>
                <w:rFonts w:hint="cs"/>
                <w:b/>
                <w:bCs/>
                <w:rtl/>
                <w:lang w:bidi="ar-SY"/>
              </w:rPr>
              <w:t>الإجراء المطلوب</w:t>
            </w:r>
            <w:r w:rsidR="005874F2" w:rsidRPr="00153471">
              <w:rPr>
                <w:rFonts w:hint="cs"/>
                <w:b/>
                <w:bCs/>
                <w:rtl/>
                <w:lang w:bidi="ar-SY"/>
              </w:rPr>
              <w:t>:</w:t>
            </w:r>
          </w:p>
          <w:p w14:paraId="1F2BD296" w14:textId="6962E502" w:rsidR="004F0F62" w:rsidRPr="004F0F62" w:rsidRDefault="004F0F62" w:rsidP="004F0F62">
            <w:pPr>
              <w:rPr>
                <w:color w:val="000000"/>
                <w:rtl/>
                <w:lang w:bidi="ar-EG"/>
              </w:rPr>
            </w:pPr>
            <w:r w:rsidRPr="004F0F62">
              <w:rPr>
                <w:rFonts w:hint="cs"/>
                <w:color w:val="000000"/>
                <w:rtl/>
                <w:lang w:bidi="ar-EG"/>
              </w:rPr>
              <w:t>ي</w:t>
            </w:r>
            <w:r w:rsidR="00E306FF">
              <w:rPr>
                <w:rFonts w:hint="cs"/>
                <w:color w:val="000000"/>
                <w:rtl/>
                <w:lang w:bidi="ar-EG"/>
              </w:rPr>
              <w:t>ُ</w:t>
            </w:r>
            <w:r w:rsidRPr="004F0F62">
              <w:rPr>
                <w:rFonts w:hint="cs"/>
                <w:color w:val="000000"/>
                <w:rtl/>
                <w:lang w:bidi="ar-EG"/>
              </w:rPr>
              <w:t>دعى الفريق الاستشاري لتنمية الاتصالات إلى الإحاطة علماً بهذه الوثيقة وتقديم التوجيهات التي يراها مناسبة.</w:t>
            </w:r>
          </w:p>
          <w:p w14:paraId="6F3A91D1" w14:textId="77777777" w:rsidR="00783A69" w:rsidRPr="00153471" w:rsidRDefault="00783A69" w:rsidP="00EE5CF2">
            <w:pPr>
              <w:rPr>
                <w:b/>
                <w:bCs/>
                <w:rtl/>
                <w:lang w:bidi="ar-SY"/>
              </w:rPr>
            </w:pPr>
            <w:r w:rsidRPr="00153471">
              <w:rPr>
                <w:rFonts w:hint="cs"/>
                <w:b/>
                <w:bCs/>
                <w:rtl/>
                <w:lang w:bidi="ar-SY"/>
              </w:rPr>
              <w:t>المراجع</w:t>
            </w:r>
            <w:r w:rsidR="005874F2" w:rsidRPr="00153471">
              <w:rPr>
                <w:rFonts w:hint="cs"/>
                <w:b/>
                <w:bCs/>
                <w:rtl/>
                <w:lang w:bidi="ar-SY"/>
              </w:rPr>
              <w:t>:</w:t>
            </w:r>
          </w:p>
          <w:p w14:paraId="010133B2" w14:textId="77777777" w:rsidR="00E306FF" w:rsidRPr="00473622" w:rsidRDefault="00E306FF" w:rsidP="00E306FF">
            <w:pPr>
              <w:rPr>
                <w:lang w:val="ar-SA" w:eastAsia="zh-TW" w:bidi="en-GB"/>
              </w:rPr>
            </w:pPr>
            <w:r w:rsidRPr="00473622">
              <w:rPr>
                <w:rtl/>
              </w:rPr>
              <w:t>القسمان 1.3 و3.3 من خطة عمل كيغالي</w:t>
            </w:r>
          </w:p>
          <w:p w14:paraId="2628D575" w14:textId="4BB253F4" w:rsidR="00E306FF" w:rsidRPr="00473622" w:rsidRDefault="00E306FF" w:rsidP="00E306FF">
            <w:pPr>
              <w:rPr>
                <w:lang w:val="ar-SA" w:eastAsia="zh-TW" w:bidi="en-GB"/>
              </w:rPr>
            </w:pPr>
            <w:r w:rsidRPr="00473622">
              <w:rPr>
                <w:rtl/>
              </w:rPr>
              <w:t xml:space="preserve">القـرار 17 (المراجَع في كيغالي، 2022) </w:t>
            </w:r>
            <w:r w:rsidR="0019368B">
              <w:rPr>
                <w:rFonts w:hint="cs"/>
                <w:rtl/>
              </w:rPr>
              <w:t>-</w:t>
            </w:r>
            <w:r w:rsidRPr="00473622">
              <w:rPr>
                <w:rtl/>
              </w:rPr>
              <w:t xml:space="preserve"> تنفيذ المبادرات الإقليمية المعتمدة على الأصعدة الوطنية والإقليمية والأقاليمية والعالمية والتعاون بشأنها</w:t>
            </w:r>
          </w:p>
          <w:p w14:paraId="34F8EA26" w14:textId="0791C047" w:rsidR="00783A69" w:rsidRPr="00153471" w:rsidRDefault="00E306FF" w:rsidP="00714568">
            <w:pPr>
              <w:spacing w:after="120"/>
              <w:rPr>
                <w:rtl/>
              </w:rPr>
            </w:pPr>
            <w:r w:rsidRPr="00473622">
              <w:rPr>
                <w:rtl/>
              </w:rPr>
              <w:t>إعلان المؤتمر العالمي لتنمية الاتصالات لعام 2022</w:t>
            </w:r>
          </w:p>
        </w:tc>
      </w:tr>
    </w:tbl>
    <w:p w14:paraId="234E4945" w14:textId="77777777" w:rsidR="00882A17" w:rsidRDefault="00882A17">
      <w:pPr>
        <w:tabs>
          <w:tab w:val="clear" w:pos="794"/>
        </w:tabs>
        <w:bidi w:val="0"/>
        <w:spacing w:before="0" w:after="160" w:line="259" w:lineRule="auto"/>
        <w:jc w:val="left"/>
        <w:rPr>
          <w:lang w:bidi="ar-EG"/>
        </w:rPr>
      </w:pPr>
      <w:r>
        <w:rPr>
          <w:rtl/>
          <w:lang w:bidi="ar-EG"/>
        </w:rPr>
        <w:br w:type="page"/>
      </w:r>
    </w:p>
    <w:p w14:paraId="65684E46" w14:textId="625A859F" w:rsidR="00E306FF" w:rsidRPr="0019368B" w:rsidRDefault="0019368B" w:rsidP="0019368B">
      <w:pPr>
        <w:pStyle w:val="Heading1"/>
      </w:pPr>
      <w:r w:rsidRPr="0019368B">
        <w:lastRenderedPageBreak/>
        <w:t>1</w:t>
      </w:r>
      <w:r w:rsidRPr="0019368B">
        <w:tab/>
      </w:r>
      <w:r w:rsidR="00E306FF" w:rsidRPr="0019368B">
        <w:rPr>
          <w:rtl/>
        </w:rPr>
        <w:t>خلفية</w:t>
      </w:r>
    </w:p>
    <w:p w14:paraId="6D8FB55C" w14:textId="00E6728B" w:rsidR="00E306FF" w:rsidRPr="0019368B" w:rsidRDefault="00E306FF" w:rsidP="0019368B">
      <w:r w:rsidRPr="0019368B">
        <w:rPr>
          <w:rtl/>
        </w:rPr>
        <w:t xml:space="preserve">أقر المؤتمر العالمي لتنمية الاتصالات لعام 2022 (WTDC-22) بأهمية تعبئة الموارد والتعاون الدولي، باعتبارهما من الأولويات الجديدة لقطاع تنمية الاتصالات ومن العوامل التمكينية المحددة في خطة عمل كيغالي: "ينصب تركيز هذه الأولوية على تعبئة الموارد واجتذابها وتعزيز التعاون الدولي بشأن قضايا تنمية الاتصالات/تكنولوجيا المعلومات والاتصالات. وتشمل هذه الأولوية أيضاً عدة قطاعات من خلال توفير الموارد وتعزيز التعاون الدولي لتحقيق النتائج العالمية ذات الصلة. وينبغي، في هذه العملية، إعطاء الأولوية وإيلاء الاهتمام الواجب لاحتياجات البلدان النامية، بما فيها أقل البلدان نمواً والدول الجزرية الصغيرة النامية </w:t>
      </w:r>
      <w:r w:rsidRPr="00714568">
        <w:rPr>
          <w:rtl/>
        </w:rPr>
        <w:t>والبلدان النامية المحاطة باليابسة</w:t>
      </w:r>
      <w:r w:rsidRPr="0019368B">
        <w:rPr>
          <w:rtl/>
        </w:rPr>
        <w:t xml:space="preserve"> والبلدان التي تمر اقتصاداتها بمرحلة انتقالية، فضلاً عن الفئات السكانية الضعيفة والمفتقرة إلى الخدمات." (خطة عمل كيغالي).</w:t>
      </w:r>
    </w:p>
    <w:p w14:paraId="3D2D73C6" w14:textId="77777777" w:rsidR="00E306FF" w:rsidRPr="0019368B" w:rsidRDefault="00E306FF" w:rsidP="0019368B">
      <w:r w:rsidRPr="0019368B">
        <w:rPr>
          <w:rtl/>
        </w:rPr>
        <w:t xml:space="preserve">ويكلف القرار 17 (المراجَع في كيغالي، 2022)، بشأن "تنفيذ المبادرات الإقليمية المعتمدة على الأصعدة الوطنية والإقليمية والأقاليمية والعالمية والتعاون بشأنها"، مدير مكتب تنمية الاتصالات "بضمان أن ييسر مكتب تنمية الاتصالات المشاركة الفعّالة للمنظمات الإقليمية ودون الإقليمية للاتصالات في مختلف مراحل إدارة المشاريع التي حددها الاتحاد، وكذلك في إقامة شراكات وتعبئة الموارد، بغية التقدم الفعّال في تنفيذ المبادرات الإقليمية." </w:t>
      </w:r>
    </w:p>
    <w:p w14:paraId="13BF3565" w14:textId="131BAA10" w:rsidR="00E306FF" w:rsidRPr="0019368B" w:rsidRDefault="0019368B" w:rsidP="0019368B">
      <w:pPr>
        <w:pStyle w:val="Heading1"/>
      </w:pPr>
      <w:r>
        <w:rPr>
          <w:rFonts w:hint="cs"/>
          <w:rtl/>
        </w:rPr>
        <w:t>2</w:t>
      </w:r>
      <w:r>
        <w:rPr>
          <w:rtl/>
        </w:rPr>
        <w:tab/>
      </w:r>
      <w:r w:rsidR="00E306FF" w:rsidRPr="0019368B">
        <w:rPr>
          <w:rtl/>
        </w:rPr>
        <w:t>الهدف الاستراتيجي المتمثل في إقامة الشراكات وتعبئة الموارد في قطاع تنمية الاتصالات</w:t>
      </w:r>
    </w:p>
    <w:p w14:paraId="29701B97" w14:textId="5D0E0621" w:rsidR="00E306FF" w:rsidRPr="0019368B" w:rsidRDefault="00E306FF" w:rsidP="0019368B">
      <w:r w:rsidRPr="0019368B">
        <w:rPr>
          <w:rtl/>
        </w:rPr>
        <w:t>تماشياً مع نتائج المؤتمر العالمي لتنمية الاتصالات لعام 2022، يتمثل الهدف في تشجيع وتطوير وتعزيز الشراكة والتعاون الدولي مع مجموعة واسعة من الشركاء من البلدان المتقدمة والبلدان النامية على السواء.</w:t>
      </w:r>
    </w:p>
    <w:p w14:paraId="4CDF36AA" w14:textId="77777777" w:rsidR="00E306FF" w:rsidRPr="0019368B" w:rsidRDefault="00E306FF" w:rsidP="0019368B">
      <w:r w:rsidRPr="0019368B">
        <w:rPr>
          <w:rtl/>
        </w:rPr>
        <w:t>ويهدف ذلك إلى تعزيز التنسيق وتبادل الخبرات وتعبئة الموارد لتنفيذ البرامج والأنشطة والمبادرات الرامية إلى تحقيق التنمية المستدامة.</w:t>
      </w:r>
    </w:p>
    <w:p w14:paraId="2A40E430" w14:textId="2CD05D8B" w:rsidR="00E306FF" w:rsidRPr="0019368B" w:rsidRDefault="0027109F" w:rsidP="0019368B">
      <w:pPr>
        <w:pStyle w:val="Heading1"/>
      </w:pPr>
      <w:r>
        <w:rPr>
          <w:rFonts w:hint="cs"/>
          <w:rtl/>
        </w:rPr>
        <w:t>3</w:t>
      </w:r>
      <w:r>
        <w:rPr>
          <w:rtl/>
        </w:rPr>
        <w:tab/>
      </w:r>
      <w:r w:rsidR="00E306FF" w:rsidRPr="0019368B">
        <w:rPr>
          <w:rtl/>
        </w:rPr>
        <w:t>الشراكات ونتائج تعبئة الموارد في عام 2024</w:t>
      </w:r>
    </w:p>
    <w:p w14:paraId="167EC368" w14:textId="56D5C8CB" w:rsidR="00E306FF" w:rsidRPr="0019368B" w:rsidRDefault="00E306FF" w:rsidP="0019368B">
      <w:r w:rsidRPr="0019368B">
        <w:rPr>
          <w:rtl/>
        </w:rPr>
        <w:t>في عام 2024، تمكّن مكتب تنمية الاتصالات/الاتحاد الدولي للاتصالات، من خلال الجهود التعاونية لأعضاء الاتحاد وشركائه وموظفي مكتب تنمية الاتصالات (في المناطق وفي المقر على السواء)، من توقيع 89 اتفاق شراكة</w:t>
      </w:r>
      <w:r w:rsidRPr="0027109F">
        <w:rPr>
          <w:rStyle w:val="FootnoteReference"/>
          <w:rtl/>
        </w:rPr>
        <w:footnoteReference w:id="1"/>
      </w:r>
      <w:r w:rsidRPr="0019368B">
        <w:rPr>
          <w:rtl/>
        </w:rPr>
        <w:t xml:space="preserve"> شملت 53 منها مساهمات مالية بلغ مجموعها حوالي 33,8 مليون دولار أمريكي، حيث ساهم شركاء المكتب بنسبة </w:t>
      </w:r>
      <w:r w:rsidR="0027109F">
        <w:t>%92</w:t>
      </w:r>
      <w:r w:rsidRPr="0019368B">
        <w:rPr>
          <w:rtl/>
        </w:rPr>
        <w:t xml:space="preserve"> وساهم الاتحاد بنسبة </w:t>
      </w:r>
      <w:r w:rsidR="0027109F">
        <w:t>%8</w:t>
      </w:r>
      <w:r w:rsidRPr="0019368B">
        <w:rPr>
          <w:rtl/>
        </w:rPr>
        <w:t>.</w:t>
      </w:r>
    </w:p>
    <w:p w14:paraId="181B2894" w14:textId="77777777" w:rsidR="00E306FF" w:rsidRPr="0019368B" w:rsidRDefault="00E306FF" w:rsidP="0019368B">
      <w:r w:rsidRPr="0019368B">
        <w:rPr>
          <w:rtl/>
        </w:rPr>
        <w:t>وتم توقيع اتفاقيات الشراكة هذه مع 73 شريكاً من مختلف الأنواع، وهي موزَعة على النحو التالي:</w:t>
      </w:r>
    </w:p>
    <w:p w14:paraId="222843EA" w14:textId="16DD1665" w:rsidR="00941EC1" w:rsidRDefault="006A7B98" w:rsidP="00714568">
      <w:pPr>
        <w:pStyle w:val="Figure"/>
        <w:spacing w:before="100" w:beforeAutospacing="1" w:after="100" w:afterAutospacing="1"/>
      </w:pPr>
      <w:r>
        <w:drawing>
          <wp:inline distT="0" distB="0" distL="0" distR="0" wp14:anchorId="38B747F5" wp14:editId="5E763C3A">
            <wp:extent cx="6122912" cy="250991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1421" cy="2517503"/>
                    </a:xfrm>
                    <a:prstGeom prst="rect">
                      <a:avLst/>
                    </a:prstGeom>
                    <a:noFill/>
                  </pic:spPr>
                </pic:pic>
              </a:graphicData>
            </a:graphic>
          </wp:inline>
        </w:drawing>
      </w:r>
    </w:p>
    <w:p w14:paraId="14DFE1BC" w14:textId="3FA47E62" w:rsidR="00E306FF" w:rsidRPr="00473622" w:rsidRDefault="00E306FF" w:rsidP="00E306FF">
      <w:pPr>
        <w:spacing w:after="120"/>
        <w:textDirection w:val="tbRlV"/>
        <w:rPr>
          <w:lang w:val="ar-SA" w:eastAsia="zh-TW" w:bidi="ar-EG"/>
        </w:rPr>
      </w:pPr>
      <w:r>
        <w:rPr>
          <w:rtl/>
        </w:rPr>
        <w:t>و</w:t>
      </w:r>
      <w:r w:rsidRPr="00473622">
        <w:rPr>
          <w:rtl/>
        </w:rPr>
        <w:t>كان من بين هؤلاء الشركاء 19 دولةً عضواً، و7 أعضاء في قطاع تنمية الاتصالات، و3 هيئات أكاديمية، ومنظمتان إقليميتان ومنظمات دولية أخرى، استناداً إلى فئات العضوية في الاتحاد</w:t>
      </w:r>
      <w:r w:rsidRPr="00473622">
        <w:rPr>
          <w:rStyle w:val="FootnoteReference"/>
          <w:rtl/>
        </w:rPr>
        <w:footnoteReference w:id="2"/>
      </w:r>
      <w:r w:rsidRPr="00473622">
        <w:rPr>
          <w:rtl/>
        </w:rPr>
        <w:t>.</w:t>
      </w:r>
    </w:p>
    <w:p w14:paraId="6BE3B75F" w14:textId="77777777" w:rsidR="00E306FF" w:rsidRPr="00473622" w:rsidRDefault="00E306FF" w:rsidP="00E306FF">
      <w:pPr>
        <w:spacing w:after="120"/>
        <w:textDirection w:val="tbRlV"/>
        <w:rPr>
          <w:lang w:val="ar-SA" w:eastAsia="zh-TW" w:bidi="en-GB"/>
        </w:rPr>
      </w:pPr>
      <w:r w:rsidRPr="00473622">
        <w:rPr>
          <w:rtl/>
        </w:rPr>
        <w:lastRenderedPageBreak/>
        <w:t>ومن مجموع 73 شريكاً لمكتب تنمية الاتصالات، وقّع 33 شريكاً على مساهمة (مساهمات) مالية بمبلغ إجمالي بنحو 31,1 مليون دولار أمريكي موزع على النحو المفصل أدناه:</w:t>
      </w:r>
    </w:p>
    <w:p w14:paraId="151DD1AB" w14:textId="33E7322E" w:rsidR="00C66CEB" w:rsidRDefault="00C66CEB" w:rsidP="00714568">
      <w:pPr>
        <w:pStyle w:val="Figure"/>
        <w:spacing w:before="100" w:beforeAutospacing="1" w:after="100" w:afterAutospacing="1"/>
        <w:rPr>
          <w:rtl/>
        </w:rPr>
      </w:pPr>
      <w:r>
        <w:drawing>
          <wp:inline distT="0" distB="0" distL="0" distR="0" wp14:anchorId="676FACBB" wp14:editId="009A20C1">
            <wp:extent cx="5834380" cy="27374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4380" cy="2737485"/>
                    </a:xfrm>
                    <a:prstGeom prst="rect">
                      <a:avLst/>
                    </a:prstGeom>
                    <a:noFill/>
                  </pic:spPr>
                </pic:pic>
              </a:graphicData>
            </a:graphic>
          </wp:inline>
        </w:drawing>
      </w:r>
    </w:p>
    <w:p w14:paraId="73CE4B74" w14:textId="77777777" w:rsidR="00E306FF" w:rsidRPr="00473622" w:rsidRDefault="00E306FF" w:rsidP="00E306FF">
      <w:pPr>
        <w:keepNext/>
        <w:spacing w:after="120"/>
        <w:textDirection w:val="tbRlV"/>
        <w:rPr>
          <w:lang w:val="ar-SA" w:eastAsia="zh-TW" w:bidi="en-GB"/>
        </w:rPr>
      </w:pPr>
      <w:r w:rsidRPr="00473622">
        <w:rPr>
          <w:rtl/>
        </w:rPr>
        <w:t>ويرد فيما يلي أهم 10 شركاء ماليين</w:t>
      </w:r>
      <w:r w:rsidRPr="00473622">
        <w:rPr>
          <w:rStyle w:val="FootnoteReference"/>
          <w:rtl/>
        </w:rPr>
        <w:footnoteReference w:id="3"/>
      </w:r>
      <w:r w:rsidRPr="00473622">
        <w:rPr>
          <w:rtl/>
        </w:rPr>
        <w:t> لمكتب تنمية الاتصالات في عام 2024:</w:t>
      </w:r>
    </w:p>
    <w:tbl>
      <w:tblPr>
        <w:tblStyle w:val="TableGrid"/>
        <w:bidiVisual/>
        <w:tblW w:w="962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5948"/>
        <w:gridCol w:w="3681"/>
      </w:tblGrid>
      <w:tr w:rsidR="00E306FF" w:rsidRPr="00473622" w14:paraId="6D2651CF" w14:textId="77777777" w:rsidTr="00714568">
        <w:tc>
          <w:tcPr>
            <w:tcW w:w="5948" w:type="dxa"/>
            <w:tcBorders>
              <w:bottom w:val="single" w:sz="4" w:space="0" w:color="auto"/>
            </w:tcBorders>
            <w:shd w:val="clear" w:color="auto" w:fill="DEEAF6" w:themeFill="accent1" w:themeFillTint="33"/>
          </w:tcPr>
          <w:p w14:paraId="4C318BC3" w14:textId="77777777" w:rsidR="00E306FF" w:rsidRPr="00473622" w:rsidRDefault="00E306FF" w:rsidP="003E12B7">
            <w:pPr>
              <w:spacing w:after="60"/>
              <w:textDirection w:val="tbRlV"/>
              <w:rPr>
                <w:b/>
                <w:bCs/>
                <w:lang w:val="ar-SA" w:eastAsia="zh-TW" w:bidi="en-GB"/>
              </w:rPr>
            </w:pPr>
            <w:r w:rsidRPr="00473622">
              <w:rPr>
                <w:b/>
                <w:bCs/>
                <w:color w:val="000000"/>
                <w:rtl/>
              </w:rPr>
              <w:t>الشريك</w:t>
            </w:r>
          </w:p>
        </w:tc>
        <w:tc>
          <w:tcPr>
            <w:tcW w:w="3681" w:type="dxa"/>
            <w:tcBorders>
              <w:bottom w:val="single" w:sz="4" w:space="0" w:color="auto"/>
            </w:tcBorders>
            <w:shd w:val="clear" w:color="auto" w:fill="DEEAF6" w:themeFill="accent1" w:themeFillTint="33"/>
          </w:tcPr>
          <w:p w14:paraId="23CBA3F7" w14:textId="77777777" w:rsidR="00E306FF" w:rsidRPr="00473622" w:rsidRDefault="00E306FF" w:rsidP="003E12B7">
            <w:pPr>
              <w:spacing w:before="60"/>
              <w:jc w:val="center"/>
              <w:textDirection w:val="tbRlV"/>
              <w:rPr>
                <w:b/>
                <w:bCs/>
                <w:lang w:val="ar-SA" w:eastAsia="zh-TW" w:bidi="en-GB"/>
              </w:rPr>
            </w:pPr>
            <w:r w:rsidRPr="00473622">
              <w:rPr>
                <w:b/>
                <w:bCs/>
                <w:color w:val="000000"/>
                <w:rtl/>
              </w:rPr>
              <w:t>المساهمة المالية الموقّعة</w:t>
            </w:r>
          </w:p>
          <w:p w14:paraId="565DF254" w14:textId="77777777" w:rsidR="00E306FF" w:rsidRPr="00473622" w:rsidRDefault="00E306FF" w:rsidP="003E12B7">
            <w:pPr>
              <w:spacing w:before="0" w:after="60"/>
              <w:jc w:val="center"/>
              <w:textDirection w:val="tbRlV"/>
              <w:rPr>
                <w:lang w:val="ar-SA" w:eastAsia="zh-TW" w:bidi="en-GB"/>
              </w:rPr>
            </w:pPr>
            <w:r w:rsidRPr="00473622">
              <w:rPr>
                <w:color w:val="000000"/>
                <w:rtl/>
              </w:rPr>
              <w:t>(بالدولار الأمريكي في تاريخ التوقيع)</w:t>
            </w:r>
          </w:p>
        </w:tc>
      </w:tr>
      <w:tr w:rsidR="00E306FF" w:rsidRPr="00473622" w14:paraId="33896057" w14:textId="77777777" w:rsidTr="00714568">
        <w:tc>
          <w:tcPr>
            <w:tcW w:w="5948" w:type="dxa"/>
            <w:tcBorders>
              <w:top w:val="single" w:sz="4" w:space="0" w:color="auto"/>
              <w:left w:val="single" w:sz="4" w:space="0" w:color="auto"/>
              <w:bottom w:val="single" w:sz="4" w:space="0" w:color="auto"/>
              <w:right w:val="single" w:sz="4" w:space="0" w:color="auto"/>
            </w:tcBorders>
          </w:tcPr>
          <w:p w14:paraId="721D7579" w14:textId="77777777" w:rsidR="00E306FF" w:rsidRPr="00473622" w:rsidRDefault="00E306FF" w:rsidP="003E12B7">
            <w:pPr>
              <w:spacing w:before="60" w:after="60"/>
              <w:textDirection w:val="tbRlV"/>
              <w:rPr>
                <w:lang w:val="ar-SA" w:eastAsia="zh-TW" w:bidi="en-GB"/>
              </w:rPr>
            </w:pPr>
            <w:r w:rsidRPr="00473622">
              <w:rPr>
                <w:color w:val="000000"/>
                <w:rtl/>
              </w:rPr>
              <w:t>الاتحاد الأوروبي ممثلاّ بالمفوضية الأوروبية</w:t>
            </w:r>
          </w:p>
        </w:tc>
        <w:tc>
          <w:tcPr>
            <w:tcW w:w="3681" w:type="dxa"/>
            <w:tcBorders>
              <w:top w:val="single" w:sz="4" w:space="0" w:color="auto"/>
              <w:left w:val="single" w:sz="4" w:space="0" w:color="auto"/>
              <w:bottom w:val="single" w:sz="4" w:space="0" w:color="auto"/>
              <w:right w:val="single" w:sz="4" w:space="0" w:color="auto"/>
            </w:tcBorders>
          </w:tcPr>
          <w:p w14:paraId="6F3085C9" w14:textId="77777777" w:rsidR="00E306FF" w:rsidRPr="00473622" w:rsidRDefault="00E306FF" w:rsidP="003E12B7">
            <w:pPr>
              <w:spacing w:before="60" w:after="60"/>
              <w:jc w:val="center"/>
              <w:textDirection w:val="tbRlV"/>
              <w:rPr>
                <w:lang w:val="ar-SA" w:eastAsia="zh-TW" w:bidi="en-GB"/>
              </w:rPr>
            </w:pPr>
            <w:r w:rsidRPr="00473622">
              <w:rPr>
                <w:color w:val="000000"/>
                <w:rtl/>
              </w:rPr>
              <w:t>19,82 مليون دولار أمريكي</w:t>
            </w:r>
          </w:p>
        </w:tc>
      </w:tr>
      <w:tr w:rsidR="00E306FF" w:rsidRPr="00473622" w14:paraId="1597F39F" w14:textId="77777777" w:rsidTr="00714568">
        <w:tc>
          <w:tcPr>
            <w:tcW w:w="5948" w:type="dxa"/>
            <w:tcBorders>
              <w:top w:val="single" w:sz="4" w:space="0" w:color="auto"/>
              <w:left w:val="single" w:sz="4" w:space="0" w:color="auto"/>
              <w:bottom w:val="single" w:sz="4" w:space="0" w:color="auto"/>
              <w:right w:val="single" w:sz="4" w:space="0" w:color="auto"/>
            </w:tcBorders>
          </w:tcPr>
          <w:p w14:paraId="3841A7DF" w14:textId="77777777" w:rsidR="00E306FF" w:rsidRPr="00473622" w:rsidRDefault="00E306FF" w:rsidP="003E12B7">
            <w:pPr>
              <w:spacing w:before="60" w:after="60"/>
              <w:textDirection w:val="tbRlV"/>
              <w:rPr>
                <w:lang w:val="ar-SA" w:eastAsia="zh-TW" w:bidi="en-GB"/>
              </w:rPr>
            </w:pPr>
            <w:r w:rsidRPr="00473622">
              <w:rPr>
                <w:color w:val="000000"/>
                <w:rtl/>
              </w:rPr>
              <w:t>منظمة الأمم المتحدة للطفولة</w:t>
            </w:r>
          </w:p>
        </w:tc>
        <w:tc>
          <w:tcPr>
            <w:tcW w:w="3681" w:type="dxa"/>
            <w:tcBorders>
              <w:top w:val="single" w:sz="4" w:space="0" w:color="auto"/>
              <w:left w:val="single" w:sz="4" w:space="0" w:color="auto"/>
              <w:bottom w:val="single" w:sz="4" w:space="0" w:color="auto"/>
              <w:right w:val="single" w:sz="4" w:space="0" w:color="auto"/>
            </w:tcBorders>
          </w:tcPr>
          <w:p w14:paraId="49D1EDAD" w14:textId="77777777" w:rsidR="00E306FF" w:rsidRPr="00473622" w:rsidRDefault="00E306FF" w:rsidP="003E12B7">
            <w:pPr>
              <w:spacing w:before="60" w:after="60"/>
              <w:jc w:val="center"/>
              <w:textDirection w:val="tbRlV"/>
              <w:rPr>
                <w:lang w:val="ar-SA" w:eastAsia="zh-TW" w:bidi="en-GB"/>
              </w:rPr>
            </w:pPr>
            <w:r w:rsidRPr="00473622">
              <w:rPr>
                <w:color w:val="000000"/>
                <w:rtl/>
              </w:rPr>
              <w:t>1,82 مليون دولار أمريكي</w:t>
            </w:r>
          </w:p>
        </w:tc>
      </w:tr>
      <w:tr w:rsidR="00E306FF" w:rsidRPr="00473622" w14:paraId="74416FF9" w14:textId="77777777" w:rsidTr="00714568">
        <w:trPr>
          <w:trHeight w:val="354"/>
        </w:trPr>
        <w:tc>
          <w:tcPr>
            <w:tcW w:w="5948" w:type="dxa"/>
            <w:tcBorders>
              <w:top w:val="single" w:sz="4" w:space="0" w:color="auto"/>
              <w:left w:val="single" w:sz="4" w:space="0" w:color="auto"/>
              <w:bottom w:val="single" w:sz="4" w:space="0" w:color="auto"/>
              <w:right w:val="single" w:sz="4" w:space="0" w:color="auto"/>
            </w:tcBorders>
          </w:tcPr>
          <w:p w14:paraId="0169D236" w14:textId="4B75D668" w:rsidR="00E306FF" w:rsidRPr="00473622" w:rsidRDefault="00E306FF" w:rsidP="003E12B7">
            <w:pPr>
              <w:spacing w:before="60" w:after="60"/>
              <w:textDirection w:val="tbRlV"/>
              <w:rPr>
                <w:lang w:val="ar-SA" w:eastAsia="zh-TW" w:bidi="en-GB"/>
              </w:rPr>
            </w:pPr>
            <w:r w:rsidRPr="00473622">
              <w:rPr>
                <w:color w:val="000000"/>
                <w:rtl/>
              </w:rPr>
              <w:t>مكتب الأمم المتحدة للحد من مخاطر الكوارث</w:t>
            </w:r>
          </w:p>
        </w:tc>
        <w:tc>
          <w:tcPr>
            <w:tcW w:w="3681" w:type="dxa"/>
            <w:tcBorders>
              <w:top w:val="single" w:sz="4" w:space="0" w:color="auto"/>
              <w:left w:val="single" w:sz="4" w:space="0" w:color="auto"/>
              <w:bottom w:val="single" w:sz="4" w:space="0" w:color="auto"/>
              <w:right w:val="single" w:sz="4" w:space="0" w:color="auto"/>
            </w:tcBorders>
          </w:tcPr>
          <w:p w14:paraId="53B224FA" w14:textId="77777777" w:rsidR="00E306FF" w:rsidRPr="00473622" w:rsidRDefault="00E306FF" w:rsidP="003E12B7">
            <w:pPr>
              <w:spacing w:before="60" w:after="60"/>
              <w:jc w:val="center"/>
              <w:textDirection w:val="tbRlV"/>
              <w:rPr>
                <w:lang w:val="ar-SA" w:eastAsia="zh-TW" w:bidi="en-GB"/>
              </w:rPr>
            </w:pPr>
            <w:r w:rsidRPr="00473622">
              <w:rPr>
                <w:color w:val="000000"/>
                <w:rtl/>
              </w:rPr>
              <w:t>1,75 مليون دولار أمريكي</w:t>
            </w:r>
          </w:p>
        </w:tc>
      </w:tr>
      <w:tr w:rsidR="00E306FF" w:rsidRPr="00473622" w14:paraId="6F819287" w14:textId="77777777" w:rsidTr="00714568">
        <w:trPr>
          <w:trHeight w:val="354"/>
        </w:trPr>
        <w:tc>
          <w:tcPr>
            <w:tcW w:w="5948" w:type="dxa"/>
            <w:tcBorders>
              <w:top w:val="single" w:sz="4" w:space="0" w:color="auto"/>
              <w:left w:val="single" w:sz="4" w:space="0" w:color="auto"/>
              <w:bottom w:val="single" w:sz="4" w:space="0" w:color="auto"/>
              <w:right w:val="single" w:sz="4" w:space="0" w:color="auto"/>
            </w:tcBorders>
          </w:tcPr>
          <w:p w14:paraId="0D719101" w14:textId="77777777" w:rsidR="00E306FF" w:rsidRPr="00473622" w:rsidRDefault="00E306FF" w:rsidP="003E12B7">
            <w:pPr>
              <w:spacing w:before="60" w:after="60"/>
              <w:textDirection w:val="tbRlV"/>
              <w:rPr>
                <w:lang w:val="ar-SA" w:eastAsia="zh-TW" w:bidi="en-GB"/>
              </w:rPr>
            </w:pPr>
            <w:r w:rsidRPr="00473622">
              <w:rPr>
                <w:color w:val="000000"/>
                <w:rtl/>
              </w:rPr>
              <w:t xml:space="preserve">الوكالة الألمانية للتعاون الدولي </w:t>
            </w:r>
          </w:p>
        </w:tc>
        <w:tc>
          <w:tcPr>
            <w:tcW w:w="3681" w:type="dxa"/>
            <w:tcBorders>
              <w:top w:val="single" w:sz="4" w:space="0" w:color="auto"/>
              <w:left w:val="single" w:sz="4" w:space="0" w:color="auto"/>
              <w:bottom w:val="single" w:sz="4" w:space="0" w:color="auto"/>
              <w:right w:val="single" w:sz="4" w:space="0" w:color="auto"/>
            </w:tcBorders>
          </w:tcPr>
          <w:p w14:paraId="58D49C6B" w14:textId="77777777" w:rsidR="00E306FF" w:rsidRPr="00473622" w:rsidRDefault="00E306FF" w:rsidP="003E12B7">
            <w:pPr>
              <w:spacing w:before="60" w:after="60"/>
              <w:jc w:val="center"/>
              <w:textDirection w:val="tbRlV"/>
              <w:rPr>
                <w:lang w:val="ar-SA" w:eastAsia="zh-TW" w:bidi="en-GB"/>
              </w:rPr>
            </w:pPr>
            <w:r w:rsidRPr="00473622">
              <w:rPr>
                <w:color w:val="000000"/>
                <w:rtl/>
              </w:rPr>
              <w:t>1,09 مليون دولار أمريكي</w:t>
            </w:r>
          </w:p>
        </w:tc>
      </w:tr>
      <w:tr w:rsidR="00E306FF" w:rsidRPr="00473622" w14:paraId="0B6C0F5F" w14:textId="77777777" w:rsidTr="00714568">
        <w:trPr>
          <w:trHeight w:val="354"/>
        </w:trPr>
        <w:tc>
          <w:tcPr>
            <w:tcW w:w="5948" w:type="dxa"/>
            <w:tcBorders>
              <w:top w:val="single" w:sz="4" w:space="0" w:color="auto"/>
              <w:left w:val="single" w:sz="4" w:space="0" w:color="auto"/>
              <w:bottom w:val="single" w:sz="4" w:space="0" w:color="auto"/>
              <w:right w:val="single" w:sz="4" w:space="0" w:color="auto"/>
            </w:tcBorders>
          </w:tcPr>
          <w:p w14:paraId="58DF4731" w14:textId="77777777" w:rsidR="00E306FF" w:rsidRPr="00473622" w:rsidRDefault="00E306FF" w:rsidP="003E12B7">
            <w:pPr>
              <w:spacing w:before="60" w:after="60"/>
              <w:textDirection w:val="tbRlV"/>
              <w:rPr>
                <w:lang w:val="ar-SA" w:eastAsia="zh-TW" w:bidi="en-GB"/>
              </w:rPr>
            </w:pPr>
            <w:r w:rsidRPr="00473622">
              <w:rPr>
                <w:color w:val="000000"/>
                <w:rtl/>
              </w:rPr>
              <w:t>المنظمة العالمية للأرصاد الجوية</w:t>
            </w:r>
          </w:p>
        </w:tc>
        <w:tc>
          <w:tcPr>
            <w:tcW w:w="3681" w:type="dxa"/>
            <w:tcBorders>
              <w:top w:val="single" w:sz="4" w:space="0" w:color="auto"/>
              <w:left w:val="single" w:sz="4" w:space="0" w:color="auto"/>
              <w:bottom w:val="single" w:sz="4" w:space="0" w:color="auto"/>
              <w:right w:val="single" w:sz="4" w:space="0" w:color="auto"/>
            </w:tcBorders>
          </w:tcPr>
          <w:p w14:paraId="08BB1046" w14:textId="77777777" w:rsidR="00E306FF" w:rsidRPr="00473622" w:rsidRDefault="00E306FF" w:rsidP="003E12B7">
            <w:pPr>
              <w:spacing w:before="60" w:after="60"/>
              <w:jc w:val="center"/>
              <w:textDirection w:val="tbRlV"/>
              <w:rPr>
                <w:lang w:val="ar-SA" w:eastAsia="zh-TW" w:bidi="en-GB"/>
              </w:rPr>
            </w:pPr>
            <w:r w:rsidRPr="00473622">
              <w:rPr>
                <w:color w:val="000000"/>
                <w:rtl/>
              </w:rPr>
              <w:t>0,96 مليون دولار أمريكي</w:t>
            </w:r>
          </w:p>
        </w:tc>
      </w:tr>
      <w:tr w:rsidR="00E306FF" w:rsidRPr="00473622" w14:paraId="0BBEF745" w14:textId="77777777" w:rsidTr="00714568">
        <w:trPr>
          <w:trHeight w:val="535"/>
        </w:trPr>
        <w:tc>
          <w:tcPr>
            <w:tcW w:w="5948" w:type="dxa"/>
            <w:tcBorders>
              <w:top w:val="single" w:sz="4" w:space="0" w:color="auto"/>
              <w:left w:val="single" w:sz="4" w:space="0" w:color="auto"/>
              <w:bottom w:val="single" w:sz="4" w:space="0" w:color="auto"/>
              <w:right w:val="single" w:sz="4" w:space="0" w:color="auto"/>
            </w:tcBorders>
          </w:tcPr>
          <w:p w14:paraId="4B965CFE" w14:textId="77777777" w:rsidR="00E306FF" w:rsidRPr="00473622" w:rsidRDefault="00E306FF" w:rsidP="003E12B7">
            <w:pPr>
              <w:spacing w:before="60" w:after="60"/>
              <w:textDirection w:val="tbRlV"/>
              <w:rPr>
                <w:lang w:val="ar-SA" w:eastAsia="zh-TW" w:bidi="en-GB"/>
              </w:rPr>
            </w:pPr>
            <w:r w:rsidRPr="00473622">
              <w:rPr>
                <w:color w:val="000000"/>
                <w:rtl/>
              </w:rPr>
              <w:t>وزارة البنية التحتية والنقل والتنمية الإقليمية والاتصالات والفنون، أستراليا</w:t>
            </w:r>
          </w:p>
        </w:tc>
        <w:tc>
          <w:tcPr>
            <w:tcW w:w="3681" w:type="dxa"/>
            <w:tcBorders>
              <w:top w:val="single" w:sz="4" w:space="0" w:color="auto"/>
              <w:left w:val="single" w:sz="4" w:space="0" w:color="auto"/>
              <w:bottom w:val="single" w:sz="4" w:space="0" w:color="auto"/>
              <w:right w:val="single" w:sz="4" w:space="0" w:color="auto"/>
            </w:tcBorders>
          </w:tcPr>
          <w:p w14:paraId="627A5FED" w14:textId="77777777" w:rsidR="00E306FF" w:rsidRPr="00473622" w:rsidRDefault="00E306FF" w:rsidP="003E12B7">
            <w:pPr>
              <w:spacing w:before="60" w:after="60"/>
              <w:jc w:val="center"/>
              <w:textDirection w:val="tbRlV"/>
              <w:rPr>
                <w:lang w:val="ar-SA" w:eastAsia="zh-TW" w:bidi="en-GB"/>
              </w:rPr>
            </w:pPr>
            <w:r w:rsidRPr="00473622">
              <w:rPr>
                <w:color w:val="000000"/>
                <w:rtl/>
              </w:rPr>
              <w:t>0,65 مليون دولار أمريكي</w:t>
            </w:r>
          </w:p>
        </w:tc>
      </w:tr>
      <w:tr w:rsidR="00E306FF" w:rsidRPr="00473622" w14:paraId="2D487CB7" w14:textId="77777777" w:rsidTr="00714568">
        <w:trPr>
          <w:trHeight w:val="350"/>
        </w:trPr>
        <w:tc>
          <w:tcPr>
            <w:tcW w:w="5948" w:type="dxa"/>
            <w:tcBorders>
              <w:top w:val="single" w:sz="4" w:space="0" w:color="auto"/>
              <w:left w:val="single" w:sz="4" w:space="0" w:color="auto"/>
              <w:bottom w:val="single" w:sz="4" w:space="0" w:color="auto"/>
              <w:right w:val="single" w:sz="4" w:space="0" w:color="auto"/>
            </w:tcBorders>
          </w:tcPr>
          <w:p w14:paraId="3820C252" w14:textId="77777777" w:rsidR="00E306FF" w:rsidRPr="00473622" w:rsidRDefault="00E306FF" w:rsidP="003E12B7">
            <w:pPr>
              <w:spacing w:before="60" w:after="60"/>
              <w:textDirection w:val="tbRlV"/>
              <w:rPr>
                <w:lang w:val="ar-SA" w:eastAsia="zh-TW" w:bidi="en-GB"/>
              </w:rPr>
            </w:pPr>
            <w:r w:rsidRPr="00473622">
              <w:rPr>
                <w:color w:val="000000"/>
                <w:rtl/>
              </w:rPr>
              <w:t>مكتب الشؤون الخارجية وشؤون الكومنولث والتنمية، المملكة المتحدة</w:t>
            </w:r>
          </w:p>
        </w:tc>
        <w:tc>
          <w:tcPr>
            <w:tcW w:w="3681" w:type="dxa"/>
            <w:tcBorders>
              <w:top w:val="single" w:sz="4" w:space="0" w:color="auto"/>
              <w:left w:val="single" w:sz="4" w:space="0" w:color="auto"/>
              <w:bottom w:val="single" w:sz="4" w:space="0" w:color="auto"/>
              <w:right w:val="single" w:sz="4" w:space="0" w:color="auto"/>
            </w:tcBorders>
          </w:tcPr>
          <w:p w14:paraId="5BCB9CBA" w14:textId="77777777" w:rsidR="00E306FF" w:rsidRPr="00473622" w:rsidRDefault="00E306FF" w:rsidP="003E12B7">
            <w:pPr>
              <w:spacing w:before="60" w:after="60"/>
              <w:jc w:val="center"/>
              <w:textDirection w:val="tbRlV"/>
              <w:rPr>
                <w:lang w:val="ar-SA" w:eastAsia="zh-TW" w:bidi="en-GB"/>
              </w:rPr>
            </w:pPr>
            <w:r w:rsidRPr="00473622">
              <w:rPr>
                <w:color w:val="000000"/>
                <w:rtl/>
              </w:rPr>
              <w:t>0,56 مليون دولار أمريكي</w:t>
            </w:r>
          </w:p>
        </w:tc>
      </w:tr>
      <w:tr w:rsidR="00E306FF" w:rsidRPr="00473622" w14:paraId="4B11ADB6" w14:textId="77777777" w:rsidTr="00714568">
        <w:trPr>
          <w:trHeight w:val="399"/>
        </w:trPr>
        <w:tc>
          <w:tcPr>
            <w:tcW w:w="5948" w:type="dxa"/>
            <w:tcBorders>
              <w:top w:val="single" w:sz="4" w:space="0" w:color="auto"/>
              <w:left w:val="single" w:sz="4" w:space="0" w:color="auto"/>
              <w:bottom w:val="single" w:sz="4" w:space="0" w:color="auto"/>
              <w:right w:val="single" w:sz="4" w:space="0" w:color="auto"/>
            </w:tcBorders>
          </w:tcPr>
          <w:p w14:paraId="50E53698" w14:textId="77777777" w:rsidR="00E306FF" w:rsidRPr="00473622" w:rsidRDefault="00E306FF" w:rsidP="003E12B7">
            <w:pPr>
              <w:spacing w:before="60" w:after="60"/>
              <w:textDirection w:val="tbRlV"/>
              <w:rPr>
                <w:lang w:val="ar-SA" w:eastAsia="zh-TW" w:bidi="en-GB"/>
              </w:rPr>
            </w:pPr>
            <w:r w:rsidRPr="00473622">
              <w:rPr>
                <w:color w:val="000000"/>
                <w:rtl/>
              </w:rPr>
              <w:t>وزارة تكنولوجيا المعلومات والاتصالات، كولومبيا</w:t>
            </w:r>
          </w:p>
        </w:tc>
        <w:tc>
          <w:tcPr>
            <w:tcW w:w="3681" w:type="dxa"/>
            <w:tcBorders>
              <w:top w:val="single" w:sz="4" w:space="0" w:color="auto"/>
              <w:left w:val="single" w:sz="4" w:space="0" w:color="auto"/>
              <w:bottom w:val="single" w:sz="4" w:space="0" w:color="auto"/>
              <w:right w:val="single" w:sz="4" w:space="0" w:color="auto"/>
            </w:tcBorders>
          </w:tcPr>
          <w:p w14:paraId="046C5551" w14:textId="77777777" w:rsidR="00E306FF" w:rsidRPr="00473622" w:rsidRDefault="00E306FF" w:rsidP="003E12B7">
            <w:pPr>
              <w:spacing w:before="60" w:after="60"/>
              <w:jc w:val="center"/>
              <w:textDirection w:val="tbRlV"/>
              <w:rPr>
                <w:lang w:val="ar-SA" w:eastAsia="zh-TW" w:bidi="en-GB"/>
              </w:rPr>
            </w:pPr>
            <w:r w:rsidRPr="00473622">
              <w:rPr>
                <w:color w:val="000000"/>
                <w:rtl/>
              </w:rPr>
              <w:t>0,43 مليون دولار أمريكي</w:t>
            </w:r>
          </w:p>
        </w:tc>
      </w:tr>
      <w:tr w:rsidR="00E306FF" w:rsidRPr="00473622" w14:paraId="4C0CAF89" w14:textId="77777777" w:rsidTr="00714568">
        <w:trPr>
          <w:trHeight w:val="339"/>
        </w:trPr>
        <w:tc>
          <w:tcPr>
            <w:tcW w:w="5948" w:type="dxa"/>
            <w:tcBorders>
              <w:top w:val="single" w:sz="4" w:space="0" w:color="auto"/>
              <w:left w:val="single" w:sz="4" w:space="0" w:color="auto"/>
              <w:bottom w:val="single" w:sz="4" w:space="0" w:color="auto"/>
              <w:right w:val="single" w:sz="4" w:space="0" w:color="auto"/>
            </w:tcBorders>
          </w:tcPr>
          <w:p w14:paraId="0041FC2F" w14:textId="334B65C5" w:rsidR="00E306FF" w:rsidRPr="00473622" w:rsidRDefault="00E306FF" w:rsidP="003E12B7">
            <w:pPr>
              <w:spacing w:before="60" w:after="60"/>
              <w:textDirection w:val="tbRlV"/>
              <w:rPr>
                <w:lang w:val="ar-SA" w:eastAsia="zh-TW" w:bidi="en-GB"/>
              </w:rPr>
            </w:pPr>
            <w:r w:rsidRPr="00473622">
              <w:rPr>
                <w:color w:val="000000"/>
                <w:rtl/>
              </w:rPr>
              <w:t>شركة </w:t>
            </w:r>
            <w:r w:rsidR="00C864E1" w:rsidRPr="00960B89">
              <w:rPr>
                <w:szCs w:val="24"/>
              </w:rPr>
              <w:t>EYGS LPP</w:t>
            </w:r>
          </w:p>
        </w:tc>
        <w:tc>
          <w:tcPr>
            <w:tcW w:w="3681" w:type="dxa"/>
            <w:tcBorders>
              <w:top w:val="single" w:sz="4" w:space="0" w:color="auto"/>
              <w:left w:val="single" w:sz="4" w:space="0" w:color="auto"/>
              <w:bottom w:val="single" w:sz="4" w:space="0" w:color="auto"/>
              <w:right w:val="single" w:sz="4" w:space="0" w:color="auto"/>
            </w:tcBorders>
          </w:tcPr>
          <w:p w14:paraId="7E743B1C" w14:textId="77777777" w:rsidR="00E306FF" w:rsidRPr="00473622" w:rsidRDefault="00E306FF" w:rsidP="003E12B7">
            <w:pPr>
              <w:spacing w:before="60" w:after="60"/>
              <w:jc w:val="center"/>
              <w:textDirection w:val="tbRlV"/>
              <w:rPr>
                <w:lang w:val="ar-SA" w:eastAsia="zh-TW" w:bidi="en-GB"/>
              </w:rPr>
            </w:pPr>
            <w:r w:rsidRPr="00473622">
              <w:rPr>
                <w:color w:val="000000"/>
                <w:rtl/>
              </w:rPr>
              <w:t>0,41 مليون دولار أمريكي</w:t>
            </w:r>
          </w:p>
        </w:tc>
      </w:tr>
      <w:tr w:rsidR="00E306FF" w:rsidRPr="00473622" w14:paraId="56C603CE" w14:textId="77777777" w:rsidTr="00714568">
        <w:trPr>
          <w:trHeight w:val="339"/>
        </w:trPr>
        <w:tc>
          <w:tcPr>
            <w:tcW w:w="5948" w:type="dxa"/>
            <w:tcBorders>
              <w:top w:val="single" w:sz="4" w:space="0" w:color="auto"/>
              <w:left w:val="single" w:sz="4" w:space="0" w:color="auto"/>
              <w:bottom w:val="single" w:sz="4" w:space="0" w:color="auto"/>
              <w:right w:val="single" w:sz="4" w:space="0" w:color="auto"/>
            </w:tcBorders>
          </w:tcPr>
          <w:p w14:paraId="1DB7077E" w14:textId="77777777" w:rsidR="00E306FF" w:rsidRPr="00473622" w:rsidRDefault="00E306FF" w:rsidP="003E12B7">
            <w:pPr>
              <w:spacing w:before="60" w:after="60"/>
              <w:textDirection w:val="tbRlV"/>
              <w:rPr>
                <w:lang w:val="ar-SA" w:eastAsia="zh-TW" w:bidi="en-GB"/>
              </w:rPr>
            </w:pPr>
            <w:r w:rsidRPr="00473622">
              <w:rPr>
                <w:color w:val="000000"/>
                <w:rtl/>
              </w:rPr>
              <w:t>وزارة العلوم وتكنولوجيا المعلومات والاتصالات، جمهورية كوريا</w:t>
            </w:r>
          </w:p>
        </w:tc>
        <w:tc>
          <w:tcPr>
            <w:tcW w:w="3681" w:type="dxa"/>
            <w:tcBorders>
              <w:top w:val="single" w:sz="4" w:space="0" w:color="auto"/>
              <w:left w:val="single" w:sz="4" w:space="0" w:color="auto"/>
              <w:bottom w:val="single" w:sz="4" w:space="0" w:color="auto"/>
              <w:right w:val="single" w:sz="4" w:space="0" w:color="auto"/>
            </w:tcBorders>
          </w:tcPr>
          <w:p w14:paraId="11A735C2" w14:textId="77777777" w:rsidR="00E306FF" w:rsidRPr="00473622" w:rsidRDefault="00E306FF" w:rsidP="003E12B7">
            <w:pPr>
              <w:spacing w:before="60" w:after="60"/>
              <w:jc w:val="center"/>
              <w:textDirection w:val="tbRlV"/>
              <w:rPr>
                <w:lang w:val="ar-SA" w:eastAsia="zh-TW" w:bidi="en-GB"/>
              </w:rPr>
            </w:pPr>
            <w:r w:rsidRPr="00473622">
              <w:rPr>
                <w:color w:val="000000"/>
                <w:rtl/>
              </w:rPr>
              <w:t>0,37 مليون دولار أمريكي</w:t>
            </w:r>
          </w:p>
        </w:tc>
      </w:tr>
    </w:tbl>
    <w:p w14:paraId="058CD5BF" w14:textId="77777777" w:rsidR="00E306FF" w:rsidRPr="00473622" w:rsidRDefault="00E306FF" w:rsidP="00E306FF">
      <w:pPr>
        <w:spacing w:after="120"/>
        <w:textDirection w:val="tbRlV"/>
        <w:rPr>
          <w:lang w:val="ar-SA" w:eastAsia="zh-TW" w:bidi="en-GB"/>
        </w:rPr>
      </w:pPr>
      <w:r w:rsidRPr="0014045E">
        <w:rPr>
          <w:rtl/>
        </w:rPr>
        <w:t>وتُعرض في الرسوم البيانية أدناه المناطق وأولويات قطاع تنمية الاتصالات المستفيدة في عام 2024 من اتفاقات الشراكة الموقعة من حيث العدد (مع وبدون مساهمات مالية) ومن حيث المساهمات المالية:</w:t>
      </w:r>
    </w:p>
    <w:p w14:paraId="662C6F96" w14:textId="4266679A" w:rsidR="00E306FF" w:rsidRPr="00473622" w:rsidRDefault="006A7B98" w:rsidP="00714568">
      <w:pPr>
        <w:pStyle w:val="Figure"/>
        <w:spacing w:before="100" w:beforeAutospacing="1" w:after="100" w:afterAutospacing="1"/>
      </w:pPr>
      <w:r w:rsidRPr="006A7B98">
        <w:lastRenderedPageBreak/>
        <w:drawing>
          <wp:inline distT="0" distB="0" distL="0" distR="0" wp14:anchorId="20B87DF9" wp14:editId="5406A80B">
            <wp:extent cx="6136783" cy="28079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4939" cy="2834589"/>
                    </a:xfrm>
                    <a:prstGeom prst="rect">
                      <a:avLst/>
                    </a:prstGeom>
                    <a:noFill/>
                  </pic:spPr>
                </pic:pic>
              </a:graphicData>
            </a:graphic>
          </wp:inline>
        </w:drawing>
      </w:r>
    </w:p>
    <w:p w14:paraId="51C1ACBA" w14:textId="0889ECB3" w:rsidR="00E306FF" w:rsidRPr="00473622" w:rsidRDefault="002C2D54" w:rsidP="00714568">
      <w:pPr>
        <w:pStyle w:val="Figure"/>
        <w:spacing w:before="100" w:beforeAutospacing="1" w:after="100" w:afterAutospacing="1"/>
      </w:pPr>
      <w:r>
        <w:drawing>
          <wp:inline distT="0" distB="0" distL="0" distR="0" wp14:anchorId="7C1A4BD1" wp14:editId="4CCD4828">
            <wp:extent cx="6129356" cy="3089928"/>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7906" cy="3109362"/>
                    </a:xfrm>
                    <a:prstGeom prst="rect">
                      <a:avLst/>
                    </a:prstGeom>
                    <a:noFill/>
                  </pic:spPr>
                </pic:pic>
              </a:graphicData>
            </a:graphic>
          </wp:inline>
        </w:drawing>
      </w:r>
    </w:p>
    <w:p w14:paraId="7179B7D8" w14:textId="77777777" w:rsidR="00E306FF" w:rsidRPr="00473622" w:rsidRDefault="00E306FF" w:rsidP="00E306FF">
      <w:pPr>
        <w:spacing w:after="120"/>
        <w:textDirection w:val="tbRlV"/>
        <w:rPr>
          <w:lang w:val="ar-SA" w:eastAsia="zh-TW" w:bidi="en-GB"/>
        </w:rPr>
      </w:pPr>
      <w:r w:rsidRPr="00473622">
        <w:rPr>
          <w:rtl/>
        </w:rPr>
        <w:t>ويُعرض في الرسم البياني أدناه عدد الاتفاقات والمساهمات المالية الموقّعة بين عامي 2020 و2024، مع تسليط الضوء على التعبئة الكبيرة للموارد التي تحققت في العام الماضي لدعم تنفيذ مشاريع التنمية والمبادرات والأنشطة الإقليمية والعالمية على المستويات الوطنية والإقليمية والعالمية.</w:t>
      </w:r>
    </w:p>
    <w:p w14:paraId="37E8A785" w14:textId="2AB4BF95" w:rsidR="006E2CF8" w:rsidRDefault="00E17D2E" w:rsidP="00714568">
      <w:pPr>
        <w:pStyle w:val="Figure"/>
        <w:spacing w:before="100" w:beforeAutospacing="1" w:after="100" w:afterAutospacing="1"/>
        <w:rPr>
          <w:rtl/>
        </w:rPr>
      </w:pPr>
      <w:r>
        <w:lastRenderedPageBreak/>
        <w:drawing>
          <wp:inline distT="0" distB="0" distL="0" distR="0" wp14:anchorId="0D6FE547" wp14:editId="1A354197">
            <wp:extent cx="6130344" cy="2544951"/>
            <wp:effectExtent l="0" t="0" r="381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781" cy="2562569"/>
                    </a:xfrm>
                    <a:prstGeom prst="rect">
                      <a:avLst/>
                    </a:prstGeom>
                    <a:noFill/>
                  </pic:spPr>
                </pic:pic>
              </a:graphicData>
            </a:graphic>
          </wp:inline>
        </w:drawing>
      </w:r>
    </w:p>
    <w:p w14:paraId="04ED2275" w14:textId="06B595D0" w:rsidR="00E306FF" w:rsidRPr="00517271" w:rsidRDefault="00517271" w:rsidP="00517271">
      <w:pPr>
        <w:pStyle w:val="Heading1"/>
        <w:rPr>
          <w:rtl/>
        </w:rPr>
      </w:pPr>
      <w:r>
        <w:rPr>
          <w:rFonts w:hint="cs"/>
          <w:rtl/>
          <w:lang w:bidi="ar-EG"/>
        </w:rPr>
        <w:t>4</w:t>
      </w:r>
      <w:r>
        <w:rPr>
          <w:rtl/>
          <w:lang w:bidi="ar-EG"/>
        </w:rPr>
        <w:tab/>
      </w:r>
      <w:r w:rsidR="00E306FF" w:rsidRPr="00517271">
        <w:rPr>
          <w:rtl/>
        </w:rPr>
        <w:t>الأعمال والنتائج الرئيسية</w:t>
      </w:r>
    </w:p>
    <w:p w14:paraId="04507A33" w14:textId="5461B1C7" w:rsidR="00517271" w:rsidRDefault="00E306FF" w:rsidP="00517271">
      <w:r w:rsidRPr="00517271">
        <w:rPr>
          <w:rtl/>
        </w:rPr>
        <w:t>يُعرض تأثير عمل مكتب تنمية الاتصالات بالتعاون مع شركائه من خلال تجارب التأثير المتاحة عبر الرابط التالي</w:t>
      </w:r>
      <w:r w:rsidR="0014045E">
        <w:rPr>
          <w:rFonts w:hint="cs"/>
          <w:rtl/>
        </w:rPr>
        <w:t xml:space="preserve"> </w:t>
      </w:r>
      <w:r w:rsidRPr="00517271">
        <w:t>:</w:t>
      </w:r>
      <w:hyperlink r:id="rId15" w:history="1">
        <w:r w:rsidR="00517271" w:rsidRPr="00F34F7C">
          <w:rPr>
            <w:rStyle w:val="Hyperlink"/>
          </w:rPr>
          <w:t>https://www.itu.int/itu-d/sites/digital-impact-unlocked/all-stories/list/</w:t>
        </w:r>
      </w:hyperlink>
    </w:p>
    <w:p w14:paraId="43026FC8" w14:textId="77777777" w:rsidR="00E306FF" w:rsidRPr="00517271" w:rsidRDefault="00E306FF" w:rsidP="00517271">
      <w:r w:rsidRPr="00517271">
        <w:rPr>
          <w:rtl/>
        </w:rPr>
        <w:t>وقد أمكن تحقيق نتائج الشراكة وتعبئة الموارد المبينة أعلاه من خلال إجراءات استراتيجية شملت ما يلي:</w:t>
      </w:r>
    </w:p>
    <w:p w14:paraId="4F8732D5" w14:textId="123C3495" w:rsidR="00E306FF" w:rsidRPr="00517271" w:rsidRDefault="00517271" w:rsidP="00517271">
      <w:pPr>
        <w:pStyle w:val="enumlev1"/>
      </w:pPr>
      <w:r>
        <w:rPr>
          <w:rFonts w:hint="cs"/>
          <w:rtl/>
        </w:rPr>
        <w:t>-</w:t>
      </w:r>
      <w:r>
        <w:rPr>
          <w:rtl/>
        </w:rPr>
        <w:tab/>
      </w:r>
      <w:r w:rsidR="00E306FF" w:rsidRPr="00517271">
        <w:rPr>
          <w:b/>
          <w:bCs/>
          <w:rtl/>
        </w:rPr>
        <w:t>تنمية/توطيد العلاقات مع الشركاء الحاليين</w:t>
      </w:r>
      <w:r w:rsidR="00E306FF" w:rsidRPr="00517271">
        <w:rPr>
          <w:rtl/>
        </w:rPr>
        <w:t>: يتعاون مكتب تنمية الاتصالات مع مجموعة متنوعة من الشركاء</w:t>
      </w:r>
      <w:r w:rsidR="00E306FF" w:rsidRPr="00517271">
        <w:rPr>
          <w:rStyle w:val="FootnoteReference"/>
          <w:rtl/>
        </w:rPr>
        <w:footnoteReference w:id="4"/>
      </w:r>
      <w:r w:rsidR="00E306FF" w:rsidRPr="00517271">
        <w:rPr>
          <w:rtl/>
        </w:rPr>
        <w:t>، منهم كيانات حكومية ومؤسسات مالية ومنظمات ورابطات دولية وإقليمية وكيانات (بما في ذلك مؤسسات) من القطاع الخاص ومنظمات تابعة للأمم المتحدة وهيئات أكاديمية، من البلدان المتقدمة والبلدان النامية على السواء. ويتبادل هؤلاء الشركاء خبراتهم ويدعمون مالياً تنفيذ البرامج والمبادرات الإقليمية والعالمية والأنشطة الرامية إلى تحقيق التنمية المستدامة. وإذ يدرك المكتب أن الشراكات الناجحة تُبنى على الثقة والاحترام والاطمئنان، فإنه يولي اهتماماً خاصاً لتنمية علاقات قوية مع شركائه منذ أمد طويل، بمن فيهم الشركاء المذكورون في الوثيقة TDAG25/INF/1.</w:t>
      </w:r>
    </w:p>
    <w:p w14:paraId="10B5F3CB" w14:textId="0B5EF434" w:rsidR="00E306FF" w:rsidRPr="00517271" w:rsidRDefault="00517271" w:rsidP="00517271">
      <w:pPr>
        <w:pStyle w:val="enumlev1"/>
      </w:pPr>
      <w:r>
        <w:rPr>
          <w:rFonts w:hint="cs"/>
          <w:rtl/>
        </w:rPr>
        <w:t>-</w:t>
      </w:r>
      <w:r>
        <w:rPr>
          <w:rtl/>
        </w:rPr>
        <w:tab/>
      </w:r>
      <w:r w:rsidR="00E306FF" w:rsidRPr="00517271">
        <w:rPr>
          <w:b/>
          <w:bCs/>
          <w:rtl/>
        </w:rPr>
        <w:t>تعزيز التعاون مع وكالات الأمم المتحدة</w:t>
      </w:r>
      <w:r w:rsidR="00E306FF" w:rsidRPr="00517271">
        <w:rPr>
          <w:rtl/>
        </w:rPr>
        <w:t>: يواصل مكتب تنمية الاتصالات تعزيز تعاونه مع وكالات الأمم المتحدة الأخرى، مع زيادة إبراز حضوره والتأكيد على الدور الفريد ال</w:t>
      </w:r>
      <w:r w:rsidR="00090C32">
        <w:rPr>
          <w:rFonts w:hint="cs"/>
          <w:rtl/>
          <w:lang w:bidi="ar-EG"/>
        </w:rPr>
        <w:t>ذ</w:t>
      </w:r>
      <w:r w:rsidR="00E306FF" w:rsidRPr="00517271">
        <w:rPr>
          <w:rtl/>
        </w:rPr>
        <w:t>ي يضطلع به كمنظمة رائدة في قطاع الاتصالات/تكنولوجيا المعلومات والاتصالات. ويعزز التعاون مع وكالات الأمم المتحدة أوجه التآزر وتبادل المعارف، ويولد تمويلاً جديداً ومتزايداً من خلال الاستفادة من القدرة على جمع أطراف متعددة. ومن خلال العمل بشكل وثيق مع الوكالات الشقيقة التابعة للأمم المتحدة، تتاح للمكتب فرص تمويل جديدة (بما يشمل الصناديق المشتركة للأمم المتحدة) لتنفيذ مشاريع مشتركة على المستويات الوطنية والإقليمية والعالمية من أجل تحقيق خطة 2030.</w:t>
      </w:r>
    </w:p>
    <w:p w14:paraId="2F566121" w14:textId="513893C4" w:rsidR="00E306FF" w:rsidRPr="00517271" w:rsidRDefault="00517271" w:rsidP="00517271">
      <w:pPr>
        <w:pStyle w:val="enumlev1"/>
      </w:pPr>
      <w:r>
        <w:rPr>
          <w:rFonts w:hint="cs"/>
          <w:rtl/>
        </w:rPr>
        <w:t>-</w:t>
      </w:r>
      <w:r>
        <w:rPr>
          <w:rtl/>
        </w:rPr>
        <w:tab/>
      </w:r>
      <w:r w:rsidR="00E306FF" w:rsidRPr="000C2BD3">
        <w:rPr>
          <w:b/>
          <w:bCs/>
          <w:rtl/>
        </w:rPr>
        <w:t>الوصول إلى الشركاء المحتملين الجدد</w:t>
      </w:r>
      <w:r w:rsidR="00E306FF" w:rsidRPr="00517271">
        <w:rPr>
          <w:rtl/>
        </w:rPr>
        <w:t>: في حين أن مكتب تنمية الاتصالات يركز بشدة على تعزيز علاقته مع شركائه الحاليين والحفاظ على علاقة مستدامة معهم، فهو يدرك أيضاً أهمية توسيع مجموعة شركائه وتنويعها. ولتحقيق ذلك، يتواصل المكتب بنشاط مع الشركاء المحتملين من خلال نهج استراتيجي لزيادة التعريف بالاتحاد/مكتب تنمية الاتصالات، وتحديد أوجه التآزر، واستكشاف فرص التعاون في المستقبل.</w:t>
      </w:r>
    </w:p>
    <w:p w14:paraId="1FD8F32D" w14:textId="395C209C" w:rsidR="00E306FF" w:rsidRPr="000C2BD3" w:rsidRDefault="000C2BD3" w:rsidP="000C2BD3">
      <w:pPr>
        <w:pStyle w:val="Heading1"/>
      </w:pPr>
      <w:r w:rsidRPr="000C2BD3">
        <w:rPr>
          <w:rFonts w:hint="cs"/>
          <w:rtl/>
        </w:rPr>
        <w:t>5</w:t>
      </w:r>
      <w:r w:rsidRPr="000C2BD3">
        <w:rPr>
          <w:rtl/>
        </w:rPr>
        <w:tab/>
      </w:r>
      <w:r w:rsidR="00E306FF" w:rsidRPr="000C2BD3">
        <w:rPr>
          <w:rtl/>
        </w:rPr>
        <w:t>آفاق المستقبل</w:t>
      </w:r>
    </w:p>
    <w:p w14:paraId="60F5C410" w14:textId="77777777" w:rsidR="00E306FF" w:rsidRPr="000C2BD3" w:rsidRDefault="00E306FF" w:rsidP="000C2BD3">
      <w:r w:rsidRPr="000C2BD3">
        <w:rPr>
          <w:rtl/>
        </w:rPr>
        <w:t>يعرب مكتب تنمية الاتصالات عن تقديره وتثمينه لشركائه منذ أمد طويل وللشركاء الجدد الذين يتسنى بفضل شراكتهم دعم تنفيذ مشاريع وبرامج ومبادرات على المستويات العالمية والإقليمية والوطنية. وفي المستقبل، سيواصل المكتب تنمية وتعزيز شراكاته مع مجموعة واسعة من أصحاب المصلحة بما فيهم الكيانات الحكومية والمؤسسات المالية والقطاع الخاص ووكالات الأمم المتحدة والهيئات الأكاديمية.</w:t>
      </w:r>
    </w:p>
    <w:p w14:paraId="63720C1F" w14:textId="77777777" w:rsidR="007B4FA0" w:rsidRDefault="00153471" w:rsidP="000C2BD3">
      <w:pPr>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74D0" w14:textId="77777777" w:rsidR="00630BDB" w:rsidRDefault="00630BDB" w:rsidP="006C3242">
      <w:pPr>
        <w:spacing w:before="0" w:line="240" w:lineRule="auto"/>
      </w:pPr>
      <w:r>
        <w:separator/>
      </w:r>
    </w:p>
  </w:endnote>
  <w:endnote w:type="continuationSeparator" w:id="0">
    <w:p w14:paraId="40B6D73C" w14:textId="77777777" w:rsidR="00630BDB" w:rsidRDefault="00630BD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AD1E92" w:rsidRPr="00AD1E92" w14:paraId="6DFF15AC" w14:textId="77777777" w:rsidTr="00031158">
      <w:tc>
        <w:tcPr>
          <w:tcW w:w="991" w:type="dxa"/>
          <w:tcBorders>
            <w:top w:val="single" w:sz="4" w:space="0" w:color="auto"/>
            <w:left w:val="nil"/>
            <w:bottom w:val="nil"/>
            <w:right w:val="nil"/>
          </w:tcBorders>
          <w:shd w:val="clear" w:color="auto" w:fill="FFFFFF" w:themeFill="background1"/>
          <w:hideMark/>
        </w:tcPr>
        <w:p w14:paraId="52712CD1"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AD12D4F"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5C4124F" w14:textId="2E757335" w:rsidR="00AD1E92" w:rsidRPr="0019368B" w:rsidRDefault="00E306FF" w:rsidP="00AD1E92">
          <w:pPr>
            <w:spacing w:before="60" w:after="40" w:line="260" w:lineRule="exact"/>
            <w:rPr>
              <w:position w:val="2"/>
              <w:sz w:val="18"/>
              <w:szCs w:val="18"/>
            </w:rPr>
          </w:pPr>
          <w:r w:rsidRPr="00E306FF">
            <w:rPr>
              <w:position w:val="2"/>
              <w:sz w:val="18"/>
              <w:szCs w:val="18"/>
              <w:rtl/>
              <w:lang w:val="fr-FR" w:bidi="ar-EG"/>
            </w:rPr>
            <w:t xml:space="preserve">السيدة </w:t>
          </w:r>
          <w:proofErr w:type="spellStart"/>
          <w:r w:rsidRPr="00E306FF">
            <w:rPr>
              <w:position w:val="2"/>
              <w:sz w:val="18"/>
              <w:szCs w:val="18"/>
              <w:lang w:val="fr-FR" w:bidi="ar-EG"/>
            </w:rPr>
            <w:t>Eun</w:t>
          </w:r>
          <w:proofErr w:type="spellEnd"/>
          <w:r w:rsidRPr="00E306FF">
            <w:rPr>
              <w:position w:val="2"/>
              <w:sz w:val="18"/>
              <w:szCs w:val="18"/>
              <w:lang w:val="fr-FR" w:bidi="ar-EG"/>
            </w:rPr>
            <w:t xml:space="preserve"> Ju Kim</w:t>
          </w:r>
          <w:r w:rsidRPr="00E306FF">
            <w:rPr>
              <w:position w:val="2"/>
              <w:sz w:val="18"/>
              <w:szCs w:val="18"/>
              <w:rtl/>
              <w:lang w:val="fr-FR" w:bidi="ar-EG"/>
            </w:rPr>
            <w:t>، رئيسة دائرة المشاريع والشراكات والمهارات الرقمية (</w:t>
          </w:r>
          <w:r w:rsidR="0019368B">
            <w:rPr>
              <w:position w:val="2"/>
              <w:sz w:val="18"/>
              <w:szCs w:val="18"/>
              <w:lang w:val="fr-FR" w:bidi="ar-EG"/>
            </w:rPr>
            <w:t>(</w:t>
          </w:r>
          <w:r w:rsidRPr="00E306FF">
            <w:rPr>
              <w:position w:val="2"/>
              <w:sz w:val="18"/>
              <w:szCs w:val="18"/>
              <w:lang w:val="fr-FR" w:bidi="ar-EG"/>
            </w:rPr>
            <w:t>PPS</w:t>
          </w:r>
        </w:p>
      </w:tc>
    </w:tr>
    <w:tr w:rsidR="00AD1E92" w:rsidRPr="00AD1E92" w14:paraId="43F26978" w14:textId="77777777" w:rsidTr="00031158">
      <w:tc>
        <w:tcPr>
          <w:tcW w:w="991" w:type="dxa"/>
        </w:tcPr>
        <w:p w14:paraId="6DEF516E"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1113E32C"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رقم الهاتف:</w:t>
          </w:r>
        </w:p>
      </w:tc>
      <w:tc>
        <w:tcPr>
          <w:tcW w:w="6237" w:type="dxa"/>
        </w:tcPr>
        <w:p w14:paraId="42FECC5A" w14:textId="6039C78F" w:rsidR="00AD1E92" w:rsidRPr="00AD1E92" w:rsidRDefault="00E306FF" w:rsidP="00AD1E92">
          <w:pPr>
            <w:spacing w:before="60" w:after="40" w:line="260" w:lineRule="exact"/>
            <w:rPr>
              <w:position w:val="2"/>
              <w:sz w:val="18"/>
              <w:szCs w:val="18"/>
              <w:lang w:val="en-GB"/>
            </w:rPr>
          </w:pPr>
          <w:r w:rsidRPr="000253AB">
            <w:rPr>
              <w:sz w:val="18"/>
              <w:szCs w:val="24"/>
            </w:rPr>
            <w:t>+41</w:t>
          </w:r>
          <w:r>
            <w:rPr>
              <w:sz w:val="18"/>
              <w:szCs w:val="24"/>
            </w:rPr>
            <w:t xml:space="preserve"> </w:t>
          </w:r>
          <w:r w:rsidRPr="000253AB">
            <w:rPr>
              <w:sz w:val="18"/>
              <w:szCs w:val="24"/>
            </w:rPr>
            <w:t>22</w:t>
          </w:r>
          <w:r>
            <w:rPr>
              <w:sz w:val="18"/>
              <w:szCs w:val="24"/>
            </w:rPr>
            <w:t xml:space="preserve"> </w:t>
          </w:r>
          <w:r w:rsidRPr="000253AB">
            <w:rPr>
              <w:sz w:val="18"/>
              <w:szCs w:val="24"/>
            </w:rPr>
            <w:t>730</w:t>
          </w:r>
          <w:r>
            <w:rPr>
              <w:sz w:val="18"/>
              <w:szCs w:val="24"/>
            </w:rPr>
            <w:t xml:space="preserve"> </w:t>
          </w:r>
          <w:r w:rsidRPr="000253AB">
            <w:rPr>
              <w:sz w:val="18"/>
              <w:szCs w:val="24"/>
            </w:rPr>
            <w:t>5900</w:t>
          </w:r>
        </w:p>
      </w:tc>
    </w:tr>
    <w:tr w:rsidR="00AD1E92" w:rsidRPr="00AD1E92" w14:paraId="70F323E5" w14:textId="77777777" w:rsidTr="00031158">
      <w:tc>
        <w:tcPr>
          <w:tcW w:w="991" w:type="dxa"/>
        </w:tcPr>
        <w:p w14:paraId="45C4F317" w14:textId="77777777" w:rsidR="00AD1E92" w:rsidRPr="00AD1E92" w:rsidRDefault="00AD1E92" w:rsidP="00AD1E92">
          <w:pPr>
            <w:spacing w:before="60" w:after="40" w:line="260" w:lineRule="exact"/>
            <w:rPr>
              <w:position w:val="2"/>
              <w:sz w:val="18"/>
              <w:szCs w:val="18"/>
              <w:lang w:val="en-GB"/>
            </w:rPr>
          </w:pPr>
        </w:p>
      </w:tc>
      <w:tc>
        <w:tcPr>
          <w:tcW w:w="2411" w:type="dxa"/>
          <w:hideMark/>
        </w:tcPr>
        <w:p w14:paraId="2FAE92AC" w14:textId="77777777" w:rsidR="00AD1E92" w:rsidRPr="00AD1E92" w:rsidRDefault="00AD1E92" w:rsidP="00AD1E92">
          <w:pPr>
            <w:spacing w:before="60" w:after="40" w:line="260" w:lineRule="exact"/>
            <w:rPr>
              <w:position w:val="2"/>
              <w:sz w:val="18"/>
              <w:szCs w:val="18"/>
              <w:lang w:val="en-GB"/>
            </w:rPr>
          </w:pPr>
          <w:r w:rsidRPr="00AD1E92">
            <w:rPr>
              <w:position w:val="2"/>
              <w:sz w:val="18"/>
              <w:szCs w:val="18"/>
              <w:rtl/>
              <w:lang w:val="fr-FR" w:bidi="ar-EG"/>
            </w:rPr>
            <w:t>البريد الإلكتروني:</w:t>
          </w:r>
        </w:p>
      </w:tc>
      <w:tc>
        <w:tcPr>
          <w:tcW w:w="6237" w:type="dxa"/>
        </w:tcPr>
        <w:p w14:paraId="573D97BD" w14:textId="32BB3E8B" w:rsidR="00AD1E92" w:rsidRPr="00AD1E92" w:rsidRDefault="00714568" w:rsidP="00AD1E92">
          <w:pPr>
            <w:spacing w:before="60" w:after="40" w:line="260" w:lineRule="exact"/>
            <w:rPr>
              <w:position w:val="2"/>
              <w:sz w:val="18"/>
              <w:szCs w:val="18"/>
              <w:rtl/>
              <w:lang w:val="fr-FR" w:bidi="ar-EG"/>
            </w:rPr>
          </w:pPr>
          <w:hyperlink r:id="rId1" w:history="1">
            <w:r w:rsidR="00E306FF" w:rsidRPr="00C3432A">
              <w:rPr>
                <w:rStyle w:val="Hyperlink"/>
                <w:sz w:val="18"/>
                <w:szCs w:val="24"/>
              </w:rPr>
              <w:t>eun-ju.kim@itu.int</w:t>
            </w:r>
          </w:hyperlink>
          <w:hyperlink r:id="rId2" w:history="1"/>
        </w:p>
      </w:tc>
    </w:tr>
  </w:tbl>
  <w:p w14:paraId="3AB4FA28" w14:textId="77777777" w:rsidR="00AD1E92" w:rsidRPr="004A0B7B" w:rsidRDefault="00AD1E9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B521" w14:textId="77777777" w:rsidR="00630BDB" w:rsidRDefault="00630BDB" w:rsidP="006C3242">
      <w:pPr>
        <w:spacing w:before="0" w:line="240" w:lineRule="auto"/>
      </w:pPr>
      <w:r>
        <w:separator/>
      </w:r>
    </w:p>
  </w:footnote>
  <w:footnote w:type="continuationSeparator" w:id="0">
    <w:p w14:paraId="62568B84" w14:textId="77777777" w:rsidR="00630BDB" w:rsidRDefault="00630BDB" w:rsidP="006C3242">
      <w:pPr>
        <w:spacing w:before="0" w:line="240" w:lineRule="auto"/>
      </w:pPr>
      <w:r>
        <w:continuationSeparator/>
      </w:r>
    </w:p>
  </w:footnote>
  <w:footnote w:id="1">
    <w:p w14:paraId="6B984503" w14:textId="62FE7812" w:rsidR="00E306FF" w:rsidRPr="000876C9" w:rsidRDefault="00E306FF" w:rsidP="009C1D36">
      <w:pPr>
        <w:pStyle w:val="FootnoteText"/>
      </w:pPr>
      <w:r w:rsidRPr="000876C9">
        <w:rPr>
          <w:rStyle w:val="FootnoteReference"/>
          <w:position w:val="0"/>
          <w:sz w:val="20"/>
          <w:szCs w:val="20"/>
          <w:rtl/>
        </w:rPr>
        <w:footnoteRef/>
      </w:r>
      <w:r w:rsidR="0014045E">
        <w:rPr>
          <w:rtl/>
        </w:rPr>
        <w:tab/>
      </w:r>
      <w:r w:rsidRPr="000876C9">
        <w:rPr>
          <w:rtl/>
        </w:rPr>
        <w:t>للاطلاع على قائمة الاتفاقات الكاملة، يرجى الرجوع إلى الوثيقة TDAG25/INF/1.</w:t>
      </w:r>
    </w:p>
  </w:footnote>
  <w:footnote w:id="2">
    <w:p w14:paraId="4B9C7E99" w14:textId="46173C4E" w:rsidR="00E306FF" w:rsidRPr="0027109F" w:rsidRDefault="00E306FF" w:rsidP="009C1D36">
      <w:pPr>
        <w:pStyle w:val="FootnoteText"/>
        <w:rPr>
          <w:szCs w:val="20"/>
          <w:lang w:eastAsia="zh-TW" w:bidi="en-GB"/>
        </w:rPr>
      </w:pPr>
      <w:r w:rsidRPr="000C2BD3">
        <w:rPr>
          <w:rStyle w:val="FootnoteReference"/>
          <w:rtl/>
        </w:rPr>
        <w:footnoteRef/>
      </w:r>
      <w:r w:rsidR="0014045E">
        <w:rPr>
          <w:rtl/>
        </w:rPr>
        <w:tab/>
      </w:r>
      <w:hyperlink r:id="rId1" w:anchor="/ar" w:history="1">
        <w:r w:rsidR="0027109F" w:rsidRPr="000C2BD3">
          <w:rPr>
            <w:rStyle w:val="Hyperlink"/>
          </w:rPr>
          <w:t>https://https://www.itu.int/hub/membership/our-members/</w:t>
        </w:r>
      </w:hyperlink>
    </w:p>
  </w:footnote>
  <w:footnote w:id="3">
    <w:p w14:paraId="4DB18CD2" w14:textId="3492ABF8" w:rsidR="00E306FF" w:rsidRPr="00517271" w:rsidRDefault="00E306FF" w:rsidP="009C1D36">
      <w:pPr>
        <w:pStyle w:val="FootnoteText"/>
      </w:pPr>
      <w:r w:rsidRPr="00517271">
        <w:rPr>
          <w:rStyle w:val="FootnoteReference"/>
          <w:position w:val="0"/>
          <w:sz w:val="20"/>
          <w:szCs w:val="20"/>
          <w:rtl/>
        </w:rPr>
        <w:footnoteRef/>
      </w:r>
      <w:r w:rsidR="0014045E">
        <w:rPr>
          <w:rtl/>
        </w:rPr>
        <w:tab/>
      </w:r>
      <w:r w:rsidRPr="00517271">
        <w:rPr>
          <w:rtl/>
        </w:rPr>
        <w:t>للاطلاع على قائمة الشركاء الماليين الكاملة، يرجى الرجوع إلى الوثيقة TDAG25/INF/1.</w:t>
      </w:r>
    </w:p>
  </w:footnote>
  <w:footnote w:id="4">
    <w:p w14:paraId="2F743AF1" w14:textId="3D01B6C9" w:rsidR="00E306FF" w:rsidRPr="000C2BD3" w:rsidRDefault="00E306FF" w:rsidP="009C1D36">
      <w:pPr>
        <w:pStyle w:val="FootnoteText"/>
        <w:rPr>
          <w:lang w:eastAsia="zh-TW" w:bidi="en-GB"/>
        </w:rPr>
      </w:pPr>
      <w:r w:rsidRPr="000D2492">
        <w:rPr>
          <w:rStyle w:val="FootnoteReference"/>
          <w:rtl/>
        </w:rPr>
        <w:footnoteRef/>
      </w:r>
      <w:r w:rsidR="0014045E">
        <w:rPr>
          <w:rtl/>
        </w:rPr>
        <w:tab/>
      </w:r>
      <w:hyperlink r:id="rId2" w:history="1">
        <w:r w:rsidR="009C1D36" w:rsidRPr="000D2492">
          <w:rPr>
            <w:rStyle w:val="Hyperlink"/>
          </w:rPr>
          <w:t>https://www.itu.int/en/ITU-D/MembersPartners/Pages/Partners/List-of-Partners.aspx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4FFA9CE9" w14:textId="7D29A264" w:rsidR="00882A17" w:rsidRPr="00FC3D2F" w:rsidRDefault="00882A17" w:rsidP="004F0F62">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983DA5">
          <w:rPr>
            <w:sz w:val="20"/>
            <w:szCs w:val="20"/>
            <w:lang w:val="es-ES_tradnl"/>
          </w:rPr>
          <w:t>TDAG</w:t>
        </w:r>
        <w:r>
          <w:rPr>
            <w:sz w:val="20"/>
            <w:szCs w:val="20"/>
            <w:lang w:val="es-ES_tradnl"/>
          </w:rPr>
          <w:t>-2</w:t>
        </w:r>
        <w:bookmarkStart w:id="1" w:name="DocNo2"/>
        <w:bookmarkEnd w:id="1"/>
        <w:r w:rsidR="006B266A">
          <w:rPr>
            <w:sz w:val="20"/>
            <w:szCs w:val="20"/>
            <w:lang w:val="es-ES_tradnl"/>
          </w:rPr>
          <w:t>5</w:t>
        </w:r>
        <w:r w:rsidR="004F0F62" w:rsidRPr="004F0F62">
          <w:rPr>
            <w:sz w:val="20"/>
            <w:szCs w:val="20"/>
            <w:lang w:val="es-ES_tradnl"/>
          </w:rPr>
          <w:t>/</w:t>
        </w:r>
        <w:r w:rsidR="00E306FF">
          <w:rPr>
            <w:sz w:val="20"/>
            <w:szCs w:val="20"/>
            <w:lang w:val="es-ES_tradnl"/>
          </w:rPr>
          <w:t>9</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E82194"/>
    <w:multiLevelType w:val="hybridMultilevel"/>
    <w:tmpl w:val="A62C5606"/>
    <w:lvl w:ilvl="0" w:tplc="93E64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4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052376">
    <w:abstractNumId w:val="9"/>
  </w:num>
  <w:num w:numId="2" w16cid:durableId="1147554591">
    <w:abstractNumId w:val="7"/>
  </w:num>
  <w:num w:numId="3" w16cid:durableId="1041170884">
    <w:abstractNumId w:val="6"/>
  </w:num>
  <w:num w:numId="4" w16cid:durableId="1808467772">
    <w:abstractNumId w:val="5"/>
  </w:num>
  <w:num w:numId="5" w16cid:durableId="939215603">
    <w:abstractNumId w:val="4"/>
  </w:num>
  <w:num w:numId="6" w16cid:durableId="1171480664">
    <w:abstractNumId w:val="8"/>
  </w:num>
  <w:num w:numId="7" w16cid:durableId="1511486152">
    <w:abstractNumId w:val="3"/>
  </w:num>
  <w:num w:numId="8" w16cid:durableId="1234042883">
    <w:abstractNumId w:val="2"/>
  </w:num>
  <w:num w:numId="9" w16cid:durableId="285890177">
    <w:abstractNumId w:val="1"/>
  </w:num>
  <w:num w:numId="10" w16cid:durableId="1410539016">
    <w:abstractNumId w:val="0"/>
  </w:num>
  <w:num w:numId="11" w16cid:durableId="1773476791">
    <w:abstractNumId w:val="10"/>
  </w:num>
  <w:num w:numId="12" w16cid:durableId="1936010611">
    <w:abstractNumId w:val="12"/>
    <w:lvlOverride w:ilvl="0">
      <w:lvl w:ilvl="0">
        <w:start w:val="1"/>
        <w:numFmt w:val="decimal"/>
        <w:lvlText w:val="%1."/>
        <w:lvlJc w:val="left"/>
        <w:pPr>
          <w:ind w:left="360" w:hanging="360"/>
        </w:pPr>
      </w:lvl>
    </w:lvlOverride>
  </w:num>
  <w:num w:numId="13" w16cid:durableId="975065815">
    <w:abstractNumId w:val="11"/>
    <w:lvlOverride w:ilvl="0">
      <w:lvl w:ilvl="0" w:tplc="93E6492E">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DB"/>
    <w:rsid w:val="00026D7C"/>
    <w:rsid w:val="0006468A"/>
    <w:rsid w:val="000876C9"/>
    <w:rsid w:val="00090574"/>
    <w:rsid w:val="00090C32"/>
    <w:rsid w:val="000C1C0E"/>
    <w:rsid w:val="000C2BD3"/>
    <w:rsid w:val="000C548A"/>
    <w:rsid w:val="0014045E"/>
    <w:rsid w:val="00153471"/>
    <w:rsid w:val="0019128D"/>
    <w:rsid w:val="0019368B"/>
    <w:rsid w:val="001C0169"/>
    <w:rsid w:val="001D1D50"/>
    <w:rsid w:val="001D6745"/>
    <w:rsid w:val="001E446E"/>
    <w:rsid w:val="0021016E"/>
    <w:rsid w:val="002154EE"/>
    <w:rsid w:val="002276D2"/>
    <w:rsid w:val="0023283D"/>
    <w:rsid w:val="0026373E"/>
    <w:rsid w:val="0027109F"/>
    <w:rsid w:val="00271C43"/>
    <w:rsid w:val="00290728"/>
    <w:rsid w:val="002978F4"/>
    <w:rsid w:val="002B028D"/>
    <w:rsid w:val="002C2D54"/>
    <w:rsid w:val="002D695E"/>
    <w:rsid w:val="002E6541"/>
    <w:rsid w:val="00317741"/>
    <w:rsid w:val="00334924"/>
    <w:rsid w:val="003409BC"/>
    <w:rsid w:val="00352462"/>
    <w:rsid w:val="00357185"/>
    <w:rsid w:val="00383829"/>
    <w:rsid w:val="003971E3"/>
    <w:rsid w:val="003C4402"/>
    <w:rsid w:val="003F4B29"/>
    <w:rsid w:val="004200BD"/>
    <w:rsid w:val="0042686F"/>
    <w:rsid w:val="004317D8"/>
    <w:rsid w:val="00434183"/>
    <w:rsid w:val="00443869"/>
    <w:rsid w:val="00447F32"/>
    <w:rsid w:val="00457D22"/>
    <w:rsid w:val="004A0B7B"/>
    <w:rsid w:val="004E11DC"/>
    <w:rsid w:val="004F0F62"/>
    <w:rsid w:val="004F3C48"/>
    <w:rsid w:val="00506E94"/>
    <w:rsid w:val="00517271"/>
    <w:rsid w:val="00525DDD"/>
    <w:rsid w:val="005409AC"/>
    <w:rsid w:val="0055516A"/>
    <w:rsid w:val="0058491B"/>
    <w:rsid w:val="005874F2"/>
    <w:rsid w:val="00592EA5"/>
    <w:rsid w:val="005A3170"/>
    <w:rsid w:val="005B2C89"/>
    <w:rsid w:val="005C0C76"/>
    <w:rsid w:val="005D610E"/>
    <w:rsid w:val="005D63D6"/>
    <w:rsid w:val="005E1E6D"/>
    <w:rsid w:val="006128FC"/>
    <w:rsid w:val="00630BDB"/>
    <w:rsid w:val="00634F98"/>
    <w:rsid w:val="00677396"/>
    <w:rsid w:val="0069200F"/>
    <w:rsid w:val="006A5FEC"/>
    <w:rsid w:val="006A65CB"/>
    <w:rsid w:val="006A7B98"/>
    <w:rsid w:val="006B266A"/>
    <w:rsid w:val="006C3242"/>
    <w:rsid w:val="006C7CC0"/>
    <w:rsid w:val="006E2CF8"/>
    <w:rsid w:val="006E4285"/>
    <w:rsid w:val="006F63F7"/>
    <w:rsid w:val="007025C7"/>
    <w:rsid w:val="00706D7A"/>
    <w:rsid w:val="00714568"/>
    <w:rsid w:val="00722F0D"/>
    <w:rsid w:val="0074420E"/>
    <w:rsid w:val="0074742E"/>
    <w:rsid w:val="00747A70"/>
    <w:rsid w:val="00783A69"/>
    <w:rsid w:val="00783E26"/>
    <w:rsid w:val="007A1D77"/>
    <w:rsid w:val="007B4FA0"/>
    <w:rsid w:val="007C3BC7"/>
    <w:rsid w:val="007C3BCD"/>
    <w:rsid w:val="007D345C"/>
    <w:rsid w:val="007D4ACF"/>
    <w:rsid w:val="007F0787"/>
    <w:rsid w:val="007F37EE"/>
    <w:rsid w:val="00810B7B"/>
    <w:rsid w:val="0082358A"/>
    <w:rsid w:val="008235CD"/>
    <w:rsid w:val="008247DE"/>
    <w:rsid w:val="00833F58"/>
    <w:rsid w:val="00840B10"/>
    <w:rsid w:val="008513CB"/>
    <w:rsid w:val="00855F97"/>
    <w:rsid w:val="008562F3"/>
    <w:rsid w:val="00866B28"/>
    <w:rsid w:val="00874F08"/>
    <w:rsid w:val="00882A17"/>
    <w:rsid w:val="008A7F84"/>
    <w:rsid w:val="0091702E"/>
    <w:rsid w:val="00923B0C"/>
    <w:rsid w:val="0094021C"/>
    <w:rsid w:val="0094065A"/>
    <w:rsid w:val="00941EC1"/>
    <w:rsid w:val="00952F86"/>
    <w:rsid w:val="00957084"/>
    <w:rsid w:val="00982B28"/>
    <w:rsid w:val="00983DA5"/>
    <w:rsid w:val="009C1D36"/>
    <w:rsid w:val="009D313F"/>
    <w:rsid w:val="00A15396"/>
    <w:rsid w:val="00A24359"/>
    <w:rsid w:val="00A47A5A"/>
    <w:rsid w:val="00A6683B"/>
    <w:rsid w:val="00A844B8"/>
    <w:rsid w:val="00A97F94"/>
    <w:rsid w:val="00AA7EA2"/>
    <w:rsid w:val="00AD1E92"/>
    <w:rsid w:val="00B03099"/>
    <w:rsid w:val="00B05BC8"/>
    <w:rsid w:val="00B319BC"/>
    <w:rsid w:val="00B64B47"/>
    <w:rsid w:val="00B93B7B"/>
    <w:rsid w:val="00BC4B48"/>
    <w:rsid w:val="00C002DE"/>
    <w:rsid w:val="00C53BF8"/>
    <w:rsid w:val="00C56B5F"/>
    <w:rsid w:val="00C66157"/>
    <w:rsid w:val="00C66CEB"/>
    <w:rsid w:val="00C674FE"/>
    <w:rsid w:val="00C67501"/>
    <w:rsid w:val="00C75633"/>
    <w:rsid w:val="00C85CB5"/>
    <w:rsid w:val="00C864E1"/>
    <w:rsid w:val="00CA08BA"/>
    <w:rsid w:val="00CE2EE1"/>
    <w:rsid w:val="00CE3349"/>
    <w:rsid w:val="00CE36E5"/>
    <w:rsid w:val="00CF27F5"/>
    <w:rsid w:val="00CF3FFD"/>
    <w:rsid w:val="00CF4342"/>
    <w:rsid w:val="00D10CCF"/>
    <w:rsid w:val="00D77D0F"/>
    <w:rsid w:val="00D8311F"/>
    <w:rsid w:val="00D84440"/>
    <w:rsid w:val="00DA1CF0"/>
    <w:rsid w:val="00DC1E02"/>
    <w:rsid w:val="00DC24B4"/>
    <w:rsid w:val="00DC5FB0"/>
    <w:rsid w:val="00DF16DC"/>
    <w:rsid w:val="00E17D2E"/>
    <w:rsid w:val="00E306FF"/>
    <w:rsid w:val="00E43176"/>
    <w:rsid w:val="00E45211"/>
    <w:rsid w:val="00E473C5"/>
    <w:rsid w:val="00E92863"/>
    <w:rsid w:val="00EB796D"/>
    <w:rsid w:val="00EE5CF2"/>
    <w:rsid w:val="00F058DC"/>
    <w:rsid w:val="00F24FC4"/>
    <w:rsid w:val="00F2676C"/>
    <w:rsid w:val="00F43D01"/>
    <w:rsid w:val="00F77022"/>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D4453"/>
  <w15:chartTrackingRefBased/>
  <w15:docId w15:val="{1C7D784C-2249-4111-B365-0DD0373F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autoRedefine/>
    <w:unhideWhenUsed/>
    <w:qFormat/>
    <w:rsid w:val="009C1D36"/>
    <w:pPr>
      <w:spacing w:before="0" w:line="168" w:lineRule="auto"/>
      <w:ind w:left="340" w:hanging="340"/>
      <w:textDirection w:val="tbRlV"/>
    </w:pPr>
    <w:rPr>
      <w:sz w:val="20"/>
      <w:szCs w:val="18"/>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9C1D36"/>
    <w:rPr>
      <w:rFonts w:ascii="Dubai" w:hAnsi="Dubai" w:cs="Dubai"/>
      <w:sz w:val="20"/>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超?级链,Style 58,超????,하이퍼링크2,超链接1,超?级链?,Style?,S,하이퍼링크21,ECC Hyperlink"/>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E306FF"/>
    <w:rPr>
      <w:rFonts w:ascii="Dubai" w:hAnsi="Dubai" w:cs="Dubai"/>
    </w:rPr>
  </w:style>
  <w:style w:type="character" w:styleId="CommentReference">
    <w:name w:val="annotation reference"/>
    <w:basedOn w:val="DefaultParagraphFont"/>
    <w:semiHidden/>
    <w:unhideWhenUsed/>
    <w:rsid w:val="00E306FF"/>
    <w:rPr>
      <w:sz w:val="16"/>
      <w:szCs w:val="16"/>
    </w:rPr>
  </w:style>
  <w:style w:type="paragraph" w:styleId="CommentText">
    <w:name w:val="annotation text"/>
    <w:basedOn w:val="Normal"/>
    <w:link w:val="CommentTextChar"/>
    <w:unhideWhenUsed/>
    <w:rsid w:val="00E306FF"/>
    <w:pPr>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Batang" w:hAnsi="Times" w:cs="Simplified Arabic" w:hint="cs"/>
      <w:sz w:val="20"/>
      <w:szCs w:val="30"/>
    </w:rPr>
  </w:style>
  <w:style w:type="character" w:customStyle="1" w:styleId="CommentTextChar">
    <w:name w:val="Comment Text Char"/>
    <w:basedOn w:val="DefaultParagraphFont"/>
    <w:link w:val="CommentText"/>
    <w:rsid w:val="00E306FF"/>
    <w:rPr>
      <w:rFonts w:ascii="Times New Roman" w:eastAsia="Batang" w:hAnsi="Times" w:cs="Simplified Arabic"/>
      <w:sz w:val="20"/>
      <w:szCs w:val="30"/>
    </w:rPr>
  </w:style>
  <w:style w:type="paragraph" w:styleId="Revision">
    <w:name w:val="Revision"/>
    <w:hidden/>
    <w:uiPriority w:val="99"/>
    <w:semiHidden/>
    <w:rsid w:val="0019368B"/>
    <w:pPr>
      <w:spacing w:after="0" w:line="240" w:lineRule="auto"/>
    </w:pPr>
    <w:rPr>
      <w:rFonts w:ascii="Dubai" w:hAnsi="Dubai" w:cs="Dubai"/>
    </w:rPr>
  </w:style>
  <w:style w:type="character" w:styleId="FollowedHyperlink">
    <w:name w:val="FollowedHyperlink"/>
    <w:basedOn w:val="DefaultParagraphFont"/>
    <w:uiPriority w:val="99"/>
    <w:semiHidden/>
    <w:unhideWhenUsed/>
    <w:rsid w:val="0027109F"/>
    <w:rPr>
      <w:color w:val="954F72" w:themeColor="followedHyperlink"/>
      <w:u w:val="single"/>
    </w:rPr>
  </w:style>
  <w:style w:type="character" w:styleId="UnresolvedMention">
    <w:name w:val="Unresolved Mention"/>
    <w:basedOn w:val="DefaultParagraphFont"/>
    <w:uiPriority w:val="99"/>
    <w:semiHidden/>
    <w:unhideWhenUsed/>
    <w:rsid w:val="00517271"/>
    <w:rPr>
      <w:color w:val="605E5C"/>
      <w:shd w:val="clear" w:color="auto" w:fill="E1DFDD"/>
    </w:rPr>
  </w:style>
  <w:style w:type="paragraph" w:customStyle="1" w:styleId="Figure">
    <w:name w:val="Figure"/>
    <w:basedOn w:val="FigureNo"/>
    <w:qFormat/>
    <w:rsid w:val="00866B28"/>
    <w:pPr>
      <w:spacing w:before="12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itu.int/itu-d/sites/digital-impact-unlocked/all-stories/lis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lkjsd@asdf.com" TargetMode="External"/><Relationship Id="rId1" Type="http://schemas.openxmlformats.org/officeDocument/2006/relationships/hyperlink" Target="mailto:eun-ju.kim@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MembersPartners/Pages/Partners/List-of-Partners.aspx" TargetMode="External"/><Relationship Id="rId1" Type="http://schemas.openxmlformats.org/officeDocument/2006/relationships/hyperlink" Target="https://www.itu.int/hub/membership/our-me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D%20(BDT)\PA_TDAG-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4AD558BF-5407-4344-8FC8-A7E4FCC5F83D}"/>
</file>

<file path=customXml/itemProps3.xml><?xml version="1.0" encoding="utf-8"?>
<ds:datastoreItem xmlns:ds="http://schemas.openxmlformats.org/officeDocument/2006/customXml" ds:itemID="{3946D40C-C4D1-40BB-8512-9146E60A3AAE}"/>
</file>

<file path=customXml/itemProps4.xml><?xml version="1.0" encoding="utf-8"?>
<ds:datastoreItem xmlns:ds="http://schemas.openxmlformats.org/officeDocument/2006/customXml" ds:itemID="{3CF71EB3-4EF3-427E-8AFE-7A0AC58C3D96}"/>
</file>

<file path=docProps/app.xml><?xml version="1.0" encoding="utf-8"?>
<Properties xmlns="http://schemas.openxmlformats.org/officeDocument/2006/extended-properties" xmlns:vt="http://schemas.openxmlformats.org/officeDocument/2006/docPropsVTypes">
  <Template>PA_TDAG-25.dotx</Template>
  <TotalTime>0</TotalTime>
  <Pages>5</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PA_I.R</cp:lastModifiedBy>
  <cp:revision>3</cp:revision>
  <dcterms:created xsi:type="dcterms:W3CDTF">2025-05-05T11:59:00Z</dcterms:created>
  <dcterms:modified xsi:type="dcterms:W3CDTF">2025-05-05T11:59:00Z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