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010DE984">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27EBE91D"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AF676B">
              <w:rPr>
                <w:b/>
                <w:bCs/>
                <w:lang w:val="en-US"/>
              </w:rPr>
              <w:t>8</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1445A447" w:rsidR="00683C32" w:rsidRPr="00D8041C" w:rsidRDefault="00AF676B" w:rsidP="00B648C7">
            <w:pPr>
              <w:spacing w:before="0"/>
              <w:rPr>
                <w:b/>
                <w:szCs w:val="24"/>
                <w:lang w:val="es-ES_tradnl"/>
              </w:rPr>
            </w:pPr>
            <w:bookmarkStart w:id="2" w:name="CreationDate"/>
            <w:bookmarkEnd w:id="2"/>
            <w:r>
              <w:rPr>
                <w:b/>
                <w:bCs/>
                <w:szCs w:val="28"/>
              </w:rPr>
              <w:t>31</w:t>
            </w:r>
            <w:r w:rsidR="004010E2">
              <w:rPr>
                <w:b/>
                <w:bCs/>
                <w:szCs w:val="28"/>
              </w:rPr>
              <w:t xml:space="preserve"> de </w:t>
            </w:r>
            <w:r>
              <w:rPr>
                <w:b/>
                <w:bCs/>
                <w:szCs w:val="28"/>
              </w:rPr>
              <w:t>marzo</w:t>
            </w:r>
            <w:r w:rsidR="004010E2">
              <w:rPr>
                <w:b/>
                <w:bCs/>
                <w:szCs w:val="28"/>
              </w:rPr>
              <w:t xml:space="preserve">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AF676B" w14:paraId="6160D154" w14:textId="77777777" w:rsidTr="00107E85">
        <w:trPr>
          <w:cantSplit/>
          <w:trHeight w:val="852"/>
        </w:trPr>
        <w:tc>
          <w:tcPr>
            <w:tcW w:w="9888" w:type="dxa"/>
            <w:gridSpan w:val="4"/>
          </w:tcPr>
          <w:p w14:paraId="5C1D0BF6" w14:textId="3E1545D3" w:rsidR="00A13162" w:rsidRPr="00D8041C" w:rsidRDefault="00AF676B" w:rsidP="0030353C">
            <w:pPr>
              <w:pStyle w:val="Source"/>
              <w:rPr>
                <w:lang w:val="es-ES_tradnl"/>
              </w:rPr>
            </w:pPr>
            <w:bookmarkStart w:id="4" w:name="Source"/>
            <w:bookmarkEnd w:id="4"/>
            <w:r>
              <w:rPr>
                <w:lang w:val="es-ES_tradnl"/>
              </w:rPr>
              <w:t>Director de la Oficina de Desarrollo de las Telecomunicaciones</w:t>
            </w:r>
          </w:p>
        </w:tc>
      </w:tr>
      <w:tr w:rsidR="00AC6F14" w:rsidRPr="00AF676B" w14:paraId="1B6579E9" w14:textId="77777777" w:rsidTr="00107E85">
        <w:trPr>
          <w:cantSplit/>
        </w:trPr>
        <w:tc>
          <w:tcPr>
            <w:tcW w:w="9888" w:type="dxa"/>
            <w:gridSpan w:val="4"/>
          </w:tcPr>
          <w:p w14:paraId="5A4B721C" w14:textId="36E5247B" w:rsidR="00AC6F14" w:rsidRPr="00D8041C" w:rsidRDefault="00AF676B" w:rsidP="0030353C">
            <w:pPr>
              <w:pStyle w:val="Title1"/>
              <w:rPr>
                <w:lang w:val="es-ES_tradnl"/>
              </w:rPr>
            </w:pPr>
            <w:bookmarkStart w:id="5" w:name="Title"/>
            <w:bookmarkEnd w:id="5"/>
            <w:r w:rsidRPr="00AF676B">
              <w:rPr>
                <w:lang w:val="es-ES"/>
              </w:rPr>
              <w:t>Miembros de Sector, Asociados e Instituciones Académicas del UIT-D</w:t>
            </w:r>
          </w:p>
        </w:tc>
      </w:tr>
      <w:tr w:rsidR="00A721F4" w:rsidRPr="00AF676B"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AF676B"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1762F6CD" w:rsidR="00A721F4" w:rsidRPr="00D8041C" w:rsidRDefault="00AF676B" w:rsidP="00EA0C51">
            <w:pPr>
              <w:spacing w:after="120"/>
              <w:rPr>
                <w:szCs w:val="24"/>
                <w:lang w:val="es-ES_tradnl"/>
              </w:rPr>
            </w:pPr>
            <w:r w:rsidRPr="00AF676B">
              <w:rPr>
                <w:lang w:val="es-ES"/>
              </w:rPr>
              <w:t>En este documento se presenta la evolución de los miembros del UIT-D en 2024 y las previsiones para mediados de 2025. También se recomiendan varias medidas para seguir impulsando los esfuerzos encaminados a captar y conservar a más miembros, con arreglo a los resultados de la</w:t>
            </w:r>
            <w:r w:rsidR="009B60BB">
              <w:rPr>
                <w:lang w:val="es-ES"/>
              </w:rPr>
              <w:t> </w:t>
            </w:r>
            <w:r w:rsidRPr="00AF676B">
              <w:rPr>
                <w:lang w:val="es-ES"/>
              </w:rPr>
              <w:t>Conferencia Mundial de Desarrollo de las Telecomunicaciones de 2022 (CMDT-22) y la Conferencia de Plenipotenciarios de 2022 (PP-22). Los Miembros del UIT-D incluyen Miembros de Sector, Asociados e Instituciones Académicas</w:t>
            </w:r>
            <w:r w:rsidRPr="009B60BB">
              <w:rPr>
                <w:rStyle w:val="FootnoteReference"/>
                <w:rFonts w:eastAsia="SimSun"/>
                <w:lang w:val="fr-FR"/>
              </w:rPr>
              <w:footnoteReference w:id="1"/>
            </w:r>
            <w:r w:rsidRPr="00AF676B">
              <w:rPr>
                <w:lang w:val="es-ES"/>
              </w:rPr>
              <w:t>.</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4DA5961C" w:rsidR="00A721F4" w:rsidRPr="00D8041C" w:rsidRDefault="00AF676B" w:rsidP="00AF676B">
            <w:pPr>
              <w:spacing w:after="120"/>
              <w:rPr>
                <w:szCs w:val="24"/>
                <w:lang w:val="es-ES_tradnl"/>
              </w:rPr>
            </w:pPr>
            <w:r>
              <w:rPr>
                <w:lang w:val="es-ES"/>
              </w:rPr>
              <w:t>Se invita al GADT a tomar nota del documento y de la Declaración de Coordinación (Anexo 1) del</w:t>
            </w:r>
            <w:r w:rsidR="009B60BB">
              <w:rPr>
                <w:lang w:val="es-ES"/>
              </w:rPr>
              <w:t> </w:t>
            </w:r>
            <w:r>
              <w:rPr>
                <w:lang w:val="es-ES"/>
              </w:rPr>
              <w:t xml:space="preserve">Grupo de Trabajo del Consejo sobre Recursos Humanos y Financieros (GTC-RHF) y a proporcionar las </w:t>
            </w:r>
            <w:r w:rsidRPr="00AF676B">
              <w:rPr>
                <w:lang w:val="es-ES"/>
              </w:rPr>
              <w:t>orientaciones</w:t>
            </w:r>
            <w:r>
              <w:rPr>
                <w:lang w:val="es-ES"/>
              </w:rPr>
              <w:t xml:space="preserve"> que estime oportunas.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E915C2F" w14:textId="63F06C84" w:rsidR="00AF676B" w:rsidRPr="00AF676B" w:rsidRDefault="00AF676B" w:rsidP="00AF676B">
            <w:pPr>
              <w:spacing w:after="120"/>
              <w:rPr>
                <w:lang w:val="es-ES"/>
              </w:rPr>
            </w:pPr>
            <w:r w:rsidRPr="00AF676B">
              <w:rPr>
                <w:lang w:val="es-ES"/>
              </w:rPr>
              <w:t>Resolución 71 (Rev. Kigali, 2022) de la CMDT, Fortalecimiento de la cooperación entre los Estados Miembros, los Miembros de Sector, los Asociados y las Instituciones Académicas del Sector de Desarrollo de las Telecomunicaciones de la UIT y evolución del papel del sector privado en el</w:t>
            </w:r>
            <w:r w:rsidR="009B60BB">
              <w:rPr>
                <w:lang w:val="es-ES"/>
              </w:rPr>
              <w:t> </w:t>
            </w:r>
            <w:r w:rsidRPr="00AF676B">
              <w:rPr>
                <w:lang w:val="es-ES"/>
              </w:rPr>
              <w:t xml:space="preserve">Sector de Desarrollo de las Telecomunicaciones de la UIT. </w:t>
            </w:r>
          </w:p>
          <w:p w14:paraId="1B5631CD" w14:textId="58A1917A" w:rsidR="00A721F4" w:rsidRPr="00D8041C" w:rsidRDefault="00AF676B" w:rsidP="00AF676B">
            <w:pPr>
              <w:spacing w:after="120"/>
              <w:rPr>
                <w:lang w:val="es-ES_tradnl"/>
              </w:rPr>
            </w:pPr>
            <w:r w:rsidRPr="00AF676B">
              <w:rPr>
                <w:lang w:val="es-ES"/>
              </w:rPr>
              <w:t>Resoluciones 169, 205 y 209 (Rev. Bucarest, 2022) de la Conferencia de Plenipotenciarios (PP-22</w:t>
            </w:r>
            <w:r>
              <w:rPr>
                <w:lang w:val="es-ES"/>
              </w:rPr>
              <w:t>).</w:t>
            </w:r>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39D5CCD7" w14:textId="264B28F9" w:rsidR="00AF676B" w:rsidRPr="006701DA" w:rsidRDefault="00AF676B" w:rsidP="00AF676B">
      <w:pPr>
        <w:pStyle w:val="Heading1"/>
        <w:rPr>
          <w:rFonts w:ascii="Calibri" w:eastAsia="SimSun" w:hAnsi="Calibri" w:cs="Arial"/>
          <w:szCs w:val="24"/>
        </w:rPr>
      </w:pPr>
      <w:r>
        <w:rPr>
          <w:lang w:val="es-ES"/>
        </w:rPr>
        <w:lastRenderedPageBreak/>
        <w:t>1</w:t>
      </w:r>
      <w:r>
        <w:rPr>
          <w:lang w:val="es-ES"/>
        </w:rPr>
        <w:tab/>
      </w:r>
      <w:r>
        <w:rPr>
          <w:lang w:val="es-ES"/>
        </w:rPr>
        <w:t>Antecedentes</w:t>
      </w:r>
    </w:p>
    <w:p w14:paraId="5A201C8F" w14:textId="77777777" w:rsidR="00AF676B" w:rsidRPr="00E71A5E" w:rsidRDefault="00AF676B" w:rsidP="00AF676B">
      <w:pPr>
        <w:rPr>
          <w:rFonts w:ascii="Calibri" w:eastAsia="SimSun" w:hAnsi="Calibri"/>
          <w:szCs w:val="24"/>
          <w:lang w:val="es-ES"/>
        </w:rPr>
      </w:pPr>
      <w:r>
        <w:rPr>
          <w:lang w:val="es-ES"/>
        </w:rPr>
        <w:t>La Conferencia Mundial de Desarrollo de las Telecomunicaciones de 2022 (CMDT-22) revisó y adoptó la Resolución 71 (Rev. Kigali, 2022</w:t>
      </w:r>
      <w:r w:rsidRPr="009B60BB">
        <w:rPr>
          <w:rStyle w:val="FootnoteReference"/>
          <w:rFonts w:eastAsia="SimSun"/>
          <w:lang w:val="fr-FR"/>
        </w:rPr>
        <w:footnoteReference w:id="2"/>
      </w:r>
      <w:r>
        <w:rPr>
          <w:lang w:val="es-ES"/>
        </w:rPr>
        <w:t>) para promover la participación activa de los Miembros de Sector, Asociados e Instituciones Académicas del UIT-D en las actividades del UIT-D, incluida la participación en los trabajos de las Comisiones de Estudio del UIT-D, y para atraer a nuevos miembros de los sectores público, privado y académico.</w:t>
      </w:r>
    </w:p>
    <w:p w14:paraId="1CF48C98" w14:textId="77777777" w:rsidR="00AF676B" w:rsidRPr="00E71A5E" w:rsidRDefault="00AF676B" w:rsidP="00AF676B">
      <w:pPr>
        <w:rPr>
          <w:rFonts w:ascii="Calibri" w:eastAsia="SimSun" w:hAnsi="Calibri"/>
          <w:iCs/>
          <w:szCs w:val="24"/>
          <w:lang w:val="es-ES"/>
        </w:rPr>
      </w:pPr>
      <w:r>
        <w:rPr>
          <w:lang w:val="es-ES"/>
        </w:rPr>
        <w:t>La Resolución 71 se centró en fortalecer la cooperación entre los Estados Miembros, los Miembros de Sector, los Asociados y las Instituciones Académicas del UIT-D y, en ella, se encargó a la BDT que siguiera colaborando estrechamente con los Miembros de Sector, los Asociados y las Instituciones Académicas del UIT-D para que participasen en la aplicación satisfactoria del Plan de Acción de Kigali y que continuara organizando reuniones para altos ejecutivos de la industria, por ejemplo, reuniones del Grupo Asesor de la Industria sobre cuestiones de desarrollo y los Directores de Reglamentación del sector privado (IAGDI-CRO).</w:t>
      </w:r>
    </w:p>
    <w:p w14:paraId="6CC2533F" w14:textId="5EC4EC04" w:rsidR="00AF676B" w:rsidRPr="00E71A5E" w:rsidRDefault="00AF676B" w:rsidP="00AF676B">
      <w:pPr>
        <w:pStyle w:val="Heading1"/>
        <w:rPr>
          <w:rFonts w:ascii="Calibri" w:eastAsia="SimSun" w:hAnsi="Calibri" w:cs="Arial"/>
          <w:b w:val="0"/>
          <w:bCs/>
          <w:szCs w:val="24"/>
          <w:lang w:val="es-ES"/>
        </w:rPr>
      </w:pPr>
      <w:r>
        <w:rPr>
          <w:bCs/>
          <w:lang w:val="es-ES"/>
        </w:rPr>
        <w:t>2</w:t>
      </w:r>
      <w:r>
        <w:rPr>
          <w:bCs/>
          <w:lang w:val="es-ES"/>
        </w:rPr>
        <w:tab/>
      </w:r>
      <w:r>
        <w:rPr>
          <w:bCs/>
          <w:lang w:val="es-ES"/>
        </w:rPr>
        <w:t>Evolución de los miembros del UIT-D</w:t>
      </w:r>
    </w:p>
    <w:p w14:paraId="76008248" w14:textId="77777777" w:rsidR="00AF676B" w:rsidRPr="00E71A5E" w:rsidRDefault="00AF676B" w:rsidP="00AF676B">
      <w:pPr>
        <w:rPr>
          <w:rFonts w:ascii="Calibri" w:eastAsia="SimSun" w:hAnsi="Calibri"/>
          <w:iCs/>
          <w:szCs w:val="24"/>
          <w:lang w:val="es-ES"/>
        </w:rPr>
      </w:pPr>
      <w:r>
        <w:rPr>
          <w:lang w:val="es-ES"/>
        </w:rPr>
        <w:t xml:space="preserve">El </w:t>
      </w:r>
      <w:r>
        <w:rPr>
          <w:b/>
          <w:bCs/>
          <w:lang w:val="es-ES"/>
        </w:rPr>
        <w:t>Gráfico 1</w:t>
      </w:r>
      <w:r>
        <w:rPr>
          <w:lang w:val="es-ES"/>
        </w:rPr>
        <w:t xml:space="preserve"> ilustra la evolución de los miembros del UIT-D (Miembros de Sector, Asociados e Instituciones Académicas). El gráfico muestra el número absoluto de Miembros de Sector, Asociados e Instituciones Académicas del UIT-D en diciembre de 2023, diciembre de 2024 y junio de 2025 (proyección).</w:t>
      </w:r>
    </w:p>
    <w:p w14:paraId="0C9301AA" w14:textId="77777777" w:rsidR="00AF676B" w:rsidRDefault="00AF676B" w:rsidP="00AF676B">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54607C2F" wp14:editId="1488E813">
            <wp:extent cx="6115050" cy="3829050"/>
            <wp:effectExtent l="0" t="0" r="0" b="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3AE0EA" w14:textId="3FE84C89" w:rsidR="00AF676B" w:rsidRPr="00AF676B" w:rsidRDefault="00AF676B" w:rsidP="00AF676B">
      <w:pPr>
        <w:pStyle w:val="Heading2"/>
        <w:rPr>
          <w:rFonts w:ascii="Calibri" w:eastAsia="SimSun" w:hAnsi="Calibri" w:cs="Arial"/>
          <w:lang w:val="es-ES"/>
        </w:rPr>
      </w:pPr>
      <w:r>
        <w:rPr>
          <w:lang w:val="es-ES"/>
        </w:rPr>
        <w:lastRenderedPageBreak/>
        <w:t>2.1</w:t>
      </w:r>
      <w:r>
        <w:rPr>
          <w:lang w:val="es-ES"/>
        </w:rPr>
        <w:tab/>
      </w:r>
      <w:r>
        <w:rPr>
          <w:lang w:val="es-ES"/>
        </w:rPr>
        <w:t>Miembros de Sector y Asociados del UIT-D</w:t>
      </w:r>
    </w:p>
    <w:p w14:paraId="4FD35423" w14:textId="1D5F95D0" w:rsidR="00AF676B" w:rsidRDefault="001822C3" w:rsidP="00EF386F">
      <w:pPr>
        <w:keepNext/>
        <w:tabs>
          <w:tab w:val="clear" w:pos="794"/>
          <w:tab w:val="clear" w:pos="1191"/>
          <w:tab w:val="clear" w:pos="1588"/>
          <w:tab w:val="clear" w:pos="1985"/>
        </w:tabs>
        <w:spacing w:after="120"/>
        <w:jc w:val="center"/>
        <w:rPr>
          <w:rFonts w:ascii="Calibri" w:eastAsia="SimSun" w:hAnsi="Calibri" w:cs="Arial"/>
          <w:b/>
          <w:bCs/>
          <w:lang w:eastAsia="zh-CN"/>
        </w:rPr>
      </w:pPr>
      <w:r w:rsidRPr="00555912">
        <w:rPr>
          <w:rFonts w:ascii="Calibri" w:eastAsia="SimSun" w:hAnsi="Calibri" w:cs="Arial"/>
          <w:b/>
          <w:bCs/>
          <w:noProof/>
          <w:lang w:eastAsia="zh-CN"/>
        </w:rPr>
        <mc:AlternateContent>
          <mc:Choice Requires="wps">
            <w:drawing>
              <wp:anchor distT="45720" distB="45720" distL="114300" distR="114300" simplePos="0" relativeHeight="251671552" behindDoc="0" locked="0" layoutInCell="1" allowOverlap="1" wp14:anchorId="633BE1F0" wp14:editId="3A864168">
                <wp:simplePos x="0" y="0"/>
                <wp:positionH relativeFrom="column">
                  <wp:posOffset>5472892</wp:posOffset>
                </wp:positionH>
                <wp:positionV relativeFrom="paragraph">
                  <wp:posOffset>1134201</wp:posOffset>
                </wp:positionV>
                <wp:extent cx="1543528" cy="82502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28" cy="825022"/>
                        </a:xfrm>
                        <a:prstGeom prst="rect">
                          <a:avLst/>
                        </a:prstGeom>
                        <a:solidFill>
                          <a:srgbClr val="FFFFFF"/>
                        </a:solidFill>
                        <a:ln w="9525">
                          <a:noFill/>
                          <a:miter lim="800000"/>
                          <a:headEnd/>
                          <a:tailEnd/>
                        </a:ln>
                      </wps:spPr>
                      <wps:txbx>
                        <w:txbxContent>
                          <w:p w14:paraId="0E21829B" w14:textId="77777777" w:rsidR="001822C3" w:rsidRDefault="00AF676B" w:rsidP="001822C3">
                            <w:pPr>
                              <w:spacing w:before="140" w:line="276" w:lineRule="auto"/>
                              <w:rPr>
                                <w:sz w:val="20"/>
                                <w:szCs w:val="16"/>
                                <w:lang w:val="es-ES"/>
                              </w:rPr>
                            </w:pPr>
                            <w:r w:rsidRPr="00555912">
                              <w:rPr>
                                <w:sz w:val="20"/>
                                <w:szCs w:val="16"/>
                                <w:lang w:val="es-ES"/>
                              </w:rPr>
                              <w:t>Aumento</w:t>
                            </w:r>
                          </w:p>
                          <w:p w14:paraId="785DE2EC" w14:textId="0E848CFD" w:rsidR="00AF676B" w:rsidRDefault="00AF676B" w:rsidP="001822C3">
                            <w:pPr>
                              <w:spacing w:before="100" w:line="276" w:lineRule="auto"/>
                              <w:rPr>
                                <w:sz w:val="20"/>
                                <w:szCs w:val="16"/>
                                <w:lang w:val="es-ES"/>
                              </w:rPr>
                            </w:pPr>
                            <w:r w:rsidRPr="00555912">
                              <w:rPr>
                                <w:sz w:val="20"/>
                                <w:szCs w:val="16"/>
                                <w:lang w:val="es-ES"/>
                              </w:rPr>
                              <w:t>Disminución</w:t>
                            </w:r>
                          </w:p>
                          <w:p w14:paraId="33418047" w14:textId="2EB236FD" w:rsidR="001822C3" w:rsidRPr="00555912" w:rsidRDefault="001822C3" w:rsidP="001822C3">
                            <w:pPr>
                              <w:spacing w:before="80" w:line="276" w:lineRule="auto"/>
                              <w:rPr>
                                <w:sz w:val="20"/>
                                <w:szCs w:val="16"/>
                                <w:lang w:val="es-ES"/>
                              </w:rPr>
                            </w:pPr>
                            <w:r>
                              <w:rPr>
                                <w:sz w:val="20"/>
                                <w:szCs w:val="16"/>
                                <w:lang w:val="es-ES"/>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BE1F0" id="_x0000_t202" coordsize="21600,21600" o:spt="202" path="m,l,21600r21600,l21600,xe">
                <v:stroke joinstyle="miter"/>
                <v:path gradientshapeok="t" o:connecttype="rect"/>
              </v:shapetype>
              <v:shape id="Text Box 2" o:spid="_x0000_s1026" type="#_x0000_t202" style="position:absolute;left:0;text-align:left;margin-left:430.95pt;margin-top:89.3pt;width:121.55pt;height:6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" stroked="f">
                <v:textbox>
                  <w:txbxContent>
                    <w:p w14:paraId="0E21829B" w14:textId="77777777" w:rsidR="001822C3" w:rsidRDefault="00AF676B" w:rsidP="001822C3">
                      <w:pPr>
                        <w:spacing w:before="140" w:line="276" w:lineRule="auto"/>
                        <w:rPr>
                          <w:sz w:val="20"/>
                          <w:szCs w:val="16"/>
                          <w:lang w:val="es-ES"/>
                        </w:rPr>
                      </w:pPr>
                      <w:r w:rsidRPr="00555912">
                        <w:rPr>
                          <w:sz w:val="20"/>
                          <w:szCs w:val="16"/>
                          <w:lang w:val="es-ES"/>
                        </w:rPr>
                        <w:t>Aumento</w:t>
                      </w:r>
                    </w:p>
                    <w:p w14:paraId="785DE2EC" w14:textId="0E848CFD" w:rsidR="00AF676B" w:rsidRDefault="00AF676B" w:rsidP="001822C3">
                      <w:pPr>
                        <w:spacing w:before="100" w:line="276" w:lineRule="auto"/>
                        <w:rPr>
                          <w:sz w:val="20"/>
                          <w:szCs w:val="16"/>
                          <w:lang w:val="es-ES"/>
                        </w:rPr>
                      </w:pPr>
                      <w:r w:rsidRPr="00555912">
                        <w:rPr>
                          <w:sz w:val="20"/>
                          <w:szCs w:val="16"/>
                          <w:lang w:val="es-ES"/>
                        </w:rPr>
                        <w:t>Disminución</w:t>
                      </w:r>
                    </w:p>
                    <w:p w14:paraId="33418047" w14:textId="2EB236FD" w:rsidR="001822C3" w:rsidRPr="00555912" w:rsidRDefault="001822C3" w:rsidP="001822C3">
                      <w:pPr>
                        <w:spacing w:before="80" w:line="276" w:lineRule="auto"/>
                        <w:rPr>
                          <w:sz w:val="20"/>
                          <w:szCs w:val="16"/>
                          <w:lang w:val="es-ES"/>
                        </w:rPr>
                      </w:pPr>
                      <w:r>
                        <w:rPr>
                          <w:sz w:val="20"/>
                          <w:szCs w:val="16"/>
                          <w:lang w:val="es-ES"/>
                        </w:rPr>
                        <w:t>Total</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CC1C83F" wp14:editId="4E645D77">
                <wp:simplePos x="0" y="0"/>
                <wp:positionH relativeFrom="column">
                  <wp:posOffset>4130395</wp:posOffset>
                </wp:positionH>
                <wp:positionV relativeFrom="paragraph">
                  <wp:posOffset>2820068</wp:posOffset>
                </wp:positionV>
                <wp:extent cx="769544" cy="332105"/>
                <wp:effectExtent l="0" t="0" r="0" b="0"/>
                <wp:wrapNone/>
                <wp:docPr id="1435717725" name="Text Box 2"/>
                <wp:cNvGraphicFramePr/>
                <a:graphic xmlns:a="http://schemas.openxmlformats.org/drawingml/2006/main">
                  <a:graphicData uri="http://schemas.microsoft.com/office/word/2010/wordprocessingShape">
                    <wps:wsp>
                      <wps:cNvSpPr txBox="1"/>
                      <wps:spPr>
                        <a:xfrm>
                          <a:off x="0" y="0"/>
                          <a:ext cx="769544" cy="332105"/>
                        </a:xfrm>
                        <a:prstGeom prst="rect">
                          <a:avLst/>
                        </a:prstGeom>
                        <a:solidFill>
                          <a:sysClr val="window" lastClr="FFFFFF"/>
                        </a:solidFill>
                        <a:ln w="6350">
                          <a:noFill/>
                        </a:ln>
                      </wps:spPr>
                      <wps:txbx>
                        <w:txbxContent>
                          <w:p w14:paraId="191B4432" w14:textId="77777777" w:rsidR="00AF676B" w:rsidRPr="00C11376" w:rsidRDefault="00AF676B" w:rsidP="00AF676B">
                            <w:pPr>
                              <w:rPr>
                                <w:sz w:val="18"/>
                                <w:szCs w:val="14"/>
                              </w:rPr>
                            </w:pPr>
                            <w:r>
                              <w:rPr>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C83F" id="_x0000_s1027" type="#_x0000_t202" style="position:absolute;left:0;text-align:left;margin-left:325.25pt;margin-top:222.05pt;width:60.6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" fillcolor="window" stroked="f" strokeweight=".5pt">
                <v:textbox>
                  <w:txbxContent>
                    <w:p w14:paraId="191B4432" w14:textId="77777777" w:rsidR="00AF676B" w:rsidRPr="00C11376" w:rsidRDefault="00AF676B" w:rsidP="00AF676B">
                      <w:pPr>
                        <w:rPr>
                          <w:sz w:val="18"/>
                          <w:szCs w:val="14"/>
                        </w:rPr>
                      </w:pPr>
                      <w:r>
                        <w:rPr>
                          <w:lang w:val="es-ES"/>
                        </w:rPr>
                        <w:t>*2025</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044A6D6" wp14:editId="4A8C85AA">
                <wp:simplePos x="0" y="0"/>
                <wp:positionH relativeFrom="column">
                  <wp:posOffset>2770629</wp:posOffset>
                </wp:positionH>
                <wp:positionV relativeFrom="paragraph">
                  <wp:posOffset>2821273</wp:posOffset>
                </wp:positionV>
                <wp:extent cx="609600" cy="33251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609600" cy="332510"/>
                        </a:xfrm>
                        <a:prstGeom prst="rect">
                          <a:avLst/>
                        </a:prstGeom>
                        <a:solidFill>
                          <a:sysClr val="window" lastClr="FFFFFF"/>
                        </a:solidFill>
                        <a:ln w="6350">
                          <a:noFill/>
                        </a:ln>
                      </wps:spPr>
                      <wps:txbx>
                        <w:txbxContent>
                          <w:p w14:paraId="4A985A46" w14:textId="77777777" w:rsidR="00AF676B" w:rsidRPr="00C11376" w:rsidRDefault="00AF676B" w:rsidP="00AF676B">
                            <w:pPr>
                              <w:rPr>
                                <w:sz w:val="18"/>
                                <w:szCs w:val="14"/>
                              </w:rPr>
                            </w:pPr>
                            <w:r>
                              <w:rPr>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4A6D6" id="_x0000_s1028" type="#_x0000_t202" style="position:absolute;left:0;text-align:left;margin-left:218.15pt;margin-top:222.15pt;width:48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" fillcolor="window" stroked="f" strokeweight=".5pt">
                <v:textbox>
                  <w:txbxContent>
                    <w:p w14:paraId="4A985A46" w14:textId="77777777" w:rsidR="00AF676B" w:rsidRPr="00C11376" w:rsidRDefault="00AF676B" w:rsidP="00AF676B">
                      <w:pPr>
                        <w:rPr>
                          <w:sz w:val="18"/>
                          <w:szCs w:val="14"/>
                        </w:rPr>
                      </w:pPr>
                      <w:r>
                        <w:rPr>
                          <w:lang w:val="es-ES"/>
                        </w:rPr>
                        <w:t>2024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4A71AD" wp14:editId="177E9E01">
                <wp:simplePos x="0" y="0"/>
                <wp:positionH relativeFrom="column">
                  <wp:posOffset>1289685</wp:posOffset>
                </wp:positionH>
                <wp:positionV relativeFrom="paragraph">
                  <wp:posOffset>2835976</wp:posOffset>
                </wp:positionV>
                <wp:extent cx="609600" cy="3238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3FDE8FC0" w14:textId="77777777" w:rsidR="00AF676B" w:rsidRPr="00C11376" w:rsidRDefault="00AF676B" w:rsidP="00AF676B">
                            <w:pPr>
                              <w:rPr>
                                <w:sz w:val="18"/>
                                <w:szCs w:val="14"/>
                              </w:rPr>
                            </w:pPr>
                            <w:r>
                              <w:rPr>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71AD" id="_x0000_s1029" type="#_x0000_t202" style="position:absolute;left:0;text-align:left;margin-left:101.55pt;margin-top:223.3pt;width:4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" fillcolor="window" stroked="f" strokeweight=".5pt">
                <v:textbox>
                  <w:txbxContent>
                    <w:p w14:paraId="3FDE8FC0" w14:textId="77777777" w:rsidR="00AF676B" w:rsidRPr="00C11376" w:rsidRDefault="00AF676B" w:rsidP="00AF676B">
                      <w:pPr>
                        <w:rPr>
                          <w:sz w:val="18"/>
                          <w:szCs w:val="14"/>
                        </w:rPr>
                      </w:pPr>
                      <w:r>
                        <w:rPr>
                          <w:lang w:val="es-ES"/>
                        </w:rPr>
                        <w:t>2023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AF7FEAE" wp14:editId="609BFEF3">
                <wp:simplePos x="0" y="0"/>
                <wp:positionH relativeFrom="column">
                  <wp:posOffset>282575</wp:posOffset>
                </wp:positionH>
                <wp:positionV relativeFrom="paragraph">
                  <wp:posOffset>2839184</wp:posOffset>
                </wp:positionV>
                <wp:extent cx="609600" cy="341957"/>
                <wp:effectExtent l="0" t="0" r="0" b="1270"/>
                <wp:wrapNone/>
                <wp:docPr id="1499316615" name="Text Box 2"/>
                <wp:cNvGraphicFramePr/>
                <a:graphic xmlns:a="http://schemas.openxmlformats.org/drawingml/2006/main">
                  <a:graphicData uri="http://schemas.microsoft.com/office/word/2010/wordprocessingShape">
                    <wps:wsp>
                      <wps:cNvSpPr txBox="1"/>
                      <wps:spPr>
                        <a:xfrm>
                          <a:off x="0" y="0"/>
                          <a:ext cx="609600" cy="341957"/>
                        </a:xfrm>
                        <a:prstGeom prst="rect">
                          <a:avLst/>
                        </a:prstGeom>
                        <a:solidFill>
                          <a:schemeClr val="lt1"/>
                        </a:solidFill>
                        <a:ln w="6350">
                          <a:noFill/>
                        </a:ln>
                      </wps:spPr>
                      <wps:txbx>
                        <w:txbxContent>
                          <w:p w14:paraId="0693DCC7" w14:textId="77777777" w:rsidR="00AF676B" w:rsidRPr="00C11376" w:rsidRDefault="00AF676B" w:rsidP="00AF676B">
                            <w:pPr>
                              <w:rPr>
                                <w:sz w:val="18"/>
                                <w:szCs w:val="14"/>
                              </w:rPr>
                            </w:pPr>
                            <w:r>
                              <w:rPr>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FEAE" id="_x0000_s1030" type="#_x0000_t202" style="position:absolute;left:0;text-align:left;margin-left:22.25pt;margin-top:223.55pt;width:48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cuLw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" fillcolor="white [3201]" stroked="f" strokeweight=".5pt">
                <v:textbox>
                  <w:txbxContent>
                    <w:p w14:paraId="0693DCC7" w14:textId="77777777" w:rsidR="00AF676B" w:rsidRPr="00C11376" w:rsidRDefault="00AF676B" w:rsidP="00AF676B">
                      <w:pPr>
                        <w:rPr>
                          <w:sz w:val="18"/>
                          <w:szCs w:val="14"/>
                        </w:rPr>
                      </w:pPr>
                      <w:r>
                        <w:rPr>
                          <w:lang w:val="es-ES"/>
                        </w:rPr>
                        <w:t>2022</w:t>
                      </w:r>
                    </w:p>
                  </w:txbxContent>
                </v:textbox>
              </v:shape>
            </w:pict>
          </mc:Fallback>
        </mc:AlternateContent>
      </w:r>
      <w:r w:rsidR="00AF676B">
        <w:rPr>
          <w:noProof/>
        </w:rPr>
        <mc:AlternateContent>
          <mc:Choice Requires="wps">
            <w:drawing>
              <wp:anchor distT="0" distB="0" distL="114300" distR="114300" simplePos="0" relativeHeight="251670528" behindDoc="0" locked="0" layoutInCell="1" allowOverlap="1" wp14:anchorId="02AB67BD" wp14:editId="04B766CD">
                <wp:simplePos x="0" y="0"/>
                <wp:positionH relativeFrom="column">
                  <wp:posOffset>3743325</wp:posOffset>
                </wp:positionH>
                <wp:positionV relativeFrom="paragraph">
                  <wp:posOffset>418465</wp:posOffset>
                </wp:positionV>
                <wp:extent cx="0" cy="253365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3309C1AA"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75pt,32.95pt" to="294.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" strokecolor="#6c6c6b"/>
            </w:pict>
          </mc:Fallback>
        </mc:AlternateContent>
      </w:r>
      <w:r w:rsidR="00AF676B">
        <w:rPr>
          <w:noProof/>
        </w:rPr>
        <mc:AlternateContent>
          <mc:Choice Requires="wps">
            <w:drawing>
              <wp:anchor distT="0" distB="0" distL="114300" distR="114300" simplePos="0" relativeHeight="251669504" behindDoc="0" locked="0" layoutInCell="1" allowOverlap="1" wp14:anchorId="0AEF6F3D" wp14:editId="1E8B3A70">
                <wp:simplePos x="0" y="0"/>
                <wp:positionH relativeFrom="column">
                  <wp:posOffset>2276475</wp:posOffset>
                </wp:positionH>
                <wp:positionV relativeFrom="paragraph">
                  <wp:posOffset>404495</wp:posOffset>
                </wp:positionV>
                <wp:extent cx="0" cy="2533650"/>
                <wp:effectExtent l="0" t="0" r="38100" b="19050"/>
                <wp:wrapNone/>
                <wp:docPr id="942585395"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4A3F6B4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9.25pt,31.85pt" to="179.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" strokecolor="#6c6c6b"/>
            </w:pict>
          </mc:Fallback>
        </mc:AlternateContent>
      </w:r>
      <w:r w:rsidR="00AF676B" w:rsidRPr="001822C3">
        <w:rPr>
          <w:noProof/>
        </w:rPr>
        <mc:AlternateContent>
          <mc:Choice Requires="wps">
            <w:drawing>
              <wp:anchor distT="0" distB="0" distL="114300" distR="114300" simplePos="0" relativeHeight="251668480" behindDoc="0" locked="0" layoutInCell="1" allowOverlap="1" wp14:anchorId="5E4DA99D" wp14:editId="1230DAED">
                <wp:simplePos x="0" y="0"/>
                <wp:positionH relativeFrom="column">
                  <wp:posOffset>775335</wp:posOffset>
                </wp:positionH>
                <wp:positionV relativeFrom="paragraph">
                  <wp:posOffset>408940</wp:posOffset>
                </wp:positionV>
                <wp:extent cx="0" cy="2533650"/>
                <wp:effectExtent l="0" t="0" r="38100" b="19050"/>
                <wp:wrapNone/>
                <wp:docPr id="445580303"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ln>
                          <a:solidFill>
                            <a:schemeClr val="tx1">
                              <a:lumMod val="50000"/>
                              <a:lumOff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265E29"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05pt,32.2pt" to="61.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" strokecolor="gray [1629]"/>
            </w:pict>
          </mc:Fallback>
        </mc:AlternateContent>
      </w:r>
      <w:r w:rsidR="00AF676B">
        <w:rPr>
          <w:noProof/>
        </w:rPr>
        <mc:AlternateContent>
          <mc:Choice Requires="cx4">
            <w:drawing>
              <wp:inline distT="0" distB="0" distL="0" distR="0" wp14:anchorId="580A5586" wp14:editId="2D5C3CCB">
                <wp:extent cx="6076950" cy="2847975"/>
                <wp:effectExtent l="0" t="0" r="0"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80A5586" wp14:editId="2D5C3CCB">
                <wp:extent cx="6076950" cy="2847975"/>
                <wp:effectExtent l="0" t="0" r="0" b="952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6D99130E" w14:textId="6D6887FF" w:rsidR="00AF676B" w:rsidRPr="00E71A5E" w:rsidRDefault="00AF676B" w:rsidP="001822C3">
      <w:pPr>
        <w:spacing w:before="480" w:after="240"/>
        <w:rPr>
          <w:lang w:val="es-ES"/>
        </w:rPr>
      </w:pPr>
      <w:r>
        <w:rPr>
          <w:lang w:val="es-ES"/>
        </w:rPr>
        <w:t xml:space="preserve">En el </w:t>
      </w:r>
      <w:r>
        <w:rPr>
          <w:b/>
          <w:bCs/>
          <w:lang w:val="es-ES"/>
        </w:rPr>
        <w:t xml:space="preserve">Gráfico 2 </w:t>
      </w:r>
      <w:r>
        <w:rPr>
          <w:lang w:val="es-ES"/>
        </w:rPr>
        <w:t>se detalla el crecimiento sostenido de los Miembros de Sector y Asociados del UIT</w:t>
      </w:r>
      <w:r w:rsidR="001822C3">
        <w:rPr>
          <w:lang w:val="es-ES"/>
        </w:rPr>
        <w:noBreakHyphen/>
      </w:r>
      <w:r>
        <w:rPr>
          <w:lang w:val="es-ES"/>
        </w:rPr>
        <w:t xml:space="preserve">D desde 2023, lo que refleja las ganancias y pérdidas de Miembros de Sector y Asociados. En diciembre de 2024, el UIT-D había atraído a un total de </w:t>
      </w:r>
      <w:r>
        <w:rPr>
          <w:b/>
          <w:bCs/>
          <w:lang w:val="es-ES"/>
        </w:rPr>
        <w:t>veintiocho nuevos Miembros</w:t>
      </w:r>
      <w:r>
        <w:rPr>
          <w:lang w:val="es-ES"/>
        </w:rPr>
        <w:t>. En 2024, el</w:t>
      </w:r>
      <w:r w:rsidR="009B60BB">
        <w:rPr>
          <w:lang w:val="es-ES"/>
        </w:rPr>
        <w:t> </w:t>
      </w:r>
      <w:r>
        <w:rPr>
          <w:lang w:val="es-ES"/>
        </w:rPr>
        <w:t>UIT-D alcanzó el mayor número total de Miembros de Sector y Asociados de los últimos diez</w:t>
      </w:r>
      <w:r w:rsidR="009B60BB">
        <w:rPr>
          <w:lang w:val="es-ES"/>
        </w:rPr>
        <w:t> </w:t>
      </w:r>
      <w:r>
        <w:rPr>
          <w:lang w:val="es-ES"/>
        </w:rPr>
        <w:t xml:space="preserve">años. En 2024, registró la mayor </w:t>
      </w:r>
      <w:r>
        <w:rPr>
          <w:b/>
          <w:bCs/>
          <w:lang w:val="es-ES"/>
        </w:rPr>
        <w:t>variación positiva de los ingresos netos</w:t>
      </w:r>
      <w:r>
        <w:rPr>
          <w:lang w:val="es-ES"/>
        </w:rPr>
        <w:t xml:space="preserve"> de la UIT, con un aumento de los ingresos netos de </w:t>
      </w:r>
      <w:r>
        <w:rPr>
          <w:b/>
          <w:bCs/>
          <w:lang w:val="es-ES"/>
        </w:rPr>
        <w:t>111</w:t>
      </w:r>
      <w:r w:rsidR="009B60BB">
        <w:rPr>
          <w:b/>
          <w:bCs/>
          <w:lang w:val="es-ES"/>
        </w:rPr>
        <w:t> </w:t>
      </w:r>
      <w:r>
        <w:rPr>
          <w:b/>
          <w:bCs/>
          <w:lang w:val="es-ES"/>
        </w:rPr>
        <w:t>300</w:t>
      </w:r>
      <w:r w:rsidR="009B60BB">
        <w:rPr>
          <w:b/>
          <w:bCs/>
          <w:lang w:val="es-ES"/>
        </w:rPr>
        <w:t> </w:t>
      </w:r>
      <w:r>
        <w:rPr>
          <w:b/>
          <w:bCs/>
          <w:lang w:val="es-ES"/>
        </w:rPr>
        <w:t>CHF</w:t>
      </w:r>
      <w:r>
        <w:rPr>
          <w:lang w:val="es-ES"/>
        </w:rPr>
        <w:t xml:space="preserve">. Además, en 2024, el total de denuncias y exclusiones se </w:t>
      </w:r>
      <w:r>
        <w:rPr>
          <w:b/>
          <w:bCs/>
          <w:lang w:val="es-ES"/>
        </w:rPr>
        <w:t>redujo aún más a ocho miembros</w:t>
      </w:r>
      <w:r>
        <w:rPr>
          <w:lang w:val="es-ES"/>
        </w:rPr>
        <w:t>, en comparación con</w:t>
      </w:r>
      <w:r>
        <w:rPr>
          <w:b/>
          <w:bCs/>
          <w:lang w:val="es-ES"/>
        </w:rPr>
        <w:t xml:space="preserve"> catorce</w:t>
      </w:r>
      <w:r>
        <w:rPr>
          <w:lang w:val="es-ES"/>
        </w:rPr>
        <w:t xml:space="preserve"> en 2023. </w:t>
      </w:r>
    </w:p>
    <w:p w14:paraId="247CEA90" w14:textId="77777777" w:rsidR="00AF676B" w:rsidRPr="00E71A5E" w:rsidRDefault="00AF676B" w:rsidP="00F544E3">
      <w:pPr>
        <w:rPr>
          <w:rFonts w:ascii="Calibri" w:eastAsia="SimSun" w:hAnsi="Calibri" w:cs="Arial"/>
          <w:lang w:val="es-ES"/>
        </w:rPr>
      </w:pPr>
      <w:r>
        <w:rPr>
          <w:lang w:val="es-ES"/>
        </w:rPr>
        <w:t xml:space="preserve">La región de la BDT con el mayor número de nuevos miembros en el UIT-D fue Europa, con nueve nuevos miembros en 2024, seguida de Asia y el Pacífico con seis nuevos miembros, África con cinco nuevos miembros, la región de los Estados Árabes con cuatro nuevos miembros, las Américas con tres nuevos miembros y un miembro que se incorporó como organización regional o internacional (REGINTORG). </w:t>
      </w:r>
    </w:p>
    <w:p w14:paraId="673F4E22" w14:textId="77777777" w:rsidR="00AF676B" w:rsidRPr="00E71A5E" w:rsidRDefault="00AF676B" w:rsidP="00F544E3">
      <w:pPr>
        <w:rPr>
          <w:rFonts w:ascii="Calibri" w:eastAsia="SimSun" w:hAnsi="Calibri" w:cs="Arial"/>
          <w:b/>
          <w:bCs/>
          <w:lang w:val="es-ES"/>
        </w:rPr>
      </w:pPr>
      <w:r>
        <w:rPr>
          <w:lang w:val="es-ES"/>
        </w:rPr>
        <w:t xml:space="preserve">El Gráfico 2 también muestra las cifras proyectadas con ganancias y pérdidas para junio de 2025 sobre la base de las cuentas que se activarán. Para junio de 2025, el UIT-D espera contar con </w:t>
      </w:r>
      <w:r>
        <w:rPr>
          <w:b/>
          <w:bCs/>
          <w:lang w:val="es-ES"/>
        </w:rPr>
        <w:t>catorce</w:t>
      </w:r>
      <w:r>
        <w:rPr>
          <w:lang w:val="es-ES"/>
        </w:rPr>
        <w:t xml:space="preserve"> nuevos miembros. En 2025, se espera que entren en vigor </w:t>
      </w:r>
      <w:r>
        <w:rPr>
          <w:b/>
          <w:bCs/>
          <w:lang w:val="es-ES"/>
        </w:rPr>
        <w:t>siete</w:t>
      </w:r>
      <w:r>
        <w:rPr>
          <w:lang w:val="es-ES"/>
        </w:rPr>
        <w:t xml:space="preserve"> </w:t>
      </w:r>
      <w:r w:rsidRPr="00177D0B">
        <w:rPr>
          <w:b/>
          <w:bCs/>
          <w:lang w:val="es-ES"/>
        </w:rPr>
        <w:t>denuncias</w:t>
      </w:r>
      <w:r>
        <w:rPr>
          <w:lang w:val="es-ES"/>
        </w:rPr>
        <w:t xml:space="preserve"> antes de junio de 2025 debido a fusiones, revisión de la estrategia comercial o razones no reveladas.</w:t>
      </w:r>
    </w:p>
    <w:p w14:paraId="02A5548F" w14:textId="02CA15D5" w:rsidR="00AF676B" w:rsidRPr="00E71A5E" w:rsidRDefault="00AF676B" w:rsidP="00F544E3">
      <w:pPr>
        <w:rPr>
          <w:rFonts w:ascii="Calibri" w:eastAsia="SimSun" w:hAnsi="Calibri" w:cs="Arial"/>
          <w:lang w:val="es-ES"/>
        </w:rPr>
      </w:pPr>
      <w:r>
        <w:rPr>
          <w:lang w:val="es-ES"/>
        </w:rPr>
        <w:t>El crecimiento sostenido del número de miembros del UIT-D se debe a la intensificación de las actividades de divulgación a través de diversas acciones, como invitar a invitados/observadores a asistir a eventos exclusivos para miembros del UIT-D; actividades de capacitación interna con el personal de la BDT para presentar los beneficios de ser miembro del UIT-D a las partes interesadas externas; misiones de divulgación a eventos externos mundiales</w:t>
      </w:r>
      <w:r w:rsidR="005B3257">
        <w:rPr>
          <w:lang w:val="es-ES"/>
        </w:rPr>
        <w:t xml:space="preserve"> y</w:t>
      </w:r>
      <w:r>
        <w:rPr>
          <w:lang w:val="es-ES"/>
        </w:rPr>
        <w:t xml:space="preserve"> </w:t>
      </w:r>
      <w:r w:rsidR="005B3257">
        <w:rPr>
          <w:lang w:val="es-ES"/>
        </w:rPr>
        <w:t>a</w:t>
      </w:r>
      <w:r>
        <w:rPr>
          <w:lang w:val="es-ES"/>
        </w:rPr>
        <w:t>provechamiento de la propuesta de valor de la asociación en un paquete de beneficios únicos para miembros y asociados.</w:t>
      </w:r>
    </w:p>
    <w:p w14:paraId="1BA99C23" w14:textId="77777777" w:rsidR="00AF676B" w:rsidRPr="00E71A5E" w:rsidRDefault="00AF676B" w:rsidP="00F544E3">
      <w:pPr>
        <w:rPr>
          <w:rFonts w:ascii="Calibri" w:eastAsia="SimSun" w:hAnsi="Calibri" w:cs="Arial"/>
          <w:lang w:val="es-ES"/>
        </w:rPr>
      </w:pPr>
      <w:r>
        <w:rPr>
          <w:lang w:val="es-ES"/>
        </w:rPr>
        <w:t xml:space="preserve">Por último, la intensificación del uso de herramientas y tableros de control basados en datos permitió tomar medidas específicas para las cuentas de los miembros en riesgo, lo que dio lugar a una mayor retención de miembros y a un crecimiento neto de los miembros. </w:t>
      </w:r>
    </w:p>
    <w:p w14:paraId="54D7A84F" w14:textId="6B974C34" w:rsidR="00AF676B" w:rsidRPr="00E71A5E" w:rsidRDefault="00AF676B" w:rsidP="00F544E3">
      <w:pPr>
        <w:rPr>
          <w:b/>
          <w:bCs/>
          <w:noProof/>
          <w:lang w:val="es-ES"/>
        </w:rPr>
      </w:pPr>
      <w:r>
        <w:rPr>
          <w:lang w:val="es-ES"/>
        </w:rPr>
        <w:lastRenderedPageBreak/>
        <w:t xml:space="preserve">Las listas de movimientos de miembros en 2024 (nuevos miembros y pérdidas) y las previsiones previstas para junio de 2025 figuran en el Documento </w:t>
      </w:r>
      <w:hyperlink r:id="rId16" w:history="1">
        <w:r w:rsidRPr="00E24C52">
          <w:rPr>
            <w:rStyle w:val="Hyperlink"/>
            <w:lang w:val="es-ES"/>
          </w:rPr>
          <w:t>TDAG-25/</w:t>
        </w:r>
        <w:r w:rsidRPr="00E24C52">
          <w:rPr>
            <w:rStyle w:val="Hyperlink"/>
            <w:lang w:val="es-ES"/>
          </w:rPr>
          <w:t>I</w:t>
        </w:r>
        <w:r w:rsidRPr="00E24C52">
          <w:rPr>
            <w:rStyle w:val="Hyperlink"/>
            <w:lang w:val="es-ES"/>
          </w:rPr>
          <w:t>NF/1.</w:t>
        </w:r>
      </w:hyperlink>
    </w:p>
    <w:p w14:paraId="7060B504" w14:textId="4BAA3E0A" w:rsidR="00AF676B" w:rsidRPr="00E71A5E" w:rsidRDefault="00F544E3" w:rsidP="00F544E3">
      <w:pPr>
        <w:pStyle w:val="Heading2"/>
        <w:rPr>
          <w:rFonts w:ascii="Calibri" w:eastAsia="SimSun" w:hAnsi="Calibri" w:cs="Arial"/>
          <w:szCs w:val="24"/>
          <w:lang w:val="es-ES"/>
        </w:rPr>
      </w:pPr>
      <w:r>
        <w:rPr>
          <w:lang w:val="es-ES"/>
        </w:rPr>
        <w:t>2.2</w:t>
      </w:r>
      <w:r>
        <w:rPr>
          <w:lang w:val="es-ES"/>
        </w:rPr>
        <w:tab/>
      </w:r>
      <w:r w:rsidR="00AF676B">
        <w:rPr>
          <w:lang w:val="es-ES"/>
        </w:rPr>
        <w:t>Solicitudes de exención del pago de cuotas</w:t>
      </w:r>
    </w:p>
    <w:p w14:paraId="490D3DE2" w14:textId="727A14E8" w:rsidR="00AF676B" w:rsidRPr="00E71A5E" w:rsidRDefault="00AF676B" w:rsidP="00F544E3">
      <w:pPr>
        <w:rPr>
          <w:rFonts w:ascii="Calibri" w:eastAsia="SimSun" w:hAnsi="Calibri" w:cs="Arial"/>
          <w:lang w:val="es-ES"/>
        </w:rPr>
      </w:pPr>
      <w:r>
        <w:rPr>
          <w:lang w:val="es-ES"/>
        </w:rPr>
        <w:t>La BDT siguió examinando las solicitudes de exención del pago de cuotas de conformidad con el número 476 del Convenio y con arreglo a los criterios del Consejo de la UIT que pueden consultarse aquí. En su reunión de junio de 2024, el Consejo de la UIT aprobó la adhesión del</w:t>
      </w:r>
      <w:r w:rsidR="009B60BB">
        <w:rPr>
          <w:lang w:val="es-ES"/>
        </w:rPr>
        <w:t> </w:t>
      </w:r>
      <w:r>
        <w:rPr>
          <w:lang w:val="es-ES"/>
        </w:rPr>
        <w:t>UIT</w:t>
      </w:r>
      <w:r w:rsidR="009B60BB">
        <w:rPr>
          <w:lang w:val="es-ES"/>
        </w:rPr>
        <w:noBreakHyphen/>
      </w:r>
      <w:r>
        <w:rPr>
          <w:lang w:val="es-ES"/>
        </w:rPr>
        <w:t xml:space="preserve">D a </w:t>
      </w:r>
      <w:r>
        <w:rPr>
          <w:b/>
          <w:bCs/>
          <w:lang w:val="es-ES"/>
        </w:rPr>
        <w:t xml:space="preserve">cuatro </w:t>
      </w:r>
      <w:r>
        <w:rPr>
          <w:lang w:val="es-ES"/>
        </w:rPr>
        <w:t>organizaciones como miembros exentos:</w:t>
      </w:r>
    </w:p>
    <w:p w14:paraId="1C0BE271" w14:textId="2B36DC8D"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sidRPr="00F544E3">
        <w:rPr>
          <w:lang w:val="es-ES"/>
        </w:rPr>
        <w:t>Instituto</w:t>
      </w:r>
      <w:r w:rsidR="00AF676B">
        <w:rPr>
          <w:lang w:val="es-ES"/>
        </w:rPr>
        <w:t xml:space="preserve"> Africano de Centros de Innovación Tecnológica (AfriLabs)</w:t>
      </w:r>
    </w:p>
    <w:p w14:paraId="0EFACCA4" w14:textId="2113A3D0"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Coalición Medioambiental para las Normas (ECOS)</w:t>
      </w:r>
    </w:p>
    <w:p w14:paraId="46895CE9" w14:textId="098030DE"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Grupo de reflexión internacional para los PDSL (ITTLLDC)</w:t>
      </w:r>
    </w:p>
    <w:p w14:paraId="1EBE2C5D" w14:textId="781A14CF"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Agrupación de Organizaciones de Profesionales de las TIC de la Unión Económica y</w:t>
      </w:r>
      <w:r w:rsidR="00901A62">
        <w:rPr>
          <w:lang w:val="es-ES"/>
        </w:rPr>
        <w:t> </w:t>
      </w:r>
      <w:r w:rsidR="00AF676B">
        <w:rPr>
          <w:lang w:val="es-ES"/>
        </w:rPr>
        <w:t>Monetaria de África Occidental (UEMOA)</w:t>
      </w:r>
    </w:p>
    <w:p w14:paraId="00B8BDD6" w14:textId="0E6EF286" w:rsidR="00AF676B" w:rsidRPr="00E71A5E" w:rsidRDefault="00F544E3" w:rsidP="00F544E3">
      <w:pPr>
        <w:pStyle w:val="Heading2"/>
        <w:rPr>
          <w:rFonts w:ascii="Calibri" w:eastAsia="SimSun" w:hAnsi="Calibri" w:cs="Arial"/>
          <w:b w:val="0"/>
          <w:bCs/>
          <w:szCs w:val="24"/>
          <w:lang w:val="es-ES"/>
        </w:rPr>
      </w:pPr>
      <w:r>
        <w:rPr>
          <w:lang w:val="es-ES"/>
        </w:rPr>
        <w:t>2.3</w:t>
      </w:r>
      <w:r>
        <w:rPr>
          <w:lang w:val="es-ES"/>
        </w:rPr>
        <w:tab/>
      </w:r>
      <w:r w:rsidR="00AF676B" w:rsidRPr="00F544E3">
        <w:rPr>
          <w:lang w:val="es-ES"/>
        </w:rPr>
        <w:t>Pendientes</w:t>
      </w:r>
      <w:r w:rsidR="00AF676B">
        <w:rPr>
          <w:bCs/>
          <w:lang w:val="es-ES"/>
        </w:rPr>
        <w:t xml:space="preserve"> de aprobación – Miembros de Sector y Asociados del UIT-D</w:t>
      </w:r>
    </w:p>
    <w:p w14:paraId="4A576A3F" w14:textId="77777777" w:rsidR="00AF676B" w:rsidRPr="00E71A5E" w:rsidRDefault="00AF676B" w:rsidP="00F544E3">
      <w:pPr>
        <w:spacing w:after="120"/>
        <w:rPr>
          <w:noProof/>
          <w:lang w:val="es-ES"/>
        </w:rPr>
      </w:pPr>
      <w:r>
        <w:rPr>
          <w:lang w:val="es-ES"/>
        </w:rPr>
        <w:t>En marzo de 2025,</w:t>
      </w:r>
      <w:r>
        <w:rPr>
          <w:b/>
          <w:bCs/>
          <w:lang w:val="es-ES"/>
        </w:rPr>
        <w:t xml:space="preserve"> trece entidades</w:t>
      </w:r>
      <w:r>
        <w:rPr>
          <w:lang w:val="es-ES"/>
        </w:rPr>
        <w:t xml:space="preserve"> estaban </w:t>
      </w:r>
      <w:r>
        <w:rPr>
          <w:b/>
          <w:bCs/>
          <w:lang w:val="es-ES"/>
        </w:rPr>
        <w:t>pendientes de la autorización</w:t>
      </w:r>
      <w:r>
        <w:rPr>
          <w:lang w:val="es-ES"/>
        </w:rPr>
        <w:t xml:space="preserve"> de sus respectivas administraciones. Deseamos dar las gracias a las Administraciones de las entidades del sector privado que, según entendemos, están prestando la debida atención y examinando las solicitudes de adhesión al UIT-D.</w:t>
      </w:r>
    </w:p>
    <w:tbl>
      <w:tblPr>
        <w:tblW w:w="9977" w:type="dxa"/>
        <w:tblLayout w:type="fixed"/>
        <w:tblLook w:val="04A0" w:firstRow="1" w:lastRow="0" w:firstColumn="1" w:lastColumn="0" w:noHBand="0" w:noVBand="1"/>
      </w:tblPr>
      <w:tblGrid>
        <w:gridCol w:w="3921"/>
        <w:gridCol w:w="3329"/>
        <w:gridCol w:w="2727"/>
      </w:tblGrid>
      <w:tr w:rsidR="00AF676B" w:rsidRPr="00C82E1A" w14:paraId="2AD68522" w14:textId="77777777" w:rsidTr="00FF7C09">
        <w:trPr>
          <w:trHeight w:val="288"/>
        </w:trPr>
        <w:tc>
          <w:tcPr>
            <w:tcW w:w="3921" w:type="dxa"/>
            <w:tcBorders>
              <w:top w:val="single" w:sz="4" w:space="0" w:color="44B3E1"/>
              <w:left w:val="single" w:sz="4" w:space="0" w:color="44B3E1"/>
              <w:bottom w:val="single" w:sz="4" w:space="0" w:color="auto"/>
              <w:right w:val="nil"/>
            </w:tcBorders>
            <w:shd w:val="clear" w:color="156082" w:fill="156082"/>
            <w:noWrap/>
            <w:vAlign w:val="bottom"/>
            <w:hideMark/>
          </w:tcPr>
          <w:p w14:paraId="1693D2E0" w14:textId="77777777" w:rsidR="00AF676B" w:rsidRPr="00F544E3" w:rsidRDefault="00AF676B" w:rsidP="00F544E3">
            <w:pPr>
              <w:pStyle w:val="Tablehead"/>
              <w:jc w:val="left"/>
              <w:rPr>
                <w:color w:val="FFFFFF" w:themeColor="background1"/>
              </w:rPr>
            </w:pPr>
            <w:r w:rsidRPr="00F544E3">
              <w:rPr>
                <w:color w:val="FFFFFF" w:themeColor="background1"/>
                <w:lang w:val="es-ES"/>
              </w:rPr>
              <w:t>Cuenta</w:t>
            </w:r>
          </w:p>
        </w:tc>
        <w:tc>
          <w:tcPr>
            <w:tcW w:w="3329" w:type="dxa"/>
            <w:tcBorders>
              <w:top w:val="single" w:sz="4" w:space="0" w:color="44B3E1"/>
              <w:left w:val="nil"/>
              <w:bottom w:val="single" w:sz="4" w:space="0" w:color="auto"/>
              <w:right w:val="nil"/>
            </w:tcBorders>
            <w:shd w:val="clear" w:color="156082" w:fill="156082"/>
            <w:noWrap/>
            <w:vAlign w:val="bottom"/>
            <w:hideMark/>
          </w:tcPr>
          <w:p w14:paraId="400D8E1A" w14:textId="77777777" w:rsidR="00AF676B" w:rsidRPr="00F544E3" w:rsidRDefault="00AF676B" w:rsidP="00F544E3">
            <w:pPr>
              <w:pStyle w:val="Tablehead"/>
              <w:jc w:val="left"/>
              <w:rPr>
                <w:rFonts w:cstheme="minorHAnsi"/>
                <w:b w:val="0"/>
                <w:bCs/>
                <w:color w:val="FFFFFF" w:themeColor="background1"/>
                <w:sz w:val="21"/>
                <w:szCs w:val="21"/>
              </w:rPr>
            </w:pPr>
            <w:r w:rsidRPr="00F544E3">
              <w:rPr>
                <w:color w:val="FFFFFF" w:themeColor="background1"/>
                <w:lang w:val="es-ES"/>
              </w:rPr>
              <w:t>País</w:t>
            </w:r>
          </w:p>
        </w:tc>
        <w:tc>
          <w:tcPr>
            <w:tcW w:w="2727" w:type="dxa"/>
            <w:tcBorders>
              <w:top w:val="single" w:sz="4" w:space="0" w:color="44B3E1"/>
              <w:left w:val="nil"/>
              <w:bottom w:val="single" w:sz="4" w:space="0" w:color="auto"/>
              <w:right w:val="single" w:sz="4" w:space="0" w:color="44B3E1"/>
            </w:tcBorders>
            <w:shd w:val="clear" w:color="156082" w:fill="156082"/>
            <w:noWrap/>
            <w:vAlign w:val="bottom"/>
            <w:hideMark/>
          </w:tcPr>
          <w:p w14:paraId="63115429" w14:textId="77777777" w:rsidR="00AF676B" w:rsidRPr="00F544E3" w:rsidRDefault="00AF676B" w:rsidP="00F544E3">
            <w:pPr>
              <w:pStyle w:val="Tablehead"/>
              <w:jc w:val="left"/>
              <w:rPr>
                <w:rFonts w:cstheme="minorHAnsi"/>
                <w:b w:val="0"/>
                <w:bCs/>
                <w:color w:val="FFFFFF" w:themeColor="background1"/>
                <w:sz w:val="21"/>
                <w:szCs w:val="21"/>
              </w:rPr>
            </w:pPr>
            <w:r w:rsidRPr="00F544E3">
              <w:rPr>
                <w:rFonts w:cstheme="minorHAnsi"/>
                <w:bCs/>
                <w:color w:val="FFFFFF" w:themeColor="background1"/>
                <w:sz w:val="21"/>
                <w:szCs w:val="21"/>
                <w:lang w:val="es-ES"/>
              </w:rPr>
              <w:t xml:space="preserve">Tipo </w:t>
            </w:r>
            <w:r w:rsidRPr="00F544E3">
              <w:rPr>
                <w:color w:val="FFFFFF" w:themeColor="background1"/>
                <w:lang w:val="es-ES"/>
              </w:rPr>
              <w:t>de</w:t>
            </w:r>
            <w:r w:rsidRPr="00F544E3">
              <w:rPr>
                <w:rFonts w:cstheme="minorHAnsi"/>
                <w:bCs/>
                <w:color w:val="FFFFFF" w:themeColor="background1"/>
                <w:sz w:val="21"/>
                <w:szCs w:val="21"/>
                <w:lang w:val="es-ES"/>
              </w:rPr>
              <w:t xml:space="preserve"> afiliación</w:t>
            </w:r>
          </w:p>
        </w:tc>
      </w:tr>
      <w:tr w:rsidR="00AF676B" w:rsidRPr="00AF676B" w14:paraId="11A9B0FF"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02BE33D6" w14:textId="77777777" w:rsidR="00AF676B" w:rsidRPr="00FD693A" w:rsidRDefault="00AF676B" w:rsidP="00F544E3">
            <w:pPr>
              <w:pStyle w:val="Tabletext"/>
              <w:rPr>
                <w:sz w:val="21"/>
                <w:szCs w:val="21"/>
                <w:lang w:val="es-ES"/>
              </w:rPr>
            </w:pPr>
            <w:r w:rsidRPr="00FD693A">
              <w:rPr>
                <w:sz w:val="21"/>
                <w:szCs w:val="21"/>
                <w:lang w:val="es-ES"/>
              </w:rPr>
              <w:t>TELECOMUNICACIONES GRAN CARIBE, S.A.</w:t>
            </w:r>
          </w:p>
        </w:tc>
        <w:tc>
          <w:tcPr>
            <w:tcW w:w="3329" w:type="dxa"/>
            <w:tcBorders>
              <w:top w:val="single" w:sz="4" w:space="0" w:color="44B3E1"/>
              <w:left w:val="nil"/>
              <w:bottom w:val="single" w:sz="4" w:space="0" w:color="44B3E1"/>
              <w:right w:val="nil"/>
            </w:tcBorders>
            <w:shd w:val="clear" w:color="auto" w:fill="auto"/>
            <w:noWrap/>
            <w:vAlign w:val="bottom"/>
            <w:hideMark/>
          </w:tcPr>
          <w:p w14:paraId="55D73AFC" w14:textId="77777777" w:rsidR="00AF676B" w:rsidRPr="00FD693A" w:rsidRDefault="00AF676B" w:rsidP="00F544E3">
            <w:pPr>
              <w:pStyle w:val="Tabletext"/>
              <w:rPr>
                <w:sz w:val="21"/>
                <w:szCs w:val="21"/>
                <w:lang w:val="es-ES"/>
              </w:rPr>
            </w:pPr>
            <w:r w:rsidRPr="00FD693A">
              <w:rPr>
                <w:sz w:val="21"/>
                <w:szCs w:val="21"/>
                <w:lang w:val="es-ES"/>
              </w:rPr>
              <w:t>Venezuela</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3CFEAFC3" w14:textId="20EC4727"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82E1A" w14:paraId="131C9C7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35F7E25B" w14:textId="77777777" w:rsidR="00AF676B" w:rsidRPr="00FD693A" w:rsidRDefault="00AF676B" w:rsidP="00F544E3">
            <w:pPr>
              <w:pStyle w:val="Tabletext"/>
              <w:rPr>
                <w:rFonts w:cstheme="minorHAnsi"/>
                <w:color w:val="000000"/>
                <w:sz w:val="21"/>
                <w:szCs w:val="21"/>
              </w:rPr>
            </w:pPr>
            <w:r w:rsidRPr="00FD693A">
              <w:rPr>
                <w:sz w:val="21"/>
                <w:szCs w:val="21"/>
                <w:lang w:val="es-ES"/>
              </w:rPr>
              <w:t>Motion Technology</w:t>
            </w:r>
          </w:p>
        </w:tc>
        <w:tc>
          <w:tcPr>
            <w:tcW w:w="3329" w:type="dxa"/>
            <w:tcBorders>
              <w:top w:val="single" w:sz="4" w:space="0" w:color="44B3E1"/>
              <w:left w:val="nil"/>
              <w:bottom w:val="single" w:sz="4" w:space="0" w:color="44B3E1"/>
              <w:right w:val="nil"/>
            </w:tcBorders>
            <w:shd w:val="clear" w:color="C0E6F5" w:fill="C0E6F5"/>
            <w:noWrap/>
            <w:vAlign w:val="bottom"/>
            <w:hideMark/>
          </w:tcPr>
          <w:p w14:paraId="01B38DFC" w14:textId="77777777" w:rsidR="00AF676B" w:rsidRPr="00FD693A" w:rsidRDefault="00AF676B" w:rsidP="00F544E3">
            <w:pPr>
              <w:pStyle w:val="Tabletext"/>
              <w:rPr>
                <w:rFonts w:cstheme="minorHAnsi"/>
                <w:color w:val="000000"/>
                <w:sz w:val="21"/>
                <w:szCs w:val="21"/>
              </w:rPr>
            </w:pPr>
            <w:r w:rsidRPr="00FD693A">
              <w:rPr>
                <w:sz w:val="21"/>
                <w:szCs w:val="21"/>
                <w:lang w:val="es-ES"/>
              </w:rPr>
              <w:t>Iraq</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605AB69D" w14:textId="77777777" w:rsidR="00AF676B" w:rsidRPr="00FD693A" w:rsidRDefault="00AF676B" w:rsidP="00F544E3">
            <w:pPr>
              <w:pStyle w:val="Tabletext"/>
              <w:rPr>
                <w:rFonts w:cstheme="minorHAnsi"/>
                <w:color w:val="000000"/>
                <w:sz w:val="21"/>
                <w:szCs w:val="21"/>
              </w:rPr>
            </w:pPr>
            <w:r w:rsidRPr="00FD693A">
              <w:rPr>
                <w:sz w:val="21"/>
                <w:szCs w:val="21"/>
                <w:lang w:val="es-ES"/>
              </w:rPr>
              <w:t>CE 2 DEL UIT-D ASOCIADA</w:t>
            </w:r>
          </w:p>
        </w:tc>
      </w:tr>
      <w:tr w:rsidR="00AF676B" w:rsidRPr="00AF676B" w14:paraId="2C548094"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4BABACF7" w14:textId="77777777" w:rsidR="00AF676B" w:rsidRPr="00FD693A" w:rsidRDefault="00AF676B" w:rsidP="00F544E3">
            <w:pPr>
              <w:pStyle w:val="Tabletext"/>
              <w:rPr>
                <w:rFonts w:cstheme="minorHAnsi"/>
                <w:color w:val="000000"/>
                <w:sz w:val="21"/>
                <w:szCs w:val="21"/>
              </w:rPr>
            </w:pPr>
            <w:r w:rsidRPr="00FD693A">
              <w:rPr>
                <w:sz w:val="21"/>
                <w:szCs w:val="21"/>
                <w:lang w:val="es-ES"/>
              </w:rPr>
              <w:t>RenaCorp Technologies (PTY) Ltd</w:t>
            </w:r>
          </w:p>
        </w:tc>
        <w:tc>
          <w:tcPr>
            <w:tcW w:w="3329" w:type="dxa"/>
            <w:tcBorders>
              <w:top w:val="single" w:sz="4" w:space="0" w:color="44B3E1"/>
              <w:left w:val="nil"/>
              <w:bottom w:val="single" w:sz="4" w:space="0" w:color="44B3E1"/>
              <w:right w:val="nil"/>
            </w:tcBorders>
            <w:shd w:val="clear" w:color="auto" w:fill="auto"/>
            <w:noWrap/>
            <w:vAlign w:val="bottom"/>
            <w:hideMark/>
          </w:tcPr>
          <w:p w14:paraId="141765DC" w14:textId="792C832F" w:rsidR="00AF676B" w:rsidRPr="00FD693A" w:rsidRDefault="00AF676B" w:rsidP="00F544E3">
            <w:pPr>
              <w:pStyle w:val="Tabletext"/>
              <w:rPr>
                <w:rFonts w:cstheme="minorHAnsi"/>
                <w:color w:val="000000"/>
                <w:sz w:val="21"/>
                <w:szCs w:val="21"/>
              </w:rPr>
            </w:pPr>
            <w:r w:rsidRPr="00FD693A">
              <w:rPr>
                <w:sz w:val="21"/>
                <w:szCs w:val="21"/>
                <w:lang w:val="es-ES"/>
              </w:rPr>
              <w:t>Sudáfrica</w:t>
            </w:r>
            <w:r w:rsidR="000E4BCF">
              <w:rPr>
                <w:sz w:val="21"/>
                <w:szCs w:val="21"/>
                <w:lang w:val="es-ES"/>
              </w:rPr>
              <w:t>na (Rep.)</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60AB7280" w14:textId="3C18B05C"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82E1A" w14:paraId="550680D5"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40D56CB5" w14:textId="77777777" w:rsidR="00AF676B" w:rsidRPr="00FD693A" w:rsidRDefault="00AF676B" w:rsidP="00F544E3">
            <w:pPr>
              <w:pStyle w:val="Tabletext"/>
              <w:rPr>
                <w:rFonts w:cstheme="minorHAnsi"/>
                <w:color w:val="000000"/>
                <w:sz w:val="21"/>
                <w:szCs w:val="21"/>
                <w:lang w:val="fr-CH"/>
              </w:rPr>
            </w:pPr>
            <w:r w:rsidRPr="00FD693A">
              <w:rPr>
                <w:sz w:val="21"/>
                <w:szCs w:val="21"/>
                <w:lang w:val="es-ES"/>
              </w:rPr>
              <w:t>Organisation des Jeunes pour le Monde d'Avenir (OJMA)</w:t>
            </w:r>
          </w:p>
        </w:tc>
        <w:tc>
          <w:tcPr>
            <w:tcW w:w="3329" w:type="dxa"/>
            <w:tcBorders>
              <w:top w:val="single" w:sz="4" w:space="0" w:color="44B3E1"/>
              <w:left w:val="nil"/>
              <w:bottom w:val="single" w:sz="4" w:space="0" w:color="44B3E1"/>
              <w:right w:val="nil"/>
            </w:tcBorders>
            <w:shd w:val="clear" w:color="C0E6F5" w:fill="C0E6F5"/>
            <w:noWrap/>
            <w:vAlign w:val="bottom"/>
            <w:hideMark/>
          </w:tcPr>
          <w:p w14:paraId="56B82568" w14:textId="77777777" w:rsidR="00AF676B" w:rsidRPr="00FD693A" w:rsidRDefault="00AF676B" w:rsidP="00F544E3">
            <w:pPr>
              <w:pStyle w:val="Tabletext"/>
              <w:rPr>
                <w:rFonts w:cstheme="minorHAnsi"/>
                <w:color w:val="000000"/>
                <w:sz w:val="21"/>
                <w:szCs w:val="21"/>
              </w:rPr>
            </w:pPr>
            <w:r w:rsidRPr="00FD693A">
              <w:rPr>
                <w:sz w:val="21"/>
                <w:szCs w:val="21"/>
                <w:lang w:val="es-ES"/>
              </w:rPr>
              <w:t>Rep. Dem. del Congo</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717FF5D3" w14:textId="77777777" w:rsidR="00AF676B" w:rsidRPr="00FD693A" w:rsidRDefault="00AF676B" w:rsidP="00F544E3">
            <w:pPr>
              <w:pStyle w:val="Tabletext"/>
              <w:rPr>
                <w:rFonts w:cstheme="minorHAnsi"/>
                <w:color w:val="000000"/>
                <w:sz w:val="21"/>
                <w:szCs w:val="21"/>
              </w:rPr>
            </w:pPr>
            <w:r w:rsidRPr="00FD693A">
              <w:rPr>
                <w:sz w:val="21"/>
                <w:szCs w:val="21"/>
                <w:lang w:val="es-ES"/>
              </w:rPr>
              <w:t>CE 2 DEL UIT-D ASOCIADA</w:t>
            </w:r>
          </w:p>
        </w:tc>
      </w:tr>
      <w:tr w:rsidR="00AF676B" w:rsidRPr="00C82E1A" w14:paraId="711DF2ED"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75895BD8" w14:textId="77777777" w:rsidR="00AF676B" w:rsidRPr="00FD693A" w:rsidRDefault="00AF676B" w:rsidP="00F544E3">
            <w:pPr>
              <w:pStyle w:val="Tabletext"/>
              <w:rPr>
                <w:rFonts w:cstheme="minorHAnsi"/>
                <w:color w:val="000000"/>
                <w:sz w:val="21"/>
                <w:szCs w:val="21"/>
              </w:rPr>
            </w:pPr>
            <w:r w:rsidRPr="00FD693A">
              <w:rPr>
                <w:sz w:val="21"/>
                <w:szCs w:val="21"/>
                <w:lang w:val="es-ES"/>
              </w:rPr>
              <w:t>Windup Software, LLC</w:t>
            </w:r>
          </w:p>
        </w:tc>
        <w:tc>
          <w:tcPr>
            <w:tcW w:w="3329" w:type="dxa"/>
            <w:tcBorders>
              <w:top w:val="single" w:sz="4" w:space="0" w:color="44B3E1"/>
              <w:left w:val="nil"/>
              <w:bottom w:val="single" w:sz="4" w:space="0" w:color="44B3E1"/>
              <w:right w:val="nil"/>
            </w:tcBorders>
            <w:shd w:val="clear" w:color="auto" w:fill="auto"/>
            <w:noWrap/>
            <w:vAlign w:val="bottom"/>
            <w:hideMark/>
          </w:tcPr>
          <w:p w14:paraId="31955FF6" w14:textId="77777777" w:rsidR="00AF676B" w:rsidRPr="00FD693A" w:rsidRDefault="00AF676B" w:rsidP="00F544E3">
            <w:pPr>
              <w:pStyle w:val="Tabletext"/>
              <w:rPr>
                <w:rFonts w:cstheme="minorHAnsi"/>
                <w:color w:val="000000"/>
                <w:sz w:val="21"/>
                <w:szCs w:val="21"/>
              </w:rPr>
            </w:pPr>
            <w:r w:rsidRPr="00FD693A">
              <w:rPr>
                <w:sz w:val="21"/>
                <w:szCs w:val="21"/>
                <w:lang w:val="es-ES"/>
              </w:rPr>
              <w:t>Uzbekistán</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4A8F28D3" w14:textId="77777777" w:rsidR="00AF676B" w:rsidRPr="00FD693A" w:rsidRDefault="00AF676B" w:rsidP="00F544E3">
            <w:pPr>
              <w:pStyle w:val="Tabletext"/>
              <w:rPr>
                <w:rFonts w:cstheme="minorHAnsi"/>
                <w:color w:val="000000"/>
                <w:sz w:val="21"/>
                <w:szCs w:val="21"/>
              </w:rPr>
            </w:pPr>
            <w:r w:rsidRPr="00FD693A">
              <w:rPr>
                <w:sz w:val="21"/>
                <w:szCs w:val="21"/>
                <w:lang w:val="es-ES"/>
              </w:rPr>
              <w:t>CE 2 DEL UIT-D ASOCIADA</w:t>
            </w:r>
          </w:p>
        </w:tc>
      </w:tr>
      <w:tr w:rsidR="00AF676B" w:rsidRPr="00AF676B" w14:paraId="69538BA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24FD6ADB" w14:textId="77777777" w:rsidR="00AF676B" w:rsidRPr="00FD693A" w:rsidRDefault="00AF676B" w:rsidP="00F544E3">
            <w:pPr>
              <w:pStyle w:val="Tabletext"/>
              <w:rPr>
                <w:sz w:val="21"/>
                <w:szCs w:val="21"/>
                <w:lang w:val="es-ES"/>
              </w:rPr>
            </w:pPr>
            <w:r w:rsidRPr="00FD693A">
              <w:rPr>
                <w:sz w:val="21"/>
                <w:szCs w:val="21"/>
                <w:lang w:val="es-ES"/>
              </w:rPr>
              <w:t>UNACU Organización Profesional Limitada</w:t>
            </w:r>
          </w:p>
        </w:tc>
        <w:tc>
          <w:tcPr>
            <w:tcW w:w="3329" w:type="dxa"/>
            <w:tcBorders>
              <w:top w:val="single" w:sz="4" w:space="0" w:color="44B3E1"/>
              <w:left w:val="nil"/>
              <w:bottom w:val="single" w:sz="4" w:space="0" w:color="44B3E1"/>
              <w:right w:val="nil"/>
            </w:tcBorders>
            <w:shd w:val="clear" w:color="C0E6F5" w:fill="C0E6F5"/>
            <w:noWrap/>
            <w:vAlign w:val="bottom"/>
            <w:hideMark/>
          </w:tcPr>
          <w:p w14:paraId="28F917AC" w14:textId="77777777" w:rsidR="00AF676B" w:rsidRPr="00FD693A" w:rsidRDefault="00AF676B" w:rsidP="00F544E3">
            <w:pPr>
              <w:pStyle w:val="Tabletext"/>
              <w:rPr>
                <w:rFonts w:cstheme="minorHAnsi"/>
                <w:color w:val="000000"/>
                <w:sz w:val="21"/>
                <w:szCs w:val="21"/>
              </w:rPr>
            </w:pPr>
            <w:r w:rsidRPr="00FD693A">
              <w:rPr>
                <w:sz w:val="21"/>
                <w:szCs w:val="21"/>
                <w:lang w:val="es-ES"/>
              </w:rPr>
              <w:t>Uganda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770DD93A" w14:textId="7EA09E16"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F676B" w14:paraId="14D3FA9F"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4521F3DD" w14:textId="77777777" w:rsidR="00AF676B" w:rsidRPr="00FD693A" w:rsidRDefault="00AF676B" w:rsidP="00F544E3">
            <w:pPr>
              <w:pStyle w:val="Tabletext"/>
              <w:rPr>
                <w:sz w:val="21"/>
                <w:szCs w:val="21"/>
                <w:lang w:val="es-ES"/>
              </w:rPr>
            </w:pPr>
            <w:r w:rsidRPr="00FD693A">
              <w:rPr>
                <w:sz w:val="21"/>
                <w:szCs w:val="21"/>
                <w:lang w:val="es-ES"/>
              </w:rPr>
              <w:t>Accenture S.p.A.</w:t>
            </w:r>
          </w:p>
        </w:tc>
        <w:tc>
          <w:tcPr>
            <w:tcW w:w="3329" w:type="dxa"/>
            <w:tcBorders>
              <w:top w:val="single" w:sz="4" w:space="0" w:color="44B3E1"/>
              <w:left w:val="nil"/>
              <w:bottom w:val="single" w:sz="4" w:space="0" w:color="44B3E1"/>
              <w:right w:val="nil"/>
            </w:tcBorders>
            <w:shd w:val="clear" w:color="auto" w:fill="auto"/>
            <w:noWrap/>
            <w:vAlign w:val="bottom"/>
            <w:hideMark/>
          </w:tcPr>
          <w:p w14:paraId="42954FD5" w14:textId="77777777" w:rsidR="00AF676B" w:rsidRPr="00FD693A" w:rsidRDefault="00AF676B" w:rsidP="00F544E3">
            <w:pPr>
              <w:pStyle w:val="Tabletext"/>
              <w:rPr>
                <w:rFonts w:cstheme="minorHAnsi"/>
                <w:color w:val="000000"/>
                <w:sz w:val="21"/>
                <w:szCs w:val="21"/>
              </w:rPr>
            </w:pPr>
            <w:r w:rsidRPr="00FD693A">
              <w:rPr>
                <w:sz w:val="21"/>
                <w:szCs w:val="21"/>
                <w:lang w:val="es-ES"/>
              </w:rPr>
              <w:t>Italia</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75248374" w14:textId="6B9502D0"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82E1A" w14:paraId="726394D0"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23425472" w14:textId="77777777" w:rsidR="00AF676B" w:rsidRPr="00FD693A" w:rsidRDefault="00AF676B" w:rsidP="00F544E3">
            <w:pPr>
              <w:pStyle w:val="Tabletext"/>
              <w:rPr>
                <w:rFonts w:cstheme="minorHAnsi"/>
                <w:color w:val="000000"/>
                <w:sz w:val="21"/>
                <w:szCs w:val="21"/>
              </w:rPr>
            </w:pPr>
            <w:r w:rsidRPr="00FD693A">
              <w:rPr>
                <w:sz w:val="21"/>
                <w:szCs w:val="21"/>
                <w:lang w:val="es-ES"/>
              </w:rPr>
              <w:t>IAIDL LLC</w:t>
            </w:r>
          </w:p>
        </w:tc>
        <w:tc>
          <w:tcPr>
            <w:tcW w:w="3329" w:type="dxa"/>
            <w:tcBorders>
              <w:top w:val="single" w:sz="4" w:space="0" w:color="44B3E1"/>
              <w:left w:val="nil"/>
              <w:bottom w:val="single" w:sz="4" w:space="0" w:color="44B3E1"/>
              <w:right w:val="nil"/>
            </w:tcBorders>
            <w:shd w:val="clear" w:color="C0E6F5" w:fill="C0E6F5"/>
            <w:noWrap/>
            <w:vAlign w:val="bottom"/>
            <w:hideMark/>
          </w:tcPr>
          <w:p w14:paraId="42AE531C" w14:textId="77777777" w:rsidR="00AF676B" w:rsidRPr="00FD693A" w:rsidRDefault="00AF676B" w:rsidP="00F544E3">
            <w:pPr>
              <w:pStyle w:val="Tabletext"/>
              <w:rPr>
                <w:rFonts w:cstheme="minorHAnsi"/>
                <w:color w:val="000000"/>
                <w:sz w:val="21"/>
                <w:szCs w:val="21"/>
              </w:rPr>
            </w:pPr>
            <w:r w:rsidRPr="00FD693A">
              <w:rPr>
                <w:sz w:val="21"/>
                <w:szCs w:val="21"/>
                <w:lang w:val="es-ES"/>
              </w:rPr>
              <w:t>Estados</w:t>
            </w:r>
            <w:r w:rsidRPr="00FD693A">
              <w:rPr>
                <w:rFonts w:cstheme="minorHAnsi"/>
                <w:color w:val="000000"/>
                <w:sz w:val="21"/>
                <w:szCs w:val="21"/>
                <w:lang w:val="es-ES"/>
              </w:rPr>
              <w:t xml:space="preserve"> </w:t>
            </w:r>
            <w:r w:rsidRPr="00FD693A">
              <w:rPr>
                <w:sz w:val="21"/>
                <w:szCs w:val="21"/>
                <w:lang w:val="es-ES"/>
              </w:rPr>
              <w:t>Unidos</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34B72DC4" w14:textId="77777777" w:rsidR="00AF676B" w:rsidRPr="00FD693A" w:rsidRDefault="00AF676B" w:rsidP="00F544E3">
            <w:pPr>
              <w:pStyle w:val="Tabletext"/>
              <w:rPr>
                <w:rFonts w:cstheme="minorHAnsi"/>
                <w:color w:val="000000"/>
                <w:sz w:val="21"/>
                <w:szCs w:val="21"/>
              </w:rPr>
            </w:pPr>
            <w:r w:rsidRPr="00FD693A">
              <w:rPr>
                <w:sz w:val="21"/>
                <w:szCs w:val="21"/>
                <w:lang w:val="es-ES"/>
              </w:rPr>
              <w:t>CE 1 DEL UIT-D ASOCIADA</w:t>
            </w:r>
          </w:p>
        </w:tc>
      </w:tr>
      <w:tr w:rsidR="00AF676B" w:rsidRPr="00AF676B" w14:paraId="45C96118"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7150DCE1" w14:textId="77777777" w:rsidR="00AF676B" w:rsidRPr="00FD693A" w:rsidRDefault="00AF676B" w:rsidP="00F544E3">
            <w:pPr>
              <w:pStyle w:val="Tabletext"/>
              <w:rPr>
                <w:sz w:val="21"/>
                <w:szCs w:val="21"/>
                <w:lang w:val="es-ES"/>
              </w:rPr>
            </w:pPr>
            <w:r w:rsidRPr="00FD693A">
              <w:rPr>
                <w:sz w:val="21"/>
                <w:szCs w:val="21"/>
                <w:lang w:val="es-ES"/>
              </w:rPr>
              <w:t>Yemen Mobile</w:t>
            </w:r>
          </w:p>
        </w:tc>
        <w:tc>
          <w:tcPr>
            <w:tcW w:w="3329" w:type="dxa"/>
            <w:tcBorders>
              <w:top w:val="single" w:sz="4" w:space="0" w:color="44B3E1"/>
              <w:left w:val="nil"/>
              <w:bottom w:val="single" w:sz="4" w:space="0" w:color="44B3E1"/>
              <w:right w:val="nil"/>
            </w:tcBorders>
            <w:shd w:val="clear" w:color="auto" w:fill="auto"/>
            <w:noWrap/>
            <w:vAlign w:val="bottom"/>
            <w:hideMark/>
          </w:tcPr>
          <w:p w14:paraId="4636A48A" w14:textId="77777777" w:rsidR="00AF676B" w:rsidRPr="00FD693A" w:rsidRDefault="00AF676B" w:rsidP="00F544E3">
            <w:pPr>
              <w:pStyle w:val="Tabletext"/>
              <w:rPr>
                <w:rFonts w:cstheme="minorHAnsi"/>
                <w:color w:val="000000"/>
                <w:sz w:val="21"/>
                <w:szCs w:val="21"/>
              </w:rPr>
            </w:pPr>
            <w:r w:rsidRPr="00FD693A">
              <w:rPr>
                <w:sz w:val="21"/>
                <w:szCs w:val="21"/>
                <w:lang w:val="es-ES"/>
              </w:rPr>
              <w:t>Yemen</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39532544" w14:textId="1E0FA847"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F676B" w14:paraId="459E1EEC"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599EA2D2" w14:textId="77777777" w:rsidR="00AF676B" w:rsidRPr="00FD693A" w:rsidRDefault="00AF676B" w:rsidP="00F544E3">
            <w:pPr>
              <w:pStyle w:val="Tabletext"/>
              <w:rPr>
                <w:rFonts w:cstheme="minorHAnsi"/>
                <w:color w:val="000000"/>
                <w:sz w:val="21"/>
                <w:szCs w:val="21"/>
              </w:rPr>
            </w:pPr>
            <w:r w:rsidRPr="00FD693A">
              <w:rPr>
                <w:sz w:val="21"/>
                <w:szCs w:val="21"/>
                <w:lang w:val="es-ES"/>
              </w:rPr>
              <w:t>VeryPay</w:t>
            </w:r>
          </w:p>
        </w:tc>
        <w:tc>
          <w:tcPr>
            <w:tcW w:w="3329" w:type="dxa"/>
            <w:tcBorders>
              <w:top w:val="single" w:sz="4" w:space="0" w:color="44B3E1"/>
              <w:left w:val="nil"/>
              <w:bottom w:val="single" w:sz="4" w:space="0" w:color="44B3E1"/>
              <w:right w:val="nil"/>
            </w:tcBorders>
            <w:shd w:val="clear" w:color="C0E6F5" w:fill="C0E6F5"/>
            <w:noWrap/>
            <w:vAlign w:val="bottom"/>
            <w:hideMark/>
          </w:tcPr>
          <w:p w14:paraId="35D9289B" w14:textId="77777777" w:rsidR="00AF676B" w:rsidRPr="00FD693A" w:rsidRDefault="00AF676B" w:rsidP="00F544E3">
            <w:pPr>
              <w:pStyle w:val="Tabletext"/>
              <w:rPr>
                <w:rFonts w:cstheme="minorHAnsi"/>
                <w:color w:val="000000"/>
                <w:sz w:val="21"/>
                <w:szCs w:val="21"/>
              </w:rPr>
            </w:pPr>
            <w:r w:rsidRPr="00FD693A">
              <w:rPr>
                <w:sz w:val="21"/>
                <w:szCs w:val="21"/>
                <w:lang w:val="es-ES"/>
              </w:rPr>
              <w:t>Uganda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66F7A5BD" w14:textId="0AA9C2AC"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82E1A" w14:paraId="0238E04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5E1526B7" w14:textId="77777777" w:rsidR="00AF676B" w:rsidRPr="00FD693A" w:rsidRDefault="00AF676B" w:rsidP="00F544E3">
            <w:pPr>
              <w:pStyle w:val="Tabletext"/>
              <w:rPr>
                <w:sz w:val="21"/>
                <w:szCs w:val="21"/>
                <w:lang w:val="es-ES"/>
              </w:rPr>
            </w:pPr>
            <w:r w:rsidRPr="00FD693A">
              <w:rPr>
                <w:sz w:val="21"/>
                <w:szCs w:val="21"/>
                <w:lang w:val="es-ES"/>
              </w:rPr>
              <w:t xml:space="preserve">Autoridad </w:t>
            </w:r>
            <w:r w:rsidRPr="00FD693A">
              <w:rPr>
                <w:sz w:val="21"/>
                <w:szCs w:val="21"/>
              </w:rPr>
              <w:t>de</w:t>
            </w:r>
            <w:r w:rsidRPr="00FD693A">
              <w:rPr>
                <w:sz w:val="21"/>
                <w:szCs w:val="21"/>
                <w:lang w:val="es-ES"/>
              </w:rPr>
              <w:t xml:space="preserve"> </w:t>
            </w:r>
            <w:r w:rsidRPr="00FD693A">
              <w:rPr>
                <w:sz w:val="21"/>
                <w:szCs w:val="21"/>
              </w:rPr>
              <w:t>Telecomunicaciones</w:t>
            </w:r>
            <w:r w:rsidRPr="00FD693A">
              <w:rPr>
                <w:sz w:val="21"/>
                <w:szCs w:val="21"/>
                <w:lang w:val="es-ES"/>
              </w:rPr>
              <w:t xml:space="preserve"> de Fiji</w:t>
            </w:r>
          </w:p>
        </w:tc>
        <w:tc>
          <w:tcPr>
            <w:tcW w:w="3329" w:type="dxa"/>
            <w:tcBorders>
              <w:top w:val="single" w:sz="4" w:space="0" w:color="44B3E1"/>
              <w:left w:val="nil"/>
              <w:bottom w:val="single" w:sz="4" w:space="0" w:color="44B3E1"/>
              <w:right w:val="nil"/>
            </w:tcBorders>
            <w:shd w:val="clear" w:color="auto" w:fill="auto"/>
            <w:noWrap/>
            <w:vAlign w:val="bottom"/>
            <w:hideMark/>
          </w:tcPr>
          <w:p w14:paraId="6C7B124B" w14:textId="77777777" w:rsidR="00AF676B" w:rsidRPr="00FD693A" w:rsidRDefault="00AF676B" w:rsidP="00F544E3">
            <w:pPr>
              <w:pStyle w:val="Tabletext"/>
              <w:rPr>
                <w:rFonts w:cstheme="minorHAnsi"/>
                <w:color w:val="000000"/>
                <w:sz w:val="21"/>
                <w:szCs w:val="21"/>
              </w:rPr>
            </w:pPr>
            <w:r w:rsidRPr="00FD693A">
              <w:rPr>
                <w:sz w:val="21"/>
                <w:szCs w:val="21"/>
                <w:lang w:val="es-ES"/>
              </w:rPr>
              <w:t>Fiji</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4879C2F4" w14:textId="77777777" w:rsidR="00AF676B" w:rsidRPr="00FD693A" w:rsidRDefault="00AF676B" w:rsidP="00F544E3">
            <w:pPr>
              <w:pStyle w:val="Tabletext"/>
              <w:rPr>
                <w:rFonts w:cstheme="minorHAnsi"/>
                <w:color w:val="000000"/>
                <w:sz w:val="21"/>
                <w:szCs w:val="21"/>
              </w:rPr>
            </w:pPr>
            <w:r w:rsidRPr="00FD693A">
              <w:rPr>
                <w:sz w:val="21"/>
                <w:szCs w:val="21"/>
                <w:lang w:val="es-ES"/>
              </w:rPr>
              <w:t>CE 2 DEL UIT-D ASOCIADA</w:t>
            </w:r>
          </w:p>
        </w:tc>
      </w:tr>
      <w:tr w:rsidR="00AF676B" w:rsidRPr="00C82E1A" w14:paraId="39D7AFC0" w14:textId="77777777" w:rsidTr="00FF7C09">
        <w:trPr>
          <w:trHeight w:val="255"/>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5B011B99" w14:textId="77777777" w:rsidR="00AF676B" w:rsidRPr="00FD693A" w:rsidRDefault="00AF676B" w:rsidP="00F544E3">
            <w:pPr>
              <w:pStyle w:val="Tabletext"/>
              <w:rPr>
                <w:sz w:val="21"/>
                <w:szCs w:val="21"/>
                <w:lang w:val="es-ES"/>
              </w:rPr>
            </w:pPr>
            <w:r w:rsidRPr="00FD693A">
              <w:rPr>
                <w:sz w:val="21"/>
                <w:szCs w:val="21"/>
                <w:lang w:val="es-ES"/>
              </w:rPr>
              <w:t>Empresas Beteseb</w:t>
            </w:r>
          </w:p>
        </w:tc>
        <w:tc>
          <w:tcPr>
            <w:tcW w:w="3329" w:type="dxa"/>
            <w:tcBorders>
              <w:top w:val="single" w:sz="4" w:space="0" w:color="44B3E1"/>
              <w:left w:val="nil"/>
              <w:bottom w:val="single" w:sz="4" w:space="0" w:color="44B3E1"/>
              <w:right w:val="nil"/>
            </w:tcBorders>
            <w:shd w:val="clear" w:color="C0E6F5" w:fill="C0E6F5"/>
            <w:noWrap/>
            <w:vAlign w:val="bottom"/>
            <w:hideMark/>
          </w:tcPr>
          <w:p w14:paraId="548C9693" w14:textId="77777777" w:rsidR="00AF676B" w:rsidRPr="00FD693A" w:rsidRDefault="00AF676B" w:rsidP="00F544E3">
            <w:pPr>
              <w:pStyle w:val="Tabletext"/>
              <w:rPr>
                <w:rFonts w:cstheme="minorHAnsi"/>
                <w:color w:val="000000"/>
                <w:sz w:val="21"/>
                <w:szCs w:val="21"/>
              </w:rPr>
            </w:pPr>
            <w:r w:rsidRPr="00FD693A">
              <w:rPr>
                <w:sz w:val="21"/>
                <w:szCs w:val="21"/>
                <w:lang w:val="es-ES"/>
              </w:rPr>
              <w:t>Etiopía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307955A7" w14:textId="77777777" w:rsidR="00AF676B" w:rsidRPr="00FD693A" w:rsidRDefault="00AF676B" w:rsidP="00F544E3">
            <w:pPr>
              <w:pStyle w:val="Tabletext"/>
              <w:rPr>
                <w:rFonts w:cstheme="minorHAnsi"/>
                <w:color w:val="000000"/>
                <w:sz w:val="21"/>
                <w:szCs w:val="21"/>
              </w:rPr>
            </w:pPr>
            <w:r w:rsidRPr="00FD693A">
              <w:rPr>
                <w:sz w:val="21"/>
                <w:szCs w:val="21"/>
                <w:lang w:val="es-ES"/>
              </w:rPr>
              <w:t>ASOCIADO UIT-D</w:t>
            </w:r>
          </w:p>
        </w:tc>
      </w:tr>
      <w:tr w:rsidR="00AF676B" w:rsidRPr="00AF676B" w14:paraId="26AD3561"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227E288D" w14:textId="77777777" w:rsidR="00AF676B" w:rsidRPr="00FD693A" w:rsidRDefault="00AF676B" w:rsidP="00F544E3">
            <w:pPr>
              <w:pStyle w:val="Tabletext"/>
              <w:rPr>
                <w:rFonts w:cstheme="minorHAnsi"/>
                <w:color w:val="000000"/>
                <w:sz w:val="21"/>
                <w:szCs w:val="21"/>
              </w:rPr>
            </w:pPr>
            <w:r w:rsidRPr="00FD693A">
              <w:rPr>
                <w:sz w:val="21"/>
                <w:szCs w:val="21"/>
                <w:lang w:val="es-ES"/>
              </w:rPr>
              <w:t>Cyberlite Books Pte. Ltd.</w:t>
            </w:r>
          </w:p>
        </w:tc>
        <w:tc>
          <w:tcPr>
            <w:tcW w:w="3329" w:type="dxa"/>
            <w:tcBorders>
              <w:top w:val="single" w:sz="4" w:space="0" w:color="44B3E1"/>
              <w:left w:val="nil"/>
              <w:bottom w:val="single" w:sz="4" w:space="0" w:color="44B3E1"/>
              <w:right w:val="nil"/>
            </w:tcBorders>
            <w:shd w:val="clear" w:color="auto" w:fill="auto"/>
            <w:noWrap/>
            <w:vAlign w:val="bottom"/>
            <w:hideMark/>
          </w:tcPr>
          <w:p w14:paraId="5CE66DDB" w14:textId="77777777" w:rsidR="00AF676B" w:rsidRPr="00FD693A" w:rsidRDefault="00AF676B" w:rsidP="00F544E3">
            <w:pPr>
              <w:pStyle w:val="Tabletext"/>
              <w:rPr>
                <w:rFonts w:cstheme="minorHAnsi"/>
                <w:color w:val="000000"/>
                <w:sz w:val="21"/>
                <w:szCs w:val="21"/>
              </w:rPr>
            </w:pPr>
            <w:r w:rsidRPr="00FD693A">
              <w:rPr>
                <w:sz w:val="21"/>
                <w:szCs w:val="21"/>
                <w:lang w:val="es-ES"/>
              </w:rPr>
              <w:t>Singapur</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0F115316" w14:textId="1F6D4D6B"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bl>
    <w:p w14:paraId="4D72A956" w14:textId="60817338" w:rsidR="00AF676B" w:rsidRPr="007C1DD9" w:rsidRDefault="00FD693A" w:rsidP="00FD693A">
      <w:pPr>
        <w:pStyle w:val="Heading2"/>
        <w:rPr>
          <w:rFonts w:ascii="Calibri" w:eastAsia="SimSun" w:hAnsi="Calibri" w:cs="Arial"/>
        </w:rPr>
      </w:pPr>
      <w:r>
        <w:rPr>
          <w:lang w:val="es-ES"/>
        </w:rPr>
        <w:lastRenderedPageBreak/>
        <w:t>2.4</w:t>
      </w:r>
      <w:r>
        <w:rPr>
          <w:lang w:val="es-ES"/>
        </w:rPr>
        <w:tab/>
      </w:r>
      <w:r w:rsidR="00AF676B">
        <w:rPr>
          <w:lang w:val="es-ES"/>
        </w:rPr>
        <w:t>Membresía de Instituciones Académicas</w:t>
      </w:r>
      <w:r w:rsidR="00AF676B" w:rsidRPr="009B60BB">
        <w:rPr>
          <w:rStyle w:val="FootnoteReference"/>
          <w:rFonts w:eastAsia="SimSun"/>
          <w:b w:val="0"/>
          <w:lang w:val="fr-FR"/>
        </w:rPr>
        <w:footnoteReference w:id="3"/>
      </w:r>
    </w:p>
    <w:p w14:paraId="50326919" w14:textId="52819528" w:rsidR="00AF676B" w:rsidRDefault="00EF386F" w:rsidP="00EF386F">
      <w:pPr>
        <w:pStyle w:val="Figure"/>
        <w:jc w:val="center"/>
      </w:pPr>
      <w:r w:rsidRPr="00306331">
        <w:rPr>
          <w:szCs w:val="24"/>
        </w:rPr>
        <mc:AlternateContent>
          <mc:Choice Requires="wpg">
            <w:drawing>
              <wp:anchor distT="0" distB="0" distL="114300" distR="114300" simplePos="0" relativeHeight="251673600" behindDoc="0" locked="0" layoutInCell="1" allowOverlap="1" wp14:anchorId="738292AB" wp14:editId="4496C6BD">
                <wp:simplePos x="0" y="0"/>
                <wp:positionH relativeFrom="column">
                  <wp:posOffset>5586406</wp:posOffset>
                </wp:positionH>
                <wp:positionV relativeFrom="paragraph">
                  <wp:posOffset>925830</wp:posOffset>
                </wp:positionV>
                <wp:extent cx="1062842" cy="890650"/>
                <wp:effectExtent l="0" t="0" r="0" b="5080"/>
                <wp:wrapNone/>
                <wp:docPr id="215174094" name="Group 215174094"/>
                <wp:cNvGraphicFramePr/>
                <a:graphic xmlns:a="http://schemas.openxmlformats.org/drawingml/2006/main">
                  <a:graphicData uri="http://schemas.microsoft.com/office/word/2010/wordprocessingGroup">
                    <wpg:wgp>
                      <wpg:cNvGrpSpPr/>
                      <wpg:grpSpPr>
                        <a:xfrm>
                          <a:off x="0" y="0"/>
                          <a:ext cx="1062842" cy="890650"/>
                          <a:chOff x="0" y="0"/>
                          <a:chExt cx="960149" cy="817245"/>
                        </a:xfrm>
                      </wpg:grpSpPr>
                      <wpg:grpSp>
                        <wpg:cNvPr id="453304139" name="Group 3"/>
                        <wpg:cNvGrpSpPr/>
                        <wpg:grpSpPr>
                          <a:xfrm>
                            <a:off x="0" y="561341"/>
                            <a:ext cx="960149" cy="255904"/>
                            <a:chOff x="0" y="-634"/>
                            <a:chExt cx="960149" cy="255904"/>
                          </a:xfrm>
                        </wpg:grpSpPr>
                        <wps:wsp>
                          <wps:cNvPr id="1131738659" name="Oval 2"/>
                          <wps:cNvSpPr/>
                          <wps:spPr>
                            <a:xfrm>
                              <a:off x="0" y="76200"/>
                              <a:ext cx="129540"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242035" name="Text Box 2"/>
                          <wps:cNvSpPr txBox="1">
                            <a:spLocks noChangeArrowheads="1"/>
                          </wps:cNvSpPr>
                          <wps:spPr bwMode="auto">
                            <a:xfrm>
                              <a:off x="189895" y="-634"/>
                              <a:ext cx="770254" cy="255904"/>
                            </a:xfrm>
                            <a:prstGeom prst="rect">
                              <a:avLst/>
                            </a:prstGeom>
                            <a:noFill/>
                            <a:ln w="9525">
                              <a:noFill/>
                              <a:miter lim="800000"/>
                              <a:headEnd/>
                              <a:tailEnd/>
                            </a:ln>
                          </wps:spPr>
                          <wps:txbx>
                            <w:txbxContent>
                              <w:p w14:paraId="384BD8EE" w14:textId="7777777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noAutofit/>
                          </wps:bodyPr>
                        </wps:wsp>
                      </wpg:grpSp>
                      <wpg:grpSp>
                        <wpg:cNvPr id="1633252232" name="Group 3"/>
                        <wpg:cNvGrpSpPr/>
                        <wpg:grpSpPr>
                          <a:xfrm>
                            <a:off x="0" y="0"/>
                            <a:ext cx="960143" cy="410844"/>
                            <a:chOff x="0" y="0"/>
                            <a:chExt cx="960143" cy="410844"/>
                          </a:xfrm>
                        </wpg:grpSpPr>
                        <wps:wsp>
                          <wps:cNvPr id="2094857879" name="Oval 2"/>
                          <wps:cNvSpPr/>
                          <wps:spPr>
                            <a:xfrm>
                              <a:off x="0" y="76200"/>
                              <a:ext cx="129540"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036456" name="Text Box 2"/>
                          <wps:cNvSpPr txBox="1">
                            <a:spLocks noChangeArrowheads="1"/>
                          </wps:cNvSpPr>
                          <wps:spPr bwMode="auto">
                            <a:xfrm>
                              <a:off x="189889" y="0"/>
                              <a:ext cx="770254" cy="410844"/>
                            </a:xfrm>
                            <a:prstGeom prst="rect">
                              <a:avLst/>
                            </a:prstGeom>
                            <a:noFill/>
                            <a:ln w="9525">
                              <a:noFill/>
                              <a:miter lim="800000"/>
                              <a:headEnd/>
                              <a:tailEnd/>
                            </a:ln>
                          </wps:spPr>
                          <wps:txbx>
                            <w:txbxContent>
                              <w:p w14:paraId="50CDEB24" w14:textId="23B604A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Crecimiento</w:t>
                                </w:r>
                              </w:p>
                            </w:txbxContent>
                          </wps:txbx>
                          <wps:bodyPr rot="0" vert="horz" wrap="square" lIns="91440" tIns="45720" rIns="91440" bIns="45720" anchor="t" anchorCtr="0">
                            <a:noAutofit/>
                          </wps:bodyPr>
                        </wps:wsp>
                      </wpg:grpSp>
                      <wpg:grpSp>
                        <wpg:cNvPr id="1702594265" name="Group 3"/>
                        <wpg:cNvGrpSpPr/>
                        <wpg:grpSpPr>
                          <a:xfrm>
                            <a:off x="0" y="276128"/>
                            <a:ext cx="955597" cy="255904"/>
                            <a:chOff x="0" y="-97"/>
                            <a:chExt cx="955597" cy="255904"/>
                          </a:xfrm>
                        </wpg:grpSpPr>
                        <wps:wsp>
                          <wps:cNvPr id="881919858" name="Oval 2"/>
                          <wps:cNvSpPr/>
                          <wps:spPr>
                            <a:xfrm>
                              <a:off x="0" y="76200"/>
                              <a:ext cx="129540"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013808" name="Text Box 2"/>
                          <wps:cNvSpPr txBox="1">
                            <a:spLocks noChangeArrowheads="1"/>
                          </wps:cNvSpPr>
                          <wps:spPr bwMode="auto">
                            <a:xfrm>
                              <a:off x="189788" y="-97"/>
                              <a:ext cx="765809" cy="255904"/>
                            </a:xfrm>
                            <a:prstGeom prst="rect">
                              <a:avLst/>
                            </a:prstGeom>
                            <a:noFill/>
                            <a:ln w="9525">
                              <a:noFill/>
                              <a:miter lim="800000"/>
                              <a:headEnd/>
                              <a:tailEnd/>
                            </a:ln>
                          </wps:spPr>
                          <wps:txbx>
                            <w:txbxContent>
                              <w:p w14:paraId="06C2A544" w14:textId="741094EA"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Pérdida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38292AB" id="Group 215174094" o:spid="_x0000_s1031" style="position:absolute;left:0;text-align:left;margin-left:439.85pt;margin-top:72.9pt;width:83.7pt;height:70.15pt;z-index:251673600;mso-width-relative:margin;mso-height-relative:margin" coordsize="960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">
                <v:group id="Group 3" o:spid="_x0000_s1032" style="position:absolute;top:5613;width:9601;height:2559" coordorigin=",-6" coordsize="960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">
                  <v:oval id="Oval 2" o:spid="_x0000_s1033"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" fillcolor="#00b0f0" stroked="f" strokeweight="2pt"/>
                  <v:shape id="_x0000_s1034" type="#_x0000_t202" style="position:absolute;left:1898;top:-6;width:7703;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" filled="f" stroked="f">
                    <v:textbox>
                      <w:txbxContent>
                        <w:p w14:paraId="384BD8EE" w14:textId="7777777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v:group id="Group 3" o:spid="_x0000_s1035" style="position:absolute;width:9601;height:4108" coordsize="9601,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">
                  <v:oval id="Oval 2" o:spid="_x0000_s103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" fillcolor="#92d050" stroked="f" strokeweight="2pt"/>
                  <v:shape id="_x0000_s1037" type="#_x0000_t202" style="position:absolute;left:1898;width:7703;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" filled="f" stroked="f">
                    <v:textbox>
                      <w:txbxContent>
                        <w:p w14:paraId="50CDEB24" w14:textId="23B604A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Crecimiento</w:t>
                          </w:r>
                        </w:p>
                      </w:txbxContent>
                    </v:textbox>
                  </v:shape>
                </v:group>
                <v:group id="Group 3" o:spid="_x0000_s1038" style="position:absolute;top:2761;width:9555;height:2559" coordorigin="" coordsize="955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">
                  <v:oval id="Oval 2" o:spid="_x0000_s103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" fillcolor="#fa3000" stroked="f" strokeweight="2pt"/>
                  <v:shape id="_x0000_s1040" type="#_x0000_t202" style="position:absolute;left:1897;width:765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" filled="f" stroked="f">
                    <v:textbox>
                      <w:txbxContent>
                        <w:p w14:paraId="06C2A544" w14:textId="741094EA"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Pérdida</w:t>
                          </w:r>
                        </w:p>
                      </w:txbxContent>
                    </v:textbox>
                  </v:shape>
                </v:group>
              </v:group>
            </w:pict>
          </mc:Fallback>
        </mc:AlternateContent>
      </w:r>
      <w:r w:rsidRPr="00306331">
        <w:rPr>
          <w:szCs w:val="24"/>
        </w:rPr>
        <mc:AlternateContent>
          <mc:Choice Requires="wps">
            <w:drawing>
              <wp:anchor distT="45720" distB="45720" distL="114300" distR="114300" simplePos="0" relativeHeight="251662336" behindDoc="0" locked="0" layoutInCell="1" allowOverlap="1" wp14:anchorId="05EC7340" wp14:editId="5D50286B">
                <wp:simplePos x="0" y="0"/>
                <wp:positionH relativeFrom="column">
                  <wp:posOffset>2431032</wp:posOffset>
                </wp:positionH>
                <wp:positionV relativeFrom="paragraph">
                  <wp:posOffset>2415804</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7D4FD5B7" w14:textId="77777777" w:rsidR="00AF676B" w:rsidRPr="0057040A" w:rsidRDefault="00AF676B" w:rsidP="00AF676B">
                            <w:pPr>
                              <w:spacing w:before="0"/>
                              <w:jc w:val="center"/>
                              <w:rPr>
                                <w:rFonts w:ascii="Avenir Nxt2 W1G" w:hAnsi="Avenir Nxt2 W1G"/>
                                <w:sz w:val="18"/>
                                <w:szCs w:val="14"/>
                              </w:rPr>
                            </w:pPr>
                            <w:r>
                              <w:rPr>
                                <w:lang w:val="es-ES"/>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C7340" id="_x0000_s1041" type="#_x0000_t202" style="position:absolute;left:0;text-align:left;margin-left:191.4pt;margin-top:190.2pt;width:44.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OL/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" filled="f" stroked="f">
                <v:textbox style="mso-fit-shape-to-text:t">
                  <w:txbxContent>
                    <w:p w14:paraId="7D4FD5B7" w14:textId="77777777" w:rsidR="00AF676B" w:rsidRPr="0057040A" w:rsidRDefault="00AF676B" w:rsidP="00AF676B">
                      <w:pPr>
                        <w:spacing w:before="0"/>
                        <w:jc w:val="center"/>
                        <w:rPr>
                          <w:rFonts w:ascii="Avenir Nxt2 W1G" w:hAnsi="Avenir Nxt2 W1G"/>
                          <w:sz w:val="18"/>
                          <w:szCs w:val="14"/>
                        </w:rPr>
                      </w:pPr>
                      <w:r>
                        <w:rPr>
                          <w:lang w:val="es-ES"/>
                        </w:rPr>
                        <w:t>2024</w:t>
                      </w:r>
                    </w:p>
                  </w:txbxContent>
                </v:textbox>
              </v:shape>
            </w:pict>
          </mc:Fallback>
        </mc:AlternateContent>
      </w:r>
      <w:r w:rsidRPr="00306331">
        <w:rPr>
          <w:szCs w:val="24"/>
        </w:rPr>
        <mc:AlternateContent>
          <mc:Choice Requires="wps">
            <w:drawing>
              <wp:anchor distT="45720" distB="45720" distL="114300" distR="114300" simplePos="0" relativeHeight="251663360" behindDoc="0" locked="0" layoutInCell="1" allowOverlap="1" wp14:anchorId="08F208D5" wp14:editId="41868DC7">
                <wp:simplePos x="0" y="0"/>
                <wp:positionH relativeFrom="margin">
                  <wp:posOffset>4221768</wp:posOffset>
                </wp:positionH>
                <wp:positionV relativeFrom="paragraph">
                  <wp:posOffset>2412473</wp:posOffset>
                </wp:positionV>
                <wp:extent cx="67901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10" cy="1404620"/>
                        </a:xfrm>
                        <a:prstGeom prst="rect">
                          <a:avLst/>
                        </a:prstGeom>
                        <a:noFill/>
                        <a:ln w="9525">
                          <a:noFill/>
                          <a:miter lim="800000"/>
                          <a:headEnd/>
                          <a:tailEnd/>
                        </a:ln>
                      </wps:spPr>
                      <wps:txbx>
                        <w:txbxContent>
                          <w:p w14:paraId="19CC01EA" w14:textId="77777777" w:rsidR="00AF676B" w:rsidRPr="0057040A" w:rsidRDefault="00AF676B" w:rsidP="00AF676B">
                            <w:pPr>
                              <w:spacing w:before="0"/>
                              <w:jc w:val="center"/>
                              <w:rPr>
                                <w:rFonts w:ascii="Avenir Nxt2 W1G" w:hAnsi="Avenir Nxt2 W1G"/>
                                <w:sz w:val="18"/>
                                <w:szCs w:val="14"/>
                              </w:rPr>
                            </w:pPr>
                            <w:r>
                              <w:rPr>
                                <w:lang w:val="es-ES"/>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208D5" id="_x0000_s1042" type="#_x0000_t202" style="position:absolute;left:0;text-align:left;margin-left:332.4pt;margin-top:189.95pt;width:53.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" filled="f" stroked="f">
                <v:textbox style="mso-fit-shape-to-text:t">
                  <w:txbxContent>
                    <w:p w14:paraId="19CC01EA" w14:textId="77777777" w:rsidR="00AF676B" w:rsidRPr="0057040A" w:rsidRDefault="00AF676B" w:rsidP="00AF676B">
                      <w:pPr>
                        <w:spacing w:before="0"/>
                        <w:jc w:val="center"/>
                        <w:rPr>
                          <w:rFonts w:ascii="Avenir Nxt2 W1G" w:hAnsi="Avenir Nxt2 W1G"/>
                          <w:sz w:val="18"/>
                          <w:szCs w:val="14"/>
                        </w:rPr>
                      </w:pPr>
                      <w:r>
                        <w:rPr>
                          <w:lang w:val="es-ES"/>
                        </w:rPr>
                        <w:t>*2025</w:t>
                      </w:r>
                    </w:p>
                  </w:txbxContent>
                </v:textbox>
                <w10:wrap anchorx="margin"/>
              </v:shape>
            </w:pict>
          </mc:Fallback>
        </mc:AlternateContent>
      </w:r>
      <w:r w:rsidRPr="00306331">
        <w:rPr>
          <w:szCs w:val="24"/>
        </w:rPr>
        <mc:AlternateContent>
          <mc:Choice Requires="wps">
            <w:drawing>
              <wp:anchor distT="45720" distB="45720" distL="114300" distR="114300" simplePos="0" relativeHeight="251661312" behindDoc="0" locked="0" layoutInCell="1" allowOverlap="1" wp14:anchorId="66B3F2A2" wp14:editId="4101F27A">
                <wp:simplePos x="0" y="0"/>
                <wp:positionH relativeFrom="column">
                  <wp:posOffset>974067</wp:posOffset>
                </wp:positionH>
                <wp:positionV relativeFrom="paragraph">
                  <wp:posOffset>2421255</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1063948" w14:textId="77777777" w:rsidR="00AF676B" w:rsidRPr="00EC3B94" w:rsidRDefault="00AF676B" w:rsidP="00AF676B">
                            <w:pPr>
                              <w:spacing w:before="0"/>
                              <w:jc w:val="center"/>
                              <w:rPr>
                                <w:rFonts w:ascii="Avenir Nxt2 W1G" w:hAnsi="Avenir Nxt2 W1G"/>
                                <w:sz w:val="18"/>
                                <w:szCs w:val="14"/>
                              </w:rPr>
                            </w:pPr>
                            <w:r>
                              <w:rPr>
                                <w:lang w:val="es-ES"/>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3F2A2" id="_x0000_s1043" type="#_x0000_t202" style="position:absolute;left:0;text-align:left;margin-left:76.7pt;margin-top:190.65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" filled="f" stroked="f">
                <v:textbox style="mso-fit-shape-to-text:t">
                  <w:txbxContent>
                    <w:p w14:paraId="21063948" w14:textId="77777777" w:rsidR="00AF676B" w:rsidRPr="00EC3B94" w:rsidRDefault="00AF676B" w:rsidP="00AF676B">
                      <w:pPr>
                        <w:spacing w:before="0"/>
                        <w:jc w:val="center"/>
                        <w:rPr>
                          <w:rFonts w:ascii="Avenir Nxt2 W1G" w:hAnsi="Avenir Nxt2 W1G"/>
                          <w:sz w:val="18"/>
                          <w:szCs w:val="14"/>
                        </w:rPr>
                      </w:pPr>
                      <w:r>
                        <w:rPr>
                          <w:lang w:val="es-ES"/>
                        </w:rPr>
                        <w:t>2023</w:t>
                      </w:r>
                    </w:p>
                  </w:txbxContent>
                </v:textbox>
              </v:shape>
            </w:pict>
          </mc:Fallback>
        </mc:AlternateContent>
      </w:r>
      <w:r w:rsidR="00AF676B" w:rsidRPr="00306331">
        <w:rPr>
          <w:szCs w:val="24"/>
        </w:rPr>
        <mc:AlternateContent>
          <mc:Choice Requires="wpg">
            <w:drawing>
              <wp:anchor distT="0" distB="0" distL="114300" distR="114300" simplePos="0" relativeHeight="251660288" behindDoc="0" locked="0" layoutInCell="1" allowOverlap="1" wp14:anchorId="481B039A" wp14:editId="64291AAD">
                <wp:simplePos x="0" y="0"/>
                <wp:positionH relativeFrom="page">
                  <wp:posOffset>2438400</wp:posOffset>
                </wp:positionH>
                <wp:positionV relativeFrom="paragraph">
                  <wp:posOffset>370840</wp:posOffset>
                </wp:positionV>
                <wp:extent cx="1885950" cy="21704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885950" cy="2170430"/>
                          <a:chOff x="0" y="0"/>
                          <a:chExt cx="1971675" cy="1998980"/>
                        </a:xfrm>
                      </wpg:grpSpPr>
                      <wps:wsp>
                        <wps:cNvPr id="1446109044" name="Straight Connector 1"/>
                        <wps:cNvCnPr/>
                        <wps:spPr>
                          <a:xfrm>
                            <a:off x="0" y="19050"/>
                            <a:ext cx="0" cy="197993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8F6485" id="Group 3" o:spid="_x0000_s1026" style="position:absolute;margin-left:192pt;margin-top:29.2pt;width:148.5pt;height:170.9pt;z-index:251660288;mso-position-horizontal-relative:page;mso-width-relative:margin;mso-height-relative:margin"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" strokecolor="#5a5a5a [2109]"/>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" strokecolor="#5a5a5a [2109]"/>
                <w10:wrap anchorx="page"/>
              </v:group>
            </w:pict>
          </mc:Fallback>
        </mc:AlternateContent>
      </w:r>
      <w:r w:rsidR="00AF676B">
        <mc:AlternateContent>
          <mc:Choice Requires="cx4">
            <w:drawing>
              <wp:inline distT="0" distB="0" distL="0" distR="0" wp14:anchorId="17036E01" wp14:editId="2EF170BC">
                <wp:extent cx="5076825" cy="2405380"/>
                <wp:effectExtent l="0" t="0" r="9525" b="1397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17036E01" wp14:editId="2EF170BC">
                <wp:extent cx="5076825" cy="2405380"/>
                <wp:effectExtent l="0" t="0" r="9525" b="1397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8"/>
                        <a:stretch>
                          <a:fillRect/>
                        </a:stretch>
                      </pic:blipFill>
                      <pic:spPr>
                        <a:xfrm>
                          <a:off x="0" y="0"/>
                          <a:ext cx="5076825" cy="2405380"/>
                        </a:xfrm>
                        <a:prstGeom prst="rect">
                          <a:avLst/>
                        </a:prstGeom>
                      </pic:spPr>
                    </pic:pic>
                  </a:graphicData>
                </a:graphic>
              </wp:inline>
            </w:drawing>
          </mc:Fallback>
        </mc:AlternateContent>
      </w:r>
    </w:p>
    <w:p w14:paraId="6B76A8B3" w14:textId="5E30E4DF" w:rsidR="00AF676B" w:rsidRPr="00E71A5E" w:rsidRDefault="00AF676B" w:rsidP="001822C3">
      <w:pPr>
        <w:spacing w:before="360"/>
        <w:rPr>
          <w:rFonts w:ascii="Calibri" w:eastAsia="SimSun" w:hAnsi="Calibri"/>
          <w:lang w:val="es-ES"/>
        </w:rPr>
      </w:pPr>
      <w:r>
        <w:rPr>
          <w:lang w:val="es-ES"/>
        </w:rPr>
        <w:t>En el</w:t>
      </w:r>
      <w:r>
        <w:rPr>
          <w:b/>
          <w:bCs/>
          <w:lang w:val="es-ES"/>
        </w:rPr>
        <w:t xml:space="preserve"> Gráfico 3 </w:t>
      </w:r>
      <w:r>
        <w:rPr>
          <w:lang w:val="es-ES"/>
        </w:rPr>
        <w:t>se detallan las ganancias y pérdidas de miembros de las Instituciones Académicas en 2024 y hasta junio de 2025. En 2024, las Instituciones Académicas registraron quince nuevos miembros y trece pérdidas, con una variación positiva de los ingresos netos de 3</w:t>
      </w:r>
      <w:r w:rsidR="009B60BB">
        <w:rPr>
          <w:lang w:val="es-ES"/>
        </w:rPr>
        <w:t> </w:t>
      </w:r>
      <w:r>
        <w:rPr>
          <w:lang w:val="es-ES"/>
        </w:rPr>
        <w:t>975</w:t>
      </w:r>
      <w:r w:rsidR="009B60BB">
        <w:rPr>
          <w:lang w:val="es-ES"/>
        </w:rPr>
        <w:t> </w:t>
      </w:r>
      <w:r>
        <w:rPr>
          <w:lang w:val="es-ES"/>
        </w:rPr>
        <w:t>CHF.</w:t>
      </w:r>
    </w:p>
    <w:p w14:paraId="4232C8F3" w14:textId="77777777" w:rsidR="00AF676B" w:rsidRPr="00E71A5E" w:rsidRDefault="00AF676B" w:rsidP="00FD693A">
      <w:pPr>
        <w:rPr>
          <w:lang w:val="es-ES"/>
        </w:rPr>
      </w:pPr>
      <w:r>
        <w:rPr>
          <w:lang w:val="es-ES"/>
        </w:rPr>
        <w:t>Las Instituciones Académicas pueden participar en los trabajos de los tres Sectores con una sola cuota y pueden contribuir a las Comisiones de Estudio de todos los Sectores. Algunos han señalado dificultades para mantener la membresía durante un período prolongado debido a las limitaciones presupuestarias.</w:t>
      </w:r>
    </w:p>
    <w:p w14:paraId="3153D7BD" w14:textId="08DED385" w:rsidR="00AF676B" w:rsidRPr="00E71A5E" w:rsidRDefault="00AF676B" w:rsidP="00FD693A">
      <w:pPr>
        <w:rPr>
          <w:lang w:val="es-ES"/>
        </w:rPr>
      </w:pPr>
      <w:r>
        <w:rPr>
          <w:lang w:val="es-ES"/>
        </w:rPr>
        <w:t xml:space="preserve">Se están realizando continuamente grandes esfuerzos de divulgación, incluso organizando visitas y reuniones informativas con las Instituciones Académicas y los Estados Miembros de la UIT interesados en promover y apoyar la adhesión a las Instituciones Académicas. Pueden encontrarse más detalles sobre las oportunidades y el compromiso actual de replicación con miembros y no miembros de instituciones académicas de la UIT en </w:t>
      </w:r>
      <w:hyperlink r:id="rId19" w:history="1">
        <w:r w:rsidRPr="00254AFD">
          <w:rPr>
            <w:rStyle w:val="Hyperlink"/>
            <w:lang w:val="es-ES"/>
          </w:rPr>
          <w:t>TDAG-25/IN</w:t>
        </w:r>
        <w:r w:rsidRPr="00254AFD">
          <w:rPr>
            <w:rStyle w:val="Hyperlink"/>
            <w:lang w:val="es-ES"/>
          </w:rPr>
          <w:t>F</w:t>
        </w:r>
        <w:r w:rsidRPr="00254AFD">
          <w:rPr>
            <w:rStyle w:val="Hyperlink"/>
            <w:lang w:val="es-ES"/>
          </w:rPr>
          <w:t>/2.</w:t>
        </w:r>
      </w:hyperlink>
    </w:p>
    <w:p w14:paraId="78882FBE" w14:textId="53140F75" w:rsidR="00AF676B" w:rsidRPr="00FD693A" w:rsidRDefault="00FD693A" w:rsidP="00FD693A">
      <w:pPr>
        <w:pStyle w:val="Heading1"/>
        <w:rPr>
          <w:rFonts w:ascii="Calibri" w:eastAsia="SimSun" w:hAnsi="Calibri" w:cs="Arial"/>
          <w:szCs w:val="24"/>
          <w:lang w:val="es-ES"/>
        </w:rPr>
      </w:pPr>
      <w:r>
        <w:rPr>
          <w:lang w:val="es-ES"/>
        </w:rPr>
        <w:t>3</w:t>
      </w:r>
      <w:r>
        <w:rPr>
          <w:lang w:val="es-ES"/>
        </w:rPr>
        <w:tab/>
      </w:r>
      <w:r w:rsidR="00AF676B">
        <w:rPr>
          <w:lang w:val="es-ES"/>
        </w:rPr>
        <w:t>Participación, retención, promoción y captación</w:t>
      </w:r>
    </w:p>
    <w:p w14:paraId="1B9C942C" w14:textId="5538E4F9"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La BDT llevó a cabo varias acciones destinadas a reforzar los </w:t>
      </w:r>
      <w:r w:rsidR="00AF676B" w:rsidRPr="00254AFD">
        <w:rPr>
          <w:b/>
          <w:bCs/>
          <w:lang w:val="es-ES"/>
        </w:rPr>
        <w:t>esfuerzos de divulgación y participación</w:t>
      </w:r>
      <w:r w:rsidR="00AF676B">
        <w:rPr>
          <w:lang w:val="es-ES"/>
        </w:rPr>
        <w:t xml:space="preserve"> mediante campañas de promoción utilizando herramientas de medios sociales y una campaña de divulgación dirigida a audiencias prospectivas en exposiciones tecnológicas mundiales. La BDT también se centró en convertir las plataformas existentes de la cartera de productos y servicios del UIT-D en canales eficaces de comunicación con los miembros. A lo largo de 2024 se celebró un mayor número de sesiones informativas (presenciales y virtuales) entre expertos temáticos y Miembros del UIT-D, lo que permitió dar a conocer mejor las esferas de participación. </w:t>
      </w:r>
    </w:p>
    <w:p w14:paraId="60ED111B" w14:textId="08140B37" w:rsidR="00AF676B" w:rsidRPr="00FD693A" w:rsidRDefault="00FD693A" w:rsidP="00FD693A">
      <w:pPr>
        <w:pStyle w:val="enumlev1"/>
        <w:rPr>
          <w:rFonts w:ascii="Calibri" w:eastAsia="SimSun" w:hAnsi="Calibri" w:cs="Calibri"/>
          <w:lang w:val="es-ES"/>
        </w:rPr>
      </w:pPr>
      <w:r w:rsidRPr="00E43EAC">
        <w:rPr>
          <w:lang w:val="es-ES"/>
        </w:rPr>
        <w:lastRenderedPageBreak/>
        <w:t>–</w:t>
      </w:r>
      <w:r>
        <w:rPr>
          <w:lang w:val="es-ES"/>
        </w:rPr>
        <w:tab/>
      </w:r>
      <w:r w:rsidR="00AF676B">
        <w:rPr>
          <w:lang w:val="es-ES"/>
        </w:rPr>
        <w:t xml:space="preserve">El </w:t>
      </w:r>
      <w:r w:rsidR="00AF676B">
        <w:rPr>
          <w:b/>
          <w:bCs/>
          <w:lang w:val="es-ES"/>
        </w:rPr>
        <w:t xml:space="preserve">Grupo Asesor de la Industria sobre Desarrollo y los Directores de Reglamentación del Sector Privado (IAGDI-CRO) </w:t>
      </w:r>
      <w:r w:rsidR="00AF676B">
        <w:rPr>
          <w:lang w:val="es-ES"/>
        </w:rPr>
        <w:t xml:space="preserve">siguieron implicando a un número cada vez mayor de Miembros de Sector del UIT-D. En particular, en 2024 se organizaron dos reuniones: </w:t>
      </w:r>
    </w:p>
    <w:p w14:paraId="01B630B3" w14:textId="394DB73C" w:rsidR="00AF676B" w:rsidRPr="00FD693A"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Consulta virtual de primavera del IAGDI-CRO, que alentó a un mayor número de contribuciones de los Miembros de Sector del UIT-D al proceso de consulta de las</w:t>
      </w:r>
      <w:r w:rsidR="009B60BB">
        <w:rPr>
          <w:lang w:val="es-ES"/>
        </w:rPr>
        <w:t> </w:t>
      </w:r>
      <w:r w:rsidR="00AF676B">
        <w:rPr>
          <w:lang w:val="es-ES"/>
        </w:rPr>
        <w:t xml:space="preserve">Directrices sobre prácticas idóneas del Simposio Mundial para Organismos Reguladores (GSR-24) y recabó ideas sobre la definición de los temas para la reunión principal del IAGDI-CRO durante el GSR-24. El Informe de la Presidencia puede consultarse aquí. </w:t>
      </w:r>
    </w:p>
    <w:p w14:paraId="4576E81E" w14:textId="2A4C62AE" w:rsidR="00AF676B" w:rsidRPr="00E71A5E"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 xml:space="preserve">Reunión del IAGDI-CRO durante el Simposio Mundial para Organismos Reguladores (GSR-24) en Kampala (Uganda). El interés y el compromiso de los Miembros de Sector del UIT-D quedaron demostrados por sus contribuciones y por el número récord de participantes. La Declaración Final de la reunión y el Informe del Presidente pueden consultarse aquí. La próxima reunión del IAGDI-CRO tendrá lugar el </w:t>
      </w:r>
      <w:r w:rsidR="00AF676B">
        <w:rPr>
          <w:b/>
          <w:bCs/>
          <w:lang w:val="es-ES"/>
        </w:rPr>
        <w:t>2 de septiembre de 2025</w:t>
      </w:r>
      <w:r w:rsidR="00AF676B">
        <w:rPr>
          <w:lang w:val="es-ES"/>
        </w:rPr>
        <w:t xml:space="preserve"> en Riad (Reino de Arabia Saudita) durante el GSR-25. </w:t>
      </w:r>
    </w:p>
    <w:p w14:paraId="7DB39D5D" w14:textId="64828D80"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Además, por primera vez, el </w:t>
      </w:r>
      <w:r w:rsidR="00AF676B">
        <w:rPr>
          <w:b/>
          <w:bCs/>
          <w:lang w:val="es-ES"/>
        </w:rPr>
        <w:t xml:space="preserve">IAGDI-CRO </w:t>
      </w:r>
      <w:r w:rsidR="00AF676B">
        <w:rPr>
          <w:lang w:val="es-ES"/>
        </w:rPr>
        <w:t>organizó dos c</w:t>
      </w:r>
      <w:r w:rsidR="00AF676B">
        <w:rPr>
          <w:b/>
          <w:bCs/>
          <w:lang w:val="es-ES"/>
        </w:rPr>
        <w:t>harlas técnicas en febrero de 2025</w:t>
      </w:r>
      <w:r w:rsidR="00AF676B">
        <w:rPr>
          <w:lang w:val="es-ES"/>
        </w:rPr>
        <w:t xml:space="preserve">, cada una de ellas alineada con los </w:t>
      </w:r>
      <w:r w:rsidR="00AF676B">
        <w:rPr>
          <w:b/>
          <w:bCs/>
          <w:lang w:val="es-ES"/>
        </w:rPr>
        <w:t>temas de las Comisiones de Estudio 1 y 2 del UIT-D</w:t>
      </w:r>
      <w:r w:rsidR="00AF676B">
        <w:rPr>
          <w:lang w:val="es-ES"/>
        </w:rPr>
        <w:t>, respectivamente. Fomentó una colaboración más estrecha entre los Miembros de Sector del UIT-D y la dirección de las Comisiones de Estudio del UIT-D y los miembros del UIT-D, e inspiró debates con visión de futuro sobre las tendencias y tecnologías digitales de vanguardia que podrían configurar la labor futura del UIT-D, incluida la elaboración de nuevas Cuestiones de las Comisiones de Estudio que se adoptarán en la CMDT-25.</w:t>
      </w:r>
    </w:p>
    <w:p w14:paraId="6EA90127" w14:textId="4D704C2B" w:rsidR="00AF676B" w:rsidRPr="00E71A5E"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 xml:space="preserve">Los informes de la </w:t>
      </w:r>
      <w:r w:rsidR="00AF676B">
        <w:rPr>
          <w:b/>
          <w:bCs/>
          <w:lang w:val="es-ES"/>
        </w:rPr>
        <w:t>CHARLA TÉCNICA</w:t>
      </w:r>
      <w:r w:rsidR="00AF676B">
        <w:rPr>
          <w:lang w:val="es-ES"/>
        </w:rPr>
        <w:t xml:space="preserve"> sobre un </w:t>
      </w:r>
      <w:r w:rsidR="00AF676B">
        <w:rPr>
          <w:b/>
          <w:bCs/>
          <w:lang w:val="es-ES"/>
        </w:rPr>
        <w:t xml:space="preserve">entorno propicio para una conectividad efectiva </w:t>
      </w:r>
      <w:r w:rsidR="00AF676B">
        <w:rPr>
          <w:lang w:val="es-ES"/>
        </w:rPr>
        <w:t>y de la</w:t>
      </w:r>
      <w:r w:rsidR="00AF676B">
        <w:rPr>
          <w:b/>
          <w:bCs/>
          <w:lang w:val="es-ES"/>
        </w:rPr>
        <w:t xml:space="preserve"> CHARLA TÉCNICA sobre la transformación digital</w:t>
      </w:r>
      <w:r w:rsidR="00AF676B">
        <w:rPr>
          <w:lang w:val="es-ES"/>
        </w:rPr>
        <w:t xml:space="preserve"> se presentaron a las</w:t>
      </w:r>
      <w:r w:rsidR="009B60BB">
        <w:rPr>
          <w:lang w:val="es-ES"/>
        </w:rPr>
        <w:t> </w:t>
      </w:r>
      <w:r w:rsidR="00AF676B">
        <w:rPr>
          <w:lang w:val="es-ES"/>
        </w:rPr>
        <w:t xml:space="preserve">Cuestiones de la CE del GT-GADT-futuro y se tomó nota con satisfacción. Los informes de cada TECH TALKS se pueden encontrar </w:t>
      </w:r>
      <w:r w:rsidR="00AF676B">
        <w:fldChar w:fldCharType="begin"/>
      </w:r>
      <w:r w:rsidR="00AF676B" w:rsidRPr="00AF676B">
        <w:rPr>
          <w:lang w:val="es-ES"/>
        </w:rPr>
        <w:instrText>HYPERLINK "https://www.itu.int/en/ITU-D/MembersPartners/Pages/tech-talks.aspx"</w:instrText>
      </w:r>
      <w:r w:rsidR="00AF676B">
        <w:fldChar w:fldCharType="separate"/>
      </w:r>
      <w:r w:rsidR="00AF676B" w:rsidRPr="004A7637">
        <w:rPr>
          <w:rStyle w:val="Hyperlink"/>
          <w:lang w:val="es-ES"/>
        </w:rPr>
        <w:t>aquí</w:t>
      </w:r>
      <w:r w:rsidR="00AF676B">
        <w:fldChar w:fldCharType="end"/>
      </w:r>
      <w:r w:rsidR="00AF676B">
        <w:rPr>
          <w:lang w:val="es-ES"/>
        </w:rPr>
        <w:t>.</w:t>
      </w:r>
    </w:p>
    <w:p w14:paraId="649E257C" w14:textId="16DE6F6E"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La BDT siguió reconociendo a los Miembros del UIT-D mediante una sesión especial </w:t>
      </w:r>
      <w:r w:rsidR="00AF676B">
        <w:rPr>
          <w:b/>
          <w:bCs/>
          <w:lang w:val="es-ES"/>
        </w:rPr>
        <w:t>durante la reunión del GADT-24</w:t>
      </w:r>
      <w:r w:rsidR="00AF676B">
        <w:rPr>
          <w:lang w:val="es-ES"/>
        </w:rPr>
        <w:t>, en la que se reconocieron y celebraron las importantes contribuciones de los Miembros y socios del UIT-D a la labor del UIT-D. Además, la BDT sigue promocionando a</w:t>
      </w:r>
      <w:r w:rsidR="00AF676B">
        <w:rPr>
          <w:b/>
          <w:bCs/>
          <w:lang w:val="es-ES"/>
        </w:rPr>
        <w:t xml:space="preserve"> nuevos miembros</w:t>
      </w:r>
      <w:r w:rsidR="00AF676B">
        <w:rPr>
          <w:lang w:val="es-ES"/>
        </w:rPr>
        <w:t xml:space="preserve"> en las redes sociales, incluyendo</w:t>
      </w:r>
      <w:r w:rsidR="00AF676B">
        <w:rPr>
          <w:b/>
          <w:bCs/>
          <w:lang w:val="es-ES"/>
        </w:rPr>
        <w:t xml:space="preserve"> testimonios </w:t>
      </w:r>
      <w:r w:rsidR="00AF676B">
        <w:rPr>
          <w:lang w:val="es-ES"/>
        </w:rPr>
        <w:t xml:space="preserve">en vídeo que sirven de reconocimiento a nuestros miembros y de atracción de nuevos prospectos. </w:t>
      </w:r>
    </w:p>
    <w:p w14:paraId="2210EAAD" w14:textId="6FC3642C" w:rsidR="00AF676B" w:rsidRPr="00E71A5E" w:rsidRDefault="00FD693A" w:rsidP="00FD693A">
      <w:pPr>
        <w:pStyle w:val="enumlev1"/>
        <w:rPr>
          <w:lang w:val="es-ES"/>
        </w:rPr>
      </w:pPr>
      <w:r w:rsidRPr="00E43EAC">
        <w:rPr>
          <w:lang w:val="es-ES"/>
        </w:rPr>
        <w:t>–</w:t>
      </w:r>
      <w:r>
        <w:rPr>
          <w:lang w:val="es-ES"/>
        </w:rPr>
        <w:tab/>
      </w:r>
      <w:r w:rsidR="00AF676B">
        <w:rPr>
          <w:lang w:val="es-ES"/>
        </w:rPr>
        <w:t xml:space="preserve">En 2024, la BDT siguió organizando </w:t>
      </w:r>
      <w:r w:rsidR="00AF676B">
        <w:rPr>
          <w:b/>
          <w:bCs/>
          <w:lang w:val="es-ES"/>
        </w:rPr>
        <w:t>sesiones informativas virtuales</w:t>
      </w:r>
      <w:r w:rsidR="00AF676B">
        <w:rPr>
          <w:lang w:val="es-ES"/>
        </w:rPr>
        <w:t xml:space="preserve"> y </w:t>
      </w:r>
      <w:r w:rsidR="00AF676B">
        <w:rPr>
          <w:b/>
          <w:bCs/>
          <w:lang w:val="es-ES"/>
        </w:rPr>
        <w:t>visitas a la Sede de la UIT</w:t>
      </w:r>
      <w:r w:rsidR="00AF676B">
        <w:rPr>
          <w:lang w:val="es-ES"/>
        </w:rPr>
        <w:t xml:space="preserve"> con varios Miembros de Sector, Asociados, Instituciones Académicas y potenciales del UIT-D, a fin de presentar los beneficios y oportunidades de participación de los miembros en el UIT-D. </w:t>
      </w:r>
    </w:p>
    <w:p w14:paraId="7E07C683" w14:textId="064AB583" w:rsidR="00AF676B" w:rsidRPr="00E71A5E" w:rsidRDefault="00FD693A" w:rsidP="00FD693A">
      <w:pPr>
        <w:pStyle w:val="enumlev1"/>
        <w:rPr>
          <w:lang w:val="es-ES"/>
        </w:rPr>
      </w:pPr>
      <w:r w:rsidRPr="00E43EAC">
        <w:rPr>
          <w:lang w:val="es-ES"/>
        </w:rPr>
        <w:t>–</w:t>
      </w:r>
      <w:r>
        <w:rPr>
          <w:lang w:val="es-ES"/>
        </w:rPr>
        <w:tab/>
      </w:r>
      <w:r w:rsidR="00AF676B">
        <w:rPr>
          <w:lang w:val="es-ES"/>
        </w:rPr>
        <w:t xml:space="preserve">Además, y en consonancia con la estrategia de movilización de recursos refrendada por el Consejo en su reunión de 2024 (Documento </w:t>
      </w:r>
      <w:hyperlink r:id="rId20" w:history="1">
        <w:r w:rsidR="00AF676B" w:rsidRPr="00690025">
          <w:rPr>
            <w:rStyle w:val="Hyperlink"/>
            <w:lang w:val="es-ES"/>
          </w:rPr>
          <w:t>C24/7</w:t>
        </w:r>
        <w:r w:rsidR="00AF676B" w:rsidRPr="00690025">
          <w:rPr>
            <w:rStyle w:val="Hyperlink"/>
            <w:lang w:val="es-ES"/>
          </w:rPr>
          <w:t>0</w:t>
        </w:r>
      </w:hyperlink>
      <w:r w:rsidR="00AF676B">
        <w:rPr>
          <w:lang w:val="es-ES"/>
        </w:rPr>
        <w:t xml:space="preserve">), el Grupo de Trabajo del Consejo sobre Recursos Humanos y Financieros (GTC-RHF), en su vigésima reunión (17-19 de febrero de 2025) acordó una Declaración de Coordinación </w:t>
      </w:r>
      <w:hyperlink r:id="rId21" w:history="1">
        <w:r w:rsidR="00AF676B" w:rsidRPr="00595B74">
          <w:rPr>
            <w:rStyle w:val="Hyperlink"/>
            <w:lang w:val="es-ES"/>
          </w:rPr>
          <w:t>CWG-FHR-20/20(Re</w:t>
        </w:r>
        <w:r w:rsidR="00AF676B" w:rsidRPr="00595B74">
          <w:rPr>
            <w:rStyle w:val="Hyperlink"/>
            <w:lang w:val="es-ES"/>
          </w:rPr>
          <w:t>v</w:t>
        </w:r>
        <w:r w:rsidR="00AF676B" w:rsidRPr="00595B74">
          <w:rPr>
            <w:rStyle w:val="Hyperlink"/>
            <w:lang w:val="es-ES"/>
          </w:rPr>
          <w:t>.1)</w:t>
        </w:r>
      </w:hyperlink>
      <w:r w:rsidR="00AF676B">
        <w:rPr>
          <w:lang w:val="es-ES"/>
        </w:rPr>
        <w:t>, que se envió a cada Grupo Asesor de Sector, en la que se invita a los Sectores a consultar a los miembros de cada Sector sobre la forma de reforzar la participación y los ingresos de los Miembros de Sector</w:t>
      </w:r>
      <w:r w:rsidR="009B60BB">
        <w:rPr>
          <w:lang w:val="es-ES"/>
        </w:rPr>
        <w:t xml:space="preserve"> </w:t>
      </w:r>
      <w:r w:rsidR="00AF676B">
        <w:rPr>
          <w:lang w:val="es-ES"/>
        </w:rPr>
        <w:t>y</w:t>
      </w:r>
      <w:r w:rsidR="009B60BB">
        <w:rPr>
          <w:lang w:val="es-ES"/>
        </w:rPr>
        <w:t xml:space="preserve"> a</w:t>
      </w:r>
      <w:r w:rsidR="00AF676B">
        <w:rPr>
          <w:lang w:val="es-ES"/>
        </w:rPr>
        <w:t xml:space="preserve"> que informen de sus conclusiones al GTC-RHF en septiembre de</w:t>
      </w:r>
      <w:r w:rsidR="009B60BB">
        <w:rPr>
          <w:lang w:val="es-ES"/>
        </w:rPr>
        <w:t> </w:t>
      </w:r>
      <w:r w:rsidR="00AF676B">
        <w:rPr>
          <w:lang w:val="es-ES"/>
        </w:rPr>
        <w:t xml:space="preserve">2025. La Declaración de Coordinación se adjunta como </w:t>
      </w:r>
      <w:r w:rsidR="00AF676B">
        <w:rPr>
          <w:b/>
          <w:bCs/>
          <w:lang w:val="es-ES"/>
        </w:rPr>
        <w:t>Anexo 1</w:t>
      </w:r>
      <w:r w:rsidR="00AF676B">
        <w:rPr>
          <w:lang w:val="es-ES"/>
        </w:rPr>
        <w:t xml:space="preserve"> al presente documento.</w:t>
      </w:r>
    </w:p>
    <w:p w14:paraId="0B577D5D" w14:textId="2450DDD4" w:rsidR="00AF676B" w:rsidRPr="00E71A5E" w:rsidRDefault="00FD693A" w:rsidP="00FD693A">
      <w:pPr>
        <w:pStyle w:val="Heading1"/>
        <w:rPr>
          <w:rFonts w:ascii="Calibri" w:eastAsia="SimSun" w:hAnsi="Calibri" w:cs="Arial"/>
          <w:szCs w:val="24"/>
          <w:lang w:val="es-ES"/>
        </w:rPr>
      </w:pPr>
      <w:r>
        <w:rPr>
          <w:lang w:val="es-ES"/>
        </w:rPr>
        <w:lastRenderedPageBreak/>
        <w:t>4</w:t>
      </w:r>
      <w:r>
        <w:rPr>
          <w:lang w:val="es-ES"/>
        </w:rPr>
        <w:tab/>
      </w:r>
      <w:r w:rsidR="00AF676B">
        <w:rPr>
          <w:lang w:val="es-ES"/>
        </w:rPr>
        <w:t xml:space="preserve">Coordinación interna y mejora de los procesos en 2024 </w:t>
      </w:r>
    </w:p>
    <w:p w14:paraId="3671104F" w14:textId="77777777" w:rsidR="00AF676B" w:rsidRPr="00E71A5E" w:rsidRDefault="00AF676B" w:rsidP="00FD693A">
      <w:pPr>
        <w:rPr>
          <w:rFonts w:ascii="Calibri" w:eastAsia="SimSun" w:hAnsi="Calibri" w:cs="Arial"/>
          <w:szCs w:val="24"/>
          <w:lang w:val="es-ES"/>
        </w:rPr>
      </w:pPr>
      <w:r>
        <w:rPr>
          <w:lang w:val="es-ES"/>
        </w:rPr>
        <w:t>La BDT se coordina continuamente internamente con los demás Sectores y con la Secretaría General (SPM) para mejorar los procesos efectivos a fin de mejorar la experiencia de los miembros mediante:</w:t>
      </w:r>
    </w:p>
    <w:p w14:paraId="2A8B7108" w14:textId="0BB5EF25" w:rsidR="00AF676B" w:rsidRPr="00E71A5E" w:rsidRDefault="00FD693A" w:rsidP="00FD693A">
      <w:pPr>
        <w:pStyle w:val="enumlev1"/>
        <w:rPr>
          <w:rFonts w:ascii="Calibri" w:eastAsia="SimSun" w:hAnsi="Calibri" w:cs="Arial"/>
          <w:szCs w:val="24"/>
          <w:lang w:val="es-ES"/>
        </w:rPr>
      </w:pPr>
      <w:r w:rsidRPr="00E43EAC">
        <w:rPr>
          <w:lang w:val="es-ES"/>
        </w:rPr>
        <w:t>–</w:t>
      </w:r>
      <w:r>
        <w:rPr>
          <w:lang w:val="es-ES"/>
        </w:rPr>
        <w:tab/>
      </w:r>
      <w:r w:rsidR="00AF676B">
        <w:rPr>
          <w:lang w:val="es-ES"/>
        </w:rPr>
        <w:t>Intensificar los esfuerzos para mejorar la experiencia de incorporación de los nuevos miembros e implicar a los equipos de expertos para garantizar el compromiso con los productos y servicios del UIT-D.</w:t>
      </w:r>
    </w:p>
    <w:p w14:paraId="427BFA93" w14:textId="5DA41A9B" w:rsidR="00AF676B" w:rsidRPr="00E71A5E" w:rsidRDefault="00FD693A" w:rsidP="00FD693A">
      <w:pPr>
        <w:pStyle w:val="enumlev1"/>
        <w:rPr>
          <w:rFonts w:ascii="Calibri" w:eastAsia="SimSun" w:hAnsi="Calibri" w:cs="Arial"/>
          <w:szCs w:val="24"/>
          <w:lang w:val="es-ES"/>
        </w:rPr>
      </w:pPr>
      <w:r w:rsidRPr="00E43EAC">
        <w:rPr>
          <w:lang w:val="es-ES"/>
        </w:rPr>
        <w:t>–</w:t>
      </w:r>
      <w:r>
        <w:rPr>
          <w:lang w:val="es-ES"/>
        </w:rPr>
        <w:tab/>
      </w:r>
      <w:r w:rsidR="00AF676B">
        <w:rPr>
          <w:lang w:val="es-ES"/>
        </w:rPr>
        <w:t>Renovación del sitio web de los miembros con contenido renovado, una presentación más clara de los beneficios y procesos de solicitud simplificados para alentar a los clientes potenciales a convertirse en miembros.</w:t>
      </w:r>
    </w:p>
    <w:p w14:paraId="2948BBDC" w14:textId="7B9DA70A" w:rsidR="00AF676B" w:rsidRPr="00E71A5E" w:rsidRDefault="00FD693A" w:rsidP="00FD693A">
      <w:pPr>
        <w:pStyle w:val="enumlev1"/>
        <w:rPr>
          <w:rFonts w:ascii="Calibri" w:eastAsia="SimSun" w:hAnsi="Calibri" w:cs="Arial"/>
          <w:szCs w:val="24"/>
          <w:lang w:val="es-ES"/>
        </w:rPr>
      </w:pPr>
      <w:r w:rsidRPr="00E43EAC">
        <w:rPr>
          <w:lang w:val="es-ES"/>
        </w:rPr>
        <w:t>–</w:t>
      </w:r>
      <w:r>
        <w:rPr>
          <w:lang w:val="es-ES"/>
        </w:rPr>
        <w:tab/>
      </w:r>
      <w:r w:rsidR="00AF676B">
        <w:rPr>
          <w:lang w:val="es-ES"/>
        </w:rPr>
        <w:t>Coordinar con otros Sectores y la Secretaría General las formas de fortalecer la participación y los ingresos de los Miembros de Sector, en consonancia con la estrategia de movilización de recursos aprobada por el Consejo de 2024.</w:t>
      </w:r>
    </w:p>
    <w:p w14:paraId="665BB452" w14:textId="70E4C221" w:rsidR="00AF676B" w:rsidRPr="008701D5" w:rsidRDefault="00FD693A" w:rsidP="00FD693A">
      <w:pPr>
        <w:pStyle w:val="Heading1"/>
        <w:rPr>
          <w:rFonts w:ascii="Calibri" w:eastAsia="SimSun" w:hAnsi="Calibri" w:cs="Arial"/>
          <w:b w:val="0"/>
          <w:bCs/>
          <w:szCs w:val="24"/>
        </w:rPr>
      </w:pPr>
      <w:r>
        <w:rPr>
          <w:bCs/>
          <w:lang w:val="es-ES"/>
        </w:rPr>
        <w:t>5</w:t>
      </w:r>
      <w:r>
        <w:rPr>
          <w:bCs/>
          <w:lang w:val="es-ES"/>
        </w:rPr>
        <w:tab/>
      </w:r>
      <w:r w:rsidR="00AF676B">
        <w:rPr>
          <w:bCs/>
          <w:lang w:val="es-ES"/>
        </w:rPr>
        <w:t>Conclusiones</w:t>
      </w:r>
    </w:p>
    <w:p w14:paraId="67219FFA" w14:textId="77777777" w:rsidR="00AF676B" w:rsidRPr="00E71A5E" w:rsidRDefault="00AF676B" w:rsidP="00FD693A">
      <w:pPr>
        <w:rPr>
          <w:rFonts w:ascii="Calibri" w:eastAsia="SimSun" w:hAnsi="Calibri"/>
          <w:lang w:val="es-ES"/>
        </w:rPr>
      </w:pPr>
      <w:r>
        <w:rPr>
          <w:lang w:val="es-ES"/>
        </w:rPr>
        <w:t>La BDT se compromete a:</w:t>
      </w:r>
    </w:p>
    <w:p w14:paraId="10033322" w14:textId="328E17B9" w:rsidR="00AF676B" w:rsidRPr="00E71A5E" w:rsidRDefault="00FD693A" w:rsidP="00FD693A">
      <w:pPr>
        <w:pStyle w:val="enumlev1"/>
        <w:rPr>
          <w:rFonts w:ascii="Calibri" w:eastAsia="SimSun" w:hAnsi="Calibri"/>
          <w:lang w:val="es-ES"/>
        </w:rPr>
      </w:pPr>
      <w:r>
        <w:rPr>
          <w:lang w:val="es-ES"/>
        </w:rPr>
        <w:t>a)</w:t>
      </w:r>
      <w:r>
        <w:rPr>
          <w:lang w:val="es-ES"/>
        </w:rPr>
        <w:tab/>
      </w:r>
      <w:r w:rsidR="00AF676B">
        <w:rPr>
          <w:lang w:val="es-ES"/>
        </w:rPr>
        <w:t>Seguir amplificando la participación efectiva de los miembros del UIT-D en la aplicación del Plan de Acción de Kigali a través de sesiones informativas, misiones oficiales, sesiones de</w:t>
      </w:r>
      <w:r w:rsidR="009B60BB">
        <w:rPr>
          <w:lang w:val="es-ES"/>
        </w:rPr>
        <w:t> </w:t>
      </w:r>
      <w:r w:rsidR="00AF676B">
        <w:rPr>
          <w:lang w:val="es-ES"/>
        </w:rPr>
        <w:t>TECH TALKS, y demostrando valor y forjando alianzas para desbloquear recursos destinados a proyectos e iniciativas de gran repercusión.</w:t>
      </w:r>
    </w:p>
    <w:p w14:paraId="65CD55BF" w14:textId="4D046E01" w:rsidR="00AF676B" w:rsidRPr="00E71A5E" w:rsidRDefault="00FD693A" w:rsidP="00FD693A">
      <w:pPr>
        <w:pStyle w:val="enumlev1"/>
        <w:rPr>
          <w:rFonts w:ascii="Calibri" w:eastAsia="SimSun" w:hAnsi="Calibri"/>
          <w:szCs w:val="24"/>
          <w:lang w:val="es-ES"/>
        </w:rPr>
      </w:pPr>
      <w:r>
        <w:rPr>
          <w:lang w:val="es-ES"/>
        </w:rPr>
        <w:t>b)</w:t>
      </w:r>
      <w:r>
        <w:rPr>
          <w:lang w:val="es-ES"/>
        </w:rPr>
        <w:tab/>
      </w:r>
      <w:r w:rsidR="00AF676B">
        <w:rPr>
          <w:lang w:val="es-ES"/>
        </w:rPr>
        <w:t>Promover una mayor participación y compromiso de los miembros no activos en los productos y servicios del UIT-D, incluidos eventos y plataformas como las Comisiones de Estudio del UIT-D, el Simposio Mundial para Organismos Reguladores (GSR), la Academia de la UIT, los Foros Regionales de Desarrollo (FRD), las Reuniones Preparatorias Regionales (RPR) y la Conferencia Mundial de Desarrollo de las Telecomunicaciones de 2025 (CMDT</w:t>
      </w:r>
      <w:r>
        <w:rPr>
          <w:lang w:val="es-ES"/>
        </w:rPr>
        <w:noBreakHyphen/>
      </w:r>
      <w:r w:rsidR="00AF676B">
        <w:rPr>
          <w:lang w:val="es-ES"/>
        </w:rPr>
        <w:t>25).</w:t>
      </w:r>
    </w:p>
    <w:p w14:paraId="115F7BA6" w14:textId="47B01D2D" w:rsidR="00AF676B" w:rsidRPr="00E71A5E" w:rsidRDefault="00FD693A" w:rsidP="00FD693A">
      <w:pPr>
        <w:pStyle w:val="enumlev1"/>
        <w:rPr>
          <w:rFonts w:ascii="Calibri" w:eastAsia="SimSun" w:hAnsi="Calibri"/>
          <w:lang w:val="es-ES"/>
        </w:rPr>
      </w:pPr>
      <w:r>
        <w:rPr>
          <w:lang w:val="es-ES"/>
        </w:rPr>
        <w:t>c)</w:t>
      </w:r>
      <w:r>
        <w:rPr>
          <w:lang w:val="es-ES"/>
        </w:rPr>
        <w:tab/>
      </w:r>
      <w:r w:rsidR="00AF676B">
        <w:rPr>
          <w:lang w:val="es-ES"/>
        </w:rPr>
        <w:t>Recabar información y comentarios de los miembros del UIT-D sobre el perfeccionamiento de herramientas, procesos y otros servicios.</w:t>
      </w:r>
    </w:p>
    <w:p w14:paraId="17173B11" w14:textId="368DD1CB" w:rsidR="00AF676B" w:rsidRPr="008701D5" w:rsidRDefault="00FD693A" w:rsidP="00FD693A">
      <w:pPr>
        <w:pStyle w:val="Heading1"/>
        <w:rPr>
          <w:rFonts w:ascii="Calibri" w:eastAsia="SimSun" w:hAnsi="Calibri" w:cs="Arial"/>
          <w:b w:val="0"/>
          <w:bCs/>
          <w:szCs w:val="24"/>
        </w:rPr>
      </w:pPr>
      <w:r>
        <w:rPr>
          <w:bCs/>
          <w:lang w:val="es-ES"/>
        </w:rPr>
        <w:t>6</w:t>
      </w:r>
      <w:r>
        <w:rPr>
          <w:bCs/>
          <w:lang w:val="es-ES"/>
        </w:rPr>
        <w:tab/>
      </w:r>
      <w:r w:rsidR="00AF676B">
        <w:rPr>
          <w:bCs/>
          <w:lang w:val="es-ES"/>
        </w:rPr>
        <w:t>Solicitud de apoyo</w:t>
      </w:r>
    </w:p>
    <w:p w14:paraId="7141B1A5" w14:textId="77777777" w:rsidR="00AF676B" w:rsidRPr="00E71A5E" w:rsidRDefault="00AF676B" w:rsidP="00FD693A">
      <w:pPr>
        <w:rPr>
          <w:rFonts w:ascii="Calibri" w:eastAsia="SimSun" w:hAnsi="Calibri"/>
          <w:lang w:val="es-ES"/>
        </w:rPr>
      </w:pPr>
      <w:r>
        <w:rPr>
          <w:lang w:val="es-ES"/>
        </w:rPr>
        <w:t>Se invita a los miembros del UIT-D a implicarse y promover los beneficios de sumarse a los trabajos del UIT-D, y a abogar por la participación y el compromiso de los sectores público y privado, la industria y las universidades en la CMDT-25. También se les anima a completar la diligencia debida de las nuevas solicitudes de manera oportuna para que las entidades solicitantes puedan seguir motivadas para completar juntos el proceso de afiliación para la transformación digital en las diversas plataformas del UIT-D.</w:t>
      </w:r>
    </w:p>
    <w:p w14:paraId="0049092C" w14:textId="77777777" w:rsidR="00AF676B" w:rsidRPr="00E71A5E" w:rsidRDefault="00AF676B" w:rsidP="00AF676B">
      <w:pPr>
        <w:tabs>
          <w:tab w:val="clear" w:pos="794"/>
          <w:tab w:val="clear" w:pos="1191"/>
          <w:tab w:val="clear" w:pos="1588"/>
          <w:tab w:val="clear" w:pos="1985"/>
        </w:tabs>
        <w:overflowPunct/>
        <w:autoSpaceDE/>
        <w:autoSpaceDN/>
        <w:adjustRightInd/>
        <w:spacing w:before="0"/>
        <w:textAlignment w:val="auto"/>
        <w:rPr>
          <w:rFonts w:ascii="Calibri" w:eastAsia="SimSun" w:hAnsi="Calibri"/>
          <w:lang w:val="es-ES"/>
        </w:rPr>
      </w:pPr>
      <w:r w:rsidRPr="00E71A5E">
        <w:rPr>
          <w:rFonts w:ascii="Calibri" w:eastAsia="SimSun" w:hAnsi="Calibri"/>
          <w:lang w:val="es-ES"/>
        </w:rPr>
        <w:br w:type="page"/>
      </w:r>
    </w:p>
    <w:p w14:paraId="0CF184C6" w14:textId="77777777" w:rsidR="00AF676B" w:rsidRDefault="00AF676B" w:rsidP="00AF676B">
      <w:pPr>
        <w:pStyle w:val="Source"/>
        <w:spacing w:before="120" w:after="120"/>
        <w:rPr>
          <w:rFonts w:cstheme="minorHAnsi"/>
          <w:sz w:val="24"/>
          <w:szCs w:val="24"/>
        </w:rPr>
      </w:pPr>
      <w:r w:rsidRPr="00ED5AA3">
        <w:rPr>
          <w:rFonts w:cstheme="minorHAnsi"/>
          <w:sz w:val="24"/>
          <w:szCs w:val="24"/>
        </w:rPr>
        <w:lastRenderedPageBreak/>
        <w:t>ANNEX 1 to Document TDAG-25/8</w:t>
      </w:r>
    </w:p>
    <w:p w14:paraId="287F64B8" w14:textId="77777777" w:rsidR="00AF676B" w:rsidRDefault="00AF676B" w:rsidP="00AF676B">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22" w:history="1">
        <w:r w:rsidRPr="00ED5AA3">
          <w:rPr>
            <w:rFonts w:eastAsia="SimSun" w:cstheme="minorHAnsi"/>
            <w:color w:val="0563C1"/>
            <w:szCs w:val="24"/>
            <w:u w:val="single"/>
          </w:rPr>
          <w:t>CWG-FHR-20/</w:t>
        </w:r>
        <w:r w:rsidRPr="00ED5AA3">
          <w:rPr>
            <w:rFonts w:eastAsia="SimSun" w:cstheme="minorHAnsi"/>
            <w:color w:val="0563C1"/>
            <w:szCs w:val="24"/>
            <w:u w:val="single"/>
          </w:rPr>
          <w:t>2</w:t>
        </w:r>
        <w:r w:rsidRPr="00ED5AA3">
          <w:rPr>
            <w:rFonts w:eastAsia="SimSun" w:cstheme="minorHAnsi"/>
            <w:color w:val="0563C1"/>
            <w:szCs w:val="24"/>
            <w:u w:val="single"/>
          </w:rPr>
          <w:t>0(Rev.1)</w:t>
        </w:r>
      </w:hyperlink>
    </w:p>
    <w:p w14:paraId="3A479EF5"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Abstract</w:t>
      </w:r>
    </w:p>
    <w:p w14:paraId="68A9E977" w14:textId="77777777" w:rsidR="00AF676B" w:rsidRPr="00ED5AA3" w:rsidRDefault="00AF676B" w:rsidP="00AF676B">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596E7543"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Keywords</w:t>
      </w:r>
    </w:p>
    <w:p w14:paraId="7D956EEB" w14:textId="77777777" w:rsidR="00AF676B" w:rsidRPr="00ED5AA3" w:rsidRDefault="00AF676B" w:rsidP="00AF676B">
      <w:pPr>
        <w:spacing w:after="120"/>
        <w:textAlignment w:val="auto"/>
        <w:rPr>
          <w:rFonts w:cstheme="minorHAnsi"/>
          <w:szCs w:val="24"/>
        </w:rPr>
      </w:pPr>
      <w:r w:rsidRPr="00ED5AA3">
        <w:rPr>
          <w:rFonts w:cstheme="minorHAnsi"/>
          <w:szCs w:val="24"/>
        </w:rPr>
        <w:t>Sector Membership, rights and benefits, revenues</w:t>
      </w:r>
    </w:p>
    <w:p w14:paraId="68CD1691" w14:textId="77777777" w:rsidR="00AF676B" w:rsidRPr="00ED5AA3" w:rsidRDefault="00AF676B" w:rsidP="00AF676B">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1EE7B9C8"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3ACEDFDC" w14:textId="77777777" w:rsidR="00AF676B" w:rsidRPr="00ED5AA3" w:rsidRDefault="00AF676B" w:rsidP="00AF676B">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3" w:history="1">
        <w:r w:rsidRPr="00ED5AA3">
          <w:rPr>
            <w:rFonts w:cstheme="minorHAnsi"/>
            <w:color w:val="0563C1"/>
            <w:szCs w:val="24"/>
            <w:u w:val="single"/>
          </w:rPr>
          <w:t>C24/70</w:t>
        </w:r>
      </w:hyperlink>
      <w:r w:rsidRPr="00ED5AA3">
        <w:rPr>
          <w:rFonts w:cstheme="minorHAnsi"/>
          <w:szCs w:val="24"/>
        </w:rPr>
        <w:t xml:space="preserve">). This strategy was endorsed. </w:t>
      </w:r>
    </w:p>
    <w:p w14:paraId="2D6EC939" w14:textId="77777777" w:rsidR="00AF676B" w:rsidRPr="00ED5AA3" w:rsidRDefault="00AF676B" w:rsidP="00AF676B">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E2A626E" w14:textId="77777777" w:rsidR="00AF676B" w:rsidRPr="007C1BC1" w:rsidRDefault="00AF676B" w:rsidP="00AF676B">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71993D1C" w14:textId="77777777" w:rsidR="00EC6FED" w:rsidRPr="00D8041C" w:rsidRDefault="00EC6FED" w:rsidP="00AF676B">
      <w:pPr>
        <w:pStyle w:val="Reasons"/>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8058" w14:textId="77777777" w:rsidR="004E6BB1" w:rsidRDefault="004E6BB1">
      <w:r>
        <w:separator/>
      </w:r>
    </w:p>
  </w:endnote>
  <w:endnote w:type="continuationSeparator" w:id="0">
    <w:p w14:paraId="7282A55E" w14:textId="77777777" w:rsidR="004E6BB1" w:rsidRDefault="004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venir Nxt2 W1G">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AF676B"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A5017B4" w:rsidR="004B6F0B" w:rsidRPr="00AF676B" w:rsidRDefault="00AF676B" w:rsidP="004B6F0B">
          <w:pPr>
            <w:pStyle w:val="FirstFooter"/>
            <w:rPr>
              <w:sz w:val="18"/>
              <w:szCs w:val="18"/>
              <w:highlight w:val="yellow"/>
              <w:lang w:val="es-ES"/>
            </w:rPr>
          </w:pPr>
          <w:r w:rsidRPr="00AF676B">
            <w:rPr>
              <w:sz w:val="18"/>
              <w:szCs w:val="18"/>
              <w:lang w:val="es-ES"/>
            </w:rPr>
            <w:t>Sr. Marco Obiso, Jefe en funciones del Departamento de Asociaciones para el Desarrollo Digital, Oficina de Desarrollo de las Telecomunicaciones</w:t>
          </w:r>
        </w:p>
      </w:tc>
    </w:tr>
    <w:tr w:rsidR="004B6F0B" w:rsidRPr="00CB110F" w14:paraId="68C18A92" w14:textId="77777777" w:rsidTr="005539C3">
      <w:tc>
        <w:tcPr>
          <w:tcW w:w="993" w:type="dxa"/>
        </w:tcPr>
        <w:p w14:paraId="3EE46271" w14:textId="77777777" w:rsidR="004B6F0B" w:rsidRPr="00AF676B"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7C189BAB" w:rsidR="004B6F0B" w:rsidRPr="009359B8" w:rsidRDefault="00AF676B" w:rsidP="00AF676B">
          <w:pPr>
            <w:pStyle w:val="FirstFooter"/>
            <w:rPr>
              <w:sz w:val="18"/>
              <w:szCs w:val="18"/>
              <w:highlight w:val="yellow"/>
              <w:lang w:val="en-US"/>
            </w:rPr>
          </w:pPr>
          <w:r w:rsidRPr="00AF676B">
            <w:rPr>
              <w:sz w:val="18"/>
              <w:szCs w:val="18"/>
              <w:lang w:val="es-ES"/>
            </w:rPr>
            <w:t>+41 22 730 5900</w:t>
          </w:r>
        </w:p>
      </w:tc>
    </w:tr>
    <w:tr w:rsidR="004B6F0B" w:rsidRPr="00AF676B"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04C87969" w:rsidR="004B6F0B" w:rsidRPr="00AF676B" w:rsidRDefault="00AF676B" w:rsidP="00AF676B">
          <w:pPr>
            <w:pStyle w:val="FirstFooter"/>
            <w:rPr>
              <w:rStyle w:val="Hyperlink"/>
            </w:rPr>
          </w:pPr>
          <w:hyperlink r:id="rId1" w:history="1">
            <w:r w:rsidRPr="00AF676B">
              <w:rPr>
                <w:rStyle w:val="Hyperlink"/>
                <w:sz w:val="18"/>
                <w:szCs w:val="22"/>
                <w:lang w:val="es-ES"/>
              </w:rPr>
              <w:t xml:space="preserve">eun-ju.kim@itu.int </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72457" w14:textId="77777777" w:rsidR="004E6BB1" w:rsidRDefault="004E6BB1">
      <w:r>
        <w:t>____________________</w:t>
      </w:r>
    </w:p>
  </w:footnote>
  <w:footnote w:type="continuationSeparator" w:id="0">
    <w:p w14:paraId="51948B36" w14:textId="77777777" w:rsidR="004E6BB1" w:rsidRDefault="004E6BB1">
      <w:r>
        <w:continuationSeparator/>
      </w:r>
    </w:p>
  </w:footnote>
  <w:footnote w:id="1">
    <w:p w14:paraId="3EF5B541" w14:textId="2604FF26" w:rsidR="00AF676B" w:rsidRPr="00E71A5E" w:rsidRDefault="00AF676B" w:rsidP="00AF676B">
      <w:pPr>
        <w:pStyle w:val="FootnoteText"/>
        <w:keepLines w:val="0"/>
        <w:spacing w:before="0"/>
        <w:ind w:left="0" w:firstLine="0"/>
        <w:rPr>
          <w:sz w:val="20"/>
          <w:lang w:val="es-ES"/>
        </w:rPr>
      </w:pPr>
      <w:r w:rsidRPr="004B0CA1">
        <w:rPr>
          <w:rStyle w:val="FootnoteReference"/>
          <w:sz w:val="20"/>
          <w:lang w:val="es-ES"/>
        </w:rPr>
        <w:footnoteRef/>
      </w:r>
      <w:r>
        <w:rPr>
          <w:lang w:val="es-ES"/>
        </w:rPr>
        <w:tab/>
      </w:r>
      <w:r w:rsidRPr="00AF676B">
        <w:rPr>
          <w:szCs w:val="24"/>
          <w:lang w:val="es-ES"/>
        </w:rPr>
        <w:t>Hace referencia a la Resolución 169 (Guadalajara, 2010) de la Conferencia de Plenipotenciarios (PP-10), que autorizó a la nueva categoría de Instituciones Académicas a participar en los trabajos de la UIT.</w:t>
      </w:r>
    </w:p>
  </w:footnote>
  <w:footnote w:id="2">
    <w:p w14:paraId="071CCCEE" w14:textId="6203FAEA" w:rsidR="00AF676B" w:rsidRPr="00E71A5E" w:rsidRDefault="00AF676B" w:rsidP="00AF676B">
      <w:pPr>
        <w:pStyle w:val="FootnoteText"/>
        <w:keepLines w:val="0"/>
        <w:spacing w:before="0"/>
        <w:ind w:left="0" w:firstLine="0"/>
        <w:rPr>
          <w:sz w:val="20"/>
          <w:lang w:val="es-ES"/>
        </w:rPr>
      </w:pPr>
      <w:r w:rsidRPr="004B0CA1">
        <w:rPr>
          <w:rStyle w:val="FootnoteReference"/>
          <w:sz w:val="20"/>
          <w:lang w:val="es-ES"/>
        </w:rPr>
        <w:footnoteRef/>
      </w:r>
      <w:r>
        <w:rPr>
          <w:lang w:val="es-ES"/>
        </w:rPr>
        <w:tab/>
      </w:r>
      <w:r w:rsidRPr="00AF676B">
        <w:rPr>
          <w:szCs w:val="24"/>
          <w:lang w:val="es-ES"/>
        </w:rPr>
        <w:t>Resolución 71 (Rev. Kigali, 2022), "Fortalecimiento de la cooperación entre los Estados Miembros, Miembros de Sector, Asociados e Instituciones Académicas del Sector de Desarrollo de las Telecomunicaciones de la UIT y evolución del papel del sector privado en el Sector de Desarrollo de las Telecomunicaciones de la UIT".</w:t>
      </w:r>
    </w:p>
  </w:footnote>
  <w:footnote w:id="3">
    <w:p w14:paraId="76EE833A" w14:textId="17D320BE" w:rsidR="00AF676B" w:rsidRPr="00E71A5E" w:rsidRDefault="00AF676B" w:rsidP="00AF676B">
      <w:pPr>
        <w:pStyle w:val="FootnoteText"/>
        <w:spacing w:before="0"/>
        <w:ind w:left="0" w:firstLine="0"/>
        <w:rPr>
          <w:sz w:val="20"/>
          <w:lang w:val="es-ES"/>
        </w:rPr>
      </w:pPr>
      <w:r w:rsidRPr="004B0CA1">
        <w:rPr>
          <w:rStyle w:val="FootnoteReference"/>
          <w:sz w:val="20"/>
          <w:lang w:val="es-ES"/>
        </w:rPr>
        <w:footnoteRef/>
      </w:r>
      <w:r w:rsidR="009B60BB">
        <w:rPr>
          <w:lang w:val="es-ES"/>
        </w:rPr>
        <w:tab/>
      </w:r>
      <w:r w:rsidRPr="009B60BB">
        <w:rPr>
          <w:lang w:val="es-ES"/>
        </w:rPr>
        <w:t>Las Instituciones Académicas miembros participan en los trabajos de los tres Sectores de la UIT, incluidos sus Grupos Asesores. También participan en otras conferencias mundiales y regionales, talleres y actividades de la 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543DA17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AF676B">
      <w:rPr>
        <w:sz w:val="22"/>
        <w:szCs w:val="22"/>
        <w:lang w:val="de-CH"/>
      </w:rPr>
      <w:t>8</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2C0B4D4E"/>
    <w:multiLevelType w:val="multilevel"/>
    <w:tmpl w:val="87F442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4804612"/>
    <w:multiLevelType w:val="hybridMultilevel"/>
    <w:tmpl w:val="BEDC8A66"/>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num w:numId="1" w16cid:durableId="1532918067">
    <w:abstractNumId w:val="3"/>
  </w:num>
  <w:num w:numId="2" w16cid:durableId="800226017">
    <w:abstractNumId w:val="2"/>
  </w:num>
  <w:num w:numId="3" w16cid:durableId="183442487">
    <w:abstractNumId w:val="1"/>
  </w:num>
  <w:num w:numId="4" w16cid:durableId="807673512">
    <w:abstractNumId w:val="5"/>
  </w:num>
  <w:num w:numId="5" w16cid:durableId="214508714">
    <w:abstractNumId w:val="0"/>
  </w:num>
  <w:num w:numId="6" w16cid:durableId="1458984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4BCF"/>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2C3"/>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A53"/>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6BB1"/>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325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1A62"/>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6787C"/>
    <w:rsid w:val="009716D1"/>
    <w:rsid w:val="00975786"/>
    <w:rsid w:val="00981CB7"/>
    <w:rsid w:val="00983E1F"/>
    <w:rsid w:val="00993F46"/>
    <w:rsid w:val="00997358"/>
    <w:rsid w:val="009A452B"/>
    <w:rsid w:val="009B050C"/>
    <w:rsid w:val="009B087F"/>
    <w:rsid w:val="009B2AF4"/>
    <w:rsid w:val="009B60BB"/>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676B"/>
    <w:rsid w:val="00AF7C86"/>
    <w:rsid w:val="00B01046"/>
    <w:rsid w:val="00B20B58"/>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0262"/>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386F"/>
    <w:rsid w:val="00F03590"/>
    <w:rsid w:val="00F03622"/>
    <w:rsid w:val="00F077FD"/>
    <w:rsid w:val="00F204F3"/>
    <w:rsid w:val="00F218AB"/>
    <w:rsid w:val="00F238B3"/>
    <w:rsid w:val="00F24FED"/>
    <w:rsid w:val="00F25586"/>
    <w:rsid w:val="00F2651D"/>
    <w:rsid w:val="00F27362"/>
    <w:rsid w:val="00F27C53"/>
    <w:rsid w:val="00F31498"/>
    <w:rsid w:val="00F32FEF"/>
    <w:rsid w:val="00F41B1C"/>
    <w:rsid w:val="00F42E13"/>
    <w:rsid w:val="00F42F1C"/>
    <w:rsid w:val="00F43B44"/>
    <w:rsid w:val="00F440E5"/>
    <w:rsid w:val="00F448F6"/>
    <w:rsid w:val="00F52741"/>
    <w:rsid w:val="00F53D8A"/>
    <w:rsid w:val="00F544E3"/>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D693A"/>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Index,Style 12,(NECG) Footnote Reference,Style 13,Appel note de bas de p,Style 124,fr,o,Style 3,FR,Style 17,Footnote Reference/,Style 6,Style 7,Style 4,Footnote Reference1,Appel note de bas de p + 11 pt,Italic,Footnote,Ref"/>
    <w:basedOn w:val="DefaultParagraphFont"/>
    <w:uiPriority w:val="99"/>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Figure">
    <w:name w:val="Figure"/>
    <w:basedOn w:val="Figurelegend"/>
    <w:rsid w:val="00EF386F"/>
    <w:rPr>
      <w:rFonts w:eastAsia="SimSun"/>
      <w:noProo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5-CWGFHR20-C-0020/es" TargetMode="External"/><Relationship Id="rId7" Type="http://schemas.openxmlformats.org/officeDocument/2006/relationships/settings" Target="settings.xml"/><Relationship Id="rId12" Type="http://schemas.openxmlformats.org/officeDocument/2006/relationships/image" Target="media/image2.jpeg"/><Relationship Id="rId17" Type="http://schemas.microsoft.com/office/2014/relationships/chartEx" Target="charts/chartEx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32-INF-0001/es" TargetMode="External"/><Relationship Id="rId20" Type="http://schemas.openxmlformats.org/officeDocument/2006/relationships/hyperlink" Target="https://www.itu.int/md/S24-CL-C-0070/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md/S24-CL-C-0070/en" TargetMode="External"/><Relationship Id="rId10" Type="http://schemas.openxmlformats.org/officeDocument/2006/relationships/endnotes" Target="endnotes.xml"/><Relationship Id="rId19" Type="http://schemas.openxmlformats.org/officeDocument/2006/relationships/hyperlink" Target="https://www.itu.int/md/D22-TDAG32-INF-0002/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md/S25-CWGFHR20-C-0020/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1000">
                <a:solidFill>
                  <a:sysClr val="windowText" lastClr="000000"/>
                </a:solidFill>
                <a:latin typeface="Avenir Nxt2 W1G Demi" panose="020B0703020202020204" pitchFamily="34" charset="0"/>
              </a:rPr>
              <a:t>Gráfico</a:t>
            </a:r>
            <a:r>
              <a:rPr lang="en-GB" sz="1000" baseline="0">
                <a:solidFill>
                  <a:sysClr val="windowText" lastClr="000000"/>
                </a:solidFill>
                <a:latin typeface="Avenir Nxt2 W1G Demi" panose="020B0703020202020204" pitchFamily="34" charset="0"/>
              </a:rPr>
              <a:t> </a:t>
            </a:r>
            <a:r>
              <a:rPr lang="en-GB" sz="1000">
                <a:solidFill>
                  <a:sysClr val="windowText" lastClr="000000"/>
                </a:solidFill>
                <a:latin typeface="Avenir Nxt2 W1G Demi" panose="020B0703020202020204" pitchFamily="34" charset="0"/>
              </a:rPr>
              <a:t>1. </a:t>
            </a:r>
            <a:r>
              <a:rPr lang="en-GB" sz="1000">
                <a:solidFill>
                  <a:sysClr val="windowText" lastClr="000000"/>
                </a:solidFill>
              </a:rPr>
              <a:t>Evolución</a:t>
            </a:r>
            <a:r>
              <a:rPr lang="en-GB" sz="1000" baseline="0">
                <a:solidFill>
                  <a:sysClr val="windowText" lastClr="000000"/>
                </a:solidFill>
              </a:rPr>
              <a:t> de los miembros del UIT-D </a:t>
            </a:r>
            <a:r>
              <a:rPr lang="en-GB" sz="700">
                <a:solidFill>
                  <a:sysClr val="windowText" lastClr="000000"/>
                </a:solidFill>
              </a:rPr>
              <a:t>*proyección para junio de 2025</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GB"/>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Instituciones Académicas afiliadas</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8D9-4E99-A8EA-79A303412B4B}"/>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38D9-4E99-A8EA-79A303412B4B}"/>
                </c:ext>
              </c:extLst>
            </c:dLbl>
            <c:dLbl>
              <c:idx val="4"/>
              <c:delete val="1"/>
              <c:extLst>
                <c:ext xmlns:c15="http://schemas.microsoft.com/office/drawing/2012/chart" uri="{CE6537A1-D6FC-4f65-9D91-7224C49458BB}"/>
                <c:ext xmlns:c16="http://schemas.microsoft.com/office/drawing/2014/chart" uri="{C3380CC4-5D6E-409C-BE32-E72D297353CC}">
                  <c16:uniqueId val="{00000002-38D9-4E99-A8EA-79A303412B4B}"/>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38D9-4E99-A8EA-79A303412B4B}"/>
                </c:ext>
              </c:extLst>
            </c:dLbl>
            <c:dLbl>
              <c:idx val="8"/>
              <c:delete val="1"/>
              <c:extLst>
                <c:ext xmlns:c15="http://schemas.microsoft.com/office/drawing/2012/chart" uri="{CE6537A1-D6FC-4f65-9D91-7224C49458BB}"/>
                <c:ext xmlns:c16="http://schemas.microsoft.com/office/drawing/2014/chart" uri="{C3380CC4-5D6E-409C-BE32-E72D297353CC}">
                  <c16:uniqueId val="{00000004-38D9-4E99-A8EA-79A303412B4B}"/>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38D9-4E99-A8EA-79A303412B4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6-38D9-4E99-A8EA-79A303412B4B}"/>
            </c:ext>
          </c:extLst>
        </c:ser>
        <c:ser>
          <c:idx val="0"/>
          <c:order val="1"/>
          <c:tx>
            <c:strRef>
              <c:f>Sheet1!$B$1</c:f>
              <c:strCache>
                <c:ptCount val="1"/>
                <c:pt idx="0">
                  <c:v>Miembros de Sector</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8-38D9-4E99-A8EA-79A303412B4B}"/>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9-38D9-4E99-A8EA-79A303412B4B}"/>
            </c:ext>
          </c:extLst>
        </c:ser>
        <c:ser>
          <c:idx val="1"/>
          <c:order val="2"/>
          <c:tx>
            <c:strRef>
              <c:f>Sheet1!$C$1</c:f>
              <c:strCache>
                <c:ptCount val="1"/>
                <c:pt idx="0">
                  <c:v>Asociados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B-38D9-4E99-A8EA-79A303412B4B}"/>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C-38D9-4E99-A8EA-79A303412B4B}"/>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D-38D9-4E99-A8EA-79A303412B4B}"/>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layout>
        <c:manualLayout>
          <c:xMode val="edge"/>
          <c:yMode val="edge"/>
          <c:x val="0.7211129917171567"/>
          <c:y val="0.3543996552669722"/>
          <c:w val="0.2601954194977964"/>
          <c:h val="0.155893759548713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General">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900" b="1" i="0" u="none" strike="noStrike" baseline="0">
                <a:solidFill>
                  <a:schemeClr val="tx1">
                    <a:lumMod val="95000"/>
                    <a:lumOff val="5000"/>
                  </a:schemeClr>
                </a:solidFill>
                <a:latin typeface="Calibri" panose="020F0502020204030204"/>
              </a:rPr>
              <a:t>Gráfico 2. </a:t>
            </a:r>
            <a:r>
              <a:rPr lang="en-US" sz="900" b="0" i="0" u="none" strike="noStrike" baseline="0">
                <a:solidFill>
                  <a:schemeClr val="tx1">
                    <a:lumMod val="95000"/>
                    <a:lumOff val="5000"/>
                  </a:schemeClr>
                </a:solidFill>
                <a:latin typeface="Calibri" panose="020F0502020204030204"/>
              </a:rPr>
              <a:t>Miembros de Sector y Asociados del UIT-D: cifras absolutas *proyección para junio de 2025</a:t>
            </a: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Gráfico 3.</a:t>
            </a:r>
            <a:r>
              <a:rPr lang="en-US" sz="800" b="0" i="0" u="none" strike="noStrike" baseline="0">
                <a:solidFill>
                  <a:sysClr val="windowText" lastClr="000000"/>
                </a:solidFill>
                <a:latin typeface="Avenir Nxt2 W1G" panose="020B0503020202020204" pitchFamily="34" charset="0"/>
              </a:rPr>
              <a:t> Instuciones Académicas de la UIT: Cifras absolutas con proyección para junio de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07DFB3F7-CBD4-4A16-A87C-5BF968FF39E7}"/>
</file>

<file path=docProps/app.xml><?xml version="1.0" encoding="utf-8"?>
<Properties xmlns="http://schemas.openxmlformats.org/officeDocument/2006/extended-properties" xmlns:vt="http://schemas.openxmlformats.org/officeDocument/2006/docPropsVTypes">
  <Template>Normal.dotm</Template>
  <TotalTime>57</TotalTime>
  <Pages>8</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7</cp:revision>
  <cp:lastPrinted>2014-11-04T09:22:00Z</cp:lastPrinted>
  <dcterms:created xsi:type="dcterms:W3CDTF">2025-04-28T13:36:00Z</dcterms:created>
  <dcterms:modified xsi:type="dcterms:W3CDTF">2025-04-28T14:45:00Z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