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403C69" w14:paraId="5DAEA62E" w14:textId="77777777" w:rsidTr="000D6EAB">
        <w:trPr>
          <w:cantSplit/>
          <w:trHeight w:val="1276"/>
        </w:trPr>
        <w:tc>
          <w:tcPr>
            <w:tcW w:w="1985" w:type="dxa"/>
          </w:tcPr>
          <w:p w14:paraId="0BDE4AA3" w14:textId="77777777" w:rsidR="00AE1244" w:rsidRPr="00CB76A2" w:rsidRDefault="000E1F4F" w:rsidP="00A259A2">
            <w:pPr>
              <w:spacing w:after="40"/>
              <w:rPr>
                <w:b/>
                <w:bCs/>
                <w:sz w:val="30"/>
                <w:szCs w:val="30"/>
              </w:rPr>
            </w:pPr>
            <w:r>
              <w:rPr>
                <w:b/>
                <w:bCs/>
                <w:noProof/>
                <w:sz w:val="30"/>
                <w:szCs w:val="30"/>
              </w:rPr>
              <w:drawing>
                <wp:inline distT="0" distB="0" distL="0" distR="0" wp14:anchorId="1E8901F6" wp14:editId="48109648">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69E21652" w14:textId="2BACF9B2" w:rsidR="008E1A73" w:rsidRPr="00F723AC" w:rsidRDefault="008E1A73" w:rsidP="002978E6">
            <w:pPr>
              <w:tabs>
                <w:tab w:val="clear" w:pos="1134"/>
              </w:tabs>
              <w:spacing w:before="240" w:after="240" w:line="240" w:lineRule="atLeast"/>
              <w:ind w:left="34"/>
              <w:rPr>
                <w:b/>
                <w:bCs/>
                <w:sz w:val="30"/>
                <w:szCs w:val="30"/>
              </w:rPr>
            </w:pPr>
            <w:r w:rsidRPr="00CB76A2">
              <w:rPr>
                <w:b/>
                <w:bCs/>
                <w:sz w:val="30"/>
                <w:szCs w:val="30"/>
              </w:rPr>
              <w:t>Консультативная группа</w:t>
            </w:r>
            <w:r w:rsidRPr="00CB76A2">
              <w:rPr>
                <w:b/>
                <w:bCs/>
                <w:sz w:val="30"/>
                <w:szCs w:val="30"/>
              </w:rPr>
              <w:br/>
              <w:t>по развитию электросвязи (КГРЭ)</w:t>
            </w:r>
          </w:p>
          <w:p w14:paraId="217F3017" w14:textId="77777777" w:rsidR="00AE1244" w:rsidRPr="00EB4AE6" w:rsidRDefault="00AE1244" w:rsidP="00294BF6">
            <w:pPr>
              <w:tabs>
                <w:tab w:val="clear" w:pos="1134"/>
              </w:tabs>
              <w:spacing w:after="48" w:line="240" w:lineRule="atLeast"/>
              <w:ind w:left="34"/>
              <w:rPr>
                <w:b/>
                <w:bCs/>
                <w:szCs w:val="22"/>
              </w:rPr>
            </w:pPr>
            <w:r w:rsidRPr="00EB4AE6">
              <w:rPr>
                <w:rFonts w:cstheme="minorHAnsi"/>
                <w:b/>
                <w:bCs/>
                <w:szCs w:val="22"/>
                <w:lang w:eastAsia="zh-CN"/>
              </w:rPr>
              <w:t>32-е собрание, Женева, Швейцария, 12–16 мая 2025 года</w:t>
            </w:r>
          </w:p>
        </w:tc>
        <w:tc>
          <w:tcPr>
            <w:tcW w:w="1384" w:type="dxa"/>
          </w:tcPr>
          <w:p w14:paraId="2764B634" w14:textId="77777777" w:rsidR="00AE1244" w:rsidRPr="00403C69" w:rsidRDefault="00AE1244" w:rsidP="00303F7C">
            <w:pPr>
              <w:spacing w:before="240" w:after="120"/>
              <w:jc w:val="right"/>
              <w:rPr>
                <w:rFonts w:cstheme="minorHAnsi"/>
              </w:rPr>
            </w:pPr>
            <w:bookmarkStart w:id="0" w:name="ditulogo"/>
            <w:bookmarkEnd w:id="0"/>
            <w:r>
              <w:rPr>
                <w:noProof/>
                <w:lang w:val="fr-FR" w:eastAsia="fr-FR"/>
              </w:rPr>
              <w:drawing>
                <wp:inline distT="0" distB="0" distL="0" distR="0" wp14:anchorId="38332E3E" wp14:editId="1E81CCB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0E46C400" w14:textId="77777777" w:rsidTr="005C3173">
        <w:trPr>
          <w:cantSplit/>
        </w:trPr>
        <w:tc>
          <w:tcPr>
            <w:tcW w:w="6663" w:type="dxa"/>
            <w:gridSpan w:val="2"/>
            <w:tcBorders>
              <w:top w:val="single" w:sz="12" w:space="0" w:color="auto"/>
            </w:tcBorders>
          </w:tcPr>
          <w:p w14:paraId="102A22E2" w14:textId="77777777" w:rsidR="00D83BF5" w:rsidRPr="00403C69"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3B88E85B" w14:textId="77777777" w:rsidR="00D83BF5" w:rsidRPr="00403C69" w:rsidRDefault="00D83BF5" w:rsidP="00CE66E4">
            <w:pPr>
              <w:spacing w:before="0"/>
              <w:rPr>
                <w:rFonts w:cstheme="minorHAnsi"/>
                <w:sz w:val="20"/>
              </w:rPr>
            </w:pPr>
          </w:p>
        </w:tc>
      </w:tr>
      <w:tr w:rsidR="00D87035" w:rsidRPr="00403C69" w14:paraId="516101A9" w14:textId="77777777" w:rsidTr="005C3173">
        <w:trPr>
          <w:cantSplit/>
          <w:trHeight w:val="23"/>
        </w:trPr>
        <w:tc>
          <w:tcPr>
            <w:tcW w:w="6663" w:type="dxa"/>
            <w:gridSpan w:val="2"/>
            <w:shd w:val="clear" w:color="auto" w:fill="auto"/>
          </w:tcPr>
          <w:p w14:paraId="4BD9FEC7" w14:textId="77777777" w:rsidR="00D87035" w:rsidRPr="00403C69"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050FFCC7" w14:textId="7AC4DD31" w:rsidR="00D87035" w:rsidRPr="005E032D" w:rsidRDefault="005E032D" w:rsidP="00CE66E4">
            <w:pPr>
              <w:tabs>
                <w:tab w:val="left" w:pos="851"/>
              </w:tabs>
              <w:spacing w:before="0"/>
              <w:rPr>
                <w:rFonts w:cstheme="minorHAnsi"/>
                <w:szCs w:val="22"/>
                <w:lang w:val="en-US"/>
              </w:rPr>
            </w:pPr>
            <w:r w:rsidRPr="005E032D">
              <w:rPr>
                <w:b/>
                <w:bCs/>
                <w:szCs w:val="22"/>
              </w:rPr>
              <w:t>Документ</w:t>
            </w:r>
            <w:r w:rsidR="00D87035" w:rsidRPr="005E032D">
              <w:rPr>
                <w:b/>
                <w:bCs/>
                <w:szCs w:val="22"/>
                <w:lang w:val="en-US"/>
              </w:rPr>
              <w:t xml:space="preserve"> </w:t>
            </w:r>
            <w:bookmarkStart w:id="4" w:name="DocRef1"/>
            <w:bookmarkEnd w:id="4"/>
            <w:r w:rsidR="00D87035" w:rsidRPr="005E032D">
              <w:rPr>
                <w:b/>
                <w:bCs/>
                <w:szCs w:val="22"/>
                <w:lang w:val="en-US"/>
              </w:rPr>
              <w:t>TDAG-</w:t>
            </w:r>
            <w:r w:rsidR="00523934" w:rsidRPr="005E032D">
              <w:rPr>
                <w:b/>
                <w:bCs/>
                <w:szCs w:val="22"/>
                <w:lang w:val="en-US"/>
              </w:rPr>
              <w:t>2</w:t>
            </w:r>
            <w:r w:rsidR="0081159E" w:rsidRPr="005E032D">
              <w:rPr>
                <w:b/>
                <w:bCs/>
                <w:szCs w:val="22"/>
                <w:lang w:val="en-US"/>
              </w:rPr>
              <w:t>5</w:t>
            </w:r>
            <w:r w:rsidR="00D87035" w:rsidRPr="005E032D">
              <w:rPr>
                <w:b/>
                <w:bCs/>
                <w:szCs w:val="22"/>
                <w:lang w:val="en-US"/>
              </w:rPr>
              <w:t>/</w:t>
            </w:r>
            <w:bookmarkStart w:id="5" w:name="DocNo1"/>
            <w:bookmarkEnd w:id="5"/>
            <w:r w:rsidR="00F304B4">
              <w:rPr>
                <w:b/>
                <w:bCs/>
                <w:szCs w:val="22"/>
                <w:lang w:val="en-US"/>
              </w:rPr>
              <w:t>8</w:t>
            </w:r>
            <w:r w:rsidR="00D87035" w:rsidRPr="005E032D">
              <w:rPr>
                <w:b/>
                <w:bCs/>
                <w:szCs w:val="22"/>
                <w:lang w:val="en-US"/>
              </w:rPr>
              <w:t>-</w:t>
            </w:r>
            <w:r w:rsidRPr="005E032D">
              <w:rPr>
                <w:b/>
                <w:bCs/>
                <w:szCs w:val="22"/>
                <w:lang w:val="en-US"/>
              </w:rPr>
              <w:t>R</w:t>
            </w:r>
          </w:p>
        </w:tc>
      </w:tr>
      <w:tr w:rsidR="00D87035" w:rsidRPr="00403C69" w14:paraId="5F3C20DA" w14:textId="77777777" w:rsidTr="005C3173">
        <w:trPr>
          <w:cantSplit/>
          <w:trHeight w:val="23"/>
        </w:trPr>
        <w:tc>
          <w:tcPr>
            <w:tcW w:w="6663" w:type="dxa"/>
            <w:gridSpan w:val="2"/>
            <w:shd w:val="clear" w:color="auto" w:fill="auto"/>
          </w:tcPr>
          <w:p w14:paraId="1189800C" w14:textId="77777777" w:rsidR="00D87035" w:rsidRPr="00403C69"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6302030E" w14:textId="1A94B5F0" w:rsidR="00D87035" w:rsidRPr="005E032D" w:rsidRDefault="00F304B4" w:rsidP="00CE66E4">
            <w:pPr>
              <w:spacing w:before="0"/>
              <w:rPr>
                <w:rFonts w:cstheme="minorHAnsi"/>
                <w:szCs w:val="22"/>
              </w:rPr>
            </w:pPr>
            <w:r>
              <w:rPr>
                <w:b/>
                <w:bCs/>
                <w:szCs w:val="22"/>
                <w:lang w:val="en-US"/>
              </w:rPr>
              <w:t xml:space="preserve">31 </w:t>
            </w:r>
            <w:r>
              <w:rPr>
                <w:b/>
                <w:bCs/>
                <w:szCs w:val="22"/>
              </w:rPr>
              <w:t>марта</w:t>
            </w:r>
            <w:r w:rsidR="0081159E" w:rsidRPr="005E032D">
              <w:rPr>
                <w:b/>
                <w:bCs/>
                <w:szCs w:val="22"/>
              </w:rPr>
              <w:t xml:space="preserve"> </w:t>
            </w:r>
            <w:r w:rsidR="002955DA" w:rsidRPr="005E032D">
              <w:rPr>
                <w:b/>
                <w:bCs/>
                <w:szCs w:val="22"/>
              </w:rPr>
              <w:t>2025</w:t>
            </w:r>
            <w:r w:rsidR="005E032D" w:rsidRPr="005E032D">
              <w:rPr>
                <w:b/>
                <w:bCs/>
                <w:szCs w:val="22"/>
              </w:rPr>
              <w:t xml:space="preserve"> года</w:t>
            </w:r>
          </w:p>
        </w:tc>
      </w:tr>
      <w:bookmarkEnd w:id="6"/>
      <w:bookmarkEnd w:id="7"/>
      <w:tr w:rsidR="00D87035" w:rsidRPr="00403C69" w14:paraId="55A97346" w14:textId="77777777" w:rsidTr="005C3173">
        <w:trPr>
          <w:cantSplit/>
          <w:trHeight w:val="23"/>
        </w:trPr>
        <w:tc>
          <w:tcPr>
            <w:tcW w:w="6663" w:type="dxa"/>
            <w:gridSpan w:val="2"/>
            <w:shd w:val="clear" w:color="auto" w:fill="auto"/>
          </w:tcPr>
          <w:p w14:paraId="20C53333" w14:textId="77777777" w:rsidR="00D87035" w:rsidRPr="00403C69" w:rsidRDefault="00D87035" w:rsidP="00CE66E4">
            <w:pPr>
              <w:tabs>
                <w:tab w:val="left" w:pos="851"/>
              </w:tabs>
              <w:spacing w:before="0"/>
              <w:rPr>
                <w:rFonts w:cstheme="minorHAnsi"/>
                <w:szCs w:val="24"/>
              </w:rPr>
            </w:pPr>
          </w:p>
        </w:tc>
        <w:tc>
          <w:tcPr>
            <w:tcW w:w="3368" w:type="dxa"/>
            <w:gridSpan w:val="2"/>
          </w:tcPr>
          <w:p w14:paraId="4849E380" w14:textId="77777777" w:rsidR="00D87035" w:rsidRPr="005E032D" w:rsidRDefault="005E032D" w:rsidP="00CE66E4">
            <w:pPr>
              <w:tabs>
                <w:tab w:val="left" w:pos="993"/>
              </w:tabs>
              <w:spacing w:before="0"/>
              <w:rPr>
                <w:rFonts w:cstheme="minorHAnsi"/>
                <w:b/>
                <w:szCs w:val="22"/>
              </w:rPr>
            </w:pPr>
            <w:r w:rsidRPr="005E032D">
              <w:rPr>
                <w:b/>
                <w:bCs/>
                <w:szCs w:val="22"/>
              </w:rPr>
              <w:t>Оригинал</w:t>
            </w:r>
            <w:r w:rsidR="00D87035" w:rsidRPr="005E032D">
              <w:rPr>
                <w:b/>
                <w:bCs/>
                <w:szCs w:val="22"/>
              </w:rPr>
              <w:t xml:space="preserve">: </w:t>
            </w:r>
            <w:r w:rsidRPr="005E032D">
              <w:rPr>
                <w:b/>
                <w:bCs/>
                <w:szCs w:val="22"/>
              </w:rPr>
              <w:t>английский</w:t>
            </w:r>
          </w:p>
        </w:tc>
      </w:tr>
      <w:tr w:rsidR="00D83BF5" w:rsidRPr="00403C69" w14:paraId="158D2ACA" w14:textId="77777777" w:rsidTr="00D87035">
        <w:trPr>
          <w:cantSplit/>
          <w:trHeight w:val="23"/>
        </w:trPr>
        <w:tc>
          <w:tcPr>
            <w:tcW w:w="10031" w:type="dxa"/>
            <w:gridSpan w:val="4"/>
            <w:shd w:val="clear" w:color="auto" w:fill="auto"/>
          </w:tcPr>
          <w:p w14:paraId="60B83319" w14:textId="275439BF" w:rsidR="00D83BF5" w:rsidRPr="005E032D" w:rsidRDefault="00F304B4" w:rsidP="006774C6">
            <w:pPr>
              <w:pStyle w:val="Source"/>
            </w:pPr>
            <w:bookmarkStart w:id="8" w:name="dbluepink" w:colFirst="0" w:colLast="0"/>
            <w:bookmarkStart w:id="9" w:name="dorlang" w:colFirst="1" w:colLast="1"/>
            <w:r w:rsidRPr="00F304B4">
              <w:t>Директор Бюро развития электросвязи</w:t>
            </w:r>
          </w:p>
        </w:tc>
      </w:tr>
      <w:tr w:rsidR="00D83BF5" w:rsidRPr="00403C69" w14:paraId="5529D351" w14:textId="77777777" w:rsidTr="00D87035">
        <w:trPr>
          <w:cantSplit/>
          <w:trHeight w:val="23"/>
        </w:trPr>
        <w:tc>
          <w:tcPr>
            <w:tcW w:w="10031" w:type="dxa"/>
            <w:gridSpan w:val="4"/>
            <w:shd w:val="clear" w:color="auto" w:fill="auto"/>
            <w:vAlign w:val="center"/>
          </w:tcPr>
          <w:p w14:paraId="63AF3FA7" w14:textId="35B9CA81" w:rsidR="00D83BF5" w:rsidRPr="005E032D" w:rsidRDefault="00F304B4" w:rsidP="006774C6">
            <w:pPr>
              <w:pStyle w:val="Title1"/>
              <w:rPr>
                <w:caps/>
              </w:rPr>
            </w:pPr>
            <w:r w:rsidRPr="00F304B4">
              <w:t xml:space="preserve">Члены Сектора, Ассоциированные члены </w:t>
            </w:r>
            <w:r w:rsidR="00D42A26">
              <w:br/>
            </w:r>
            <w:r w:rsidRPr="00F304B4">
              <w:t>и Академические организации − Члены МСЭ</w:t>
            </w:r>
            <w:r>
              <w:noBreakHyphen/>
            </w:r>
            <w:r w:rsidRPr="00F304B4">
              <w:t>D</w:t>
            </w:r>
          </w:p>
        </w:tc>
      </w:tr>
      <w:tr w:rsidR="00D83BF5" w:rsidRPr="00403C69" w14:paraId="54FD4EE0" w14:textId="77777777" w:rsidTr="00D87035">
        <w:trPr>
          <w:cantSplit/>
          <w:trHeight w:val="23"/>
        </w:trPr>
        <w:tc>
          <w:tcPr>
            <w:tcW w:w="10031" w:type="dxa"/>
            <w:gridSpan w:val="4"/>
            <w:tcBorders>
              <w:bottom w:val="single" w:sz="4" w:space="0" w:color="auto"/>
            </w:tcBorders>
            <w:shd w:val="clear" w:color="auto" w:fill="auto"/>
          </w:tcPr>
          <w:p w14:paraId="409CA89C" w14:textId="77777777" w:rsidR="00D83BF5" w:rsidRPr="00403C69" w:rsidRDefault="00D83BF5" w:rsidP="00403C69">
            <w:pPr>
              <w:pStyle w:val="Title1"/>
              <w:spacing w:before="120" w:after="120"/>
              <w:jc w:val="left"/>
              <w:rPr>
                <w:rFonts w:cs="Times New Roman Bold"/>
                <w:caps/>
                <w:szCs w:val="28"/>
              </w:rPr>
            </w:pPr>
          </w:p>
        </w:tc>
      </w:tr>
      <w:tr w:rsidR="001E252D" w:rsidRPr="00403C69" w14:paraId="17D78377"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4C7B7ED" w14:textId="77777777" w:rsidR="005E032D" w:rsidRPr="007606A7" w:rsidRDefault="005E032D" w:rsidP="00EB4AE6">
            <w:pPr>
              <w:pStyle w:val="Headingb"/>
              <w:rPr>
                <w:szCs w:val="22"/>
                <w:lang w:val="ru-RU"/>
              </w:rPr>
            </w:pPr>
            <w:r w:rsidRPr="007606A7">
              <w:rPr>
                <w:szCs w:val="22"/>
                <w:lang w:val="ru-RU"/>
              </w:rPr>
              <w:t>Резюме</w:t>
            </w:r>
          </w:p>
          <w:p w14:paraId="4CE7BCB0" w14:textId="52169AB7" w:rsidR="001E252D" w:rsidRPr="007606A7" w:rsidRDefault="00F304B4" w:rsidP="00EB4AE6">
            <w:pPr>
              <w:rPr>
                <w:szCs w:val="22"/>
              </w:rPr>
            </w:pPr>
            <w:r w:rsidRPr="009510BC">
              <w:rPr>
                <w:color w:val="000000"/>
              </w:rPr>
              <w:t>В настоящем документе представлен обзор динамики членского состава МСЭ-D за 2024 год и прогноз до середины 2025 года. В нем также рекомендуются действия, направленные на дальнейшее наращивание усилий по привлечению и удержанию большего числа членов в соответствии с итогами Всемирной конференции по развитию электросвязи 2022 года (ВКРЭ-22) и Полномочной конференции 2022 года (ПК-22). К Членам МСЭ-D относятся Члены Сектора, Ассоциированные члены и Академические организации</w:t>
            </w:r>
            <w:r w:rsidRPr="009510BC">
              <w:rPr>
                <w:rStyle w:val="FootnoteReference"/>
                <w:rFonts w:eastAsia="SimSun"/>
                <w:color w:val="000000"/>
                <w:szCs w:val="24"/>
              </w:rPr>
              <w:footnoteReference w:id="2"/>
            </w:r>
            <w:r>
              <w:rPr>
                <w:color w:val="000000"/>
              </w:rPr>
              <w:t>.</w:t>
            </w:r>
          </w:p>
          <w:p w14:paraId="713E919D" w14:textId="77777777" w:rsidR="005E032D" w:rsidRPr="007606A7" w:rsidRDefault="005E032D" w:rsidP="00EB4AE6">
            <w:pPr>
              <w:pStyle w:val="Headingb"/>
              <w:rPr>
                <w:szCs w:val="22"/>
                <w:lang w:val="ru-RU"/>
              </w:rPr>
            </w:pPr>
            <w:r w:rsidRPr="007606A7">
              <w:rPr>
                <w:szCs w:val="22"/>
                <w:lang w:val="ru-RU"/>
              </w:rPr>
              <w:t>Необходимые действия</w:t>
            </w:r>
          </w:p>
          <w:p w14:paraId="08652089" w14:textId="051E3D94" w:rsidR="001E252D" w:rsidRPr="007606A7" w:rsidRDefault="00F304B4" w:rsidP="00EB4AE6">
            <w:pPr>
              <w:rPr>
                <w:szCs w:val="22"/>
              </w:rPr>
            </w:pPr>
            <w:r w:rsidRPr="009510BC">
              <w:rPr>
                <w:color w:val="000000"/>
              </w:rPr>
              <w:t>КГРЭ предлагается принять к сведению настоящий документ и заявление о взаимодействии (Приложение 1) от Рабочей группы Совета по финансовым и людским ресурсам (РГС-ФЛР) и представить руководящие указания в случае необходимости.</w:t>
            </w:r>
          </w:p>
          <w:p w14:paraId="2A9DDBD9" w14:textId="77777777" w:rsidR="001E252D" w:rsidRPr="00F304B4" w:rsidRDefault="004A3CDF" w:rsidP="00F304B4">
            <w:pPr>
              <w:pStyle w:val="Headingb"/>
              <w:rPr>
                <w:szCs w:val="22"/>
                <w:lang w:val="ru-RU"/>
              </w:rPr>
            </w:pPr>
            <w:r w:rsidRPr="00F304B4">
              <w:rPr>
                <w:szCs w:val="22"/>
                <w:lang w:val="ru-RU"/>
              </w:rPr>
              <w:t>Справочные материалы</w:t>
            </w:r>
          </w:p>
          <w:p w14:paraId="41066E04" w14:textId="77777777" w:rsidR="00F304B4" w:rsidRPr="009510BC" w:rsidRDefault="00F304B4" w:rsidP="00F304B4">
            <w:pPr>
              <w:spacing w:after="120"/>
            </w:pPr>
            <w:r w:rsidRPr="009510BC">
              <w:rPr>
                <w:color w:val="000000"/>
              </w:rPr>
              <w:t xml:space="preserve">Резолюция 71 (Пересм. Кигали, 2022 г.) ВКРЭ "Укрепление сотрудничества между Государствами-Членами, Членами Сектора, Ассоциированными членами и Академическими организациями − Членами Сектора развития электросвязи МСЭ и изменяющаяся роль частного сектора в деятельности Сектора развития электросвязи МСЭ". </w:t>
            </w:r>
          </w:p>
          <w:p w14:paraId="0507D087" w14:textId="2EB75C68" w:rsidR="001E252D" w:rsidRPr="00403C69" w:rsidRDefault="00F304B4" w:rsidP="00F304B4">
            <w:pPr>
              <w:spacing w:after="120"/>
            </w:pPr>
            <w:r w:rsidRPr="009510BC">
              <w:rPr>
                <w:color w:val="000000"/>
              </w:rPr>
              <w:t>Резолюции 169, 205 и 209 (Пересм. Бухарест, 2022 г.) Полномочной конференции (ПК-22).</w:t>
            </w:r>
          </w:p>
        </w:tc>
      </w:tr>
      <w:bookmarkEnd w:id="8"/>
      <w:bookmarkEnd w:id="9"/>
    </w:tbl>
    <w:p w14:paraId="41DB3D74" w14:textId="77777777" w:rsidR="001E252D" w:rsidRPr="00EB4AE6" w:rsidRDefault="001E252D" w:rsidP="00CE66E4"/>
    <w:p w14:paraId="12D16116" w14:textId="77777777" w:rsidR="00075C63" w:rsidRPr="00403C69" w:rsidRDefault="00075C63" w:rsidP="00CE66E4">
      <w:pPr>
        <w:rPr>
          <w:szCs w:val="24"/>
        </w:rPr>
      </w:pPr>
      <w:r w:rsidRPr="00403C69">
        <w:rPr>
          <w:szCs w:val="24"/>
        </w:rPr>
        <w:br w:type="page"/>
      </w:r>
    </w:p>
    <w:p w14:paraId="4E0E5ADA" w14:textId="41DB83BB" w:rsidR="00F304B4" w:rsidRPr="009510BC" w:rsidRDefault="00F304B4" w:rsidP="00F304B4">
      <w:pPr>
        <w:pStyle w:val="Heading1"/>
        <w:rPr>
          <w:rFonts w:eastAsia="SimSun" w:cs="Arial"/>
          <w:szCs w:val="24"/>
        </w:rPr>
      </w:pPr>
      <w:r>
        <w:lastRenderedPageBreak/>
        <w:t>1</w:t>
      </w:r>
      <w:r>
        <w:tab/>
      </w:r>
      <w:r w:rsidRPr="009510BC">
        <w:t>Базовая информация</w:t>
      </w:r>
    </w:p>
    <w:p w14:paraId="17C0408E" w14:textId="0443F62C" w:rsidR="00F304B4" w:rsidRPr="00021970" w:rsidRDefault="00F304B4" w:rsidP="00F304B4">
      <w:pPr>
        <w:rPr>
          <w:rFonts w:eastAsia="SimSun"/>
          <w:szCs w:val="24"/>
          <w:lang w:val="en-US"/>
        </w:rPr>
      </w:pPr>
      <w:r w:rsidRPr="009510BC">
        <w:t>Всемирная конференция по развитию электросвязи 2022 года (ВКРЭ-22) пересмотрела и приняла Резолюцию 71 (Пересм. Кигали, 2022 г.) в целях содействия активному участию Членов Сектора, Ассоциированных членов и Академических организаций МСЭ-D в деятельности МСЭ-D, в том числе в работе исследовательских комиссий МСЭ-D, и привлечения новых членов из государственного, частного и академического секторов</w:t>
      </w:r>
      <w:r w:rsidRPr="007A2758">
        <w:rPr>
          <w:rStyle w:val="FootnoteReference"/>
        </w:rPr>
        <w:footnoteReference w:id="3"/>
      </w:r>
      <w:r w:rsidRPr="009510BC">
        <w:t>.</w:t>
      </w:r>
    </w:p>
    <w:p w14:paraId="45793584" w14:textId="343F415A" w:rsidR="00F304B4" w:rsidRPr="009510BC" w:rsidRDefault="00F304B4" w:rsidP="00F304B4">
      <w:pPr>
        <w:rPr>
          <w:rFonts w:eastAsia="SimSun"/>
          <w:iCs/>
          <w:szCs w:val="24"/>
        </w:rPr>
      </w:pPr>
      <w:r w:rsidRPr="009510BC">
        <w:t>В Резолюции 71 уделяется большее внимание укреплени</w:t>
      </w:r>
      <w:r w:rsidR="00021970">
        <w:t>ю</w:t>
      </w:r>
      <w:r w:rsidRPr="009510BC">
        <w:t xml:space="preserve"> сотрудничества между Государствами-Членами, Членами Сектора, Ассоциированными членами и Академическими организациями – Членами МСЭ-D, при этом БРЭ поручено работать в тесном сотрудничестве с Членами Сектора МСЭ</w:t>
      </w:r>
      <w:r w:rsidR="00021970">
        <w:noBreakHyphen/>
      </w:r>
      <w:r w:rsidRPr="009510BC">
        <w:t>D, Ассоциированными членами и Академическими организациями для обеспечения участия в успешном выполнении Кигалийского плана действий и для продолжения организации собраний для высокопоставленных руководителей отрасли, например собрания Отраслевой консультативной группы по вопросам развития и старших сотрудников по регуляторным вопросам из частного сектора (IAGDI-CRO).</w:t>
      </w:r>
    </w:p>
    <w:p w14:paraId="5606F00E" w14:textId="00941553" w:rsidR="00F304B4" w:rsidRPr="009510BC" w:rsidRDefault="00F304B4" w:rsidP="00F304B4">
      <w:pPr>
        <w:pStyle w:val="Heading1"/>
        <w:rPr>
          <w:rFonts w:eastAsia="SimSun" w:cs="Arial"/>
          <w:szCs w:val="24"/>
        </w:rPr>
      </w:pPr>
      <w:r>
        <w:t>2</w:t>
      </w:r>
      <w:r>
        <w:tab/>
      </w:r>
      <w:r w:rsidRPr="009510BC">
        <w:t>Динамика членского состава МСЭ-D</w:t>
      </w:r>
    </w:p>
    <w:p w14:paraId="63342087" w14:textId="77777777" w:rsidR="00F304B4" w:rsidRPr="009510BC" w:rsidRDefault="00F304B4" w:rsidP="00F304B4">
      <w:pPr>
        <w:rPr>
          <w:rFonts w:eastAsia="SimSun"/>
          <w:iCs/>
          <w:szCs w:val="24"/>
        </w:rPr>
      </w:pPr>
      <w:r w:rsidRPr="009510BC">
        <w:t xml:space="preserve">На </w:t>
      </w:r>
      <w:r w:rsidRPr="00A55551">
        <w:rPr>
          <w:b/>
          <w:bCs/>
        </w:rPr>
        <w:t>Диаграмме 1</w:t>
      </w:r>
      <w:r w:rsidRPr="009510BC">
        <w:t>, ниже, показана динамика членского состава МСЭ-D (Члены Сектора, Ассоциированные члены и Академические организации). На диаграмме показано количество Членов Сектора МСЭ-D, Ассоциированных членов и Академических организаций по состоянию на декабрь 2023 года, декабрь 2024 года и июнь 2025 года (прогноз) в абсолютном выражении.</w:t>
      </w:r>
    </w:p>
    <w:p w14:paraId="05864996" w14:textId="4873E004" w:rsidR="00CE66E4" w:rsidRDefault="00F304B4" w:rsidP="00073D31">
      <w:pPr>
        <w:tabs>
          <w:tab w:val="clear" w:pos="1871"/>
          <w:tab w:val="clear" w:pos="2268"/>
        </w:tabs>
      </w:pPr>
      <w:r w:rsidRPr="009510BC">
        <w:rPr>
          <w:rFonts w:eastAsia="SimSun" w:cs="Arial"/>
          <w:noProof/>
          <w:lang w:eastAsia="zh-CN"/>
        </w:rPr>
        <w:drawing>
          <wp:inline distT="0" distB="0" distL="0" distR="0" wp14:anchorId="2065DB29" wp14:editId="68021B48">
            <wp:extent cx="6115050" cy="3829050"/>
            <wp:effectExtent l="0" t="0" r="0" b="0"/>
            <wp:docPr id="1003179272"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F9690F" w14:textId="5D206CA9" w:rsidR="00F304B4" w:rsidRPr="009510BC" w:rsidRDefault="000A7C42" w:rsidP="000A7C42">
      <w:pPr>
        <w:pStyle w:val="Heading2"/>
        <w:rPr>
          <w:rFonts w:eastAsia="SimSun" w:cs="Arial"/>
        </w:rPr>
      </w:pPr>
      <w:r>
        <w:lastRenderedPageBreak/>
        <w:t>2.1</w:t>
      </w:r>
      <w:r>
        <w:tab/>
      </w:r>
      <w:r w:rsidR="00F304B4" w:rsidRPr="009510BC">
        <w:t>Члены Сектора МСЭ-D и Ассоциированные члены</w:t>
      </w:r>
    </w:p>
    <w:p w14:paraId="1C1594E5" w14:textId="616199DA" w:rsidR="00F304B4" w:rsidRPr="009510BC" w:rsidRDefault="00073D31" w:rsidP="00073D31">
      <w:pPr>
        <w:pStyle w:val="Figure"/>
        <w:rPr>
          <w:rFonts w:eastAsia="SimSun" w:cs="Arial"/>
          <w:b/>
          <w:bCs/>
          <w:lang w:eastAsia="zh-CN"/>
        </w:rPr>
      </w:pPr>
      <w:r w:rsidRPr="009510BC">
        <w:rPr>
          <w:noProof/>
        </w:rPr>
        <mc:AlternateContent>
          <mc:Choice Requires="wps">
            <w:drawing>
              <wp:anchor distT="0" distB="0" distL="114300" distR="114300" simplePos="0" relativeHeight="251664384" behindDoc="0" locked="0" layoutInCell="1" allowOverlap="1" wp14:anchorId="6580BC04" wp14:editId="1DBFB556">
                <wp:simplePos x="0" y="0"/>
                <wp:positionH relativeFrom="column">
                  <wp:posOffset>340360</wp:posOffset>
                </wp:positionH>
                <wp:positionV relativeFrom="paragraph">
                  <wp:posOffset>2830195</wp:posOffset>
                </wp:positionV>
                <wp:extent cx="517585" cy="181155"/>
                <wp:effectExtent l="0" t="0" r="0" b="9525"/>
                <wp:wrapNone/>
                <wp:docPr id="1499316615" name="Text Box 2"/>
                <wp:cNvGraphicFramePr/>
                <a:graphic xmlns:a="http://schemas.openxmlformats.org/drawingml/2006/main">
                  <a:graphicData uri="http://schemas.microsoft.com/office/word/2010/wordprocessingShape">
                    <wps:wsp>
                      <wps:cNvSpPr txBox="1"/>
                      <wps:spPr>
                        <a:xfrm>
                          <a:off x="0" y="0"/>
                          <a:ext cx="517585" cy="181155"/>
                        </a:xfrm>
                        <a:prstGeom prst="rect">
                          <a:avLst/>
                        </a:prstGeom>
                        <a:solidFill>
                          <a:schemeClr val="lt1"/>
                        </a:solidFill>
                        <a:ln w="6350">
                          <a:noFill/>
                        </a:ln>
                      </wps:spPr>
                      <wps:txbx>
                        <w:txbxContent>
                          <w:p w14:paraId="069D08E2" w14:textId="77777777" w:rsidR="00F304B4" w:rsidRPr="00073D31" w:rsidRDefault="00F304B4" w:rsidP="00073D31">
                            <w:pPr>
                              <w:spacing w:before="0"/>
                              <w:rPr>
                                <w:sz w:val="16"/>
                                <w:szCs w:val="12"/>
                              </w:rPr>
                            </w:pPr>
                            <w:r w:rsidRPr="00073D31">
                              <w:rPr>
                                <w:sz w:val="20"/>
                                <w:szCs w:val="18"/>
                              </w:rPr>
                              <w:t>2022 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BC04" id="_x0000_t202" coordsize="21600,21600" o:spt="202" path="m,l,21600r21600,l21600,xe">
                <v:stroke joinstyle="miter"/>
                <v:path gradientshapeok="t" o:connecttype="rect"/>
              </v:shapetype>
              <v:shape id="Text Box 2" o:spid="_x0000_s1026" type="#_x0000_t202" style="position:absolute;left:0;text-align:left;margin-left:26.8pt;margin-top:222.85pt;width:40.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" fillcolor="white [3201]" stroked="f" strokeweight=".5pt">
                <v:textbox inset="0,0,0,0">
                  <w:txbxContent>
                    <w:p w14:paraId="069D08E2" w14:textId="77777777" w:rsidR="00F304B4" w:rsidRPr="00073D31" w:rsidRDefault="00F304B4" w:rsidP="00073D31">
                      <w:pPr>
                        <w:spacing w:before="0"/>
                        <w:rPr>
                          <w:sz w:val="16"/>
                          <w:szCs w:val="12"/>
                        </w:rPr>
                      </w:pPr>
                      <w:r w:rsidRPr="00073D31">
                        <w:rPr>
                          <w:sz w:val="20"/>
                          <w:szCs w:val="18"/>
                        </w:rPr>
                        <w:t>2022 г.</w:t>
                      </w:r>
                    </w:p>
                  </w:txbxContent>
                </v:textbox>
              </v:shape>
            </w:pict>
          </mc:Fallback>
        </mc:AlternateContent>
      </w:r>
      <w:r w:rsidRPr="009510BC">
        <w:rPr>
          <w:noProof/>
        </w:rPr>
        <mc:AlternateContent>
          <mc:Choice Requires="wps">
            <w:drawing>
              <wp:anchor distT="0" distB="0" distL="114300" distR="114300" simplePos="0" relativeHeight="251677696" behindDoc="0" locked="0" layoutInCell="1" allowOverlap="1" wp14:anchorId="2F4F8FCC" wp14:editId="19AFDE65">
                <wp:simplePos x="0" y="0"/>
                <wp:positionH relativeFrom="column">
                  <wp:posOffset>4229507</wp:posOffset>
                </wp:positionH>
                <wp:positionV relativeFrom="paragraph">
                  <wp:posOffset>2822827</wp:posOffset>
                </wp:positionV>
                <wp:extent cx="517585" cy="181155"/>
                <wp:effectExtent l="0" t="0" r="0" b="9525"/>
                <wp:wrapNone/>
                <wp:docPr id="1691013207" name="Text Box 2"/>
                <wp:cNvGraphicFramePr/>
                <a:graphic xmlns:a="http://schemas.openxmlformats.org/drawingml/2006/main">
                  <a:graphicData uri="http://schemas.microsoft.com/office/word/2010/wordprocessingShape">
                    <wps:wsp>
                      <wps:cNvSpPr txBox="1"/>
                      <wps:spPr>
                        <a:xfrm>
                          <a:off x="0" y="0"/>
                          <a:ext cx="517585" cy="181155"/>
                        </a:xfrm>
                        <a:prstGeom prst="rect">
                          <a:avLst/>
                        </a:prstGeom>
                        <a:solidFill>
                          <a:sysClr val="window" lastClr="FFFFFF"/>
                        </a:solidFill>
                        <a:ln w="6350">
                          <a:noFill/>
                        </a:ln>
                      </wps:spPr>
                      <wps:txbx>
                        <w:txbxContent>
                          <w:p w14:paraId="11389176" w14:textId="3AE22475" w:rsidR="00073D31" w:rsidRPr="00073D31" w:rsidRDefault="00073D31" w:rsidP="00073D31">
                            <w:pPr>
                              <w:spacing w:before="0"/>
                              <w:rPr>
                                <w:sz w:val="16"/>
                                <w:szCs w:val="12"/>
                              </w:rPr>
                            </w:pPr>
                            <w:r w:rsidRPr="00073D31">
                              <w:rPr>
                                <w:sz w:val="20"/>
                                <w:szCs w:val="18"/>
                              </w:rPr>
                              <w:t>*2025 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8FCC" id="_x0000_s1027" type="#_x0000_t202" style="position:absolute;left:0;text-align:left;margin-left:333.05pt;margin-top:222.25pt;width:40.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" fillcolor="window" stroked="f" strokeweight=".5pt">
                <v:textbox inset="0,0,0,0">
                  <w:txbxContent>
                    <w:p w14:paraId="11389176" w14:textId="3AE22475" w:rsidR="00073D31" w:rsidRPr="00073D31" w:rsidRDefault="00073D31" w:rsidP="00073D31">
                      <w:pPr>
                        <w:spacing w:before="0"/>
                        <w:rPr>
                          <w:sz w:val="16"/>
                          <w:szCs w:val="12"/>
                        </w:rPr>
                      </w:pPr>
                      <w:r w:rsidRPr="00073D31">
                        <w:rPr>
                          <w:sz w:val="20"/>
                          <w:szCs w:val="18"/>
                        </w:rPr>
                        <w:t>*</w:t>
                      </w:r>
                      <w:r w:rsidRPr="00073D31">
                        <w:rPr>
                          <w:sz w:val="20"/>
                          <w:szCs w:val="18"/>
                        </w:rPr>
                        <w:t>202</w:t>
                      </w:r>
                      <w:r w:rsidRPr="00073D31">
                        <w:rPr>
                          <w:sz w:val="20"/>
                          <w:szCs w:val="18"/>
                        </w:rPr>
                        <w:t>5</w:t>
                      </w:r>
                      <w:r w:rsidRPr="00073D31">
                        <w:rPr>
                          <w:sz w:val="20"/>
                          <w:szCs w:val="18"/>
                        </w:rPr>
                        <w:t xml:space="preserve"> г.</w:t>
                      </w:r>
                    </w:p>
                  </w:txbxContent>
                </v:textbox>
              </v:shape>
            </w:pict>
          </mc:Fallback>
        </mc:AlternateContent>
      </w:r>
      <w:r w:rsidRPr="009510BC">
        <w:rPr>
          <w:noProof/>
        </w:rPr>
        <mc:AlternateContent>
          <mc:Choice Requires="wps">
            <w:drawing>
              <wp:anchor distT="0" distB="0" distL="114300" distR="114300" simplePos="0" relativeHeight="251675648" behindDoc="0" locked="0" layoutInCell="1" allowOverlap="1" wp14:anchorId="15C074F2" wp14:editId="71A1211A">
                <wp:simplePos x="0" y="0"/>
                <wp:positionH relativeFrom="column">
                  <wp:posOffset>2648309</wp:posOffset>
                </wp:positionH>
                <wp:positionV relativeFrom="paragraph">
                  <wp:posOffset>2827032</wp:posOffset>
                </wp:positionV>
                <wp:extent cx="517585" cy="181155"/>
                <wp:effectExtent l="0" t="0" r="0" b="9525"/>
                <wp:wrapNone/>
                <wp:docPr id="1623945938" name="Text Box 2"/>
                <wp:cNvGraphicFramePr/>
                <a:graphic xmlns:a="http://schemas.openxmlformats.org/drawingml/2006/main">
                  <a:graphicData uri="http://schemas.microsoft.com/office/word/2010/wordprocessingShape">
                    <wps:wsp>
                      <wps:cNvSpPr txBox="1"/>
                      <wps:spPr>
                        <a:xfrm>
                          <a:off x="0" y="0"/>
                          <a:ext cx="517585" cy="181155"/>
                        </a:xfrm>
                        <a:prstGeom prst="rect">
                          <a:avLst/>
                        </a:prstGeom>
                        <a:solidFill>
                          <a:sysClr val="window" lastClr="FFFFFF"/>
                        </a:solidFill>
                        <a:ln w="6350">
                          <a:noFill/>
                        </a:ln>
                      </wps:spPr>
                      <wps:txbx>
                        <w:txbxContent>
                          <w:p w14:paraId="519AF915" w14:textId="507BFA85" w:rsidR="00073D31" w:rsidRPr="00073D31" w:rsidRDefault="00073D31" w:rsidP="00073D31">
                            <w:pPr>
                              <w:spacing w:before="0"/>
                              <w:rPr>
                                <w:sz w:val="16"/>
                                <w:szCs w:val="12"/>
                              </w:rPr>
                            </w:pPr>
                            <w:r w:rsidRPr="00073D31">
                              <w:rPr>
                                <w:sz w:val="20"/>
                                <w:szCs w:val="18"/>
                              </w:rPr>
                              <w:t>2024 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074F2" id="_x0000_s1028" type="#_x0000_t202" style="position:absolute;left:0;text-align:left;margin-left:208.55pt;margin-top:222.6pt;width:40.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" fillcolor="window" stroked="f" strokeweight=".5pt">
                <v:textbox inset="0,0,0,0">
                  <w:txbxContent>
                    <w:p w14:paraId="519AF915" w14:textId="507BFA85" w:rsidR="00073D31" w:rsidRPr="00073D31" w:rsidRDefault="00073D31" w:rsidP="00073D31">
                      <w:pPr>
                        <w:spacing w:before="0"/>
                        <w:rPr>
                          <w:sz w:val="16"/>
                          <w:szCs w:val="12"/>
                        </w:rPr>
                      </w:pPr>
                      <w:r w:rsidRPr="00073D31">
                        <w:rPr>
                          <w:sz w:val="20"/>
                          <w:szCs w:val="18"/>
                        </w:rPr>
                        <w:t>202</w:t>
                      </w:r>
                      <w:r w:rsidRPr="00073D31">
                        <w:rPr>
                          <w:sz w:val="20"/>
                          <w:szCs w:val="18"/>
                        </w:rPr>
                        <w:t>4</w:t>
                      </w:r>
                      <w:r w:rsidRPr="00073D31">
                        <w:rPr>
                          <w:sz w:val="20"/>
                          <w:szCs w:val="18"/>
                        </w:rPr>
                        <w:t xml:space="preserve"> г.</w:t>
                      </w:r>
                    </w:p>
                  </w:txbxContent>
                </v:textbox>
              </v:shape>
            </w:pict>
          </mc:Fallback>
        </mc:AlternateContent>
      </w:r>
      <w:r w:rsidRPr="009510BC">
        <w:rPr>
          <w:noProof/>
        </w:rPr>
        <mc:AlternateContent>
          <mc:Choice Requires="wps">
            <w:drawing>
              <wp:anchor distT="0" distB="0" distL="114300" distR="114300" simplePos="0" relativeHeight="251673600" behindDoc="0" locked="0" layoutInCell="1" allowOverlap="1" wp14:anchorId="53864AB7" wp14:editId="74B50475">
                <wp:simplePos x="0" y="0"/>
                <wp:positionH relativeFrom="column">
                  <wp:posOffset>1224951</wp:posOffset>
                </wp:positionH>
                <wp:positionV relativeFrom="paragraph">
                  <wp:posOffset>2827032</wp:posOffset>
                </wp:positionV>
                <wp:extent cx="517585" cy="181155"/>
                <wp:effectExtent l="0" t="0" r="0" b="9525"/>
                <wp:wrapNone/>
                <wp:docPr id="692180325" name="Text Box 2"/>
                <wp:cNvGraphicFramePr/>
                <a:graphic xmlns:a="http://schemas.openxmlformats.org/drawingml/2006/main">
                  <a:graphicData uri="http://schemas.microsoft.com/office/word/2010/wordprocessingShape">
                    <wps:wsp>
                      <wps:cNvSpPr txBox="1"/>
                      <wps:spPr>
                        <a:xfrm>
                          <a:off x="0" y="0"/>
                          <a:ext cx="517585" cy="181155"/>
                        </a:xfrm>
                        <a:prstGeom prst="rect">
                          <a:avLst/>
                        </a:prstGeom>
                        <a:solidFill>
                          <a:sysClr val="window" lastClr="FFFFFF"/>
                        </a:solidFill>
                        <a:ln w="6350">
                          <a:noFill/>
                        </a:ln>
                      </wps:spPr>
                      <wps:txbx>
                        <w:txbxContent>
                          <w:p w14:paraId="64DA8120" w14:textId="04371E88" w:rsidR="00073D31" w:rsidRPr="00073D31" w:rsidRDefault="00073D31" w:rsidP="00073D31">
                            <w:pPr>
                              <w:spacing w:before="0"/>
                              <w:rPr>
                                <w:sz w:val="16"/>
                                <w:szCs w:val="12"/>
                              </w:rPr>
                            </w:pPr>
                            <w:r w:rsidRPr="00073D31">
                              <w:rPr>
                                <w:sz w:val="20"/>
                                <w:szCs w:val="18"/>
                              </w:rPr>
                              <w:t>2023 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4AB7" id="_x0000_s1029" type="#_x0000_t202" style="position:absolute;left:0;text-align:left;margin-left:96.45pt;margin-top:222.6pt;width:40.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" fillcolor="window" stroked="f" strokeweight=".5pt">
                <v:textbox inset="0,0,0,0">
                  <w:txbxContent>
                    <w:p w14:paraId="64DA8120" w14:textId="04371E88" w:rsidR="00073D31" w:rsidRPr="00073D31" w:rsidRDefault="00073D31" w:rsidP="00073D31">
                      <w:pPr>
                        <w:spacing w:before="0"/>
                        <w:rPr>
                          <w:sz w:val="16"/>
                          <w:szCs w:val="12"/>
                        </w:rPr>
                      </w:pPr>
                      <w:r w:rsidRPr="00073D31">
                        <w:rPr>
                          <w:sz w:val="20"/>
                          <w:szCs w:val="18"/>
                        </w:rPr>
                        <w:t>202</w:t>
                      </w:r>
                      <w:r w:rsidRPr="00073D31">
                        <w:rPr>
                          <w:sz w:val="20"/>
                          <w:szCs w:val="18"/>
                        </w:rPr>
                        <w:t>3</w:t>
                      </w:r>
                      <w:r w:rsidRPr="00073D31">
                        <w:rPr>
                          <w:sz w:val="20"/>
                          <w:szCs w:val="18"/>
                        </w:rPr>
                        <w:t xml:space="preserve"> г.</w:t>
                      </w:r>
                    </w:p>
                  </w:txbxContent>
                </v:textbox>
              </v:shape>
            </w:pict>
          </mc:Fallback>
        </mc:AlternateContent>
      </w:r>
      <w:r w:rsidR="006C2063">
        <w:rPr>
          <w:noProof/>
        </w:rPr>
        <mc:AlternateContent>
          <mc:Choice Requires="wps">
            <w:drawing>
              <wp:anchor distT="0" distB="0" distL="114300" distR="114300" simplePos="0" relativeHeight="251671552" behindDoc="0" locked="0" layoutInCell="1" allowOverlap="1" wp14:anchorId="0E8A6E03" wp14:editId="10F26689">
                <wp:simplePos x="0" y="0"/>
                <wp:positionH relativeFrom="column">
                  <wp:posOffset>5507990</wp:posOffset>
                </wp:positionH>
                <wp:positionV relativeFrom="paragraph">
                  <wp:posOffset>1271905</wp:posOffset>
                </wp:positionV>
                <wp:extent cx="776377" cy="767751"/>
                <wp:effectExtent l="0" t="0" r="5080" b="0"/>
                <wp:wrapNone/>
                <wp:docPr id="1986508650" name="Rectangle 1"/>
                <wp:cNvGraphicFramePr/>
                <a:graphic xmlns:a="http://schemas.openxmlformats.org/drawingml/2006/main">
                  <a:graphicData uri="http://schemas.microsoft.com/office/word/2010/wordprocessingShape">
                    <wps:wsp>
                      <wps:cNvSpPr/>
                      <wps:spPr>
                        <a:xfrm>
                          <a:off x="0" y="0"/>
                          <a:ext cx="776377" cy="76775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2B5342" w14:textId="6471BE22" w:rsidR="006C2063" w:rsidRDefault="006C2063" w:rsidP="006C2063">
                            <w:pPr>
                              <w:spacing w:before="0" w:after="120"/>
                              <w:rPr>
                                <w:color w:val="000000" w:themeColor="text1"/>
                                <w:sz w:val="20"/>
                              </w:rPr>
                            </w:pPr>
                            <w:r w:rsidRPr="006C2063">
                              <w:rPr>
                                <w:color w:val="000000" w:themeColor="text1"/>
                                <w:sz w:val="20"/>
                              </w:rPr>
                              <w:t>Увеличение</w:t>
                            </w:r>
                          </w:p>
                          <w:p w14:paraId="1392B3C2" w14:textId="0CC9E7DC" w:rsidR="006C2063" w:rsidRDefault="006C2063" w:rsidP="006C2063">
                            <w:pPr>
                              <w:spacing w:before="0" w:after="120"/>
                              <w:rPr>
                                <w:color w:val="000000" w:themeColor="text1"/>
                                <w:sz w:val="20"/>
                              </w:rPr>
                            </w:pPr>
                            <w:r>
                              <w:rPr>
                                <w:color w:val="000000" w:themeColor="text1"/>
                                <w:sz w:val="20"/>
                              </w:rPr>
                              <w:t>Снижение</w:t>
                            </w:r>
                          </w:p>
                          <w:p w14:paraId="347460BF" w14:textId="2AE8E26A" w:rsidR="006C2063" w:rsidRPr="006C2063" w:rsidRDefault="006C2063" w:rsidP="006C2063">
                            <w:pPr>
                              <w:spacing w:before="0"/>
                              <w:rPr>
                                <w:color w:val="000000" w:themeColor="text1"/>
                                <w:sz w:val="20"/>
                              </w:rPr>
                            </w:pPr>
                            <w:r>
                              <w:rPr>
                                <w:color w:val="000000" w:themeColor="text1"/>
                                <w:sz w:val="20"/>
                              </w:rPr>
                              <w:t>Всего</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6E03" id="Rectangle 1" o:spid="_x0000_s1030" style="position:absolute;left:0;text-align:left;margin-left:433.7pt;margin-top:100.15pt;width:61.15pt;height:6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" fillcolor="white [3212]" stroked="f" strokeweight="2pt">
                <v:textbox inset="0,0,0,0">
                  <w:txbxContent>
                    <w:p w14:paraId="062B5342" w14:textId="6471BE22" w:rsidR="006C2063" w:rsidRDefault="006C2063" w:rsidP="006C2063">
                      <w:pPr>
                        <w:spacing w:before="0" w:after="120"/>
                        <w:rPr>
                          <w:color w:val="000000" w:themeColor="text1"/>
                          <w:sz w:val="20"/>
                        </w:rPr>
                      </w:pPr>
                      <w:r w:rsidRPr="006C2063">
                        <w:rPr>
                          <w:color w:val="000000" w:themeColor="text1"/>
                          <w:sz w:val="20"/>
                        </w:rPr>
                        <w:t>Увеличение</w:t>
                      </w:r>
                    </w:p>
                    <w:p w14:paraId="1392B3C2" w14:textId="0CC9E7DC" w:rsidR="006C2063" w:rsidRDefault="006C2063" w:rsidP="006C2063">
                      <w:pPr>
                        <w:spacing w:before="0" w:after="120"/>
                        <w:rPr>
                          <w:color w:val="000000" w:themeColor="text1"/>
                          <w:sz w:val="20"/>
                        </w:rPr>
                      </w:pPr>
                      <w:r>
                        <w:rPr>
                          <w:color w:val="000000" w:themeColor="text1"/>
                          <w:sz w:val="20"/>
                        </w:rPr>
                        <w:t>Снижение</w:t>
                      </w:r>
                    </w:p>
                    <w:p w14:paraId="347460BF" w14:textId="2AE8E26A" w:rsidR="006C2063" w:rsidRPr="006C2063" w:rsidRDefault="006C2063" w:rsidP="006C2063">
                      <w:pPr>
                        <w:spacing w:before="0"/>
                        <w:rPr>
                          <w:color w:val="000000" w:themeColor="text1"/>
                          <w:sz w:val="20"/>
                        </w:rPr>
                      </w:pPr>
                      <w:r>
                        <w:rPr>
                          <w:color w:val="000000" w:themeColor="text1"/>
                          <w:sz w:val="20"/>
                        </w:rPr>
                        <w:t>Всего</w:t>
                      </w:r>
                    </w:p>
                  </w:txbxContent>
                </v:textbox>
              </v:rect>
            </w:pict>
          </mc:Fallback>
        </mc:AlternateContent>
      </w:r>
      <w:r w:rsidR="00F304B4" w:rsidRPr="009510BC">
        <w:rPr>
          <w:noProof/>
        </w:rPr>
        <mc:AlternateContent>
          <mc:Choice Requires="wps">
            <w:drawing>
              <wp:anchor distT="0" distB="0" distL="114300" distR="114300" simplePos="0" relativeHeight="251670528" behindDoc="0" locked="0" layoutInCell="1" allowOverlap="1" wp14:anchorId="749250DD" wp14:editId="007978C3">
                <wp:simplePos x="0" y="0"/>
                <wp:positionH relativeFrom="column">
                  <wp:posOffset>3743325</wp:posOffset>
                </wp:positionH>
                <wp:positionV relativeFrom="paragraph">
                  <wp:posOffset>418465</wp:posOffset>
                </wp:positionV>
                <wp:extent cx="0" cy="2533650"/>
                <wp:effectExtent l="0" t="0" r="38100" b="19050"/>
                <wp:wrapNone/>
                <wp:docPr id="1730638141"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w:pict>
              <v:line w14:anchorId="1A94F481"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75pt,32.95pt" to="294.7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" strokecolor="#6c6c6b"/>
            </w:pict>
          </mc:Fallback>
        </mc:AlternateContent>
      </w:r>
      <w:r w:rsidR="00F304B4" w:rsidRPr="009510BC">
        <w:rPr>
          <w:noProof/>
        </w:rPr>
        <mc:AlternateContent>
          <mc:Choice Requires="wps">
            <w:drawing>
              <wp:anchor distT="0" distB="0" distL="114300" distR="114300" simplePos="0" relativeHeight="251669504" behindDoc="0" locked="0" layoutInCell="1" allowOverlap="1" wp14:anchorId="0F03260F" wp14:editId="06D7D289">
                <wp:simplePos x="0" y="0"/>
                <wp:positionH relativeFrom="column">
                  <wp:posOffset>2276475</wp:posOffset>
                </wp:positionH>
                <wp:positionV relativeFrom="paragraph">
                  <wp:posOffset>404495</wp:posOffset>
                </wp:positionV>
                <wp:extent cx="0" cy="2533650"/>
                <wp:effectExtent l="0" t="0" r="38100" b="19050"/>
                <wp:wrapNone/>
                <wp:docPr id="942585395"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w:pict>
              <v:line w14:anchorId="4B11FE37"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9.25pt,31.85pt" to="179.2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" strokecolor="#6c6c6b"/>
            </w:pict>
          </mc:Fallback>
        </mc:AlternateContent>
      </w:r>
      <w:r w:rsidR="00F304B4" w:rsidRPr="009510BC">
        <w:rPr>
          <w:noProof/>
        </w:rPr>
        <mc:AlternateContent>
          <mc:Choice Requires="wps">
            <w:drawing>
              <wp:anchor distT="0" distB="0" distL="114300" distR="114300" simplePos="0" relativeHeight="251668480" behindDoc="0" locked="0" layoutInCell="1" allowOverlap="1" wp14:anchorId="20B49761" wp14:editId="1199422E">
                <wp:simplePos x="0" y="0"/>
                <wp:positionH relativeFrom="column">
                  <wp:posOffset>775335</wp:posOffset>
                </wp:positionH>
                <wp:positionV relativeFrom="paragraph">
                  <wp:posOffset>408940</wp:posOffset>
                </wp:positionV>
                <wp:extent cx="0" cy="2533650"/>
                <wp:effectExtent l="0" t="0" r="38100" b="19050"/>
                <wp:wrapNone/>
                <wp:docPr id="445580303"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99BDB73"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1.05pt,32.2pt" to="61.05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" strokecolor="#bc4542 [3045]"/>
            </w:pict>
          </mc:Fallback>
        </mc:AlternateContent>
      </w:r>
      <w:r w:rsidR="00F304B4" w:rsidRPr="009510BC">
        <w:rPr>
          <w:noProof/>
        </w:rPr>
        <mc:AlternateContent>
          <mc:Choice Requires="cx4">
            <w:drawing>
              <wp:inline distT="0" distB="0" distL="0" distR="0" wp14:anchorId="2D81C7E1" wp14:editId="72671C90">
                <wp:extent cx="6076950" cy="2847975"/>
                <wp:effectExtent l="0" t="0" r="0" b="9525"/>
                <wp:docPr id="1264297370"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2D81C7E1" wp14:editId="72671C90">
                <wp:extent cx="6076950" cy="2847975"/>
                <wp:effectExtent l="0" t="0" r="0" b="9525"/>
                <wp:docPr id="1264297370"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64297370" name="Chart 2"/>
                        <pic:cNvPicPr>
                          <a:picLocks noGrp="1" noRot="1" noChangeAspect="1" noMove="1" noResize="1" noEditPoints="1" noAdjustHandles="1" noChangeArrowheads="1" noChangeShapeType="1"/>
                        </pic:cNvPicPr>
                      </pic:nvPicPr>
                      <pic:blipFill>
                        <a:blip r:embed="rId15"/>
                        <a:stretch>
                          <a:fillRect/>
                        </a:stretch>
                      </pic:blipFill>
                      <pic:spPr>
                        <a:xfrm>
                          <a:off x="0" y="0"/>
                          <a:ext cx="6076950" cy="2847975"/>
                        </a:xfrm>
                        <a:prstGeom prst="rect">
                          <a:avLst/>
                        </a:prstGeom>
                      </pic:spPr>
                    </pic:pic>
                  </a:graphicData>
                </a:graphic>
              </wp:inline>
            </w:drawing>
          </mc:Fallback>
        </mc:AlternateContent>
      </w:r>
    </w:p>
    <w:p w14:paraId="3C4D401A" w14:textId="0C5398A2" w:rsidR="00F304B4" w:rsidRPr="00021970" w:rsidRDefault="00F304B4" w:rsidP="00073D31">
      <w:pPr>
        <w:spacing w:before="240"/>
        <w:rPr>
          <w:lang w:val="en-GB"/>
        </w:rPr>
      </w:pPr>
      <w:r w:rsidRPr="009510BC">
        <w:t xml:space="preserve">На </w:t>
      </w:r>
      <w:r w:rsidRPr="005B4059">
        <w:rPr>
          <w:b/>
          <w:bCs/>
        </w:rPr>
        <w:t>Диаграмме 2</w:t>
      </w:r>
      <w:r w:rsidRPr="009510BC">
        <w:t xml:space="preserve"> представлены подробные данные об устойчивом росте числа Членов Сектора и Ассоциированных членов с 2023 года и отражен</w:t>
      </w:r>
      <w:r>
        <w:t xml:space="preserve">о количество </w:t>
      </w:r>
      <w:r w:rsidRPr="009510BC">
        <w:t xml:space="preserve">вступивших в Члены Сектора МСЭ-D и Ассоциированные члены и прекративших членство. К декабрю 2024 года МСЭ-D привлек в общей сложности </w:t>
      </w:r>
      <w:r w:rsidRPr="009510BC">
        <w:rPr>
          <w:b/>
          <w:bCs/>
        </w:rPr>
        <w:t>двадцать восемь новых Членов</w:t>
      </w:r>
      <w:r w:rsidRPr="009510BC">
        <w:t>. В 2024 году в МСЭ-D было зарегистрировано самое большое за последние десять лет общее число Членов Сектора и Ассоциированных членов. В</w:t>
      </w:r>
      <w:r w:rsidR="00021970">
        <w:rPr>
          <w:lang w:val="en-GB"/>
        </w:rPr>
        <w:t> </w:t>
      </w:r>
      <w:r w:rsidRPr="009510BC">
        <w:t>2024</w:t>
      </w:r>
      <w:r w:rsidR="000A7C42">
        <w:t> </w:t>
      </w:r>
      <w:r w:rsidRPr="009510BC">
        <w:t xml:space="preserve">году было зафиксировано самое высокое </w:t>
      </w:r>
      <w:r w:rsidRPr="005B4059">
        <w:rPr>
          <w:b/>
          <w:bCs/>
        </w:rPr>
        <w:t>изменение чистой положительной прибыли</w:t>
      </w:r>
      <w:r w:rsidRPr="009510BC">
        <w:t xml:space="preserve"> по всему МСЭ; прирост составил </w:t>
      </w:r>
      <w:r w:rsidRPr="00A55551">
        <w:rPr>
          <w:b/>
          <w:bCs/>
        </w:rPr>
        <w:t>111</w:t>
      </w:r>
      <w:r>
        <w:rPr>
          <w:b/>
          <w:bCs/>
        </w:rPr>
        <w:t> </w:t>
      </w:r>
      <w:r w:rsidRPr="00A55551">
        <w:rPr>
          <w:b/>
          <w:bCs/>
        </w:rPr>
        <w:t>300</w:t>
      </w:r>
      <w:r>
        <w:rPr>
          <w:b/>
          <w:bCs/>
        </w:rPr>
        <w:t> </w:t>
      </w:r>
      <w:r w:rsidRPr="00A55551">
        <w:rPr>
          <w:b/>
          <w:bCs/>
        </w:rPr>
        <w:t>шв</w:t>
      </w:r>
      <w:r>
        <w:rPr>
          <w:b/>
          <w:bCs/>
        </w:rPr>
        <w:t>ейцарских</w:t>
      </w:r>
      <w:r w:rsidRPr="00A55551">
        <w:rPr>
          <w:b/>
          <w:bCs/>
        </w:rPr>
        <w:t xml:space="preserve"> франков</w:t>
      </w:r>
      <w:r w:rsidRPr="009510BC">
        <w:t xml:space="preserve">. Помимо этого, в 2024 году общее число отказов от членства и исключений </w:t>
      </w:r>
      <w:r w:rsidRPr="009510BC">
        <w:rPr>
          <w:b/>
          <w:bCs/>
        </w:rPr>
        <w:t xml:space="preserve">было сокращено до восьми членов, </w:t>
      </w:r>
      <w:r w:rsidRPr="00A55551">
        <w:t>в то время как</w:t>
      </w:r>
      <w:r w:rsidRPr="009510BC">
        <w:rPr>
          <w:b/>
          <w:bCs/>
        </w:rPr>
        <w:t xml:space="preserve"> </w:t>
      </w:r>
      <w:r w:rsidRPr="00A55551">
        <w:t>в 2023 году таких членов было</w:t>
      </w:r>
      <w:r w:rsidRPr="009510BC">
        <w:rPr>
          <w:b/>
          <w:bCs/>
        </w:rPr>
        <w:t xml:space="preserve"> четырнадцать</w:t>
      </w:r>
      <w:r w:rsidRPr="009510BC">
        <w:t>.</w:t>
      </w:r>
    </w:p>
    <w:p w14:paraId="7AA0EE33" w14:textId="77777777" w:rsidR="00F304B4" w:rsidRPr="009510BC" w:rsidRDefault="00F304B4" w:rsidP="000A7C42">
      <w:pPr>
        <w:rPr>
          <w:rFonts w:eastAsia="SimSun" w:cs="Arial"/>
        </w:rPr>
      </w:pPr>
      <w:r w:rsidRPr="009510BC">
        <w:t xml:space="preserve">Регионом БРЭ с наибольшим количеством новых членов в МСЭ-D стала Европа с девятью новыми членами в 2024 году, за ней следуют Азиатско-Тихоокеанский регион с шестью новыми членами, Африка с пятью новыми членами, регион арабских государств с четырьмя новыми членами, Северная и Южная Америка с тремя новыми членами; также один член присоединился в качестве региональной или международной организации (РегМежОрг). </w:t>
      </w:r>
    </w:p>
    <w:p w14:paraId="0ADF02AE" w14:textId="77777777" w:rsidR="00F304B4" w:rsidRPr="00021970" w:rsidRDefault="00F304B4" w:rsidP="000A7C42">
      <w:pPr>
        <w:rPr>
          <w:rFonts w:eastAsia="SimSun" w:cs="Arial"/>
        </w:rPr>
      </w:pPr>
      <w:r w:rsidRPr="009510BC">
        <w:t xml:space="preserve">В Диаграмме 2 на основе документации, ожидающей оформления, также отражен прогноз по вступлениям и прекращениям членства на июнь 2025 года. Ожидается, что к июню 2025 года в МСЭ-D будет </w:t>
      </w:r>
      <w:r w:rsidRPr="009510BC">
        <w:rPr>
          <w:b/>
          <w:bCs/>
        </w:rPr>
        <w:t xml:space="preserve">четырнадцать </w:t>
      </w:r>
      <w:r w:rsidRPr="009510BC">
        <w:t xml:space="preserve">новых членов. Ожидается, что к июню 2025 года вступят в силу </w:t>
      </w:r>
      <w:r w:rsidRPr="009510BC">
        <w:rPr>
          <w:b/>
          <w:bCs/>
        </w:rPr>
        <w:t>семь отказов от членства</w:t>
      </w:r>
      <w:r w:rsidRPr="009510BC">
        <w:t>, связанных со слияниями, пересмотром бизнес-стратегий или нераскрытыми причинами.</w:t>
      </w:r>
    </w:p>
    <w:p w14:paraId="28769345" w14:textId="77777777" w:rsidR="00F304B4" w:rsidRPr="009510BC" w:rsidRDefault="00F304B4" w:rsidP="000A7C42">
      <w:pPr>
        <w:rPr>
          <w:rFonts w:eastAsia="SimSun" w:cs="Arial"/>
        </w:rPr>
      </w:pPr>
      <w:r w:rsidRPr="009510BC">
        <w:t>Устойчивый рост членского состава МСЭ-D обусловлен укреплением информационно-пропагандистской деятельности по нескольким направлениям, таким как приглашение гостей/наблюдателей для участия в мероприятиях, ограниченных Членами МСЭ-D; внутренними усилиями по созданию потенциала с участием персонала БРЭ по ознакомлению внешних заинтересованных сторон с преимуществами членства в МСЭ-D; информационно-пропагандистскими усилиями в рамках глобальных внешних мероприятий; использованием ценностного предложения партнерства путем объединения в единый пакет преимуществ для членов и партнеров.</w:t>
      </w:r>
    </w:p>
    <w:p w14:paraId="67FC9189" w14:textId="77777777" w:rsidR="00F304B4" w:rsidRPr="009510BC" w:rsidRDefault="00F304B4" w:rsidP="000A7C42">
      <w:pPr>
        <w:rPr>
          <w:rFonts w:eastAsia="SimSun" w:cs="Arial"/>
        </w:rPr>
      </w:pPr>
      <w:r w:rsidRPr="009510BC">
        <w:t xml:space="preserve">Наконец, более активным использованием инструментов и информационных панелей на основе данных для принятия целевых мер в отношении учетных записей членов в зоне риска и их повторного вовлечения, что привело к более эффективному удержанию членов и чистому росту числа членов. </w:t>
      </w:r>
    </w:p>
    <w:p w14:paraId="5F681BF2" w14:textId="77777777" w:rsidR="00F304B4" w:rsidRPr="009510BC" w:rsidRDefault="00F304B4" w:rsidP="000A7C42">
      <w:pPr>
        <w:rPr>
          <w:b/>
          <w:bCs/>
        </w:rPr>
      </w:pPr>
      <w:r w:rsidRPr="009510BC">
        <w:lastRenderedPageBreak/>
        <w:t xml:space="preserve">Изменения в членском составе в 2024 году (новые члены и прекратившие членство) и ожидаемый прогноз на июнь 2025 года в виде списков можно найти в Документе </w:t>
      </w:r>
      <w:hyperlink r:id="rId16" w:history="1">
        <w:r w:rsidRPr="009510BC">
          <w:rPr>
            <w:rStyle w:val="Hyperlink"/>
          </w:rPr>
          <w:t>TDAG-25/INF/1</w:t>
        </w:r>
      </w:hyperlink>
      <w:r w:rsidRPr="009510BC">
        <w:t>.</w:t>
      </w:r>
    </w:p>
    <w:p w14:paraId="3804F153" w14:textId="5AD84AB3" w:rsidR="00F304B4" w:rsidRPr="009510BC" w:rsidRDefault="000A7C42" w:rsidP="000A7C42">
      <w:pPr>
        <w:pStyle w:val="Heading2"/>
        <w:rPr>
          <w:rFonts w:eastAsia="SimSun" w:cs="Arial"/>
          <w:szCs w:val="24"/>
        </w:rPr>
      </w:pPr>
      <w:r>
        <w:t>2.2</w:t>
      </w:r>
      <w:r>
        <w:tab/>
      </w:r>
      <w:r w:rsidR="00F304B4" w:rsidRPr="009510BC">
        <w:t>Заявки на освобождение от уплаты взносов</w:t>
      </w:r>
    </w:p>
    <w:p w14:paraId="30AAD1E6" w14:textId="454CC2C1" w:rsidR="00F304B4" w:rsidRPr="009510BC" w:rsidRDefault="00F304B4" w:rsidP="000A7C42">
      <w:pPr>
        <w:rPr>
          <w:rFonts w:eastAsia="SimSun" w:cs="Arial"/>
        </w:rPr>
      </w:pPr>
      <w:r w:rsidRPr="009510BC">
        <w:t>БРЭ продолжило рассмотрение заявок на освобождение от уплаты взносов в соответствии с п.</w:t>
      </w:r>
      <w:r w:rsidR="005B4059">
        <w:rPr>
          <w:lang w:val="en-US"/>
        </w:rPr>
        <w:t> </w:t>
      </w:r>
      <w:r w:rsidRPr="009510BC">
        <w:t xml:space="preserve">476 Конвенции и критериями Совета МСЭ, которые можно найти </w:t>
      </w:r>
      <w:hyperlink r:id="rId17" w:history="1">
        <w:r w:rsidRPr="00021970">
          <w:rPr>
            <w:rStyle w:val="Hyperlink"/>
          </w:rPr>
          <w:t>здесь</w:t>
        </w:r>
      </w:hyperlink>
      <w:r w:rsidRPr="009510BC">
        <w:t xml:space="preserve">. На июльской сессии 2024 года Совет МСЭ утвердил присоединение к МСЭ-D </w:t>
      </w:r>
      <w:r w:rsidRPr="009510BC">
        <w:rPr>
          <w:b/>
          <w:bCs/>
        </w:rPr>
        <w:t xml:space="preserve">четырех </w:t>
      </w:r>
      <w:r w:rsidRPr="009510BC">
        <w:t>организаций в качестве членов, освобожденных от уплаты взносов:</w:t>
      </w:r>
    </w:p>
    <w:p w14:paraId="244328BE" w14:textId="6A5C0513" w:rsidR="00F304B4" w:rsidRPr="00021970" w:rsidRDefault="000A7C42" w:rsidP="000A7C42">
      <w:pPr>
        <w:pStyle w:val="enumlev1"/>
        <w:rPr>
          <w:rFonts w:eastAsia="SimSun" w:cs="Arial"/>
        </w:rPr>
      </w:pPr>
      <w:r>
        <w:t>−</w:t>
      </w:r>
      <w:r>
        <w:tab/>
      </w:r>
      <w:r w:rsidR="00F304B4" w:rsidRPr="009510BC">
        <w:t>Институт технологических инновационных центров Африки (Afrilabs)</w:t>
      </w:r>
      <w:r w:rsidR="00021970" w:rsidRPr="00021970">
        <w:t>;</w:t>
      </w:r>
    </w:p>
    <w:p w14:paraId="3F7EBFBD" w14:textId="673BA71B" w:rsidR="00F304B4" w:rsidRPr="00021970" w:rsidRDefault="000A7C42" w:rsidP="000A7C42">
      <w:pPr>
        <w:pStyle w:val="enumlev1"/>
        <w:rPr>
          <w:rFonts w:eastAsia="SimSun" w:cs="Arial"/>
        </w:rPr>
      </w:pPr>
      <w:r>
        <w:t>−</w:t>
      </w:r>
      <w:r>
        <w:tab/>
      </w:r>
      <w:r w:rsidR="00F304B4" w:rsidRPr="009510BC">
        <w:t>Экологическая коалиция по стандартам (ECOS)</w:t>
      </w:r>
      <w:r w:rsidR="00021970" w:rsidRPr="00021970">
        <w:t>;</w:t>
      </w:r>
    </w:p>
    <w:p w14:paraId="7C8E90C5" w14:textId="7686B01D" w:rsidR="00F304B4" w:rsidRPr="00021970" w:rsidRDefault="000A7C42" w:rsidP="000A7C42">
      <w:pPr>
        <w:pStyle w:val="enumlev1"/>
        <w:rPr>
          <w:rFonts w:eastAsia="SimSun" w:cs="Arial"/>
        </w:rPr>
      </w:pPr>
      <w:r>
        <w:t>−</w:t>
      </w:r>
      <w:r>
        <w:tab/>
      </w:r>
      <w:r w:rsidR="00F304B4" w:rsidRPr="009510BC">
        <w:t>Международный аналитический центр по ЛЛДС (ITTLLDC)</w:t>
      </w:r>
      <w:r w:rsidR="00021970" w:rsidRPr="00021970">
        <w:t>;</w:t>
      </w:r>
    </w:p>
    <w:p w14:paraId="0454D0FA" w14:textId="281F4BA9" w:rsidR="00F304B4" w:rsidRPr="00021970" w:rsidRDefault="000A7C42" w:rsidP="000A7C42">
      <w:pPr>
        <w:pStyle w:val="enumlev1"/>
        <w:rPr>
          <w:rFonts w:eastAsia="SimSun" w:cs="Arial"/>
        </w:rPr>
      </w:pPr>
      <w:r>
        <w:t>−</w:t>
      </w:r>
      <w:r>
        <w:tab/>
      </w:r>
      <w:r w:rsidR="00F304B4" w:rsidRPr="009510BC">
        <w:t>Объединение профессиональных организаций в области ИКТ региона ЗАЭВС (ROPTIC)</w:t>
      </w:r>
      <w:r w:rsidR="00021970" w:rsidRPr="00021970">
        <w:t>.</w:t>
      </w:r>
    </w:p>
    <w:p w14:paraId="44E1C097" w14:textId="1B691B39" w:rsidR="00F304B4" w:rsidRPr="009510BC" w:rsidRDefault="000A7C42" w:rsidP="000A7C42">
      <w:pPr>
        <w:pStyle w:val="Heading2"/>
        <w:rPr>
          <w:rFonts w:eastAsia="SimSun" w:cs="Arial"/>
          <w:szCs w:val="24"/>
        </w:rPr>
      </w:pPr>
      <w:r>
        <w:t>2.3</w:t>
      </w:r>
      <w:r>
        <w:tab/>
      </w:r>
      <w:r w:rsidR="00F304B4" w:rsidRPr="009510BC">
        <w:t>Ожидающие утверждения Члены Сектора и Ассоциированные члены МСЭ-D</w:t>
      </w:r>
    </w:p>
    <w:p w14:paraId="23A63C6B" w14:textId="77777777" w:rsidR="00F304B4" w:rsidRPr="009510BC" w:rsidRDefault="00F304B4" w:rsidP="000A7C42">
      <w:pPr>
        <w:spacing w:after="120"/>
      </w:pPr>
      <w:r w:rsidRPr="009510BC">
        <w:t xml:space="preserve">По состоянию на март 2025 года </w:t>
      </w:r>
      <w:r w:rsidRPr="009510BC">
        <w:rPr>
          <w:b/>
          <w:bCs/>
        </w:rPr>
        <w:t>тринадцать объединений</w:t>
      </w:r>
      <w:r w:rsidRPr="009510BC">
        <w:t xml:space="preserve"> </w:t>
      </w:r>
      <w:r w:rsidRPr="009510BC">
        <w:rPr>
          <w:b/>
          <w:bCs/>
        </w:rPr>
        <w:t>ожидали разрешения</w:t>
      </w:r>
      <w:r w:rsidRPr="009510BC">
        <w:t xml:space="preserve"> от своих соответствующих администраций. Мы хотели бы поблагодарить администрации объединений частного сектора, которые, как мы понимаем, уделяют должное внимание и рассматривают заявки на членство в МСЭ-D.</w:t>
      </w:r>
    </w:p>
    <w:tbl>
      <w:tblPr>
        <w:tblW w:w="9609" w:type="dxa"/>
        <w:tblLayout w:type="fixed"/>
        <w:tblLook w:val="04A0" w:firstRow="1" w:lastRow="0" w:firstColumn="1" w:lastColumn="0" w:noHBand="0" w:noVBand="1"/>
      </w:tblPr>
      <w:tblGrid>
        <w:gridCol w:w="4045"/>
        <w:gridCol w:w="2970"/>
        <w:gridCol w:w="2594"/>
      </w:tblGrid>
      <w:tr w:rsidR="000A7C42" w:rsidRPr="000A7C42" w14:paraId="145B3182" w14:textId="77777777" w:rsidTr="000A7C42">
        <w:trPr>
          <w:trHeight w:val="288"/>
        </w:trPr>
        <w:tc>
          <w:tcPr>
            <w:tcW w:w="4045" w:type="dxa"/>
            <w:tcBorders>
              <w:top w:val="single" w:sz="4" w:space="0" w:color="44B3E1"/>
              <w:left w:val="single" w:sz="4" w:space="0" w:color="44B3E1"/>
              <w:bottom w:val="single" w:sz="4" w:space="0" w:color="auto"/>
              <w:right w:val="nil"/>
            </w:tcBorders>
            <w:shd w:val="clear" w:color="156082" w:fill="156082"/>
            <w:noWrap/>
            <w:vAlign w:val="bottom"/>
            <w:hideMark/>
          </w:tcPr>
          <w:p w14:paraId="3B68AD5D" w14:textId="77777777" w:rsidR="00F304B4" w:rsidRPr="000A7C42" w:rsidRDefault="00F304B4" w:rsidP="000A7C42">
            <w:pPr>
              <w:pStyle w:val="Tablehead"/>
              <w:rPr>
                <w:rFonts w:cstheme="minorHAnsi"/>
                <w:color w:val="FFFFFF" w:themeColor="background1"/>
              </w:rPr>
            </w:pPr>
            <w:r w:rsidRPr="000A7C42">
              <w:rPr>
                <w:color w:val="FFFFFF" w:themeColor="background1"/>
              </w:rPr>
              <w:t>Учетная запись</w:t>
            </w:r>
          </w:p>
        </w:tc>
        <w:tc>
          <w:tcPr>
            <w:tcW w:w="2970" w:type="dxa"/>
            <w:tcBorders>
              <w:top w:val="single" w:sz="4" w:space="0" w:color="44B3E1"/>
              <w:left w:val="nil"/>
              <w:bottom w:val="single" w:sz="4" w:space="0" w:color="auto"/>
              <w:right w:val="nil"/>
            </w:tcBorders>
            <w:shd w:val="clear" w:color="156082" w:fill="156082"/>
            <w:noWrap/>
            <w:vAlign w:val="bottom"/>
            <w:hideMark/>
          </w:tcPr>
          <w:p w14:paraId="39CF901E" w14:textId="77777777" w:rsidR="00F304B4" w:rsidRPr="000A7C42" w:rsidRDefault="00F304B4" w:rsidP="000A7C42">
            <w:pPr>
              <w:pStyle w:val="Tablehead"/>
              <w:rPr>
                <w:rFonts w:cstheme="minorHAnsi"/>
                <w:color w:val="FFFFFF" w:themeColor="background1"/>
              </w:rPr>
            </w:pPr>
            <w:r w:rsidRPr="000A7C42">
              <w:rPr>
                <w:color w:val="FFFFFF" w:themeColor="background1"/>
              </w:rPr>
              <w:t>Страна</w:t>
            </w:r>
          </w:p>
        </w:tc>
        <w:tc>
          <w:tcPr>
            <w:tcW w:w="2594" w:type="dxa"/>
            <w:tcBorders>
              <w:top w:val="single" w:sz="4" w:space="0" w:color="44B3E1"/>
              <w:left w:val="nil"/>
              <w:bottom w:val="single" w:sz="4" w:space="0" w:color="auto"/>
              <w:right w:val="single" w:sz="4" w:space="0" w:color="44B3E1"/>
            </w:tcBorders>
            <w:shd w:val="clear" w:color="156082" w:fill="156082"/>
            <w:noWrap/>
            <w:vAlign w:val="bottom"/>
            <w:hideMark/>
          </w:tcPr>
          <w:p w14:paraId="6AD8A5BD" w14:textId="77777777" w:rsidR="00F304B4" w:rsidRPr="000A7C42" w:rsidRDefault="00F304B4" w:rsidP="000A7C42">
            <w:pPr>
              <w:pStyle w:val="Tablehead"/>
              <w:rPr>
                <w:rFonts w:cstheme="minorHAnsi"/>
                <w:color w:val="FFFFFF" w:themeColor="background1"/>
              </w:rPr>
            </w:pPr>
            <w:r w:rsidRPr="000A7C42">
              <w:rPr>
                <w:color w:val="FFFFFF" w:themeColor="background1"/>
              </w:rPr>
              <w:t>Тип членства</w:t>
            </w:r>
          </w:p>
        </w:tc>
      </w:tr>
      <w:tr w:rsidR="00F304B4" w:rsidRPr="007D2E2C" w14:paraId="47EF2420"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auto" w:fill="auto"/>
            <w:noWrap/>
            <w:vAlign w:val="bottom"/>
            <w:hideMark/>
          </w:tcPr>
          <w:p w14:paraId="098706CC" w14:textId="77777777" w:rsidR="00F304B4" w:rsidRPr="00F304B4" w:rsidRDefault="00F304B4" w:rsidP="000A7C42">
            <w:pPr>
              <w:pStyle w:val="Tabletext"/>
              <w:rPr>
                <w:rFonts w:cstheme="minorHAnsi"/>
                <w:lang w:val="en-GB"/>
              </w:rPr>
            </w:pPr>
            <w:r w:rsidRPr="00F304B4">
              <w:rPr>
                <w:lang w:val="en-GB"/>
              </w:rPr>
              <w:t>TELECOMUNICACIONES GRAN CARIBE, S.A.</w:t>
            </w:r>
          </w:p>
        </w:tc>
        <w:tc>
          <w:tcPr>
            <w:tcW w:w="2970" w:type="dxa"/>
            <w:tcBorders>
              <w:top w:val="single" w:sz="4" w:space="0" w:color="44B3E1"/>
              <w:left w:val="nil"/>
              <w:bottom w:val="single" w:sz="4" w:space="0" w:color="44B3E1"/>
              <w:right w:val="nil"/>
            </w:tcBorders>
            <w:shd w:val="clear" w:color="auto" w:fill="auto"/>
            <w:noWrap/>
            <w:vAlign w:val="bottom"/>
            <w:hideMark/>
          </w:tcPr>
          <w:p w14:paraId="1C1C66ED" w14:textId="77777777" w:rsidR="00F304B4" w:rsidRPr="007D2E2C" w:rsidRDefault="00F304B4" w:rsidP="000A7C42">
            <w:pPr>
              <w:pStyle w:val="Tabletext"/>
              <w:rPr>
                <w:rFonts w:cstheme="minorHAnsi"/>
              </w:rPr>
            </w:pPr>
            <w:r w:rsidRPr="007D2E2C">
              <w:t>Венесуэла</w:t>
            </w:r>
          </w:p>
        </w:tc>
        <w:tc>
          <w:tcPr>
            <w:tcW w:w="2594" w:type="dxa"/>
            <w:tcBorders>
              <w:top w:val="single" w:sz="4" w:space="0" w:color="44B3E1"/>
              <w:left w:val="nil"/>
              <w:bottom w:val="single" w:sz="4" w:space="0" w:color="44B3E1"/>
              <w:right w:val="single" w:sz="4" w:space="0" w:color="44B3E1"/>
            </w:tcBorders>
            <w:shd w:val="clear" w:color="auto" w:fill="auto"/>
            <w:noWrap/>
            <w:vAlign w:val="bottom"/>
            <w:hideMark/>
          </w:tcPr>
          <w:p w14:paraId="08A54906" w14:textId="77777777" w:rsidR="00F304B4" w:rsidRPr="007D2E2C" w:rsidRDefault="00F304B4" w:rsidP="000A7C42">
            <w:pPr>
              <w:pStyle w:val="Tabletext"/>
              <w:rPr>
                <w:rFonts w:cstheme="minorHAnsi"/>
              </w:rPr>
            </w:pPr>
            <w:r w:rsidRPr="007D2E2C">
              <w:t>ЧЛЕН СЕКТОРА МСЭ-D</w:t>
            </w:r>
          </w:p>
        </w:tc>
      </w:tr>
      <w:tr w:rsidR="00F304B4" w:rsidRPr="007D2E2C" w14:paraId="5CBF57DD"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C0E6F5" w:fill="C0E6F5"/>
            <w:noWrap/>
            <w:vAlign w:val="bottom"/>
            <w:hideMark/>
          </w:tcPr>
          <w:p w14:paraId="3C49BB43" w14:textId="77777777" w:rsidR="00F304B4" w:rsidRPr="007D2E2C" w:rsidRDefault="00F304B4" w:rsidP="000A7C42">
            <w:pPr>
              <w:pStyle w:val="Tabletext"/>
              <w:rPr>
                <w:rFonts w:cstheme="minorHAnsi"/>
              </w:rPr>
            </w:pPr>
            <w:r w:rsidRPr="007D2E2C">
              <w:t>Motion Technology</w:t>
            </w:r>
          </w:p>
        </w:tc>
        <w:tc>
          <w:tcPr>
            <w:tcW w:w="2970" w:type="dxa"/>
            <w:tcBorders>
              <w:top w:val="single" w:sz="4" w:space="0" w:color="44B3E1"/>
              <w:left w:val="nil"/>
              <w:bottom w:val="single" w:sz="4" w:space="0" w:color="44B3E1"/>
              <w:right w:val="nil"/>
            </w:tcBorders>
            <w:shd w:val="clear" w:color="C0E6F5" w:fill="C0E6F5"/>
            <w:noWrap/>
            <w:vAlign w:val="bottom"/>
            <w:hideMark/>
          </w:tcPr>
          <w:p w14:paraId="73A1D8CC" w14:textId="77777777" w:rsidR="00F304B4" w:rsidRPr="007D2E2C" w:rsidRDefault="00F304B4" w:rsidP="000A7C42">
            <w:pPr>
              <w:pStyle w:val="Tabletext"/>
              <w:rPr>
                <w:rFonts w:cstheme="minorHAnsi"/>
              </w:rPr>
            </w:pPr>
            <w:r w:rsidRPr="007D2E2C">
              <w:t>Ирак</w:t>
            </w:r>
          </w:p>
        </w:tc>
        <w:tc>
          <w:tcPr>
            <w:tcW w:w="2594" w:type="dxa"/>
            <w:tcBorders>
              <w:top w:val="single" w:sz="4" w:space="0" w:color="44B3E1"/>
              <w:left w:val="nil"/>
              <w:bottom w:val="single" w:sz="4" w:space="0" w:color="44B3E1"/>
              <w:right w:val="single" w:sz="4" w:space="0" w:color="44B3E1"/>
            </w:tcBorders>
            <w:shd w:val="clear" w:color="C0E6F5" w:fill="C0E6F5"/>
            <w:noWrap/>
            <w:vAlign w:val="bottom"/>
            <w:hideMark/>
          </w:tcPr>
          <w:p w14:paraId="2306F3AF" w14:textId="77777777" w:rsidR="00F304B4" w:rsidRPr="007D2E2C" w:rsidRDefault="00F304B4" w:rsidP="000A7C42">
            <w:pPr>
              <w:pStyle w:val="Tabletext"/>
              <w:rPr>
                <w:rFonts w:cstheme="minorHAnsi"/>
              </w:rPr>
            </w:pPr>
            <w:r w:rsidRPr="007D2E2C">
              <w:t>АССОЦИИРОВАННЫЙ ЧЛЕН ИК2 МСЭ-D</w:t>
            </w:r>
          </w:p>
        </w:tc>
      </w:tr>
      <w:tr w:rsidR="00F304B4" w:rsidRPr="007D2E2C" w14:paraId="66D12AB0"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auto" w:fill="auto"/>
            <w:noWrap/>
            <w:vAlign w:val="bottom"/>
            <w:hideMark/>
          </w:tcPr>
          <w:p w14:paraId="339AAA94" w14:textId="77777777" w:rsidR="00F304B4" w:rsidRPr="007D2E2C" w:rsidRDefault="00F304B4" w:rsidP="000A7C42">
            <w:pPr>
              <w:pStyle w:val="Tabletext"/>
              <w:rPr>
                <w:rFonts w:cstheme="minorHAnsi"/>
              </w:rPr>
            </w:pPr>
            <w:r w:rsidRPr="007D2E2C">
              <w:t>RenaCorp Technologies (PTY) Ltd</w:t>
            </w:r>
          </w:p>
        </w:tc>
        <w:tc>
          <w:tcPr>
            <w:tcW w:w="2970" w:type="dxa"/>
            <w:tcBorders>
              <w:top w:val="single" w:sz="4" w:space="0" w:color="44B3E1"/>
              <w:left w:val="nil"/>
              <w:bottom w:val="single" w:sz="4" w:space="0" w:color="44B3E1"/>
              <w:right w:val="nil"/>
            </w:tcBorders>
            <w:shd w:val="clear" w:color="auto" w:fill="auto"/>
            <w:noWrap/>
            <w:vAlign w:val="bottom"/>
            <w:hideMark/>
          </w:tcPr>
          <w:p w14:paraId="4F8EBBD1" w14:textId="77777777" w:rsidR="00F304B4" w:rsidRPr="007D2E2C" w:rsidRDefault="00F304B4" w:rsidP="000A7C42">
            <w:pPr>
              <w:pStyle w:val="Tabletext"/>
              <w:rPr>
                <w:rFonts w:cstheme="minorHAnsi"/>
              </w:rPr>
            </w:pPr>
            <w:r w:rsidRPr="007D2E2C">
              <w:t>Южно-Африканская Республика</w:t>
            </w:r>
          </w:p>
        </w:tc>
        <w:tc>
          <w:tcPr>
            <w:tcW w:w="2594" w:type="dxa"/>
            <w:tcBorders>
              <w:top w:val="single" w:sz="4" w:space="0" w:color="44B3E1"/>
              <w:left w:val="nil"/>
              <w:bottom w:val="single" w:sz="4" w:space="0" w:color="44B3E1"/>
              <w:right w:val="single" w:sz="4" w:space="0" w:color="44B3E1"/>
            </w:tcBorders>
            <w:shd w:val="clear" w:color="auto" w:fill="auto"/>
            <w:noWrap/>
            <w:vAlign w:val="bottom"/>
            <w:hideMark/>
          </w:tcPr>
          <w:p w14:paraId="31C828C7" w14:textId="77777777" w:rsidR="00F304B4" w:rsidRPr="007D2E2C" w:rsidRDefault="00F304B4" w:rsidP="000A7C42">
            <w:pPr>
              <w:pStyle w:val="Tabletext"/>
              <w:rPr>
                <w:rFonts w:cstheme="minorHAnsi"/>
              </w:rPr>
            </w:pPr>
            <w:r w:rsidRPr="007D2E2C">
              <w:t>ЧЛЕН СЕКТОРА МСЭ-D</w:t>
            </w:r>
          </w:p>
        </w:tc>
      </w:tr>
      <w:tr w:rsidR="00F304B4" w:rsidRPr="007D2E2C" w14:paraId="3F2F976D"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C0E6F5" w:fill="C0E6F5"/>
            <w:noWrap/>
            <w:vAlign w:val="bottom"/>
            <w:hideMark/>
          </w:tcPr>
          <w:p w14:paraId="015F9E53" w14:textId="77777777" w:rsidR="00F304B4" w:rsidRPr="00021970" w:rsidRDefault="00F304B4" w:rsidP="000A7C42">
            <w:pPr>
              <w:pStyle w:val="Tabletext"/>
              <w:rPr>
                <w:rFonts w:cstheme="minorHAnsi"/>
                <w:lang w:val="fr-FR"/>
              </w:rPr>
            </w:pPr>
            <w:r w:rsidRPr="00021970">
              <w:rPr>
                <w:lang w:val="fr-FR"/>
              </w:rPr>
              <w:t>Organisation des Jeunes pour le Monde d'Avenir (OJMA)</w:t>
            </w:r>
          </w:p>
        </w:tc>
        <w:tc>
          <w:tcPr>
            <w:tcW w:w="2970" w:type="dxa"/>
            <w:tcBorders>
              <w:top w:val="single" w:sz="4" w:space="0" w:color="44B3E1"/>
              <w:left w:val="nil"/>
              <w:bottom w:val="single" w:sz="4" w:space="0" w:color="44B3E1"/>
              <w:right w:val="nil"/>
            </w:tcBorders>
            <w:shd w:val="clear" w:color="C0E6F5" w:fill="C0E6F5"/>
            <w:noWrap/>
            <w:vAlign w:val="bottom"/>
            <w:hideMark/>
          </w:tcPr>
          <w:p w14:paraId="4C497758" w14:textId="77777777" w:rsidR="00F304B4" w:rsidRPr="007D2E2C" w:rsidRDefault="00F304B4" w:rsidP="000A7C42">
            <w:pPr>
              <w:pStyle w:val="Tabletext"/>
              <w:rPr>
                <w:rFonts w:cstheme="minorHAnsi"/>
              </w:rPr>
            </w:pPr>
            <w:r w:rsidRPr="007D2E2C">
              <w:t>Демократическая Республика Конго</w:t>
            </w:r>
          </w:p>
        </w:tc>
        <w:tc>
          <w:tcPr>
            <w:tcW w:w="2594" w:type="dxa"/>
            <w:tcBorders>
              <w:top w:val="single" w:sz="4" w:space="0" w:color="44B3E1"/>
              <w:left w:val="nil"/>
              <w:bottom w:val="single" w:sz="4" w:space="0" w:color="44B3E1"/>
              <w:right w:val="single" w:sz="4" w:space="0" w:color="44B3E1"/>
            </w:tcBorders>
            <w:shd w:val="clear" w:color="C0E6F5" w:fill="C0E6F5"/>
            <w:noWrap/>
            <w:vAlign w:val="bottom"/>
            <w:hideMark/>
          </w:tcPr>
          <w:p w14:paraId="397456B8" w14:textId="77777777" w:rsidR="00F304B4" w:rsidRPr="007D2E2C" w:rsidRDefault="00F304B4" w:rsidP="000A7C42">
            <w:pPr>
              <w:pStyle w:val="Tabletext"/>
              <w:rPr>
                <w:rFonts w:cstheme="minorHAnsi"/>
              </w:rPr>
            </w:pPr>
            <w:r w:rsidRPr="007D2E2C">
              <w:t>АССОЦИИРОВАННЫЙ ЧЛЕН ИК2 МСЭ-D</w:t>
            </w:r>
          </w:p>
        </w:tc>
      </w:tr>
      <w:tr w:rsidR="00F304B4" w:rsidRPr="007D2E2C" w14:paraId="51D2DABC"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auto" w:fill="auto"/>
            <w:noWrap/>
            <w:vAlign w:val="bottom"/>
            <w:hideMark/>
          </w:tcPr>
          <w:p w14:paraId="1FD10E7C" w14:textId="77777777" w:rsidR="00F304B4" w:rsidRPr="007D2E2C" w:rsidRDefault="00F304B4" w:rsidP="000A7C42">
            <w:pPr>
              <w:pStyle w:val="Tabletext"/>
              <w:rPr>
                <w:rFonts w:cstheme="minorHAnsi"/>
              </w:rPr>
            </w:pPr>
            <w:r w:rsidRPr="007D2E2C">
              <w:t>Windup Software, LLC</w:t>
            </w:r>
          </w:p>
        </w:tc>
        <w:tc>
          <w:tcPr>
            <w:tcW w:w="2970" w:type="dxa"/>
            <w:tcBorders>
              <w:top w:val="single" w:sz="4" w:space="0" w:color="44B3E1"/>
              <w:left w:val="nil"/>
              <w:bottom w:val="single" w:sz="4" w:space="0" w:color="44B3E1"/>
              <w:right w:val="nil"/>
            </w:tcBorders>
            <w:shd w:val="clear" w:color="auto" w:fill="auto"/>
            <w:noWrap/>
            <w:vAlign w:val="bottom"/>
            <w:hideMark/>
          </w:tcPr>
          <w:p w14:paraId="32257560" w14:textId="77777777" w:rsidR="00F304B4" w:rsidRPr="007D2E2C" w:rsidRDefault="00F304B4" w:rsidP="000A7C42">
            <w:pPr>
              <w:pStyle w:val="Tabletext"/>
              <w:rPr>
                <w:rFonts w:cstheme="minorHAnsi"/>
              </w:rPr>
            </w:pPr>
            <w:r w:rsidRPr="007D2E2C">
              <w:t>Узбекистан</w:t>
            </w:r>
          </w:p>
        </w:tc>
        <w:tc>
          <w:tcPr>
            <w:tcW w:w="2594" w:type="dxa"/>
            <w:tcBorders>
              <w:top w:val="single" w:sz="4" w:space="0" w:color="44B3E1"/>
              <w:left w:val="nil"/>
              <w:bottom w:val="single" w:sz="4" w:space="0" w:color="44B3E1"/>
              <w:right w:val="single" w:sz="4" w:space="0" w:color="44B3E1"/>
            </w:tcBorders>
            <w:shd w:val="clear" w:color="auto" w:fill="auto"/>
            <w:noWrap/>
            <w:vAlign w:val="bottom"/>
            <w:hideMark/>
          </w:tcPr>
          <w:p w14:paraId="6214C4E8" w14:textId="77777777" w:rsidR="00F304B4" w:rsidRPr="007D2E2C" w:rsidRDefault="00F304B4" w:rsidP="000A7C42">
            <w:pPr>
              <w:pStyle w:val="Tabletext"/>
              <w:rPr>
                <w:rFonts w:cstheme="minorHAnsi"/>
              </w:rPr>
            </w:pPr>
            <w:r w:rsidRPr="007D2E2C">
              <w:t>АССОЦИИРОВАННЫЙ ЧЛЕН ИК2 МСЭ-D</w:t>
            </w:r>
          </w:p>
        </w:tc>
      </w:tr>
      <w:tr w:rsidR="00F304B4" w:rsidRPr="007D2E2C" w14:paraId="759D1270"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C0E6F5" w:fill="C0E6F5"/>
            <w:noWrap/>
            <w:vAlign w:val="bottom"/>
            <w:hideMark/>
          </w:tcPr>
          <w:p w14:paraId="211E5210" w14:textId="77777777" w:rsidR="00F304B4" w:rsidRPr="007D2E2C" w:rsidRDefault="00F304B4" w:rsidP="000A7C42">
            <w:pPr>
              <w:pStyle w:val="Tabletext"/>
              <w:rPr>
                <w:rFonts w:cstheme="minorHAnsi"/>
              </w:rPr>
            </w:pPr>
            <w:r w:rsidRPr="007D2E2C">
              <w:t>UNACU Professional Organisation Limited</w:t>
            </w:r>
          </w:p>
        </w:tc>
        <w:tc>
          <w:tcPr>
            <w:tcW w:w="2970" w:type="dxa"/>
            <w:tcBorders>
              <w:top w:val="single" w:sz="4" w:space="0" w:color="44B3E1"/>
              <w:left w:val="nil"/>
              <w:bottom w:val="single" w:sz="4" w:space="0" w:color="44B3E1"/>
              <w:right w:val="nil"/>
            </w:tcBorders>
            <w:shd w:val="clear" w:color="C0E6F5" w:fill="C0E6F5"/>
            <w:noWrap/>
            <w:vAlign w:val="bottom"/>
            <w:hideMark/>
          </w:tcPr>
          <w:p w14:paraId="233EFBA4" w14:textId="77777777" w:rsidR="00F304B4" w:rsidRPr="007D2E2C" w:rsidRDefault="00F304B4" w:rsidP="000A7C42">
            <w:pPr>
              <w:pStyle w:val="Tabletext"/>
              <w:rPr>
                <w:rFonts w:cstheme="minorHAnsi"/>
              </w:rPr>
            </w:pPr>
            <w:r w:rsidRPr="007D2E2C">
              <w:t>Уганда</w:t>
            </w:r>
          </w:p>
        </w:tc>
        <w:tc>
          <w:tcPr>
            <w:tcW w:w="2594" w:type="dxa"/>
            <w:tcBorders>
              <w:top w:val="single" w:sz="4" w:space="0" w:color="44B3E1"/>
              <w:left w:val="nil"/>
              <w:bottom w:val="single" w:sz="4" w:space="0" w:color="44B3E1"/>
              <w:right w:val="single" w:sz="4" w:space="0" w:color="44B3E1"/>
            </w:tcBorders>
            <w:shd w:val="clear" w:color="C0E6F5" w:fill="C0E6F5"/>
            <w:noWrap/>
            <w:vAlign w:val="bottom"/>
            <w:hideMark/>
          </w:tcPr>
          <w:p w14:paraId="42489586" w14:textId="77777777" w:rsidR="00F304B4" w:rsidRPr="007D2E2C" w:rsidRDefault="00F304B4" w:rsidP="000A7C42">
            <w:pPr>
              <w:pStyle w:val="Tabletext"/>
              <w:rPr>
                <w:rFonts w:cstheme="minorHAnsi"/>
              </w:rPr>
            </w:pPr>
            <w:r w:rsidRPr="007D2E2C">
              <w:t>ЧЛЕН СЕКТОРА МСЭ-D</w:t>
            </w:r>
          </w:p>
        </w:tc>
      </w:tr>
      <w:tr w:rsidR="00F304B4" w:rsidRPr="007D2E2C" w14:paraId="72B3B68F"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auto" w:fill="auto"/>
            <w:noWrap/>
            <w:vAlign w:val="bottom"/>
            <w:hideMark/>
          </w:tcPr>
          <w:p w14:paraId="25D94DF2" w14:textId="77777777" w:rsidR="00F304B4" w:rsidRPr="007D2E2C" w:rsidRDefault="00F304B4" w:rsidP="000A7C42">
            <w:pPr>
              <w:pStyle w:val="Tabletext"/>
              <w:rPr>
                <w:rFonts w:cstheme="minorHAnsi"/>
              </w:rPr>
            </w:pPr>
            <w:r w:rsidRPr="007D2E2C">
              <w:t>Accenture S.p.A.</w:t>
            </w:r>
          </w:p>
        </w:tc>
        <w:tc>
          <w:tcPr>
            <w:tcW w:w="2970" w:type="dxa"/>
            <w:tcBorders>
              <w:top w:val="single" w:sz="4" w:space="0" w:color="44B3E1"/>
              <w:left w:val="nil"/>
              <w:bottom w:val="single" w:sz="4" w:space="0" w:color="44B3E1"/>
              <w:right w:val="nil"/>
            </w:tcBorders>
            <w:shd w:val="clear" w:color="auto" w:fill="auto"/>
            <w:noWrap/>
            <w:vAlign w:val="bottom"/>
            <w:hideMark/>
          </w:tcPr>
          <w:p w14:paraId="1C900F1D" w14:textId="77777777" w:rsidR="00F304B4" w:rsidRPr="007D2E2C" w:rsidRDefault="00F304B4" w:rsidP="000A7C42">
            <w:pPr>
              <w:pStyle w:val="Tabletext"/>
              <w:rPr>
                <w:rFonts w:cstheme="minorHAnsi"/>
              </w:rPr>
            </w:pPr>
            <w:r w:rsidRPr="007D2E2C">
              <w:t>Италия</w:t>
            </w:r>
          </w:p>
        </w:tc>
        <w:tc>
          <w:tcPr>
            <w:tcW w:w="2594" w:type="dxa"/>
            <w:tcBorders>
              <w:top w:val="single" w:sz="4" w:space="0" w:color="44B3E1"/>
              <w:left w:val="nil"/>
              <w:bottom w:val="single" w:sz="4" w:space="0" w:color="44B3E1"/>
              <w:right w:val="single" w:sz="4" w:space="0" w:color="44B3E1"/>
            </w:tcBorders>
            <w:shd w:val="clear" w:color="auto" w:fill="auto"/>
            <w:noWrap/>
            <w:vAlign w:val="bottom"/>
            <w:hideMark/>
          </w:tcPr>
          <w:p w14:paraId="5DA088FA" w14:textId="77777777" w:rsidR="00F304B4" w:rsidRPr="007D2E2C" w:rsidRDefault="00F304B4" w:rsidP="000A7C42">
            <w:pPr>
              <w:pStyle w:val="Tabletext"/>
              <w:rPr>
                <w:rFonts w:cstheme="minorHAnsi"/>
              </w:rPr>
            </w:pPr>
            <w:r w:rsidRPr="007D2E2C">
              <w:t>ЧЛЕН СЕКТОРА МСЭ-D</w:t>
            </w:r>
          </w:p>
        </w:tc>
      </w:tr>
      <w:tr w:rsidR="00F304B4" w:rsidRPr="007D2E2C" w14:paraId="78F234FD"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C0E6F5" w:fill="C0E6F5"/>
            <w:noWrap/>
            <w:vAlign w:val="bottom"/>
            <w:hideMark/>
          </w:tcPr>
          <w:p w14:paraId="736F80AF" w14:textId="77777777" w:rsidR="00F304B4" w:rsidRPr="007D2E2C" w:rsidRDefault="00F304B4" w:rsidP="000A7C42">
            <w:pPr>
              <w:pStyle w:val="Tabletext"/>
              <w:rPr>
                <w:rFonts w:cstheme="minorHAnsi"/>
              </w:rPr>
            </w:pPr>
            <w:r w:rsidRPr="007D2E2C">
              <w:t>IAIDL LLC</w:t>
            </w:r>
          </w:p>
        </w:tc>
        <w:tc>
          <w:tcPr>
            <w:tcW w:w="2970" w:type="dxa"/>
            <w:tcBorders>
              <w:top w:val="single" w:sz="4" w:space="0" w:color="44B3E1"/>
              <w:left w:val="nil"/>
              <w:bottom w:val="single" w:sz="4" w:space="0" w:color="44B3E1"/>
              <w:right w:val="nil"/>
            </w:tcBorders>
            <w:shd w:val="clear" w:color="C0E6F5" w:fill="C0E6F5"/>
            <w:noWrap/>
            <w:vAlign w:val="bottom"/>
            <w:hideMark/>
          </w:tcPr>
          <w:p w14:paraId="17A8B9C8" w14:textId="77777777" w:rsidR="00F304B4" w:rsidRPr="007D2E2C" w:rsidRDefault="00F304B4" w:rsidP="000A7C42">
            <w:pPr>
              <w:pStyle w:val="Tabletext"/>
              <w:rPr>
                <w:rFonts w:cstheme="minorHAnsi"/>
              </w:rPr>
            </w:pPr>
            <w:r w:rsidRPr="007D2E2C">
              <w:t>Соединенный Штаты Америки</w:t>
            </w:r>
          </w:p>
        </w:tc>
        <w:tc>
          <w:tcPr>
            <w:tcW w:w="2594" w:type="dxa"/>
            <w:tcBorders>
              <w:top w:val="single" w:sz="4" w:space="0" w:color="44B3E1"/>
              <w:left w:val="nil"/>
              <w:bottom w:val="single" w:sz="4" w:space="0" w:color="44B3E1"/>
              <w:right w:val="single" w:sz="4" w:space="0" w:color="44B3E1"/>
            </w:tcBorders>
            <w:shd w:val="clear" w:color="C0E6F5" w:fill="C0E6F5"/>
            <w:noWrap/>
            <w:vAlign w:val="bottom"/>
            <w:hideMark/>
          </w:tcPr>
          <w:p w14:paraId="3EEBD90A" w14:textId="77777777" w:rsidR="00F304B4" w:rsidRPr="007D2E2C" w:rsidRDefault="00F304B4" w:rsidP="000A7C42">
            <w:pPr>
              <w:pStyle w:val="Tabletext"/>
              <w:rPr>
                <w:rFonts w:cstheme="minorHAnsi"/>
              </w:rPr>
            </w:pPr>
            <w:r w:rsidRPr="007D2E2C">
              <w:t>АССОЦИИРОВАННЫЙ ЧЛЕН ИК1 МСЭ-D</w:t>
            </w:r>
          </w:p>
        </w:tc>
      </w:tr>
      <w:tr w:rsidR="00F304B4" w:rsidRPr="007D2E2C" w14:paraId="61516958"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auto" w:fill="auto"/>
            <w:noWrap/>
            <w:vAlign w:val="bottom"/>
            <w:hideMark/>
          </w:tcPr>
          <w:p w14:paraId="7EE7BE60" w14:textId="77777777" w:rsidR="00F304B4" w:rsidRPr="007D2E2C" w:rsidRDefault="00F304B4" w:rsidP="000A7C42">
            <w:pPr>
              <w:pStyle w:val="Tabletext"/>
              <w:rPr>
                <w:rFonts w:cstheme="minorHAnsi"/>
              </w:rPr>
            </w:pPr>
            <w:r w:rsidRPr="007D2E2C">
              <w:t>Yemen Mobile</w:t>
            </w:r>
          </w:p>
        </w:tc>
        <w:tc>
          <w:tcPr>
            <w:tcW w:w="2970" w:type="dxa"/>
            <w:tcBorders>
              <w:top w:val="single" w:sz="4" w:space="0" w:color="44B3E1"/>
              <w:left w:val="nil"/>
              <w:bottom w:val="single" w:sz="4" w:space="0" w:color="44B3E1"/>
              <w:right w:val="nil"/>
            </w:tcBorders>
            <w:shd w:val="clear" w:color="auto" w:fill="auto"/>
            <w:noWrap/>
            <w:vAlign w:val="bottom"/>
            <w:hideMark/>
          </w:tcPr>
          <w:p w14:paraId="1B7F5B71" w14:textId="77777777" w:rsidR="00F304B4" w:rsidRPr="007D2E2C" w:rsidRDefault="00F304B4" w:rsidP="000A7C42">
            <w:pPr>
              <w:pStyle w:val="Tabletext"/>
              <w:rPr>
                <w:rFonts w:cstheme="minorHAnsi"/>
              </w:rPr>
            </w:pPr>
            <w:r w:rsidRPr="007D2E2C">
              <w:t>Йемен</w:t>
            </w:r>
          </w:p>
        </w:tc>
        <w:tc>
          <w:tcPr>
            <w:tcW w:w="2594" w:type="dxa"/>
            <w:tcBorders>
              <w:top w:val="single" w:sz="4" w:space="0" w:color="44B3E1"/>
              <w:left w:val="nil"/>
              <w:bottom w:val="single" w:sz="4" w:space="0" w:color="44B3E1"/>
              <w:right w:val="single" w:sz="4" w:space="0" w:color="44B3E1"/>
            </w:tcBorders>
            <w:shd w:val="clear" w:color="auto" w:fill="auto"/>
            <w:noWrap/>
            <w:vAlign w:val="bottom"/>
            <w:hideMark/>
          </w:tcPr>
          <w:p w14:paraId="7FE3CD8C" w14:textId="77777777" w:rsidR="00F304B4" w:rsidRPr="007D2E2C" w:rsidRDefault="00F304B4" w:rsidP="000A7C42">
            <w:pPr>
              <w:pStyle w:val="Tabletext"/>
              <w:rPr>
                <w:rFonts w:cstheme="minorHAnsi"/>
              </w:rPr>
            </w:pPr>
            <w:r w:rsidRPr="007D2E2C">
              <w:t>ЧЛЕН СЕКТОРА МСЭ-D</w:t>
            </w:r>
          </w:p>
        </w:tc>
      </w:tr>
      <w:tr w:rsidR="00F304B4" w:rsidRPr="007D2E2C" w14:paraId="2FAE31FF"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C0E6F5" w:fill="C0E6F5"/>
            <w:noWrap/>
            <w:vAlign w:val="bottom"/>
            <w:hideMark/>
          </w:tcPr>
          <w:p w14:paraId="0B434DFB" w14:textId="77777777" w:rsidR="00F304B4" w:rsidRPr="007D2E2C" w:rsidRDefault="00F304B4" w:rsidP="000A7C42">
            <w:pPr>
              <w:pStyle w:val="Tabletext"/>
              <w:rPr>
                <w:rFonts w:cstheme="minorHAnsi"/>
              </w:rPr>
            </w:pPr>
            <w:r w:rsidRPr="007D2E2C">
              <w:t>VeryPay</w:t>
            </w:r>
          </w:p>
        </w:tc>
        <w:tc>
          <w:tcPr>
            <w:tcW w:w="2970" w:type="dxa"/>
            <w:tcBorders>
              <w:top w:val="single" w:sz="4" w:space="0" w:color="44B3E1"/>
              <w:left w:val="nil"/>
              <w:bottom w:val="single" w:sz="4" w:space="0" w:color="44B3E1"/>
              <w:right w:val="nil"/>
            </w:tcBorders>
            <w:shd w:val="clear" w:color="C0E6F5" w:fill="C0E6F5"/>
            <w:noWrap/>
            <w:vAlign w:val="bottom"/>
            <w:hideMark/>
          </w:tcPr>
          <w:p w14:paraId="30135713" w14:textId="77777777" w:rsidR="00F304B4" w:rsidRPr="007D2E2C" w:rsidRDefault="00F304B4" w:rsidP="000A7C42">
            <w:pPr>
              <w:pStyle w:val="Tabletext"/>
              <w:rPr>
                <w:rFonts w:cstheme="minorHAnsi"/>
              </w:rPr>
            </w:pPr>
            <w:r w:rsidRPr="007D2E2C">
              <w:t>Уганда</w:t>
            </w:r>
          </w:p>
        </w:tc>
        <w:tc>
          <w:tcPr>
            <w:tcW w:w="2594" w:type="dxa"/>
            <w:tcBorders>
              <w:top w:val="single" w:sz="4" w:space="0" w:color="44B3E1"/>
              <w:left w:val="nil"/>
              <w:bottom w:val="single" w:sz="4" w:space="0" w:color="44B3E1"/>
              <w:right w:val="single" w:sz="4" w:space="0" w:color="44B3E1"/>
            </w:tcBorders>
            <w:shd w:val="clear" w:color="C0E6F5" w:fill="C0E6F5"/>
            <w:noWrap/>
            <w:vAlign w:val="bottom"/>
            <w:hideMark/>
          </w:tcPr>
          <w:p w14:paraId="710032EA" w14:textId="77777777" w:rsidR="00F304B4" w:rsidRPr="007D2E2C" w:rsidRDefault="00F304B4" w:rsidP="000A7C42">
            <w:pPr>
              <w:pStyle w:val="Tabletext"/>
              <w:rPr>
                <w:rFonts w:cstheme="minorHAnsi"/>
              </w:rPr>
            </w:pPr>
            <w:r w:rsidRPr="007D2E2C">
              <w:t>ЧЛЕН СЕКТОРА МСЭ-D</w:t>
            </w:r>
          </w:p>
        </w:tc>
      </w:tr>
      <w:tr w:rsidR="00F304B4" w:rsidRPr="007D2E2C" w14:paraId="09DDE567"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auto" w:fill="auto"/>
            <w:noWrap/>
            <w:vAlign w:val="bottom"/>
            <w:hideMark/>
          </w:tcPr>
          <w:p w14:paraId="48C0C832" w14:textId="77777777" w:rsidR="00F304B4" w:rsidRPr="007D2E2C" w:rsidRDefault="00F304B4" w:rsidP="000A7C42">
            <w:pPr>
              <w:pStyle w:val="Tabletext"/>
              <w:rPr>
                <w:rFonts w:cstheme="minorHAnsi"/>
              </w:rPr>
            </w:pPr>
            <w:r w:rsidRPr="007D2E2C">
              <w:t>Telecommunications Authority of Fiji</w:t>
            </w:r>
          </w:p>
        </w:tc>
        <w:tc>
          <w:tcPr>
            <w:tcW w:w="2970" w:type="dxa"/>
            <w:tcBorders>
              <w:top w:val="single" w:sz="4" w:space="0" w:color="44B3E1"/>
              <w:left w:val="nil"/>
              <w:bottom w:val="single" w:sz="4" w:space="0" w:color="44B3E1"/>
              <w:right w:val="nil"/>
            </w:tcBorders>
            <w:shd w:val="clear" w:color="auto" w:fill="auto"/>
            <w:noWrap/>
            <w:vAlign w:val="bottom"/>
            <w:hideMark/>
          </w:tcPr>
          <w:p w14:paraId="26CD07B9" w14:textId="77777777" w:rsidR="00F304B4" w:rsidRPr="007D2E2C" w:rsidRDefault="00F304B4" w:rsidP="000A7C42">
            <w:pPr>
              <w:pStyle w:val="Tabletext"/>
              <w:rPr>
                <w:rFonts w:cstheme="minorHAnsi"/>
              </w:rPr>
            </w:pPr>
            <w:r w:rsidRPr="007D2E2C">
              <w:t>Фиджи</w:t>
            </w:r>
          </w:p>
        </w:tc>
        <w:tc>
          <w:tcPr>
            <w:tcW w:w="2594" w:type="dxa"/>
            <w:tcBorders>
              <w:top w:val="single" w:sz="4" w:space="0" w:color="44B3E1"/>
              <w:left w:val="nil"/>
              <w:bottom w:val="single" w:sz="4" w:space="0" w:color="44B3E1"/>
              <w:right w:val="single" w:sz="4" w:space="0" w:color="44B3E1"/>
            </w:tcBorders>
            <w:shd w:val="clear" w:color="auto" w:fill="auto"/>
            <w:noWrap/>
            <w:vAlign w:val="bottom"/>
            <w:hideMark/>
          </w:tcPr>
          <w:p w14:paraId="22AE0AB7" w14:textId="77777777" w:rsidR="00F304B4" w:rsidRPr="007D2E2C" w:rsidRDefault="00F304B4" w:rsidP="000A7C42">
            <w:pPr>
              <w:pStyle w:val="Tabletext"/>
              <w:rPr>
                <w:rFonts w:cstheme="minorHAnsi"/>
              </w:rPr>
            </w:pPr>
            <w:r w:rsidRPr="007D2E2C">
              <w:t>АССОЦИИРОВАННЫЙ ЧЛЕН ИК2 МСЭ-D</w:t>
            </w:r>
          </w:p>
        </w:tc>
      </w:tr>
      <w:tr w:rsidR="00F304B4" w:rsidRPr="007D2E2C" w14:paraId="57B72840"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C0E6F5" w:fill="C0E6F5"/>
            <w:noWrap/>
            <w:vAlign w:val="bottom"/>
            <w:hideMark/>
          </w:tcPr>
          <w:p w14:paraId="20B64882" w14:textId="77777777" w:rsidR="00F304B4" w:rsidRPr="007D2E2C" w:rsidRDefault="00F304B4" w:rsidP="000A7C42">
            <w:pPr>
              <w:pStyle w:val="Tabletext"/>
              <w:rPr>
                <w:rFonts w:cstheme="minorHAnsi"/>
              </w:rPr>
            </w:pPr>
            <w:r w:rsidRPr="007D2E2C">
              <w:t>Beteseb Enterprises</w:t>
            </w:r>
          </w:p>
        </w:tc>
        <w:tc>
          <w:tcPr>
            <w:tcW w:w="2970" w:type="dxa"/>
            <w:tcBorders>
              <w:top w:val="single" w:sz="4" w:space="0" w:color="44B3E1"/>
              <w:left w:val="nil"/>
              <w:bottom w:val="single" w:sz="4" w:space="0" w:color="44B3E1"/>
              <w:right w:val="nil"/>
            </w:tcBorders>
            <w:shd w:val="clear" w:color="C0E6F5" w:fill="C0E6F5"/>
            <w:noWrap/>
            <w:vAlign w:val="bottom"/>
            <w:hideMark/>
          </w:tcPr>
          <w:p w14:paraId="0C085D86" w14:textId="77777777" w:rsidR="00F304B4" w:rsidRPr="007D2E2C" w:rsidRDefault="00F304B4" w:rsidP="000A7C42">
            <w:pPr>
              <w:pStyle w:val="Tabletext"/>
              <w:rPr>
                <w:rFonts w:cstheme="minorHAnsi"/>
              </w:rPr>
            </w:pPr>
            <w:r w:rsidRPr="007D2E2C">
              <w:t>Эфиопия</w:t>
            </w:r>
          </w:p>
        </w:tc>
        <w:tc>
          <w:tcPr>
            <w:tcW w:w="2594" w:type="dxa"/>
            <w:tcBorders>
              <w:top w:val="single" w:sz="4" w:space="0" w:color="44B3E1"/>
              <w:left w:val="nil"/>
              <w:bottom w:val="single" w:sz="4" w:space="0" w:color="44B3E1"/>
              <w:right w:val="single" w:sz="4" w:space="0" w:color="44B3E1"/>
            </w:tcBorders>
            <w:shd w:val="clear" w:color="C0E6F5" w:fill="C0E6F5"/>
            <w:noWrap/>
            <w:vAlign w:val="bottom"/>
            <w:hideMark/>
          </w:tcPr>
          <w:p w14:paraId="37F89D4B" w14:textId="77777777" w:rsidR="00F304B4" w:rsidRPr="007D2E2C" w:rsidRDefault="00F304B4" w:rsidP="000A7C42">
            <w:pPr>
              <w:pStyle w:val="Tabletext"/>
              <w:rPr>
                <w:rFonts w:cstheme="minorHAnsi"/>
              </w:rPr>
            </w:pPr>
            <w:r w:rsidRPr="007D2E2C">
              <w:t>АССОЦИИРОВАННЫЙ ЧЛЕН МСЭ-D</w:t>
            </w:r>
          </w:p>
        </w:tc>
      </w:tr>
      <w:tr w:rsidR="00F304B4" w:rsidRPr="007D2E2C" w14:paraId="5AFA0DE1" w14:textId="77777777" w:rsidTr="000A7C42">
        <w:trPr>
          <w:trHeight w:val="288"/>
        </w:trPr>
        <w:tc>
          <w:tcPr>
            <w:tcW w:w="4045" w:type="dxa"/>
            <w:tcBorders>
              <w:top w:val="single" w:sz="4" w:space="0" w:color="44B3E1"/>
              <w:left w:val="single" w:sz="4" w:space="0" w:color="44B3E1"/>
              <w:bottom w:val="single" w:sz="4" w:space="0" w:color="44B3E1"/>
              <w:right w:val="nil"/>
            </w:tcBorders>
            <w:shd w:val="clear" w:color="auto" w:fill="auto"/>
            <w:noWrap/>
            <w:vAlign w:val="bottom"/>
            <w:hideMark/>
          </w:tcPr>
          <w:p w14:paraId="28900F92" w14:textId="77777777" w:rsidR="00F304B4" w:rsidRPr="007D2E2C" w:rsidRDefault="00F304B4" w:rsidP="000A7C42">
            <w:pPr>
              <w:pStyle w:val="Tabletext"/>
              <w:rPr>
                <w:rFonts w:cstheme="minorHAnsi"/>
              </w:rPr>
            </w:pPr>
            <w:r w:rsidRPr="007D2E2C">
              <w:t>Cyberlite Books Pte. Ltd.</w:t>
            </w:r>
          </w:p>
        </w:tc>
        <w:tc>
          <w:tcPr>
            <w:tcW w:w="2970" w:type="dxa"/>
            <w:tcBorders>
              <w:top w:val="single" w:sz="4" w:space="0" w:color="44B3E1"/>
              <w:left w:val="nil"/>
              <w:bottom w:val="single" w:sz="4" w:space="0" w:color="44B3E1"/>
              <w:right w:val="nil"/>
            </w:tcBorders>
            <w:shd w:val="clear" w:color="auto" w:fill="auto"/>
            <w:noWrap/>
            <w:vAlign w:val="bottom"/>
            <w:hideMark/>
          </w:tcPr>
          <w:p w14:paraId="39B2123B" w14:textId="77777777" w:rsidR="00F304B4" w:rsidRPr="007D2E2C" w:rsidRDefault="00F304B4" w:rsidP="000A7C42">
            <w:pPr>
              <w:pStyle w:val="Tabletext"/>
              <w:rPr>
                <w:rFonts w:cstheme="minorHAnsi"/>
              </w:rPr>
            </w:pPr>
            <w:r w:rsidRPr="007D2E2C">
              <w:t>Сингапур</w:t>
            </w:r>
          </w:p>
        </w:tc>
        <w:tc>
          <w:tcPr>
            <w:tcW w:w="2594" w:type="dxa"/>
            <w:tcBorders>
              <w:top w:val="single" w:sz="4" w:space="0" w:color="44B3E1"/>
              <w:left w:val="nil"/>
              <w:bottom w:val="single" w:sz="4" w:space="0" w:color="44B3E1"/>
              <w:right w:val="single" w:sz="4" w:space="0" w:color="44B3E1"/>
            </w:tcBorders>
            <w:shd w:val="clear" w:color="auto" w:fill="auto"/>
            <w:noWrap/>
            <w:vAlign w:val="bottom"/>
            <w:hideMark/>
          </w:tcPr>
          <w:p w14:paraId="7F723221" w14:textId="77777777" w:rsidR="00F304B4" w:rsidRPr="007D2E2C" w:rsidRDefault="00F304B4" w:rsidP="000A7C42">
            <w:pPr>
              <w:pStyle w:val="Tabletext"/>
              <w:rPr>
                <w:rFonts w:cstheme="minorHAnsi"/>
              </w:rPr>
            </w:pPr>
            <w:r w:rsidRPr="007D2E2C">
              <w:t>ЧЛЕН СЕКТОРА МСЭ-D</w:t>
            </w:r>
          </w:p>
        </w:tc>
      </w:tr>
    </w:tbl>
    <w:p w14:paraId="220ADB3B" w14:textId="7617E6C6" w:rsidR="00F304B4" w:rsidRPr="007D2E2C" w:rsidRDefault="000A7C42" w:rsidP="000A7C42">
      <w:pPr>
        <w:pStyle w:val="Heading2"/>
      </w:pPr>
      <w:r>
        <w:lastRenderedPageBreak/>
        <w:t>2.4</w:t>
      </w:r>
      <w:r>
        <w:tab/>
      </w:r>
      <w:r w:rsidR="00F304B4" w:rsidRPr="007D2E2C">
        <w:t>Членство академических организаций</w:t>
      </w:r>
      <w:r w:rsidR="00F304B4" w:rsidRPr="00021970">
        <w:rPr>
          <w:rStyle w:val="FootnoteReference"/>
          <w:b w:val="0"/>
          <w:bCs/>
        </w:rPr>
        <w:footnoteReference w:id="4"/>
      </w:r>
    </w:p>
    <w:p w14:paraId="158939D5" w14:textId="16781608" w:rsidR="00F304B4" w:rsidRPr="009510BC" w:rsidRDefault="007A2758" w:rsidP="00F304B4">
      <w:pPr>
        <w:keepNext/>
        <w:tabs>
          <w:tab w:val="left" w:pos="567"/>
          <w:tab w:val="left" w:pos="1701"/>
        </w:tabs>
      </w:pPr>
      <w:r w:rsidRPr="009510BC">
        <w:rPr>
          <w:rFonts w:eastAsia="SimSun" w:cs="Arial"/>
          <w:b/>
          <w:bCs/>
          <w:noProof/>
          <w:szCs w:val="24"/>
          <w:lang w:eastAsia="zh-CN"/>
        </w:rPr>
        <mc:AlternateContent>
          <mc:Choice Requires="wpg">
            <w:drawing>
              <wp:anchor distT="0" distB="0" distL="114300" distR="114300" simplePos="0" relativeHeight="251660288" behindDoc="0" locked="0" layoutInCell="1" allowOverlap="1" wp14:anchorId="58678B8C" wp14:editId="756353AA">
                <wp:simplePos x="0" y="0"/>
                <wp:positionH relativeFrom="page">
                  <wp:posOffset>2420032</wp:posOffset>
                </wp:positionH>
                <wp:positionV relativeFrom="paragraph">
                  <wp:posOffset>376667</wp:posOffset>
                </wp:positionV>
                <wp:extent cx="1885950" cy="2170430"/>
                <wp:effectExtent l="0" t="0" r="19050" b="20320"/>
                <wp:wrapNone/>
                <wp:docPr id="3" name="Group 3"/>
                <wp:cNvGraphicFramePr/>
                <a:graphic xmlns:a="http://schemas.openxmlformats.org/drawingml/2006/main">
                  <a:graphicData uri="http://schemas.microsoft.com/office/word/2010/wordprocessingGroup">
                    <wpg:wgp>
                      <wpg:cNvGrpSpPr/>
                      <wpg:grpSpPr>
                        <a:xfrm>
                          <a:off x="0" y="0"/>
                          <a:ext cx="1885950" cy="2170430"/>
                          <a:chOff x="0" y="0"/>
                          <a:chExt cx="1971675" cy="1998980"/>
                        </a:xfrm>
                      </wpg:grpSpPr>
                      <wps:wsp>
                        <wps:cNvPr id="1446109044" name="Straight Connector 1"/>
                        <wps:cNvCnPr/>
                        <wps:spPr>
                          <a:xfrm>
                            <a:off x="0" y="1905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687018271" name="Straight Connector 1"/>
                        <wps:cNvCnPr/>
                        <wps:spPr>
                          <a:xfrm>
                            <a:off x="1971675" y="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D443AA" id="Group 3" o:spid="_x0000_s1026" style="position:absolute;margin-left:190.55pt;margin-top:29.65pt;width:148.5pt;height:170.9pt;z-index:251660288;mso-position-horizontal-relative:page;mso-width-relative:margin;mso-height-relative:margin" coordsize="19716,1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">
                <v:line id="Straight Connector 1" o:spid="_x0000_s1027" style="position:absolute;visibility:visible;mso-wrap-style:square" from="0,190" to="0,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" strokecolor="#bc4542 [3045]"/>
                <v:line id="Straight Connector 1" o:spid="_x0000_s1028" style="position:absolute;visibility:visible;mso-wrap-style:square" from="19716,0" to="19716,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" strokecolor="#bc4542 [3045]"/>
                <w10:wrap anchorx="page"/>
              </v:group>
            </w:pict>
          </mc:Fallback>
        </mc:AlternateContent>
      </w:r>
      <w:r w:rsidR="006300C6" w:rsidRPr="009510BC">
        <w:rPr>
          <w:rFonts w:eastAsia="SimSun" w:cs="Arial"/>
          <w:b/>
          <w:bCs/>
          <w:noProof/>
          <w:szCs w:val="24"/>
          <w:lang w:eastAsia="zh-CN"/>
        </w:rPr>
        <mc:AlternateContent>
          <mc:Choice Requires="wpg">
            <w:drawing>
              <wp:anchor distT="0" distB="0" distL="114300" distR="114300" simplePos="0" relativeHeight="251659264" behindDoc="0" locked="0" layoutInCell="1" allowOverlap="1" wp14:anchorId="68BD076D" wp14:editId="5EC85B1C">
                <wp:simplePos x="0" y="0"/>
                <wp:positionH relativeFrom="column">
                  <wp:posOffset>5274945</wp:posOffset>
                </wp:positionH>
                <wp:positionV relativeFrom="paragraph">
                  <wp:posOffset>799465</wp:posOffset>
                </wp:positionV>
                <wp:extent cx="999518" cy="802005"/>
                <wp:effectExtent l="0" t="0" r="0" b="0"/>
                <wp:wrapNone/>
                <wp:docPr id="1" name="Group 1"/>
                <wp:cNvGraphicFramePr/>
                <a:graphic xmlns:a="http://schemas.openxmlformats.org/drawingml/2006/main">
                  <a:graphicData uri="http://schemas.microsoft.com/office/word/2010/wordprocessingGroup">
                    <wpg:wgp>
                      <wpg:cNvGrpSpPr/>
                      <wpg:grpSpPr>
                        <a:xfrm>
                          <a:off x="0" y="0"/>
                          <a:ext cx="999518" cy="802005"/>
                          <a:chOff x="0" y="0"/>
                          <a:chExt cx="999555" cy="802005"/>
                        </a:xfrm>
                      </wpg:grpSpPr>
                      <wpg:grpSp>
                        <wpg:cNvPr id="1398672855" name="Group 3"/>
                        <wpg:cNvGrpSpPr/>
                        <wpg:grpSpPr>
                          <a:xfrm>
                            <a:off x="0" y="561341"/>
                            <a:ext cx="960185" cy="240664"/>
                            <a:chOff x="0" y="-634"/>
                            <a:chExt cx="960185" cy="240664"/>
                          </a:xfrm>
                        </wpg:grpSpPr>
                        <wps:wsp>
                          <wps:cNvPr id="1700008344" name="Oval 2"/>
                          <wps:cNvSpPr/>
                          <wps:spPr>
                            <a:xfrm>
                              <a:off x="0" y="76200"/>
                              <a:ext cx="129540" cy="129540"/>
                            </a:xfrm>
                            <a:prstGeom prst="ellipse">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590285" name="Text Box 2"/>
                          <wps:cNvSpPr txBox="1">
                            <a:spLocks noChangeArrowheads="1"/>
                          </wps:cNvSpPr>
                          <wps:spPr bwMode="auto">
                            <a:xfrm>
                              <a:off x="189902" y="-634"/>
                              <a:ext cx="770283" cy="240664"/>
                            </a:xfrm>
                            <a:prstGeom prst="rect">
                              <a:avLst/>
                            </a:prstGeom>
                            <a:noFill/>
                            <a:ln w="9525">
                              <a:noFill/>
                              <a:miter lim="800000"/>
                              <a:headEnd/>
                              <a:tailEnd/>
                            </a:ln>
                          </wps:spPr>
                          <wps:txbx>
                            <w:txbxContent>
                              <w:p w14:paraId="7BF7FDBF" w14:textId="77777777" w:rsidR="00F304B4" w:rsidRPr="007D2E2C" w:rsidRDefault="00F304B4" w:rsidP="00F304B4">
                                <w:pPr>
                                  <w:spacing w:before="0"/>
                                  <w:rPr>
                                    <w:rFonts w:ascii="Avenir Nxt2 W1G" w:hAnsi="Avenir Nxt2 W1G"/>
                                    <w:sz w:val="18"/>
                                    <w:szCs w:val="18"/>
                                  </w:rPr>
                                </w:pPr>
                                <w:r w:rsidRPr="007D2E2C">
                                  <w:rPr>
                                    <w:sz w:val="18"/>
                                    <w:szCs w:val="18"/>
                                  </w:rPr>
                                  <w:t>Всего</w:t>
                                </w:r>
                              </w:p>
                            </w:txbxContent>
                          </wps:txbx>
                          <wps:bodyPr rot="0" vert="horz" wrap="square" lIns="91440" tIns="45720" rIns="91440" bIns="45720" anchor="t" anchorCtr="0">
                            <a:spAutoFit/>
                          </wps:bodyPr>
                        </wps:wsp>
                      </wpg:grpSp>
                      <wpg:grpSp>
                        <wpg:cNvPr id="1617162133" name="Group 3"/>
                        <wpg:cNvGrpSpPr/>
                        <wpg:grpSpPr>
                          <a:xfrm>
                            <a:off x="0" y="0"/>
                            <a:ext cx="999555" cy="240664"/>
                            <a:chOff x="0" y="0"/>
                            <a:chExt cx="999555" cy="240664"/>
                          </a:xfrm>
                        </wpg:grpSpPr>
                        <wps:wsp>
                          <wps:cNvPr id="1221657299" name="Oval 2"/>
                          <wps:cNvSpPr/>
                          <wps:spPr>
                            <a:xfrm>
                              <a:off x="0" y="76200"/>
                              <a:ext cx="129540" cy="12954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495559" name="Text Box 2"/>
                          <wps:cNvSpPr txBox="1">
                            <a:spLocks noChangeArrowheads="1"/>
                          </wps:cNvSpPr>
                          <wps:spPr bwMode="auto">
                            <a:xfrm>
                              <a:off x="189901" y="0"/>
                              <a:ext cx="809654" cy="240664"/>
                            </a:xfrm>
                            <a:prstGeom prst="rect">
                              <a:avLst/>
                            </a:prstGeom>
                            <a:noFill/>
                            <a:ln w="9525">
                              <a:noFill/>
                              <a:miter lim="800000"/>
                              <a:headEnd/>
                              <a:tailEnd/>
                            </a:ln>
                          </wps:spPr>
                          <wps:txbx>
                            <w:txbxContent>
                              <w:p w14:paraId="53C2ACF7" w14:textId="77777777" w:rsidR="00F304B4" w:rsidRPr="007D2E2C" w:rsidRDefault="00F304B4" w:rsidP="00F304B4">
                                <w:pPr>
                                  <w:spacing w:before="0"/>
                                  <w:rPr>
                                    <w:rFonts w:ascii="Avenir Nxt2 W1G" w:hAnsi="Avenir Nxt2 W1G"/>
                                    <w:sz w:val="18"/>
                                    <w:szCs w:val="18"/>
                                  </w:rPr>
                                </w:pPr>
                                <w:r w:rsidRPr="007D2E2C">
                                  <w:rPr>
                                    <w:sz w:val="18"/>
                                    <w:szCs w:val="18"/>
                                  </w:rPr>
                                  <w:t>Вступление</w:t>
                                </w:r>
                              </w:p>
                            </w:txbxContent>
                          </wps:txbx>
                          <wps:bodyPr rot="0" vert="horz" wrap="square" lIns="91440" tIns="45720" rIns="91440" bIns="45720" anchor="t" anchorCtr="0">
                            <a:spAutoFit/>
                          </wps:bodyPr>
                        </wps:wsp>
                      </wpg:grpSp>
                      <wpg:grpSp>
                        <wpg:cNvPr id="1852376976" name="Group 3"/>
                        <wpg:cNvGrpSpPr/>
                        <wpg:grpSpPr>
                          <a:xfrm>
                            <a:off x="0" y="276128"/>
                            <a:ext cx="955632" cy="240664"/>
                            <a:chOff x="0" y="-97"/>
                            <a:chExt cx="955632" cy="240664"/>
                          </a:xfrm>
                        </wpg:grpSpPr>
                        <wps:wsp>
                          <wps:cNvPr id="1759765119" name="Oval 2"/>
                          <wps:cNvSpPr/>
                          <wps:spPr>
                            <a:xfrm>
                              <a:off x="0" y="76200"/>
                              <a:ext cx="129540" cy="129540"/>
                            </a:xfrm>
                            <a:prstGeom prst="ellipse">
                              <a:avLst/>
                            </a:prstGeom>
                            <a:solidFill>
                              <a:srgbClr val="FA3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148485" name="Text Box 2"/>
                          <wps:cNvSpPr txBox="1">
                            <a:spLocks noChangeArrowheads="1"/>
                          </wps:cNvSpPr>
                          <wps:spPr bwMode="auto">
                            <a:xfrm>
                              <a:off x="189794" y="-97"/>
                              <a:ext cx="765838" cy="240664"/>
                            </a:xfrm>
                            <a:prstGeom prst="rect">
                              <a:avLst/>
                            </a:prstGeom>
                            <a:noFill/>
                            <a:ln w="9525">
                              <a:noFill/>
                              <a:miter lim="800000"/>
                              <a:headEnd/>
                              <a:tailEnd/>
                            </a:ln>
                          </wps:spPr>
                          <wps:txbx>
                            <w:txbxContent>
                              <w:p w14:paraId="3655AB85" w14:textId="77777777" w:rsidR="00F304B4" w:rsidRPr="007D2E2C" w:rsidRDefault="00F304B4" w:rsidP="00F304B4">
                                <w:pPr>
                                  <w:spacing w:before="0"/>
                                  <w:rPr>
                                    <w:rFonts w:ascii="Avenir Nxt2 W1G" w:hAnsi="Avenir Nxt2 W1G"/>
                                    <w:sz w:val="18"/>
                                    <w:szCs w:val="18"/>
                                  </w:rPr>
                                </w:pPr>
                                <w:r w:rsidRPr="007D2E2C">
                                  <w:rPr>
                                    <w:sz w:val="18"/>
                                    <w:szCs w:val="18"/>
                                  </w:rPr>
                                  <w:t>Выход</w:t>
                                </w:r>
                              </w:p>
                            </w:txbxContent>
                          </wps:txbx>
                          <wps:bodyPr rot="0" vert="horz" wrap="square" lIns="91440" tIns="45720" rIns="91440" bIns="45720" anchor="t" anchorCtr="0">
                            <a:spAutoFit/>
                          </wps:bodyPr>
                        </wps:wsp>
                      </wpg:grpSp>
                    </wpg:wgp>
                  </a:graphicData>
                </a:graphic>
                <wp14:sizeRelH relativeFrom="margin">
                  <wp14:pctWidth>0</wp14:pctWidth>
                </wp14:sizeRelH>
              </wp:anchor>
            </w:drawing>
          </mc:Choice>
          <mc:Fallback>
            <w:pict>
              <v:group w14:anchorId="68BD076D" id="Group 1" o:spid="_x0000_s1031" style="position:absolute;margin-left:415.35pt;margin-top:62.95pt;width:78.7pt;height:63.15pt;z-index:251659264;mso-width-relative:margin" coordsize="9995,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">
                <v:group id="Group 3" o:spid="_x0000_s1032" style="position:absolute;top:5613;width:9601;height:2407" coordorigin=",-6" coordsize="9601,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">
                  <v:oval id="Oval 2" o:spid="_x0000_s1033"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" fillcolor="#00b0f0" stroked="f" strokeweight="2pt"/>
                  <v:shape id="_x0000_s1034" type="#_x0000_t202" style="position:absolute;left:1899;top:-6;width:7702;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" filled="f" stroked="f">
                    <v:textbox style="mso-fit-shape-to-text:t">
                      <w:txbxContent>
                        <w:p w14:paraId="7BF7FDBF" w14:textId="77777777" w:rsidR="00F304B4" w:rsidRPr="007D2E2C" w:rsidRDefault="00F304B4" w:rsidP="00F304B4">
                          <w:pPr>
                            <w:spacing w:before="0"/>
                            <w:rPr>
                              <w:rFonts w:ascii="Avenir Nxt2 W1G" w:hAnsi="Avenir Nxt2 W1G"/>
                              <w:sz w:val="18"/>
                              <w:szCs w:val="18"/>
                            </w:rPr>
                          </w:pPr>
                          <w:r w:rsidRPr="007D2E2C">
                            <w:rPr>
                              <w:sz w:val="18"/>
                              <w:szCs w:val="18"/>
                            </w:rPr>
                            <w:t>Всего</w:t>
                          </w:r>
                        </w:p>
                      </w:txbxContent>
                    </v:textbox>
                  </v:shape>
                </v:group>
                <v:group id="Group 3" o:spid="_x0000_s1035" style="position:absolute;width:9995;height:2406" coordsize="9995,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">
                  <v:oval id="Oval 2" o:spid="_x0000_s1036"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" fillcolor="#92d050" stroked="f" strokeweight="2pt"/>
                  <v:shape id="_x0000_s1037" type="#_x0000_t202" style="position:absolute;left:1899;width:8096;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" filled="f" stroked="f">
                    <v:textbox style="mso-fit-shape-to-text:t">
                      <w:txbxContent>
                        <w:p w14:paraId="53C2ACF7" w14:textId="77777777" w:rsidR="00F304B4" w:rsidRPr="007D2E2C" w:rsidRDefault="00F304B4" w:rsidP="00F304B4">
                          <w:pPr>
                            <w:spacing w:before="0"/>
                            <w:rPr>
                              <w:rFonts w:ascii="Avenir Nxt2 W1G" w:hAnsi="Avenir Nxt2 W1G"/>
                              <w:sz w:val="18"/>
                              <w:szCs w:val="18"/>
                            </w:rPr>
                          </w:pPr>
                          <w:r w:rsidRPr="007D2E2C">
                            <w:rPr>
                              <w:sz w:val="18"/>
                              <w:szCs w:val="18"/>
                            </w:rPr>
                            <w:t>Вступление</w:t>
                          </w:r>
                        </w:p>
                      </w:txbxContent>
                    </v:textbox>
                  </v:shape>
                </v:group>
                <v:group id="Group 3" o:spid="_x0000_s1038" style="position:absolute;top:2761;width:9556;height:2406" coordorigin="" coordsize="9556,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">
                  <v:oval id="Oval 2" o:spid="_x0000_s1039"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" fillcolor="#fa3000" stroked="f" strokeweight="2pt"/>
                  <v:shape id="_x0000_s1040" type="#_x0000_t202" style="position:absolute;left:1897;width:7659;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" filled="f" stroked="f">
                    <v:textbox style="mso-fit-shape-to-text:t">
                      <w:txbxContent>
                        <w:p w14:paraId="3655AB85" w14:textId="77777777" w:rsidR="00F304B4" w:rsidRPr="007D2E2C" w:rsidRDefault="00F304B4" w:rsidP="00F304B4">
                          <w:pPr>
                            <w:spacing w:before="0"/>
                            <w:rPr>
                              <w:rFonts w:ascii="Avenir Nxt2 W1G" w:hAnsi="Avenir Nxt2 W1G"/>
                              <w:sz w:val="18"/>
                              <w:szCs w:val="18"/>
                            </w:rPr>
                          </w:pPr>
                          <w:r w:rsidRPr="007D2E2C">
                            <w:rPr>
                              <w:sz w:val="18"/>
                              <w:szCs w:val="18"/>
                            </w:rPr>
                            <w:t>Выход</w:t>
                          </w:r>
                        </w:p>
                      </w:txbxContent>
                    </v:textbox>
                  </v:shape>
                </v:group>
              </v:group>
            </w:pict>
          </mc:Fallback>
        </mc:AlternateContent>
      </w:r>
      <w:r w:rsidR="00F304B4" w:rsidRPr="009510BC">
        <w:rPr>
          <w:rFonts w:eastAsia="SimSun" w:cs="Arial"/>
          <w:b/>
          <w:bCs/>
          <w:noProof/>
          <w:szCs w:val="24"/>
          <w:lang w:eastAsia="zh-CN"/>
        </w:rPr>
        <mc:AlternateContent>
          <mc:Choice Requires="wps">
            <w:drawing>
              <wp:anchor distT="45720" distB="45720" distL="114300" distR="114300" simplePos="0" relativeHeight="251663360" behindDoc="0" locked="0" layoutInCell="1" allowOverlap="1" wp14:anchorId="510FE0C7" wp14:editId="692F03F6">
                <wp:simplePos x="0" y="0"/>
                <wp:positionH relativeFrom="margin">
                  <wp:posOffset>4022506</wp:posOffset>
                </wp:positionH>
                <wp:positionV relativeFrom="paragraph">
                  <wp:posOffset>2343908</wp:posOffset>
                </wp:positionV>
                <wp:extent cx="716507" cy="140462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07" cy="1404620"/>
                        </a:xfrm>
                        <a:prstGeom prst="rect">
                          <a:avLst/>
                        </a:prstGeom>
                        <a:noFill/>
                        <a:ln w="9525">
                          <a:noFill/>
                          <a:miter lim="800000"/>
                          <a:headEnd/>
                          <a:tailEnd/>
                        </a:ln>
                      </wps:spPr>
                      <wps:txbx>
                        <w:txbxContent>
                          <w:p w14:paraId="4EB557A7" w14:textId="77777777" w:rsidR="00F304B4" w:rsidRPr="0057040A" w:rsidRDefault="00F304B4" w:rsidP="00F304B4">
                            <w:pPr>
                              <w:spacing w:before="0"/>
                              <w:jc w:val="center"/>
                              <w:rPr>
                                <w:rFonts w:ascii="Avenir Nxt2 W1G" w:hAnsi="Avenir Nxt2 W1G"/>
                                <w:sz w:val="18"/>
                                <w:szCs w:val="14"/>
                              </w:rPr>
                            </w:pPr>
                            <w:r>
                              <w:t>*2025 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FE0C7" id="_x0000_s1041" type="#_x0000_t202" style="position:absolute;margin-left:316.75pt;margin-top:184.55pt;width:56.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" filled="f" stroked="f">
                <v:textbox style="mso-fit-shape-to-text:t">
                  <w:txbxContent>
                    <w:p w14:paraId="4EB557A7" w14:textId="77777777" w:rsidR="00F304B4" w:rsidRPr="0057040A" w:rsidRDefault="00F304B4" w:rsidP="00F304B4">
                      <w:pPr>
                        <w:spacing w:before="0"/>
                        <w:jc w:val="center"/>
                        <w:rPr>
                          <w:rFonts w:ascii="Avenir Nxt2 W1G" w:hAnsi="Avenir Nxt2 W1G"/>
                          <w:sz w:val="18"/>
                          <w:szCs w:val="14"/>
                        </w:rPr>
                      </w:pPr>
                      <w:r>
                        <w:t>*2025 г.</w:t>
                      </w:r>
                    </w:p>
                  </w:txbxContent>
                </v:textbox>
                <w10:wrap anchorx="margin"/>
              </v:shape>
            </w:pict>
          </mc:Fallback>
        </mc:AlternateContent>
      </w:r>
      <w:r w:rsidR="00F304B4" w:rsidRPr="009510BC">
        <w:rPr>
          <w:rFonts w:eastAsia="SimSun" w:cs="Arial"/>
          <w:b/>
          <w:bCs/>
          <w:noProof/>
          <w:szCs w:val="24"/>
          <w:lang w:eastAsia="zh-CN"/>
        </w:rPr>
        <mc:AlternateContent>
          <mc:Choice Requires="wps">
            <w:drawing>
              <wp:anchor distT="45720" distB="45720" distL="114300" distR="114300" simplePos="0" relativeHeight="251662336" behindDoc="0" locked="0" layoutInCell="1" allowOverlap="1" wp14:anchorId="4BB7F41F" wp14:editId="6B1D177C">
                <wp:simplePos x="0" y="0"/>
                <wp:positionH relativeFrom="column">
                  <wp:posOffset>2377952</wp:posOffset>
                </wp:positionH>
                <wp:positionV relativeFrom="paragraph">
                  <wp:posOffset>2343908</wp:posOffset>
                </wp:positionV>
                <wp:extent cx="655092" cy="1404620"/>
                <wp:effectExtent l="0" t="0" r="0" b="0"/>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1404620"/>
                        </a:xfrm>
                        <a:prstGeom prst="rect">
                          <a:avLst/>
                        </a:prstGeom>
                        <a:noFill/>
                        <a:ln w="9525">
                          <a:noFill/>
                          <a:miter lim="800000"/>
                          <a:headEnd/>
                          <a:tailEnd/>
                        </a:ln>
                      </wps:spPr>
                      <wps:txbx>
                        <w:txbxContent>
                          <w:p w14:paraId="315112C6" w14:textId="77777777" w:rsidR="00F304B4" w:rsidRPr="0057040A" w:rsidRDefault="00F304B4" w:rsidP="00F304B4">
                            <w:pPr>
                              <w:spacing w:before="0"/>
                              <w:jc w:val="center"/>
                              <w:rPr>
                                <w:rFonts w:ascii="Avenir Nxt2 W1G" w:hAnsi="Avenir Nxt2 W1G"/>
                                <w:sz w:val="18"/>
                                <w:szCs w:val="14"/>
                              </w:rPr>
                            </w:pPr>
                            <w:r>
                              <w:t>2024 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7F41F" id="_x0000_s1042" type="#_x0000_t202" style="position:absolute;margin-left:187.25pt;margin-top:184.55pt;width:51.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" filled="f" stroked="f">
                <v:textbox style="mso-fit-shape-to-text:t">
                  <w:txbxContent>
                    <w:p w14:paraId="315112C6" w14:textId="77777777" w:rsidR="00F304B4" w:rsidRPr="0057040A" w:rsidRDefault="00F304B4" w:rsidP="00F304B4">
                      <w:pPr>
                        <w:spacing w:before="0"/>
                        <w:jc w:val="center"/>
                        <w:rPr>
                          <w:rFonts w:ascii="Avenir Nxt2 W1G" w:hAnsi="Avenir Nxt2 W1G"/>
                          <w:sz w:val="18"/>
                          <w:szCs w:val="14"/>
                        </w:rPr>
                      </w:pPr>
                      <w:r>
                        <w:t>2024 г.</w:t>
                      </w:r>
                    </w:p>
                  </w:txbxContent>
                </v:textbox>
              </v:shape>
            </w:pict>
          </mc:Fallback>
        </mc:AlternateContent>
      </w:r>
      <w:r w:rsidR="00F304B4" w:rsidRPr="009510BC">
        <w:rPr>
          <w:rFonts w:eastAsia="SimSun" w:cs="Arial"/>
          <w:b/>
          <w:bCs/>
          <w:noProof/>
          <w:szCs w:val="24"/>
          <w:lang w:eastAsia="zh-CN"/>
        </w:rPr>
        <mc:AlternateContent>
          <mc:Choice Requires="wps">
            <w:drawing>
              <wp:anchor distT="45720" distB="45720" distL="114300" distR="114300" simplePos="0" relativeHeight="251661312" behindDoc="0" locked="0" layoutInCell="1" allowOverlap="1" wp14:anchorId="561AE229" wp14:editId="33F50A2D">
                <wp:simplePos x="0" y="0"/>
                <wp:positionH relativeFrom="column">
                  <wp:posOffset>726573</wp:posOffset>
                </wp:positionH>
                <wp:positionV relativeFrom="paragraph">
                  <wp:posOffset>2343908</wp:posOffset>
                </wp:positionV>
                <wp:extent cx="689212" cy="1404620"/>
                <wp:effectExtent l="0" t="0" r="0" b="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12" cy="1404620"/>
                        </a:xfrm>
                        <a:prstGeom prst="rect">
                          <a:avLst/>
                        </a:prstGeom>
                        <a:noFill/>
                        <a:ln w="9525">
                          <a:noFill/>
                          <a:miter lim="800000"/>
                          <a:headEnd/>
                          <a:tailEnd/>
                        </a:ln>
                      </wps:spPr>
                      <wps:txbx>
                        <w:txbxContent>
                          <w:p w14:paraId="494ED59E" w14:textId="77777777" w:rsidR="00F304B4" w:rsidRPr="00EC3B94" w:rsidRDefault="00F304B4" w:rsidP="00F304B4">
                            <w:pPr>
                              <w:spacing w:before="0"/>
                              <w:jc w:val="center"/>
                              <w:rPr>
                                <w:rFonts w:ascii="Avenir Nxt2 W1G" w:hAnsi="Avenir Nxt2 W1G"/>
                                <w:sz w:val="18"/>
                                <w:szCs w:val="14"/>
                              </w:rPr>
                            </w:pPr>
                            <w:r>
                              <w:t>2023 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AE229" id="_x0000_s1043" type="#_x0000_t202" style="position:absolute;margin-left:57.2pt;margin-top:184.55pt;width:54.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" filled="f" stroked="f">
                <v:textbox style="mso-fit-shape-to-text:t">
                  <w:txbxContent>
                    <w:p w14:paraId="494ED59E" w14:textId="77777777" w:rsidR="00F304B4" w:rsidRPr="00EC3B94" w:rsidRDefault="00F304B4" w:rsidP="00F304B4">
                      <w:pPr>
                        <w:spacing w:before="0"/>
                        <w:jc w:val="center"/>
                        <w:rPr>
                          <w:rFonts w:ascii="Avenir Nxt2 W1G" w:hAnsi="Avenir Nxt2 W1G"/>
                          <w:sz w:val="18"/>
                          <w:szCs w:val="14"/>
                        </w:rPr>
                      </w:pPr>
                      <w:r>
                        <w:t>2023 г.</w:t>
                      </w:r>
                    </w:p>
                  </w:txbxContent>
                </v:textbox>
              </v:shape>
            </w:pict>
          </mc:Fallback>
        </mc:AlternateContent>
      </w:r>
      <w:r w:rsidR="00F304B4" w:rsidRPr="009510BC">
        <w:rPr>
          <w:rFonts w:eastAsia="SimSun" w:cs="Arial"/>
          <w:b/>
          <w:bCs/>
          <w:noProof/>
          <w:lang w:eastAsia="zh-CN"/>
        </w:rPr>
        <mc:AlternateContent>
          <mc:Choice Requires="cx4">
            <w:drawing>
              <wp:inline distT="0" distB="0" distL="0" distR="0" wp14:anchorId="102A59C8" wp14:editId="43C31536">
                <wp:extent cx="5076825" cy="2405380"/>
                <wp:effectExtent l="0" t="0" r="9525" b="13970"/>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102A59C8" wp14:editId="43C31536">
                <wp:extent cx="5076825" cy="2405380"/>
                <wp:effectExtent l="0" t="0" r="9525" b="13970"/>
                <wp:docPr id="8632070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19"/>
                        <a:stretch>
                          <a:fillRect/>
                        </a:stretch>
                      </pic:blipFill>
                      <pic:spPr>
                        <a:xfrm>
                          <a:off x="0" y="0"/>
                          <a:ext cx="5076825" cy="2405380"/>
                        </a:xfrm>
                        <a:prstGeom prst="rect">
                          <a:avLst/>
                        </a:prstGeom>
                      </pic:spPr>
                    </pic:pic>
                  </a:graphicData>
                </a:graphic>
              </wp:inline>
            </w:drawing>
          </mc:Fallback>
        </mc:AlternateContent>
      </w:r>
    </w:p>
    <w:p w14:paraId="22213B88" w14:textId="77777777" w:rsidR="00F304B4" w:rsidRPr="009510BC" w:rsidRDefault="00F304B4" w:rsidP="007A2758">
      <w:pPr>
        <w:spacing w:before="240"/>
        <w:rPr>
          <w:rFonts w:eastAsia="SimSun"/>
        </w:rPr>
      </w:pPr>
      <w:r w:rsidRPr="009510BC">
        <w:t xml:space="preserve">Подробные данные на </w:t>
      </w:r>
      <w:r w:rsidRPr="009510BC">
        <w:rPr>
          <w:b/>
          <w:bCs/>
        </w:rPr>
        <w:t>Диаграмме 3</w:t>
      </w:r>
      <w:r w:rsidRPr="009510BC">
        <w:t xml:space="preserve"> отражают число вступивших в члены и прекративших членство в 2024 году и к июню 2025 года Академических организаций. В 2024 году присоединилось пятнадцать новых членов из числа Академических организаций, прекратили членство тринадцать Академических организаций; изменение чистого положительного дохода составило 3975 шв</w:t>
      </w:r>
      <w:r>
        <w:t>ейцарских</w:t>
      </w:r>
      <w:r w:rsidRPr="009510BC">
        <w:t xml:space="preserve"> франков.</w:t>
      </w:r>
    </w:p>
    <w:p w14:paraId="6FF5981C" w14:textId="77777777" w:rsidR="00F304B4" w:rsidRPr="009510BC" w:rsidRDefault="00F304B4" w:rsidP="000A7C42">
      <w:r w:rsidRPr="009510BC">
        <w:t>Академические организации могут представлять вклады для работы исследовательских комиссий всех трех Секторов, уплатив лишь один взнос. Несколько Академических организаций сообщили о трудностях сохранения членства в течение длительного времени из-за ограничений бюджета.</w:t>
      </w:r>
    </w:p>
    <w:p w14:paraId="3BD963DB" w14:textId="77777777" w:rsidR="00F304B4" w:rsidRPr="009510BC" w:rsidRDefault="00F304B4" w:rsidP="000A7C42">
      <w:r w:rsidRPr="009510BC">
        <w:t xml:space="preserve">Постоянно прилагаются активные усилия информационно-пропагандистского характера, в том числе ведется работа с Академическими организациями и Государствами </w:t>
      </w:r>
      <w:r>
        <w:t>−</w:t>
      </w:r>
      <w:r w:rsidRPr="009510BC">
        <w:t xml:space="preserve"> Членами МСЭ, заинтересованными в продвижении и поддержке членства Академических организаций, в формате визитов и брифингов. Более подробная информация о возможностях и текущем сотрудничестве с Академическими организациями – Членами МСЭ и Академическими организациями, не являющимися членами МСЭ, приведена в Документе </w:t>
      </w:r>
      <w:hyperlink r:id="rId20" w:history="1">
        <w:r w:rsidRPr="009510BC">
          <w:rPr>
            <w:rStyle w:val="Hyperlink"/>
          </w:rPr>
          <w:t>TDAG-25/INF/2</w:t>
        </w:r>
      </w:hyperlink>
      <w:r w:rsidRPr="009510BC">
        <w:t>.</w:t>
      </w:r>
    </w:p>
    <w:p w14:paraId="1DD8A1CD" w14:textId="1A046628" w:rsidR="00F304B4" w:rsidRPr="009510BC" w:rsidRDefault="000A7C42" w:rsidP="000A7C42">
      <w:pPr>
        <w:pStyle w:val="Heading1"/>
        <w:rPr>
          <w:rFonts w:eastAsia="SimSun" w:cs="Arial"/>
          <w:szCs w:val="24"/>
        </w:rPr>
      </w:pPr>
      <w:r>
        <w:t>3</w:t>
      </w:r>
      <w:r>
        <w:tab/>
      </w:r>
      <w:r w:rsidR="00F304B4" w:rsidRPr="009510BC">
        <w:t>Привлечение, удержание, признание и информационно-пропагандистские мероприятия</w:t>
      </w:r>
    </w:p>
    <w:p w14:paraId="1AC3F5C4" w14:textId="6B4F775D" w:rsidR="00F304B4" w:rsidRPr="009510BC" w:rsidRDefault="000A7C42" w:rsidP="000A7C42">
      <w:pPr>
        <w:pStyle w:val="enumlev1"/>
        <w:rPr>
          <w:rFonts w:eastAsia="SimSun" w:cs="Calibri"/>
        </w:rPr>
      </w:pPr>
      <w:r>
        <w:t>−</w:t>
      </w:r>
      <w:r>
        <w:tab/>
      </w:r>
      <w:r w:rsidR="00F304B4" w:rsidRPr="009510BC">
        <w:t xml:space="preserve">БРЭ провело несколько мероприятий, направленных на </w:t>
      </w:r>
      <w:r w:rsidR="00F304B4" w:rsidRPr="009510BC">
        <w:rPr>
          <w:b/>
          <w:bCs/>
        </w:rPr>
        <w:t>расширение охвата и привлечение</w:t>
      </w:r>
      <w:r w:rsidR="00F304B4" w:rsidRPr="009510BC">
        <w:t xml:space="preserve"> посредством информационно-пропагандистских кампаний при помощи инструментов социальных сетей и целенаправленной работы с перспективной аудиторией в ходе глобальных технологических выставок. БРЭ также сосредоточило внимание на преобразовании существующих платформ в портфеле продуктов и услуг МСЭ-D в эффективные каналы работы с членами. В течение 2024 года было проведено большее количество брифингов с экспертами по конкретным вопросам и Членами МСЭ-D (в очном и виртуальном формате), что позволило повысить осведомленность об областях взаимодействия. </w:t>
      </w:r>
    </w:p>
    <w:p w14:paraId="6AB80DD5" w14:textId="75D8F1C2" w:rsidR="00F304B4" w:rsidRPr="009510BC" w:rsidRDefault="000A7C42" w:rsidP="000A7C42">
      <w:pPr>
        <w:pStyle w:val="enumlev1"/>
        <w:rPr>
          <w:rFonts w:eastAsia="SimSun" w:cs="Calibri"/>
        </w:rPr>
      </w:pPr>
      <w:r>
        <w:t>−</w:t>
      </w:r>
      <w:r>
        <w:tab/>
      </w:r>
      <w:r w:rsidR="00F304B4" w:rsidRPr="009510BC">
        <w:rPr>
          <w:b/>
          <w:bCs/>
        </w:rPr>
        <w:t>Отраслевая консультативная группа по вопросам развития и старших сотрудников по регуляторным вопросам из частного сектора (IAGDI-CRO)</w:t>
      </w:r>
      <w:r w:rsidR="00F304B4" w:rsidRPr="009510BC">
        <w:t xml:space="preserve"> продолжила </w:t>
      </w:r>
      <w:r w:rsidR="00F304B4" w:rsidRPr="009510BC">
        <w:lastRenderedPageBreak/>
        <w:t xml:space="preserve">взаимодействовать с большим числом Членов Сектора МСЭ-D. В частности, в 2024 году было организовано два собрания: </w:t>
      </w:r>
    </w:p>
    <w:p w14:paraId="31F795F9" w14:textId="44D944AD" w:rsidR="00F304B4" w:rsidRPr="0027792B" w:rsidRDefault="00F304B4" w:rsidP="000A7C42">
      <w:pPr>
        <w:pStyle w:val="enumlev2"/>
        <w:rPr>
          <w:rFonts w:eastAsia="SimSun" w:cs="Calibri"/>
          <w:lang w:val="en-GB"/>
        </w:rPr>
      </w:pPr>
      <w:r w:rsidRPr="009510BC">
        <w:t>•</w:t>
      </w:r>
      <w:r w:rsidR="000A7C42">
        <w:tab/>
      </w:r>
      <w:r w:rsidRPr="009510BC">
        <w:t>весенние виртуальные консультации IAGDI-CRO, которые способствовали получению большего числа вкладов от Членов Сектора МСЭ-D для процесса консультаций по руководящим указаниям на основе передового опыта Глобального симпозиума для регуляторных органов (ГСР-24); также были собраны идеи для определения тем основного собрания IAGDI-CRO в рамках ГСР</w:t>
      </w:r>
      <w:r w:rsidR="000A7C42">
        <w:noBreakHyphen/>
      </w:r>
      <w:r w:rsidRPr="009510BC">
        <w:t xml:space="preserve">24. Отчет председателя представлен по </w:t>
      </w:r>
      <w:hyperlink r:id="rId21" w:history="1">
        <w:r w:rsidRPr="009510BC">
          <w:rPr>
            <w:rStyle w:val="Hyperlink"/>
          </w:rPr>
          <w:t>ссылке</w:t>
        </w:r>
      </w:hyperlink>
      <w:r w:rsidRPr="009510BC">
        <w:t>.</w:t>
      </w:r>
    </w:p>
    <w:p w14:paraId="02413306" w14:textId="4F8D9926" w:rsidR="00F304B4" w:rsidRPr="009510BC" w:rsidRDefault="000A7C42" w:rsidP="000A7C42">
      <w:pPr>
        <w:pStyle w:val="enumlev2"/>
        <w:rPr>
          <w:rFonts w:eastAsia="SimSun" w:cs="Calibri"/>
        </w:rPr>
      </w:pPr>
      <w:r>
        <w:rPr>
          <w:rFonts w:cs="Calibri"/>
        </w:rPr>
        <w:t>•</w:t>
      </w:r>
      <w:r>
        <w:tab/>
      </w:r>
      <w:r w:rsidR="00F304B4" w:rsidRPr="009510BC">
        <w:t xml:space="preserve">Собрание IAGDI-CRO в рамках Глобального симпозиума для регуляторных органов (ГСР-24) в Кампале, Уганда. Об интересе и приверженности Членов Сектора МСЭ-D свидетельствуют представленные ими вклады и рекордное число участников. </w:t>
      </w:r>
      <w:hyperlink r:id="rId22" w:history="1">
        <w:r w:rsidR="00F304B4" w:rsidRPr="009510BC">
          <w:rPr>
            <w:rStyle w:val="Hyperlink"/>
          </w:rPr>
          <w:t>Заключительное заявление</w:t>
        </w:r>
      </w:hyperlink>
      <w:r w:rsidR="00F304B4" w:rsidRPr="009510BC">
        <w:t xml:space="preserve"> собрания и отчет Председателя размещены </w:t>
      </w:r>
      <w:hyperlink r:id="rId23" w:history="1">
        <w:r w:rsidR="00F304B4" w:rsidRPr="009510BC">
          <w:rPr>
            <w:rStyle w:val="Hyperlink"/>
          </w:rPr>
          <w:t>здесь</w:t>
        </w:r>
      </w:hyperlink>
      <w:r w:rsidR="00F304B4" w:rsidRPr="009510BC">
        <w:t xml:space="preserve">. Следующее собрание IAGDI-CRO состоится </w:t>
      </w:r>
      <w:r w:rsidR="00F304B4" w:rsidRPr="005B4059">
        <w:rPr>
          <w:b/>
          <w:bCs/>
        </w:rPr>
        <w:t>2 сентября 2025</w:t>
      </w:r>
      <w:r w:rsidRPr="005B4059">
        <w:rPr>
          <w:b/>
          <w:bCs/>
        </w:rPr>
        <w:t> </w:t>
      </w:r>
      <w:r w:rsidR="00F304B4" w:rsidRPr="005B4059">
        <w:rPr>
          <w:b/>
          <w:bCs/>
        </w:rPr>
        <w:t>года</w:t>
      </w:r>
      <w:r w:rsidR="00F304B4" w:rsidRPr="009510BC">
        <w:t xml:space="preserve"> в Эр-Рияде, Королевство Саудовская Аравия, в рамках ГСР-25. </w:t>
      </w:r>
    </w:p>
    <w:p w14:paraId="1A4F1E2F" w14:textId="00D4605E" w:rsidR="00F304B4" w:rsidRPr="009510BC" w:rsidRDefault="000A7C42" w:rsidP="000A7C42">
      <w:pPr>
        <w:pStyle w:val="enumlev1"/>
        <w:rPr>
          <w:rFonts w:eastAsia="SimSun" w:cs="Calibri"/>
        </w:rPr>
      </w:pPr>
      <w:r>
        <w:t>−</w:t>
      </w:r>
      <w:r>
        <w:tab/>
      </w:r>
      <w:r w:rsidR="00F304B4" w:rsidRPr="009510BC">
        <w:t xml:space="preserve">Помимо этого, </w:t>
      </w:r>
      <w:r w:rsidR="00F304B4" w:rsidRPr="005B4059">
        <w:rPr>
          <w:b/>
          <w:bCs/>
        </w:rPr>
        <w:t>в феврале 2025 года</w:t>
      </w:r>
      <w:r w:rsidR="00F304B4" w:rsidRPr="009510BC">
        <w:t xml:space="preserve"> </w:t>
      </w:r>
      <w:r w:rsidR="00F304B4" w:rsidRPr="005B4059">
        <w:rPr>
          <w:b/>
          <w:bCs/>
        </w:rPr>
        <w:t>IAGDI-CRO</w:t>
      </w:r>
      <w:r w:rsidR="00F304B4" w:rsidRPr="009510BC">
        <w:t xml:space="preserve"> впервые организовала </w:t>
      </w:r>
      <w:r w:rsidR="00F304B4" w:rsidRPr="005B4059">
        <w:rPr>
          <w:b/>
          <w:bCs/>
        </w:rPr>
        <w:t>два мероприятия Tech Talks</w:t>
      </w:r>
      <w:r w:rsidR="00F304B4" w:rsidRPr="009510BC">
        <w:t xml:space="preserve">, каждое из которых было посвящено </w:t>
      </w:r>
      <w:r w:rsidR="00F304B4" w:rsidRPr="005B4059">
        <w:rPr>
          <w:b/>
          <w:bCs/>
        </w:rPr>
        <w:t>темам 1-й и 2-й Исследовательских комиссий МСЭ-D</w:t>
      </w:r>
      <w:r w:rsidR="00F304B4" w:rsidRPr="009510BC">
        <w:t>, соответственно. Это способствовало укреплению сотрудничества между членами Сектора МСЭ-D, руководящими составами исследовательских комиссий МСЭ-D, а также членами МСЭ-D и стимулировало ориентированные на будущее обсуждения передовых цифровых технологий и связанных с ними тенденций, которые могут повлиять на направление будущей работы МСЭ-D, включая разработку новых Вопросов исследовательских комиссий, которые будут приняты на ВКРЭ-25.</w:t>
      </w:r>
    </w:p>
    <w:p w14:paraId="6845C2F9" w14:textId="498DBFE2" w:rsidR="00F304B4" w:rsidRPr="009510BC" w:rsidRDefault="000A7C42" w:rsidP="000A7C42">
      <w:pPr>
        <w:pStyle w:val="enumlev2"/>
        <w:rPr>
          <w:rFonts w:eastAsia="SimSun" w:cs="Calibri"/>
        </w:rPr>
      </w:pPr>
      <w:r>
        <w:rPr>
          <w:rFonts w:cs="Calibri"/>
        </w:rPr>
        <w:t>•</w:t>
      </w:r>
      <w:r>
        <w:tab/>
      </w:r>
      <w:r w:rsidR="00F304B4" w:rsidRPr="009510BC">
        <w:t xml:space="preserve">Отчеты о мероприятии </w:t>
      </w:r>
      <w:r w:rsidR="00F304B4" w:rsidRPr="005B4059">
        <w:rPr>
          <w:b/>
          <w:bCs/>
        </w:rPr>
        <w:t>Tech Talk по созданию благоприятной среды для обеспечения реальной возможности установления соединений</w:t>
      </w:r>
      <w:r w:rsidR="00F304B4" w:rsidRPr="009510BC">
        <w:t xml:space="preserve"> и мероприятии </w:t>
      </w:r>
      <w:r w:rsidR="00F304B4" w:rsidRPr="005B4059">
        <w:rPr>
          <w:b/>
          <w:bCs/>
        </w:rPr>
        <w:t>Tech Talk по цифровой трансформации</w:t>
      </w:r>
      <w:r w:rsidR="00F304B4" w:rsidRPr="009510BC">
        <w:t xml:space="preserve"> были представлены КГРЭ-РГ-futureSGQ; они были приняты к сведению и получили высокую оценку. Отчеты о мероприятиях Tech Talks размещены </w:t>
      </w:r>
      <w:hyperlink r:id="rId24" w:history="1">
        <w:r w:rsidR="00F304B4" w:rsidRPr="009510BC">
          <w:rPr>
            <w:rStyle w:val="Hyperlink"/>
          </w:rPr>
          <w:t>здесь</w:t>
        </w:r>
      </w:hyperlink>
      <w:r w:rsidR="00F304B4" w:rsidRPr="009510BC">
        <w:t>.</w:t>
      </w:r>
    </w:p>
    <w:p w14:paraId="5755A964" w14:textId="50122C64" w:rsidR="00F304B4" w:rsidRPr="009510BC" w:rsidRDefault="000A7C42" w:rsidP="000A7C42">
      <w:pPr>
        <w:pStyle w:val="enumlev1"/>
        <w:rPr>
          <w:rFonts w:eastAsia="SimSun" w:cs="Calibri"/>
        </w:rPr>
      </w:pPr>
      <w:r>
        <w:t>−</w:t>
      </w:r>
      <w:r>
        <w:tab/>
      </w:r>
      <w:r w:rsidR="00F304B4" w:rsidRPr="009510BC">
        <w:t xml:space="preserve">БРЭ продолжило особо отмечать членов МСЭ-D на </w:t>
      </w:r>
      <w:r w:rsidR="00F304B4" w:rsidRPr="005B4059">
        <w:rPr>
          <w:b/>
          <w:bCs/>
        </w:rPr>
        <w:t>специальной сессии в ходе собрания КГРЭ-24</w:t>
      </w:r>
      <w:r w:rsidR="00F304B4" w:rsidRPr="009510BC">
        <w:t xml:space="preserve">, на которой был отмечен и отмечен значительный вклад членов и партнеров МСЭ-D в работу МСЭ-D. Помимо этого, БРЭ продолжает вести работу по привлечению </w:t>
      </w:r>
      <w:r w:rsidR="00F304B4" w:rsidRPr="009510BC">
        <w:rPr>
          <w:b/>
          <w:bCs/>
        </w:rPr>
        <w:t xml:space="preserve">новых членов </w:t>
      </w:r>
      <w:r w:rsidR="00F304B4" w:rsidRPr="009510BC">
        <w:t xml:space="preserve">в социальных сетях, в том числе в формате видео-отзывов, используемых как для признания наших членов, так и для привлечения новых потенциальных членов. </w:t>
      </w:r>
    </w:p>
    <w:p w14:paraId="0C50407E" w14:textId="643DC79A" w:rsidR="00F304B4" w:rsidRPr="009510BC" w:rsidRDefault="000A7C42" w:rsidP="000A7C42">
      <w:pPr>
        <w:pStyle w:val="enumlev1"/>
      </w:pPr>
      <w:r>
        <w:t>−</w:t>
      </w:r>
      <w:r>
        <w:tab/>
      </w:r>
      <w:r w:rsidR="00F304B4" w:rsidRPr="009510BC">
        <w:t xml:space="preserve">В 2024 году БРЭ продолжило организовывать </w:t>
      </w:r>
      <w:r w:rsidR="00F304B4" w:rsidRPr="005B4059">
        <w:rPr>
          <w:b/>
          <w:bCs/>
        </w:rPr>
        <w:t>виртуальные брифинги</w:t>
      </w:r>
      <w:r w:rsidR="00F304B4" w:rsidRPr="009510BC">
        <w:t xml:space="preserve"> и </w:t>
      </w:r>
      <w:r w:rsidR="00F304B4" w:rsidRPr="005B4059">
        <w:rPr>
          <w:b/>
          <w:bCs/>
        </w:rPr>
        <w:t>визиты в штаб-квартиру МСЭ</w:t>
      </w:r>
      <w:r w:rsidR="00F304B4" w:rsidRPr="009510BC">
        <w:t xml:space="preserve"> с участием ряда Членов Сектора МСЭ-D, Ассоциированных членов, Академических организаций и потенциальных кандидатов, с тем чтобы рассказать о преимуществах членства и возможностях, связанных с взаимодействием с МСЭ-D. </w:t>
      </w:r>
    </w:p>
    <w:p w14:paraId="7DC6C91B" w14:textId="311F3F87" w:rsidR="00F304B4" w:rsidRPr="009510BC" w:rsidRDefault="000A7C42" w:rsidP="000A7C42">
      <w:pPr>
        <w:pStyle w:val="enumlev1"/>
      </w:pPr>
      <w:r>
        <w:t>−</w:t>
      </w:r>
      <w:r>
        <w:tab/>
      </w:r>
      <w:r w:rsidR="00F304B4" w:rsidRPr="009510BC">
        <w:t xml:space="preserve">Кроме того, в соответствии со стратегией мобилизации ресурсов, одобренной Советом 2024 года (Документ </w:t>
      </w:r>
      <w:hyperlink r:id="rId25" w:history="1">
        <w:r w:rsidR="00F304B4" w:rsidRPr="009510BC">
          <w:rPr>
            <w:rStyle w:val="Hyperlink"/>
          </w:rPr>
          <w:t>C24/70</w:t>
        </w:r>
      </w:hyperlink>
      <w:r w:rsidR="00F304B4" w:rsidRPr="009510BC">
        <w:t xml:space="preserve">), на двадцатом собрании (17−19 февраля 2025 г.) Рабочей группы Совета по финансовым и людским ресурсам (РГС-ФЛР) было согласовано заявление о взаимодействии </w:t>
      </w:r>
      <w:hyperlink r:id="rId26" w:history="1">
        <w:r w:rsidR="00F304B4" w:rsidRPr="009510BC">
          <w:rPr>
            <w:rStyle w:val="Hyperlink"/>
          </w:rPr>
          <w:t>CWG-FHR-20/20(Rev.1)</w:t>
        </w:r>
      </w:hyperlink>
      <w:r w:rsidR="00F304B4" w:rsidRPr="009510BC">
        <w:t xml:space="preserve">, направленное всем консультативным группам Секторов, в котором Секторам предлагается провести консультации с членами Сектора по вопросам способов расширения участия членов Секторов и повышения поступающих от членов Секторов доходов и представить отчеты со своими выводами РГС-ФЛР в сентябре 2025 года. Заявление о взаимодействии приведено в </w:t>
      </w:r>
      <w:r w:rsidR="00F304B4" w:rsidRPr="009510BC">
        <w:rPr>
          <w:b/>
          <w:bCs/>
        </w:rPr>
        <w:t xml:space="preserve">Приложении 1 </w:t>
      </w:r>
      <w:r w:rsidR="00F304B4" w:rsidRPr="009510BC">
        <w:t>к настоящему документу.</w:t>
      </w:r>
    </w:p>
    <w:p w14:paraId="4E1E1EDF" w14:textId="4E763CF2" w:rsidR="00F304B4" w:rsidRPr="0027792B" w:rsidRDefault="000A7C42" w:rsidP="000A7C42">
      <w:pPr>
        <w:pStyle w:val="Heading1"/>
        <w:rPr>
          <w:rFonts w:eastAsia="SimSun" w:cs="Arial"/>
          <w:szCs w:val="24"/>
          <w:lang w:val="en-GB"/>
        </w:rPr>
      </w:pPr>
      <w:r>
        <w:lastRenderedPageBreak/>
        <w:t>4</w:t>
      </w:r>
      <w:r>
        <w:tab/>
      </w:r>
      <w:r w:rsidR="00F304B4" w:rsidRPr="009510BC">
        <w:t>Укрепление международной координации и совершенствование процессов в 2024 году</w:t>
      </w:r>
    </w:p>
    <w:p w14:paraId="749339D5" w14:textId="77777777" w:rsidR="00F304B4" w:rsidRPr="009510BC" w:rsidRDefault="00F304B4" w:rsidP="000A7C42">
      <w:pPr>
        <w:rPr>
          <w:rFonts w:eastAsia="SimSun" w:cs="Arial"/>
          <w:szCs w:val="24"/>
        </w:rPr>
      </w:pPr>
      <w:r w:rsidRPr="009510BC">
        <w:t>БРЭ осуществляет постоянную внутреннюю координацию с другими Секторами и Генеральным секретариатом (SPM) для совершенствования эффективных процессов с целью улучшения опыта членов посредством следующих мер:</w:t>
      </w:r>
    </w:p>
    <w:p w14:paraId="4F1EA500" w14:textId="5F45851A" w:rsidR="00F304B4" w:rsidRPr="009510BC" w:rsidRDefault="000A7C42" w:rsidP="000A7C42">
      <w:pPr>
        <w:pStyle w:val="enumlev1"/>
        <w:rPr>
          <w:rFonts w:eastAsia="SimSun" w:cs="Arial"/>
          <w:szCs w:val="24"/>
        </w:rPr>
      </w:pPr>
      <w:r>
        <w:t>−</w:t>
      </w:r>
      <w:r>
        <w:tab/>
      </w:r>
      <w:r w:rsidR="00F304B4" w:rsidRPr="009510BC">
        <w:t>активизация усилий по обеспечению более эффективной процедуры адаптации новых членов и привлечение групп экспертов к обеспечению взаимодействия с продуктами и услугами МСЭ-D.</w:t>
      </w:r>
    </w:p>
    <w:p w14:paraId="65ACDE52" w14:textId="15974EA2" w:rsidR="00F304B4" w:rsidRPr="009510BC" w:rsidRDefault="000A7C42" w:rsidP="000A7C42">
      <w:pPr>
        <w:pStyle w:val="enumlev1"/>
        <w:rPr>
          <w:rFonts w:eastAsia="SimSun" w:cs="Arial"/>
          <w:szCs w:val="24"/>
        </w:rPr>
      </w:pPr>
      <w:r>
        <w:t>−</w:t>
      </w:r>
      <w:r>
        <w:tab/>
      </w:r>
      <w:r w:rsidR="00F304B4" w:rsidRPr="009510BC">
        <w:t>переработка веб-сайта членского состава, предусматривающее обновление контента, более четкое изложение преимуществ и упрощенный процесс подачи заявок для стимулирования потенциальных членов.</w:t>
      </w:r>
    </w:p>
    <w:p w14:paraId="33D9CA27" w14:textId="50CF83A0" w:rsidR="00F304B4" w:rsidRPr="009510BC" w:rsidRDefault="000A7C42" w:rsidP="000A7C42">
      <w:pPr>
        <w:pStyle w:val="enumlev1"/>
        <w:rPr>
          <w:rFonts w:eastAsia="SimSun" w:cs="Arial"/>
          <w:szCs w:val="24"/>
        </w:rPr>
      </w:pPr>
      <w:r>
        <w:t>−</w:t>
      </w:r>
      <w:r>
        <w:tab/>
      </w:r>
      <w:r w:rsidR="00F304B4" w:rsidRPr="009510BC">
        <w:t>координация с другими Секторами и Генеральным секретариатом способов укрепления вовлеченности членов Сектора и повышения поступающих от них доходов в соответствии со стратегией мобилизации ресурсов, одобренной Советом 2024 года.</w:t>
      </w:r>
    </w:p>
    <w:p w14:paraId="452D1641" w14:textId="791D4255" w:rsidR="00F304B4" w:rsidRPr="009510BC" w:rsidRDefault="000A7C42" w:rsidP="000A7C42">
      <w:pPr>
        <w:pStyle w:val="Heading1"/>
        <w:rPr>
          <w:rFonts w:eastAsia="SimSun" w:cs="Arial"/>
          <w:szCs w:val="24"/>
        </w:rPr>
      </w:pPr>
      <w:r>
        <w:t>5</w:t>
      </w:r>
      <w:r>
        <w:tab/>
      </w:r>
      <w:r w:rsidR="00F304B4" w:rsidRPr="009510BC">
        <w:t>Выводы</w:t>
      </w:r>
    </w:p>
    <w:p w14:paraId="6DBB9E84" w14:textId="77777777" w:rsidR="00F304B4" w:rsidRPr="009510BC" w:rsidRDefault="00F304B4" w:rsidP="000A7C42">
      <w:pPr>
        <w:rPr>
          <w:rFonts w:eastAsia="SimSun"/>
        </w:rPr>
      </w:pPr>
      <w:r w:rsidRPr="009510BC">
        <w:t>БРЭ намерено:</w:t>
      </w:r>
    </w:p>
    <w:p w14:paraId="51BD252A" w14:textId="521CE73A" w:rsidR="00F304B4" w:rsidRPr="009510BC" w:rsidRDefault="005B4059" w:rsidP="000A7C42">
      <w:pPr>
        <w:pStyle w:val="enumlev1"/>
        <w:rPr>
          <w:rFonts w:eastAsia="SimSun"/>
        </w:rPr>
      </w:pPr>
      <w:r>
        <w:rPr>
          <w:lang w:val="en-US"/>
        </w:rPr>
        <w:t>a</w:t>
      </w:r>
      <w:r w:rsidRPr="005B4059">
        <w:t>)</w:t>
      </w:r>
      <w:r w:rsidR="00F304B4" w:rsidRPr="009510BC">
        <w:tab/>
        <w:t>Продолжать расширять реальное участие членов МСЭ-D в выполнении Кигалийского плана действий путем проведения информационных сессий, официальных миссий, сессий мероприятий Tech Talks, а также демонстрации ценности и налаживания партнерских отношений с целью привлечения ресурсов для реализации действенных проектов и инициатив.</w:t>
      </w:r>
    </w:p>
    <w:p w14:paraId="604795CC" w14:textId="4C1F0C38" w:rsidR="00F304B4" w:rsidRPr="009510BC" w:rsidRDefault="005B4059" w:rsidP="000A7C42">
      <w:pPr>
        <w:pStyle w:val="enumlev1"/>
        <w:rPr>
          <w:rFonts w:eastAsia="SimSun"/>
          <w:szCs w:val="24"/>
        </w:rPr>
      </w:pPr>
      <w:r>
        <w:rPr>
          <w:lang w:val="en-US"/>
        </w:rPr>
        <w:t>b</w:t>
      </w:r>
      <w:r w:rsidRPr="005B4059">
        <w:t>)</w:t>
      </w:r>
      <w:r w:rsidRPr="00021970">
        <w:tab/>
      </w:r>
      <w:r w:rsidR="00F304B4" w:rsidRPr="009510BC">
        <w:t>Содействовать более широкому участию и вовлеченности не активных членов в продуктах и услугах МСЭ-D, включая такие мероприятия и платформы, как собрания исследовательских комиссий МСЭ-D, Глобальный симпозиум для регуляторных органов (ГСР), Академия МСЭ, региональные форумы по вопросам развития (РФР), региональные подготовительные собрания (РПС) и Всемирная конференция по развитию электросвязи 2025 года (ВКРЭ-25).</w:t>
      </w:r>
    </w:p>
    <w:p w14:paraId="354A8F46" w14:textId="206779C6" w:rsidR="00F304B4" w:rsidRPr="009510BC" w:rsidRDefault="005B4059" w:rsidP="000A7C42">
      <w:pPr>
        <w:pStyle w:val="enumlev1"/>
        <w:rPr>
          <w:rFonts w:eastAsia="SimSun"/>
        </w:rPr>
      </w:pPr>
      <w:r>
        <w:rPr>
          <w:lang w:val="en-US"/>
        </w:rPr>
        <w:t>c</w:t>
      </w:r>
      <w:r w:rsidRPr="005B4059">
        <w:t>)</w:t>
      </w:r>
      <w:r w:rsidRPr="00021970">
        <w:tab/>
      </w:r>
      <w:r w:rsidR="00F304B4" w:rsidRPr="009510BC">
        <w:t>Собрать идеи и отзывы членов МСЭ-D по совершенствованию инструментов, процессов и других услуг.</w:t>
      </w:r>
    </w:p>
    <w:p w14:paraId="086733F2" w14:textId="58D14A9D" w:rsidR="00F304B4" w:rsidRPr="009510BC" w:rsidRDefault="005B4059" w:rsidP="005B4059">
      <w:pPr>
        <w:pStyle w:val="Heading1"/>
        <w:rPr>
          <w:rFonts w:eastAsia="SimSun" w:cs="Arial"/>
          <w:szCs w:val="24"/>
        </w:rPr>
      </w:pPr>
      <w:r w:rsidRPr="00021970">
        <w:t>6</w:t>
      </w:r>
      <w:r w:rsidRPr="00021970">
        <w:tab/>
      </w:r>
      <w:r w:rsidR="00F304B4" w:rsidRPr="009510BC">
        <w:t>Призыв к оказанию поддержки</w:t>
      </w:r>
    </w:p>
    <w:p w14:paraId="7A407146" w14:textId="77777777" w:rsidR="00F304B4" w:rsidRPr="009510BC" w:rsidRDefault="00F304B4" w:rsidP="005B4059">
      <w:pPr>
        <w:rPr>
          <w:rFonts w:eastAsia="SimSun"/>
        </w:rPr>
      </w:pPr>
      <w:r w:rsidRPr="009510BC">
        <w:t>Членам МСЭ-D предлагается участвовать в работе МСЭ-D и популяризировать преимущества, связанные с присоединением к деятельности МСЭ-D, а также содействовать участию государственного и частного секторов, компаний отрасли и университетов в ВКРЭ-25 и взаимодействию в ее рамках. Им также настоятельно рекомендуется без задержек проводить процедуры надлежащего исполнения для новых претендентов на членство, чтобы они сохраняли мотивацию для завершения процесса присоединения в интересах цифровой трансформации совместно на различных платформах МСЭ-D.</w:t>
      </w:r>
    </w:p>
    <w:p w14:paraId="15468AA3" w14:textId="77777777" w:rsidR="00F304B4" w:rsidRPr="005B4059" w:rsidRDefault="00F304B4" w:rsidP="005B4059">
      <w:r w:rsidRPr="005B4059">
        <w:br w:type="page"/>
      </w:r>
    </w:p>
    <w:p w14:paraId="656846AD" w14:textId="77777777" w:rsidR="005B4059" w:rsidRPr="005B4059" w:rsidRDefault="005B4059" w:rsidP="005B4059">
      <w:pPr>
        <w:pStyle w:val="Source"/>
        <w:spacing w:before="120" w:after="120"/>
        <w:rPr>
          <w:rFonts w:cstheme="minorHAnsi"/>
          <w:sz w:val="24"/>
          <w:szCs w:val="24"/>
          <w:lang w:val="en-GB"/>
        </w:rPr>
      </w:pPr>
      <w:r w:rsidRPr="005B4059">
        <w:rPr>
          <w:rFonts w:cstheme="minorHAnsi"/>
          <w:sz w:val="24"/>
          <w:szCs w:val="24"/>
          <w:lang w:val="en-GB"/>
        </w:rPr>
        <w:lastRenderedPageBreak/>
        <w:t>ANNEX 1 to Document TDAG-25/8</w:t>
      </w:r>
    </w:p>
    <w:p w14:paraId="6C6C3BCD" w14:textId="77777777" w:rsidR="005B4059" w:rsidRPr="005B4059" w:rsidRDefault="005B4059" w:rsidP="005B4059">
      <w:pPr>
        <w:spacing w:after="120"/>
        <w:jc w:val="center"/>
        <w:rPr>
          <w:rFonts w:cstheme="minorHAnsi"/>
          <w:szCs w:val="24"/>
          <w:lang w:val="en-GB"/>
        </w:rPr>
      </w:pPr>
      <w:r w:rsidRPr="005B4059">
        <w:rPr>
          <w:rFonts w:cstheme="minorHAnsi"/>
          <w:b/>
          <w:bCs/>
          <w:szCs w:val="24"/>
          <w:lang w:val="en-GB"/>
        </w:rPr>
        <w:t xml:space="preserve">Liaison statement on strengthening Sector Member engagement and revenues </w:t>
      </w:r>
      <w:r w:rsidRPr="005B4059">
        <w:rPr>
          <w:rFonts w:cstheme="minorHAnsi"/>
          <w:szCs w:val="24"/>
          <w:lang w:val="en-GB"/>
        </w:rPr>
        <w:t xml:space="preserve">- </w:t>
      </w:r>
      <w:r w:rsidRPr="005B4059">
        <w:rPr>
          <w:rFonts w:cstheme="minorHAnsi"/>
          <w:szCs w:val="24"/>
          <w:lang w:val="en-GB"/>
        </w:rPr>
        <w:br/>
      </w:r>
      <w:hyperlink r:id="rId27" w:history="1">
        <w:r w:rsidRPr="005B4059">
          <w:rPr>
            <w:rFonts w:eastAsia="SimSun" w:cstheme="minorHAnsi"/>
            <w:color w:val="0563C1"/>
            <w:szCs w:val="24"/>
            <w:u w:val="single"/>
            <w:lang w:val="en-GB"/>
          </w:rPr>
          <w:t>CWG-FHR-20/20(Rev.1)</w:t>
        </w:r>
      </w:hyperlink>
    </w:p>
    <w:p w14:paraId="0F3F2954" w14:textId="77777777" w:rsidR="005B4059" w:rsidRPr="005B4059" w:rsidRDefault="005B4059" w:rsidP="005B4059">
      <w:pPr>
        <w:keepNext/>
        <w:keepLines/>
        <w:spacing w:after="120"/>
        <w:ind w:left="567" w:hanging="567"/>
        <w:textAlignment w:val="auto"/>
        <w:outlineLvl w:val="0"/>
        <w:rPr>
          <w:rFonts w:cstheme="minorHAnsi"/>
          <w:b/>
          <w:szCs w:val="24"/>
          <w:lang w:val="en-GB"/>
        </w:rPr>
      </w:pPr>
      <w:r w:rsidRPr="005B4059">
        <w:rPr>
          <w:rFonts w:cstheme="minorHAnsi"/>
          <w:b/>
          <w:szCs w:val="24"/>
          <w:lang w:val="en-GB"/>
        </w:rPr>
        <w:t>Abstract</w:t>
      </w:r>
    </w:p>
    <w:p w14:paraId="052126C1" w14:textId="77777777" w:rsidR="005B4059" w:rsidRPr="005B4059" w:rsidRDefault="005B4059" w:rsidP="005B4059">
      <w:pPr>
        <w:spacing w:after="120"/>
        <w:textAlignment w:val="auto"/>
        <w:rPr>
          <w:rFonts w:cstheme="minorHAnsi"/>
          <w:szCs w:val="24"/>
          <w:lang w:val="en-GB"/>
        </w:rPr>
      </w:pPr>
      <w:r w:rsidRPr="005B4059">
        <w:rPr>
          <w:rFonts w:cstheme="minorHAnsi"/>
          <w:szCs w:val="24"/>
          <w:lang w:val="en-GB"/>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63D8662B" w14:textId="77777777" w:rsidR="005B4059" w:rsidRPr="005B4059" w:rsidRDefault="005B4059" w:rsidP="005B4059">
      <w:pPr>
        <w:keepNext/>
        <w:keepLines/>
        <w:spacing w:after="120"/>
        <w:ind w:left="567" w:hanging="567"/>
        <w:textAlignment w:val="auto"/>
        <w:outlineLvl w:val="0"/>
        <w:rPr>
          <w:rFonts w:cstheme="minorHAnsi"/>
          <w:b/>
          <w:szCs w:val="24"/>
          <w:lang w:val="en-GB"/>
        </w:rPr>
      </w:pPr>
      <w:r w:rsidRPr="005B4059">
        <w:rPr>
          <w:rFonts w:cstheme="minorHAnsi"/>
          <w:b/>
          <w:szCs w:val="24"/>
          <w:lang w:val="en-GB"/>
        </w:rPr>
        <w:t>Keywords</w:t>
      </w:r>
    </w:p>
    <w:p w14:paraId="7FD47854" w14:textId="77777777" w:rsidR="005B4059" w:rsidRPr="005B4059" w:rsidRDefault="005B4059" w:rsidP="005B4059">
      <w:pPr>
        <w:spacing w:after="120"/>
        <w:textAlignment w:val="auto"/>
        <w:rPr>
          <w:rFonts w:cstheme="minorHAnsi"/>
          <w:szCs w:val="24"/>
          <w:lang w:val="en-GB"/>
        </w:rPr>
      </w:pPr>
      <w:r w:rsidRPr="005B4059">
        <w:rPr>
          <w:rFonts w:cstheme="minorHAnsi"/>
          <w:szCs w:val="24"/>
          <w:lang w:val="en-GB"/>
        </w:rPr>
        <w:t>Sector Membership, rights and benefits, revenues</w:t>
      </w:r>
    </w:p>
    <w:p w14:paraId="15192042" w14:textId="77777777" w:rsidR="005B4059" w:rsidRPr="005B4059" w:rsidRDefault="005B4059" w:rsidP="005B4059">
      <w:pPr>
        <w:spacing w:after="120"/>
        <w:textAlignment w:val="auto"/>
        <w:rPr>
          <w:rFonts w:cstheme="minorHAnsi"/>
          <w:szCs w:val="24"/>
          <w:lang w:val="en-GB"/>
        </w:rPr>
      </w:pPr>
      <w:r w:rsidRPr="005B4059">
        <w:rPr>
          <w:rFonts w:cstheme="minorHAnsi"/>
          <w:b/>
          <w:bCs/>
          <w:szCs w:val="24"/>
          <w:lang w:val="en-GB"/>
        </w:rPr>
        <w:t>For action to:</w:t>
      </w:r>
      <w:r w:rsidRPr="005B4059">
        <w:rPr>
          <w:rFonts w:cstheme="minorHAnsi"/>
          <w:szCs w:val="24"/>
          <w:lang w:val="en-GB"/>
        </w:rPr>
        <w:t xml:space="preserve"> RAG, TSAG, TDAG, ISCG </w:t>
      </w:r>
    </w:p>
    <w:p w14:paraId="7FF7539F" w14:textId="77777777" w:rsidR="005B4059" w:rsidRPr="005B4059" w:rsidRDefault="005B4059" w:rsidP="005B4059">
      <w:pPr>
        <w:keepNext/>
        <w:keepLines/>
        <w:spacing w:after="120"/>
        <w:ind w:left="567" w:hanging="567"/>
        <w:textAlignment w:val="auto"/>
        <w:outlineLvl w:val="0"/>
        <w:rPr>
          <w:rFonts w:cstheme="minorHAnsi"/>
          <w:b/>
          <w:szCs w:val="24"/>
          <w:lang w:val="en-GB"/>
        </w:rPr>
      </w:pPr>
      <w:r w:rsidRPr="005B4059">
        <w:rPr>
          <w:rFonts w:cstheme="minorHAnsi"/>
          <w:b/>
          <w:szCs w:val="24"/>
          <w:lang w:val="en-GB"/>
        </w:rPr>
        <w:t>Strengthening Sector Member engagement and revenues</w:t>
      </w:r>
    </w:p>
    <w:p w14:paraId="4E4FFE2F" w14:textId="77777777" w:rsidR="005B4059" w:rsidRPr="005B4059" w:rsidRDefault="005B4059" w:rsidP="005B4059">
      <w:pPr>
        <w:spacing w:after="120"/>
        <w:textAlignment w:val="auto"/>
        <w:rPr>
          <w:rFonts w:cstheme="minorHAnsi"/>
          <w:szCs w:val="24"/>
          <w:lang w:val="en-GB"/>
        </w:rPr>
      </w:pPr>
      <w:r w:rsidRPr="005B4059">
        <w:rPr>
          <w:rFonts w:cstheme="minorHAnsi"/>
          <w:szCs w:val="24"/>
          <w:lang w:val="en-GB"/>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28" w:history="1">
        <w:r w:rsidRPr="005B4059">
          <w:rPr>
            <w:rFonts w:cstheme="minorHAnsi"/>
            <w:color w:val="0563C1"/>
            <w:szCs w:val="24"/>
            <w:u w:val="single"/>
            <w:lang w:val="en-GB"/>
          </w:rPr>
          <w:t>C24/70</w:t>
        </w:r>
      </w:hyperlink>
      <w:r w:rsidRPr="005B4059">
        <w:rPr>
          <w:rFonts w:cstheme="minorHAnsi"/>
          <w:szCs w:val="24"/>
          <w:lang w:val="en-GB"/>
        </w:rPr>
        <w:t xml:space="preserve">). This strategy was endorsed. </w:t>
      </w:r>
    </w:p>
    <w:p w14:paraId="6DD741FD" w14:textId="77777777" w:rsidR="005B4059" w:rsidRPr="005B4059" w:rsidRDefault="005B4059" w:rsidP="005B4059">
      <w:pPr>
        <w:spacing w:after="120"/>
        <w:textAlignment w:val="auto"/>
        <w:rPr>
          <w:rFonts w:cstheme="minorHAnsi"/>
          <w:szCs w:val="24"/>
          <w:lang w:val="en-GB"/>
        </w:rPr>
      </w:pPr>
      <w:r w:rsidRPr="005B4059">
        <w:rPr>
          <w:rFonts w:eastAsia="SimSun" w:cstheme="minorHAnsi"/>
          <w:szCs w:val="24"/>
          <w:lang w:val="en-GB"/>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5B4059">
        <w:rPr>
          <w:rFonts w:cstheme="minorHAnsi"/>
          <w:szCs w:val="24"/>
          <w:lang w:val="en-GB"/>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760B7CD8" w14:textId="77777777" w:rsidR="005B4059" w:rsidRPr="005B4059" w:rsidRDefault="005B4059" w:rsidP="005B4059">
      <w:pPr>
        <w:overflowPunct/>
        <w:autoSpaceDE/>
        <w:autoSpaceDN/>
        <w:adjustRightInd/>
        <w:spacing w:after="120"/>
        <w:textAlignment w:val="auto"/>
        <w:rPr>
          <w:rFonts w:cstheme="minorHAnsi"/>
          <w:szCs w:val="24"/>
          <w:lang w:val="en-GB"/>
        </w:rPr>
      </w:pPr>
      <w:r w:rsidRPr="005B4059">
        <w:rPr>
          <w:rFonts w:cstheme="minorHAnsi"/>
          <w:szCs w:val="24"/>
          <w:lang w:val="en-GB"/>
        </w:rPr>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p w14:paraId="0BC1A2A3" w14:textId="77777777" w:rsidR="00CE66E4" w:rsidRPr="00CE66E4" w:rsidRDefault="00CE66E4" w:rsidP="005B4059">
      <w:pPr>
        <w:spacing w:before="720"/>
        <w:jc w:val="center"/>
        <w:rPr>
          <w:lang w:val="en-US"/>
        </w:rPr>
      </w:pPr>
      <w:r>
        <w:t>______________</w:t>
      </w:r>
    </w:p>
    <w:sectPr w:rsidR="00CE66E4" w:rsidRPr="00CE66E4" w:rsidSect="00CE66E4">
      <w:headerReference w:type="default" r:id="rId29"/>
      <w:footerReference w:type="first" r:id="rId30"/>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39825" w14:textId="77777777" w:rsidR="00F304B4" w:rsidRDefault="00F304B4">
      <w:r>
        <w:separator/>
      </w:r>
    </w:p>
    <w:p w14:paraId="35009424" w14:textId="77777777" w:rsidR="00F304B4" w:rsidRDefault="00F304B4"/>
  </w:endnote>
  <w:endnote w:type="continuationSeparator" w:id="0">
    <w:p w14:paraId="1A97BBBF" w14:textId="77777777" w:rsidR="00F304B4" w:rsidRDefault="00F304B4">
      <w:r>
        <w:continuationSeparator/>
      </w:r>
    </w:p>
    <w:p w14:paraId="4A0A5558" w14:textId="77777777" w:rsidR="00F304B4" w:rsidRDefault="00F304B4"/>
  </w:endnote>
  <w:endnote w:type="continuationNotice" w:id="1">
    <w:p w14:paraId="7EE8F7F6" w14:textId="77777777" w:rsidR="00F304B4" w:rsidRDefault="00F304B4">
      <w:pPr>
        <w:spacing w:before="0"/>
      </w:pPr>
    </w:p>
    <w:p w14:paraId="4A7DA1A3" w14:textId="77777777" w:rsidR="00F304B4" w:rsidRDefault="00F30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F723AC" w:rsidRPr="00365AB0" w14:paraId="6DED0A69" w14:textId="77777777" w:rsidTr="005539C3">
      <w:tc>
        <w:tcPr>
          <w:tcW w:w="1526" w:type="dxa"/>
          <w:tcBorders>
            <w:top w:val="single" w:sz="4" w:space="0" w:color="000000" w:themeColor="text1"/>
          </w:tcBorders>
        </w:tcPr>
        <w:p w14:paraId="012F9F32" w14:textId="77777777" w:rsidR="00F723AC" w:rsidRPr="00365AB0" w:rsidRDefault="00F723AC" w:rsidP="00F723AC">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1AFB001B" w14:textId="77777777" w:rsidR="00F723AC" w:rsidRPr="00365AB0" w:rsidRDefault="00F723AC" w:rsidP="00F723AC">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2A3FD577" w14:textId="0AEB00E9" w:rsidR="00F723AC" w:rsidRPr="00F304B4" w:rsidRDefault="00F304B4" w:rsidP="00F723AC">
          <w:pPr>
            <w:pStyle w:val="FirstFooter"/>
            <w:rPr>
              <w:sz w:val="18"/>
              <w:szCs w:val="18"/>
            </w:rPr>
          </w:pPr>
          <w:r w:rsidRPr="00F304B4">
            <w:rPr>
              <w:sz w:val="18"/>
              <w:szCs w:val="22"/>
            </w:rPr>
            <w:t>г-жа Ын-Чжу Ким (Ms Eun-Ju Kim), руководитель Департамента проектов, партнерств и цифровых навыков Бюро развития электросвязи</w:t>
          </w:r>
        </w:p>
      </w:tc>
      <w:bookmarkStart w:id="10" w:name="OrgName"/>
      <w:bookmarkEnd w:id="10"/>
    </w:tr>
    <w:tr w:rsidR="00F723AC" w:rsidRPr="00365AB0" w14:paraId="2C8FC605" w14:textId="77777777" w:rsidTr="005539C3">
      <w:trPr>
        <w:trHeight w:val="165"/>
      </w:trPr>
      <w:tc>
        <w:tcPr>
          <w:tcW w:w="1526" w:type="dxa"/>
        </w:tcPr>
        <w:p w14:paraId="39B54DFA" w14:textId="77777777" w:rsidR="00F723AC" w:rsidRPr="00F304B4" w:rsidRDefault="00F723AC" w:rsidP="00F723AC">
          <w:pPr>
            <w:pStyle w:val="FirstFooter"/>
            <w:rPr>
              <w:sz w:val="18"/>
              <w:szCs w:val="18"/>
            </w:rPr>
          </w:pPr>
        </w:p>
      </w:tc>
      <w:tc>
        <w:tcPr>
          <w:tcW w:w="3260" w:type="dxa"/>
        </w:tcPr>
        <w:p w14:paraId="7B7D3A5F" w14:textId="77777777" w:rsidR="00F723AC" w:rsidRPr="00365AB0" w:rsidRDefault="00F723AC" w:rsidP="00F723AC">
          <w:pPr>
            <w:pStyle w:val="FirstFooter"/>
            <w:ind w:left="3010" w:hanging="3010"/>
            <w:rPr>
              <w:sz w:val="18"/>
              <w:szCs w:val="18"/>
              <w:lang w:val="en-US"/>
            </w:rPr>
          </w:pPr>
          <w:r w:rsidRPr="00365AB0">
            <w:rPr>
              <w:sz w:val="18"/>
              <w:szCs w:val="18"/>
            </w:rPr>
            <w:t>Тел.:</w:t>
          </w:r>
        </w:p>
      </w:tc>
      <w:tc>
        <w:tcPr>
          <w:tcW w:w="4853" w:type="dxa"/>
        </w:tcPr>
        <w:p w14:paraId="0E354474" w14:textId="1740C9C9" w:rsidR="00F723AC" w:rsidRPr="00365AB0" w:rsidRDefault="00F304B4" w:rsidP="00F723AC">
          <w:pPr>
            <w:pStyle w:val="FirstFooter"/>
            <w:rPr>
              <w:sz w:val="18"/>
              <w:szCs w:val="18"/>
            </w:rPr>
          </w:pPr>
          <w:r w:rsidRPr="00F304B4">
            <w:rPr>
              <w:sz w:val="18"/>
              <w:szCs w:val="22"/>
            </w:rPr>
            <w:t>+41 22 730 5900</w:t>
          </w:r>
        </w:p>
      </w:tc>
      <w:bookmarkStart w:id="11" w:name="PhoneNo"/>
      <w:bookmarkEnd w:id="11"/>
    </w:tr>
    <w:tr w:rsidR="00F723AC" w:rsidRPr="00365AB0" w14:paraId="706E18FA" w14:textId="77777777" w:rsidTr="005539C3">
      <w:tc>
        <w:tcPr>
          <w:tcW w:w="1526" w:type="dxa"/>
        </w:tcPr>
        <w:p w14:paraId="22AC8A48" w14:textId="77777777" w:rsidR="00F723AC" w:rsidRPr="00365AB0" w:rsidRDefault="00F723AC" w:rsidP="00F723AC">
          <w:pPr>
            <w:pStyle w:val="FirstFooter"/>
            <w:rPr>
              <w:sz w:val="18"/>
              <w:szCs w:val="18"/>
            </w:rPr>
          </w:pPr>
        </w:p>
      </w:tc>
      <w:tc>
        <w:tcPr>
          <w:tcW w:w="3260" w:type="dxa"/>
        </w:tcPr>
        <w:p w14:paraId="5041A52D" w14:textId="77777777" w:rsidR="00F723AC" w:rsidRPr="00365AB0" w:rsidRDefault="00F723AC" w:rsidP="00F723AC">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016A91F5" w14:textId="4CF84020" w:rsidR="00F723AC" w:rsidRPr="00365AB0" w:rsidRDefault="00F304B4" w:rsidP="00F723AC">
          <w:pPr>
            <w:pStyle w:val="FirstFooter"/>
            <w:rPr>
              <w:sz w:val="18"/>
              <w:szCs w:val="18"/>
            </w:rPr>
          </w:pPr>
          <w:hyperlink r:id="rId1" w:history="1">
            <w:hyperlink r:id="rId2" w:history="1">
              <w:r w:rsidRPr="00F304B4">
                <w:rPr>
                  <w:rStyle w:val="Hyperlink"/>
                  <w:sz w:val="18"/>
                  <w:szCs w:val="22"/>
                  <w:lang w:val="en-US"/>
                </w:rPr>
                <w:t>eun-ju.kim@itu.int</w:t>
              </w:r>
            </w:hyperlink>
            <w:r>
              <w:t xml:space="preserve"> </w:t>
            </w:r>
          </w:hyperlink>
        </w:p>
      </w:tc>
      <w:bookmarkStart w:id="12" w:name="Email"/>
      <w:bookmarkEnd w:id="12"/>
    </w:tr>
  </w:tbl>
  <w:p w14:paraId="4AC118C5"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360CA" w14:textId="77777777" w:rsidR="00F304B4" w:rsidRPr="0054377E" w:rsidRDefault="00F304B4" w:rsidP="0054377E">
      <w:pPr>
        <w:spacing w:before="0"/>
      </w:pPr>
      <w:r w:rsidRPr="0054377E">
        <w:rPr>
          <w:b/>
        </w:rPr>
        <w:t>_______________</w:t>
      </w:r>
    </w:p>
  </w:footnote>
  <w:footnote w:type="continuationSeparator" w:id="0">
    <w:p w14:paraId="42FCC26A" w14:textId="77777777" w:rsidR="00F304B4" w:rsidRDefault="00F304B4" w:rsidP="0054377E">
      <w:pPr>
        <w:spacing w:before="0"/>
      </w:pPr>
      <w:r>
        <w:continuationSeparator/>
      </w:r>
    </w:p>
    <w:p w14:paraId="75BB21E3" w14:textId="77777777" w:rsidR="00F304B4" w:rsidRDefault="00F304B4"/>
  </w:footnote>
  <w:footnote w:type="continuationNotice" w:id="1">
    <w:p w14:paraId="2D4201AE" w14:textId="77777777" w:rsidR="00F304B4" w:rsidRDefault="00F304B4">
      <w:pPr>
        <w:spacing w:before="0"/>
      </w:pPr>
    </w:p>
    <w:p w14:paraId="58472BDA" w14:textId="77777777" w:rsidR="00F304B4" w:rsidRDefault="00F304B4"/>
  </w:footnote>
  <w:footnote w:id="2">
    <w:p w14:paraId="483A3DCA" w14:textId="1098563C" w:rsidR="00F304B4" w:rsidRPr="009510BC" w:rsidRDefault="00F304B4" w:rsidP="00021970">
      <w:pPr>
        <w:pStyle w:val="FootnoteText"/>
        <w:spacing w:before="0" w:after="120"/>
        <w:ind w:left="0" w:firstLine="0"/>
      </w:pPr>
      <w:r w:rsidRPr="004B0CA1">
        <w:rPr>
          <w:rStyle w:val="FootnoteReference"/>
        </w:rPr>
        <w:footnoteRef/>
      </w:r>
      <w:r>
        <w:tab/>
        <w:t>См. Резолюцию 169 (Гвадалахара, 2010 г.) Полномочной конференции (ПК-10), в которой была введена новая категория участия в работе МСЭ для академических организаций.</w:t>
      </w:r>
    </w:p>
  </w:footnote>
  <w:footnote w:id="3">
    <w:p w14:paraId="61D0B3E8" w14:textId="79BAD735" w:rsidR="00F304B4" w:rsidRPr="009510BC" w:rsidRDefault="00F304B4" w:rsidP="00F304B4">
      <w:pPr>
        <w:pStyle w:val="FootnoteText"/>
        <w:keepLines w:val="0"/>
        <w:spacing w:before="0"/>
        <w:ind w:left="0" w:firstLine="0"/>
      </w:pPr>
      <w:r w:rsidRPr="004B0CA1">
        <w:rPr>
          <w:rStyle w:val="FootnoteReference"/>
        </w:rPr>
        <w:footnoteRef/>
      </w:r>
      <w:r>
        <w:tab/>
        <w:t>Резолюция 71 (Пересм. Кигали, 2022 г.) "Укрепление сотрудничества между Государствами-Членами, Членами Сектора, Ассоциированными членами и Академическими организациями − Членами Сектора развития электросвязи МСЭ и изменяющаяся роль частного сектора в деятельности Сектора развития электросвязи МСЭ".</w:t>
      </w:r>
    </w:p>
  </w:footnote>
  <w:footnote w:id="4">
    <w:p w14:paraId="2E11A45E" w14:textId="05545D9F" w:rsidR="00F304B4" w:rsidRPr="009510BC" w:rsidRDefault="00F304B4" w:rsidP="00F304B4">
      <w:pPr>
        <w:pStyle w:val="FootnoteText"/>
        <w:spacing w:before="0"/>
        <w:ind w:left="0" w:firstLine="0"/>
      </w:pPr>
      <w:r w:rsidRPr="004B0CA1">
        <w:rPr>
          <w:rStyle w:val="FootnoteReference"/>
        </w:rPr>
        <w:footnoteRef/>
      </w:r>
      <w:r w:rsidR="007A2758">
        <w:tab/>
      </w:r>
      <w:r>
        <w:t>Академические организации – Члены МСЭ участвуют в работе всех трех Секторов МСЭ, в том числе их консультативных групп. Они также принимают участие в других глобальных и региональных конференциях, семинарах-практикумах и мероприятиях Союза, за исключением полномочных конференций, всемирных конференций радиосвязи, всемирных конференций по международной электросвязи и работы Совета МСЭ, в соответствии с правилами процедуры соответствующих Секторов.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678B" w14:textId="5E332CDD" w:rsidR="00636181" w:rsidRPr="00CE66E4" w:rsidRDefault="00636181" w:rsidP="00CE66E4">
    <w:pPr>
      <w:tabs>
        <w:tab w:val="clear" w:pos="1134"/>
        <w:tab w:val="clear" w:pos="1871"/>
        <w:tab w:val="clear" w:pos="2268"/>
        <w:tab w:val="center" w:pos="4820"/>
        <w:tab w:val="right" w:pos="14003"/>
      </w:tabs>
      <w:spacing w:before="0"/>
      <w:rPr>
        <w:smallCaps/>
        <w:spacing w:val="24"/>
        <w:sz w:val="20"/>
        <w:lang w:val="es-ES_tradnl"/>
      </w:rPr>
    </w:pPr>
    <w:r w:rsidRPr="00CE66E4">
      <w:rPr>
        <w:sz w:val="20"/>
      </w:rPr>
      <w:tab/>
    </w:r>
    <w:r w:rsidRPr="00CE66E4">
      <w:rPr>
        <w:sz w:val="20"/>
        <w:lang w:val="es-ES_tradnl"/>
      </w:rPr>
      <w:t>TDAG-2</w:t>
    </w:r>
    <w:r w:rsidR="003273BC" w:rsidRPr="00CE66E4">
      <w:rPr>
        <w:sz w:val="20"/>
        <w:lang w:val="es-ES_tradnl"/>
      </w:rPr>
      <w:t>5</w:t>
    </w:r>
    <w:r w:rsidRPr="00CE66E4">
      <w:rPr>
        <w:sz w:val="20"/>
        <w:lang w:val="es-ES_tradnl"/>
      </w:rPr>
      <w:t>/</w:t>
    </w:r>
    <w:r w:rsidR="00F304B4">
      <w:rPr>
        <w:sz w:val="20"/>
      </w:rPr>
      <w:t>8</w:t>
    </w:r>
    <w:r w:rsidRPr="00CE66E4">
      <w:rPr>
        <w:sz w:val="20"/>
        <w:lang w:val="es-ES_tradnl"/>
      </w:rPr>
      <w:t>-</w:t>
    </w:r>
    <w:r w:rsidR="007606A7" w:rsidRPr="00CE66E4">
      <w:rPr>
        <w:sz w:val="20"/>
        <w:lang w:val="es-ES_tradnl"/>
      </w:rPr>
      <w:t>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8D3456"/>
    <w:multiLevelType w:val="hybridMultilevel"/>
    <w:tmpl w:val="A7DAC90C"/>
    <w:lvl w:ilvl="0" w:tplc="D8AA70E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8"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7696AE2"/>
    <w:multiLevelType w:val="hybridMultilevel"/>
    <w:tmpl w:val="3B2437F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971BD"/>
    <w:multiLevelType w:val="hybridMultilevel"/>
    <w:tmpl w:val="609A4ED6"/>
    <w:lvl w:ilvl="0" w:tplc="04090017">
      <w:start w:val="1"/>
      <w:numFmt w:val="lowerLetter"/>
      <w:lvlText w:val="%1)"/>
      <w:lvlJc w:val="left"/>
      <w:pPr>
        <w:ind w:left="746" w:hanging="360"/>
      </w:pPr>
      <w:rPr>
        <w:rFonts w:hint="default"/>
      </w:rPr>
    </w:lvl>
    <w:lvl w:ilvl="1" w:tplc="08090019">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40"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5"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3"/>
  </w:num>
  <w:num w:numId="4" w16cid:durableId="1830174465">
    <w:abstractNumId w:val="5"/>
  </w:num>
  <w:num w:numId="5" w16cid:durableId="1479105461">
    <w:abstractNumId w:val="33"/>
  </w:num>
  <w:num w:numId="6" w16cid:durableId="869954702">
    <w:abstractNumId w:val="41"/>
  </w:num>
  <w:num w:numId="7" w16cid:durableId="444734477">
    <w:abstractNumId w:val="6"/>
  </w:num>
  <w:num w:numId="8" w16cid:durableId="362947223">
    <w:abstractNumId w:val="16"/>
  </w:num>
  <w:num w:numId="9" w16cid:durableId="458111764">
    <w:abstractNumId w:val="8"/>
  </w:num>
  <w:num w:numId="10" w16cid:durableId="1195534353">
    <w:abstractNumId w:val="14"/>
  </w:num>
  <w:num w:numId="11" w16cid:durableId="1826580952">
    <w:abstractNumId w:val="31"/>
  </w:num>
  <w:num w:numId="12" w16cid:durableId="1514690498">
    <w:abstractNumId w:val="40"/>
  </w:num>
  <w:num w:numId="13" w16cid:durableId="1235118698">
    <w:abstractNumId w:val="3"/>
  </w:num>
  <w:num w:numId="14" w16cid:durableId="509291828">
    <w:abstractNumId w:val="7"/>
  </w:num>
  <w:num w:numId="15" w16cid:durableId="383218916">
    <w:abstractNumId w:val="13"/>
  </w:num>
  <w:num w:numId="16" w16cid:durableId="1227569663">
    <w:abstractNumId w:val="10"/>
  </w:num>
  <w:num w:numId="17" w16cid:durableId="810974550">
    <w:abstractNumId w:val="46"/>
  </w:num>
  <w:num w:numId="18" w16cid:durableId="1354573477">
    <w:abstractNumId w:val="36"/>
  </w:num>
  <w:num w:numId="19" w16cid:durableId="435754545">
    <w:abstractNumId w:val="20"/>
  </w:num>
  <w:num w:numId="20" w16cid:durableId="1066875134">
    <w:abstractNumId w:val="30"/>
  </w:num>
  <w:num w:numId="21" w16cid:durableId="1689939216">
    <w:abstractNumId w:val="29"/>
  </w:num>
  <w:num w:numId="22" w16cid:durableId="1257783837">
    <w:abstractNumId w:val="47"/>
  </w:num>
  <w:num w:numId="23" w16cid:durableId="970285242">
    <w:abstractNumId w:val="25"/>
  </w:num>
  <w:num w:numId="24" w16cid:durableId="1876889861">
    <w:abstractNumId w:val="19"/>
  </w:num>
  <w:num w:numId="25" w16cid:durableId="138228398">
    <w:abstractNumId w:val="22"/>
  </w:num>
  <w:num w:numId="26" w16cid:durableId="1871145006">
    <w:abstractNumId w:val="23"/>
  </w:num>
  <w:num w:numId="27" w16cid:durableId="1946108508">
    <w:abstractNumId w:val="26"/>
  </w:num>
  <w:num w:numId="28" w16cid:durableId="1629045729">
    <w:abstractNumId w:val="12"/>
  </w:num>
  <w:num w:numId="29" w16cid:durableId="2010906637">
    <w:abstractNumId w:val="27"/>
  </w:num>
  <w:num w:numId="30" w16cid:durableId="290525213">
    <w:abstractNumId w:val="45"/>
  </w:num>
  <w:num w:numId="31" w16cid:durableId="191966975">
    <w:abstractNumId w:val="28"/>
  </w:num>
  <w:num w:numId="32" w16cid:durableId="2014406757">
    <w:abstractNumId w:val="34"/>
  </w:num>
  <w:num w:numId="33" w16cid:durableId="648558829">
    <w:abstractNumId w:val="21"/>
  </w:num>
  <w:num w:numId="34" w16cid:durableId="2071807613">
    <w:abstractNumId w:val="11"/>
  </w:num>
  <w:num w:numId="35" w16cid:durableId="271744889">
    <w:abstractNumId w:val="38"/>
  </w:num>
  <w:num w:numId="36" w16cid:durableId="1457527817">
    <w:abstractNumId w:val="24"/>
  </w:num>
  <w:num w:numId="37" w16cid:durableId="10661010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5"/>
  </w:num>
  <w:num w:numId="39" w16cid:durableId="359361948">
    <w:abstractNumId w:val="42"/>
  </w:num>
  <w:num w:numId="40" w16cid:durableId="1037706265">
    <w:abstractNumId w:val="9"/>
  </w:num>
  <w:num w:numId="41" w16cid:durableId="447436251">
    <w:abstractNumId w:val="48"/>
  </w:num>
  <w:num w:numId="42" w16cid:durableId="655766109">
    <w:abstractNumId w:val="18"/>
  </w:num>
  <w:num w:numId="43" w16cid:durableId="577523632">
    <w:abstractNumId w:val="17"/>
  </w:num>
  <w:num w:numId="44" w16cid:durableId="1138063662">
    <w:abstractNumId w:val="44"/>
  </w:num>
  <w:num w:numId="45" w16cid:durableId="800226017">
    <w:abstractNumId w:val="15"/>
  </w:num>
  <w:num w:numId="46" w16cid:durableId="1530293922">
    <w:abstractNumId w:val="37"/>
  </w:num>
  <w:num w:numId="47" w16cid:durableId="183442487">
    <w:abstractNumId w:val="4"/>
  </w:num>
  <w:num w:numId="48" w16cid:durableId="807673512">
    <w:abstractNumId w:val="39"/>
  </w:num>
  <w:num w:numId="49" w16cid:durableId="214508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1970"/>
    <w:rsid w:val="00022A29"/>
    <w:rsid w:val="00025926"/>
    <w:rsid w:val="00025965"/>
    <w:rsid w:val="000355FD"/>
    <w:rsid w:val="0003589F"/>
    <w:rsid w:val="000440FA"/>
    <w:rsid w:val="0005184F"/>
    <w:rsid w:val="00051E39"/>
    <w:rsid w:val="00053725"/>
    <w:rsid w:val="00054B72"/>
    <w:rsid w:val="0005581A"/>
    <w:rsid w:val="0005619C"/>
    <w:rsid w:val="0005747E"/>
    <w:rsid w:val="000604E5"/>
    <w:rsid w:val="000617DF"/>
    <w:rsid w:val="0006550B"/>
    <w:rsid w:val="0007000B"/>
    <w:rsid w:val="000735FD"/>
    <w:rsid w:val="00073D31"/>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A7C42"/>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2009EA"/>
    <w:rsid w:val="00202CA0"/>
    <w:rsid w:val="00207A5D"/>
    <w:rsid w:val="002154A6"/>
    <w:rsid w:val="002162CD"/>
    <w:rsid w:val="00216478"/>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7792B"/>
    <w:rsid w:val="00283F74"/>
    <w:rsid w:val="00286C1D"/>
    <w:rsid w:val="00286C4C"/>
    <w:rsid w:val="00294BF6"/>
    <w:rsid w:val="00294D5A"/>
    <w:rsid w:val="002955DA"/>
    <w:rsid w:val="00295A71"/>
    <w:rsid w:val="00296313"/>
    <w:rsid w:val="00296DA0"/>
    <w:rsid w:val="00297006"/>
    <w:rsid w:val="002978E6"/>
    <w:rsid w:val="002A0A7A"/>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B80"/>
    <w:rsid w:val="003B6F14"/>
    <w:rsid w:val="003B6F60"/>
    <w:rsid w:val="003C1870"/>
    <w:rsid w:val="003C5DD6"/>
    <w:rsid w:val="003C6136"/>
    <w:rsid w:val="003D0F8B"/>
    <w:rsid w:val="003D39F2"/>
    <w:rsid w:val="003D5A63"/>
    <w:rsid w:val="003D6425"/>
    <w:rsid w:val="003D66A7"/>
    <w:rsid w:val="003D7EE8"/>
    <w:rsid w:val="003E3B14"/>
    <w:rsid w:val="003F0A6C"/>
    <w:rsid w:val="003F0F49"/>
    <w:rsid w:val="003F1363"/>
    <w:rsid w:val="00403C69"/>
    <w:rsid w:val="00405EC2"/>
    <w:rsid w:val="00406278"/>
    <w:rsid w:val="00406297"/>
    <w:rsid w:val="00412C81"/>
    <w:rsid w:val="004131D4"/>
    <w:rsid w:val="0041348E"/>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520E"/>
    <w:rsid w:val="00486163"/>
    <w:rsid w:val="00492075"/>
    <w:rsid w:val="0049304E"/>
    <w:rsid w:val="00495290"/>
    <w:rsid w:val="004969AD"/>
    <w:rsid w:val="00496E2A"/>
    <w:rsid w:val="004A0244"/>
    <w:rsid w:val="004A3CDF"/>
    <w:rsid w:val="004A3FF4"/>
    <w:rsid w:val="004A7674"/>
    <w:rsid w:val="004A783D"/>
    <w:rsid w:val="004B13CB"/>
    <w:rsid w:val="004B2466"/>
    <w:rsid w:val="004B3C6F"/>
    <w:rsid w:val="004B4FDF"/>
    <w:rsid w:val="004B4FF2"/>
    <w:rsid w:val="004B716F"/>
    <w:rsid w:val="004B7C16"/>
    <w:rsid w:val="004B7E77"/>
    <w:rsid w:val="004C3355"/>
    <w:rsid w:val="004D04E2"/>
    <w:rsid w:val="004D3C01"/>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059"/>
    <w:rsid w:val="005B41B7"/>
    <w:rsid w:val="005B44F5"/>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93B"/>
    <w:rsid w:val="006117C6"/>
    <w:rsid w:val="00611CD2"/>
    <w:rsid w:val="00615AB9"/>
    <w:rsid w:val="00617602"/>
    <w:rsid w:val="00620ECD"/>
    <w:rsid w:val="00621FDD"/>
    <w:rsid w:val="00622B63"/>
    <w:rsid w:val="00624A81"/>
    <w:rsid w:val="0062697F"/>
    <w:rsid w:val="00627881"/>
    <w:rsid w:val="006300C6"/>
    <w:rsid w:val="00636181"/>
    <w:rsid w:val="00637E99"/>
    <w:rsid w:val="006422AD"/>
    <w:rsid w:val="006430DA"/>
    <w:rsid w:val="0064322F"/>
    <w:rsid w:val="006449A5"/>
    <w:rsid w:val="00644F99"/>
    <w:rsid w:val="006463EE"/>
    <w:rsid w:val="00646F37"/>
    <w:rsid w:val="00657DE0"/>
    <w:rsid w:val="006608C4"/>
    <w:rsid w:val="006612C2"/>
    <w:rsid w:val="00661FB8"/>
    <w:rsid w:val="00665B75"/>
    <w:rsid w:val="00667F38"/>
    <w:rsid w:val="0067199F"/>
    <w:rsid w:val="006747D8"/>
    <w:rsid w:val="00674AEF"/>
    <w:rsid w:val="00675DB5"/>
    <w:rsid w:val="00676ED7"/>
    <w:rsid w:val="00677048"/>
    <w:rsid w:val="006774C6"/>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CC5"/>
    <w:rsid w:val="006C03CD"/>
    <w:rsid w:val="006C2063"/>
    <w:rsid w:val="006C23DA"/>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06A7"/>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2758"/>
    <w:rsid w:val="007A7FAF"/>
    <w:rsid w:val="007B12EB"/>
    <w:rsid w:val="007B12FE"/>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28A9"/>
    <w:rsid w:val="007E4F6C"/>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A73"/>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203"/>
    <w:rsid w:val="009F1542"/>
    <w:rsid w:val="00A00AC6"/>
    <w:rsid w:val="00A03C5C"/>
    <w:rsid w:val="00A04FB0"/>
    <w:rsid w:val="00A066F1"/>
    <w:rsid w:val="00A1280A"/>
    <w:rsid w:val="00A141AF"/>
    <w:rsid w:val="00A15958"/>
    <w:rsid w:val="00A16D29"/>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605"/>
    <w:rsid w:val="00A538A6"/>
    <w:rsid w:val="00A54C25"/>
    <w:rsid w:val="00A56C71"/>
    <w:rsid w:val="00A612BB"/>
    <w:rsid w:val="00A6143F"/>
    <w:rsid w:val="00A62F73"/>
    <w:rsid w:val="00A67FB8"/>
    <w:rsid w:val="00A710E7"/>
    <w:rsid w:val="00A7140C"/>
    <w:rsid w:val="00A7372E"/>
    <w:rsid w:val="00A7473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520F"/>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6A2"/>
    <w:rsid w:val="00CC247A"/>
    <w:rsid w:val="00CC41F6"/>
    <w:rsid w:val="00CD2733"/>
    <w:rsid w:val="00CD2A68"/>
    <w:rsid w:val="00CD2BC1"/>
    <w:rsid w:val="00CD3139"/>
    <w:rsid w:val="00CD4117"/>
    <w:rsid w:val="00CD7BC2"/>
    <w:rsid w:val="00CD7EC4"/>
    <w:rsid w:val="00CE5ACA"/>
    <w:rsid w:val="00CE5E47"/>
    <w:rsid w:val="00CE66E4"/>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A26"/>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7BAD"/>
    <w:rsid w:val="00E21B22"/>
    <w:rsid w:val="00E22DCF"/>
    <w:rsid w:val="00E236C9"/>
    <w:rsid w:val="00E239BD"/>
    <w:rsid w:val="00E241C9"/>
    <w:rsid w:val="00E26226"/>
    <w:rsid w:val="00E31B77"/>
    <w:rsid w:val="00E36E67"/>
    <w:rsid w:val="00E378D8"/>
    <w:rsid w:val="00E4021C"/>
    <w:rsid w:val="00E4059F"/>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04B4"/>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3AC"/>
    <w:rsid w:val="00F7338B"/>
    <w:rsid w:val="00F7440E"/>
    <w:rsid w:val="00F76603"/>
    <w:rsid w:val="00F772D4"/>
    <w:rsid w:val="00F808C6"/>
    <w:rsid w:val="00F83F60"/>
    <w:rsid w:val="00F8476E"/>
    <w:rsid w:val="00F848EE"/>
    <w:rsid w:val="00F84DF8"/>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B3F0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AE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EB4AE6"/>
    <w:pPr>
      <w:keepNext/>
      <w:keepLines/>
      <w:spacing w:before="280"/>
      <w:ind w:left="1134" w:hanging="1134"/>
      <w:outlineLvl w:val="0"/>
    </w:pPr>
    <w:rPr>
      <w:b/>
      <w:sz w:val="26"/>
    </w:rPr>
  </w:style>
  <w:style w:type="paragraph" w:styleId="Heading2">
    <w:name w:val="heading 2"/>
    <w:basedOn w:val="Heading1"/>
    <w:next w:val="Normal"/>
    <w:qFormat/>
    <w:rsid w:val="00EB4AE6"/>
    <w:pPr>
      <w:spacing w:before="200"/>
      <w:outlineLvl w:val="1"/>
    </w:pPr>
    <w:rPr>
      <w:sz w:val="22"/>
    </w:rPr>
  </w:style>
  <w:style w:type="paragraph" w:styleId="Heading3">
    <w:name w:val="heading 3"/>
    <w:basedOn w:val="Heading1"/>
    <w:next w:val="Normal"/>
    <w:qFormat/>
    <w:rsid w:val="00EB4AE6"/>
    <w:pPr>
      <w:tabs>
        <w:tab w:val="clear" w:pos="1134"/>
      </w:tabs>
      <w:spacing w:before="200"/>
      <w:outlineLvl w:val="2"/>
    </w:pPr>
    <w:rPr>
      <w:sz w:val="22"/>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EB4AE6"/>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EB4AE6"/>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EB4AE6"/>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EB4AE6"/>
    <w:pPr>
      <w:spacing w:before="480"/>
      <w:jc w:val="center"/>
    </w:pPr>
    <w:rPr>
      <w:b/>
      <w:sz w:val="26"/>
    </w:rPr>
  </w:style>
  <w:style w:type="paragraph" w:customStyle="1" w:styleId="ArtNo">
    <w:name w:val="Art_No"/>
    <w:basedOn w:val="Normal"/>
    <w:next w:val="Normal"/>
    <w:rsid w:val="00EB4AE6"/>
    <w:pPr>
      <w:keepNext/>
      <w:keepLines/>
      <w:spacing w:before="48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EB4AE6"/>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EB4AE6"/>
    <w:rPr>
      <w:rFonts w:asciiTheme="minorHAnsi" w:hAnsiTheme="minorHAnsi"/>
      <w:position w:val="6"/>
      <w:sz w:val="16"/>
    </w:rPr>
  </w:style>
  <w:style w:type="paragraph" w:styleId="FootnoteText">
    <w:name w:val="footnote text"/>
    <w:basedOn w:val="Normal"/>
    <w:link w:val="FootnoteTextChar"/>
    <w:qFormat/>
    <w:rsid w:val="00EB4AE6"/>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EB4AE6"/>
    <w:rPr>
      <w:rFonts w:ascii="Calibri" w:hAnsi="Calibri"/>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EB4AE6"/>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EB4AE6"/>
    <w:pPr>
      <w:keepNext/>
      <w:keepLines/>
      <w:spacing w:before="480"/>
      <w:jc w:val="center"/>
    </w:pPr>
    <w:rPr>
      <w:caps/>
      <w:sz w:val="26"/>
    </w:rPr>
  </w:style>
  <w:style w:type="paragraph" w:customStyle="1" w:styleId="Questiontitle">
    <w:name w:val="Question_title"/>
    <w:basedOn w:val="Normal"/>
    <w:next w:val="Normal"/>
    <w:rsid w:val="00EB4AE6"/>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CB76A2"/>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EB4AE6"/>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EB4AE6"/>
  </w:style>
  <w:style w:type="paragraph" w:customStyle="1" w:styleId="AppArttitle">
    <w:name w:val="App_Art_title"/>
    <w:basedOn w:val="Arttitle"/>
    <w:qFormat/>
    <w:rsid w:val="00A066F1"/>
  </w:style>
  <w:style w:type="paragraph" w:customStyle="1" w:styleId="Opiniontitle">
    <w:name w:val="Opinion_title"/>
    <w:basedOn w:val="Rectitle"/>
    <w:next w:val="Normalaftertitle"/>
    <w:qFormat/>
    <w:rsid w:val="00EB4AE6"/>
  </w:style>
  <w:style w:type="paragraph" w:customStyle="1" w:styleId="OpinionNo">
    <w:name w:val="Opinion_No"/>
    <w:basedOn w:val="RecNo"/>
    <w:next w:val="Opiniontitle"/>
    <w:qFormat/>
    <w:rsid w:val="00EB4AE6"/>
  </w:style>
  <w:style w:type="paragraph" w:customStyle="1" w:styleId="Volumetitle">
    <w:name w:val="Volume_title"/>
    <w:basedOn w:val="Normal"/>
    <w:qFormat/>
    <w:rsid w:val="00EB4AE6"/>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HeadingbChar">
    <w:name w:val="Heading_b Char"/>
    <w:basedOn w:val="DefaultParagraphFont"/>
    <w:link w:val="Headingb"/>
    <w:locked/>
    <w:rsid w:val="005E032D"/>
    <w:rPr>
      <w:rFonts w:asciiTheme="minorHAnsi" w:hAnsiTheme="minorHAnsi" w:cs="Times New Roman Bold"/>
      <w:b/>
      <w:sz w:val="24"/>
      <w:lang w:val="fr-CH" w:eastAsia="en-US"/>
    </w:rPr>
  </w:style>
  <w:style w:type="paragraph" w:styleId="ListParagraph">
    <w:name w:val="List Paragraph"/>
    <w:basedOn w:val="Normal"/>
    <w:uiPriority w:val="34"/>
    <w:qFormat/>
    <w:rsid w:val="00F304B4"/>
    <w:pPr>
      <w:ind w:left="720"/>
      <w:contextualSpacing/>
    </w:pPr>
    <w:rPr>
      <w:rFonts w:asciiTheme="minorHAnsi" w:eastAsia="Times New Roman" w:hAnsiTheme="minorHAns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microsoft.com/office/2014/relationships/chartEx" Target="charts/chartEx2.xml"/><Relationship Id="rId26" Type="http://schemas.openxmlformats.org/officeDocument/2006/relationships/hyperlink" Target="https://www.itu.int/md/S25-CWGFHR20-C-0020/en" TargetMode="External"/><Relationship Id="rId3" Type="http://schemas.openxmlformats.org/officeDocument/2006/relationships/customXml" Target="../customXml/item3.xml"/><Relationship Id="rId21" Type="http://schemas.openxmlformats.org/officeDocument/2006/relationships/hyperlink" Target="https://www.itu.int/itu-d/sites/membership/wp-content/uploads/sites/50/2024/06/20240606Chairmans-Report-IAGDI-CRO-2024_FINAL.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membership/our-members/exempted-entities/exemption-criteria/" TargetMode="External"/><Relationship Id="rId25" Type="http://schemas.openxmlformats.org/officeDocument/2006/relationships/hyperlink" Target="https://www.itu.int/md/S24-CL-C-0070/en" TargetMode="External"/><Relationship Id="rId2" Type="http://schemas.openxmlformats.org/officeDocument/2006/relationships/customXml" Target="../customXml/item2.xml"/><Relationship Id="rId16" Type="http://schemas.openxmlformats.org/officeDocument/2006/relationships/hyperlink" Target="https://www.itu.int/md/D22-TDAG32-INF-0001/" TargetMode="External"/><Relationship Id="rId20" Type="http://schemas.openxmlformats.org/officeDocument/2006/relationships/hyperlink" Target="https://www.itu.int/md/D22-TDAG32-INF-00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MembersPartners/Pages/tech-talks.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tu.int/itu-d/sites/membership/wp-content/uploads/sites/50/2024/07/Chairman-Report_IAGDI-CRO.pdf" TargetMode="External"/><Relationship Id="rId28" Type="http://schemas.openxmlformats.org/officeDocument/2006/relationships/hyperlink" Target="https://www.itu.int/md/S24-CL-C-0070/en"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1.xml"/><Relationship Id="rId22" Type="http://schemas.openxmlformats.org/officeDocument/2006/relationships/hyperlink" Target="https://www.itu.int/itu-d/sites/membership/wp-content/uploads/sites/50/2024/07/IAGDICRO-2024-Outcome-Statement_2-July_2024.pdf" TargetMode="External"/><Relationship Id="rId27" Type="http://schemas.openxmlformats.org/officeDocument/2006/relationships/hyperlink" Target="https://www.itu.int/md/S25-CWGFHR20-C-0020/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un-ju.kim@itu.int" TargetMode="External"/><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r>
              <a:rPr lang="ru-RU" sz="1000">
                <a:solidFill>
                  <a:sysClr val="windowText" lastClr="000000"/>
                </a:solidFill>
                <a:latin typeface="Avenir Nxt2 W1G Demi" panose="020B0703020202020204" pitchFamily="34" charset="0"/>
              </a:rPr>
              <a:t>Диаграмма</a:t>
            </a:r>
            <a:r>
              <a:rPr lang="en-GB" sz="1000">
                <a:solidFill>
                  <a:sysClr val="windowText" lastClr="000000"/>
                </a:solidFill>
                <a:latin typeface="Avenir Nxt2 W1G Demi" panose="020B0703020202020204" pitchFamily="34" charset="0"/>
              </a:rPr>
              <a:t> 1. </a:t>
            </a:r>
            <a:r>
              <a:rPr lang="ru-RU" sz="1000">
                <a:solidFill>
                  <a:sysClr val="windowText" lastClr="000000"/>
                </a:solidFill>
              </a:rPr>
              <a:t>Динамика членского состава МСЭ</a:t>
            </a:r>
            <a:r>
              <a:rPr lang="en-GB" sz="1000">
                <a:solidFill>
                  <a:sysClr val="windowText" lastClr="000000"/>
                </a:solidFill>
              </a:rPr>
              <a:t>-D             </a:t>
            </a:r>
            <a:r>
              <a:rPr lang="en-GB" sz="700">
                <a:solidFill>
                  <a:sysClr val="windowText" lastClr="000000"/>
                </a:solidFill>
              </a:rPr>
              <a:t>*</a:t>
            </a:r>
            <a:r>
              <a:rPr lang="ru-RU" sz="700">
                <a:solidFill>
                  <a:sysClr val="windowText" lastClr="000000"/>
                </a:solidFill>
              </a:rPr>
              <a:t>прогноз</a:t>
            </a:r>
            <a:r>
              <a:rPr lang="ru-RU" sz="700" baseline="0">
                <a:solidFill>
                  <a:sysClr val="windowText" lastClr="000000"/>
                </a:solidFill>
              </a:rPr>
              <a:t> на июнь </a:t>
            </a:r>
            <a:r>
              <a:rPr lang="en-GB" sz="700">
                <a:solidFill>
                  <a:sysClr val="windowText" lastClr="000000"/>
                </a:solidFill>
              </a:rPr>
              <a:t>2025</a:t>
            </a:r>
            <a:r>
              <a:rPr lang="ru-RU" sz="700">
                <a:solidFill>
                  <a:sysClr val="windowText" lastClr="000000"/>
                </a:solidFill>
              </a:rPr>
              <a:t> года</a:t>
            </a:r>
            <a:endParaRPr lang="en-GB"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endParaRPr lang="en-GB"/>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Affiliated Academia</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30E0-48D0-8043-EC624C4DB6BE}"/>
                </c:ext>
              </c:extLst>
            </c:dLbl>
            <c:dLbl>
              <c:idx val="1"/>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30E0-48D0-8043-EC624C4DB6BE}"/>
                </c:ext>
              </c:extLst>
            </c:dLbl>
            <c:dLbl>
              <c:idx val="4"/>
              <c:delete val="1"/>
              <c:extLst>
                <c:ext xmlns:c15="http://schemas.microsoft.com/office/drawing/2012/chart" uri="{CE6537A1-D6FC-4f65-9D91-7224C49458BB}"/>
                <c:ext xmlns:c16="http://schemas.microsoft.com/office/drawing/2014/chart" uri="{C3380CC4-5D6E-409C-BE32-E72D297353CC}">
                  <c16:uniqueId val="{00000002-30E0-48D0-8043-EC624C4DB6BE}"/>
                </c:ext>
              </c:extLst>
            </c:dLbl>
            <c:dLbl>
              <c:idx val="5"/>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30E0-48D0-8043-EC624C4DB6BE}"/>
                </c:ext>
              </c:extLst>
            </c:dLbl>
            <c:dLbl>
              <c:idx val="8"/>
              <c:delete val="1"/>
              <c:extLst>
                <c:ext xmlns:c15="http://schemas.microsoft.com/office/drawing/2012/chart" uri="{CE6537A1-D6FC-4f65-9D91-7224C49458BB}"/>
                <c:ext xmlns:c16="http://schemas.microsoft.com/office/drawing/2014/chart" uri="{C3380CC4-5D6E-409C-BE32-E72D297353CC}">
                  <c16:uniqueId val="{00000004-30E0-48D0-8043-EC624C4DB6BE}"/>
                </c:ext>
              </c:extLst>
            </c:dLbl>
            <c:dLbl>
              <c:idx val="9"/>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30E0-48D0-8043-EC624C4DB6B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Sheet1!$D$2:$D$11</c:f>
              <c:numCache>
                <c:formatCode>General</c:formatCode>
                <c:ptCount val="10"/>
                <c:pt idx="0">
                  <c:v>0</c:v>
                </c:pt>
                <c:pt idx="1">
                  <c:v>169</c:v>
                </c:pt>
                <c:pt idx="4">
                  <c:v>0</c:v>
                </c:pt>
                <c:pt idx="5">
                  <c:v>171</c:v>
                </c:pt>
                <c:pt idx="8">
                  <c:v>0</c:v>
                </c:pt>
                <c:pt idx="9">
                  <c:v>176</c:v>
                </c:pt>
              </c:numCache>
            </c:numRef>
          </c:val>
          <c:extLst>
            <c:ext xmlns:c16="http://schemas.microsoft.com/office/drawing/2014/chart" uri="{C3380CC4-5D6E-409C-BE32-E72D297353CC}">
              <c16:uniqueId val="{00000006-30E0-48D0-8043-EC624C4DB6BE}"/>
            </c:ext>
          </c:extLst>
        </c:ser>
        <c:ser>
          <c:idx val="0"/>
          <c:order val="1"/>
          <c:tx>
            <c:strRef>
              <c:f>Sheet1!$B$1</c:f>
              <c:strCache>
                <c:ptCount val="1"/>
                <c:pt idx="0">
                  <c:v>Sector Members</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8-30E0-48D0-8043-EC624C4DB6BE}"/>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highlight>
                      <a:srgbClr val="FFFF00"/>
                    </a:highlight>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Sheet1!$B$2:$B$11</c:f>
              <c:numCache>
                <c:formatCode>General</c:formatCode>
                <c:ptCount val="10"/>
                <c:pt idx="0">
                  <c:v>310</c:v>
                </c:pt>
                <c:pt idx="4">
                  <c:v>329</c:v>
                </c:pt>
                <c:pt idx="8">
                  <c:v>331</c:v>
                </c:pt>
              </c:numCache>
            </c:numRef>
          </c:val>
          <c:extLst>
            <c:ext xmlns:c16="http://schemas.microsoft.com/office/drawing/2014/chart" uri="{C3380CC4-5D6E-409C-BE32-E72D297353CC}">
              <c16:uniqueId val="{00000009-30E0-48D0-8043-EC624C4DB6BE}"/>
            </c:ext>
          </c:extLst>
        </c:ser>
        <c:ser>
          <c:idx val="1"/>
          <c:order val="2"/>
          <c:tx>
            <c:strRef>
              <c:f>Sheet1!$C$1</c:f>
              <c:strCache>
                <c:ptCount val="1"/>
                <c:pt idx="0">
                  <c:v>Associates</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B-30E0-48D0-8043-EC624C4DB6BE}"/>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Sheet1!$C$2:$C$11</c:f>
              <c:numCache>
                <c:formatCode>General</c:formatCode>
                <c:ptCount val="10"/>
                <c:pt idx="0">
                  <c:v>19</c:v>
                </c:pt>
                <c:pt idx="4">
                  <c:v>20</c:v>
                </c:pt>
                <c:pt idx="8">
                  <c:v>25</c:v>
                </c:pt>
              </c:numCache>
            </c:numRef>
          </c:val>
          <c:extLst>
            <c:ext xmlns:c16="http://schemas.microsoft.com/office/drawing/2014/chart" uri="{C3380CC4-5D6E-409C-BE32-E72D297353CC}">
              <c16:uniqueId val="{0000000C-30E0-48D0-8043-EC624C4DB6BE}"/>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Sheet1!$E$2:$E$11</c:f>
              <c:numCache>
                <c:formatCode>General</c:formatCode>
                <c:ptCount val="10"/>
                <c:pt idx="0">
                  <c:v>329</c:v>
                </c:pt>
                <c:pt idx="4">
                  <c:v>349</c:v>
                </c:pt>
                <c:pt idx="8">
                  <c:v>356</c:v>
                </c:pt>
              </c:numCache>
            </c:numRef>
          </c:val>
          <c:smooth val="0"/>
          <c:extLst>
            <c:ext xmlns:c16="http://schemas.microsoft.com/office/drawing/2014/chart" uri="{C3380CC4-5D6E-409C-BE32-E72D297353CC}">
              <c16:uniqueId val="{0000000D-30E0-48D0-8043-EC624C4DB6BE}"/>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2127026784"/>
        <c:crosses val="autoZero"/>
        <c:crossBetween val="between"/>
      </c:valAx>
      <c:spPr>
        <a:noFill/>
        <a:ln>
          <a:noFill/>
        </a:ln>
        <a:effectLst/>
      </c:spPr>
    </c:plotArea>
    <c:legend>
      <c:legendPos val="r"/>
      <c:legendEntry>
        <c:idx val="3"/>
        <c:delete val="1"/>
      </c:legendEntry>
      <c:layout>
        <c:manualLayout>
          <c:xMode val="edge"/>
          <c:yMode val="edge"/>
          <c:x val="0.77280627304764471"/>
          <c:y val="0.37098340319400369"/>
          <c:w val="0.16281158780386096"/>
          <c:h val="0.155893759548713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en-US"/>
    </a:p>
  </c:txPr>
  <c:externalData r:id="rId4">
    <c:autoUpdate val="0"/>
  </c:externalData>
  <c:userShapes r:id="rId5"/>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2022</cx:pt>
          <cx:pt idx="1">g 2023</cx:pt>
          <cx:pt idx="2">l 2023</cx:pt>
          <cx:pt idx="3">2023</cx:pt>
          <cx:pt idx="4">G 2024</cx:pt>
          <cx:pt idx="5">L 2024</cx:pt>
          <cx:pt idx="6">2024</cx:pt>
          <cx:pt idx="7">G 2025</cx:pt>
          <cx:pt idx="8">L 2025</cx:pt>
          <cx:pt idx="9">2025</cx:pt>
        </cx:lvl>
      </cx:strDim>
      <cx:numDim type="val">
        <cx:f>Sheet1!$B$2:$B$11</cx:f>
        <cx:lvl ptCount="10" formatCode="General">
          <cx:pt idx="0">316</cx:pt>
          <cx:pt idx="1">27</cx:pt>
          <cx:pt idx="2">-14</cx:pt>
          <cx:pt idx="3">329</cx:pt>
          <cx:pt idx="4">28</cx:pt>
          <cx:pt idx="5">-8</cx:pt>
          <cx:pt idx="6">349</cx:pt>
          <cx:pt idx="7">14</cx:pt>
          <cx:pt idx="8">-7</cx:pt>
          <cx:pt idx="9">356</cx:pt>
        </cx:lvl>
      </cx:numDim>
    </cx:data>
  </cx:chartData>
  <cx:chart>
    <cx:title pos="t" align="ctr" overlay="0">
      <cx:tx>
        <cx:rich>
          <a:bodyPr spcFirstLastPara="1" vertOverflow="ellipsis" horzOverflow="overflow" wrap="square" lIns="0" tIns="0" rIns="0" bIns="0" anchor="ctr" anchorCtr="1"/>
          <a:lstStyle/>
          <a:p>
            <a:pPr algn="ctr" rtl="0">
              <a:defRPr/>
            </a:pPr>
            <a:r>
              <a:rPr lang="ru-RU" sz="900" b="1" i="0" u="none" strike="noStrike" baseline="0">
                <a:solidFill>
                  <a:schemeClr val="tx1">
                    <a:lumMod val="95000"/>
                    <a:lumOff val="5000"/>
                  </a:schemeClr>
                </a:solidFill>
                <a:latin typeface="Calibri" panose="020F0502020204030204"/>
              </a:rPr>
              <a:t>Диаграмма</a:t>
            </a:r>
            <a:r>
              <a:rPr lang="en-US" sz="900" b="1" i="0" u="none" strike="noStrike" baseline="0">
                <a:solidFill>
                  <a:schemeClr val="tx1">
                    <a:lumMod val="95000"/>
                    <a:lumOff val="5000"/>
                  </a:schemeClr>
                </a:solidFill>
                <a:latin typeface="Calibri" panose="020F0502020204030204"/>
              </a:rPr>
              <a:t> 2. </a:t>
            </a:r>
            <a:r>
              <a:rPr lang="ru-RU" sz="900" b="0" i="0" u="none" strike="noStrike" baseline="0">
                <a:solidFill>
                  <a:schemeClr val="tx1">
                    <a:lumMod val="95000"/>
                    <a:lumOff val="5000"/>
                  </a:schemeClr>
                </a:solidFill>
                <a:latin typeface="Calibri" panose="020F0502020204030204"/>
              </a:rPr>
              <a:t>Члены Сектора и Ассоциированные члены МСЭ</a:t>
            </a:r>
            <a:r>
              <a:rPr lang="en-US" sz="900" b="0" i="0" u="none" strike="noStrike" baseline="0">
                <a:solidFill>
                  <a:schemeClr val="tx1">
                    <a:lumMod val="95000"/>
                    <a:lumOff val="5000"/>
                  </a:schemeClr>
                </a:solidFill>
                <a:latin typeface="Calibri" panose="020F0502020204030204"/>
              </a:rPr>
              <a:t>-D</a:t>
            </a:r>
            <a:r>
              <a:rPr lang="ru-RU" sz="900" b="0" i="0" u="none" strike="noStrike" baseline="0">
                <a:solidFill>
                  <a:schemeClr val="tx1">
                    <a:lumMod val="95000"/>
                    <a:lumOff val="5000"/>
                  </a:schemeClr>
                </a:solidFill>
                <a:latin typeface="Calibri" panose="020F0502020204030204"/>
              </a:rPr>
              <a:t>, в абсолютном выражении</a:t>
            </a:r>
            <a:r>
              <a:rPr lang="en-US" sz="900" b="0" i="0" u="none" strike="noStrike" baseline="0">
                <a:solidFill>
                  <a:schemeClr val="tx1">
                    <a:lumMod val="95000"/>
                    <a:lumOff val="5000"/>
                  </a:schemeClr>
                </a:solidFill>
                <a:latin typeface="Calibri" panose="020F0502020204030204"/>
              </a:rPr>
              <a:t>                                 *</a:t>
            </a:r>
            <a:r>
              <a:rPr lang="ru-RU" sz="900" b="0" i="0" u="none" strike="noStrike" baseline="0">
                <a:solidFill>
                  <a:schemeClr val="tx1">
                    <a:lumMod val="95000"/>
                    <a:lumOff val="5000"/>
                  </a:schemeClr>
                </a:solidFill>
                <a:latin typeface="Calibri" panose="020F0502020204030204"/>
              </a:rPr>
              <a:t>прогноз на июнь </a:t>
            </a:r>
            <a:r>
              <a:rPr lang="en-US" sz="900" b="0" i="0" u="none" strike="noStrike" baseline="0">
                <a:solidFill>
                  <a:schemeClr val="tx1">
                    <a:lumMod val="95000"/>
                    <a:lumOff val="5000"/>
                  </a:schemeClr>
                </a:solidFill>
                <a:latin typeface="Calibri" panose="020F0502020204030204"/>
              </a:rPr>
              <a:t>2025</a:t>
            </a:r>
            <a:r>
              <a:rPr lang="ru-RU" sz="900" b="0" i="0" u="none" strike="noStrike" baseline="0">
                <a:solidFill>
                  <a:schemeClr val="tx1">
                    <a:lumMod val="95000"/>
                    <a:lumOff val="5000"/>
                  </a:schemeClr>
                </a:solidFill>
                <a:latin typeface="Calibri" panose="020F0502020204030204"/>
              </a:rPr>
              <a:t> года</a:t>
            </a:r>
            <a:endParaRPr lang="en-US" sz="900" b="0" i="0" u="none" strike="noStrike" baseline="0">
              <a:solidFill>
                <a:schemeClr val="tx1">
                  <a:lumMod val="95000"/>
                  <a:lumOff val="5000"/>
                </a:schemeClr>
              </a:solidFill>
              <a:latin typeface="Calibri" panose="020F0502020204030204"/>
            </a:endParaRPr>
          </a:p>
        </cx:rich>
      </cx:tx>
    </cx:title>
    <cx:plotArea>
      <cx:plotAreaRegion>
        <cx:series layoutId="waterfall" uniqueId="{0E71AF3E-53DA-4F16-BDB1-BD4189E24036}">
          <cx:tx>
            <cx:txData>
              <cx:f>Sheet1!$B$1</cx:f>
              <cx:v>Series1</cx:v>
            </cx:txData>
          </cx:tx>
          <cx:dataPt idx="0">
            <cx:spPr>
              <a:solidFill>
                <a:srgbClr val="00B0F0"/>
              </a:solidFill>
            </cx:spPr>
          </cx:dataPt>
          <cx:dataPt idx="1">
            <cx:spPr>
              <a:solidFill>
                <a:srgbClr val="70AD47"/>
              </a:solidFill>
            </cx:spPr>
          </cx:dataPt>
          <cx:dataPt idx="2">
            <cx:spPr>
              <a:solidFill>
                <a:srgbClr val="FF0000"/>
              </a:solidFill>
            </cx:spPr>
          </cx:dataPt>
          <cx:dataPt idx="3">
            <cx:spPr>
              <a:solidFill>
                <a:srgbClr val="00B0F0"/>
              </a:solidFill>
            </cx:spPr>
          </cx:dataPt>
          <cx:dataPt idx="4">
            <cx:spPr>
              <a:solidFill>
                <a:srgbClr val="70AD47"/>
              </a:solidFill>
            </cx:spPr>
          </cx:dataPt>
          <cx:dataPt idx="5">
            <cx:spPr>
              <a:solidFill>
                <a:srgbClr val="FF0000"/>
              </a:solidFill>
            </cx:spPr>
          </cx:dataPt>
          <cx:dataPt idx="6">
            <cx:spPr>
              <a:solidFill>
                <a:srgbClr val="00B0F0"/>
              </a:solidFill>
            </cx:spPr>
          </cx:dataPt>
          <cx:dataPt idx="7">
            <cx:spPr>
              <a:solidFill>
                <a:srgbClr val="70AD47">
                  <a:alpha val="47000"/>
                </a:srgbClr>
              </a:solidFill>
            </cx:spPr>
          </cx:dataPt>
          <cx:dataPt idx="8">
            <cx:spPr>
              <a:solidFill>
                <a:srgbClr val="FF0000">
                  <a:alpha val="42000"/>
                </a:srgbClr>
              </a:solidFill>
            </cx:spPr>
          </cx:dataPt>
          <cx:dataPt idx="9">
            <cx:spPr>
              <a:solidFill>
                <a:srgbClr val="00B0F0">
                  <a:alpha val="49000"/>
                </a:srgbClr>
              </a:solidFill>
            </cx:spPr>
          </cx:dataPt>
          <cx:dataLabels pos="outEnd">
            <cx:visibility seriesName="0" categoryName="0" value="1"/>
            <cx:separator>, </cx:separator>
          </cx:dataLabels>
          <cx:dataId val="0"/>
          <cx:layoutPr>
            <cx:subtotals>
              <cx:idx val="3"/>
              <cx:idx val="6"/>
              <cx:idx val="9"/>
            </cx:subtotals>
          </cx:layoutPr>
        </cx:series>
      </cx:plotAreaRegion>
      <cx:axis id="0" hidden="1">
        <cx:catScaling gapWidth="0.5"/>
        <cx:tickLabels/>
      </cx:axis>
      <cx:axis id="1">
        <cx:valScaling max="370" min="300"/>
        <cx:tickLabels/>
      </cx:axis>
    </cx:plotArea>
    <cx:legend pos="r"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a:endParaRPr>
        </a:p>
      </cx:txPr>
    </cx:legend>
  </cx:chart>
  <cx:spPr>
    <a:ln>
      <a:noFill/>
    </a:ln>
  </cx:spPr>
  <cx:fmtOvrs>
    <cx:fmtOvr idx="0">
      <cx:spPr>
        <a:solidFill>
          <a:srgbClr val="00B050"/>
        </a:solidFill>
      </cx:spPr>
    </cx:fmtOvr>
    <cx:fmtOvr idx="1">
      <cx:spPr>
        <a:solidFill>
          <a:srgbClr val="FA3000"/>
        </a:solidFill>
      </cx:spPr>
    </cx:fmtOvr>
    <cx:fmtOvr idx="2">
      <cx:spPr>
        <a:solidFill>
          <a:srgbClr val="00B0F0"/>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2022</cx:pt>
          <cx:pt idx="1">new members 2023</cx:pt>
          <cx:pt idx="2">lost members 2023</cx:pt>
          <cx:pt idx="3">members 2023</cx:pt>
          <cx:pt idx="4">new members 2024</cx:pt>
          <cx:pt idx="5">lost members 2024</cx:pt>
          <cx:pt idx="6">members 2024</cx:pt>
          <cx:pt idx="7">new members 2025</cx:pt>
          <cx:pt idx="8">lost members 2025</cx:pt>
          <cx:pt idx="9">members 2025</cx:pt>
        </cx:lvl>
      </cx:strDim>
      <cx:numDim type="val">
        <cx:f>Sheet1!$B$2:$B$11</cx:f>
        <cx:lvl ptCount="10" formatCode="General">
          <cx:pt idx="0">169</cx:pt>
          <cx:pt idx="1">17</cx:pt>
          <cx:pt idx="2">-18</cx:pt>
          <cx:pt idx="3">168</cx:pt>
          <cx:pt idx="4">15</cx:pt>
          <cx:pt idx="5">-13</cx:pt>
          <cx:pt idx="6">170</cx:pt>
          <cx:pt idx="7">11</cx:pt>
          <cx:pt idx="8">-5</cx:pt>
          <cx:pt idx="9">176</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ru-RU" sz="800" b="1" i="0" u="none" strike="noStrike" baseline="0">
                <a:solidFill>
                  <a:sysClr val="windowText" lastClr="000000"/>
                </a:solidFill>
                <a:latin typeface="Avenir Nxt2 W1G" panose="020B0503020202020204" pitchFamily="34" charset="0"/>
              </a:rPr>
              <a:t>Диаграмма</a:t>
            </a:r>
            <a:r>
              <a:rPr lang="en-US" sz="800" b="1" i="0" u="none" strike="noStrike" baseline="0">
                <a:solidFill>
                  <a:sysClr val="windowText" lastClr="000000"/>
                </a:solidFill>
                <a:latin typeface="Avenir Nxt2 W1G" panose="020B0503020202020204" pitchFamily="34" charset="0"/>
              </a:rPr>
              <a:t> 3.</a:t>
            </a:r>
            <a:r>
              <a:rPr lang="en-US" sz="800" b="0" i="0" u="none" strike="noStrike" baseline="0">
                <a:solidFill>
                  <a:sysClr val="windowText" lastClr="000000"/>
                </a:solidFill>
                <a:latin typeface="Avenir Nxt2 W1G" panose="020B0503020202020204" pitchFamily="34" charset="0"/>
              </a:rPr>
              <a:t> </a:t>
            </a:r>
            <a:r>
              <a:rPr lang="ru-RU" sz="800" b="0" i="0" u="none" strike="noStrike" baseline="0">
                <a:solidFill>
                  <a:sysClr val="windowText" lastClr="000000"/>
                </a:solidFill>
                <a:latin typeface="Avenir Nxt2 W1G" panose="020B0503020202020204" pitchFamily="34" charset="0"/>
              </a:rPr>
              <a:t>Академические организации - Члены МСЭ, в абсолютном выражении, </a:t>
            </a:r>
            <a:br>
              <a:rPr lang="ru-RU" sz="800" b="0" i="0" u="none" strike="noStrike" baseline="0">
                <a:solidFill>
                  <a:sysClr val="windowText" lastClr="000000"/>
                </a:solidFill>
                <a:latin typeface="Avenir Nxt2 W1G" panose="020B0503020202020204" pitchFamily="34" charset="0"/>
              </a:rPr>
            </a:br>
            <a:r>
              <a:rPr lang="ru-RU" sz="800" b="0" i="0" u="none" strike="noStrike" baseline="0">
                <a:solidFill>
                  <a:sysClr val="windowText" lastClr="000000"/>
                </a:solidFill>
                <a:latin typeface="Avenir Nxt2 W1G" panose="020B0503020202020204" pitchFamily="34" charset="0"/>
              </a:rPr>
              <a:t>и прогноз на июнь</a:t>
            </a:r>
            <a:r>
              <a:rPr lang="en-US" sz="800" b="0" i="0" u="none" strike="noStrike" baseline="0">
                <a:solidFill>
                  <a:sysClr val="windowText" lastClr="000000"/>
                </a:solidFill>
                <a:latin typeface="Avenir Nxt2 W1G" panose="020B0503020202020204" pitchFamily="34" charset="0"/>
              </a:rPr>
              <a:t> 2025</a:t>
            </a:r>
            <a:r>
              <a:rPr lang="ru-RU" sz="800" b="0" i="0" u="none" strike="noStrike" baseline="0">
                <a:solidFill>
                  <a:sysClr val="windowText" lastClr="000000"/>
                </a:solidFill>
                <a:latin typeface="Avenir Nxt2 W1G" panose="020B0503020202020204" pitchFamily="34" charset="0"/>
              </a:rPr>
              <a:t> года</a:t>
            </a:r>
            <a:endParaRPr lang="en-US" sz="800" b="0" i="0" u="none" strike="noStrike" baseline="0">
              <a:solidFill>
                <a:sysClr val="windowText" lastClr="000000"/>
              </a:solidFill>
              <a:latin typeface="Avenir Nxt2 W1G" panose="020B0503020202020204" pitchFamily="34" charset="0"/>
            </a:endParaRPr>
          </a:p>
        </cx:rich>
      </cx:tx>
    </cx:title>
    <cx:plotArea>
      <cx:plotAreaRegion>
        <cx:series layoutId="waterfall" uniqueId="{1D96F30B-B542-4D28-9FB4-5199155E5879}">
          <cx:tx>
            <cx:txData>
              <cx:f>Sheet1!$B$1</cx:f>
              <cx:v>Series1</cx:v>
            </cx:txData>
          </cx:tx>
          <cx:dataPt idx="0">
            <cx:spPr>
              <a:solidFill>
                <a:srgbClr val="00B0F0"/>
              </a:solidFill>
            </cx:spPr>
          </cx:dataPt>
          <cx:dataPt idx="1">
            <cx:spPr>
              <a:solidFill>
                <a:srgbClr val="92D050"/>
              </a:solidFill>
            </cx:spPr>
          </cx:dataPt>
          <cx:dataPt idx="2">
            <cx:spPr>
              <a:solidFill>
                <a:srgbClr val="FA3000"/>
              </a:solidFill>
            </cx:spPr>
          </cx:dataPt>
          <cx:dataPt idx="3">
            <cx:spPr>
              <a:solidFill>
                <a:srgbClr val="00B0F0"/>
              </a:solidFill>
            </cx:spPr>
          </cx:dataPt>
          <cx:dataPt idx="4">
            <cx:spPr>
              <a:solidFill>
                <a:srgbClr val="92D050"/>
              </a:solidFill>
            </cx:spPr>
          </cx:dataPt>
          <cx:dataPt idx="5">
            <cx:spPr>
              <a:solidFill>
                <a:srgbClr val="FA3000"/>
              </a:solidFill>
            </cx:spPr>
          </cx:dataPt>
          <cx:dataPt idx="6">
            <cx:spPr>
              <a:solidFill>
                <a:srgbClr val="00B0F0"/>
              </a:solidFill>
            </cx:spPr>
          </cx:dataPt>
          <cx:dataPt idx="7">
            <cx:spPr>
              <a:solidFill>
                <a:srgbClr val="92D050">
                  <a:alpha val="52000"/>
                </a:srgbClr>
              </a:solidFill>
            </cx:spPr>
          </cx:dataPt>
          <cx:dataPt idx="8">
            <cx:spPr>
              <a:solidFill>
                <a:srgbClr val="FA3000">
                  <a:alpha val="49000"/>
                </a:srgbClr>
              </a:solidFill>
            </cx:spPr>
          </cx:dataPt>
          <cx:dataPt idx="9">
            <cx:spPr>
              <a:solidFill>
                <a:srgbClr val="00B0F0">
                  <a:alpha val="49000"/>
                </a:srgbClr>
              </a:solidFill>
            </cx:spPr>
          </cx:dataPt>
          <cx:dataLabels/>
          <cx:dataId val="0"/>
          <cx:layoutPr>
            <cx:subtotals>
              <cx:idx val="3"/>
              <cx:idx val="6"/>
              <cx:idx val="9"/>
            </cx:subtotals>
          </cx:layoutPr>
        </cx:series>
      </cx:plotAreaRegion>
      <cx:axis id="0" hidden="1">
        <cx:catScaling gapWidth="0.5"/>
        <cx:tickLabels/>
      </cx:axis>
      <cx:axis id="1">
        <cx:valScaling max="190" min="150"/>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0.79545</cdr:x>
      <cdr:y>0.34019</cdr:y>
    </cdr:from>
    <cdr:to>
      <cdr:x>0.95362</cdr:x>
      <cdr:y>0.60124</cdr:y>
    </cdr:to>
    <cdr:sp macro="" textlink="">
      <cdr:nvSpPr>
        <cdr:cNvPr id="2" name="Rectangle 1"/>
        <cdr:cNvSpPr/>
      </cdr:nvSpPr>
      <cdr:spPr>
        <a:xfrm xmlns:a="http://schemas.openxmlformats.org/drawingml/2006/main">
          <a:off x="4864221" y="1302590"/>
          <a:ext cx="967236" cy="999586"/>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0" tIns="0" rIns="0" bIns="0" numCol="1" spcCol="0" rtlCol="0" fromWordArt="0" anchor="ctr" anchorCtr="0" forceAA="0" compatLnSpc="1">
          <a:prstTxWarp prst="textNoShape">
            <a:avLst/>
          </a:prstTxWarp>
          <a:noAutofit/>
        </a:bodyPr>
        <a:lstStyle xmlns:a="http://schemas.openxmlformats.org/drawingml/2006/main"/>
        <a:p xmlns:a="http://schemas.openxmlformats.org/drawingml/2006/main">
          <a:pPr marL="0" marR="0" hangingPunct="0">
            <a:spcBef>
              <a:spcPts val="0"/>
            </a:spcBef>
            <a:spcAft>
              <a:spcPts val="100"/>
            </a:spcAft>
            <a:buNone/>
            <a:tabLst>
              <a:tab pos="720090" algn="l"/>
              <a:tab pos="1188085" algn="l"/>
              <a:tab pos="1440180" algn="l"/>
            </a:tabLst>
          </a:pPr>
          <a:r>
            <a:rPr lang="ru-RU" sz="800">
              <a:solidFill>
                <a:srgbClr val="000000"/>
              </a:solidFill>
              <a:effectLst/>
              <a:ea typeface="Batang" panose="02030600000101010101" pitchFamily="18" charset="-127"/>
              <a:cs typeface="Times New Roman" panose="02020603050405020304" pitchFamily="18" charset="0"/>
            </a:rPr>
            <a:t>Ассоциированные члены</a:t>
          </a:r>
          <a:endParaRPr lang="en-GB" sz="800">
            <a:effectLst/>
            <a:ea typeface="Batang" panose="02030600000101010101" pitchFamily="18" charset="-127"/>
            <a:cs typeface="Times New Roman" panose="02020603050405020304" pitchFamily="18" charset="0"/>
          </a:endParaRPr>
        </a:p>
        <a:p xmlns:a="http://schemas.openxmlformats.org/drawingml/2006/main">
          <a:pPr marL="0" marR="0" hangingPunct="0">
            <a:spcBef>
              <a:spcPts val="300"/>
            </a:spcBef>
            <a:spcAft>
              <a:spcPts val="300"/>
            </a:spcAft>
            <a:buNone/>
            <a:tabLst>
              <a:tab pos="720090" algn="l"/>
              <a:tab pos="1188085" algn="l"/>
              <a:tab pos="1440180" algn="l"/>
            </a:tabLst>
          </a:pPr>
          <a:r>
            <a:rPr lang="ru-RU" sz="800">
              <a:solidFill>
                <a:srgbClr val="000000"/>
              </a:solidFill>
              <a:effectLst/>
              <a:ea typeface="Batang" panose="02030600000101010101" pitchFamily="18" charset="-127"/>
              <a:cs typeface="Times New Roman" panose="02020603050405020304" pitchFamily="18" charset="0"/>
            </a:rPr>
            <a:t>Члены Сектора</a:t>
          </a:r>
          <a:endParaRPr lang="en-GB" sz="800">
            <a:effectLst/>
            <a:ea typeface="Batang" panose="02030600000101010101" pitchFamily="18" charset="-127"/>
            <a:cs typeface="Times New Roman" panose="02020603050405020304" pitchFamily="18" charset="0"/>
          </a:endParaRPr>
        </a:p>
        <a:p xmlns:a="http://schemas.openxmlformats.org/drawingml/2006/main">
          <a:pPr marL="0" marR="0" hangingPunct="0">
            <a:spcBef>
              <a:spcPts val="300"/>
            </a:spcBef>
            <a:tabLst>
              <a:tab pos="720090" algn="l"/>
              <a:tab pos="1188085" algn="l"/>
              <a:tab pos="1440180" algn="l"/>
            </a:tabLst>
          </a:pPr>
          <a:r>
            <a:rPr lang="ru-RU" sz="800">
              <a:solidFill>
                <a:srgbClr val="000000"/>
              </a:solidFill>
              <a:effectLst/>
              <a:ea typeface="Batang" panose="02030600000101010101" pitchFamily="18" charset="-127"/>
              <a:cs typeface="Times New Roman" panose="02020603050405020304" pitchFamily="18" charset="0"/>
            </a:rPr>
            <a:t>Аффилированные академические организации</a:t>
          </a:r>
          <a:endParaRPr lang="en-GB" sz="800">
            <a:effectLst/>
            <a:ea typeface="Batang" panose="02030600000101010101" pitchFamily="18" charset="-127"/>
            <a:cs typeface="Times New Roman" panose="02020603050405020304" pitchFamily="18" charset="0"/>
          </a:endParaRPr>
        </a:p>
      </cdr:txBody>
    </cdr:sp>
  </cdr:relSizeAnchor>
  <cdr:relSizeAnchor xmlns:cdr="http://schemas.openxmlformats.org/drawingml/2006/chartDrawing">
    <cdr:from>
      <cdr:x>0.09926</cdr:x>
      <cdr:y>0.86713</cdr:y>
    </cdr:from>
    <cdr:to>
      <cdr:x>0.18389</cdr:x>
      <cdr:y>0.91439</cdr:y>
    </cdr:to>
    <cdr:sp macro="" textlink="">
      <cdr:nvSpPr>
        <cdr:cNvPr id="4" name="Text Box 2"/>
        <cdr:cNvSpPr txBox="1"/>
      </cdr:nvSpPr>
      <cdr:spPr>
        <a:xfrm xmlns:a="http://schemas.openxmlformats.org/drawingml/2006/main">
          <a:off x="606951" y="3320270"/>
          <a:ext cx="517525" cy="180975"/>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hangingPunct="0">
            <a:spcBef>
              <a:spcPts val="600"/>
            </a:spcBef>
            <a:tabLst>
              <a:tab pos="720090" algn="l"/>
              <a:tab pos="1188085" algn="l"/>
              <a:tab pos="1440180" algn="l"/>
            </a:tabLst>
          </a:pPr>
          <a:r>
            <a:rPr lang="ru-RU" sz="1000">
              <a:effectLst/>
              <a:latin typeface="Calibri" panose="020F0502020204030204" pitchFamily="34" charset="0"/>
              <a:ea typeface="Batang" panose="02030600000101010101" pitchFamily="18" charset="-127"/>
              <a:cs typeface="Times New Roman" panose="02020603050405020304" pitchFamily="18" charset="0"/>
            </a:rPr>
            <a:t>2023 г.</a:t>
          </a:r>
          <a:endParaRPr lang="en-GB" sz="1100">
            <a:effectLst/>
            <a:latin typeface="Calibri" panose="020F0502020204030204" pitchFamily="34" charset="0"/>
            <a:ea typeface="Batang" panose="02030600000101010101" pitchFamily="18" charset="-127"/>
            <a:cs typeface="Times New Roman" panose="02020603050405020304" pitchFamily="18" charset="0"/>
          </a:endParaRPr>
        </a:p>
      </cdr:txBody>
    </cdr:sp>
  </cdr:relSizeAnchor>
  <cdr:relSizeAnchor xmlns:cdr="http://schemas.openxmlformats.org/drawingml/2006/chartDrawing">
    <cdr:from>
      <cdr:x>0.363</cdr:x>
      <cdr:y>0.86713</cdr:y>
    </cdr:from>
    <cdr:to>
      <cdr:x>0.44763</cdr:x>
      <cdr:y>0.91439</cdr:y>
    </cdr:to>
    <cdr:sp macro="" textlink="">
      <cdr:nvSpPr>
        <cdr:cNvPr id="5" name="Text Box 2"/>
        <cdr:cNvSpPr txBox="1"/>
      </cdr:nvSpPr>
      <cdr:spPr>
        <a:xfrm xmlns:a="http://schemas.openxmlformats.org/drawingml/2006/main">
          <a:off x="2219768" y="3320271"/>
          <a:ext cx="517525" cy="180975"/>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hangingPunct="0">
            <a:spcBef>
              <a:spcPts val="600"/>
            </a:spcBef>
            <a:tabLst>
              <a:tab pos="720090" algn="l"/>
              <a:tab pos="1188085" algn="l"/>
              <a:tab pos="1440180" algn="l"/>
            </a:tabLst>
          </a:pPr>
          <a:r>
            <a:rPr lang="ru-RU" sz="1000">
              <a:effectLst/>
              <a:latin typeface="Calibri" panose="020F0502020204030204" pitchFamily="34" charset="0"/>
              <a:ea typeface="Batang" panose="02030600000101010101" pitchFamily="18" charset="-127"/>
              <a:cs typeface="Times New Roman" panose="02020603050405020304" pitchFamily="18" charset="0"/>
            </a:rPr>
            <a:t>2024 г.</a:t>
          </a:r>
          <a:endParaRPr lang="en-GB" sz="1100">
            <a:effectLst/>
            <a:latin typeface="Calibri" panose="020F0502020204030204" pitchFamily="34" charset="0"/>
            <a:ea typeface="Batang" panose="02030600000101010101" pitchFamily="18" charset="-127"/>
            <a:cs typeface="Times New Roman" panose="02020603050405020304" pitchFamily="18" charset="0"/>
          </a:endParaRPr>
        </a:p>
      </cdr:txBody>
    </cdr:sp>
  </cdr:relSizeAnchor>
  <cdr:relSizeAnchor xmlns:cdr="http://schemas.openxmlformats.org/drawingml/2006/chartDrawing">
    <cdr:from>
      <cdr:x>0.61451</cdr:x>
      <cdr:y>0.86713</cdr:y>
    </cdr:from>
    <cdr:to>
      <cdr:x>0.69915</cdr:x>
      <cdr:y>0.91439</cdr:y>
    </cdr:to>
    <cdr:sp macro="" textlink="">
      <cdr:nvSpPr>
        <cdr:cNvPr id="6" name="Text Box 2"/>
        <cdr:cNvSpPr txBox="1"/>
      </cdr:nvSpPr>
      <cdr:spPr>
        <a:xfrm xmlns:a="http://schemas.openxmlformats.org/drawingml/2006/main">
          <a:off x="3757786" y="3320271"/>
          <a:ext cx="517525" cy="180975"/>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hangingPunct="0">
            <a:spcBef>
              <a:spcPts val="600"/>
            </a:spcBef>
            <a:tabLst>
              <a:tab pos="720090" algn="l"/>
              <a:tab pos="1188085" algn="l"/>
              <a:tab pos="1440180" algn="l"/>
            </a:tabLst>
          </a:pPr>
          <a:r>
            <a:rPr lang="ru-RU" sz="1000">
              <a:effectLst/>
              <a:latin typeface="Calibri" panose="020F0502020204030204" pitchFamily="34" charset="0"/>
              <a:ea typeface="Batang" panose="02030600000101010101" pitchFamily="18" charset="-127"/>
              <a:cs typeface="Times New Roman" panose="02020603050405020304" pitchFamily="18" charset="0"/>
            </a:rPr>
            <a:t>*2025 г.</a:t>
          </a:r>
          <a:endParaRPr lang="en-GB" sz="1100">
            <a:effectLst/>
            <a:latin typeface="Calibri" panose="020F0502020204030204" pitchFamily="34" charset="0"/>
            <a:ea typeface="Batang" panose="02030600000101010101" pitchFamily="18" charset="-127"/>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A07F-7D95-42DD-A3E9-BEE10CAEDB0F}"/>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2239</Words>
  <Characters>15956</Characters>
  <Application>Microsoft Office Word</Application>
  <DocSecurity>0</DocSecurity>
  <Lines>132</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18159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Rudometova, Alisa</dc:creator>
  <cp:lastModifiedBy>FE</cp:lastModifiedBy>
  <cp:revision>5</cp:revision>
  <cp:lastPrinted>2019-01-16T07:57:00Z</cp:lastPrinted>
  <dcterms:created xsi:type="dcterms:W3CDTF">2025-05-06T14:33:00Z</dcterms:created>
  <dcterms:modified xsi:type="dcterms:W3CDTF">2025-05-06T16:53:00Z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