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FB042F" w14:paraId="3F0E9EC4" w14:textId="77777777" w:rsidTr="00E24DE9">
        <w:trPr>
          <w:cantSplit/>
          <w:trHeight w:val="1134"/>
        </w:trPr>
        <w:tc>
          <w:tcPr>
            <w:tcW w:w="1985" w:type="dxa"/>
          </w:tcPr>
          <w:p w14:paraId="1C6881CD" w14:textId="419D18F9" w:rsidR="00921A30" w:rsidRPr="00FB042F" w:rsidRDefault="00AC2BF7" w:rsidP="001E5219">
            <w:pPr>
              <w:tabs>
                <w:tab w:val="clear" w:pos="1191"/>
                <w:tab w:val="clear" w:pos="1588"/>
                <w:tab w:val="clear" w:pos="1985"/>
              </w:tabs>
              <w:spacing w:after="40"/>
              <w:rPr>
                <w:b/>
                <w:bCs/>
                <w:sz w:val="32"/>
                <w:szCs w:val="32"/>
                <w:lang w:val="fr-FR"/>
              </w:rPr>
            </w:pPr>
            <w:r w:rsidRPr="00FB042F">
              <w:rPr>
                <w:b/>
                <w:bCs/>
                <w:sz w:val="32"/>
                <w:szCs w:val="32"/>
                <w:lang w:val="fr-FR"/>
              </w:rPr>
              <w:drawing>
                <wp:inline distT="0" distB="0" distL="0" distR="0" wp14:anchorId="7DECAEFB" wp14:editId="25DD4D2B">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FB042F" w:rsidRDefault="00921A30" w:rsidP="004037AF">
            <w:pPr>
              <w:tabs>
                <w:tab w:val="clear" w:pos="1191"/>
                <w:tab w:val="clear" w:pos="1588"/>
                <w:tab w:val="clear" w:pos="1985"/>
              </w:tabs>
              <w:spacing w:before="240" w:after="240"/>
              <w:ind w:left="34"/>
              <w:rPr>
                <w:b/>
                <w:bCs/>
                <w:sz w:val="32"/>
                <w:szCs w:val="32"/>
                <w:lang w:val="fr-FR"/>
              </w:rPr>
            </w:pPr>
            <w:r w:rsidRPr="00FB042F">
              <w:rPr>
                <w:b/>
                <w:bCs/>
                <w:sz w:val="32"/>
                <w:szCs w:val="32"/>
                <w:lang w:val="fr-FR"/>
              </w:rPr>
              <w:t xml:space="preserve">Groupe consultatif pour le développement </w:t>
            </w:r>
            <w:r w:rsidRPr="00FB042F">
              <w:rPr>
                <w:b/>
                <w:bCs/>
                <w:sz w:val="32"/>
                <w:szCs w:val="32"/>
                <w:lang w:val="fr-FR"/>
              </w:rPr>
              <w:br/>
              <w:t>des télécommunications (GCDT)</w:t>
            </w:r>
          </w:p>
          <w:p w14:paraId="5F5F590A" w14:textId="7427F64C" w:rsidR="00921A30" w:rsidRPr="00FB042F" w:rsidRDefault="00921A30" w:rsidP="001011EB">
            <w:pPr>
              <w:tabs>
                <w:tab w:val="clear" w:pos="1191"/>
                <w:tab w:val="clear" w:pos="1588"/>
                <w:tab w:val="clear" w:pos="1985"/>
              </w:tabs>
              <w:spacing w:after="120"/>
              <w:ind w:left="34"/>
              <w:rPr>
                <w:rFonts w:ascii="Verdana" w:hAnsi="Verdana"/>
                <w:sz w:val="28"/>
                <w:szCs w:val="28"/>
                <w:lang w:val="fr-FR"/>
              </w:rPr>
            </w:pPr>
            <w:r w:rsidRPr="00FB042F">
              <w:rPr>
                <w:b/>
                <w:bCs/>
                <w:sz w:val="26"/>
                <w:szCs w:val="26"/>
                <w:lang w:val="fr-FR"/>
              </w:rPr>
              <w:t>32ème réunion, Genève, Suisse, 12-16 mai 2025</w:t>
            </w:r>
          </w:p>
        </w:tc>
        <w:tc>
          <w:tcPr>
            <w:tcW w:w="1666" w:type="dxa"/>
          </w:tcPr>
          <w:p w14:paraId="67E7B4C4" w14:textId="0F52E4CC" w:rsidR="00921A30" w:rsidRPr="00FB042F" w:rsidRDefault="00921A30" w:rsidP="00946023">
            <w:pPr>
              <w:spacing w:before="240" w:after="120"/>
              <w:ind w:right="142"/>
              <w:jc w:val="right"/>
              <w:rPr>
                <w:lang w:val="fr-FR"/>
              </w:rPr>
            </w:pPr>
            <w:r w:rsidRPr="00FB042F">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FB042F" w14:paraId="3C13197B" w14:textId="77777777" w:rsidTr="0009076F">
        <w:trPr>
          <w:cantSplit/>
        </w:trPr>
        <w:tc>
          <w:tcPr>
            <w:tcW w:w="6379" w:type="dxa"/>
            <w:gridSpan w:val="2"/>
            <w:tcBorders>
              <w:top w:val="single" w:sz="12" w:space="0" w:color="auto"/>
            </w:tcBorders>
          </w:tcPr>
          <w:p w14:paraId="2EED9DB2" w14:textId="77777777" w:rsidR="00683C32" w:rsidRPr="00FB042F"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FB042F" w:rsidRDefault="00683C32" w:rsidP="00107E85">
            <w:pPr>
              <w:spacing w:before="0"/>
              <w:rPr>
                <w:b/>
                <w:bCs/>
                <w:sz w:val="20"/>
                <w:lang w:val="fr-FR"/>
              </w:rPr>
            </w:pPr>
          </w:p>
        </w:tc>
      </w:tr>
      <w:tr w:rsidR="00683C32" w:rsidRPr="00FB042F" w14:paraId="0BB3FBC4" w14:textId="77777777" w:rsidTr="0009076F">
        <w:trPr>
          <w:cantSplit/>
        </w:trPr>
        <w:tc>
          <w:tcPr>
            <w:tcW w:w="6379" w:type="dxa"/>
            <w:gridSpan w:val="2"/>
          </w:tcPr>
          <w:p w14:paraId="43C54B3D" w14:textId="77777777" w:rsidR="00683C32" w:rsidRPr="00FB042F" w:rsidRDefault="00683C32" w:rsidP="00400CCF">
            <w:pPr>
              <w:pStyle w:val="Committee"/>
              <w:spacing w:before="0"/>
              <w:rPr>
                <w:b w:val="0"/>
                <w:szCs w:val="24"/>
                <w:lang w:val="fr-FR"/>
              </w:rPr>
            </w:pPr>
          </w:p>
        </w:tc>
        <w:tc>
          <w:tcPr>
            <w:tcW w:w="3509" w:type="dxa"/>
            <w:gridSpan w:val="2"/>
          </w:tcPr>
          <w:p w14:paraId="02E44EE9" w14:textId="1F766B26" w:rsidR="00683C32" w:rsidRPr="00FB042F" w:rsidRDefault="0096201B" w:rsidP="00E25345">
            <w:pPr>
              <w:spacing w:before="0"/>
              <w:jc w:val="both"/>
              <w:rPr>
                <w:bCs/>
                <w:szCs w:val="24"/>
                <w:lang w:val="fr-FR"/>
              </w:rPr>
            </w:pPr>
            <w:r w:rsidRPr="00FB042F">
              <w:rPr>
                <w:b/>
                <w:bCs/>
                <w:lang w:val="fr-FR"/>
              </w:rPr>
              <w:t xml:space="preserve">Document </w:t>
            </w:r>
            <w:bookmarkStart w:id="0" w:name="DocRef1"/>
            <w:bookmarkEnd w:id="0"/>
            <w:r w:rsidRPr="00FB042F">
              <w:rPr>
                <w:b/>
                <w:bCs/>
                <w:lang w:val="fr-FR"/>
              </w:rPr>
              <w:t>TDAG</w:t>
            </w:r>
            <w:r w:rsidR="003242AB" w:rsidRPr="00FB042F">
              <w:rPr>
                <w:b/>
                <w:bCs/>
                <w:lang w:val="fr-FR"/>
              </w:rPr>
              <w:t>-</w:t>
            </w:r>
            <w:r w:rsidR="00B648C7" w:rsidRPr="00FB042F">
              <w:rPr>
                <w:b/>
                <w:bCs/>
                <w:lang w:val="fr-FR"/>
              </w:rPr>
              <w:t>2</w:t>
            </w:r>
            <w:bookmarkStart w:id="1" w:name="DocNo1"/>
            <w:bookmarkEnd w:id="1"/>
            <w:r w:rsidR="001C48D3" w:rsidRPr="00FB042F">
              <w:rPr>
                <w:b/>
                <w:bCs/>
                <w:lang w:val="fr-FR"/>
              </w:rPr>
              <w:t>5</w:t>
            </w:r>
            <w:r w:rsidR="0009076F" w:rsidRPr="00FB042F">
              <w:rPr>
                <w:b/>
                <w:bCs/>
                <w:lang w:val="fr-FR"/>
              </w:rPr>
              <w:t>/</w:t>
            </w:r>
            <w:r w:rsidR="002A171C" w:rsidRPr="00FB042F">
              <w:rPr>
                <w:b/>
                <w:bCs/>
                <w:lang w:val="fr-FR"/>
              </w:rPr>
              <w:t>8</w:t>
            </w:r>
            <w:r w:rsidRPr="00FB042F">
              <w:rPr>
                <w:b/>
                <w:bCs/>
                <w:lang w:val="fr-FR"/>
              </w:rPr>
              <w:t>-</w:t>
            </w:r>
            <w:r w:rsidR="00E25345" w:rsidRPr="00FB042F">
              <w:rPr>
                <w:b/>
                <w:bCs/>
                <w:lang w:val="fr-FR"/>
              </w:rPr>
              <w:t>F</w:t>
            </w:r>
          </w:p>
        </w:tc>
      </w:tr>
      <w:tr w:rsidR="00683C32" w:rsidRPr="00FB042F" w14:paraId="24D04936" w14:textId="77777777" w:rsidTr="0009076F">
        <w:trPr>
          <w:cantSplit/>
        </w:trPr>
        <w:tc>
          <w:tcPr>
            <w:tcW w:w="6379" w:type="dxa"/>
            <w:gridSpan w:val="2"/>
          </w:tcPr>
          <w:p w14:paraId="12CE4DBF" w14:textId="77777777" w:rsidR="00683C32" w:rsidRPr="00FB042F" w:rsidRDefault="00683C32" w:rsidP="00400CCF">
            <w:pPr>
              <w:spacing w:before="0"/>
              <w:rPr>
                <w:b/>
                <w:bCs/>
                <w:smallCaps/>
                <w:szCs w:val="24"/>
                <w:lang w:val="fr-FR"/>
              </w:rPr>
            </w:pPr>
          </w:p>
        </w:tc>
        <w:tc>
          <w:tcPr>
            <w:tcW w:w="3509" w:type="dxa"/>
            <w:gridSpan w:val="2"/>
          </w:tcPr>
          <w:p w14:paraId="0F89640F" w14:textId="40F5B8AA" w:rsidR="00683C32" w:rsidRPr="00FB042F" w:rsidRDefault="002A171C" w:rsidP="00B648C7">
            <w:pPr>
              <w:spacing w:before="0"/>
              <w:rPr>
                <w:b/>
                <w:szCs w:val="24"/>
                <w:lang w:val="fr-FR"/>
              </w:rPr>
            </w:pPr>
            <w:bookmarkStart w:id="2" w:name="CreationDate"/>
            <w:bookmarkEnd w:id="2"/>
            <w:r w:rsidRPr="00FB042F">
              <w:rPr>
                <w:b/>
                <w:bCs/>
                <w:szCs w:val="28"/>
                <w:lang w:val="fr-FR"/>
              </w:rPr>
              <w:t>31 mars</w:t>
            </w:r>
            <w:r w:rsidR="001C48D3" w:rsidRPr="00FB042F">
              <w:rPr>
                <w:b/>
                <w:bCs/>
                <w:szCs w:val="28"/>
                <w:lang w:val="fr-FR"/>
              </w:rPr>
              <w:t xml:space="preserve"> 2025</w:t>
            </w:r>
          </w:p>
        </w:tc>
      </w:tr>
      <w:tr w:rsidR="00683C32" w:rsidRPr="00FB042F" w14:paraId="7B96545F" w14:textId="77777777" w:rsidTr="0009076F">
        <w:trPr>
          <w:cantSplit/>
        </w:trPr>
        <w:tc>
          <w:tcPr>
            <w:tcW w:w="6379" w:type="dxa"/>
            <w:gridSpan w:val="2"/>
          </w:tcPr>
          <w:p w14:paraId="65956FD3" w14:textId="77777777" w:rsidR="00683C32" w:rsidRPr="00FB042F" w:rsidRDefault="00683C32" w:rsidP="00400CCF">
            <w:pPr>
              <w:spacing w:before="0"/>
              <w:rPr>
                <w:b/>
                <w:bCs/>
                <w:smallCaps/>
                <w:szCs w:val="24"/>
                <w:lang w:val="fr-FR"/>
              </w:rPr>
            </w:pPr>
          </w:p>
        </w:tc>
        <w:tc>
          <w:tcPr>
            <w:tcW w:w="3509" w:type="dxa"/>
            <w:gridSpan w:val="2"/>
          </w:tcPr>
          <w:p w14:paraId="30EFD39F" w14:textId="33ACFB79" w:rsidR="00514D2F" w:rsidRPr="00FB042F" w:rsidRDefault="0096201B" w:rsidP="001011EB">
            <w:pPr>
              <w:spacing w:before="0"/>
              <w:rPr>
                <w:szCs w:val="24"/>
                <w:lang w:val="fr-FR"/>
              </w:rPr>
            </w:pPr>
            <w:r w:rsidRPr="00FB042F">
              <w:rPr>
                <w:b/>
                <w:lang w:val="fr-FR"/>
              </w:rPr>
              <w:t>Original:</w:t>
            </w:r>
            <w:bookmarkStart w:id="3" w:name="Original"/>
            <w:bookmarkEnd w:id="3"/>
            <w:r w:rsidR="00CE0422" w:rsidRPr="00FB042F">
              <w:rPr>
                <w:b/>
                <w:lang w:val="fr-FR"/>
              </w:rPr>
              <w:t xml:space="preserve"> </w:t>
            </w:r>
            <w:r w:rsidR="001011EB" w:rsidRPr="00FB042F">
              <w:rPr>
                <w:b/>
                <w:lang w:val="fr-FR"/>
              </w:rPr>
              <w:t>anglais</w:t>
            </w:r>
          </w:p>
        </w:tc>
      </w:tr>
      <w:tr w:rsidR="00A13162" w:rsidRPr="00FB042F" w14:paraId="31656E31" w14:textId="77777777" w:rsidTr="00107E85">
        <w:trPr>
          <w:cantSplit/>
          <w:trHeight w:val="852"/>
        </w:trPr>
        <w:tc>
          <w:tcPr>
            <w:tcW w:w="9888" w:type="dxa"/>
            <w:gridSpan w:val="4"/>
          </w:tcPr>
          <w:p w14:paraId="512FCA01" w14:textId="17359298" w:rsidR="00A13162" w:rsidRPr="00FB042F" w:rsidRDefault="002A171C" w:rsidP="0030353C">
            <w:pPr>
              <w:pStyle w:val="Source"/>
              <w:rPr>
                <w:lang w:val="fr-FR"/>
              </w:rPr>
            </w:pPr>
            <w:bookmarkStart w:id="4" w:name="Source"/>
            <w:bookmarkEnd w:id="4"/>
            <w:r w:rsidRPr="00FB042F">
              <w:rPr>
                <w:lang w:val="fr-FR"/>
              </w:rPr>
              <w:t>Directeur du Bureau de développement des télécommunications</w:t>
            </w:r>
          </w:p>
        </w:tc>
      </w:tr>
      <w:tr w:rsidR="00AC6F14" w:rsidRPr="00FB042F" w14:paraId="2CBD3A36" w14:textId="77777777" w:rsidTr="00107E85">
        <w:trPr>
          <w:cantSplit/>
        </w:trPr>
        <w:tc>
          <w:tcPr>
            <w:tcW w:w="9888" w:type="dxa"/>
            <w:gridSpan w:val="4"/>
          </w:tcPr>
          <w:p w14:paraId="1B4121DF" w14:textId="6C9BC2B4" w:rsidR="00AC6F14" w:rsidRPr="00FB042F" w:rsidRDefault="002A171C" w:rsidP="002A171C">
            <w:pPr>
              <w:pStyle w:val="Title1"/>
              <w:rPr>
                <w:lang w:val="fr-FR"/>
              </w:rPr>
            </w:pPr>
            <w:bookmarkStart w:id="5" w:name="Title"/>
            <w:bookmarkEnd w:id="5"/>
            <w:r w:rsidRPr="00FB042F">
              <w:rPr>
                <w:lang w:val="fr-FR"/>
              </w:rPr>
              <w:t>Membres du Secteur et Associés de l'UIT-D et établissements</w:t>
            </w:r>
            <w:r w:rsidRPr="00FB042F">
              <w:rPr>
                <w:lang w:val="fr-FR"/>
              </w:rPr>
              <w:br/>
              <w:t>universitaires participant aux travaux de l'UIT-D</w:t>
            </w:r>
          </w:p>
        </w:tc>
      </w:tr>
      <w:tr w:rsidR="00A721F4" w:rsidRPr="00FB042F" w14:paraId="23A30231" w14:textId="77777777" w:rsidTr="00A721F4">
        <w:trPr>
          <w:cantSplit/>
        </w:trPr>
        <w:tc>
          <w:tcPr>
            <w:tcW w:w="9888" w:type="dxa"/>
            <w:gridSpan w:val="4"/>
            <w:tcBorders>
              <w:bottom w:val="single" w:sz="4" w:space="0" w:color="auto"/>
            </w:tcBorders>
          </w:tcPr>
          <w:p w14:paraId="726EE70E" w14:textId="77777777" w:rsidR="00A721F4" w:rsidRPr="00FB042F" w:rsidRDefault="00A721F4" w:rsidP="0030353C">
            <w:pPr>
              <w:rPr>
                <w:lang w:val="fr-FR"/>
              </w:rPr>
            </w:pPr>
          </w:p>
        </w:tc>
      </w:tr>
      <w:tr w:rsidR="00A721F4" w:rsidRPr="00FB042F"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FB042F" w:rsidRDefault="001011EB" w:rsidP="00EA0C51">
            <w:pPr>
              <w:spacing w:after="120"/>
              <w:rPr>
                <w:b/>
                <w:bCs/>
                <w:szCs w:val="24"/>
                <w:lang w:val="fr-FR"/>
              </w:rPr>
            </w:pPr>
            <w:r w:rsidRPr="00FB042F">
              <w:rPr>
                <w:b/>
                <w:bCs/>
                <w:szCs w:val="24"/>
                <w:lang w:val="fr-FR"/>
              </w:rPr>
              <w:t>Résumé</w:t>
            </w:r>
            <w:r w:rsidR="00A721F4" w:rsidRPr="00FB042F">
              <w:rPr>
                <w:b/>
                <w:bCs/>
                <w:szCs w:val="24"/>
                <w:lang w:val="fr-FR"/>
              </w:rPr>
              <w:t>:</w:t>
            </w:r>
          </w:p>
          <w:p w14:paraId="4082D7E8" w14:textId="1BE83B97" w:rsidR="00A721F4" w:rsidRPr="00FB042F" w:rsidRDefault="002A171C" w:rsidP="00EA0C51">
            <w:pPr>
              <w:spacing w:after="120"/>
              <w:rPr>
                <w:szCs w:val="24"/>
                <w:lang w:val="fr-FR"/>
              </w:rPr>
            </w:pPr>
            <w:r w:rsidRPr="00FB042F">
              <w:rPr>
                <w:lang w:val="fr-FR"/>
              </w:rPr>
              <w:t>Le présent document donne un aperçu de l'évolution de la composition de l'UIT-D en 2024 et contient des prévisions jusqu'à mi-2025. On y trouve également des recommandations concernant les mesures visant à intensifier les efforts pour fidéliser davantage de membres et en attirer de nouveaux, conformément aux résultats de la Conférence mondiale de développement des télécommunications de 2022 (CMDT-22) et de la Conférence de plénipotentiaires de 2022 (PP</w:t>
            </w:r>
            <w:r w:rsidR="0000604C" w:rsidRPr="00FB042F">
              <w:rPr>
                <w:lang w:val="fr-FR"/>
              </w:rPr>
              <w:t>-</w:t>
            </w:r>
            <w:r w:rsidRPr="00FB042F">
              <w:rPr>
                <w:lang w:val="fr-FR"/>
              </w:rPr>
              <w:t>22). L'UIT-D comprend des Membres de Secteur, des Associés et des établissements universitaires</w:t>
            </w:r>
            <w:r w:rsidRPr="00FB042F">
              <w:rPr>
                <w:rStyle w:val="FootnoteReference"/>
                <w:lang w:val="fr-FR"/>
              </w:rPr>
              <w:footnoteReference w:id="1"/>
            </w:r>
            <w:r w:rsidRPr="00FB042F">
              <w:rPr>
                <w:lang w:val="fr-FR"/>
              </w:rPr>
              <w:t>.</w:t>
            </w:r>
          </w:p>
          <w:p w14:paraId="76A1C541" w14:textId="23209CDB" w:rsidR="00A721F4" w:rsidRPr="00FB042F" w:rsidRDefault="001011EB" w:rsidP="00EA0C51">
            <w:pPr>
              <w:spacing w:after="120"/>
              <w:rPr>
                <w:b/>
                <w:bCs/>
                <w:szCs w:val="24"/>
                <w:lang w:val="fr-FR"/>
              </w:rPr>
            </w:pPr>
            <w:r w:rsidRPr="00FB042F">
              <w:rPr>
                <w:b/>
                <w:bCs/>
                <w:lang w:val="fr-FR"/>
              </w:rPr>
              <w:t>Suite à donner</w:t>
            </w:r>
            <w:r w:rsidR="00A721F4" w:rsidRPr="00FB042F">
              <w:rPr>
                <w:b/>
                <w:bCs/>
                <w:lang w:val="fr-FR"/>
              </w:rPr>
              <w:t>:</w:t>
            </w:r>
          </w:p>
          <w:p w14:paraId="371956FC" w14:textId="5FED92ED" w:rsidR="00A721F4" w:rsidRPr="00FB042F" w:rsidRDefault="002A171C" w:rsidP="00EA0C51">
            <w:pPr>
              <w:spacing w:after="120"/>
              <w:rPr>
                <w:szCs w:val="24"/>
                <w:lang w:val="fr-FR"/>
              </w:rPr>
            </w:pPr>
            <w:r w:rsidRPr="00FB042F">
              <w:rPr>
                <w:lang w:val="fr-FR"/>
              </w:rPr>
              <w:t>Le GCDT est invité à prendre note du présent document ainsi que de la note de liaison (Annexe 1) du Groupe de travail du Conseil sur les ressources financières et les ressources humaines (GTC</w:t>
            </w:r>
            <w:r w:rsidR="00617210" w:rsidRPr="00FB042F">
              <w:rPr>
                <w:lang w:val="fr-FR"/>
              </w:rPr>
              <w:noBreakHyphen/>
            </w:r>
            <w:r w:rsidRPr="00FB042F">
              <w:rPr>
                <w:lang w:val="fr-FR"/>
              </w:rPr>
              <w:t>FHR) et à fournir les orientations qu'il jugera nécessaires.</w:t>
            </w:r>
          </w:p>
          <w:p w14:paraId="622ACB80" w14:textId="39EE560D" w:rsidR="00A721F4" w:rsidRPr="00FB042F" w:rsidRDefault="00A721F4" w:rsidP="00EA0C51">
            <w:pPr>
              <w:spacing w:after="120"/>
              <w:rPr>
                <w:b/>
                <w:bCs/>
                <w:szCs w:val="24"/>
                <w:lang w:val="fr-FR"/>
              </w:rPr>
            </w:pPr>
            <w:r w:rsidRPr="00FB042F">
              <w:rPr>
                <w:b/>
                <w:bCs/>
                <w:szCs w:val="24"/>
                <w:lang w:val="fr-FR"/>
              </w:rPr>
              <w:t>R</w:t>
            </w:r>
            <w:r w:rsidR="001011EB" w:rsidRPr="00FB042F">
              <w:rPr>
                <w:b/>
                <w:bCs/>
                <w:szCs w:val="24"/>
                <w:lang w:val="fr-FR"/>
              </w:rPr>
              <w:t>é</w:t>
            </w:r>
            <w:r w:rsidRPr="00FB042F">
              <w:rPr>
                <w:b/>
                <w:bCs/>
                <w:szCs w:val="24"/>
                <w:lang w:val="fr-FR"/>
              </w:rPr>
              <w:t>f</w:t>
            </w:r>
            <w:r w:rsidR="001011EB" w:rsidRPr="00FB042F">
              <w:rPr>
                <w:b/>
                <w:bCs/>
                <w:szCs w:val="24"/>
                <w:lang w:val="fr-FR"/>
              </w:rPr>
              <w:t>é</w:t>
            </w:r>
            <w:r w:rsidRPr="00FB042F">
              <w:rPr>
                <w:b/>
                <w:bCs/>
                <w:szCs w:val="24"/>
                <w:lang w:val="fr-FR"/>
              </w:rPr>
              <w:t>rences:</w:t>
            </w:r>
          </w:p>
          <w:p w14:paraId="5DB92838" w14:textId="61D8B925" w:rsidR="002A171C" w:rsidRPr="00FB042F" w:rsidRDefault="002A171C" w:rsidP="002A171C">
            <w:pPr>
              <w:spacing w:after="120"/>
              <w:rPr>
                <w:lang w:val="fr-FR"/>
              </w:rPr>
            </w:pPr>
            <w:r w:rsidRPr="00FB042F">
              <w:rPr>
                <w:lang w:val="fr-FR"/>
              </w:rPr>
              <w:t>Résolution 71 (Rév. Kigali, 2022) de la CMDT</w:t>
            </w:r>
            <w:r w:rsidR="00617210" w:rsidRPr="00FB042F">
              <w:rPr>
                <w:lang w:val="fr-FR"/>
              </w:rPr>
              <w:t xml:space="preserve"> </w:t>
            </w:r>
            <w:r w:rsidRPr="00FB042F">
              <w:rPr>
                <w:lang w:val="fr-FR"/>
              </w:rPr>
              <w:t>– Renforcement de la coopération entre les</w:t>
            </w:r>
            <w:r w:rsidR="0000604C" w:rsidRPr="00FB042F">
              <w:rPr>
                <w:lang w:val="fr-FR"/>
              </w:rPr>
              <w:t xml:space="preserve"> </w:t>
            </w:r>
            <w:r w:rsidRPr="00FB042F">
              <w:rPr>
                <w:lang w:val="fr-FR"/>
              </w:rPr>
              <w:t>États</w:t>
            </w:r>
            <w:r w:rsidR="00617210" w:rsidRPr="00FB042F">
              <w:rPr>
                <w:lang w:val="fr-FR"/>
              </w:rPr>
              <w:t> </w:t>
            </w:r>
            <w:r w:rsidRPr="00FB042F">
              <w:rPr>
                <w:lang w:val="fr-FR"/>
              </w:rPr>
              <w:t>Membres, les Membres de Secteur, les Associés et les établissements universitaires participant aux travaux du Secteur du développement des télécommunications de l'UIT et évolution du rôle du secteur privé au sein du Secteur du développement des télécommunications</w:t>
            </w:r>
            <w:r w:rsidR="0000604C" w:rsidRPr="00FB042F">
              <w:rPr>
                <w:lang w:val="fr-FR"/>
              </w:rPr>
              <w:t> </w:t>
            </w:r>
            <w:r w:rsidRPr="00FB042F">
              <w:rPr>
                <w:lang w:val="fr-FR"/>
              </w:rPr>
              <w:t>de l'UIT.</w:t>
            </w:r>
          </w:p>
          <w:p w14:paraId="1ECDD20E" w14:textId="2348D180" w:rsidR="00A721F4" w:rsidRPr="00FB042F" w:rsidRDefault="002A171C" w:rsidP="002A171C">
            <w:pPr>
              <w:spacing w:after="120"/>
              <w:rPr>
                <w:szCs w:val="24"/>
                <w:lang w:val="fr-FR"/>
              </w:rPr>
            </w:pPr>
            <w:r w:rsidRPr="00FB042F">
              <w:rPr>
                <w:lang w:val="fr-FR"/>
              </w:rPr>
              <w:t>Résolutions 169, 205 et 209 (Rév. Bucarest, 2022) de la Conférence de plénipotentiaires (PP-22).</w:t>
            </w:r>
          </w:p>
        </w:tc>
      </w:tr>
    </w:tbl>
    <w:p w14:paraId="5B29B2A3" w14:textId="77777777" w:rsidR="00923CF1" w:rsidRPr="00FB042F" w:rsidRDefault="00923CF1">
      <w:pPr>
        <w:tabs>
          <w:tab w:val="clear" w:pos="794"/>
          <w:tab w:val="clear" w:pos="1191"/>
          <w:tab w:val="clear" w:pos="1588"/>
          <w:tab w:val="clear" w:pos="1985"/>
        </w:tabs>
        <w:overflowPunct/>
        <w:autoSpaceDE/>
        <w:autoSpaceDN/>
        <w:adjustRightInd/>
        <w:spacing w:before="0"/>
        <w:textAlignment w:val="auto"/>
        <w:rPr>
          <w:lang w:val="fr-FR"/>
        </w:rPr>
      </w:pPr>
      <w:r w:rsidRPr="00FB042F">
        <w:rPr>
          <w:lang w:val="fr-FR"/>
        </w:rPr>
        <w:br w:type="page"/>
      </w:r>
    </w:p>
    <w:p w14:paraId="70FC5478" w14:textId="77777777" w:rsidR="002A171C" w:rsidRPr="00FB042F" w:rsidRDefault="002A171C" w:rsidP="002A171C">
      <w:pPr>
        <w:pStyle w:val="Heading1"/>
        <w:rPr>
          <w:lang w:val="fr-FR"/>
        </w:rPr>
      </w:pPr>
      <w:r w:rsidRPr="00FB042F">
        <w:rPr>
          <w:lang w:val="fr-FR"/>
        </w:rPr>
        <w:lastRenderedPageBreak/>
        <w:t>1</w:t>
      </w:r>
      <w:r w:rsidRPr="00FB042F">
        <w:rPr>
          <w:lang w:val="fr-FR"/>
        </w:rPr>
        <w:tab/>
        <w:t>Considérations générales</w:t>
      </w:r>
    </w:p>
    <w:p w14:paraId="1B4177EE" w14:textId="1E13F915" w:rsidR="002A171C" w:rsidRPr="00FB042F" w:rsidRDefault="002A171C" w:rsidP="002A171C">
      <w:pPr>
        <w:rPr>
          <w:lang w:val="fr-FR"/>
        </w:rPr>
      </w:pPr>
      <w:r w:rsidRPr="00FB042F">
        <w:rPr>
          <w:lang w:val="fr-FR"/>
        </w:rPr>
        <w:t>La Conférence mondiale de développement des télécommunications tenue en 2022 (CMDT-22) a modifié et adopté la Résolution 71 (Rév. Kigali, 2022</w:t>
      </w:r>
      <w:r w:rsidR="0000604C" w:rsidRPr="00FB042F">
        <w:rPr>
          <w:rStyle w:val="FootnoteReference"/>
          <w:lang w:val="fr-FR"/>
        </w:rPr>
        <w:footnoteReference w:id="2"/>
      </w:r>
      <w:r w:rsidRPr="00FB042F">
        <w:rPr>
          <w:lang w:val="fr-FR"/>
        </w:rPr>
        <w:t>), afin de promouvoir une participation active des Membres du Secteur de l'UIT-D, des Associés et des établissements universitaires participant aux activités de l'UIT-D, y compris la participation aux travaux des commissions d'études de l'UIT</w:t>
      </w:r>
      <w:r w:rsidR="0000604C" w:rsidRPr="00FB042F">
        <w:rPr>
          <w:lang w:val="fr-FR"/>
        </w:rPr>
        <w:noBreakHyphen/>
      </w:r>
      <w:r w:rsidRPr="00FB042F">
        <w:rPr>
          <w:lang w:val="fr-FR"/>
        </w:rPr>
        <w:t>D, et d'attirer de nouveaux membres des secteurs public et privé et des milieux universitaires.</w:t>
      </w:r>
    </w:p>
    <w:p w14:paraId="39A2B483" w14:textId="4008444A" w:rsidR="002A171C" w:rsidRPr="00FB042F" w:rsidRDefault="002A171C" w:rsidP="002A171C">
      <w:pPr>
        <w:rPr>
          <w:lang w:val="fr-FR"/>
        </w:rPr>
      </w:pPr>
      <w:r w:rsidRPr="00FB042F">
        <w:rPr>
          <w:lang w:val="fr-FR"/>
        </w:rPr>
        <w:t>La Résolution 71 a mis davantage en lumière le renforcement de la coopération entre les</w:t>
      </w:r>
      <w:r w:rsidR="0000604C" w:rsidRPr="00FB042F">
        <w:rPr>
          <w:lang w:val="fr-FR"/>
        </w:rPr>
        <w:t xml:space="preserve"> </w:t>
      </w:r>
      <w:r w:rsidRPr="00FB042F">
        <w:rPr>
          <w:lang w:val="fr-FR"/>
        </w:rPr>
        <w:t>États Membres, les Membres de Secteur et les Associés de l'UIT-D ainsi que les établissements universitaires participant aux travaux de l'UIT-D et, aux termes de cette Résolution, le BDT est chargé de travailler en étroite collaboration avec les Membres du Secteur de l'UIT-D, les Associés et les établissements universitaires, pour qu'ils participent à la mise en œuvre réussie du Plan</w:t>
      </w:r>
      <w:r w:rsidR="0000604C" w:rsidRPr="00FB042F">
        <w:rPr>
          <w:lang w:val="fr-FR"/>
        </w:rPr>
        <w:t xml:space="preserve"> </w:t>
      </w:r>
      <w:r w:rsidRPr="00FB042F">
        <w:rPr>
          <w:lang w:val="fr-FR"/>
        </w:rPr>
        <w:t>d'action de Kigali et afin de continuer d'organiser des réunions de hauts dirigeants du secteur, par exemple des réunions du Groupe consultatif de professionnels chargé des questions de développement et des Directeurs de la réglementation du secteur privé (IADGI</w:t>
      </w:r>
      <w:r w:rsidR="0000604C" w:rsidRPr="00FB042F">
        <w:rPr>
          <w:lang w:val="fr-FR"/>
        </w:rPr>
        <w:t>-</w:t>
      </w:r>
      <w:r w:rsidRPr="00FB042F">
        <w:rPr>
          <w:lang w:val="fr-FR"/>
        </w:rPr>
        <w:t>CRO).</w:t>
      </w:r>
    </w:p>
    <w:p w14:paraId="31F3D145" w14:textId="77777777" w:rsidR="002A171C" w:rsidRPr="00FB042F" w:rsidRDefault="002A171C" w:rsidP="002A171C">
      <w:pPr>
        <w:pStyle w:val="Heading1"/>
        <w:rPr>
          <w:lang w:val="fr-FR"/>
        </w:rPr>
      </w:pPr>
      <w:r w:rsidRPr="00FB042F">
        <w:rPr>
          <w:lang w:val="fr-FR"/>
        </w:rPr>
        <w:t>2</w:t>
      </w:r>
      <w:r w:rsidRPr="00FB042F">
        <w:rPr>
          <w:lang w:val="fr-FR"/>
        </w:rPr>
        <w:tab/>
        <w:t>Évolution de la composition de l'UIT-D</w:t>
      </w:r>
    </w:p>
    <w:p w14:paraId="69B70EE0" w14:textId="1ACD9A2B" w:rsidR="00EC6FED" w:rsidRPr="00FB042F" w:rsidRDefault="002A171C" w:rsidP="00060F90">
      <w:pPr>
        <w:widowControl w:val="0"/>
        <w:rPr>
          <w:lang w:val="fr-FR"/>
        </w:rPr>
      </w:pPr>
      <w:r w:rsidRPr="00FB042F">
        <w:rPr>
          <w:lang w:val="fr-FR"/>
        </w:rPr>
        <w:t xml:space="preserve">Le </w:t>
      </w:r>
      <w:r w:rsidRPr="00FB042F">
        <w:rPr>
          <w:b/>
          <w:bCs/>
          <w:lang w:val="fr-FR"/>
        </w:rPr>
        <w:t>Graphique 1</w:t>
      </w:r>
      <w:r w:rsidRPr="00FB042F">
        <w:rPr>
          <w:lang w:val="fr-FR"/>
        </w:rPr>
        <w:t xml:space="preserve"> ci-dessous décrit l'évolution de la composition de l'UIT-D (Membres de Secteur, Associés, établissements universitaires). Le graphique indique les valeurs absolues des Membres de Secteur, des Associés et des établissements universitaires participant aux travaux de l'UIT-D en</w:t>
      </w:r>
      <w:r w:rsidR="0000604C" w:rsidRPr="00FB042F">
        <w:rPr>
          <w:lang w:val="fr-FR"/>
        </w:rPr>
        <w:t> </w:t>
      </w:r>
      <w:r w:rsidRPr="00FB042F">
        <w:rPr>
          <w:lang w:val="fr-FR"/>
        </w:rPr>
        <w:t>décembre 2023, en décembre 2024 et en juin 2025 (prévisions).</w:t>
      </w:r>
    </w:p>
    <w:p w14:paraId="196EF90D" w14:textId="5155186D" w:rsidR="002A171C" w:rsidRPr="00FB042F" w:rsidRDefault="002A171C" w:rsidP="00060F90">
      <w:pPr>
        <w:pStyle w:val="Figure"/>
        <w:keepNext w:val="0"/>
        <w:widowControl w:val="0"/>
        <w:rPr>
          <w:noProof w:val="0"/>
          <w:lang w:val="fr-FR"/>
        </w:rPr>
      </w:pPr>
      <w:r w:rsidRPr="00FB042F">
        <w:rPr>
          <w:noProof w:val="0"/>
          <w:lang w:val="fr-FR"/>
        </w:rPr>
        <w:drawing>
          <wp:inline distT="0" distB="0" distL="0" distR="0" wp14:anchorId="4896E9FC" wp14:editId="3DC72CE9">
            <wp:extent cx="6080760" cy="3139440"/>
            <wp:effectExtent l="0" t="0" r="0" b="3810"/>
            <wp:docPr id="6"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A4CF66" w14:textId="7E4BE71D" w:rsidR="004906B4" w:rsidRPr="00FB042F" w:rsidRDefault="004906B4" w:rsidP="00060F90">
      <w:pPr>
        <w:pStyle w:val="Heading2"/>
        <w:keepNext w:val="0"/>
        <w:keepLines w:val="0"/>
        <w:widowControl w:val="0"/>
        <w:rPr>
          <w:lang w:val="fr-FR"/>
        </w:rPr>
      </w:pPr>
      <w:r w:rsidRPr="00FB042F">
        <w:rPr>
          <w:lang w:val="fr-FR"/>
        </w:rPr>
        <w:lastRenderedPageBreak/>
        <w:t>2.1</w:t>
      </w:r>
      <w:r w:rsidRPr="00FB042F">
        <w:rPr>
          <w:lang w:val="fr-FR"/>
        </w:rPr>
        <w:tab/>
        <w:t>Membres de Secteur et Associés de l'UIT-D</w:t>
      </w:r>
    </w:p>
    <w:p w14:paraId="31EAE380" w14:textId="40B30FE2" w:rsidR="008E0914" w:rsidRPr="00FB042F" w:rsidRDefault="00060F90" w:rsidP="00060F90">
      <w:pPr>
        <w:pStyle w:val="Figure"/>
        <w:jc w:val="center"/>
        <w:rPr>
          <w:rFonts w:ascii="Calibri" w:eastAsia="SimSun" w:hAnsi="Calibri" w:cs="Arial"/>
          <w:b/>
          <w:bCs/>
          <w:noProof w:val="0"/>
          <w:lang w:val="fr-FR" w:eastAsia="zh-CN"/>
        </w:rPr>
      </w:pPr>
      <w:r w:rsidRPr="00FB042F">
        <w:rPr>
          <w:noProof w:val="0"/>
          <w:lang w:val="fr-FR"/>
        </w:rPr>
        <mc:AlternateContent>
          <mc:Choice Requires="wps">
            <w:drawing>
              <wp:anchor distT="0" distB="0" distL="114300" distR="114300" simplePos="0" relativeHeight="251672576" behindDoc="0" locked="0" layoutInCell="1" allowOverlap="1" wp14:anchorId="4C2304D8" wp14:editId="4AB06310">
                <wp:simplePos x="0" y="0"/>
                <wp:positionH relativeFrom="column">
                  <wp:posOffset>5501005</wp:posOffset>
                </wp:positionH>
                <wp:positionV relativeFrom="paragraph">
                  <wp:posOffset>1387159</wp:posOffset>
                </wp:positionV>
                <wp:extent cx="494871" cy="749300"/>
                <wp:effectExtent l="0" t="0" r="635" b="0"/>
                <wp:wrapNone/>
                <wp:docPr id="88811185" name="Text Box 1"/>
                <wp:cNvGraphicFramePr/>
                <a:graphic xmlns:a="http://schemas.openxmlformats.org/drawingml/2006/main">
                  <a:graphicData uri="http://schemas.microsoft.com/office/word/2010/wordprocessingShape">
                    <wps:wsp>
                      <wps:cNvSpPr txBox="1"/>
                      <wps:spPr>
                        <a:xfrm>
                          <a:off x="0" y="0"/>
                          <a:ext cx="494871" cy="749300"/>
                        </a:xfrm>
                        <a:prstGeom prst="rect">
                          <a:avLst/>
                        </a:prstGeom>
                        <a:solidFill>
                          <a:schemeClr val="lt1"/>
                        </a:solidFill>
                        <a:ln w="6350">
                          <a:noFill/>
                        </a:ln>
                      </wps:spPr>
                      <wps:txbx>
                        <w:txbxContent>
                          <w:p w14:paraId="63C5E1D0" w14:textId="77777777" w:rsidR="00AC03A1" w:rsidRDefault="00AC03A1" w:rsidP="00060F90">
                            <w:pPr>
                              <w:spacing w:before="0" w:after="160"/>
                              <w:ind w:left="-142"/>
                              <w:rPr>
                                <w:sz w:val="16"/>
                                <w:szCs w:val="12"/>
                                <w:lang w:val="fr-FR"/>
                              </w:rPr>
                            </w:pPr>
                            <w:r>
                              <w:rPr>
                                <w:sz w:val="16"/>
                                <w:szCs w:val="12"/>
                                <w:lang w:val="fr-FR"/>
                              </w:rPr>
                              <w:t>Hausse</w:t>
                            </w:r>
                          </w:p>
                          <w:p w14:paraId="5467C12E" w14:textId="049BB044" w:rsidR="00AC03A1" w:rsidRDefault="00AC03A1" w:rsidP="00060F90">
                            <w:pPr>
                              <w:spacing w:before="0" w:after="170"/>
                              <w:ind w:left="-142"/>
                              <w:rPr>
                                <w:sz w:val="16"/>
                                <w:szCs w:val="12"/>
                                <w:lang w:val="fr-FR"/>
                              </w:rPr>
                            </w:pPr>
                            <w:r>
                              <w:rPr>
                                <w:sz w:val="16"/>
                                <w:szCs w:val="12"/>
                                <w:lang w:val="fr-FR"/>
                              </w:rPr>
                              <w:t>Baisse</w:t>
                            </w:r>
                          </w:p>
                          <w:p w14:paraId="145417F0" w14:textId="28B864AB" w:rsidR="00AC03A1" w:rsidRPr="00AC03A1" w:rsidRDefault="00AC03A1" w:rsidP="00060F90">
                            <w:pPr>
                              <w:spacing w:before="0" w:line="360" w:lineRule="auto"/>
                              <w:ind w:left="-142"/>
                              <w:rPr>
                                <w:sz w:val="16"/>
                                <w:szCs w:val="12"/>
                                <w:lang w:val="fr-FR"/>
                              </w:rPr>
                            </w:pPr>
                            <w:r>
                              <w:rPr>
                                <w:sz w:val="16"/>
                                <w:szCs w:val="12"/>
                                <w:lang w:val="fr-FR"/>
                              </w:rP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304D8" id="_x0000_t202" coordsize="21600,21600" o:spt="202" path="m,l,21600r21600,l21600,xe">
                <v:stroke joinstyle="miter"/>
                <v:path gradientshapeok="t" o:connecttype="rect"/>
              </v:shapetype>
              <v:shape id="Text Box 1" o:spid="_x0000_s1026" type="#_x0000_t202" style="position:absolute;left:0;text-align:left;margin-left:433.15pt;margin-top:109.25pt;width:38.95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" fillcolor="white [3201]" stroked="f" strokeweight=".5pt">
                <v:textbox>
                  <w:txbxContent>
                    <w:p w14:paraId="63C5E1D0" w14:textId="77777777" w:rsidR="00AC03A1" w:rsidRDefault="00AC03A1" w:rsidP="00060F90">
                      <w:pPr>
                        <w:spacing w:before="0" w:after="160"/>
                        <w:ind w:left="-142"/>
                        <w:rPr>
                          <w:sz w:val="16"/>
                          <w:szCs w:val="12"/>
                          <w:lang w:val="fr-FR"/>
                        </w:rPr>
                      </w:pPr>
                      <w:r>
                        <w:rPr>
                          <w:sz w:val="16"/>
                          <w:szCs w:val="12"/>
                          <w:lang w:val="fr-FR"/>
                        </w:rPr>
                        <w:t>Hausse</w:t>
                      </w:r>
                    </w:p>
                    <w:p w14:paraId="5467C12E" w14:textId="049BB044" w:rsidR="00AC03A1" w:rsidRDefault="00AC03A1" w:rsidP="00060F90">
                      <w:pPr>
                        <w:spacing w:before="0" w:after="170"/>
                        <w:ind w:left="-142"/>
                        <w:rPr>
                          <w:sz w:val="16"/>
                          <w:szCs w:val="12"/>
                          <w:lang w:val="fr-FR"/>
                        </w:rPr>
                      </w:pPr>
                      <w:r>
                        <w:rPr>
                          <w:sz w:val="16"/>
                          <w:szCs w:val="12"/>
                          <w:lang w:val="fr-FR"/>
                        </w:rPr>
                        <w:t>Baisse</w:t>
                      </w:r>
                    </w:p>
                    <w:p w14:paraId="145417F0" w14:textId="28B864AB" w:rsidR="00AC03A1" w:rsidRPr="00AC03A1" w:rsidRDefault="00AC03A1" w:rsidP="00060F90">
                      <w:pPr>
                        <w:spacing w:before="0" w:line="360" w:lineRule="auto"/>
                        <w:ind w:left="-142"/>
                        <w:rPr>
                          <w:sz w:val="16"/>
                          <w:szCs w:val="12"/>
                          <w:lang w:val="fr-FR"/>
                        </w:rPr>
                      </w:pPr>
                      <w:r>
                        <w:rPr>
                          <w:sz w:val="16"/>
                          <w:szCs w:val="12"/>
                          <w:lang w:val="fr-FR"/>
                        </w:rPr>
                        <w:t>Total</w:t>
                      </w:r>
                    </w:p>
                  </w:txbxContent>
                </v:textbox>
              </v:shape>
            </w:pict>
          </mc:Fallback>
        </mc:AlternateContent>
      </w:r>
      <w:r w:rsidR="00617210" w:rsidRPr="00FB042F">
        <w:rPr>
          <w:noProof w:val="0"/>
          <w:lang w:val="fr-FR"/>
        </w:rPr>
        <mc:AlternateContent>
          <mc:Choice Requires="wps">
            <w:drawing>
              <wp:anchor distT="0" distB="0" distL="114300" distR="114300" simplePos="0" relativeHeight="251666432" behindDoc="0" locked="0" layoutInCell="1" allowOverlap="1" wp14:anchorId="4601EB01" wp14:editId="647595B4">
                <wp:simplePos x="0" y="0"/>
                <wp:positionH relativeFrom="column">
                  <wp:posOffset>1239520</wp:posOffset>
                </wp:positionH>
                <wp:positionV relativeFrom="paragraph">
                  <wp:posOffset>2799715</wp:posOffset>
                </wp:positionV>
                <wp:extent cx="444500" cy="247650"/>
                <wp:effectExtent l="0" t="0" r="0" b="0"/>
                <wp:wrapNone/>
                <wp:docPr id="42325251" name="Text Box 2"/>
                <wp:cNvGraphicFramePr/>
                <a:graphic xmlns:a="http://schemas.openxmlformats.org/drawingml/2006/main">
                  <a:graphicData uri="http://schemas.microsoft.com/office/word/2010/wordprocessingShape">
                    <wps:wsp>
                      <wps:cNvSpPr txBox="1"/>
                      <wps:spPr>
                        <a:xfrm>
                          <a:off x="0" y="0"/>
                          <a:ext cx="444500" cy="247650"/>
                        </a:xfrm>
                        <a:prstGeom prst="rect">
                          <a:avLst/>
                        </a:prstGeom>
                        <a:solidFill>
                          <a:sysClr val="window" lastClr="FFFFFF"/>
                        </a:solidFill>
                        <a:ln w="6350">
                          <a:noFill/>
                        </a:ln>
                      </wps:spPr>
                      <wps:txbx>
                        <w:txbxContent>
                          <w:p w14:paraId="5B80521A" w14:textId="77777777"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1EB01" id="Text Box 2" o:spid="_x0000_s1027" type="#_x0000_t202" style="position:absolute;left:0;text-align:left;margin-left:97.6pt;margin-top:220.45pt;width:3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" fillcolor="window" stroked="f" strokeweight=".5pt">
                <v:textbox>
                  <w:txbxContent>
                    <w:p w14:paraId="5B80521A" w14:textId="77777777"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3</w:t>
                      </w:r>
                    </w:p>
                  </w:txbxContent>
                </v:textbox>
              </v:shape>
            </w:pict>
          </mc:Fallback>
        </mc:AlternateContent>
      </w:r>
      <w:r w:rsidR="00AC03A1" w:rsidRPr="00FB042F">
        <w:rPr>
          <w:noProof w:val="0"/>
          <w:lang w:val="fr-FR"/>
        </w:rPr>
        <mc:AlternateContent>
          <mc:Choice Requires="wps">
            <w:drawing>
              <wp:anchor distT="0" distB="0" distL="114300" distR="114300" simplePos="0" relativeHeight="251669504" behindDoc="0" locked="0" layoutInCell="1" allowOverlap="1" wp14:anchorId="238C2ABA" wp14:editId="0D36F3CF">
                <wp:simplePos x="0" y="0"/>
                <wp:positionH relativeFrom="column">
                  <wp:posOffset>778510</wp:posOffset>
                </wp:positionH>
                <wp:positionV relativeFrom="paragraph">
                  <wp:posOffset>551815</wp:posOffset>
                </wp:positionV>
                <wp:extent cx="0" cy="2387600"/>
                <wp:effectExtent l="0" t="0" r="38100" b="31750"/>
                <wp:wrapNone/>
                <wp:docPr id="445580303" name="Straight Connector 3"/>
                <wp:cNvGraphicFramePr/>
                <a:graphic xmlns:a="http://schemas.openxmlformats.org/drawingml/2006/main">
                  <a:graphicData uri="http://schemas.microsoft.com/office/word/2010/wordprocessingShape">
                    <wps:wsp>
                      <wps:cNvCnPr/>
                      <wps:spPr>
                        <a:xfrm>
                          <a:off x="0" y="0"/>
                          <a:ext cx="0" cy="238760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74339C7B" id="Straight Connector 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3pt,43.45pt" to="61.3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" strokecolor="gray [1629]"/>
            </w:pict>
          </mc:Fallback>
        </mc:AlternateContent>
      </w:r>
      <w:r w:rsidR="00AC03A1" w:rsidRPr="00FB042F">
        <w:rPr>
          <w:noProof w:val="0"/>
          <w:lang w:val="fr-FR"/>
        </w:rPr>
        <mc:AlternateContent>
          <mc:Choice Requires="wps">
            <w:drawing>
              <wp:anchor distT="0" distB="0" distL="114300" distR="114300" simplePos="0" relativeHeight="251670528" behindDoc="0" locked="0" layoutInCell="1" allowOverlap="1" wp14:anchorId="152C7651" wp14:editId="6A6ABFA3">
                <wp:simplePos x="0" y="0"/>
                <wp:positionH relativeFrom="column">
                  <wp:posOffset>2277110</wp:posOffset>
                </wp:positionH>
                <wp:positionV relativeFrom="paragraph">
                  <wp:posOffset>551815</wp:posOffset>
                </wp:positionV>
                <wp:extent cx="0" cy="2387600"/>
                <wp:effectExtent l="0" t="0" r="38100" b="31750"/>
                <wp:wrapNone/>
                <wp:docPr id="942585395" name="Straight Connector 3"/>
                <wp:cNvGraphicFramePr/>
                <a:graphic xmlns:a="http://schemas.openxmlformats.org/drawingml/2006/main">
                  <a:graphicData uri="http://schemas.microsoft.com/office/word/2010/wordprocessingShape">
                    <wps:wsp>
                      <wps:cNvCnPr/>
                      <wps:spPr>
                        <a:xfrm>
                          <a:off x="0" y="0"/>
                          <a:ext cx="0" cy="2387600"/>
                        </a:xfrm>
                        <a:prstGeom prst="line">
                          <a:avLst/>
                        </a:prstGeom>
                        <a:noFill/>
                        <a:ln w="9525" cap="flat" cmpd="sng" algn="ctr">
                          <a:solidFill>
                            <a:schemeClr val="tx1">
                              <a:lumMod val="50000"/>
                              <a:lumOff val="50000"/>
                            </a:schemeClr>
                          </a:solidFill>
                          <a:prstDash val="solid"/>
                        </a:ln>
                        <a:effectLst/>
                      </wps:spPr>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03A97400" id="Straight Connector 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3pt,43.45pt" to="179.3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" strokecolor="gray [1629]"/>
            </w:pict>
          </mc:Fallback>
        </mc:AlternateContent>
      </w:r>
      <w:r w:rsidR="00AC03A1" w:rsidRPr="00FB042F">
        <w:rPr>
          <w:noProof w:val="0"/>
          <w:lang w:val="fr-FR"/>
        </w:rPr>
        <mc:AlternateContent>
          <mc:Choice Requires="wps">
            <w:drawing>
              <wp:anchor distT="0" distB="0" distL="114300" distR="114300" simplePos="0" relativeHeight="251671552" behindDoc="0" locked="0" layoutInCell="1" allowOverlap="1" wp14:anchorId="2049DA7A" wp14:editId="261A7928">
                <wp:simplePos x="0" y="0"/>
                <wp:positionH relativeFrom="column">
                  <wp:posOffset>3743960</wp:posOffset>
                </wp:positionH>
                <wp:positionV relativeFrom="paragraph">
                  <wp:posOffset>551815</wp:posOffset>
                </wp:positionV>
                <wp:extent cx="0" cy="2400300"/>
                <wp:effectExtent l="0" t="0" r="38100" b="19050"/>
                <wp:wrapNone/>
                <wp:docPr id="1730638141" name="Straight Connector 3"/>
                <wp:cNvGraphicFramePr/>
                <a:graphic xmlns:a="http://schemas.openxmlformats.org/drawingml/2006/main">
                  <a:graphicData uri="http://schemas.microsoft.com/office/word/2010/wordprocessingShape">
                    <wps:wsp>
                      <wps:cNvCnPr/>
                      <wps:spPr>
                        <a:xfrm>
                          <a:off x="0" y="0"/>
                          <a:ext cx="0" cy="2400300"/>
                        </a:xfrm>
                        <a:prstGeom prst="line">
                          <a:avLst/>
                        </a:prstGeom>
                        <a:noFill/>
                        <a:ln w="9525" cap="flat" cmpd="sng" algn="ctr">
                          <a:solidFill>
                            <a:srgbClr val="6F6F6E">
                              <a:shade val="95000"/>
                              <a:satMod val="105000"/>
                            </a:srgbClr>
                          </a:solidFill>
                          <a:prstDash val="solid"/>
                        </a:ln>
                        <a:effectLst/>
                      </wps:spPr>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0093AAFE" id="Straight Connector 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8pt,43.45pt" to="294.8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" strokecolor="#6c6c6b"/>
            </w:pict>
          </mc:Fallback>
        </mc:AlternateContent>
      </w:r>
      <w:r w:rsidR="008E0914" w:rsidRPr="00FB042F">
        <w:rPr>
          <w:noProof w:val="0"/>
          <w:lang w:val="fr-FR"/>
        </w:rPr>
        <mc:AlternateContent>
          <mc:Choice Requires="wps">
            <w:drawing>
              <wp:anchor distT="0" distB="0" distL="114300" distR="114300" simplePos="0" relativeHeight="251668480" behindDoc="0" locked="0" layoutInCell="1" allowOverlap="1" wp14:anchorId="1B266604" wp14:editId="7C33BDFA">
                <wp:simplePos x="0" y="0"/>
                <wp:positionH relativeFrom="column">
                  <wp:posOffset>4213860</wp:posOffset>
                </wp:positionH>
                <wp:positionV relativeFrom="paragraph">
                  <wp:posOffset>2799715</wp:posOffset>
                </wp:positionV>
                <wp:extent cx="501650" cy="241300"/>
                <wp:effectExtent l="0" t="0" r="0" b="6350"/>
                <wp:wrapNone/>
                <wp:docPr id="1435717725" name="Text Box 2"/>
                <wp:cNvGraphicFramePr/>
                <a:graphic xmlns:a="http://schemas.openxmlformats.org/drawingml/2006/main">
                  <a:graphicData uri="http://schemas.microsoft.com/office/word/2010/wordprocessingShape">
                    <wps:wsp>
                      <wps:cNvSpPr txBox="1"/>
                      <wps:spPr>
                        <a:xfrm>
                          <a:off x="0" y="0"/>
                          <a:ext cx="501650" cy="241300"/>
                        </a:xfrm>
                        <a:prstGeom prst="rect">
                          <a:avLst/>
                        </a:prstGeom>
                        <a:solidFill>
                          <a:sysClr val="window" lastClr="FFFFFF"/>
                        </a:solidFill>
                        <a:ln w="6350">
                          <a:noFill/>
                        </a:ln>
                      </wps:spPr>
                      <wps:txbx>
                        <w:txbxContent>
                          <w:p w14:paraId="3580DA7A" w14:textId="08A3F8FD"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5</w:t>
                            </w:r>
                            <w:r w:rsidR="00060F90">
                              <w:rPr>
                                <w:sz w:val="18"/>
                                <w:szCs w:val="1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66604" id="_x0000_s1028" type="#_x0000_t202" style="position:absolute;left:0;text-align:left;margin-left:331.8pt;margin-top:220.45pt;width:39.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" fillcolor="window" stroked="f" strokeweight=".5pt">
                <v:textbox>
                  <w:txbxContent>
                    <w:p w14:paraId="3580DA7A" w14:textId="08A3F8FD"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5</w:t>
                      </w:r>
                      <w:r w:rsidR="00060F90">
                        <w:rPr>
                          <w:sz w:val="18"/>
                          <w:szCs w:val="14"/>
                          <w:lang w:val="en-US"/>
                        </w:rPr>
                        <w:t>*</w:t>
                      </w:r>
                    </w:p>
                  </w:txbxContent>
                </v:textbox>
              </v:shape>
            </w:pict>
          </mc:Fallback>
        </mc:AlternateContent>
      </w:r>
      <w:r w:rsidR="008E0914" w:rsidRPr="00FB042F">
        <w:rPr>
          <w:noProof w:val="0"/>
          <w:lang w:val="fr-FR"/>
        </w:rPr>
        <mc:AlternateContent>
          <mc:Choice Requires="wps">
            <w:drawing>
              <wp:anchor distT="0" distB="0" distL="114300" distR="114300" simplePos="0" relativeHeight="251667456" behindDoc="0" locked="0" layoutInCell="1" allowOverlap="1" wp14:anchorId="14D9738A" wp14:editId="3DA0F038">
                <wp:simplePos x="0" y="0"/>
                <wp:positionH relativeFrom="column">
                  <wp:posOffset>2816860</wp:posOffset>
                </wp:positionH>
                <wp:positionV relativeFrom="paragraph">
                  <wp:posOffset>2799715</wp:posOffset>
                </wp:positionV>
                <wp:extent cx="457200" cy="228600"/>
                <wp:effectExtent l="0" t="0" r="0" b="0"/>
                <wp:wrapNone/>
                <wp:docPr id="1776853480" name="Text Box 2"/>
                <wp:cNvGraphicFramePr/>
                <a:graphic xmlns:a="http://schemas.openxmlformats.org/drawingml/2006/main">
                  <a:graphicData uri="http://schemas.microsoft.com/office/word/2010/wordprocessingShape">
                    <wps:wsp>
                      <wps:cNvSpPr txBox="1"/>
                      <wps:spPr>
                        <a:xfrm>
                          <a:off x="0" y="0"/>
                          <a:ext cx="457200" cy="228600"/>
                        </a:xfrm>
                        <a:prstGeom prst="rect">
                          <a:avLst/>
                        </a:prstGeom>
                        <a:solidFill>
                          <a:sysClr val="window" lastClr="FFFFFF"/>
                        </a:solidFill>
                        <a:ln w="6350">
                          <a:noFill/>
                        </a:ln>
                      </wps:spPr>
                      <wps:txbx>
                        <w:txbxContent>
                          <w:p w14:paraId="64DA9DF6" w14:textId="77777777"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9738A" id="_x0000_s1029" type="#_x0000_t202" style="position:absolute;left:0;text-align:left;margin-left:221.8pt;margin-top:220.4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" fillcolor="window" stroked="f" strokeweight=".5pt">
                <v:textbox>
                  <w:txbxContent>
                    <w:p w14:paraId="64DA9DF6" w14:textId="77777777"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4</w:t>
                      </w:r>
                    </w:p>
                  </w:txbxContent>
                </v:textbox>
              </v:shape>
            </w:pict>
          </mc:Fallback>
        </mc:AlternateContent>
      </w:r>
      <w:r w:rsidR="008E0914" w:rsidRPr="00FB042F">
        <w:rPr>
          <w:noProof w:val="0"/>
          <w:lang w:val="fr-FR"/>
        </w:rPr>
        <mc:AlternateContent>
          <mc:Choice Requires="wps">
            <w:drawing>
              <wp:anchor distT="0" distB="0" distL="114300" distR="114300" simplePos="0" relativeHeight="251665408" behindDoc="0" locked="0" layoutInCell="1" allowOverlap="1" wp14:anchorId="2F02F424" wp14:editId="2B6AEB10">
                <wp:simplePos x="0" y="0"/>
                <wp:positionH relativeFrom="column">
                  <wp:posOffset>365760</wp:posOffset>
                </wp:positionH>
                <wp:positionV relativeFrom="paragraph">
                  <wp:posOffset>2799715</wp:posOffset>
                </wp:positionV>
                <wp:extent cx="469900" cy="247650"/>
                <wp:effectExtent l="0" t="0" r="6350" b="0"/>
                <wp:wrapNone/>
                <wp:docPr id="1499316615" name="Text Box 2"/>
                <wp:cNvGraphicFramePr/>
                <a:graphic xmlns:a="http://schemas.openxmlformats.org/drawingml/2006/main">
                  <a:graphicData uri="http://schemas.microsoft.com/office/word/2010/wordprocessingShape">
                    <wps:wsp>
                      <wps:cNvSpPr txBox="1"/>
                      <wps:spPr>
                        <a:xfrm>
                          <a:off x="0" y="0"/>
                          <a:ext cx="469900" cy="247650"/>
                        </a:xfrm>
                        <a:prstGeom prst="rect">
                          <a:avLst/>
                        </a:prstGeom>
                        <a:solidFill>
                          <a:schemeClr val="lt1"/>
                        </a:solidFill>
                        <a:ln w="6350">
                          <a:noFill/>
                        </a:ln>
                      </wps:spPr>
                      <wps:txbx>
                        <w:txbxContent>
                          <w:p w14:paraId="2B4A4686" w14:textId="77777777" w:rsidR="008E0914" w:rsidRPr="00C11376" w:rsidRDefault="008E0914" w:rsidP="008E0914">
                            <w:pPr>
                              <w:spacing w:before="0"/>
                              <w:rPr>
                                <w:sz w:val="18"/>
                                <w:szCs w:val="14"/>
                                <w:lang w:val="en-US"/>
                              </w:rPr>
                            </w:pPr>
                            <w:r w:rsidRPr="00C11376">
                              <w:rPr>
                                <w:sz w:val="18"/>
                                <w:szCs w:val="14"/>
                                <w:lang w:val="en-U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2F424" id="_x0000_s1030" type="#_x0000_t202" style="position:absolute;left:0;text-align:left;margin-left:28.8pt;margin-top:220.45pt;width:37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" fillcolor="white [3201]" stroked="f" strokeweight=".5pt">
                <v:textbox>
                  <w:txbxContent>
                    <w:p w14:paraId="2B4A4686" w14:textId="77777777" w:rsidR="008E0914" w:rsidRPr="00C11376" w:rsidRDefault="008E0914" w:rsidP="008E0914">
                      <w:pPr>
                        <w:spacing w:before="0"/>
                        <w:rPr>
                          <w:sz w:val="18"/>
                          <w:szCs w:val="14"/>
                          <w:lang w:val="en-US"/>
                        </w:rPr>
                      </w:pPr>
                      <w:r w:rsidRPr="00C11376">
                        <w:rPr>
                          <w:sz w:val="18"/>
                          <w:szCs w:val="14"/>
                          <w:lang w:val="en-US"/>
                        </w:rPr>
                        <w:t>2022</w:t>
                      </w:r>
                    </w:p>
                  </w:txbxContent>
                </v:textbox>
              </v:shape>
            </w:pict>
          </mc:Fallback>
        </mc:AlternateContent>
      </w:r>
      <w:r w:rsidR="008E0914" w:rsidRPr="00FB042F">
        <w:rPr>
          <w:noProof w:val="0"/>
          <w:lang w:val="fr-FR"/>
        </w:rPr>
        <mc:AlternateContent>
          <mc:Choice Requires="cx4">
            <w:drawing>
              <wp:inline distT="0" distB="0" distL="0" distR="0" wp14:anchorId="38EC3C30" wp14:editId="5B2AFF57">
                <wp:extent cx="6076950" cy="2847975"/>
                <wp:effectExtent l="0" t="0" r="0" b="9525"/>
                <wp:docPr id="1264297370"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38EC3C30" wp14:editId="5B2AFF57">
                <wp:extent cx="6076950" cy="2847975"/>
                <wp:effectExtent l="0" t="0" r="0" b="9525"/>
                <wp:docPr id="1264297370"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64297370" name="Chart 2"/>
                        <pic:cNvPicPr>
                          <a:picLocks noGrp="1" noRot="1" noChangeAspect="1" noMove="1" noResize="1" noEditPoints="1" noAdjustHandles="1" noChangeArrowheads="1" noChangeShapeType="1"/>
                        </pic:cNvPicPr>
                      </pic:nvPicPr>
                      <pic:blipFill>
                        <a:blip r:embed="rId15"/>
                        <a:stretch>
                          <a:fillRect/>
                        </a:stretch>
                      </pic:blipFill>
                      <pic:spPr>
                        <a:xfrm>
                          <a:off x="0" y="0"/>
                          <a:ext cx="6076950" cy="2847975"/>
                        </a:xfrm>
                        <a:prstGeom prst="rect">
                          <a:avLst/>
                        </a:prstGeom>
                      </pic:spPr>
                    </pic:pic>
                  </a:graphicData>
                </a:graphic>
              </wp:inline>
            </w:drawing>
          </mc:Fallback>
        </mc:AlternateContent>
      </w:r>
    </w:p>
    <w:p w14:paraId="3C0E02BB" w14:textId="66B394CD" w:rsidR="00494FF0" w:rsidRPr="00FB042F" w:rsidRDefault="00494FF0" w:rsidP="00060F90">
      <w:pPr>
        <w:pStyle w:val="Normalaftertitle"/>
        <w:spacing w:before="360"/>
        <w:rPr>
          <w:lang w:val="fr-FR"/>
        </w:rPr>
      </w:pPr>
      <w:r w:rsidRPr="00FB042F">
        <w:rPr>
          <w:lang w:val="fr-FR"/>
        </w:rPr>
        <w:t xml:space="preserve">Le </w:t>
      </w:r>
      <w:r w:rsidRPr="00FB042F">
        <w:rPr>
          <w:b/>
          <w:bCs/>
          <w:lang w:val="fr-FR"/>
        </w:rPr>
        <w:t>Graphique 2</w:t>
      </w:r>
      <w:r w:rsidRPr="00FB042F">
        <w:rPr>
          <w:lang w:val="fr-FR"/>
        </w:rPr>
        <w:t xml:space="preserve"> présente en détail l'augmentation soutenue des Membres de Secteur et des Associés de l'UIT-D depuis 2023 et indique les gains et les pertes de Membres de Secteur et d'Associés. En décembre 2024, l'UIT-D comptait au total </w:t>
      </w:r>
      <w:r w:rsidRPr="00FB042F">
        <w:rPr>
          <w:b/>
          <w:bCs/>
          <w:lang w:val="fr-FR"/>
        </w:rPr>
        <w:t>vingt-huit nouveaux Membres</w:t>
      </w:r>
      <w:r w:rsidRPr="00FB042F">
        <w:rPr>
          <w:lang w:val="fr-FR"/>
        </w:rPr>
        <w:t xml:space="preserve">. En 2024, le nombre total de Membres de Secteur et d'Associés de l'UIT-D a atteint son niveau le plus élevé ces dix dernières années. En 2024 toujours, le Secteur a enregistré la plus forte </w:t>
      </w:r>
      <w:r w:rsidRPr="00FB042F">
        <w:rPr>
          <w:b/>
          <w:bCs/>
          <w:lang w:val="fr-FR"/>
        </w:rPr>
        <w:t>variation positive des produits nets</w:t>
      </w:r>
      <w:r w:rsidRPr="00FB042F">
        <w:rPr>
          <w:lang w:val="fr-FR"/>
        </w:rPr>
        <w:t xml:space="preserve"> à l'échelle de l'UIT, avec des produits nets entrants de </w:t>
      </w:r>
      <w:r w:rsidRPr="00FB042F">
        <w:rPr>
          <w:b/>
          <w:bCs/>
          <w:lang w:val="fr-FR"/>
        </w:rPr>
        <w:t>111 300 CHF</w:t>
      </w:r>
      <w:r w:rsidRPr="00FB042F">
        <w:rPr>
          <w:lang w:val="fr-FR"/>
        </w:rPr>
        <w:t xml:space="preserve">. En outre, en 2024, le total des dénonciations et des exclusions a encore </w:t>
      </w:r>
      <w:r w:rsidRPr="00FB042F">
        <w:rPr>
          <w:b/>
          <w:bCs/>
          <w:lang w:val="fr-FR"/>
        </w:rPr>
        <w:t>diminué pour atteindre huit membres</w:t>
      </w:r>
      <w:r w:rsidRPr="00FB042F">
        <w:rPr>
          <w:lang w:val="fr-FR"/>
        </w:rPr>
        <w:t xml:space="preserve">, contre </w:t>
      </w:r>
      <w:r w:rsidRPr="00FB042F">
        <w:rPr>
          <w:b/>
          <w:bCs/>
          <w:lang w:val="fr-FR"/>
        </w:rPr>
        <w:t>quatorze</w:t>
      </w:r>
      <w:r w:rsidRPr="00FB042F">
        <w:rPr>
          <w:lang w:val="fr-FR"/>
        </w:rPr>
        <w:t xml:space="preserve"> en 2023.</w:t>
      </w:r>
    </w:p>
    <w:p w14:paraId="008B88C5" w14:textId="6B2B6BFD" w:rsidR="00494FF0" w:rsidRPr="00FB042F" w:rsidRDefault="00494FF0" w:rsidP="00494FF0">
      <w:pPr>
        <w:rPr>
          <w:lang w:val="fr-FR"/>
        </w:rPr>
      </w:pPr>
      <w:r w:rsidRPr="00FB042F">
        <w:rPr>
          <w:lang w:val="fr-FR"/>
        </w:rPr>
        <w:t>La région du BDT qui compte le plus grand nombre de nouveaux membres au sein de l'UIT-D est la région Europe, avec neuf nouveaux membres en 2024, suivie de la région Asie-Pacifique (six nouveaux membres), de la région Afrique (cinq nouveaux membres), de la région des États arabes (quatre nouveaux membres) et de la région Amériques (trois nouveaux membres). Un membre participe en tant qu'organisation régionale ou internationale (REGINTORG).</w:t>
      </w:r>
    </w:p>
    <w:p w14:paraId="040A8FF6" w14:textId="13764E74" w:rsidR="00494FF0" w:rsidRPr="00FB042F" w:rsidRDefault="00494FF0" w:rsidP="00494FF0">
      <w:pPr>
        <w:rPr>
          <w:lang w:val="fr-FR"/>
        </w:rPr>
      </w:pPr>
      <w:r w:rsidRPr="00FB042F">
        <w:rPr>
          <w:lang w:val="fr-FR"/>
        </w:rPr>
        <w:t xml:space="preserve">Le Graphique 2 montre également les prévisions concernant les gains et les pertes d'ici à juin 2025 sur la base des comptes à activer. D'ici à juin 2025, l'UIT-D prévoit d'enregistrer </w:t>
      </w:r>
      <w:r w:rsidRPr="00FB042F">
        <w:rPr>
          <w:b/>
          <w:bCs/>
          <w:lang w:val="fr-FR"/>
        </w:rPr>
        <w:t>quatorze</w:t>
      </w:r>
      <w:r w:rsidRPr="00FB042F">
        <w:rPr>
          <w:lang w:val="fr-FR"/>
        </w:rPr>
        <w:t xml:space="preserve"> nouveaux membres. </w:t>
      </w:r>
      <w:r w:rsidRPr="00FB042F">
        <w:rPr>
          <w:b/>
          <w:bCs/>
          <w:lang w:val="fr-FR"/>
        </w:rPr>
        <w:t>Sept dénonciations</w:t>
      </w:r>
      <w:r w:rsidRPr="00FB042F">
        <w:rPr>
          <w:lang w:val="fr-FR"/>
        </w:rPr>
        <w:t xml:space="preserve"> devraient prendre effet d'ici au mois de juin 2025, en raison de fusions, de la révision de stratégies commerciales ou pour des raisons non divulguées.</w:t>
      </w:r>
    </w:p>
    <w:p w14:paraId="24419228" w14:textId="77777777" w:rsidR="00494FF0" w:rsidRPr="00FB042F" w:rsidRDefault="00494FF0" w:rsidP="00494FF0">
      <w:pPr>
        <w:rPr>
          <w:lang w:val="fr-FR"/>
        </w:rPr>
      </w:pPr>
      <w:r w:rsidRPr="00FB042F">
        <w:rPr>
          <w:lang w:val="fr-FR"/>
        </w:rPr>
        <w:t>L'augmentation soutenue du nombre de membres de l'UIT-D découle de l'intensification des efforts de sensibilisation déployés par le biais de plusieurs catégories de mesures, par exemple la participation exclusive d'invités/d'observateurs à des manifestations réservées aux membres de l'UIT-D; le renforcement des capacités du personnel du BDT au niveau interne afin de présenter aux parties prenantes externes les avantages découlant de leur adhésion à l'UIT-D; l'organisation de missions de sensibilisation à des manifestations externes d'envergure mondiale; l'exploitation de la proposition de valeur du partenariat en vue de créer un ensemble unique d'avantages pour les membres et les partenariats.</w:t>
      </w:r>
    </w:p>
    <w:p w14:paraId="0290D9F1" w14:textId="77777777" w:rsidR="00494FF0" w:rsidRPr="00FB042F" w:rsidRDefault="00494FF0" w:rsidP="00494FF0">
      <w:pPr>
        <w:rPr>
          <w:lang w:val="fr-FR"/>
        </w:rPr>
      </w:pPr>
      <w:r w:rsidRPr="00FB042F">
        <w:rPr>
          <w:lang w:val="fr-FR"/>
        </w:rPr>
        <w:t>Enfin, l'utilisation accrue d'outils et de tableaux de bord axés sur les données a permis de mener des actions ciblées concernant les comptes de membres à risque, leur réadmission ayant entraîné une fidélisation accrue des membres et une augmentation nette de leur nombre.</w:t>
      </w:r>
    </w:p>
    <w:p w14:paraId="0A0598BB" w14:textId="06701D77" w:rsidR="00494FF0" w:rsidRPr="00FB042F" w:rsidRDefault="00494FF0" w:rsidP="00494FF0">
      <w:pPr>
        <w:rPr>
          <w:lang w:val="fr-FR"/>
        </w:rPr>
      </w:pPr>
      <w:r w:rsidRPr="00FB042F">
        <w:rPr>
          <w:lang w:val="fr-FR"/>
        </w:rPr>
        <w:lastRenderedPageBreak/>
        <w:t xml:space="preserve">Les listes des mouvements de membres en 2024 (nouveaux membres et pertes) et les prévisions pour juin 2025 figurent dans le </w:t>
      </w:r>
      <w:hyperlink r:id="rId16" w:history="1">
        <w:r w:rsidRPr="00FB042F">
          <w:rPr>
            <w:rStyle w:val="Hyperlink"/>
            <w:lang w:val="fr-FR"/>
          </w:rPr>
          <w:t xml:space="preserve">Document </w:t>
        </w:r>
        <w:r w:rsidRPr="00FB042F">
          <w:rPr>
            <w:rStyle w:val="Hyperlink"/>
            <w:lang w:val="fr-FR"/>
          </w:rPr>
          <w:t>T</w:t>
        </w:r>
        <w:r w:rsidRPr="00FB042F">
          <w:rPr>
            <w:rStyle w:val="Hyperlink"/>
            <w:lang w:val="fr-FR"/>
          </w:rPr>
          <w:t>DAG-25/INF/1</w:t>
        </w:r>
      </w:hyperlink>
      <w:r w:rsidRPr="00FB042F">
        <w:rPr>
          <w:lang w:val="fr-FR"/>
        </w:rPr>
        <w:t>.</w:t>
      </w:r>
    </w:p>
    <w:p w14:paraId="13C0F32D" w14:textId="77777777" w:rsidR="00494FF0" w:rsidRPr="00FB042F" w:rsidRDefault="00494FF0" w:rsidP="00494FF0">
      <w:pPr>
        <w:pStyle w:val="Heading2"/>
        <w:rPr>
          <w:lang w:val="fr-FR"/>
        </w:rPr>
      </w:pPr>
      <w:r w:rsidRPr="00FB042F">
        <w:rPr>
          <w:lang w:val="fr-FR"/>
        </w:rPr>
        <w:t>2.2</w:t>
      </w:r>
      <w:r w:rsidRPr="00FB042F">
        <w:rPr>
          <w:lang w:val="fr-FR"/>
        </w:rPr>
        <w:tab/>
        <w:t>Demandes d'exonération du paiement des droits</w:t>
      </w:r>
    </w:p>
    <w:p w14:paraId="6C3DBEC5" w14:textId="029354BC" w:rsidR="00494FF0" w:rsidRPr="00FB042F" w:rsidRDefault="00494FF0" w:rsidP="00494FF0">
      <w:pPr>
        <w:rPr>
          <w:lang w:val="fr-FR"/>
        </w:rPr>
      </w:pPr>
      <w:r w:rsidRPr="00FB042F">
        <w:rPr>
          <w:lang w:val="fr-FR"/>
        </w:rPr>
        <w:t xml:space="preserve">Le BDT a continué d'examiner les demandes d'exonération du paiement des droits, conformément au numéro 476 de la Convention et aux critères du Conseil de l'UIT disponibles </w:t>
      </w:r>
      <w:hyperlink r:id="rId17" w:anchor="/fr" w:history="1">
        <w:r w:rsidRPr="00FB042F">
          <w:rPr>
            <w:rStyle w:val="Hyperlink"/>
            <w:lang w:val="fr-FR"/>
          </w:rPr>
          <w:t>i</w:t>
        </w:r>
        <w:r w:rsidRPr="00FB042F">
          <w:rPr>
            <w:rStyle w:val="Hyperlink"/>
            <w:lang w:val="fr-FR"/>
          </w:rPr>
          <w:t>c</w:t>
        </w:r>
        <w:r w:rsidRPr="00FB042F">
          <w:rPr>
            <w:rStyle w:val="Hyperlink"/>
            <w:lang w:val="fr-FR"/>
          </w:rPr>
          <w:t>i</w:t>
        </w:r>
      </w:hyperlink>
      <w:r w:rsidRPr="00FB042F">
        <w:rPr>
          <w:lang w:val="fr-FR"/>
        </w:rPr>
        <w:t xml:space="preserve">. À sa session de juin 2024, le Conseil de l'UIT a approuvé l'adhésion de </w:t>
      </w:r>
      <w:r w:rsidRPr="00FB042F">
        <w:rPr>
          <w:b/>
          <w:bCs/>
          <w:lang w:val="fr-FR"/>
        </w:rPr>
        <w:t>quatre</w:t>
      </w:r>
      <w:r w:rsidRPr="00FB042F">
        <w:rPr>
          <w:lang w:val="fr-FR"/>
        </w:rPr>
        <w:t xml:space="preserve"> organisations à l'UIT-D en tant que membres exonérés de droits:</w:t>
      </w:r>
    </w:p>
    <w:p w14:paraId="17CC7212" w14:textId="24D4DDE7" w:rsidR="00494FF0" w:rsidRPr="00FB042F" w:rsidRDefault="00CD3E23" w:rsidP="00CD3E23">
      <w:pPr>
        <w:pStyle w:val="enumlev1"/>
        <w:rPr>
          <w:lang w:val="fr-FR"/>
        </w:rPr>
      </w:pPr>
      <w:r w:rsidRPr="00FB042F">
        <w:rPr>
          <w:lang w:val="fr-FR"/>
        </w:rPr>
        <w:t>–</w:t>
      </w:r>
      <w:r w:rsidR="00494FF0" w:rsidRPr="00FB042F">
        <w:rPr>
          <w:lang w:val="fr-FR"/>
        </w:rPr>
        <w:tab/>
        <w:t>Institut pour les centres d'innovation des technologies en Afrique (</w:t>
      </w:r>
      <w:r w:rsidRPr="00FB042F">
        <w:rPr>
          <w:lang w:val="fr-FR"/>
        </w:rPr>
        <w:t>"</w:t>
      </w:r>
      <w:r w:rsidR="00494FF0" w:rsidRPr="00FB042F">
        <w:rPr>
          <w:lang w:val="fr-FR"/>
        </w:rPr>
        <w:t>African Technology Innovation Hubs Institute, Afrilabs</w:t>
      </w:r>
      <w:r w:rsidRPr="00FB042F">
        <w:rPr>
          <w:lang w:val="fr-FR"/>
        </w:rPr>
        <w:t>"</w:t>
      </w:r>
      <w:r w:rsidR="00494FF0" w:rsidRPr="00FB042F">
        <w:rPr>
          <w:lang w:val="fr-FR"/>
        </w:rPr>
        <w:t>)</w:t>
      </w:r>
      <w:r w:rsidR="00397B29" w:rsidRPr="00FB042F">
        <w:rPr>
          <w:lang w:val="fr-FR"/>
        </w:rPr>
        <w:t>.</w:t>
      </w:r>
    </w:p>
    <w:p w14:paraId="1940E29A" w14:textId="1551BCDD" w:rsidR="00494FF0" w:rsidRPr="00FB042F" w:rsidRDefault="00CD3E23" w:rsidP="00CD3E23">
      <w:pPr>
        <w:pStyle w:val="enumlev1"/>
        <w:rPr>
          <w:lang w:val="fr-FR"/>
        </w:rPr>
      </w:pPr>
      <w:r w:rsidRPr="00FB042F">
        <w:rPr>
          <w:lang w:val="fr-FR"/>
        </w:rPr>
        <w:t>–</w:t>
      </w:r>
      <w:r w:rsidR="00494FF0" w:rsidRPr="00FB042F">
        <w:rPr>
          <w:lang w:val="fr-FR"/>
        </w:rPr>
        <w:tab/>
        <w:t>Coalition environnementale sur les normes (</w:t>
      </w:r>
      <w:r w:rsidRPr="00FB042F">
        <w:rPr>
          <w:lang w:val="fr-FR"/>
        </w:rPr>
        <w:t>"</w:t>
      </w:r>
      <w:r w:rsidR="00494FF0" w:rsidRPr="00FB042F">
        <w:rPr>
          <w:lang w:val="fr-FR"/>
        </w:rPr>
        <w:t>Environmental Coalition on Standards, ECOS</w:t>
      </w:r>
      <w:r w:rsidRPr="00FB042F">
        <w:rPr>
          <w:lang w:val="fr-FR"/>
        </w:rPr>
        <w:t>"</w:t>
      </w:r>
      <w:r w:rsidR="00494FF0" w:rsidRPr="00FB042F">
        <w:rPr>
          <w:lang w:val="fr-FR"/>
        </w:rPr>
        <w:t>)</w:t>
      </w:r>
      <w:r w:rsidR="00397B29" w:rsidRPr="00FB042F">
        <w:rPr>
          <w:lang w:val="fr-FR"/>
        </w:rPr>
        <w:t>.</w:t>
      </w:r>
    </w:p>
    <w:p w14:paraId="6941DB0D" w14:textId="7BC72ADF" w:rsidR="00494FF0" w:rsidRPr="00FB042F" w:rsidRDefault="00CD3E23" w:rsidP="00CD3E23">
      <w:pPr>
        <w:pStyle w:val="enumlev1"/>
        <w:rPr>
          <w:lang w:val="fr-FR"/>
        </w:rPr>
      </w:pPr>
      <w:r w:rsidRPr="00FB042F">
        <w:rPr>
          <w:lang w:val="fr-FR"/>
        </w:rPr>
        <w:t>–</w:t>
      </w:r>
      <w:r w:rsidR="00494FF0" w:rsidRPr="00FB042F">
        <w:rPr>
          <w:lang w:val="fr-FR"/>
        </w:rPr>
        <w:tab/>
        <w:t>Groupe de réflexion international sur les pays en développement sans littoral (</w:t>
      </w:r>
      <w:r w:rsidRPr="00FB042F">
        <w:rPr>
          <w:lang w:val="fr-FR"/>
        </w:rPr>
        <w:t>"</w:t>
      </w:r>
      <w:r w:rsidR="00494FF0" w:rsidRPr="00FB042F">
        <w:rPr>
          <w:lang w:val="fr-FR"/>
        </w:rPr>
        <w:t>International Think Tank for LLDCs, ITTLLDC</w:t>
      </w:r>
      <w:r w:rsidRPr="00FB042F">
        <w:rPr>
          <w:lang w:val="fr-FR"/>
        </w:rPr>
        <w:t>"</w:t>
      </w:r>
      <w:r w:rsidR="00494FF0" w:rsidRPr="00FB042F">
        <w:rPr>
          <w:lang w:val="fr-FR"/>
        </w:rPr>
        <w:t>)</w:t>
      </w:r>
      <w:r w:rsidR="00397B29" w:rsidRPr="00FB042F">
        <w:rPr>
          <w:lang w:val="fr-FR"/>
        </w:rPr>
        <w:t>.</w:t>
      </w:r>
    </w:p>
    <w:p w14:paraId="1E7D68E7" w14:textId="22C49CE2" w:rsidR="00494FF0" w:rsidRPr="00FB042F" w:rsidRDefault="00CD3E23" w:rsidP="00CD3E23">
      <w:pPr>
        <w:pStyle w:val="enumlev1"/>
        <w:rPr>
          <w:lang w:val="fr-FR"/>
        </w:rPr>
      </w:pPr>
      <w:r w:rsidRPr="00FB042F">
        <w:rPr>
          <w:lang w:val="fr-FR"/>
        </w:rPr>
        <w:t>–</w:t>
      </w:r>
      <w:r w:rsidR="00494FF0" w:rsidRPr="00FB042F">
        <w:rPr>
          <w:lang w:val="fr-FR"/>
        </w:rPr>
        <w:tab/>
        <w:t>Regroupement des organisations des professionnels des TIC de l'Union économique et monétaire ouest-africaine (UEMOA) (</w:t>
      </w:r>
      <w:r w:rsidRPr="00FB042F">
        <w:rPr>
          <w:lang w:val="fr-FR"/>
        </w:rPr>
        <w:t>"</w:t>
      </w:r>
      <w:r w:rsidR="00494FF0" w:rsidRPr="00FB042F">
        <w:rPr>
          <w:lang w:val="fr-FR"/>
        </w:rPr>
        <w:t>ROPTIC</w:t>
      </w:r>
      <w:r w:rsidRPr="00FB042F">
        <w:rPr>
          <w:lang w:val="fr-FR"/>
        </w:rPr>
        <w:t>"</w:t>
      </w:r>
      <w:r w:rsidR="00494FF0" w:rsidRPr="00FB042F">
        <w:rPr>
          <w:lang w:val="fr-FR"/>
        </w:rPr>
        <w:t>)</w:t>
      </w:r>
      <w:r w:rsidR="00397B29" w:rsidRPr="00FB042F">
        <w:rPr>
          <w:lang w:val="fr-FR"/>
        </w:rPr>
        <w:t>.</w:t>
      </w:r>
    </w:p>
    <w:p w14:paraId="4C2E1DF7" w14:textId="77777777" w:rsidR="00494FF0" w:rsidRPr="00FB042F" w:rsidRDefault="00494FF0" w:rsidP="00CD3E23">
      <w:pPr>
        <w:pStyle w:val="Heading2"/>
        <w:rPr>
          <w:lang w:val="fr-FR"/>
        </w:rPr>
      </w:pPr>
      <w:r w:rsidRPr="00FB042F">
        <w:rPr>
          <w:lang w:val="fr-FR"/>
        </w:rPr>
        <w:t>2.3</w:t>
      </w:r>
      <w:r w:rsidRPr="00FB042F">
        <w:rPr>
          <w:lang w:val="fr-FR"/>
        </w:rPr>
        <w:tab/>
        <w:t>Approbations en attente – Membres du Secteur de l'UIT-D et Associés</w:t>
      </w:r>
    </w:p>
    <w:p w14:paraId="460F3167" w14:textId="2040617A" w:rsidR="00494FF0" w:rsidRPr="00FB042F" w:rsidRDefault="00494FF0" w:rsidP="00BF594F">
      <w:pPr>
        <w:spacing w:after="120"/>
        <w:rPr>
          <w:lang w:val="fr-FR"/>
        </w:rPr>
      </w:pPr>
      <w:r w:rsidRPr="00FB042F">
        <w:rPr>
          <w:lang w:val="fr-FR"/>
        </w:rPr>
        <w:t xml:space="preserve">En mars 2025, </w:t>
      </w:r>
      <w:r w:rsidRPr="00FB042F">
        <w:rPr>
          <w:b/>
          <w:bCs/>
          <w:lang w:val="fr-FR"/>
        </w:rPr>
        <w:t>treize entités attendaient l'autorisation</w:t>
      </w:r>
      <w:r w:rsidRPr="00FB042F">
        <w:rPr>
          <w:lang w:val="fr-FR"/>
        </w:rPr>
        <w:t xml:space="preserve"> de leurs administrations respectives. Nous tenons à remercier les administrations des entités du secteur privé qui, à l'évidence, accordent toute l'attention voulue aux demandes d'adhésion à l'UIT-D et procèdent actuellement à leur examen.</w:t>
      </w:r>
    </w:p>
    <w:tbl>
      <w:tblPr>
        <w:tblW w:w="9609" w:type="dxa"/>
        <w:tblLook w:val="04A0" w:firstRow="1" w:lastRow="0" w:firstColumn="1" w:lastColumn="0" w:noHBand="0" w:noVBand="1"/>
      </w:tblPr>
      <w:tblGrid>
        <w:gridCol w:w="4248"/>
        <w:gridCol w:w="2126"/>
        <w:gridCol w:w="3235"/>
      </w:tblGrid>
      <w:tr w:rsidR="00CD3E23" w:rsidRPr="00FB042F" w14:paraId="6F444D6A" w14:textId="77777777" w:rsidTr="003F3A5B">
        <w:trPr>
          <w:trHeight w:val="288"/>
        </w:trPr>
        <w:tc>
          <w:tcPr>
            <w:tcW w:w="4248" w:type="dxa"/>
            <w:tcBorders>
              <w:top w:val="single" w:sz="4" w:space="0" w:color="44B3E1"/>
              <w:left w:val="single" w:sz="4" w:space="0" w:color="44B3E1"/>
              <w:bottom w:val="single" w:sz="4" w:space="0" w:color="auto"/>
              <w:right w:val="nil"/>
            </w:tcBorders>
            <w:shd w:val="clear" w:color="156082" w:fill="156082"/>
            <w:noWrap/>
            <w:vAlign w:val="bottom"/>
            <w:hideMark/>
          </w:tcPr>
          <w:p w14:paraId="4D65CD99" w14:textId="0BE692A4" w:rsidR="00CD3E23" w:rsidRPr="00FB042F" w:rsidRDefault="00BF594F" w:rsidP="00CD3E23">
            <w:pPr>
              <w:pStyle w:val="Tablehead"/>
              <w:jc w:val="left"/>
              <w:rPr>
                <w:color w:val="FFFFFF" w:themeColor="background1"/>
                <w:lang w:val="fr-FR" w:eastAsia="en-GB"/>
              </w:rPr>
            </w:pPr>
            <w:r w:rsidRPr="00FB042F">
              <w:rPr>
                <w:color w:val="FFFFFF" w:themeColor="background1"/>
                <w:lang w:val="fr-FR" w:eastAsia="en-GB"/>
              </w:rPr>
              <w:t>Entité</w:t>
            </w:r>
          </w:p>
        </w:tc>
        <w:tc>
          <w:tcPr>
            <w:tcW w:w="2126" w:type="dxa"/>
            <w:tcBorders>
              <w:top w:val="single" w:sz="4" w:space="0" w:color="44B3E1"/>
              <w:left w:val="nil"/>
              <w:bottom w:val="single" w:sz="4" w:space="0" w:color="auto"/>
              <w:right w:val="nil"/>
            </w:tcBorders>
            <w:shd w:val="clear" w:color="156082" w:fill="156082"/>
            <w:noWrap/>
            <w:vAlign w:val="bottom"/>
            <w:hideMark/>
          </w:tcPr>
          <w:p w14:paraId="558D35A1" w14:textId="59B47F25" w:rsidR="00CD3E23" w:rsidRPr="00FB042F" w:rsidRDefault="00BF594F" w:rsidP="00CD3E23">
            <w:pPr>
              <w:pStyle w:val="Tablehead"/>
              <w:jc w:val="left"/>
              <w:rPr>
                <w:color w:val="FFFFFF" w:themeColor="background1"/>
                <w:lang w:val="fr-FR" w:eastAsia="en-GB"/>
              </w:rPr>
            </w:pPr>
            <w:r w:rsidRPr="00FB042F">
              <w:rPr>
                <w:color w:val="FFFFFF" w:themeColor="background1"/>
                <w:lang w:val="fr-FR" w:eastAsia="en-GB"/>
              </w:rPr>
              <w:t>Pays</w:t>
            </w:r>
          </w:p>
        </w:tc>
        <w:tc>
          <w:tcPr>
            <w:tcW w:w="3235" w:type="dxa"/>
            <w:tcBorders>
              <w:top w:val="single" w:sz="4" w:space="0" w:color="44B3E1"/>
              <w:left w:val="nil"/>
              <w:bottom w:val="single" w:sz="4" w:space="0" w:color="auto"/>
              <w:right w:val="single" w:sz="4" w:space="0" w:color="44B3E1"/>
            </w:tcBorders>
            <w:shd w:val="clear" w:color="156082" w:fill="156082"/>
            <w:noWrap/>
            <w:vAlign w:val="bottom"/>
            <w:hideMark/>
          </w:tcPr>
          <w:p w14:paraId="254F5388" w14:textId="1E4162D2" w:rsidR="00CD3E23" w:rsidRPr="00FB042F" w:rsidRDefault="00BF594F" w:rsidP="00CD3E23">
            <w:pPr>
              <w:pStyle w:val="Tablehead"/>
              <w:jc w:val="left"/>
              <w:rPr>
                <w:color w:val="FFFFFF" w:themeColor="background1"/>
                <w:lang w:val="fr-FR" w:eastAsia="en-GB"/>
              </w:rPr>
            </w:pPr>
            <w:r w:rsidRPr="00FB042F">
              <w:rPr>
                <w:color w:val="FFFFFF" w:themeColor="background1"/>
                <w:lang w:val="fr-FR" w:eastAsia="en-GB"/>
              </w:rPr>
              <w:t>Type de membre</w:t>
            </w:r>
          </w:p>
        </w:tc>
      </w:tr>
      <w:tr w:rsidR="00CD3E23" w:rsidRPr="00FB042F" w14:paraId="1765FCB4"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FFFFFF" w:themeFill="background1"/>
            <w:noWrap/>
            <w:hideMark/>
          </w:tcPr>
          <w:p w14:paraId="2A5AC083" w14:textId="77777777" w:rsidR="00CD3E23" w:rsidRPr="00FB042F" w:rsidRDefault="00CD3E23" w:rsidP="00CD3E23">
            <w:pPr>
              <w:pStyle w:val="Tabletext"/>
              <w:rPr>
                <w:lang w:val="fr-FR" w:eastAsia="en-GB"/>
              </w:rPr>
            </w:pPr>
            <w:r w:rsidRPr="00FB042F">
              <w:rPr>
                <w:lang w:val="fr-FR" w:eastAsia="en-GB"/>
              </w:rPr>
              <w:t>TELECOMUNICACIONES GRAN CARIBE, S.A.</w:t>
            </w:r>
          </w:p>
        </w:tc>
        <w:tc>
          <w:tcPr>
            <w:tcW w:w="2126" w:type="dxa"/>
            <w:tcBorders>
              <w:top w:val="single" w:sz="4" w:space="0" w:color="44B3E1"/>
              <w:left w:val="nil"/>
              <w:bottom w:val="single" w:sz="4" w:space="0" w:color="44B3E1"/>
              <w:right w:val="nil"/>
            </w:tcBorders>
            <w:shd w:val="clear" w:color="auto" w:fill="FFFFFF" w:themeFill="background1"/>
            <w:noWrap/>
            <w:hideMark/>
          </w:tcPr>
          <w:p w14:paraId="769835BB" w14:textId="77777777" w:rsidR="00CD3E23" w:rsidRPr="00FB042F" w:rsidRDefault="00CD3E23" w:rsidP="00CD3E23">
            <w:pPr>
              <w:pStyle w:val="Tabletext"/>
              <w:rPr>
                <w:lang w:val="fr-FR" w:eastAsia="en-GB"/>
              </w:rPr>
            </w:pPr>
            <w:r w:rsidRPr="00FB042F">
              <w:rPr>
                <w:lang w:val="fr-FR" w:eastAsia="en-GB"/>
              </w:rPr>
              <w:t>Venezuela</w:t>
            </w:r>
          </w:p>
        </w:tc>
        <w:tc>
          <w:tcPr>
            <w:tcW w:w="3235" w:type="dxa"/>
            <w:tcBorders>
              <w:top w:val="single" w:sz="4" w:space="0" w:color="44B3E1"/>
              <w:left w:val="nil"/>
              <w:bottom w:val="single" w:sz="4" w:space="0" w:color="44B3E1"/>
              <w:right w:val="single" w:sz="4" w:space="0" w:color="44B3E1"/>
            </w:tcBorders>
            <w:shd w:val="clear" w:color="auto" w:fill="FFFFFF" w:themeFill="background1"/>
            <w:noWrap/>
            <w:hideMark/>
          </w:tcPr>
          <w:p w14:paraId="48524676" w14:textId="3D37DBC4"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7C38D8FC"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3E9C4515" w14:textId="77777777" w:rsidR="00CD3E23" w:rsidRPr="00FB042F" w:rsidRDefault="00CD3E23" w:rsidP="00CD3E23">
            <w:pPr>
              <w:pStyle w:val="Tabletext"/>
              <w:rPr>
                <w:lang w:val="fr-FR" w:eastAsia="en-GB"/>
              </w:rPr>
            </w:pPr>
            <w:r w:rsidRPr="00FB042F">
              <w:rPr>
                <w:lang w:val="fr-FR" w:eastAsia="en-GB"/>
              </w:rPr>
              <w:t>Motion Technology</w:t>
            </w:r>
          </w:p>
        </w:tc>
        <w:tc>
          <w:tcPr>
            <w:tcW w:w="2126" w:type="dxa"/>
            <w:tcBorders>
              <w:top w:val="single" w:sz="4" w:space="0" w:color="44B3E1"/>
              <w:left w:val="nil"/>
              <w:bottom w:val="single" w:sz="4" w:space="0" w:color="44B3E1"/>
              <w:right w:val="nil"/>
            </w:tcBorders>
            <w:shd w:val="clear" w:color="C0E6F5" w:fill="C0E6F5"/>
            <w:noWrap/>
            <w:hideMark/>
          </w:tcPr>
          <w:p w14:paraId="0C12F93E" w14:textId="77777777" w:rsidR="00CD3E23" w:rsidRPr="00FB042F" w:rsidRDefault="00CD3E23" w:rsidP="00CD3E23">
            <w:pPr>
              <w:pStyle w:val="Tabletext"/>
              <w:rPr>
                <w:lang w:val="fr-FR" w:eastAsia="en-GB"/>
              </w:rPr>
            </w:pPr>
            <w:r w:rsidRPr="00FB042F">
              <w:rPr>
                <w:lang w:val="fr-FR" w:eastAsia="en-GB"/>
              </w:rPr>
              <w:t>Iraq</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4EF0855B" w14:textId="6D4BC35C" w:rsidR="00CD3E23" w:rsidRPr="00FB042F" w:rsidRDefault="00CD3E23" w:rsidP="00CD3E23">
            <w:pPr>
              <w:pStyle w:val="Tabletext"/>
              <w:rPr>
                <w:lang w:val="fr-FR" w:eastAsia="en-GB"/>
              </w:rPr>
            </w:pPr>
            <w:r w:rsidRPr="00FB042F">
              <w:rPr>
                <w:lang w:val="fr-FR" w:eastAsia="en-GB"/>
              </w:rPr>
              <w:t>ASSOCIÉ PARTICIPANT AUX TRAVAUX DE LA CE 2 DE L'</w:t>
            </w:r>
            <w:r w:rsidR="00397B29" w:rsidRPr="00FB042F">
              <w:rPr>
                <w:lang w:val="fr-FR" w:eastAsia="en-GB"/>
              </w:rPr>
              <w:t>UIT</w:t>
            </w:r>
            <w:r w:rsidRPr="00FB042F">
              <w:rPr>
                <w:lang w:val="fr-FR" w:eastAsia="en-GB"/>
              </w:rPr>
              <w:t>-D</w:t>
            </w:r>
          </w:p>
        </w:tc>
      </w:tr>
      <w:tr w:rsidR="00CD3E23" w:rsidRPr="00FB042F" w14:paraId="56D547DD"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2BE92F16" w14:textId="77777777" w:rsidR="00CD3E23" w:rsidRPr="00FB042F" w:rsidRDefault="00CD3E23" w:rsidP="00CD3E23">
            <w:pPr>
              <w:pStyle w:val="Tabletext"/>
              <w:rPr>
                <w:lang w:val="fr-FR" w:eastAsia="en-GB"/>
              </w:rPr>
            </w:pPr>
            <w:r w:rsidRPr="00FB042F">
              <w:rPr>
                <w:lang w:val="fr-FR" w:eastAsia="en-GB"/>
              </w:rPr>
              <w:t>RenaCorp Technologies (PTY) Ltd</w:t>
            </w:r>
          </w:p>
        </w:tc>
        <w:tc>
          <w:tcPr>
            <w:tcW w:w="2126" w:type="dxa"/>
            <w:tcBorders>
              <w:top w:val="single" w:sz="4" w:space="0" w:color="44B3E1"/>
              <w:left w:val="nil"/>
              <w:bottom w:val="single" w:sz="4" w:space="0" w:color="44B3E1"/>
              <w:right w:val="nil"/>
            </w:tcBorders>
            <w:shd w:val="clear" w:color="auto" w:fill="auto"/>
            <w:noWrap/>
            <w:hideMark/>
          </w:tcPr>
          <w:p w14:paraId="2BC03C6E" w14:textId="7B005B03" w:rsidR="00CD3E23" w:rsidRPr="00FB042F" w:rsidRDefault="00CD3E23" w:rsidP="00CD3E23">
            <w:pPr>
              <w:pStyle w:val="Tabletext"/>
              <w:rPr>
                <w:lang w:val="fr-FR" w:eastAsia="en-GB"/>
              </w:rPr>
            </w:pPr>
            <w:r w:rsidRPr="00FB042F">
              <w:rPr>
                <w:lang w:val="fr-FR" w:eastAsia="en-GB"/>
              </w:rPr>
              <w:t>République sudafricaine</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08DB0ED9" w14:textId="281243EE"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7652AC75"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4F32C97E" w14:textId="77777777" w:rsidR="00CD3E23" w:rsidRPr="00FB042F" w:rsidRDefault="00CD3E23" w:rsidP="00CD3E23">
            <w:pPr>
              <w:pStyle w:val="Tabletext"/>
              <w:rPr>
                <w:lang w:val="fr-FR" w:eastAsia="en-GB"/>
              </w:rPr>
            </w:pPr>
            <w:r w:rsidRPr="00FB042F">
              <w:rPr>
                <w:lang w:val="fr-FR" w:eastAsia="en-GB"/>
              </w:rPr>
              <w:t>Organisation des Jeunes pour le Monde d'Avenir (OJMA)</w:t>
            </w:r>
          </w:p>
        </w:tc>
        <w:tc>
          <w:tcPr>
            <w:tcW w:w="2126" w:type="dxa"/>
            <w:tcBorders>
              <w:top w:val="single" w:sz="4" w:space="0" w:color="44B3E1"/>
              <w:left w:val="nil"/>
              <w:bottom w:val="single" w:sz="4" w:space="0" w:color="44B3E1"/>
              <w:right w:val="nil"/>
            </w:tcBorders>
            <w:shd w:val="clear" w:color="C0E6F5" w:fill="C0E6F5"/>
            <w:noWrap/>
            <w:hideMark/>
          </w:tcPr>
          <w:p w14:paraId="6A68C94D" w14:textId="3FB6498C" w:rsidR="00CD3E23" w:rsidRPr="00FB042F" w:rsidRDefault="00BF594F" w:rsidP="00CD3E23">
            <w:pPr>
              <w:pStyle w:val="Tabletext"/>
              <w:rPr>
                <w:lang w:val="fr-FR" w:eastAsia="en-GB"/>
              </w:rPr>
            </w:pPr>
            <w:r w:rsidRPr="00FB042F">
              <w:rPr>
                <w:lang w:val="fr-FR" w:eastAsia="en-GB"/>
              </w:rPr>
              <w:t>Rép. dém. du Congo</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50FF89B4" w14:textId="193B82E7" w:rsidR="00CD3E23" w:rsidRPr="00FB042F" w:rsidRDefault="00CD3E23" w:rsidP="00CD3E23">
            <w:pPr>
              <w:pStyle w:val="Tabletext"/>
              <w:rPr>
                <w:lang w:val="fr-FR" w:eastAsia="en-GB"/>
              </w:rPr>
            </w:pPr>
            <w:r w:rsidRPr="00FB042F">
              <w:rPr>
                <w:lang w:val="fr-FR" w:eastAsia="en-GB"/>
              </w:rPr>
              <w:t>ASSOCIÉ PARTICIPANT AUX TRAVAUX DE LA CE 2 DE L'</w:t>
            </w:r>
            <w:r w:rsidR="00397B29" w:rsidRPr="00FB042F">
              <w:rPr>
                <w:lang w:val="fr-FR" w:eastAsia="en-GB"/>
              </w:rPr>
              <w:t>UIT</w:t>
            </w:r>
            <w:r w:rsidRPr="00FB042F">
              <w:rPr>
                <w:lang w:val="fr-FR" w:eastAsia="en-GB"/>
              </w:rPr>
              <w:t>-D</w:t>
            </w:r>
          </w:p>
        </w:tc>
      </w:tr>
      <w:tr w:rsidR="00CD3E23" w:rsidRPr="00FB042F" w14:paraId="1F85797F"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5CAEFE30" w14:textId="77777777" w:rsidR="00CD3E23" w:rsidRPr="00FB042F" w:rsidRDefault="00CD3E23" w:rsidP="00CD3E23">
            <w:pPr>
              <w:pStyle w:val="Tabletext"/>
              <w:rPr>
                <w:lang w:val="fr-FR" w:eastAsia="en-GB"/>
              </w:rPr>
            </w:pPr>
            <w:r w:rsidRPr="00FB042F">
              <w:rPr>
                <w:lang w:val="fr-FR" w:eastAsia="en-GB"/>
              </w:rPr>
              <w:t>Windup Software, LLC</w:t>
            </w:r>
          </w:p>
        </w:tc>
        <w:tc>
          <w:tcPr>
            <w:tcW w:w="2126" w:type="dxa"/>
            <w:tcBorders>
              <w:top w:val="single" w:sz="4" w:space="0" w:color="44B3E1"/>
              <w:left w:val="nil"/>
              <w:bottom w:val="single" w:sz="4" w:space="0" w:color="44B3E1"/>
              <w:right w:val="nil"/>
            </w:tcBorders>
            <w:shd w:val="clear" w:color="auto" w:fill="auto"/>
            <w:noWrap/>
            <w:hideMark/>
          </w:tcPr>
          <w:p w14:paraId="405A50AD" w14:textId="419385EC" w:rsidR="00CD3E23" w:rsidRPr="00FB042F" w:rsidRDefault="00BF594F" w:rsidP="00CD3E23">
            <w:pPr>
              <w:pStyle w:val="Tabletext"/>
              <w:rPr>
                <w:lang w:val="fr-FR" w:eastAsia="en-GB"/>
              </w:rPr>
            </w:pPr>
            <w:r w:rsidRPr="00FB042F">
              <w:rPr>
                <w:lang w:val="fr-FR" w:eastAsia="en-GB"/>
              </w:rPr>
              <w:t>Ouzbékistan</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63D5E37F" w14:textId="422463E7" w:rsidR="00CD3E23" w:rsidRPr="00FB042F" w:rsidRDefault="00CD3E23" w:rsidP="00CD3E23">
            <w:pPr>
              <w:pStyle w:val="Tabletext"/>
              <w:rPr>
                <w:lang w:val="fr-FR" w:eastAsia="en-GB"/>
              </w:rPr>
            </w:pPr>
            <w:r w:rsidRPr="00FB042F">
              <w:rPr>
                <w:lang w:val="fr-FR" w:eastAsia="en-GB"/>
              </w:rPr>
              <w:t>ASSOCIÉ PARTICIPANT AUX TRAVAUX DE LA CE 2 DE L'</w:t>
            </w:r>
            <w:r w:rsidR="00397B29" w:rsidRPr="00FB042F">
              <w:rPr>
                <w:lang w:val="fr-FR" w:eastAsia="en-GB"/>
              </w:rPr>
              <w:t>UIT</w:t>
            </w:r>
            <w:r w:rsidRPr="00FB042F">
              <w:rPr>
                <w:lang w:val="fr-FR" w:eastAsia="en-GB"/>
              </w:rPr>
              <w:t>-D</w:t>
            </w:r>
          </w:p>
        </w:tc>
      </w:tr>
      <w:tr w:rsidR="00CD3E23" w:rsidRPr="00FB042F" w14:paraId="4BEBA6F1"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5E92C85D" w14:textId="77777777" w:rsidR="00CD3E23" w:rsidRPr="00FB042F" w:rsidRDefault="00CD3E23" w:rsidP="00CD3E23">
            <w:pPr>
              <w:pStyle w:val="Tabletext"/>
              <w:rPr>
                <w:lang w:val="fr-FR" w:eastAsia="en-GB"/>
              </w:rPr>
            </w:pPr>
            <w:r w:rsidRPr="00FB042F">
              <w:rPr>
                <w:lang w:val="fr-FR" w:eastAsia="en-GB"/>
              </w:rPr>
              <w:t>UNACU Professional Organisation Limited</w:t>
            </w:r>
          </w:p>
        </w:tc>
        <w:tc>
          <w:tcPr>
            <w:tcW w:w="2126" w:type="dxa"/>
            <w:tcBorders>
              <w:top w:val="single" w:sz="4" w:space="0" w:color="44B3E1"/>
              <w:left w:val="nil"/>
              <w:bottom w:val="single" w:sz="4" w:space="0" w:color="44B3E1"/>
              <w:right w:val="nil"/>
            </w:tcBorders>
            <w:shd w:val="clear" w:color="C0E6F5" w:fill="C0E6F5"/>
            <w:noWrap/>
            <w:hideMark/>
          </w:tcPr>
          <w:p w14:paraId="401D7FB6" w14:textId="170AFC6E" w:rsidR="00CD3E23" w:rsidRPr="00FB042F" w:rsidRDefault="00BF594F" w:rsidP="00CD3E23">
            <w:pPr>
              <w:pStyle w:val="Tabletext"/>
              <w:rPr>
                <w:lang w:val="fr-FR" w:eastAsia="en-GB"/>
              </w:rPr>
            </w:pPr>
            <w:r w:rsidRPr="00FB042F">
              <w:rPr>
                <w:lang w:val="fr-FR" w:eastAsia="en-GB"/>
              </w:rPr>
              <w:t>Ou</w:t>
            </w:r>
            <w:r w:rsidR="00CD3E23" w:rsidRPr="00FB042F">
              <w:rPr>
                <w:lang w:val="fr-FR" w:eastAsia="en-GB"/>
              </w:rPr>
              <w:t>ganda</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46B9407C" w14:textId="2D39D6FD"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46623DE9"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2A7059D9" w14:textId="77777777" w:rsidR="00CD3E23" w:rsidRPr="00FB042F" w:rsidRDefault="00CD3E23" w:rsidP="00CD3E23">
            <w:pPr>
              <w:pStyle w:val="Tabletext"/>
              <w:rPr>
                <w:lang w:val="fr-FR" w:eastAsia="en-GB"/>
              </w:rPr>
            </w:pPr>
            <w:r w:rsidRPr="00FB042F">
              <w:rPr>
                <w:lang w:val="fr-FR" w:eastAsia="en-GB"/>
              </w:rPr>
              <w:t>Accenture S.p.A.</w:t>
            </w:r>
          </w:p>
        </w:tc>
        <w:tc>
          <w:tcPr>
            <w:tcW w:w="2126" w:type="dxa"/>
            <w:tcBorders>
              <w:top w:val="single" w:sz="4" w:space="0" w:color="44B3E1"/>
              <w:left w:val="nil"/>
              <w:bottom w:val="single" w:sz="4" w:space="0" w:color="44B3E1"/>
              <w:right w:val="nil"/>
            </w:tcBorders>
            <w:shd w:val="clear" w:color="auto" w:fill="auto"/>
            <w:noWrap/>
            <w:hideMark/>
          </w:tcPr>
          <w:p w14:paraId="33339BB2" w14:textId="03C8BDDB" w:rsidR="00CD3E23" w:rsidRPr="00FB042F" w:rsidRDefault="00CD3E23" w:rsidP="00CD3E23">
            <w:pPr>
              <w:pStyle w:val="Tabletext"/>
              <w:rPr>
                <w:lang w:val="fr-FR" w:eastAsia="en-GB"/>
              </w:rPr>
            </w:pPr>
            <w:r w:rsidRPr="00FB042F">
              <w:rPr>
                <w:lang w:val="fr-FR" w:eastAsia="en-GB"/>
              </w:rPr>
              <w:t>Ital</w:t>
            </w:r>
            <w:r w:rsidR="00BF594F" w:rsidRPr="00FB042F">
              <w:rPr>
                <w:lang w:val="fr-FR" w:eastAsia="en-GB"/>
              </w:rPr>
              <w:t>ie</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5DE8C88A" w14:textId="64A0182C"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3C47229E"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41EDDD13" w14:textId="77777777" w:rsidR="00CD3E23" w:rsidRPr="00FB042F" w:rsidRDefault="00CD3E23" w:rsidP="00CD3E23">
            <w:pPr>
              <w:pStyle w:val="Tabletext"/>
              <w:rPr>
                <w:lang w:val="fr-FR" w:eastAsia="en-GB"/>
              </w:rPr>
            </w:pPr>
            <w:r w:rsidRPr="00FB042F">
              <w:rPr>
                <w:lang w:val="fr-FR" w:eastAsia="en-GB"/>
              </w:rPr>
              <w:t>IAIDL LLC</w:t>
            </w:r>
          </w:p>
        </w:tc>
        <w:tc>
          <w:tcPr>
            <w:tcW w:w="2126" w:type="dxa"/>
            <w:tcBorders>
              <w:top w:val="single" w:sz="4" w:space="0" w:color="44B3E1"/>
              <w:left w:val="nil"/>
              <w:bottom w:val="single" w:sz="4" w:space="0" w:color="44B3E1"/>
              <w:right w:val="nil"/>
            </w:tcBorders>
            <w:shd w:val="clear" w:color="C0E6F5" w:fill="C0E6F5"/>
            <w:noWrap/>
            <w:hideMark/>
          </w:tcPr>
          <w:p w14:paraId="5D46FC0A" w14:textId="4AE57CE2" w:rsidR="00CD3E23" w:rsidRPr="00FB042F" w:rsidRDefault="00BF594F" w:rsidP="00CD3E23">
            <w:pPr>
              <w:pStyle w:val="Tabletext"/>
              <w:rPr>
                <w:lang w:val="fr-FR" w:eastAsia="en-GB"/>
              </w:rPr>
            </w:pPr>
            <w:r w:rsidRPr="00FB042F">
              <w:rPr>
                <w:lang w:val="fr-FR" w:eastAsia="en-GB"/>
              </w:rPr>
              <w:t>États-Unis</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073FF92F" w14:textId="7005AE78" w:rsidR="00CD3E23" w:rsidRPr="00FB042F" w:rsidRDefault="00CD3E23" w:rsidP="00CD3E23">
            <w:pPr>
              <w:pStyle w:val="Tabletext"/>
              <w:rPr>
                <w:lang w:val="fr-FR" w:eastAsia="en-GB"/>
              </w:rPr>
            </w:pPr>
            <w:r w:rsidRPr="00FB042F">
              <w:rPr>
                <w:lang w:val="fr-FR" w:eastAsia="en-GB"/>
              </w:rPr>
              <w:t>ASSOCIÉ PARTICIPANT AUX TRAVAUX DE LA CE 1 DE L'</w:t>
            </w:r>
            <w:r w:rsidR="00397B29" w:rsidRPr="00FB042F">
              <w:rPr>
                <w:lang w:val="fr-FR" w:eastAsia="en-GB"/>
              </w:rPr>
              <w:t>UIT</w:t>
            </w:r>
            <w:r w:rsidRPr="00FB042F">
              <w:rPr>
                <w:lang w:val="fr-FR" w:eastAsia="en-GB"/>
              </w:rPr>
              <w:t>-D</w:t>
            </w:r>
          </w:p>
        </w:tc>
      </w:tr>
      <w:tr w:rsidR="00CD3E23" w:rsidRPr="00FB042F" w14:paraId="1254FE6C"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1007D720" w14:textId="77777777" w:rsidR="00CD3E23" w:rsidRPr="00FB042F" w:rsidRDefault="00CD3E23" w:rsidP="00CD3E23">
            <w:pPr>
              <w:pStyle w:val="Tabletext"/>
              <w:rPr>
                <w:lang w:val="fr-FR" w:eastAsia="en-GB"/>
              </w:rPr>
            </w:pPr>
            <w:r w:rsidRPr="00FB042F">
              <w:rPr>
                <w:lang w:val="fr-FR" w:eastAsia="en-GB"/>
              </w:rPr>
              <w:t>Yemen Mobile</w:t>
            </w:r>
          </w:p>
        </w:tc>
        <w:tc>
          <w:tcPr>
            <w:tcW w:w="2126" w:type="dxa"/>
            <w:tcBorders>
              <w:top w:val="single" w:sz="4" w:space="0" w:color="44B3E1"/>
              <w:left w:val="nil"/>
              <w:bottom w:val="single" w:sz="4" w:space="0" w:color="44B3E1"/>
              <w:right w:val="nil"/>
            </w:tcBorders>
            <w:shd w:val="clear" w:color="auto" w:fill="auto"/>
            <w:noWrap/>
            <w:hideMark/>
          </w:tcPr>
          <w:p w14:paraId="17D4A44B" w14:textId="2921E552" w:rsidR="00CD3E23" w:rsidRPr="00FB042F" w:rsidRDefault="00CD3E23" w:rsidP="00CD3E23">
            <w:pPr>
              <w:pStyle w:val="Tabletext"/>
              <w:rPr>
                <w:lang w:val="fr-FR" w:eastAsia="en-GB"/>
              </w:rPr>
            </w:pPr>
            <w:r w:rsidRPr="00FB042F">
              <w:rPr>
                <w:lang w:val="fr-FR" w:eastAsia="en-GB"/>
              </w:rPr>
              <w:t>Y</w:t>
            </w:r>
            <w:r w:rsidR="00BF594F" w:rsidRPr="00FB042F">
              <w:rPr>
                <w:lang w:val="fr-FR" w:eastAsia="en-GB"/>
              </w:rPr>
              <w:t>é</w:t>
            </w:r>
            <w:r w:rsidRPr="00FB042F">
              <w:rPr>
                <w:lang w:val="fr-FR" w:eastAsia="en-GB"/>
              </w:rPr>
              <w:t>men</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53AF9787" w14:textId="028F5F6B"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675349CA"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61B129AF" w14:textId="77777777" w:rsidR="00CD3E23" w:rsidRPr="00FB042F" w:rsidRDefault="00CD3E23" w:rsidP="00CD3E23">
            <w:pPr>
              <w:pStyle w:val="Tabletext"/>
              <w:rPr>
                <w:lang w:val="fr-FR" w:eastAsia="en-GB"/>
              </w:rPr>
            </w:pPr>
            <w:r w:rsidRPr="00FB042F">
              <w:rPr>
                <w:lang w:val="fr-FR" w:eastAsia="en-GB"/>
              </w:rPr>
              <w:t>VeryPay</w:t>
            </w:r>
          </w:p>
        </w:tc>
        <w:tc>
          <w:tcPr>
            <w:tcW w:w="2126" w:type="dxa"/>
            <w:tcBorders>
              <w:top w:val="single" w:sz="4" w:space="0" w:color="44B3E1"/>
              <w:left w:val="nil"/>
              <w:bottom w:val="single" w:sz="4" w:space="0" w:color="44B3E1"/>
              <w:right w:val="nil"/>
            </w:tcBorders>
            <w:shd w:val="clear" w:color="C0E6F5" w:fill="C0E6F5"/>
            <w:noWrap/>
            <w:hideMark/>
          </w:tcPr>
          <w:p w14:paraId="6498FE1B" w14:textId="0004210A" w:rsidR="00CD3E23" w:rsidRPr="00FB042F" w:rsidRDefault="00BF594F" w:rsidP="00CD3E23">
            <w:pPr>
              <w:pStyle w:val="Tabletext"/>
              <w:rPr>
                <w:lang w:val="fr-FR" w:eastAsia="en-GB"/>
              </w:rPr>
            </w:pPr>
            <w:r w:rsidRPr="00FB042F">
              <w:rPr>
                <w:lang w:val="fr-FR" w:eastAsia="en-GB"/>
              </w:rPr>
              <w:t>Ou</w:t>
            </w:r>
            <w:r w:rsidR="00CD3E23" w:rsidRPr="00FB042F">
              <w:rPr>
                <w:lang w:val="fr-FR" w:eastAsia="en-GB"/>
              </w:rPr>
              <w:t>ganda</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5C594259" w14:textId="743E357B"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59D481E0"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0142B516" w14:textId="77777777" w:rsidR="00CD3E23" w:rsidRPr="00FB042F" w:rsidRDefault="00CD3E23" w:rsidP="00CD3E23">
            <w:pPr>
              <w:pStyle w:val="Tabletext"/>
              <w:rPr>
                <w:lang w:val="fr-FR" w:eastAsia="en-GB"/>
              </w:rPr>
            </w:pPr>
            <w:r w:rsidRPr="00FB042F">
              <w:rPr>
                <w:lang w:val="fr-FR" w:eastAsia="en-GB"/>
              </w:rPr>
              <w:t>Telecommunications Authority of Fiji</w:t>
            </w:r>
          </w:p>
        </w:tc>
        <w:tc>
          <w:tcPr>
            <w:tcW w:w="2126" w:type="dxa"/>
            <w:tcBorders>
              <w:top w:val="single" w:sz="4" w:space="0" w:color="44B3E1"/>
              <w:left w:val="nil"/>
              <w:bottom w:val="single" w:sz="4" w:space="0" w:color="44B3E1"/>
              <w:right w:val="nil"/>
            </w:tcBorders>
            <w:shd w:val="clear" w:color="auto" w:fill="auto"/>
            <w:noWrap/>
            <w:hideMark/>
          </w:tcPr>
          <w:p w14:paraId="7729B347" w14:textId="39742B77" w:rsidR="00CD3E23" w:rsidRPr="00FB042F" w:rsidRDefault="00CD3E23" w:rsidP="00CD3E23">
            <w:pPr>
              <w:pStyle w:val="Tabletext"/>
              <w:rPr>
                <w:lang w:val="fr-FR" w:eastAsia="en-GB"/>
              </w:rPr>
            </w:pPr>
            <w:r w:rsidRPr="00FB042F">
              <w:rPr>
                <w:lang w:val="fr-FR" w:eastAsia="en-GB"/>
              </w:rPr>
              <w:t>Fi</w:t>
            </w:r>
            <w:r w:rsidR="00BF594F" w:rsidRPr="00FB042F">
              <w:rPr>
                <w:lang w:val="fr-FR" w:eastAsia="en-GB"/>
              </w:rPr>
              <w:t>d</w:t>
            </w:r>
            <w:r w:rsidRPr="00FB042F">
              <w:rPr>
                <w:lang w:val="fr-FR" w:eastAsia="en-GB"/>
              </w:rPr>
              <w:t>ji</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15CFA408" w14:textId="58D01849" w:rsidR="00CD3E23" w:rsidRPr="00FB042F" w:rsidRDefault="00CD3E23" w:rsidP="00CD3E23">
            <w:pPr>
              <w:pStyle w:val="Tabletext"/>
              <w:rPr>
                <w:lang w:val="fr-FR" w:eastAsia="en-GB"/>
              </w:rPr>
            </w:pPr>
            <w:r w:rsidRPr="00FB042F">
              <w:rPr>
                <w:lang w:val="fr-FR" w:eastAsia="en-GB"/>
              </w:rPr>
              <w:t>ASSOCIÉ PARTICIPANT AUX TRAVAUX DE LA CE 2 DE L'</w:t>
            </w:r>
            <w:r w:rsidR="00397B29" w:rsidRPr="00FB042F">
              <w:rPr>
                <w:lang w:val="fr-FR" w:eastAsia="en-GB"/>
              </w:rPr>
              <w:t>UIT</w:t>
            </w:r>
            <w:r w:rsidRPr="00FB042F">
              <w:rPr>
                <w:lang w:val="fr-FR" w:eastAsia="en-GB"/>
              </w:rPr>
              <w:t>-D</w:t>
            </w:r>
          </w:p>
        </w:tc>
      </w:tr>
      <w:tr w:rsidR="00CD3E23" w:rsidRPr="00FB042F" w14:paraId="381DC79B"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48874657" w14:textId="77777777" w:rsidR="00CD3E23" w:rsidRPr="00FB042F" w:rsidRDefault="00CD3E23" w:rsidP="00CD3E23">
            <w:pPr>
              <w:pStyle w:val="Tabletext"/>
              <w:rPr>
                <w:lang w:val="fr-FR" w:eastAsia="en-GB"/>
              </w:rPr>
            </w:pPr>
            <w:r w:rsidRPr="00FB042F">
              <w:rPr>
                <w:lang w:val="fr-FR" w:eastAsia="en-GB"/>
              </w:rPr>
              <w:t>Beteseb Enterprises</w:t>
            </w:r>
          </w:p>
        </w:tc>
        <w:tc>
          <w:tcPr>
            <w:tcW w:w="2126" w:type="dxa"/>
            <w:tcBorders>
              <w:top w:val="single" w:sz="4" w:space="0" w:color="44B3E1"/>
              <w:left w:val="nil"/>
              <w:bottom w:val="single" w:sz="4" w:space="0" w:color="44B3E1"/>
              <w:right w:val="nil"/>
            </w:tcBorders>
            <w:shd w:val="clear" w:color="C0E6F5" w:fill="C0E6F5"/>
            <w:noWrap/>
            <w:hideMark/>
          </w:tcPr>
          <w:p w14:paraId="08A25AE4" w14:textId="0EF93688" w:rsidR="00CD3E23" w:rsidRPr="00FB042F" w:rsidRDefault="00BF594F" w:rsidP="00CD3E23">
            <w:pPr>
              <w:pStyle w:val="Tabletext"/>
              <w:rPr>
                <w:lang w:val="fr-FR" w:eastAsia="en-GB"/>
              </w:rPr>
            </w:pPr>
            <w:r w:rsidRPr="00FB042F">
              <w:rPr>
                <w:lang w:val="fr-FR" w:eastAsia="en-GB"/>
              </w:rPr>
              <w:t>É</w:t>
            </w:r>
            <w:r w:rsidR="00CD3E23" w:rsidRPr="00FB042F">
              <w:rPr>
                <w:lang w:val="fr-FR" w:eastAsia="en-GB"/>
              </w:rPr>
              <w:t>thiopi</w:t>
            </w:r>
            <w:r w:rsidRPr="00FB042F">
              <w:rPr>
                <w:lang w:val="fr-FR" w:eastAsia="en-GB"/>
              </w:rPr>
              <w:t>e</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578583CA" w14:textId="4165631E" w:rsidR="00CD3E23" w:rsidRPr="00FB042F" w:rsidRDefault="00CD3E23" w:rsidP="00CD3E23">
            <w:pPr>
              <w:pStyle w:val="Tabletext"/>
              <w:rPr>
                <w:lang w:val="fr-FR" w:eastAsia="en-GB"/>
              </w:rPr>
            </w:pPr>
            <w:r w:rsidRPr="00FB042F">
              <w:rPr>
                <w:lang w:val="fr-FR" w:eastAsia="en-GB"/>
              </w:rPr>
              <w:t>ASSOCIÉ PARTICIPANT AUX TRAVAUX DE L'</w:t>
            </w:r>
            <w:r w:rsidR="00397B29" w:rsidRPr="00FB042F">
              <w:rPr>
                <w:lang w:val="fr-FR" w:eastAsia="en-GB"/>
              </w:rPr>
              <w:t>UIT</w:t>
            </w:r>
            <w:r w:rsidRPr="00FB042F">
              <w:rPr>
                <w:lang w:val="fr-FR" w:eastAsia="en-GB"/>
              </w:rPr>
              <w:t>-D</w:t>
            </w:r>
          </w:p>
        </w:tc>
      </w:tr>
      <w:tr w:rsidR="00CD3E23" w:rsidRPr="00FB042F" w14:paraId="224A2FD8"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697F5C60" w14:textId="77777777" w:rsidR="00CD3E23" w:rsidRPr="00FB042F" w:rsidRDefault="00CD3E23" w:rsidP="00CD3E23">
            <w:pPr>
              <w:pStyle w:val="Tabletext"/>
              <w:rPr>
                <w:lang w:val="fr-FR" w:eastAsia="en-GB"/>
              </w:rPr>
            </w:pPr>
            <w:r w:rsidRPr="00FB042F">
              <w:rPr>
                <w:lang w:val="fr-FR" w:eastAsia="en-GB"/>
              </w:rPr>
              <w:t>Cyberlite Books Pte. Ltd.</w:t>
            </w:r>
          </w:p>
        </w:tc>
        <w:tc>
          <w:tcPr>
            <w:tcW w:w="2126" w:type="dxa"/>
            <w:tcBorders>
              <w:top w:val="single" w:sz="4" w:space="0" w:color="44B3E1"/>
              <w:left w:val="nil"/>
              <w:bottom w:val="single" w:sz="4" w:space="0" w:color="44B3E1"/>
              <w:right w:val="nil"/>
            </w:tcBorders>
            <w:shd w:val="clear" w:color="auto" w:fill="auto"/>
            <w:noWrap/>
            <w:hideMark/>
          </w:tcPr>
          <w:p w14:paraId="5607AB43" w14:textId="6749FE8E" w:rsidR="00CD3E23" w:rsidRPr="00FB042F" w:rsidRDefault="00CD3E23" w:rsidP="00CD3E23">
            <w:pPr>
              <w:pStyle w:val="Tabletext"/>
              <w:rPr>
                <w:lang w:val="fr-FR" w:eastAsia="en-GB"/>
              </w:rPr>
            </w:pPr>
            <w:r w:rsidRPr="00FB042F">
              <w:rPr>
                <w:lang w:val="fr-FR" w:eastAsia="en-GB"/>
              </w:rPr>
              <w:t>Singapo</w:t>
            </w:r>
            <w:r w:rsidR="00BF594F" w:rsidRPr="00FB042F">
              <w:rPr>
                <w:lang w:val="fr-FR" w:eastAsia="en-GB"/>
              </w:rPr>
              <w:t>u</w:t>
            </w:r>
            <w:r w:rsidRPr="00FB042F">
              <w:rPr>
                <w:lang w:val="fr-FR" w:eastAsia="en-GB"/>
              </w:rPr>
              <w:t>r</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7F4201C0" w14:textId="138B3396"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bl>
    <w:p w14:paraId="4E55D1FE" w14:textId="04F63D30" w:rsidR="00CD3E23" w:rsidRPr="00FB042F" w:rsidRDefault="008A0922" w:rsidP="008A0922">
      <w:pPr>
        <w:pStyle w:val="Heading2"/>
        <w:rPr>
          <w:lang w:val="fr-FR"/>
        </w:rPr>
      </w:pPr>
      <w:r w:rsidRPr="00FB042F">
        <w:rPr>
          <w:lang w:val="fr-FR"/>
        </w:rPr>
        <w:lastRenderedPageBreak/>
        <w:t>2.4</w:t>
      </w:r>
      <w:r w:rsidRPr="00FB042F">
        <w:rPr>
          <w:lang w:val="fr-FR"/>
        </w:rPr>
        <w:tab/>
        <w:t>Affiliation des établissements universitaires</w:t>
      </w:r>
      <w:r w:rsidRPr="00FB042F">
        <w:rPr>
          <w:rStyle w:val="FootnoteReference"/>
          <w:lang w:val="fr-FR"/>
        </w:rPr>
        <w:footnoteReference w:id="3"/>
      </w:r>
    </w:p>
    <w:p w14:paraId="4930BCEB" w14:textId="3CAE3397" w:rsidR="008A0922" w:rsidRPr="00FB042F" w:rsidRDefault="00D759A0" w:rsidP="003F3A5B">
      <w:pPr>
        <w:pStyle w:val="Figure"/>
        <w:rPr>
          <w:noProof w:val="0"/>
          <w:lang w:val="fr-FR"/>
        </w:rPr>
      </w:pPr>
      <w:bookmarkStart w:id="6" w:name="Proposal"/>
      <w:bookmarkEnd w:id="6"/>
      <w:r w:rsidRPr="00FB042F">
        <w:rPr>
          <w:rFonts w:eastAsia="SimSun"/>
          <w:noProof w:val="0"/>
          <w:szCs w:val="24"/>
          <w:lang w:val="fr-FR" w:eastAsia="zh-CN"/>
        </w:rPr>
        <mc:AlternateContent>
          <mc:Choice Requires="wps">
            <w:drawing>
              <wp:anchor distT="45720" distB="45720" distL="114300" distR="114300" simplePos="0" relativeHeight="251662336" behindDoc="0" locked="0" layoutInCell="1" allowOverlap="1" wp14:anchorId="59A2375D" wp14:editId="4EF9F2A7">
                <wp:simplePos x="0" y="0"/>
                <wp:positionH relativeFrom="margin">
                  <wp:posOffset>3989066</wp:posOffset>
                </wp:positionH>
                <wp:positionV relativeFrom="paragraph">
                  <wp:posOffset>2671332</wp:posOffset>
                </wp:positionV>
                <wp:extent cx="563880"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25946699" w14:textId="27F5F3C5" w:rsidR="008A0922" w:rsidRPr="0057040A" w:rsidRDefault="008A0922" w:rsidP="008A0922">
                            <w:pPr>
                              <w:spacing w:before="0"/>
                              <w:jc w:val="center"/>
                              <w:rPr>
                                <w:rFonts w:ascii="Avenir Nxt2 W1G" w:hAnsi="Avenir Nxt2 W1G"/>
                                <w:sz w:val="18"/>
                                <w:szCs w:val="14"/>
                              </w:rPr>
                            </w:pPr>
                            <w:r w:rsidRPr="0057040A">
                              <w:rPr>
                                <w:rFonts w:ascii="Avenir Nxt2 W1G" w:hAnsi="Avenir Nxt2 W1G"/>
                                <w:sz w:val="18"/>
                                <w:szCs w:val="14"/>
                              </w:rPr>
                              <w:t>202</w:t>
                            </w:r>
                            <w:r>
                              <w:rPr>
                                <w:rFonts w:ascii="Avenir Nxt2 W1G" w:hAnsi="Avenir Nxt2 W1G"/>
                                <w:sz w:val="18"/>
                                <w:szCs w:val="14"/>
                              </w:rPr>
                              <w:t>5</w:t>
                            </w:r>
                            <w:r w:rsidR="003F3A5B">
                              <w:rPr>
                                <w:rFonts w:ascii="Avenir Nxt2 W1G" w:hAnsi="Avenir Nxt2 W1G"/>
                                <w:sz w:val="18"/>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2375D" id="_x0000_s1031" type="#_x0000_t202" style="position:absolute;left:0;text-align:left;margin-left:314.1pt;margin-top:210.35pt;width:44.4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OL/QEAANQ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" filled="f" stroked="f">
                <v:textbox style="mso-fit-shape-to-text:t">
                  <w:txbxContent>
                    <w:p w14:paraId="25946699" w14:textId="27F5F3C5" w:rsidR="008A0922" w:rsidRPr="0057040A" w:rsidRDefault="008A0922" w:rsidP="008A0922">
                      <w:pPr>
                        <w:spacing w:before="0"/>
                        <w:jc w:val="center"/>
                        <w:rPr>
                          <w:rFonts w:ascii="Avenir Nxt2 W1G" w:hAnsi="Avenir Nxt2 W1G"/>
                          <w:sz w:val="18"/>
                          <w:szCs w:val="14"/>
                        </w:rPr>
                      </w:pPr>
                      <w:r w:rsidRPr="0057040A">
                        <w:rPr>
                          <w:rFonts w:ascii="Avenir Nxt2 W1G" w:hAnsi="Avenir Nxt2 W1G"/>
                          <w:sz w:val="18"/>
                          <w:szCs w:val="14"/>
                        </w:rPr>
                        <w:t>202</w:t>
                      </w:r>
                      <w:r>
                        <w:rPr>
                          <w:rFonts w:ascii="Avenir Nxt2 W1G" w:hAnsi="Avenir Nxt2 W1G"/>
                          <w:sz w:val="18"/>
                          <w:szCs w:val="14"/>
                        </w:rPr>
                        <w:t>5</w:t>
                      </w:r>
                      <w:r w:rsidR="003F3A5B">
                        <w:rPr>
                          <w:rFonts w:ascii="Avenir Nxt2 W1G" w:hAnsi="Avenir Nxt2 W1G"/>
                          <w:sz w:val="18"/>
                          <w:szCs w:val="14"/>
                        </w:rPr>
                        <w:t>*</w:t>
                      </w:r>
                    </w:p>
                  </w:txbxContent>
                </v:textbox>
                <w10:wrap anchorx="margin"/>
              </v:shape>
            </w:pict>
          </mc:Fallback>
        </mc:AlternateContent>
      </w:r>
      <w:r w:rsidRPr="00FB042F">
        <w:rPr>
          <w:rFonts w:eastAsia="SimSun"/>
          <w:noProof w:val="0"/>
          <w:szCs w:val="24"/>
          <w:lang w:val="fr-FR" w:eastAsia="zh-CN"/>
        </w:rPr>
        <mc:AlternateContent>
          <mc:Choice Requires="wps">
            <w:drawing>
              <wp:anchor distT="45720" distB="45720" distL="114300" distR="114300" simplePos="0" relativeHeight="251661312" behindDoc="0" locked="0" layoutInCell="1" allowOverlap="1" wp14:anchorId="2C67548E" wp14:editId="6D91A4C8">
                <wp:simplePos x="0" y="0"/>
                <wp:positionH relativeFrom="column">
                  <wp:posOffset>2351296</wp:posOffset>
                </wp:positionH>
                <wp:positionV relativeFrom="paragraph">
                  <wp:posOffset>2668792</wp:posOffset>
                </wp:positionV>
                <wp:extent cx="563880"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43080429" w14:textId="77777777" w:rsidR="008A0922" w:rsidRPr="0057040A" w:rsidRDefault="008A0922" w:rsidP="008A0922">
                            <w:pPr>
                              <w:spacing w:before="0"/>
                              <w:jc w:val="center"/>
                              <w:rPr>
                                <w:rFonts w:ascii="Avenir Nxt2 W1G" w:hAnsi="Avenir Nxt2 W1G"/>
                                <w:sz w:val="18"/>
                                <w:szCs w:val="14"/>
                              </w:rPr>
                            </w:pPr>
                            <w:r w:rsidRPr="0057040A">
                              <w:rPr>
                                <w:rFonts w:ascii="Avenir Nxt2 W1G" w:hAnsi="Avenir Nxt2 W1G"/>
                                <w:sz w:val="18"/>
                                <w:szCs w:val="14"/>
                              </w:rPr>
                              <w:t>202</w:t>
                            </w:r>
                            <w:r>
                              <w:rPr>
                                <w:rFonts w:ascii="Avenir Nxt2 W1G" w:hAnsi="Avenir Nxt2 W1G"/>
                                <w:sz w:val="18"/>
                                <w:szCs w:val="1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67548E" id="_x0000_s1032" type="#_x0000_t202" style="position:absolute;left:0;text-align:left;margin-left:185.15pt;margin-top:210.15pt;width:44.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j7/gEAANQ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" filled="f" stroked="f">
                <v:textbox style="mso-fit-shape-to-text:t">
                  <w:txbxContent>
                    <w:p w14:paraId="43080429" w14:textId="77777777" w:rsidR="008A0922" w:rsidRPr="0057040A" w:rsidRDefault="008A0922" w:rsidP="008A0922">
                      <w:pPr>
                        <w:spacing w:before="0"/>
                        <w:jc w:val="center"/>
                        <w:rPr>
                          <w:rFonts w:ascii="Avenir Nxt2 W1G" w:hAnsi="Avenir Nxt2 W1G"/>
                          <w:sz w:val="18"/>
                          <w:szCs w:val="14"/>
                        </w:rPr>
                      </w:pPr>
                      <w:r w:rsidRPr="0057040A">
                        <w:rPr>
                          <w:rFonts w:ascii="Avenir Nxt2 W1G" w:hAnsi="Avenir Nxt2 W1G"/>
                          <w:sz w:val="18"/>
                          <w:szCs w:val="14"/>
                        </w:rPr>
                        <w:t>202</w:t>
                      </w:r>
                      <w:r>
                        <w:rPr>
                          <w:rFonts w:ascii="Avenir Nxt2 W1G" w:hAnsi="Avenir Nxt2 W1G"/>
                          <w:sz w:val="18"/>
                          <w:szCs w:val="14"/>
                        </w:rPr>
                        <w:t>4</w:t>
                      </w:r>
                    </w:p>
                  </w:txbxContent>
                </v:textbox>
              </v:shape>
            </w:pict>
          </mc:Fallback>
        </mc:AlternateContent>
      </w:r>
      <w:r w:rsidRPr="00FB042F">
        <w:rPr>
          <w:rFonts w:eastAsia="SimSun"/>
          <w:noProof w:val="0"/>
          <w:szCs w:val="24"/>
          <w:lang w:val="fr-FR" w:eastAsia="zh-CN"/>
        </w:rPr>
        <mc:AlternateContent>
          <mc:Choice Requires="wps">
            <w:drawing>
              <wp:anchor distT="45720" distB="45720" distL="114300" distR="114300" simplePos="0" relativeHeight="251660288" behindDoc="0" locked="0" layoutInCell="1" allowOverlap="1" wp14:anchorId="6DCC6C31" wp14:editId="715DE221">
                <wp:simplePos x="0" y="0"/>
                <wp:positionH relativeFrom="column">
                  <wp:posOffset>723900</wp:posOffset>
                </wp:positionH>
                <wp:positionV relativeFrom="paragraph">
                  <wp:posOffset>2694858</wp:posOffset>
                </wp:positionV>
                <wp:extent cx="563880"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174B6901" w14:textId="77777777" w:rsidR="008A0922" w:rsidRPr="00EC3B94" w:rsidRDefault="008A0922" w:rsidP="008A0922">
                            <w:pPr>
                              <w:spacing w:before="0"/>
                              <w:jc w:val="center"/>
                              <w:rPr>
                                <w:rFonts w:ascii="Avenir Nxt2 W1G" w:hAnsi="Avenir Nxt2 W1G"/>
                                <w:sz w:val="18"/>
                                <w:szCs w:val="14"/>
                              </w:rPr>
                            </w:pPr>
                            <w:r w:rsidRPr="00EC3B94">
                              <w:rPr>
                                <w:rFonts w:ascii="Avenir Nxt2 W1G" w:hAnsi="Avenir Nxt2 W1G"/>
                                <w:sz w:val="18"/>
                                <w:szCs w:val="14"/>
                              </w:rPr>
                              <w:t>202</w:t>
                            </w:r>
                            <w:r>
                              <w:rPr>
                                <w:rFonts w:ascii="Avenir Nxt2 W1G" w:hAnsi="Avenir Nxt2 W1G"/>
                                <w:sz w:val="18"/>
                                <w:szCs w:val="1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C6C31" id="_x0000_s1033" type="#_x0000_t202" style="position:absolute;left:0;text-align:left;margin-left:57pt;margin-top:212.2pt;width:44.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" filled="f" stroked="f">
                <v:textbox style="mso-fit-shape-to-text:t">
                  <w:txbxContent>
                    <w:p w14:paraId="174B6901" w14:textId="77777777" w:rsidR="008A0922" w:rsidRPr="00EC3B94" w:rsidRDefault="008A0922" w:rsidP="008A0922">
                      <w:pPr>
                        <w:spacing w:before="0"/>
                        <w:jc w:val="center"/>
                        <w:rPr>
                          <w:rFonts w:ascii="Avenir Nxt2 W1G" w:hAnsi="Avenir Nxt2 W1G"/>
                          <w:sz w:val="18"/>
                          <w:szCs w:val="14"/>
                        </w:rPr>
                      </w:pPr>
                      <w:r w:rsidRPr="00EC3B94">
                        <w:rPr>
                          <w:rFonts w:ascii="Avenir Nxt2 W1G" w:hAnsi="Avenir Nxt2 W1G"/>
                          <w:sz w:val="18"/>
                          <w:szCs w:val="14"/>
                        </w:rPr>
                        <w:t>202</w:t>
                      </w:r>
                      <w:r>
                        <w:rPr>
                          <w:rFonts w:ascii="Avenir Nxt2 W1G" w:hAnsi="Avenir Nxt2 W1G"/>
                          <w:sz w:val="18"/>
                          <w:szCs w:val="14"/>
                        </w:rPr>
                        <w:t>3</w:t>
                      </w:r>
                    </w:p>
                  </w:txbxContent>
                </v:textbox>
              </v:shape>
            </w:pict>
          </mc:Fallback>
        </mc:AlternateContent>
      </w:r>
      <w:r w:rsidRPr="00FB042F">
        <w:rPr>
          <w:rFonts w:eastAsia="SimSun"/>
          <w:noProof w:val="0"/>
          <w:szCs w:val="24"/>
          <w:lang w:val="fr-FR" w:eastAsia="zh-CN"/>
        </w:rPr>
        <mc:AlternateContent>
          <mc:Choice Requires="wps">
            <w:drawing>
              <wp:anchor distT="0" distB="0" distL="114300" distR="114300" simplePos="0" relativeHeight="251663360" behindDoc="0" locked="0" layoutInCell="1" allowOverlap="1" wp14:anchorId="5618F65D" wp14:editId="54AF0477">
                <wp:simplePos x="0" y="0"/>
                <wp:positionH relativeFrom="column">
                  <wp:posOffset>5192399</wp:posOffset>
                </wp:positionH>
                <wp:positionV relativeFrom="paragraph">
                  <wp:posOffset>813442</wp:posOffset>
                </wp:positionV>
                <wp:extent cx="1086928" cy="854015"/>
                <wp:effectExtent l="0" t="0" r="0" b="3810"/>
                <wp:wrapNone/>
                <wp:docPr id="867145739" name="Text Box 1"/>
                <wp:cNvGraphicFramePr/>
                <a:graphic xmlns:a="http://schemas.openxmlformats.org/drawingml/2006/main">
                  <a:graphicData uri="http://schemas.microsoft.com/office/word/2010/wordprocessingShape">
                    <wps:wsp>
                      <wps:cNvSpPr txBox="1"/>
                      <wps:spPr>
                        <a:xfrm>
                          <a:off x="0" y="0"/>
                          <a:ext cx="1086928" cy="854015"/>
                        </a:xfrm>
                        <a:prstGeom prst="rect">
                          <a:avLst/>
                        </a:prstGeom>
                        <a:solidFill>
                          <a:schemeClr val="lt1"/>
                        </a:solidFill>
                        <a:ln w="6350">
                          <a:noFill/>
                        </a:ln>
                      </wps:spPr>
                      <wps:txbx>
                        <w:txbxContent>
                          <w:p w14:paraId="026AEE95" w14:textId="1BB22628" w:rsidR="008A0922" w:rsidRPr="008A0922" w:rsidRDefault="008A0922" w:rsidP="008A0922">
                            <w:pPr>
                              <w:tabs>
                                <w:tab w:val="clear" w:pos="794"/>
                                <w:tab w:val="clear" w:pos="1191"/>
                                <w:tab w:val="clear" w:pos="1588"/>
                                <w:tab w:val="left" w:pos="426"/>
                              </w:tabs>
                              <w:rPr>
                                <w:sz w:val="20"/>
                              </w:rPr>
                            </w:pPr>
                            <w:r w:rsidRPr="008A0922">
                              <w:rPr>
                                <w:noProof/>
                                <w:sz w:val="20"/>
                              </w:rPr>
                              <w:drawing>
                                <wp:inline distT="0" distB="0" distL="0" distR="0" wp14:anchorId="590DF3BA" wp14:editId="7CEE3273">
                                  <wp:extent cx="72000" cy="72000"/>
                                  <wp:effectExtent l="0" t="0" r="4445" b="4445"/>
                                  <wp:docPr id="724466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000" cy="72000"/>
                                          </a:xfrm>
                                          <a:prstGeom prst="rect">
                                            <a:avLst/>
                                          </a:prstGeom>
                                          <a:noFill/>
                                          <a:ln>
                                            <a:noFill/>
                                          </a:ln>
                                        </pic:spPr>
                                      </pic:pic>
                                    </a:graphicData>
                                  </a:graphic>
                                </wp:inline>
                              </w:drawing>
                            </w:r>
                            <w:r w:rsidRPr="008A0922">
                              <w:rPr>
                                <w:sz w:val="20"/>
                              </w:rPr>
                              <w:tab/>
                            </w:r>
                            <w:r w:rsidRPr="008E0914">
                              <w:rPr>
                                <w:sz w:val="16"/>
                                <w:szCs w:val="16"/>
                              </w:rPr>
                              <w:t>Croissance</w:t>
                            </w:r>
                          </w:p>
                          <w:p w14:paraId="7592BB0D" w14:textId="2C43992F" w:rsidR="008A0922" w:rsidRPr="008A0922" w:rsidRDefault="008A0922" w:rsidP="008A0922">
                            <w:pPr>
                              <w:tabs>
                                <w:tab w:val="clear" w:pos="794"/>
                                <w:tab w:val="clear" w:pos="1191"/>
                                <w:tab w:val="clear" w:pos="1588"/>
                                <w:tab w:val="left" w:pos="426"/>
                              </w:tabs>
                              <w:rPr>
                                <w:sz w:val="20"/>
                              </w:rPr>
                            </w:pPr>
                            <w:r w:rsidRPr="008A0922">
                              <w:rPr>
                                <w:noProof/>
                                <w:sz w:val="20"/>
                              </w:rPr>
                              <w:drawing>
                                <wp:inline distT="0" distB="0" distL="0" distR="0" wp14:anchorId="05532A93" wp14:editId="572124D5">
                                  <wp:extent cx="72000" cy="72000"/>
                                  <wp:effectExtent l="0" t="0" r="4445" b="4445"/>
                                  <wp:docPr id="1165729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000" cy="72000"/>
                                          </a:xfrm>
                                          <a:prstGeom prst="rect">
                                            <a:avLst/>
                                          </a:prstGeom>
                                          <a:noFill/>
                                          <a:ln>
                                            <a:noFill/>
                                          </a:ln>
                                        </pic:spPr>
                                      </pic:pic>
                                    </a:graphicData>
                                  </a:graphic>
                                </wp:inline>
                              </w:drawing>
                            </w:r>
                            <w:r w:rsidRPr="008A0922">
                              <w:rPr>
                                <w:sz w:val="20"/>
                              </w:rPr>
                              <w:tab/>
                            </w:r>
                            <w:r w:rsidRPr="008E0914">
                              <w:rPr>
                                <w:sz w:val="16"/>
                                <w:szCs w:val="16"/>
                              </w:rPr>
                              <w:t>Perte</w:t>
                            </w:r>
                          </w:p>
                          <w:p w14:paraId="338C4BBA" w14:textId="5E873FA9" w:rsidR="008A0922" w:rsidRDefault="008A0922" w:rsidP="008A0922">
                            <w:pPr>
                              <w:tabs>
                                <w:tab w:val="clear" w:pos="794"/>
                                <w:tab w:val="clear" w:pos="1191"/>
                                <w:tab w:val="clear" w:pos="1588"/>
                                <w:tab w:val="left" w:pos="426"/>
                              </w:tabs>
                            </w:pPr>
                            <w:r w:rsidRPr="008A0922">
                              <w:rPr>
                                <w:noProof/>
                                <w:sz w:val="20"/>
                              </w:rPr>
                              <w:drawing>
                                <wp:inline distT="0" distB="0" distL="0" distR="0" wp14:anchorId="229429AE" wp14:editId="368B5945">
                                  <wp:extent cx="72000" cy="72000"/>
                                  <wp:effectExtent l="0" t="0" r="4445" b="4445"/>
                                  <wp:docPr id="19698745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000" cy="72000"/>
                                          </a:xfrm>
                                          <a:prstGeom prst="rect">
                                            <a:avLst/>
                                          </a:prstGeom>
                                          <a:noFill/>
                                          <a:ln>
                                            <a:noFill/>
                                          </a:ln>
                                        </pic:spPr>
                                      </pic:pic>
                                    </a:graphicData>
                                  </a:graphic>
                                </wp:inline>
                              </w:drawing>
                            </w:r>
                            <w:r w:rsidRPr="008A0922">
                              <w:rPr>
                                <w:sz w:val="20"/>
                              </w:rPr>
                              <w:tab/>
                            </w:r>
                            <w:r w:rsidRPr="008E0914">
                              <w:rPr>
                                <w:sz w:val="16"/>
                                <w:szCs w:val="16"/>
                              </w:rP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F65D" id="_x0000_s1034" type="#_x0000_t202" style="position:absolute;left:0;text-align:left;margin-left:408.85pt;margin-top:64.05pt;width:85.6pt;height: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" fillcolor="white [3201]" stroked="f" strokeweight=".5pt">
                <v:textbox>
                  <w:txbxContent>
                    <w:p w14:paraId="026AEE95" w14:textId="1BB22628" w:rsidR="008A0922" w:rsidRPr="008A0922" w:rsidRDefault="008A0922" w:rsidP="008A0922">
                      <w:pPr>
                        <w:tabs>
                          <w:tab w:val="clear" w:pos="794"/>
                          <w:tab w:val="clear" w:pos="1191"/>
                          <w:tab w:val="clear" w:pos="1588"/>
                          <w:tab w:val="left" w:pos="426"/>
                        </w:tabs>
                        <w:rPr>
                          <w:sz w:val="20"/>
                        </w:rPr>
                      </w:pPr>
                      <w:r w:rsidRPr="008A0922">
                        <w:rPr>
                          <w:noProof/>
                          <w:sz w:val="20"/>
                        </w:rPr>
                        <w:drawing>
                          <wp:inline distT="0" distB="0" distL="0" distR="0" wp14:anchorId="590DF3BA" wp14:editId="7CEE3273">
                            <wp:extent cx="72000" cy="72000"/>
                            <wp:effectExtent l="0" t="0" r="4445" b="4445"/>
                            <wp:docPr id="724466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000" cy="72000"/>
                                    </a:xfrm>
                                    <a:prstGeom prst="rect">
                                      <a:avLst/>
                                    </a:prstGeom>
                                    <a:noFill/>
                                    <a:ln>
                                      <a:noFill/>
                                    </a:ln>
                                  </pic:spPr>
                                </pic:pic>
                              </a:graphicData>
                            </a:graphic>
                          </wp:inline>
                        </w:drawing>
                      </w:r>
                      <w:r w:rsidRPr="008A0922">
                        <w:rPr>
                          <w:sz w:val="20"/>
                        </w:rPr>
                        <w:tab/>
                      </w:r>
                      <w:r w:rsidRPr="008E0914">
                        <w:rPr>
                          <w:sz w:val="16"/>
                          <w:szCs w:val="16"/>
                        </w:rPr>
                        <w:t>Croissance</w:t>
                      </w:r>
                    </w:p>
                    <w:p w14:paraId="7592BB0D" w14:textId="2C43992F" w:rsidR="008A0922" w:rsidRPr="008A0922" w:rsidRDefault="008A0922" w:rsidP="008A0922">
                      <w:pPr>
                        <w:tabs>
                          <w:tab w:val="clear" w:pos="794"/>
                          <w:tab w:val="clear" w:pos="1191"/>
                          <w:tab w:val="clear" w:pos="1588"/>
                          <w:tab w:val="left" w:pos="426"/>
                        </w:tabs>
                        <w:rPr>
                          <w:sz w:val="20"/>
                        </w:rPr>
                      </w:pPr>
                      <w:r w:rsidRPr="008A0922">
                        <w:rPr>
                          <w:noProof/>
                          <w:sz w:val="20"/>
                        </w:rPr>
                        <w:drawing>
                          <wp:inline distT="0" distB="0" distL="0" distR="0" wp14:anchorId="05532A93" wp14:editId="572124D5">
                            <wp:extent cx="72000" cy="72000"/>
                            <wp:effectExtent l="0" t="0" r="4445" b="4445"/>
                            <wp:docPr id="1165729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000" cy="72000"/>
                                    </a:xfrm>
                                    <a:prstGeom prst="rect">
                                      <a:avLst/>
                                    </a:prstGeom>
                                    <a:noFill/>
                                    <a:ln>
                                      <a:noFill/>
                                    </a:ln>
                                  </pic:spPr>
                                </pic:pic>
                              </a:graphicData>
                            </a:graphic>
                          </wp:inline>
                        </w:drawing>
                      </w:r>
                      <w:r w:rsidRPr="008A0922">
                        <w:rPr>
                          <w:sz w:val="20"/>
                        </w:rPr>
                        <w:tab/>
                      </w:r>
                      <w:r w:rsidRPr="008E0914">
                        <w:rPr>
                          <w:sz w:val="16"/>
                          <w:szCs w:val="16"/>
                        </w:rPr>
                        <w:t>Perte</w:t>
                      </w:r>
                    </w:p>
                    <w:p w14:paraId="338C4BBA" w14:textId="5E873FA9" w:rsidR="008A0922" w:rsidRDefault="008A0922" w:rsidP="008A0922">
                      <w:pPr>
                        <w:tabs>
                          <w:tab w:val="clear" w:pos="794"/>
                          <w:tab w:val="clear" w:pos="1191"/>
                          <w:tab w:val="clear" w:pos="1588"/>
                          <w:tab w:val="left" w:pos="426"/>
                        </w:tabs>
                      </w:pPr>
                      <w:r w:rsidRPr="008A0922">
                        <w:rPr>
                          <w:noProof/>
                          <w:sz w:val="20"/>
                        </w:rPr>
                        <w:drawing>
                          <wp:inline distT="0" distB="0" distL="0" distR="0" wp14:anchorId="229429AE" wp14:editId="368B5945">
                            <wp:extent cx="72000" cy="72000"/>
                            <wp:effectExtent l="0" t="0" r="4445" b="4445"/>
                            <wp:docPr id="19698745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000" cy="72000"/>
                                    </a:xfrm>
                                    <a:prstGeom prst="rect">
                                      <a:avLst/>
                                    </a:prstGeom>
                                    <a:noFill/>
                                    <a:ln>
                                      <a:noFill/>
                                    </a:ln>
                                  </pic:spPr>
                                </pic:pic>
                              </a:graphicData>
                            </a:graphic>
                          </wp:inline>
                        </w:drawing>
                      </w:r>
                      <w:r w:rsidRPr="008A0922">
                        <w:rPr>
                          <w:sz w:val="20"/>
                        </w:rPr>
                        <w:tab/>
                      </w:r>
                      <w:r w:rsidRPr="008E0914">
                        <w:rPr>
                          <w:sz w:val="16"/>
                          <w:szCs w:val="16"/>
                        </w:rPr>
                        <w:t>Total</w:t>
                      </w:r>
                    </w:p>
                  </w:txbxContent>
                </v:textbox>
              </v:shape>
            </w:pict>
          </mc:Fallback>
        </mc:AlternateContent>
      </w:r>
      <w:r w:rsidR="00606011" w:rsidRPr="00FB042F">
        <w:rPr>
          <w:noProof w:val="0"/>
          <w:lang w:val="fr-FR"/>
        </w:rPr>
        <mc:AlternateContent>
          <mc:Choice Requires="wps">
            <w:drawing>
              <wp:anchor distT="0" distB="0" distL="114300" distR="114300" simplePos="0" relativeHeight="251674624" behindDoc="0" locked="0" layoutInCell="1" allowOverlap="1" wp14:anchorId="43051717" wp14:editId="7A05C8EE">
                <wp:simplePos x="0" y="0"/>
                <wp:positionH relativeFrom="column">
                  <wp:posOffset>1725930</wp:posOffset>
                </wp:positionH>
                <wp:positionV relativeFrom="paragraph">
                  <wp:posOffset>492125</wp:posOffset>
                </wp:positionV>
                <wp:extent cx="0" cy="2028190"/>
                <wp:effectExtent l="0" t="0" r="0" b="0"/>
                <wp:wrapNone/>
                <wp:docPr id="537721654" name="Straight Connector 1"/>
                <wp:cNvGraphicFramePr/>
                <a:graphic xmlns:a="http://schemas.openxmlformats.org/drawingml/2006/main">
                  <a:graphicData uri="http://schemas.microsoft.com/office/word/2010/wordprocessingShape">
                    <wps:wsp>
                      <wps:cNvCnPr/>
                      <wps:spPr>
                        <a:xfrm>
                          <a:off x="0" y="0"/>
                          <a:ext cx="0" cy="2028190"/>
                        </a:xfrm>
                        <a:prstGeom prst="line">
                          <a:avLst/>
                        </a:prstGeom>
                        <a:ln w="12700">
                          <a:solidFill>
                            <a:schemeClr val="bg1">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BC1C958"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5.9pt,38.75pt" to="135.9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" strokecolor="#7f7f7f [1612]" strokeweight="1pt"/>
            </w:pict>
          </mc:Fallback>
        </mc:AlternateContent>
      </w:r>
      <w:r w:rsidR="00606011" w:rsidRPr="00FB042F">
        <w:rPr>
          <w:rFonts w:eastAsia="SimSun"/>
          <w:noProof w:val="0"/>
          <w:szCs w:val="24"/>
          <w:lang w:val="fr-FR" w:eastAsia="zh-CN"/>
        </w:rPr>
        <mc:AlternateContent>
          <mc:Choice Requires="wps">
            <w:drawing>
              <wp:anchor distT="0" distB="0" distL="114300" distR="114300" simplePos="0" relativeHeight="251659264" behindDoc="0" locked="0" layoutInCell="1" allowOverlap="1" wp14:anchorId="3EF9DA5C" wp14:editId="2C12C2EB">
                <wp:simplePos x="0" y="0"/>
                <wp:positionH relativeFrom="column">
                  <wp:posOffset>3606165</wp:posOffset>
                </wp:positionH>
                <wp:positionV relativeFrom="paragraph">
                  <wp:posOffset>488315</wp:posOffset>
                </wp:positionV>
                <wp:extent cx="0" cy="2028976"/>
                <wp:effectExtent l="0" t="0" r="38100" b="28575"/>
                <wp:wrapNone/>
                <wp:docPr id="687018271" name="Straight Connector 1"/>
                <wp:cNvGraphicFramePr/>
                <a:graphic xmlns:a="http://schemas.openxmlformats.org/drawingml/2006/main">
                  <a:graphicData uri="http://schemas.microsoft.com/office/word/2010/wordprocessingShape">
                    <wps:wsp>
                      <wps:cNvCnPr/>
                      <wps:spPr>
                        <a:xfrm>
                          <a:off x="0" y="0"/>
                          <a:ext cx="0" cy="2028976"/>
                        </a:xfrm>
                        <a:prstGeom prst="line">
                          <a:avLst/>
                        </a:prstGeom>
                        <a:ln w="12700">
                          <a:solidFill>
                            <a:schemeClr val="bg1">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F547A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3.95pt,38.45pt" to="283.9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" strokecolor="#7f7f7f [1612]" strokeweight="1pt"/>
            </w:pict>
          </mc:Fallback>
        </mc:AlternateContent>
      </w:r>
      <w:r w:rsidR="008A0922" w:rsidRPr="00FB042F">
        <w:rPr>
          <w:rFonts w:eastAsia="SimSun"/>
          <w:noProof w:val="0"/>
          <w:lang w:val="fr-FR" w:eastAsia="zh-CN"/>
        </w:rPr>
        <mc:AlternateContent>
          <mc:Choice Requires="cx4">
            <w:drawing>
              <wp:inline distT="0" distB="0" distL="0" distR="0" wp14:anchorId="5AB9FB42" wp14:editId="5BE06271">
                <wp:extent cx="5271041" cy="2760029"/>
                <wp:effectExtent l="0" t="0" r="6350" b="254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5AB9FB42" wp14:editId="5BE06271">
                <wp:extent cx="5271041" cy="2760029"/>
                <wp:effectExtent l="0" t="0" r="6350" b="2540"/>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22"/>
                        <a:stretch>
                          <a:fillRect/>
                        </a:stretch>
                      </pic:blipFill>
                      <pic:spPr>
                        <a:xfrm>
                          <a:off x="0" y="0"/>
                          <a:ext cx="5270500" cy="2759710"/>
                        </a:xfrm>
                        <a:prstGeom prst="rect">
                          <a:avLst/>
                        </a:prstGeom>
                      </pic:spPr>
                    </pic:pic>
                  </a:graphicData>
                </a:graphic>
              </wp:inline>
            </w:drawing>
          </mc:Fallback>
        </mc:AlternateContent>
      </w:r>
    </w:p>
    <w:p w14:paraId="3904CD40" w14:textId="62BD6CBC" w:rsidR="00A02118" w:rsidRPr="00FB042F" w:rsidRDefault="00A02118" w:rsidP="00D759A0">
      <w:pPr>
        <w:pStyle w:val="Normalaftertitle"/>
        <w:spacing w:before="360"/>
        <w:rPr>
          <w:lang w:val="fr-FR"/>
        </w:rPr>
      </w:pPr>
      <w:r w:rsidRPr="00FB042F">
        <w:rPr>
          <w:lang w:val="fr-FR"/>
        </w:rPr>
        <w:t xml:space="preserve">Le </w:t>
      </w:r>
      <w:r w:rsidRPr="00FB042F">
        <w:rPr>
          <w:b/>
          <w:bCs/>
          <w:lang w:val="fr-FR"/>
        </w:rPr>
        <w:t>Graphique 3</w:t>
      </w:r>
      <w:r w:rsidRPr="00FB042F">
        <w:rPr>
          <w:lang w:val="fr-FR"/>
        </w:rPr>
        <w:t xml:space="preserve"> décrit en détail les gains et les pertes concernant le nombre d'établissements universitaires participant aux travaux de l'UIT en tant que membres en 2024 et jusqu'en juin 2025. En 2024, cette catégorie de membres a enregistré quinze nouveaux membres, contre treize</w:t>
      </w:r>
      <w:r w:rsidR="00D759A0" w:rsidRPr="00FB042F">
        <w:rPr>
          <w:lang w:val="fr-FR"/>
        </w:rPr>
        <w:t> </w:t>
      </w:r>
      <w:r w:rsidRPr="00FB042F">
        <w:rPr>
          <w:lang w:val="fr-FR"/>
        </w:rPr>
        <w:t>pertes, soit une variation positive des produits nets de 3 975 CHF.</w:t>
      </w:r>
    </w:p>
    <w:p w14:paraId="0842F3C2" w14:textId="77777777" w:rsidR="00A02118" w:rsidRPr="00FB042F" w:rsidRDefault="00A02118" w:rsidP="00A02118">
      <w:pPr>
        <w:rPr>
          <w:lang w:val="fr-FR"/>
        </w:rPr>
      </w:pPr>
      <w:r w:rsidRPr="00FB042F">
        <w:rPr>
          <w:lang w:val="fr-FR"/>
        </w:rPr>
        <w:t>Les établissements universitaires sont admis à participer aux travaux des trois Secteurs moyennant une contribution unique ce qui leur permet de participer aux travaux des commissions d'études des trois Secteurs. Certains établissements universitaires ont fait état de difficultés à renouveler leur adhésion pendant une longue période en raison de contraintes budgétaires.</w:t>
      </w:r>
    </w:p>
    <w:p w14:paraId="0B8E1559" w14:textId="161C9B8C" w:rsidR="00A02118" w:rsidRPr="00FB042F" w:rsidRDefault="00A02118" w:rsidP="00A02118">
      <w:pPr>
        <w:rPr>
          <w:lang w:val="fr-FR"/>
        </w:rPr>
      </w:pPr>
      <w:r w:rsidRPr="00FB042F">
        <w:rPr>
          <w:lang w:val="fr-FR"/>
        </w:rPr>
        <w:t xml:space="preserve">De gros efforts de sensibilisation sont déployés en permanence, notamment en organisant des visites et des séances d'information à l'intention des établissements universitaires intéressés et des États Membres de l'UIT désireux de promouvoir et d'appuyer l'adhésion d'établissements universitaires. On trouvera dans le </w:t>
      </w:r>
      <w:hyperlink r:id="rId23" w:history="1">
        <w:r w:rsidRPr="00FB042F">
          <w:rPr>
            <w:rStyle w:val="Hyperlink"/>
            <w:lang w:val="fr-FR"/>
          </w:rPr>
          <w:t>Document TDAG-2</w:t>
        </w:r>
        <w:r w:rsidRPr="00FB042F">
          <w:rPr>
            <w:rStyle w:val="Hyperlink"/>
            <w:lang w:val="fr-FR"/>
          </w:rPr>
          <w:t>5</w:t>
        </w:r>
        <w:r w:rsidRPr="00FB042F">
          <w:rPr>
            <w:rStyle w:val="Hyperlink"/>
            <w:lang w:val="fr-FR"/>
          </w:rPr>
          <w:t>/INF/2</w:t>
        </w:r>
      </w:hyperlink>
      <w:r w:rsidRPr="00FB042F">
        <w:rPr>
          <w:lang w:val="fr-FR"/>
        </w:rPr>
        <w:t xml:space="preserve"> de plus amples renseignements sur les possibilités et les modalités de participation actuelles qui peuvent être proposées aux établissements universitaires participant aux travaux de l'UIT ou aux membres autres que des établissements universitaires.</w:t>
      </w:r>
    </w:p>
    <w:p w14:paraId="64D5AFD3" w14:textId="77777777" w:rsidR="00A02118" w:rsidRPr="00FB042F" w:rsidRDefault="00A02118" w:rsidP="00D759A0">
      <w:pPr>
        <w:pStyle w:val="Heading1"/>
        <w:rPr>
          <w:lang w:val="fr-FR"/>
        </w:rPr>
      </w:pPr>
      <w:r w:rsidRPr="00FB042F">
        <w:rPr>
          <w:lang w:val="fr-FR"/>
        </w:rPr>
        <w:lastRenderedPageBreak/>
        <w:t>3</w:t>
      </w:r>
      <w:r w:rsidRPr="00FB042F">
        <w:rPr>
          <w:lang w:val="fr-FR"/>
        </w:rPr>
        <w:tab/>
        <w:t>Mobilisation, fidélisation, promotion et sensibilisation</w:t>
      </w:r>
    </w:p>
    <w:p w14:paraId="74C73034" w14:textId="77777777" w:rsidR="00A02118" w:rsidRPr="00FB042F" w:rsidRDefault="00A02118" w:rsidP="00D759A0">
      <w:pPr>
        <w:pStyle w:val="enumlev1"/>
        <w:keepNext/>
        <w:keepLines/>
        <w:rPr>
          <w:lang w:val="fr-FR"/>
        </w:rPr>
      </w:pPr>
      <w:r w:rsidRPr="00FB042F">
        <w:rPr>
          <w:lang w:val="fr-FR"/>
        </w:rPr>
        <w:t>–</w:t>
      </w:r>
      <w:r w:rsidRPr="00FB042F">
        <w:rPr>
          <w:lang w:val="fr-FR"/>
        </w:rPr>
        <w:tab/>
        <w:t xml:space="preserve">Le BDT a pris plusieurs mesures visant à renforcer les </w:t>
      </w:r>
      <w:r w:rsidRPr="00FB042F">
        <w:rPr>
          <w:b/>
          <w:bCs/>
          <w:lang w:val="fr-FR"/>
        </w:rPr>
        <w:t>efforts de sensibilisation et de mobilisation</w:t>
      </w:r>
      <w:r w:rsidRPr="00FB042F">
        <w:rPr>
          <w:lang w:val="fr-FR"/>
        </w:rPr>
        <w:t>, moyennant des campagnes promotionnelles menées sur des plates-formes de réseaux sociaux et des activités de communication ciblées, afin de rechercher divers types de public lors d'expositions technologiques d'envergure mondiale. Le BDT s'est également efforcé de transformer les plates-formes existantes de la gamme de produits et services de l'UIT-D en canaux efficaces de sensibilisation des membres. Un nombre accru de séances d'information ont été organisées tout au long de l'année 2024 et ont été l'occasion de réunir des experts thématiques et des membres de l'UIT-D (que ce soit en présentiel ou en ligne), ce qui a permis de mieux faire connaître les domaines d'activité.</w:t>
      </w:r>
    </w:p>
    <w:p w14:paraId="18913314" w14:textId="0DEFDFF2" w:rsidR="00A02118" w:rsidRPr="00FB042F" w:rsidRDefault="00A02118" w:rsidP="000A4811">
      <w:pPr>
        <w:pStyle w:val="enumlev1"/>
        <w:rPr>
          <w:lang w:val="fr-FR"/>
        </w:rPr>
      </w:pPr>
      <w:r w:rsidRPr="00FB042F">
        <w:rPr>
          <w:lang w:val="fr-FR"/>
        </w:rPr>
        <w:t>–</w:t>
      </w:r>
      <w:r w:rsidRPr="00FB042F">
        <w:rPr>
          <w:lang w:val="fr-FR"/>
        </w:rPr>
        <w:tab/>
        <w:t xml:space="preserve">Le </w:t>
      </w:r>
      <w:r w:rsidRPr="00FB042F">
        <w:rPr>
          <w:b/>
          <w:bCs/>
          <w:lang w:val="fr-FR"/>
        </w:rPr>
        <w:t>Groupe consultatif de professionnels chargé des questions de développement et des Directeurs de la réglementation du secteur privé (IAGDI-CRO)</w:t>
      </w:r>
      <w:r w:rsidRPr="00FB042F">
        <w:rPr>
          <w:lang w:val="fr-FR"/>
        </w:rPr>
        <w:t xml:space="preserve"> a continué de mobiliser un nombre croissant de Membres du Secteur de l'UIT-D. En particulier, deux réunions ont été organisées en</w:t>
      </w:r>
      <w:r w:rsidR="000A4811" w:rsidRPr="00FB042F">
        <w:rPr>
          <w:lang w:val="fr-FR"/>
        </w:rPr>
        <w:t> </w:t>
      </w:r>
      <w:r w:rsidRPr="00FB042F">
        <w:rPr>
          <w:lang w:val="fr-FR"/>
        </w:rPr>
        <w:t>2024:</w:t>
      </w:r>
    </w:p>
    <w:p w14:paraId="1561473B" w14:textId="054C811A" w:rsidR="00A02118" w:rsidRPr="00FB042F" w:rsidRDefault="000A4811" w:rsidP="000A4811">
      <w:pPr>
        <w:pStyle w:val="enumlev2"/>
        <w:rPr>
          <w:lang w:val="fr-FR"/>
        </w:rPr>
      </w:pPr>
      <w:r w:rsidRPr="00FB042F">
        <w:rPr>
          <w:lang w:val="fr-FR"/>
        </w:rPr>
        <w:t>•</w:t>
      </w:r>
      <w:r w:rsidR="00A02118" w:rsidRPr="00FB042F">
        <w:rPr>
          <w:lang w:val="fr-FR"/>
        </w:rPr>
        <w:tab/>
        <w:t>La consultation virtuelle de printemps du Groupe IAGDI-CRO, qui a été l'occasion d'encourager les Membres du Secteur de l'UIT-D à soumettre davantage de contributions au processus de consultation sur les lignes directrices relatives aux bonnes pratiques du Colloque mondial des régulateurs de 2024 (GSR-24) et de rassembler des vues sur la définition des thèmes de la réunion principale du</w:t>
      </w:r>
      <w:r w:rsidR="00D759A0" w:rsidRPr="00FB042F">
        <w:rPr>
          <w:lang w:val="fr-FR"/>
        </w:rPr>
        <w:t xml:space="preserve"> </w:t>
      </w:r>
      <w:r w:rsidR="00A02118" w:rsidRPr="00FB042F">
        <w:rPr>
          <w:lang w:val="fr-FR"/>
        </w:rPr>
        <w:t>Groupe</w:t>
      </w:r>
      <w:r w:rsidRPr="00FB042F">
        <w:rPr>
          <w:lang w:val="fr-FR"/>
        </w:rPr>
        <w:t> </w:t>
      </w:r>
      <w:r w:rsidR="00A02118" w:rsidRPr="00FB042F">
        <w:rPr>
          <w:lang w:val="fr-FR"/>
        </w:rPr>
        <w:t xml:space="preserve">IAGDI-CRO prévue durant le GSR-24. Le rapport du </w:t>
      </w:r>
      <w:r w:rsidRPr="00FB042F">
        <w:rPr>
          <w:lang w:val="fr-FR"/>
        </w:rPr>
        <w:t>p</w:t>
      </w:r>
      <w:r w:rsidR="00A02118" w:rsidRPr="00FB042F">
        <w:rPr>
          <w:lang w:val="fr-FR"/>
        </w:rPr>
        <w:t>résident est disponible</w:t>
      </w:r>
      <w:r w:rsidRPr="00FB042F">
        <w:rPr>
          <w:lang w:val="fr-FR"/>
        </w:rPr>
        <w:t> </w:t>
      </w:r>
      <w:hyperlink r:id="rId24" w:history="1">
        <w:r w:rsidR="00A02118" w:rsidRPr="00FB042F">
          <w:rPr>
            <w:rStyle w:val="Hyperlink"/>
            <w:lang w:val="fr-FR"/>
          </w:rPr>
          <w:t>ic</w:t>
        </w:r>
        <w:r w:rsidR="00A02118" w:rsidRPr="00FB042F">
          <w:rPr>
            <w:rStyle w:val="Hyperlink"/>
            <w:lang w:val="fr-FR"/>
          </w:rPr>
          <w:t>i</w:t>
        </w:r>
      </w:hyperlink>
      <w:r w:rsidR="00A02118" w:rsidRPr="00FB042F">
        <w:rPr>
          <w:lang w:val="fr-FR"/>
        </w:rPr>
        <w:t>.</w:t>
      </w:r>
    </w:p>
    <w:p w14:paraId="4FF6686A" w14:textId="5726AB27" w:rsidR="00A02118" w:rsidRPr="00FB042F" w:rsidRDefault="000A4811" w:rsidP="000A4811">
      <w:pPr>
        <w:pStyle w:val="enumlev2"/>
        <w:rPr>
          <w:lang w:val="fr-FR"/>
        </w:rPr>
      </w:pPr>
      <w:r w:rsidRPr="00FB042F">
        <w:rPr>
          <w:lang w:val="fr-FR"/>
        </w:rPr>
        <w:t>•</w:t>
      </w:r>
      <w:r w:rsidR="00A02118" w:rsidRPr="00FB042F">
        <w:rPr>
          <w:lang w:val="fr-FR"/>
        </w:rPr>
        <w:tab/>
        <w:t xml:space="preserve">La réunion du Groupe IAGDI-CRO, qui s'est tenue durant le GSR-24 à Kampala (Ouganda). L'intérêt et l'engagement des Membres du Secteur de l'UIT-D se sont traduits par leurs contributions et un nombre record de participants à la manifestation. La </w:t>
      </w:r>
      <w:hyperlink r:id="rId25" w:history="1">
        <w:r w:rsidR="00A02118" w:rsidRPr="00FB042F">
          <w:rPr>
            <w:rStyle w:val="Hyperlink"/>
            <w:lang w:val="fr-FR"/>
          </w:rPr>
          <w:t>Déclaration f</w:t>
        </w:r>
        <w:r w:rsidR="00A02118" w:rsidRPr="00FB042F">
          <w:rPr>
            <w:rStyle w:val="Hyperlink"/>
            <w:lang w:val="fr-FR"/>
          </w:rPr>
          <w:t>i</w:t>
        </w:r>
        <w:r w:rsidR="00A02118" w:rsidRPr="00FB042F">
          <w:rPr>
            <w:rStyle w:val="Hyperlink"/>
            <w:lang w:val="fr-FR"/>
          </w:rPr>
          <w:t>n</w:t>
        </w:r>
        <w:r w:rsidR="00A02118" w:rsidRPr="00FB042F">
          <w:rPr>
            <w:rStyle w:val="Hyperlink"/>
            <w:lang w:val="fr-FR"/>
          </w:rPr>
          <w:t>a</w:t>
        </w:r>
        <w:r w:rsidR="00A02118" w:rsidRPr="00FB042F">
          <w:rPr>
            <w:rStyle w:val="Hyperlink"/>
            <w:lang w:val="fr-FR"/>
          </w:rPr>
          <w:t>le</w:t>
        </w:r>
      </w:hyperlink>
      <w:r w:rsidR="00A02118" w:rsidRPr="00FB042F">
        <w:rPr>
          <w:lang w:val="fr-FR"/>
        </w:rPr>
        <w:t xml:space="preserve"> de la réunion et le </w:t>
      </w:r>
      <w:hyperlink r:id="rId26" w:history="1">
        <w:r w:rsidR="00A82EBD" w:rsidRPr="00FB042F">
          <w:rPr>
            <w:rStyle w:val="Hyperlink"/>
            <w:lang w:val="fr-FR"/>
          </w:rPr>
          <w:t>Rapport</w:t>
        </w:r>
        <w:r w:rsidR="00A82EBD" w:rsidRPr="00FB042F">
          <w:rPr>
            <w:rStyle w:val="Hyperlink"/>
            <w:lang w:val="fr-FR"/>
          </w:rPr>
          <w:t xml:space="preserve"> </w:t>
        </w:r>
        <w:r w:rsidR="00A82EBD" w:rsidRPr="00FB042F">
          <w:rPr>
            <w:rStyle w:val="Hyperlink"/>
            <w:lang w:val="fr-FR"/>
          </w:rPr>
          <w:t>du président</w:t>
        </w:r>
      </w:hyperlink>
      <w:r w:rsidR="00A02118" w:rsidRPr="00FB042F">
        <w:rPr>
          <w:lang w:val="fr-FR"/>
        </w:rPr>
        <w:t xml:space="preserve"> sont disponibles en ligne. La prochaine réunion du Groupe IAGDI-CRO aura lieu le</w:t>
      </w:r>
      <w:r w:rsidRPr="00FB042F">
        <w:rPr>
          <w:lang w:val="fr-FR"/>
        </w:rPr>
        <w:t> </w:t>
      </w:r>
      <w:r w:rsidR="00A02118" w:rsidRPr="00FB042F">
        <w:rPr>
          <w:b/>
          <w:bCs/>
          <w:lang w:val="fr-FR"/>
        </w:rPr>
        <w:t>2</w:t>
      </w:r>
      <w:r w:rsidRPr="00FB042F">
        <w:rPr>
          <w:b/>
          <w:bCs/>
          <w:lang w:val="fr-FR"/>
        </w:rPr>
        <w:t> </w:t>
      </w:r>
      <w:r w:rsidR="00A02118" w:rsidRPr="00FB042F">
        <w:rPr>
          <w:b/>
          <w:bCs/>
          <w:lang w:val="fr-FR"/>
        </w:rPr>
        <w:t>septembre 2025</w:t>
      </w:r>
      <w:r w:rsidR="00A02118" w:rsidRPr="00FB042F">
        <w:rPr>
          <w:lang w:val="fr-FR"/>
        </w:rPr>
        <w:t xml:space="preserve"> à Riyad (Royaume d'Arabie saoudite), à l'occasion du GSR-25.</w:t>
      </w:r>
    </w:p>
    <w:p w14:paraId="3B109D60" w14:textId="4D6A52CD" w:rsidR="00A02118" w:rsidRPr="00FB042F" w:rsidRDefault="000A4811" w:rsidP="008268F0">
      <w:pPr>
        <w:pStyle w:val="enumlev1"/>
        <w:rPr>
          <w:lang w:val="fr-FR"/>
        </w:rPr>
      </w:pPr>
      <w:r w:rsidRPr="00FB042F">
        <w:rPr>
          <w:lang w:val="fr-FR"/>
        </w:rPr>
        <w:t>–</w:t>
      </w:r>
      <w:r w:rsidR="00A02118" w:rsidRPr="00FB042F">
        <w:rPr>
          <w:lang w:val="fr-FR"/>
        </w:rPr>
        <w:tab/>
        <w:t xml:space="preserve">De plus, pour la première fois, le </w:t>
      </w:r>
      <w:r w:rsidR="00A02118" w:rsidRPr="00FB042F">
        <w:rPr>
          <w:b/>
          <w:bCs/>
          <w:lang w:val="fr-FR"/>
        </w:rPr>
        <w:t>Groupe IAGDI-CRO</w:t>
      </w:r>
      <w:r w:rsidR="00A02118" w:rsidRPr="00FB042F">
        <w:rPr>
          <w:lang w:val="fr-FR"/>
        </w:rPr>
        <w:t xml:space="preserve"> a organisé</w:t>
      </w:r>
      <w:r w:rsidR="00A02118" w:rsidRPr="00FB042F">
        <w:rPr>
          <w:b/>
          <w:bCs/>
          <w:lang w:val="fr-FR"/>
        </w:rPr>
        <w:t xml:space="preserve"> deux discussions sur les technologies ("TECH TALKS") en février 2025</w:t>
      </w:r>
      <w:r w:rsidR="00A02118" w:rsidRPr="00FB042F">
        <w:rPr>
          <w:lang w:val="fr-FR"/>
        </w:rPr>
        <w:t xml:space="preserve">, chacune portant sur les thèmes à l'examen au sein des </w:t>
      </w:r>
      <w:r w:rsidR="00A02118" w:rsidRPr="00FB042F">
        <w:rPr>
          <w:b/>
          <w:bCs/>
          <w:lang w:val="fr-FR"/>
        </w:rPr>
        <w:t>Commissions d'études 1 et 2 de l'UIT-D</w:t>
      </w:r>
      <w:r w:rsidR="00A02118" w:rsidRPr="00FB042F">
        <w:rPr>
          <w:lang w:val="fr-FR"/>
        </w:rPr>
        <w:t xml:space="preserve">, respectivement. Ces discussions ont favorisé la collaboration entre les Membres du Secteur de l'UIT-D, les équipes de direction des </w:t>
      </w:r>
      <w:r w:rsidR="00566A11" w:rsidRPr="00FB042F">
        <w:rPr>
          <w:lang w:val="fr-FR"/>
        </w:rPr>
        <w:t>c</w:t>
      </w:r>
      <w:r w:rsidR="00A02118" w:rsidRPr="00FB042F">
        <w:rPr>
          <w:lang w:val="fr-FR"/>
        </w:rPr>
        <w:t>ommissions d'études de l'UIT-D et les membres de l'UIT-D, et ont suscité des débats prospectifs sur les tendances et les technologies numériques de pointe qui pourraient influencer les travaux futurs de l'UIT-D, y compris l'élaboration de nouvelles Questions confiées aux commissions études qui seront adoptées à la CMDT-25.</w:t>
      </w:r>
    </w:p>
    <w:p w14:paraId="077230D0" w14:textId="6AB10863" w:rsidR="00A02118" w:rsidRPr="00FB042F" w:rsidRDefault="000A4811" w:rsidP="008268F0">
      <w:pPr>
        <w:pStyle w:val="enumlev2"/>
        <w:rPr>
          <w:lang w:val="fr-FR"/>
        </w:rPr>
      </w:pPr>
      <w:r w:rsidRPr="00FB042F">
        <w:rPr>
          <w:lang w:val="fr-FR"/>
        </w:rPr>
        <w:t>•</w:t>
      </w:r>
      <w:r w:rsidR="00A02118" w:rsidRPr="00FB042F">
        <w:rPr>
          <w:lang w:val="fr-FR"/>
        </w:rPr>
        <w:tab/>
        <w:t xml:space="preserve">Les rapports sur les </w:t>
      </w:r>
      <w:r w:rsidR="00A02118" w:rsidRPr="00FB042F">
        <w:rPr>
          <w:b/>
          <w:bCs/>
          <w:lang w:val="fr-FR"/>
        </w:rPr>
        <w:t>discussions "TECH TALKS"</w:t>
      </w:r>
      <w:r w:rsidR="00A02118" w:rsidRPr="00FB042F">
        <w:rPr>
          <w:lang w:val="fr-FR"/>
        </w:rPr>
        <w:t xml:space="preserve"> consacrées aux thèmes "</w:t>
      </w:r>
      <w:r w:rsidR="00A02118" w:rsidRPr="00FB042F">
        <w:rPr>
          <w:b/>
          <w:bCs/>
          <w:lang w:val="fr-FR"/>
        </w:rPr>
        <w:t>Environnement propice à une connectivité efficace</w:t>
      </w:r>
      <w:r w:rsidR="00A02118" w:rsidRPr="00FB042F">
        <w:rPr>
          <w:lang w:val="fr-FR"/>
        </w:rPr>
        <w:t>" et "</w:t>
      </w:r>
      <w:r w:rsidR="00A02118" w:rsidRPr="00FB042F">
        <w:rPr>
          <w:b/>
          <w:bCs/>
          <w:lang w:val="fr-FR"/>
        </w:rPr>
        <w:t>Transformation numérique</w:t>
      </w:r>
      <w:r w:rsidR="00A02118" w:rsidRPr="00FB042F">
        <w:rPr>
          <w:lang w:val="fr-FR"/>
        </w:rPr>
        <w:t xml:space="preserve">" ont été présentés au Groupe de travail du GCDT sur l'avenir des Questions confiées aux commissions d'études (GT-GCDT-SGQ), qui en a pris note avec satisfaction. Ces rapports sont disponibles </w:t>
      </w:r>
      <w:hyperlink r:id="rId27" w:history="1">
        <w:r w:rsidR="00A02118" w:rsidRPr="00FB042F">
          <w:rPr>
            <w:rStyle w:val="Hyperlink"/>
            <w:lang w:val="fr-FR"/>
          </w:rPr>
          <w:t>ic</w:t>
        </w:r>
        <w:r w:rsidR="00A02118" w:rsidRPr="00FB042F">
          <w:rPr>
            <w:rStyle w:val="Hyperlink"/>
            <w:lang w:val="fr-FR"/>
          </w:rPr>
          <w:t>i</w:t>
        </w:r>
      </w:hyperlink>
      <w:r w:rsidR="00A02118" w:rsidRPr="00FB042F">
        <w:rPr>
          <w:lang w:val="fr-FR"/>
        </w:rPr>
        <w:t>.</w:t>
      </w:r>
    </w:p>
    <w:p w14:paraId="42C7533C" w14:textId="7F6928F9" w:rsidR="00A02118" w:rsidRPr="00FB042F" w:rsidRDefault="000A4811" w:rsidP="00A82EBD">
      <w:pPr>
        <w:pStyle w:val="enumlev1"/>
        <w:keepLines/>
        <w:rPr>
          <w:lang w:val="fr-FR"/>
        </w:rPr>
      </w:pPr>
      <w:r w:rsidRPr="00FB042F">
        <w:rPr>
          <w:lang w:val="fr-FR"/>
        </w:rPr>
        <w:lastRenderedPageBreak/>
        <w:t>–</w:t>
      </w:r>
      <w:r w:rsidR="00A02118" w:rsidRPr="00FB042F">
        <w:rPr>
          <w:lang w:val="fr-FR"/>
        </w:rPr>
        <w:tab/>
        <w:t xml:space="preserve">Le BDT a continué de promouvoir le statut de membre de l'UIT-D durant une </w:t>
      </w:r>
      <w:r w:rsidR="00A02118" w:rsidRPr="00FB042F">
        <w:rPr>
          <w:b/>
          <w:bCs/>
          <w:lang w:val="fr-FR"/>
        </w:rPr>
        <w:t>session spéciale</w:t>
      </w:r>
      <w:r w:rsidR="00A02118" w:rsidRPr="00FB042F">
        <w:rPr>
          <w:lang w:val="fr-FR"/>
        </w:rPr>
        <w:t xml:space="preserve"> organisée à l'occasion de la </w:t>
      </w:r>
      <w:r w:rsidR="00A02118" w:rsidRPr="00FB042F">
        <w:rPr>
          <w:b/>
          <w:bCs/>
          <w:lang w:val="fr-FR"/>
        </w:rPr>
        <w:t>réunion de 2024 du GCDT</w:t>
      </w:r>
      <w:r w:rsidR="00A02118" w:rsidRPr="00FB042F">
        <w:rPr>
          <w:lang w:val="fr-FR"/>
        </w:rPr>
        <w:t xml:space="preserve">, qui a été l'occasion de reconnaître et de saluer les contributions significatives des membres et des partenaires de l'UIT-D aux travaux du Secteur. De plus, le BDT n'a de cesse de mettre en avant de </w:t>
      </w:r>
      <w:r w:rsidR="00A02118" w:rsidRPr="00FB042F">
        <w:rPr>
          <w:b/>
          <w:bCs/>
          <w:lang w:val="fr-FR"/>
        </w:rPr>
        <w:t>nouveaux membres</w:t>
      </w:r>
      <w:r w:rsidR="00A02118" w:rsidRPr="00FB042F">
        <w:rPr>
          <w:lang w:val="fr-FR"/>
        </w:rPr>
        <w:t xml:space="preserve"> sur les réseaux sociaux, notamment via des vidéos de </w:t>
      </w:r>
      <w:r w:rsidR="00A02118" w:rsidRPr="00FB042F">
        <w:rPr>
          <w:b/>
          <w:bCs/>
          <w:lang w:val="fr-FR"/>
        </w:rPr>
        <w:t>témoignages</w:t>
      </w:r>
      <w:r w:rsidR="00A02118" w:rsidRPr="00FB042F">
        <w:rPr>
          <w:lang w:val="fr-FR"/>
        </w:rPr>
        <w:t>, qui donnent de la visibilité aux membres et permettent d'attirer de nouveaux membres potentiels.</w:t>
      </w:r>
    </w:p>
    <w:p w14:paraId="73D0FD0F" w14:textId="756BDF7C" w:rsidR="00A02118" w:rsidRPr="00FB042F" w:rsidRDefault="000A4811" w:rsidP="008268F0">
      <w:pPr>
        <w:pStyle w:val="enumlev1"/>
        <w:rPr>
          <w:lang w:val="fr-FR"/>
        </w:rPr>
      </w:pPr>
      <w:r w:rsidRPr="00FB042F">
        <w:rPr>
          <w:lang w:val="fr-FR"/>
        </w:rPr>
        <w:t>–</w:t>
      </w:r>
      <w:r w:rsidR="00A02118" w:rsidRPr="00FB042F">
        <w:rPr>
          <w:lang w:val="fr-FR"/>
        </w:rPr>
        <w:tab/>
        <w:t xml:space="preserve">En 2024, le BDT a continué d'organiser des </w:t>
      </w:r>
      <w:r w:rsidR="00A02118" w:rsidRPr="00FB042F">
        <w:rPr>
          <w:b/>
          <w:bCs/>
          <w:lang w:val="fr-FR"/>
        </w:rPr>
        <w:t>séances d'information virtuelles</w:t>
      </w:r>
      <w:r w:rsidR="00A02118" w:rsidRPr="00FB042F">
        <w:rPr>
          <w:lang w:val="fr-FR"/>
        </w:rPr>
        <w:t xml:space="preserve"> et des </w:t>
      </w:r>
      <w:r w:rsidR="00A02118" w:rsidRPr="00FB042F">
        <w:rPr>
          <w:b/>
          <w:bCs/>
          <w:lang w:val="fr-FR"/>
        </w:rPr>
        <w:t>visites du siège de l'UIT</w:t>
      </w:r>
      <w:r w:rsidR="00A02118" w:rsidRPr="00FB042F">
        <w:rPr>
          <w:lang w:val="fr-FR"/>
        </w:rPr>
        <w:t xml:space="preserve"> à l'intention de plusieurs Membres du Secteur de l'UIT-D, d'Associés, d'établissements universitaires et d'autres entités intéressées, afin de présenter les avantages offerts aux membres et les possibilités de s'engager aux côtés de l'UIT-D.</w:t>
      </w:r>
    </w:p>
    <w:p w14:paraId="3389279B" w14:textId="7D94B8C2" w:rsidR="00A02118" w:rsidRPr="00FB042F" w:rsidRDefault="000A4811" w:rsidP="008268F0">
      <w:pPr>
        <w:pStyle w:val="enumlev1"/>
        <w:rPr>
          <w:lang w:val="fr-FR"/>
        </w:rPr>
      </w:pPr>
      <w:r w:rsidRPr="00FB042F">
        <w:rPr>
          <w:lang w:val="fr-FR"/>
        </w:rPr>
        <w:t>–</w:t>
      </w:r>
      <w:r w:rsidR="00A02118" w:rsidRPr="00FB042F">
        <w:rPr>
          <w:lang w:val="fr-FR"/>
        </w:rPr>
        <w:tab/>
        <w:t>En outre, conformément à la stratégie de mobilisation des ressources approuvée par le Conseil à sa session de 2024 (</w:t>
      </w:r>
      <w:hyperlink r:id="rId28" w:history="1">
        <w:r w:rsidR="00A02118" w:rsidRPr="00FB042F">
          <w:rPr>
            <w:rStyle w:val="Hyperlink"/>
            <w:lang w:val="fr-FR"/>
          </w:rPr>
          <w:t>Document C24</w:t>
        </w:r>
        <w:r w:rsidR="00A02118" w:rsidRPr="00FB042F">
          <w:rPr>
            <w:rStyle w:val="Hyperlink"/>
            <w:lang w:val="fr-FR"/>
          </w:rPr>
          <w:t>/</w:t>
        </w:r>
        <w:r w:rsidR="00A02118" w:rsidRPr="00FB042F">
          <w:rPr>
            <w:rStyle w:val="Hyperlink"/>
            <w:lang w:val="fr-FR"/>
          </w:rPr>
          <w:t>70</w:t>
        </w:r>
      </w:hyperlink>
      <w:r w:rsidR="00A02118" w:rsidRPr="00FB042F">
        <w:rPr>
          <w:lang w:val="fr-FR"/>
        </w:rPr>
        <w:t>), le Groupe de travail du Conseil sur les ressources financières et les ressources humaines (GTC-FHR), à sa vingtième réunion tenue du 17 au 19 février 2025, a convenu d'une note de liaison (</w:t>
      </w:r>
      <w:hyperlink r:id="rId29" w:history="1">
        <w:r w:rsidR="00A02118" w:rsidRPr="00FB042F">
          <w:rPr>
            <w:rStyle w:val="Hyperlink"/>
            <w:lang w:val="fr-FR"/>
          </w:rPr>
          <w:t>Document</w:t>
        </w:r>
        <w:r w:rsidR="005A7E07" w:rsidRPr="00FB042F">
          <w:rPr>
            <w:rStyle w:val="Hyperlink"/>
            <w:lang w:val="fr-FR"/>
          </w:rPr>
          <w:t> </w:t>
        </w:r>
        <w:r w:rsidR="00A02118" w:rsidRPr="00FB042F">
          <w:rPr>
            <w:rStyle w:val="Hyperlink"/>
            <w:lang w:val="fr-FR"/>
          </w:rPr>
          <w:t>CWG</w:t>
        </w:r>
        <w:r w:rsidR="005A7E07" w:rsidRPr="00FB042F">
          <w:rPr>
            <w:rStyle w:val="Hyperlink"/>
            <w:lang w:val="fr-FR"/>
          </w:rPr>
          <w:noBreakHyphen/>
        </w:r>
        <w:r w:rsidR="00A02118" w:rsidRPr="00FB042F">
          <w:rPr>
            <w:rStyle w:val="Hyperlink"/>
            <w:lang w:val="fr-FR"/>
          </w:rPr>
          <w:t>FHR</w:t>
        </w:r>
        <w:r w:rsidR="005A7E07" w:rsidRPr="00FB042F">
          <w:rPr>
            <w:rStyle w:val="Hyperlink"/>
            <w:lang w:val="fr-FR"/>
          </w:rPr>
          <w:noBreakHyphen/>
        </w:r>
        <w:r w:rsidR="00A02118" w:rsidRPr="00FB042F">
          <w:rPr>
            <w:rStyle w:val="Hyperlink"/>
            <w:lang w:val="fr-FR"/>
          </w:rPr>
          <w:t>20/20</w:t>
        </w:r>
        <w:r w:rsidR="00A02118" w:rsidRPr="00FB042F">
          <w:rPr>
            <w:rStyle w:val="Hyperlink"/>
            <w:lang w:val="fr-FR"/>
          </w:rPr>
          <w:t>(</w:t>
        </w:r>
        <w:r w:rsidR="00A02118" w:rsidRPr="00FB042F">
          <w:rPr>
            <w:rStyle w:val="Hyperlink"/>
            <w:lang w:val="fr-FR"/>
          </w:rPr>
          <w:t>Rév.1)</w:t>
        </w:r>
      </w:hyperlink>
      <w:r w:rsidR="00A02118" w:rsidRPr="00FB042F">
        <w:rPr>
          <w:lang w:val="fr-FR"/>
        </w:rPr>
        <w:t>), qui a été transmise au Groupe consultatif de chaque Secteur, afin d'inviter les Secteurs à mener une consultation auprès des membres qui les composent sur la façon de renforcer la participation des Membres de Secteur et d'accroître les produits correspondants, et à rendre compte de leurs conclusions au GTC</w:t>
      </w:r>
      <w:r w:rsidR="005A7E07" w:rsidRPr="00FB042F">
        <w:rPr>
          <w:lang w:val="fr-FR"/>
        </w:rPr>
        <w:noBreakHyphen/>
      </w:r>
      <w:r w:rsidR="00A02118" w:rsidRPr="00FB042F">
        <w:rPr>
          <w:lang w:val="fr-FR"/>
        </w:rPr>
        <w:t>FHR en septembre 2025. La note de liaison est reproduite dans l'</w:t>
      </w:r>
      <w:r w:rsidR="00A02118" w:rsidRPr="00FB042F">
        <w:rPr>
          <w:b/>
          <w:bCs/>
          <w:lang w:val="fr-FR"/>
        </w:rPr>
        <w:t>Annexe 1</w:t>
      </w:r>
      <w:r w:rsidR="00A02118" w:rsidRPr="00FB042F">
        <w:rPr>
          <w:lang w:val="fr-FR"/>
        </w:rPr>
        <w:t xml:space="preserve"> du présent document.</w:t>
      </w:r>
    </w:p>
    <w:p w14:paraId="2FC1223A" w14:textId="77777777" w:rsidR="00A02118" w:rsidRPr="00FB042F" w:rsidRDefault="00A02118" w:rsidP="00B2114D">
      <w:pPr>
        <w:pStyle w:val="Heading1"/>
        <w:rPr>
          <w:lang w:val="fr-FR"/>
        </w:rPr>
      </w:pPr>
      <w:r w:rsidRPr="00FB042F">
        <w:rPr>
          <w:lang w:val="fr-FR"/>
        </w:rPr>
        <w:t>4</w:t>
      </w:r>
      <w:r w:rsidRPr="00FB042F">
        <w:rPr>
          <w:lang w:val="fr-FR"/>
        </w:rPr>
        <w:tab/>
        <w:t>Coordination interne et amélioration des processus en 2024</w:t>
      </w:r>
    </w:p>
    <w:p w14:paraId="1F4AD866" w14:textId="69688208" w:rsidR="00A02118" w:rsidRPr="00FB042F" w:rsidRDefault="00A02118" w:rsidP="00A02118">
      <w:pPr>
        <w:rPr>
          <w:lang w:val="fr-FR"/>
        </w:rPr>
      </w:pPr>
      <w:r w:rsidRPr="00FB042F">
        <w:rPr>
          <w:lang w:val="fr-FR"/>
        </w:rPr>
        <w:t>Le BDT poursuit sa coordination au niveau interne avec les autres Secteurs et le Secrétariat général, en particulier le Département de la planification stratégique et des relations avec les membres (SPM), afin de perfectionner les processus utilisés pour améliorer l'expérience des membres, notamment moyennant les mesures suivantes:</w:t>
      </w:r>
    </w:p>
    <w:p w14:paraId="155C85EB" w14:textId="704FE552" w:rsidR="00A02118" w:rsidRPr="00FB042F" w:rsidRDefault="00B2114D" w:rsidP="00B2114D">
      <w:pPr>
        <w:pStyle w:val="enumlev1"/>
        <w:rPr>
          <w:lang w:val="fr-FR"/>
        </w:rPr>
      </w:pPr>
      <w:r w:rsidRPr="00FB042F">
        <w:rPr>
          <w:lang w:val="fr-FR"/>
        </w:rPr>
        <w:t>–</w:t>
      </w:r>
      <w:r w:rsidR="00A02118" w:rsidRPr="00FB042F">
        <w:rPr>
          <w:lang w:val="fr-FR"/>
        </w:rPr>
        <w:tab/>
        <w:t>Redoubler d'efforts pour une intégration plus efficace des nouveaux membres et mobiliser les équipes de spécialistes afin de garantir la participation en faveur des produits et des services de l'UIT-D.</w:t>
      </w:r>
    </w:p>
    <w:p w14:paraId="198A3914" w14:textId="67770C50" w:rsidR="00A02118" w:rsidRPr="00FB042F" w:rsidRDefault="00B2114D" w:rsidP="00B2114D">
      <w:pPr>
        <w:pStyle w:val="enumlev1"/>
        <w:rPr>
          <w:lang w:val="fr-FR"/>
        </w:rPr>
      </w:pPr>
      <w:r w:rsidRPr="00FB042F">
        <w:rPr>
          <w:lang w:val="fr-FR"/>
        </w:rPr>
        <w:t>–</w:t>
      </w:r>
      <w:r w:rsidR="00A02118" w:rsidRPr="00FB042F">
        <w:rPr>
          <w:lang w:val="fr-FR"/>
        </w:rPr>
        <w:tab/>
        <w:t>Repenser le site web pour les membres, avec un contenu actualisé, une présentation plus limpide des avantages et des processus de candidature simplifiés, afin d'encourager les entités intéressées à devenir membres.</w:t>
      </w:r>
    </w:p>
    <w:p w14:paraId="66BC6A49" w14:textId="69DEBA35" w:rsidR="00A02118" w:rsidRPr="00FB042F" w:rsidRDefault="00B2114D" w:rsidP="00B2114D">
      <w:pPr>
        <w:pStyle w:val="enumlev1"/>
        <w:rPr>
          <w:lang w:val="fr-FR"/>
        </w:rPr>
      </w:pPr>
      <w:r w:rsidRPr="00FB042F">
        <w:rPr>
          <w:lang w:val="fr-FR"/>
        </w:rPr>
        <w:t>–</w:t>
      </w:r>
      <w:r w:rsidR="00A02118" w:rsidRPr="00FB042F">
        <w:rPr>
          <w:lang w:val="fr-FR"/>
        </w:rPr>
        <w:tab/>
        <w:t>Travailler en coordination avec les autres Secteurs et le Secrétariat général afin de trouver des moyens de renforcer la participation des Membres de Secteur et d'accroître les produits correspondants, conformément à la stratégie de mobilisation des ressources approuvée par le Conseil à sa session de 2024.</w:t>
      </w:r>
    </w:p>
    <w:p w14:paraId="6546714C" w14:textId="77777777" w:rsidR="00A02118" w:rsidRPr="00FB042F" w:rsidRDefault="00A02118" w:rsidP="00E95F8B">
      <w:pPr>
        <w:pStyle w:val="Heading1"/>
        <w:rPr>
          <w:lang w:val="fr-FR"/>
        </w:rPr>
      </w:pPr>
      <w:r w:rsidRPr="00FB042F">
        <w:rPr>
          <w:lang w:val="fr-FR"/>
        </w:rPr>
        <w:lastRenderedPageBreak/>
        <w:t>5</w:t>
      </w:r>
      <w:r w:rsidRPr="00FB042F">
        <w:rPr>
          <w:lang w:val="fr-FR"/>
        </w:rPr>
        <w:tab/>
        <w:t>Conclusions</w:t>
      </w:r>
    </w:p>
    <w:p w14:paraId="5A755756" w14:textId="77777777" w:rsidR="00A02118" w:rsidRPr="00FB042F" w:rsidRDefault="00A02118" w:rsidP="00E95F8B">
      <w:pPr>
        <w:keepNext/>
        <w:keepLines/>
        <w:rPr>
          <w:lang w:val="fr-FR"/>
        </w:rPr>
      </w:pPr>
      <w:r w:rsidRPr="00FB042F">
        <w:rPr>
          <w:lang w:val="fr-FR"/>
        </w:rPr>
        <w:t>Le BDT s'engage à:</w:t>
      </w:r>
    </w:p>
    <w:p w14:paraId="62A45934" w14:textId="77777777" w:rsidR="00A02118" w:rsidRPr="00FB042F" w:rsidRDefault="00A02118" w:rsidP="00E95F8B">
      <w:pPr>
        <w:pStyle w:val="enumlev1"/>
        <w:keepNext/>
        <w:keepLines/>
        <w:rPr>
          <w:lang w:val="fr-FR"/>
        </w:rPr>
      </w:pPr>
      <w:r w:rsidRPr="00FB042F">
        <w:rPr>
          <w:lang w:val="fr-FR"/>
        </w:rPr>
        <w:t>a)</w:t>
      </w:r>
      <w:r w:rsidRPr="00FB042F">
        <w:rPr>
          <w:lang w:val="fr-FR"/>
        </w:rPr>
        <w:tab/>
        <w:t>continuer de renforcer la participation significative des membres de l'UIT-D dans le cadre de la mise en œuvre du Plan d'action de Kigali, au moyen de séances d'information, de missions officielles et de sessions de discussions sur les technologies ("TECH TALKS"), et en démontrant les avantages de la participation à ces travaux et en mettant en place des partenariats pour dégager des ressources destinées à des projets et des initiatives ayant des retombées concrètes;</w:t>
      </w:r>
    </w:p>
    <w:p w14:paraId="55FF0D5C" w14:textId="212B016E" w:rsidR="00A02118" w:rsidRPr="00FB042F" w:rsidRDefault="00A02118" w:rsidP="00B2114D">
      <w:pPr>
        <w:pStyle w:val="enumlev1"/>
        <w:rPr>
          <w:lang w:val="fr-FR"/>
        </w:rPr>
      </w:pPr>
      <w:r w:rsidRPr="00FB042F">
        <w:rPr>
          <w:lang w:val="fr-FR"/>
        </w:rPr>
        <w:t>b)</w:t>
      </w:r>
      <w:r w:rsidRPr="00FB042F">
        <w:rPr>
          <w:lang w:val="fr-FR"/>
        </w:rPr>
        <w:tab/>
        <w:t>promouvoir une participation et un engagement accrus des membres non actifs en faveur des produits et des services de l'UIT-D, notamment des manifestations et des plates</w:t>
      </w:r>
      <w:r w:rsidR="00B2114D" w:rsidRPr="00FB042F">
        <w:rPr>
          <w:lang w:val="fr-FR"/>
        </w:rPr>
        <w:noBreakHyphen/>
      </w:r>
      <w:r w:rsidRPr="00FB042F">
        <w:rPr>
          <w:lang w:val="fr-FR"/>
        </w:rPr>
        <w:t>formes telles que les réunions des commissions d'études de l'UIT-D, le Colloque</w:t>
      </w:r>
      <w:r w:rsidR="00E95F8B" w:rsidRPr="00FB042F">
        <w:rPr>
          <w:lang w:val="fr-FR"/>
        </w:rPr>
        <w:t xml:space="preserve"> </w:t>
      </w:r>
      <w:r w:rsidRPr="00FB042F">
        <w:rPr>
          <w:lang w:val="fr-FR"/>
        </w:rPr>
        <w:t>mondial des régulateurs (GSR), l'Académie de l'UIT, les forums régionaux sur le développement (RDF), les réunions préparatoires régionales (RPM) et la Conférence</w:t>
      </w:r>
      <w:r w:rsidR="00E95F8B" w:rsidRPr="00FB042F">
        <w:rPr>
          <w:lang w:val="fr-FR"/>
        </w:rPr>
        <w:t xml:space="preserve"> </w:t>
      </w:r>
      <w:r w:rsidRPr="00FB042F">
        <w:rPr>
          <w:lang w:val="fr-FR"/>
        </w:rPr>
        <w:t>mondiale de développement des télécommunications de 2025 (CMDT-25);</w:t>
      </w:r>
    </w:p>
    <w:p w14:paraId="34B06AB9" w14:textId="77777777" w:rsidR="00A02118" w:rsidRPr="00FB042F" w:rsidRDefault="00A02118" w:rsidP="00B2114D">
      <w:pPr>
        <w:pStyle w:val="enumlev1"/>
        <w:rPr>
          <w:lang w:val="fr-FR"/>
        </w:rPr>
      </w:pPr>
      <w:r w:rsidRPr="00FB042F">
        <w:rPr>
          <w:lang w:val="fr-FR"/>
        </w:rPr>
        <w:t>c)</w:t>
      </w:r>
      <w:r w:rsidRPr="00FB042F">
        <w:rPr>
          <w:lang w:val="fr-FR"/>
        </w:rPr>
        <w:tab/>
        <w:t>rassembler les avis et les réactions des membres de l'UIT-D concernant le perfectionnement des outils, des processus et d'autres services.</w:t>
      </w:r>
    </w:p>
    <w:p w14:paraId="6EFB0F0D" w14:textId="77777777" w:rsidR="00A02118" w:rsidRPr="00FB042F" w:rsidRDefault="00A02118" w:rsidP="00B2114D">
      <w:pPr>
        <w:pStyle w:val="Heading1"/>
        <w:rPr>
          <w:lang w:val="fr-FR"/>
        </w:rPr>
      </w:pPr>
      <w:r w:rsidRPr="00FB042F">
        <w:rPr>
          <w:lang w:val="fr-FR"/>
        </w:rPr>
        <w:t>6</w:t>
      </w:r>
      <w:r w:rsidRPr="00FB042F">
        <w:rPr>
          <w:lang w:val="fr-FR"/>
        </w:rPr>
        <w:tab/>
        <w:t>Invitation à fournir un appui</w:t>
      </w:r>
    </w:p>
    <w:p w14:paraId="40FBCF45" w14:textId="307D4961" w:rsidR="008A0922" w:rsidRDefault="00A02118" w:rsidP="00A02118">
      <w:pPr>
        <w:rPr>
          <w:lang w:val="fr-FR"/>
        </w:rPr>
      </w:pPr>
      <w:r w:rsidRPr="00FB042F">
        <w:rPr>
          <w:lang w:val="fr-FR"/>
        </w:rPr>
        <w:t>Les membres de l'UIT-D sont invités à prendre part aux travaux du Secteur et à faire connaître les avantages qu'offre la participation à ces travaux, et à promouvoir la participation et la mobilisation des secteurs public et privé, des entreprises et des universités en vue de la CMDT-25. Les membres de l'UIT-D sont également encouragés à traiter rapidement les nouvelles demandes en faisant preuve de diligence due, afin que les entités qui présentent une demande d'adhésion demeurent désireuses de mener à bien le processus d'adhésion en faveur de la transformation numérique dans le cadre de diverses plates-formes de l'UIT-D.</w:t>
      </w:r>
    </w:p>
    <w:p w14:paraId="5AD68FB3" w14:textId="581CB0AA" w:rsidR="00B2114D" w:rsidRDefault="00B2114D">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61D72925" w14:textId="77777777" w:rsidR="00B2114D" w:rsidRDefault="00B2114D" w:rsidP="00B2114D">
      <w:pPr>
        <w:pStyle w:val="Source"/>
        <w:spacing w:before="120" w:after="120"/>
        <w:rPr>
          <w:rFonts w:cstheme="minorHAnsi"/>
          <w:sz w:val="24"/>
          <w:szCs w:val="24"/>
        </w:rPr>
      </w:pPr>
      <w:r w:rsidRPr="00ED5AA3">
        <w:rPr>
          <w:rFonts w:cstheme="minorHAnsi"/>
          <w:sz w:val="24"/>
          <w:szCs w:val="24"/>
        </w:rPr>
        <w:lastRenderedPageBreak/>
        <w:t>ANNEX 1 to Document TDAG-25/8</w:t>
      </w:r>
    </w:p>
    <w:p w14:paraId="165261A9" w14:textId="77777777" w:rsidR="00B2114D" w:rsidRDefault="00B2114D" w:rsidP="00B2114D">
      <w:pPr>
        <w:spacing w:after="120"/>
        <w:jc w:val="center"/>
        <w:rPr>
          <w:rFonts w:cstheme="minorHAnsi"/>
          <w:szCs w:val="24"/>
        </w:rPr>
      </w:pPr>
      <w:r w:rsidRPr="00ED5AA3">
        <w:rPr>
          <w:rFonts w:cstheme="minorHAnsi"/>
          <w:b/>
          <w:bCs/>
          <w:szCs w:val="24"/>
        </w:rPr>
        <w:t xml:space="preserve">Liaison statement on strengthening Sector Member engagement and revenues </w:t>
      </w:r>
      <w:r w:rsidRPr="00ED5AA3">
        <w:rPr>
          <w:rFonts w:cstheme="minorHAnsi"/>
          <w:szCs w:val="24"/>
        </w:rPr>
        <w:t xml:space="preserve">- </w:t>
      </w:r>
      <w:r>
        <w:rPr>
          <w:rFonts w:cstheme="minorHAnsi"/>
          <w:szCs w:val="24"/>
        </w:rPr>
        <w:br/>
      </w:r>
      <w:hyperlink r:id="rId30" w:history="1">
        <w:r w:rsidRPr="00ED5AA3">
          <w:rPr>
            <w:rFonts w:eastAsia="SimSun" w:cstheme="minorHAnsi"/>
            <w:color w:val="0563C1"/>
            <w:szCs w:val="24"/>
            <w:u w:val="single"/>
          </w:rPr>
          <w:t>CWG-FHR-20/20(Rev.1)</w:t>
        </w:r>
      </w:hyperlink>
    </w:p>
    <w:p w14:paraId="7179557A" w14:textId="77777777" w:rsidR="00B2114D" w:rsidRPr="00ED5AA3" w:rsidRDefault="00B2114D" w:rsidP="00B2114D">
      <w:pPr>
        <w:keepNext/>
        <w:keepLines/>
        <w:spacing w:after="120"/>
        <w:ind w:left="567" w:hanging="567"/>
        <w:textAlignment w:val="auto"/>
        <w:outlineLvl w:val="0"/>
        <w:rPr>
          <w:rFonts w:cstheme="minorHAnsi"/>
          <w:b/>
          <w:szCs w:val="24"/>
        </w:rPr>
      </w:pPr>
      <w:r w:rsidRPr="00ED5AA3">
        <w:rPr>
          <w:rFonts w:cstheme="minorHAnsi"/>
          <w:b/>
          <w:szCs w:val="24"/>
        </w:rPr>
        <w:t>Abstract</w:t>
      </w:r>
    </w:p>
    <w:p w14:paraId="56D1154A" w14:textId="77777777" w:rsidR="00B2114D" w:rsidRPr="00ED5AA3" w:rsidRDefault="00B2114D" w:rsidP="00B2114D">
      <w:pPr>
        <w:spacing w:after="120"/>
        <w:textAlignment w:val="auto"/>
        <w:rPr>
          <w:rFonts w:cstheme="minorHAnsi"/>
          <w:szCs w:val="24"/>
        </w:rPr>
      </w:pPr>
      <w:r w:rsidRPr="00ED5AA3">
        <w:rPr>
          <w:rFonts w:cstheme="minorHAnsi"/>
          <w:szCs w:val="24"/>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2E2AAE59" w14:textId="77777777" w:rsidR="00B2114D" w:rsidRPr="00ED5AA3" w:rsidRDefault="00B2114D" w:rsidP="00B2114D">
      <w:pPr>
        <w:keepNext/>
        <w:keepLines/>
        <w:spacing w:after="120"/>
        <w:ind w:left="567" w:hanging="567"/>
        <w:textAlignment w:val="auto"/>
        <w:outlineLvl w:val="0"/>
        <w:rPr>
          <w:rFonts w:cstheme="minorHAnsi"/>
          <w:b/>
          <w:szCs w:val="24"/>
        </w:rPr>
      </w:pPr>
      <w:r w:rsidRPr="00ED5AA3">
        <w:rPr>
          <w:rFonts w:cstheme="minorHAnsi"/>
          <w:b/>
          <w:szCs w:val="24"/>
        </w:rPr>
        <w:t>Keywords</w:t>
      </w:r>
    </w:p>
    <w:p w14:paraId="366F467A" w14:textId="77777777" w:rsidR="00B2114D" w:rsidRPr="00ED5AA3" w:rsidRDefault="00B2114D" w:rsidP="00B2114D">
      <w:pPr>
        <w:spacing w:after="120"/>
        <w:textAlignment w:val="auto"/>
        <w:rPr>
          <w:rFonts w:cstheme="minorHAnsi"/>
          <w:szCs w:val="24"/>
        </w:rPr>
      </w:pPr>
      <w:r w:rsidRPr="00ED5AA3">
        <w:rPr>
          <w:rFonts w:cstheme="minorHAnsi"/>
          <w:szCs w:val="24"/>
        </w:rPr>
        <w:t>Sector Membership, rights and benefits, revenues</w:t>
      </w:r>
    </w:p>
    <w:p w14:paraId="65EF8E5C" w14:textId="77777777" w:rsidR="00B2114D" w:rsidRPr="00ED5AA3" w:rsidRDefault="00B2114D" w:rsidP="00B2114D">
      <w:pPr>
        <w:spacing w:after="120"/>
        <w:textAlignment w:val="auto"/>
        <w:rPr>
          <w:rFonts w:cstheme="minorHAnsi"/>
          <w:szCs w:val="24"/>
        </w:rPr>
      </w:pPr>
      <w:r w:rsidRPr="00ED5AA3">
        <w:rPr>
          <w:rFonts w:cstheme="minorHAnsi"/>
          <w:b/>
          <w:bCs/>
          <w:szCs w:val="24"/>
        </w:rPr>
        <w:t>For action to:</w:t>
      </w:r>
      <w:r w:rsidRPr="00ED5AA3">
        <w:rPr>
          <w:rFonts w:cstheme="minorHAnsi"/>
          <w:szCs w:val="24"/>
        </w:rPr>
        <w:t xml:space="preserve"> RAG, TSAG, TDAG, ISCG </w:t>
      </w:r>
    </w:p>
    <w:p w14:paraId="323549AC" w14:textId="77777777" w:rsidR="00B2114D" w:rsidRPr="00ED5AA3" w:rsidRDefault="00B2114D" w:rsidP="00B2114D">
      <w:pPr>
        <w:keepNext/>
        <w:keepLines/>
        <w:spacing w:after="120"/>
        <w:ind w:left="567" w:hanging="567"/>
        <w:textAlignment w:val="auto"/>
        <w:outlineLvl w:val="0"/>
        <w:rPr>
          <w:rFonts w:cstheme="minorHAnsi"/>
          <w:b/>
          <w:szCs w:val="24"/>
        </w:rPr>
      </w:pPr>
      <w:r w:rsidRPr="00ED5AA3">
        <w:rPr>
          <w:rFonts w:cstheme="minorHAnsi"/>
          <w:b/>
          <w:szCs w:val="24"/>
        </w:rPr>
        <w:t>Strengthening Sector Member engagement and revenues</w:t>
      </w:r>
    </w:p>
    <w:p w14:paraId="415814B1" w14:textId="77777777" w:rsidR="00B2114D" w:rsidRPr="00ED5AA3" w:rsidRDefault="00B2114D" w:rsidP="00B2114D">
      <w:pPr>
        <w:spacing w:after="120"/>
        <w:textAlignment w:val="auto"/>
        <w:rPr>
          <w:rFonts w:cstheme="minorHAnsi"/>
          <w:szCs w:val="24"/>
        </w:rPr>
      </w:pPr>
      <w:r w:rsidRPr="00ED5AA3">
        <w:rPr>
          <w:rFonts w:cstheme="minorHAnsi"/>
          <w:szCs w:val="24"/>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31" w:history="1">
        <w:r w:rsidRPr="00ED5AA3">
          <w:rPr>
            <w:rFonts w:cstheme="minorHAnsi"/>
            <w:color w:val="0563C1"/>
            <w:szCs w:val="24"/>
            <w:u w:val="single"/>
          </w:rPr>
          <w:t>C24/70</w:t>
        </w:r>
      </w:hyperlink>
      <w:r w:rsidRPr="00ED5AA3">
        <w:rPr>
          <w:rFonts w:cstheme="minorHAnsi"/>
          <w:szCs w:val="24"/>
        </w:rPr>
        <w:t xml:space="preserve">). This strategy was endorsed. </w:t>
      </w:r>
    </w:p>
    <w:p w14:paraId="6B1E8F88" w14:textId="77777777" w:rsidR="00B2114D" w:rsidRPr="00ED5AA3" w:rsidRDefault="00B2114D" w:rsidP="00B2114D">
      <w:pPr>
        <w:spacing w:after="120"/>
        <w:textAlignment w:val="auto"/>
        <w:rPr>
          <w:rFonts w:cstheme="minorHAnsi"/>
          <w:szCs w:val="24"/>
        </w:rPr>
      </w:pPr>
      <w:r w:rsidRPr="00ED5AA3">
        <w:rPr>
          <w:rFonts w:eastAsia="SimSun" w:cstheme="minorHAnsi"/>
          <w:szCs w:val="24"/>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ED5AA3">
        <w:rPr>
          <w:rFonts w:cstheme="minorHAnsi"/>
          <w:szCs w:val="24"/>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0E754E51" w14:textId="77777777" w:rsidR="00B2114D" w:rsidRPr="007C1BC1" w:rsidRDefault="00B2114D" w:rsidP="00B2114D">
      <w:pPr>
        <w:overflowPunct/>
        <w:autoSpaceDE/>
        <w:autoSpaceDN/>
        <w:adjustRightInd/>
        <w:spacing w:after="120"/>
        <w:textAlignment w:val="auto"/>
        <w:rPr>
          <w:rFonts w:cstheme="minorHAnsi"/>
          <w:szCs w:val="24"/>
        </w:rPr>
      </w:pPr>
      <w:r w:rsidRPr="00ED5AA3">
        <w:rPr>
          <w:rFonts w:cstheme="minorHAnsi"/>
          <w:szCs w:val="24"/>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69CBCF28" w14:textId="77777777" w:rsidR="00B2114D" w:rsidRDefault="00B2114D">
      <w:pPr>
        <w:jc w:val="center"/>
      </w:pPr>
      <w:r>
        <w:t>______________</w:t>
      </w:r>
    </w:p>
    <w:sectPr w:rsidR="00B2114D" w:rsidSect="00473791">
      <w:head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9C2903" w14:paraId="5C2B0E2D" w14:textId="77777777" w:rsidTr="005539C3">
      <w:tc>
        <w:tcPr>
          <w:tcW w:w="1526" w:type="dxa"/>
          <w:tcBorders>
            <w:top w:val="single" w:sz="4" w:space="0" w:color="000000" w:themeColor="text1"/>
          </w:tcBorders>
        </w:tcPr>
        <w:p w14:paraId="176205BE" w14:textId="77777777" w:rsidR="001B030A" w:rsidRPr="0000604C" w:rsidRDefault="001B030A" w:rsidP="001B030A">
          <w:pPr>
            <w:pStyle w:val="FirstFooter"/>
            <w:tabs>
              <w:tab w:val="left" w:pos="1559"/>
              <w:tab w:val="left" w:pos="3828"/>
            </w:tabs>
            <w:rPr>
              <w:sz w:val="18"/>
              <w:szCs w:val="18"/>
            </w:rPr>
          </w:pPr>
          <w:bookmarkStart w:id="7" w:name="Email"/>
          <w:bookmarkEnd w:id="7"/>
          <w:r w:rsidRPr="0000604C">
            <w:rPr>
              <w:sz w:val="18"/>
              <w:szCs w:val="18"/>
            </w:rPr>
            <w:t>Contact:</w:t>
          </w:r>
        </w:p>
      </w:tc>
      <w:tc>
        <w:tcPr>
          <w:tcW w:w="2410" w:type="dxa"/>
          <w:tcBorders>
            <w:top w:val="single" w:sz="4" w:space="0" w:color="000000" w:themeColor="text1"/>
          </w:tcBorders>
        </w:tcPr>
        <w:p w14:paraId="26830CB6" w14:textId="77777777" w:rsidR="001B030A" w:rsidRPr="0000604C" w:rsidRDefault="001B030A" w:rsidP="001B030A">
          <w:pPr>
            <w:pStyle w:val="FirstFooter"/>
            <w:tabs>
              <w:tab w:val="left" w:pos="2302"/>
            </w:tabs>
            <w:ind w:left="2302" w:hanging="2302"/>
            <w:rPr>
              <w:sz w:val="18"/>
              <w:szCs w:val="18"/>
            </w:rPr>
          </w:pPr>
          <w:r w:rsidRPr="0000604C">
            <w:rPr>
              <w:sz w:val="18"/>
              <w:szCs w:val="18"/>
            </w:rPr>
            <w:t>Nom/Organisation/Entité:</w:t>
          </w:r>
        </w:p>
      </w:tc>
      <w:tc>
        <w:tcPr>
          <w:tcW w:w="5919" w:type="dxa"/>
          <w:tcBorders>
            <w:top w:val="single" w:sz="4" w:space="0" w:color="000000" w:themeColor="text1"/>
          </w:tcBorders>
        </w:tcPr>
        <w:p w14:paraId="0C8B6EEC" w14:textId="1D50C2FB" w:rsidR="001B030A" w:rsidRPr="0000604C" w:rsidRDefault="002A171C" w:rsidP="001B030A">
          <w:pPr>
            <w:pStyle w:val="FirstFooter"/>
            <w:rPr>
              <w:sz w:val="18"/>
              <w:szCs w:val="18"/>
              <w:highlight w:val="yellow"/>
            </w:rPr>
          </w:pPr>
          <w:r w:rsidRPr="0000604C">
            <w:rPr>
              <w:sz w:val="18"/>
              <w:szCs w:val="18"/>
            </w:rPr>
            <w:t>Mme Eun-Ju Kim, Chef du Département des projets, des partenariats et des compétences numériques, Bureau de développement des télécommunications</w:t>
          </w:r>
        </w:p>
      </w:tc>
    </w:tr>
    <w:tr w:rsidR="001B030A" w:rsidRPr="00CB110F" w14:paraId="298FE8EB" w14:textId="77777777" w:rsidTr="005539C3">
      <w:tc>
        <w:tcPr>
          <w:tcW w:w="1526" w:type="dxa"/>
        </w:tcPr>
        <w:p w14:paraId="7ACBC842" w14:textId="77777777" w:rsidR="001B030A" w:rsidRPr="0000604C" w:rsidRDefault="001B030A" w:rsidP="001B030A">
          <w:pPr>
            <w:pStyle w:val="FirstFooter"/>
            <w:tabs>
              <w:tab w:val="left" w:pos="1559"/>
              <w:tab w:val="left" w:pos="3828"/>
            </w:tabs>
            <w:rPr>
              <w:sz w:val="18"/>
              <w:szCs w:val="18"/>
            </w:rPr>
          </w:pPr>
        </w:p>
      </w:tc>
      <w:tc>
        <w:tcPr>
          <w:tcW w:w="2410" w:type="dxa"/>
        </w:tcPr>
        <w:p w14:paraId="76CE8C1A" w14:textId="77777777" w:rsidR="001B030A" w:rsidRPr="0000604C" w:rsidRDefault="001B030A" w:rsidP="001B030A">
          <w:pPr>
            <w:pStyle w:val="FirstFooter"/>
            <w:tabs>
              <w:tab w:val="left" w:pos="2302"/>
            </w:tabs>
            <w:rPr>
              <w:sz w:val="18"/>
              <w:szCs w:val="18"/>
            </w:rPr>
          </w:pPr>
          <w:r w:rsidRPr="0000604C">
            <w:rPr>
              <w:sz w:val="18"/>
              <w:szCs w:val="18"/>
            </w:rPr>
            <w:t>Numéro de téléphone:</w:t>
          </w:r>
        </w:p>
      </w:tc>
      <w:tc>
        <w:tcPr>
          <w:tcW w:w="5919" w:type="dxa"/>
        </w:tcPr>
        <w:p w14:paraId="6CE1B2A9" w14:textId="1F1CC202" w:rsidR="001B030A" w:rsidRPr="0000604C" w:rsidRDefault="002A171C" w:rsidP="001B030A">
          <w:pPr>
            <w:pStyle w:val="FirstFooter"/>
            <w:tabs>
              <w:tab w:val="left" w:pos="2302"/>
            </w:tabs>
            <w:rPr>
              <w:sz w:val="18"/>
              <w:szCs w:val="18"/>
              <w:highlight w:val="yellow"/>
            </w:rPr>
          </w:pPr>
          <w:r w:rsidRPr="0000604C">
            <w:rPr>
              <w:sz w:val="18"/>
              <w:szCs w:val="18"/>
            </w:rPr>
            <w:t>+41 22 730 5900</w:t>
          </w:r>
        </w:p>
      </w:tc>
    </w:tr>
    <w:tr w:rsidR="001B030A" w:rsidRPr="00CB110F" w14:paraId="336F05F8" w14:textId="77777777" w:rsidTr="005539C3">
      <w:tc>
        <w:tcPr>
          <w:tcW w:w="1526" w:type="dxa"/>
        </w:tcPr>
        <w:p w14:paraId="10E74C07" w14:textId="77777777" w:rsidR="001B030A" w:rsidRPr="0000604C" w:rsidRDefault="001B030A" w:rsidP="001B030A">
          <w:pPr>
            <w:pStyle w:val="FirstFooter"/>
            <w:tabs>
              <w:tab w:val="left" w:pos="1559"/>
              <w:tab w:val="left" w:pos="3828"/>
            </w:tabs>
            <w:rPr>
              <w:sz w:val="18"/>
              <w:szCs w:val="18"/>
            </w:rPr>
          </w:pPr>
        </w:p>
      </w:tc>
      <w:tc>
        <w:tcPr>
          <w:tcW w:w="2410" w:type="dxa"/>
        </w:tcPr>
        <w:p w14:paraId="145C550E" w14:textId="77777777" w:rsidR="001B030A" w:rsidRPr="0000604C" w:rsidRDefault="001B030A" w:rsidP="001B030A">
          <w:pPr>
            <w:pStyle w:val="FirstFooter"/>
            <w:tabs>
              <w:tab w:val="left" w:pos="2302"/>
            </w:tabs>
            <w:rPr>
              <w:sz w:val="18"/>
              <w:szCs w:val="18"/>
            </w:rPr>
          </w:pPr>
          <w:r w:rsidRPr="0000604C">
            <w:rPr>
              <w:sz w:val="18"/>
              <w:szCs w:val="18"/>
            </w:rPr>
            <w:t>Courriel:</w:t>
          </w:r>
        </w:p>
      </w:tc>
      <w:tc>
        <w:tcPr>
          <w:tcW w:w="5919" w:type="dxa"/>
        </w:tcPr>
        <w:p w14:paraId="3537A984" w14:textId="20AF03BE" w:rsidR="001B030A" w:rsidRPr="0000604C" w:rsidRDefault="00FB042F" w:rsidP="001B030A">
          <w:pPr>
            <w:pStyle w:val="FirstFooter"/>
            <w:tabs>
              <w:tab w:val="left" w:pos="2302"/>
            </w:tabs>
            <w:rPr>
              <w:sz w:val="18"/>
              <w:szCs w:val="18"/>
            </w:rPr>
          </w:pPr>
          <w:hyperlink r:id="rId1" w:history="1">
            <w:r w:rsidR="002A171C" w:rsidRPr="0000604C">
              <w:rPr>
                <w:rStyle w:val="Hyperlink"/>
                <w:sz w:val="18"/>
                <w:szCs w:val="18"/>
              </w:rPr>
              <w:t>eun-ju.kim@itu.int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sidP="0000604C">
      <w:pPr>
        <w:spacing w:after="120"/>
      </w:pPr>
      <w:r>
        <w:t>____________________</w:t>
      </w:r>
    </w:p>
  </w:footnote>
  <w:footnote w:type="continuationSeparator" w:id="0">
    <w:p w14:paraId="6FC42220" w14:textId="77777777" w:rsidR="005125E5" w:rsidRDefault="005125E5">
      <w:r>
        <w:continuationSeparator/>
      </w:r>
    </w:p>
  </w:footnote>
  <w:footnote w:id="1">
    <w:p w14:paraId="6DD70BE1" w14:textId="3CF66493" w:rsidR="002A171C" w:rsidRPr="002A171C" w:rsidRDefault="002A171C" w:rsidP="0000604C">
      <w:pPr>
        <w:pStyle w:val="FootnoteText"/>
        <w:spacing w:before="0" w:after="120"/>
        <w:rPr>
          <w:lang w:val="fr-FR"/>
        </w:rPr>
      </w:pPr>
      <w:r>
        <w:rPr>
          <w:rStyle w:val="FootnoteReference"/>
        </w:rPr>
        <w:footnoteRef/>
      </w:r>
      <w:r>
        <w:tab/>
      </w:r>
      <w:r w:rsidRPr="004906B4">
        <w:rPr>
          <w:lang w:val="fr-FR"/>
        </w:rPr>
        <w:t>Voir la Résolution 169 (Guadalajara, 2010) de la Conférence de plénipotentiaires (PP-10), qui a créé une nouvelle catégorie de membres permettant aux établissements universitaires de participer aux travaux de l'UIT</w:t>
      </w:r>
      <w:r w:rsidRPr="002A171C">
        <w:t>.</w:t>
      </w:r>
    </w:p>
  </w:footnote>
  <w:footnote w:id="2">
    <w:p w14:paraId="65431AB1" w14:textId="7774FDBF" w:rsidR="0000604C" w:rsidRPr="0000604C" w:rsidRDefault="0000604C">
      <w:pPr>
        <w:pStyle w:val="FootnoteText"/>
        <w:rPr>
          <w:lang w:val="fr-FR"/>
        </w:rPr>
      </w:pPr>
      <w:r w:rsidRPr="0000604C">
        <w:rPr>
          <w:rStyle w:val="FootnoteReference"/>
          <w:lang w:val="fr-FR"/>
        </w:rPr>
        <w:footnoteRef/>
      </w:r>
      <w:r w:rsidRPr="0000604C">
        <w:rPr>
          <w:lang w:val="fr-FR"/>
        </w:rPr>
        <w:tab/>
      </w:r>
      <w:r w:rsidRPr="0000604C">
        <w:rPr>
          <w:lang w:val="fr-FR"/>
        </w:rPr>
        <w:t>Résolution 71 (Rév. Kigali, 2022) de la Conférence de plénipotentiaires (PP-22), intitulée "Renforcement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footnote>
  <w:footnote w:id="3">
    <w:p w14:paraId="7596207E" w14:textId="1163CEF5" w:rsidR="008A0922" w:rsidRPr="008A0922" w:rsidRDefault="008A0922" w:rsidP="00D759A0">
      <w:pPr>
        <w:pStyle w:val="FootnoteText"/>
        <w:spacing w:before="0"/>
        <w:rPr>
          <w:lang w:val="fr-FR"/>
        </w:rPr>
      </w:pPr>
      <w:r>
        <w:rPr>
          <w:rStyle w:val="FootnoteReference"/>
        </w:rPr>
        <w:footnoteRef/>
      </w:r>
      <w:r>
        <w:tab/>
      </w:r>
      <w:r w:rsidRPr="008A0922">
        <w:rPr>
          <w:lang w:val="fr-FR"/>
        </w:rPr>
        <w:t>Les établissements universitaires sont admis à participer aux travaux des trois Secteurs de l'UIT, y compris à ceux des groupes consultatifs des trois Secteurs. Ils participent également à d'autres conférences mondiales ou régionales, ateliers et activités de l'Union, sauf aux Conférences de plénipotentiaires, aux Conférences mondiales des radiocommunications, aux Conférences mondiales des télécommunications internationales et au Conseil de l'UIT, conformément au Règlement intérieur des différents Secteurs.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691454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2A171C">
      <w:rPr>
        <w:sz w:val="22"/>
        <w:szCs w:val="22"/>
        <w:lang w:val="de-CH"/>
      </w:rPr>
      <w:t>8</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604C"/>
    <w:rsid w:val="00010827"/>
    <w:rsid w:val="00015089"/>
    <w:rsid w:val="0002520B"/>
    <w:rsid w:val="000325DF"/>
    <w:rsid w:val="00037A9E"/>
    <w:rsid w:val="00037F91"/>
    <w:rsid w:val="000539F1"/>
    <w:rsid w:val="00054747"/>
    <w:rsid w:val="00055A2A"/>
    <w:rsid w:val="00060F90"/>
    <w:rsid w:val="000615C1"/>
    <w:rsid w:val="00061675"/>
    <w:rsid w:val="000743AA"/>
    <w:rsid w:val="0007632A"/>
    <w:rsid w:val="0009076F"/>
    <w:rsid w:val="0009225C"/>
    <w:rsid w:val="000A17C4"/>
    <w:rsid w:val="000A36A4"/>
    <w:rsid w:val="000A4811"/>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171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97B29"/>
    <w:rsid w:val="003A5AFE"/>
    <w:rsid w:val="003A5D5F"/>
    <w:rsid w:val="003A7FFE"/>
    <w:rsid w:val="003B0A63"/>
    <w:rsid w:val="003B50E1"/>
    <w:rsid w:val="003C1746"/>
    <w:rsid w:val="003C2AA9"/>
    <w:rsid w:val="003C58BF"/>
    <w:rsid w:val="003D451D"/>
    <w:rsid w:val="003F2DD8"/>
    <w:rsid w:val="003F3A5B"/>
    <w:rsid w:val="003F3F2D"/>
    <w:rsid w:val="003F50B2"/>
    <w:rsid w:val="00400CCF"/>
    <w:rsid w:val="00401BFF"/>
    <w:rsid w:val="004037AF"/>
    <w:rsid w:val="00404424"/>
    <w:rsid w:val="0041156B"/>
    <w:rsid w:val="004122C5"/>
    <w:rsid w:val="00413B78"/>
    <w:rsid w:val="00416DDE"/>
    <w:rsid w:val="0044411E"/>
    <w:rsid w:val="00453435"/>
    <w:rsid w:val="0045533F"/>
    <w:rsid w:val="00460089"/>
    <w:rsid w:val="00466398"/>
    <w:rsid w:val="0047306D"/>
    <w:rsid w:val="00473791"/>
    <w:rsid w:val="00476E48"/>
    <w:rsid w:val="00481DE9"/>
    <w:rsid w:val="004906B4"/>
    <w:rsid w:val="0049128B"/>
    <w:rsid w:val="00493B49"/>
    <w:rsid w:val="00494FF0"/>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66A11"/>
    <w:rsid w:val="00573424"/>
    <w:rsid w:val="0057402F"/>
    <w:rsid w:val="00581653"/>
    <w:rsid w:val="005849D6"/>
    <w:rsid w:val="00585367"/>
    <w:rsid w:val="005871A1"/>
    <w:rsid w:val="0058737E"/>
    <w:rsid w:val="00592518"/>
    <w:rsid w:val="00592E87"/>
    <w:rsid w:val="0059420B"/>
    <w:rsid w:val="00594C4D"/>
    <w:rsid w:val="005A33B0"/>
    <w:rsid w:val="005A7E07"/>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011"/>
    <w:rsid w:val="00606B89"/>
    <w:rsid w:val="00611EAF"/>
    <w:rsid w:val="00617210"/>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68F0"/>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0922"/>
    <w:rsid w:val="008A3F93"/>
    <w:rsid w:val="008A6236"/>
    <w:rsid w:val="008A6E1C"/>
    <w:rsid w:val="008A72FD"/>
    <w:rsid w:val="008B2EDF"/>
    <w:rsid w:val="008B47C7"/>
    <w:rsid w:val="008B54CB"/>
    <w:rsid w:val="008B5A3D"/>
    <w:rsid w:val="008C0AD9"/>
    <w:rsid w:val="008C4010"/>
    <w:rsid w:val="008C4FDF"/>
    <w:rsid w:val="008C6B1F"/>
    <w:rsid w:val="008D5E4F"/>
    <w:rsid w:val="008E0914"/>
    <w:rsid w:val="008E34F0"/>
    <w:rsid w:val="008F14F5"/>
    <w:rsid w:val="008F71C1"/>
    <w:rsid w:val="00902D41"/>
    <w:rsid w:val="00902F49"/>
    <w:rsid w:val="00904230"/>
    <w:rsid w:val="009108A7"/>
    <w:rsid w:val="00914004"/>
    <w:rsid w:val="00921A30"/>
    <w:rsid w:val="00922EC1"/>
    <w:rsid w:val="00923CF1"/>
    <w:rsid w:val="009301F1"/>
    <w:rsid w:val="009307DF"/>
    <w:rsid w:val="00933DCD"/>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02118"/>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82EBD"/>
    <w:rsid w:val="00A9392C"/>
    <w:rsid w:val="00A9462B"/>
    <w:rsid w:val="00A97D59"/>
    <w:rsid w:val="00AA3E09"/>
    <w:rsid w:val="00AA4BEF"/>
    <w:rsid w:val="00AB1659"/>
    <w:rsid w:val="00AB4962"/>
    <w:rsid w:val="00AB734E"/>
    <w:rsid w:val="00AB740F"/>
    <w:rsid w:val="00AC03A1"/>
    <w:rsid w:val="00AC2BF7"/>
    <w:rsid w:val="00AC6F14"/>
    <w:rsid w:val="00AC7221"/>
    <w:rsid w:val="00AD4677"/>
    <w:rsid w:val="00AD6CBD"/>
    <w:rsid w:val="00AE5961"/>
    <w:rsid w:val="00AF0745"/>
    <w:rsid w:val="00AF4971"/>
    <w:rsid w:val="00AF5276"/>
    <w:rsid w:val="00AF580B"/>
    <w:rsid w:val="00AF7C86"/>
    <w:rsid w:val="00B01046"/>
    <w:rsid w:val="00B2114D"/>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594F"/>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3E23"/>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759A0"/>
    <w:rsid w:val="00D911DE"/>
    <w:rsid w:val="00D91B97"/>
    <w:rsid w:val="00D93ACC"/>
    <w:rsid w:val="00D93C08"/>
    <w:rsid w:val="00D95DAC"/>
    <w:rsid w:val="00DA0B53"/>
    <w:rsid w:val="00DB1171"/>
    <w:rsid w:val="00DB1519"/>
    <w:rsid w:val="00DB2840"/>
    <w:rsid w:val="00DB5A08"/>
    <w:rsid w:val="00DC1BD3"/>
    <w:rsid w:val="00DC2C1A"/>
    <w:rsid w:val="00DD66B4"/>
    <w:rsid w:val="00DE147B"/>
    <w:rsid w:val="00DE1972"/>
    <w:rsid w:val="00DE27AB"/>
    <w:rsid w:val="00DF2AB3"/>
    <w:rsid w:val="00DF7250"/>
    <w:rsid w:val="00E00CAA"/>
    <w:rsid w:val="00E03EBF"/>
    <w:rsid w:val="00E05209"/>
    <w:rsid w:val="00E05AC1"/>
    <w:rsid w:val="00E061A4"/>
    <w:rsid w:val="00E11BCF"/>
    <w:rsid w:val="00E133A7"/>
    <w:rsid w:val="00E22299"/>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5F8B"/>
    <w:rsid w:val="00E9605B"/>
    <w:rsid w:val="00E97298"/>
    <w:rsid w:val="00E97753"/>
    <w:rsid w:val="00EA0C51"/>
    <w:rsid w:val="00EA7DE7"/>
    <w:rsid w:val="00EB1A77"/>
    <w:rsid w:val="00EB7A8A"/>
    <w:rsid w:val="00EC6FED"/>
    <w:rsid w:val="00EC7F3B"/>
    <w:rsid w:val="00ED5299"/>
    <w:rsid w:val="00EE3A64"/>
    <w:rsid w:val="00EE50E5"/>
    <w:rsid w:val="00EF01CF"/>
    <w:rsid w:val="00F03590"/>
    <w:rsid w:val="00F03622"/>
    <w:rsid w:val="00F077FD"/>
    <w:rsid w:val="00F17DCC"/>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042F"/>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A171C"/>
    <w:rPr>
      <w:color w:val="605E5C"/>
      <w:shd w:val="clear" w:color="auto" w:fill="E1DFDD"/>
    </w:rPr>
  </w:style>
  <w:style w:type="character" w:styleId="CommentReference">
    <w:name w:val="annotation reference"/>
    <w:basedOn w:val="DefaultParagraphFont"/>
    <w:semiHidden/>
    <w:unhideWhenUsed/>
    <w:rsid w:val="00566A11"/>
    <w:rPr>
      <w:sz w:val="16"/>
      <w:szCs w:val="16"/>
    </w:rPr>
  </w:style>
  <w:style w:type="paragraph" w:styleId="CommentText">
    <w:name w:val="annotation text"/>
    <w:basedOn w:val="Normal"/>
    <w:link w:val="CommentTextChar"/>
    <w:unhideWhenUsed/>
    <w:rsid w:val="00566A11"/>
    <w:rPr>
      <w:sz w:val="20"/>
    </w:rPr>
  </w:style>
  <w:style w:type="character" w:customStyle="1" w:styleId="CommentTextChar">
    <w:name w:val="Comment Text Char"/>
    <w:basedOn w:val="DefaultParagraphFont"/>
    <w:link w:val="CommentText"/>
    <w:rsid w:val="00566A1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66A11"/>
    <w:rPr>
      <w:b/>
      <w:bCs/>
    </w:rPr>
  </w:style>
  <w:style w:type="character" w:customStyle="1" w:styleId="CommentSubjectChar">
    <w:name w:val="Comment Subject Char"/>
    <w:basedOn w:val="CommentTextChar"/>
    <w:link w:val="CommentSubject"/>
    <w:semiHidden/>
    <w:rsid w:val="00566A11"/>
    <w:rPr>
      <w:rFonts w:asciiTheme="minorHAnsi" w:hAnsiTheme="minorHAnsi"/>
      <w:b/>
      <w:bCs/>
      <w:lang w:val="en-GB" w:eastAsia="en-US"/>
    </w:rPr>
  </w:style>
  <w:style w:type="paragraph" w:customStyle="1" w:styleId="Figure">
    <w:name w:val="Figure"/>
    <w:basedOn w:val="Normal"/>
    <w:rsid w:val="00060F90"/>
    <w:pPr>
      <w:keepNext/>
      <w:tabs>
        <w:tab w:val="clear" w:pos="794"/>
        <w:tab w:val="clear" w:pos="1191"/>
        <w:tab w:val="clear" w:pos="1588"/>
        <w:tab w:val="clear" w:pos="1985"/>
      </w:tabs>
      <w:spacing w:after="240"/>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4.emf"/><Relationship Id="rId26" Type="http://schemas.openxmlformats.org/officeDocument/2006/relationships/hyperlink" Target="https://www.itu.int/itu-d/sites/membership/wp-content/uploads/sites/50/2024/07/Chairman-Report_IAGDI-CRO.pdf" TargetMode="External"/><Relationship Id="rId3" Type="http://schemas.openxmlformats.org/officeDocument/2006/relationships/customXml" Target="../customXml/item3.xml"/><Relationship Id="rId21" Type="http://schemas.microsoft.com/office/2014/relationships/chartEx" Target="charts/chartEx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membership/our-members/exempted-entities/exemption-criteria/" TargetMode="External"/><Relationship Id="rId25" Type="http://schemas.openxmlformats.org/officeDocument/2006/relationships/hyperlink" Target="https://www.itu.int/itu-d/sites/membership/wp-content/uploads/sites/50/2024/07/IAGDICRO-2024-Outcome-Statement_2-July_2024.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32-INF-0001/fr" TargetMode="External"/><Relationship Id="rId20" Type="http://schemas.openxmlformats.org/officeDocument/2006/relationships/image" Target="media/image6.emf"/><Relationship Id="rId29" Type="http://schemas.openxmlformats.org/officeDocument/2006/relationships/hyperlink" Target="https://www.itu.int/md/S25-CWGFHR20-C-0020/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d/sites/membership/wp-content/uploads/sites/50/2024/06/20240606Chairmans-Report-IAGDI-CRO-2024_FINAL.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md/D22-TDAG32-INF-0002/fr" TargetMode="External"/><Relationship Id="rId28" Type="http://schemas.openxmlformats.org/officeDocument/2006/relationships/hyperlink" Target="https://www.itu.int/md/S24-CL-C-0070/fr" TargetMode="Externa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yperlink" Target="https://www.itu.int/md/S24-CL-C-007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image" Target="media/image7.png"/><Relationship Id="rId27" Type="http://schemas.openxmlformats.org/officeDocument/2006/relationships/hyperlink" Target="https://www.itu.int/en/ITU-D/MembersPartners/Pages/tech-talks.aspx" TargetMode="External"/><Relationship Id="rId30" Type="http://schemas.openxmlformats.org/officeDocument/2006/relationships/hyperlink" Target="https://www.itu.int/md/S25-CWGFHR20-C-0020/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solidFill>
                <a:latin typeface="Avenir Nxt2 W1G" panose="020B0503020202020204" pitchFamily="34" charset="0"/>
                <a:ea typeface="+mn-ea"/>
                <a:cs typeface="+mn-cs"/>
              </a:defRPr>
            </a:pPr>
            <a:r>
              <a:rPr lang="fr-FR" sz="1000" b="1">
                <a:effectLst/>
                <a:latin typeface="Calibri" panose="020F0502020204030204" pitchFamily="34" charset="0"/>
                <a:ea typeface="Calibri" panose="020F0502020204030204" pitchFamily="34" charset="0"/>
                <a:cs typeface="Calibri" panose="020F0502020204030204" pitchFamily="34" charset="0"/>
              </a:rPr>
              <a:t>Graphique 1</a:t>
            </a:r>
            <a:r>
              <a:rPr lang="fr-FR" sz="1000">
                <a:effectLst/>
                <a:latin typeface="Calibri" panose="020F0502020204030204" pitchFamily="34" charset="0"/>
                <a:ea typeface="Calibri" panose="020F0502020204030204" pitchFamily="34" charset="0"/>
                <a:cs typeface="Calibri" panose="020F0502020204030204" pitchFamily="34" charset="0"/>
              </a:rPr>
              <a:t>: Évolution de la composition des membres de l'UIT-D</a:t>
            </a:r>
            <a:endParaRPr lang="en-GB" sz="1000">
              <a:effectLst/>
              <a:latin typeface="Calibri" panose="020F0502020204030204" pitchFamily="34" charset="0"/>
              <a:ea typeface="Calibri" panose="020F0502020204030204" pitchFamily="34" charset="0"/>
              <a:cs typeface="Calibri" panose="020F050202020403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defRPr>
            </a:pPr>
            <a:endParaRPr lang="en-GB" sz="80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defRPr>
            </a:pPr>
            <a:r>
              <a:rPr lang="en-GB" sz="80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*prévisions pour juin 2025</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solidFill>
              <a:latin typeface="Avenir Nxt2 W1G" panose="020B0503020202020204" pitchFamily="34" charset="0"/>
              <a:ea typeface="+mn-ea"/>
              <a:cs typeface="+mn-cs"/>
            </a:defRPr>
          </a:pPr>
          <a:endParaRPr lang="en-US"/>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Établissements universitaires
affiliés</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BDA-4DA5-86C0-642C27ACBE3E}"/>
                </c:ext>
              </c:extLst>
            </c:dLbl>
            <c:dLbl>
              <c:idx val="1"/>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6BDA-4DA5-86C0-642C27ACBE3E}"/>
                </c:ext>
              </c:extLst>
            </c:dLbl>
            <c:dLbl>
              <c:idx val="4"/>
              <c:delete val="1"/>
              <c:extLst>
                <c:ext xmlns:c15="http://schemas.microsoft.com/office/drawing/2012/chart" uri="{CE6537A1-D6FC-4f65-9D91-7224C49458BB}"/>
                <c:ext xmlns:c16="http://schemas.microsoft.com/office/drawing/2014/chart" uri="{C3380CC4-5D6E-409C-BE32-E72D297353CC}">
                  <c16:uniqueId val="{00000002-6BDA-4DA5-86C0-642C27ACBE3E}"/>
                </c:ext>
              </c:extLst>
            </c:dLbl>
            <c:dLbl>
              <c:idx val="5"/>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6BDA-4DA5-86C0-642C27ACBE3E}"/>
                </c:ext>
              </c:extLst>
            </c:dLbl>
            <c:dLbl>
              <c:idx val="8"/>
              <c:delete val="1"/>
              <c:extLst>
                <c:ext xmlns:c15="http://schemas.microsoft.com/office/drawing/2012/chart" uri="{CE6537A1-D6FC-4f65-9D91-7224C49458BB}"/>
                <c:ext xmlns:c16="http://schemas.microsoft.com/office/drawing/2014/chart" uri="{C3380CC4-5D6E-409C-BE32-E72D297353CC}">
                  <c16:uniqueId val="{00000004-6BDA-4DA5-86C0-642C27ACBE3E}"/>
                </c:ext>
              </c:extLst>
            </c:dLbl>
            <c:dLbl>
              <c:idx val="9"/>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6BDA-4DA5-86C0-642C27ACBE3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Sheet1!$D$2:$D$11</c:f>
              <c:numCache>
                <c:formatCode>General</c:formatCode>
                <c:ptCount val="10"/>
                <c:pt idx="0">
                  <c:v>0</c:v>
                </c:pt>
                <c:pt idx="1">
                  <c:v>169</c:v>
                </c:pt>
                <c:pt idx="4">
                  <c:v>0</c:v>
                </c:pt>
                <c:pt idx="5">
                  <c:v>171</c:v>
                </c:pt>
                <c:pt idx="8">
                  <c:v>0</c:v>
                </c:pt>
                <c:pt idx="9">
                  <c:v>176</c:v>
                </c:pt>
              </c:numCache>
            </c:numRef>
          </c:val>
          <c:extLst>
            <c:ext xmlns:c16="http://schemas.microsoft.com/office/drawing/2014/chart" uri="{C3380CC4-5D6E-409C-BE32-E72D297353CC}">
              <c16:uniqueId val="{00000006-6BDA-4DA5-86C0-642C27ACBE3E}"/>
            </c:ext>
          </c:extLst>
        </c:ser>
        <c:ser>
          <c:idx val="0"/>
          <c:order val="1"/>
          <c:tx>
            <c:strRef>
              <c:f>Sheet1!$B$1</c:f>
              <c:strCache>
                <c:ptCount val="1"/>
                <c:pt idx="0">
                  <c:v>Membres de Secteur</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8-6BDA-4DA5-86C0-642C27ACBE3E}"/>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highlight>
                      <a:srgbClr val="FFFF00"/>
                    </a:highlight>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Sheet1!$B$2:$B$11</c:f>
              <c:numCache>
                <c:formatCode>General</c:formatCode>
                <c:ptCount val="10"/>
                <c:pt idx="0">
                  <c:v>310</c:v>
                </c:pt>
                <c:pt idx="4">
                  <c:v>329</c:v>
                </c:pt>
                <c:pt idx="8">
                  <c:v>331</c:v>
                </c:pt>
              </c:numCache>
            </c:numRef>
          </c:val>
          <c:extLst>
            <c:ext xmlns:c16="http://schemas.microsoft.com/office/drawing/2014/chart" uri="{C3380CC4-5D6E-409C-BE32-E72D297353CC}">
              <c16:uniqueId val="{00000009-6BDA-4DA5-86C0-642C27ACBE3E}"/>
            </c:ext>
          </c:extLst>
        </c:ser>
        <c:ser>
          <c:idx val="1"/>
          <c:order val="2"/>
          <c:tx>
            <c:strRef>
              <c:f>Sheet1!$C$1</c:f>
              <c:strCache>
                <c:ptCount val="1"/>
                <c:pt idx="0">
                  <c:v>Associés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B-6BDA-4DA5-86C0-642C27ACBE3E}"/>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Sheet1!$C$2:$C$11</c:f>
              <c:numCache>
                <c:formatCode>General</c:formatCode>
                <c:ptCount val="10"/>
                <c:pt idx="0">
                  <c:v>19</c:v>
                </c:pt>
                <c:pt idx="4">
                  <c:v>20</c:v>
                </c:pt>
                <c:pt idx="8">
                  <c:v>25</c:v>
                </c:pt>
              </c:numCache>
            </c:numRef>
          </c:val>
          <c:extLst>
            <c:ext xmlns:c16="http://schemas.microsoft.com/office/drawing/2014/chart" uri="{C3380CC4-5D6E-409C-BE32-E72D297353CC}">
              <c16:uniqueId val="{0000000C-6BDA-4DA5-86C0-642C27ACBE3E}"/>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Sheet1!$E$2:$E$11</c:f>
              <c:numCache>
                <c:formatCode>General</c:formatCode>
                <c:ptCount val="10"/>
                <c:pt idx="0">
                  <c:v>329</c:v>
                </c:pt>
                <c:pt idx="4">
                  <c:v>349</c:v>
                </c:pt>
                <c:pt idx="8">
                  <c:v>356</c:v>
                </c:pt>
              </c:numCache>
            </c:numRef>
          </c:val>
          <c:smooth val="0"/>
          <c:extLst>
            <c:ext xmlns:c16="http://schemas.microsoft.com/office/drawing/2014/chart" uri="{C3380CC4-5D6E-409C-BE32-E72D297353CC}">
              <c16:uniqueId val="{0000000D-6BDA-4DA5-86C0-642C27ACBE3E}"/>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2127026784"/>
        <c:crosses val="autoZero"/>
        <c:crossBetween val="between"/>
      </c:valAx>
      <c:spPr>
        <a:noFill/>
        <a:ln>
          <a:noFill/>
        </a:ln>
        <a:effectLst/>
      </c:spPr>
    </c:plotArea>
    <c:legend>
      <c:legendPos val="r"/>
      <c:legendEntry>
        <c:idx val="3"/>
        <c:delete val="1"/>
      </c:legendEntry>
      <c:layout>
        <c:manualLayout>
          <c:xMode val="edge"/>
          <c:yMode val="edge"/>
          <c:x val="0.77288901971365709"/>
          <c:y val="0.42531672346926785"/>
          <c:w val="0.22711098028634272"/>
          <c:h val="0.215601781120643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2022</cx:pt>
          <cx:pt idx="1">g 2023</cx:pt>
          <cx:pt idx="2">l 2023</cx:pt>
          <cx:pt idx="3">2023</cx:pt>
          <cx:pt idx="4">G 2024</cx:pt>
          <cx:pt idx="5">L 2024</cx:pt>
          <cx:pt idx="6">2024</cx:pt>
          <cx:pt idx="7">G 2025</cx:pt>
          <cx:pt idx="8">L 2025</cx:pt>
          <cx:pt idx="9">2025</cx:pt>
        </cx:lvl>
      </cx:strDim>
      <cx:numDim type="val">
        <cx:f>Sheet1!$B$2:$B$11</cx:f>
        <cx:lvl ptCount="10" formatCode="Standard">
          <cx:pt idx="0">316</cx:pt>
          <cx:pt idx="1">27</cx:pt>
          <cx:pt idx="2">-14</cx:pt>
          <cx:pt idx="3">329</cx:pt>
          <cx:pt idx="4">28</cx:pt>
          <cx:pt idx="5">-8</cx:pt>
          <cx:pt idx="6">349</cx:pt>
          <cx:pt idx="7">14</cx:pt>
          <cx:pt idx="8">-7</cx:pt>
          <cx:pt idx="9">356</cx:pt>
        </cx:lvl>
      </cx:numDim>
    </cx:data>
  </cx:chartData>
  <cx:chart>
    <cx:title pos="t" align="ctr" overlay="0">
      <cx:tx>
        <cx:rich>
          <a:bodyPr spcFirstLastPara="1" vertOverflow="ellipsis" horzOverflow="overflow" wrap="square" lIns="0" tIns="0" rIns="0" bIns="0" anchor="ctr" anchorCtr="1"/>
          <a:lstStyle/>
          <a:p>
            <a:pPr algn="ctr" rtl="0">
              <a:defRPr/>
            </a:pPr>
            <a:r>
              <a:rPr lang="en-US" sz="1000" b="1" i="0" u="none" strike="noStrike" baseline="0">
                <a:solidFill>
                  <a:schemeClr val="tx1">
                    <a:lumMod val="95000"/>
                    <a:lumOff val="5000"/>
                  </a:schemeClr>
                </a:solidFill>
                <a:latin typeface="Calibri" panose="020F0502020204030204"/>
              </a:rPr>
              <a:t>Graphique 2</a:t>
            </a:r>
            <a:r>
              <a:rPr lang="en-US" sz="1000" b="0" i="0" u="none" strike="noStrike" baseline="0">
                <a:solidFill>
                  <a:schemeClr val="tx1">
                    <a:lumMod val="95000"/>
                    <a:lumOff val="5000"/>
                  </a:schemeClr>
                </a:solidFill>
                <a:latin typeface="Calibri" panose="020F0502020204030204"/>
              </a:rPr>
              <a:t>: Membres de Secteur et Associés de l'UIT-D: valeurs absolues</a:t>
            </a:r>
            <a:br>
              <a:rPr lang="en-US" sz="900" b="0" i="0" u="none" strike="noStrike" baseline="0">
                <a:solidFill>
                  <a:schemeClr val="tx1">
                    <a:lumMod val="95000"/>
                    <a:lumOff val="5000"/>
                  </a:schemeClr>
                </a:solidFill>
                <a:latin typeface="Calibri" panose="020F0502020204030204"/>
              </a:rPr>
            </a:br>
            <a:r>
              <a:rPr lang="en-US" sz="900" b="0" i="0" u="none" strike="noStrike" baseline="0">
                <a:solidFill>
                  <a:schemeClr val="tx1">
                    <a:lumMod val="95000"/>
                    <a:lumOff val="5000"/>
                  </a:schemeClr>
                </a:solidFill>
                <a:latin typeface="Calibri" panose="020F0502020204030204"/>
              </a:rPr>
              <a:t> </a:t>
            </a:r>
          </a:p>
          <a:p>
            <a:pPr algn="ctr" rtl="0">
              <a:defRPr/>
            </a:pPr>
            <a:r>
              <a:rPr lang="en-US" sz="800" b="0" i="0" u="none" strike="noStrike" baseline="0">
                <a:solidFill>
                  <a:schemeClr val="tx1">
                    <a:lumMod val="95000"/>
                    <a:lumOff val="5000"/>
                  </a:schemeClr>
                </a:solidFill>
                <a:latin typeface="Calibri" panose="020F0502020204030204"/>
              </a:rPr>
              <a:t>*prévisions pour juin 2025</a:t>
            </a:r>
            <a:endParaRPr lang="en-US" sz="900" b="0" i="0" u="none" strike="noStrike" baseline="0">
              <a:solidFill>
                <a:schemeClr val="tx1">
                  <a:lumMod val="95000"/>
                  <a:lumOff val="5000"/>
                </a:schemeClr>
              </a:solidFill>
              <a:latin typeface="Calibri" panose="020F0502020204030204"/>
            </a:endParaRPr>
          </a:p>
        </cx:rich>
      </cx:tx>
    </cx:title>
    <cx:plotArea>
      <cx:plotAreaRegion>
        <cx:series layoutId="waterfall" uniqueId="{0E71AF3E-53DA-4F16-BDB1-BD4189E24036}">
          <cx:tx>
            <cx:txData>
              <cx:f>Sheet1!$B$1</cx:f>
              <cx:v>Series1</cx:v>
            </cx:txData>
          </cx:tx>
          <cx:dataPt idx="0">
            <cx:spPr>
              <a:solidFill>
                <a:srgbClr val="00B0F0"/>
              </a:solidFill>
            </cx:spPr>
          </cx:dataPt>
          <cx:dataPt idx="1">
            <cx:spPr>
              <a:solidFill>
                <a:srgbClr val="70AD47"/>
              </a:solidFill>
            </cx:spPr>
          </cx:dataPt>
          <cx:dataPt idx="2">
            <cx:spPr>
              <a:solidFill>
                <a:srgbClr val="FF0000"/>
              </a:solidFill>
            </cx:spPr>
          </cx:dataPt>
          <cx:dataPt idx="3">
            <cx:spPr>
              <a:solidFill>
                <a:srgbClr val="00B0F0"/>
              </a:solidFill>
            </cx:spPr>
          </cx:dataPt>
          <cx:dataPt idx="4">
            <cx:spPr>
              <a:solidFill>
                <a:srgbClr val="70AD47"/>
              </a:solidFill>
            </cx:spPr>
          </cx:dataPt>
          <cx:dataPt idx="5">
            <cx:spPr>
              <a:solidFill>
                <a:srgbClr val="FF0000"/>
              </a:solidFill>
            </cx:spPr>
          </cx:dataPt>
          <cx:dataPt idx="6">
            <cx:spPr>
              <a:solidFill>
                <a:srgbClr val="00B0F0"/>
              </a:solidFill>
            </cx:spPr>
          </cx:dataPt>
          <cx:dataPt idx="7">
            <cx:spPr>
              <a:solidFill>
                <a:srgbClr val="70AD47">
                  <a:alpha val="47000"/>
                </a:srgbClr>
              </a:solidFill>
            </cx:spPr>
          </cx:dataPt>
          <cx:dataPt idx="8">
            <cx:spPr>
              <a:solidFill>
                <a:srgbClr val="FF0000">
                  <a:alpha val="42000"/>
                </a:srgbClr>
              </a:solidFill>
            </cx:spPr>
          </cx:dataPt>
          <cx:dataPt idx="9">
            <cx:spPr>
              <a:solidFill>
                <a:srgbClr val="00B0F0">
                  <a:alpha val="49000"/>
                </a:srgbClr>
              </a:solidFill>
            </cx:spPr>
          </cx:dataPt>
          <cx:dataLabels pos="outEnd">
            <cx:visibility seriesName="0" categoryName="0" value="1"/>
            <cx:separator>, </cx:separator>
          </cx:dataLabels>
          <cx:dataId val="0"/>
          <cx:layoutPr>
            <cx:subtotals>
              <cx:idx val="3"/>
              <cx:idx val="6"/>
              <cx:idx val="9"/>
            </cx:subtotals>
          </cx:layoutPr>
        </cx:series>
      </cx:plotAreaRegion>
      <cx:axis id="0" hidden="1">
        <cx:catScaling gapWidth="0.5"/>
        <cx:tickLabels/>
      </cx:axis>
      <cx:axis id="1">
        <cx:valScaling max="370" min="300"/>
        <cx:tickLabels/>
      </cx:axis>
    </cx:plotArea>
    <cx:legend pos="r"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spPr>
    <a:ln>
      <a:noFill/>
    </a:ln>
  </cx:spPr>
  <cx:fmtOvrs>
    <cx:fmtOvr idx="0">
      <cx:spPr>
        <a:solidFill>
          <a:srgbClr val="00B050"/>
        </a:solidFill>
      </cx:spPr>
    </cx:fmtOvr>
    <cx:fmtOvr idx="1">
      <cx:spPr>
        <a:solidFill>
          <a:srgbClr val="FA3000"/>
        </a:solidFill>
      </cx:spPr>
    </cx:fmtOvr>
    <cx:fmtOvr idx="2">
      <cx:spPr>
        <a:solidFill>
          <a:srgbClr val="00B0F0"/>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2022</cx:pt>
          <cx:pt idx="1">new members 2023</cx:pt>
          <cx:pt idx="2">lost members 2023</cx:pt>
          <cx:pt idx="3">members 2023</cx:pt>
          <cx:pt idx="4">new members 2024</cx:pt>
          <cx:pt idx="5">lost members 2024</cx:pt>
          <cx:pt idx="6">members 2024</cx:pt>
          <cx:pt idx="7">new members 2025</cx:pt>
          <cx:pt idx="8">lost members 2025</cx:pt>
          <cx:pt idx="9">members 2025</cx:pt>
        </cx:lvl>
      </cx:strDim>
      <cx:numDim type="val">
        <cx:f>Sheet1!$B$2:$B$11</cx:f>
        <cx:lvl ptCount="10" formatCode="General">
          <cx:pt idx="0">169</cx:pt>
          <cx:pt idx="1">17</cx:pt>
          <cx:pt idx="2">-18</cx:pt>
          <cx:pt idx="3">168</cx:pt>
          <cx:pt idx="4">15</cx:pt>
          <cx:pt idx="5">-13</cx:pt>
          <cx:pt idx="6">170</cx:pt>
          <cx:pt idx="7">11</cx:pt>
          <cx:pt idx="8">-5</cx:pt>
          <cx:pt idx="9">176</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1000" b="1" i="0" u="none" strike="noStrike" baseline="0">
                <a:solidFill>
                  <a:sysClr val="windowText" lastClr="000000"/>
                </a:solidFill>
                <a:latin typeface="+mn-lt"/>
              </a:rPr>
              <a:t>Graphique 3</a:t>
            </a:r>
            <a:r>
              <a:rPr lang="en-US" sz="1000" b="0" i="0" u="none" strike="noStrike" baseline="0">
                <a:solidFill>
                  <a:sysClr val="windowText" lastClr="000000"/>
                </a:solidFill>
                <a:latin typeface="+mn-lt"/>
              </a:rPr>
              <a:t>: Établissements universitaires participant de l'UIT: valeurs absolues</a:t>
            </a:r>
          </a:p>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endParaRPr lang="en-US" sz="1000" b="0" i="0" u="none" strike="noStrike" baseline="0">
              <a:solidFill>
                <a:sysClr val="windowText" lastClr="000000"/>
              </a:solidFill>
              <a:latin typeface="+mn-lt"/>
            </a:endParaRPr>
          </a:p>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800" b="0" i="0" u="none" strike="noStrike" baseline="0">
                <a:solidFill>
                  <a:sysClr val="windowText" lastClr="000000"/>
                </a:solidFill>
                <a:latin typeface="+mn-lt"/>
              </a:rPr>
              <a:t>*prévisions pour juin 2025</a:t>
            </a:r>
          </a:p>
        </cx:rich>
      </cx:tx>
    </cx:title>
    <cx:plotArea>
      <cx:plotAreaRegion>
        <cx:series layoutId="waterfall" uniqueId="{1D96F30B-B542-4D28-9FB4-5199155E5879}">
          <cx:tx>
            <cx:txData>
              <cx:f>Sheet1!$B$1</cx:f>
              <cx:v>Series1</cx:v>
            </cx:txData>
          </cx:tx>
          <cx:dataPt idx="0">
            <cx:spPr>
              <a:solidFill>
                <a:srgbClr val="00B0F0"/>
              </a:solidFill>
            </cx:spPr>
          </cx:dataPt>
          <cx:dataPt idx="1">
            <cx:spPr>
              <a:solidFill>
                <a:srgbClr val="92D050"/>
              </a:solidFill>
            </cx:spPr>
          </cx:dataPt>
          <cx:dataPt idx="2">
            <cx:spPr>
              <a:solidFill>
                <a:srgbClr val="FA3000"/>
              </a:solidFill>
            </cx:spPr>
          </cx:dataPt>
          <cx:dataPt idx="3">
            <cx:spPr>
              <a:solidFill>
                <a:srgbClr val="00B0F0"/>
              </a:solidFill>
            </cx:spPr>
          </cx:dataPt>
          <cx:dataPt idx="4">
            <cx:spPr>
              <a:solidFill>
                <a:srgbClr val="92D050"/>
              </a:solidFill>
            </cx:spPr>
          </cx:dataPt>
          <cx:dataPt idx="5">
            <cx:spPr>
              <a:solidFill>
                <a:srgbClr val="FA3000"/>
              </a:solidFill>
            </cx:spPr>
          </cx:dataPt>
          <cx:dataPt idx="6">
            <cx:spPr>
              <a:solidFill>
                <a:srgbClr val="00B0F0"/>
              </a:solidFill>
            </cx:spPr>
          </cx:dataPt>
          <cx:dataPt idx="7">
            <cx:spPr>
              <a:solidFill>
                <a:srgbClr val="92D050">
                  <a:alpha val="52000"/>
                </a:srgbClr>
              </a:solidFill>
            </cx:spPr>
          </cx:dataPt>
          <cx:dataPt idx="8">
            <cx:spPr>
              <a:solidFill>
                <a:srgbClr val="FA3000">
                  <a:alpha val="49000"/>
                </a:srgbClr>
              </a:solidFill>
            </cx:spPr>
          </cx:dataPt>
          <cx:dataPt idx="9">
            <cx:spPr>
              <a:solidFill>
                <a:srgbClr val="00B0F0">
                  <a:alpha val="49000"/>
                </a:srgbClr>
              </a:solidFill>
            </cx:spPr>
          </cx:dataPt>
          <cx:dataLabels/>
          <cx:dataId val="0"/>
          <cx:layoutPr>
            <cx:subtotals>
              <cx:idx val="3"/>
              <cx:idx val="6"/>
              <cx:idx val="9"/>
            </cx:subtotals>
          </cx:layoutPr>
        </cx:series>
      </cx:plotAreaRegion>
      <cx:axis id="0" hidden="1">
        <cx:catScaling gapWidth="0.5"/>
        <cx:tickLabels/>
      </cx:axis>
      <cx:axis id="1">
        <cx:valScaling max="19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7CD68DB3-2FFD-4EB6-AD53-8637CB830E5F}"/>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2905</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9</cp:revision>
  <cp:lastPrinted>2014-11-04T09:22:00Z</cp:lastPrinted>
  <dcterms:created xsi:type="dcterms:W3CDTF">2025-05-06T12:57:00Z</dcterms:created>
  <dcterms:modified xsi:type="dcterms:W3CDTF">2025-05-07T09:25:00Z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