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127"/>
        <w:gridCol w:w="4277"/>
        <w:gridCol w:w="2112"/>
        <w:gridCol w:w="1372"/>
      </w:tblGrid>
      <w:tr w:rsidR="00AA7095" w:rsidRPr="00164016" w14:paraId="7381F435" w14:textId="77777777" w:rsidTr="00B37B73">
        <w:trPr>
          <w:cantSplit/>
          <w:trHeight w:val="1702"/>
        </w:trPr>
        <w:tc>
          <w:tcPr>
            <w:tcW w:w="2127" w:type="dxa"/>
          </w:tcPr>
          <w:p w14:paraId="4D015240" w14:textId="77777777" w:rsidR="00AA7095" w:rsidRPr="00164016" w:rsidRDefault="007A40D1" w:rsidP="00F92361">
            <w:pPr>
              <w:tabs>
                <w:tab w:val="clear" w:pos="1191"/>
                <w:tab w:val="clear" w:pos="1588"/>
                <w:tab w:val="clear" w:pos="1985"/>
              </w:tabs>
              <w:spacing w:after="40"/>
              <w:ind w:left="34"/>
              <w:rPr>
                <w:b/>
                <w:bCs/>
                <w:sz w:val="32"/>
                <w:szCs w:val="32"/>
                <w:lang w:val="es-ES_tradnl"/>
              </w:rPr>
            </w:pPr>
            <w:r w:rsidRPr="00164016">
              <w:rPr>
                <w:b/>
                <w:bCs/>
                <w:noProof/>
                <w:sz w:val="32"/>
                <w:szCs w:val="32"/>
                <w:lang w:val="es-ES_tradnl"/>
              </w:rPr>
              <w:drawing>
                <wp:inline distT="0" distB="0" distL="0" distR="0" wp14:anchorId="3024338C" wp14:editId="328DA996">
                  <wp:extent cx="1051200" cy="946800"/>
                  <wp:effectExtent l="0" t="0" r="0" b="5715"/>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8605" t="7850" r="24716" b="19549"/>
                          <a:stretch/>
                        </pic:blipFill>
                        <pic:spPr bwMode="auto">
                          <a:xfrm>
                            <a:off x="0" y="0"/>
                            <a:ext cx="10512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89" w:type="dxa"/>
            <w:gridSpan w:val="2"/>
          </w:tcPr>
          <w:p w14:paraId="46BD4A4D" w14:textId="77777777" w:rsidR="00AA7095" w:rsidRPr="00164016" w:rsidRDefault="00AA7095" w:rsidP="00162707">
            <w:pPr>
              <w:tabs>
                <w:tab w:val="clear" w:pos="1191"/>
                <w:tab w:val="clear" w:pos="1588"/>
                <w:tab w:val="clear" w:pos="1985"/>
              </w:tabs>
              <w:spacing w:before="240" w:after="240"/>
              <w:ind w:left="34"/>
              <w:rPr>
                <w:b/>
                <w:bCs/>
                <w:sz w:val="32"/>
                <w:szCs w:val="32"/>
                <w:lang w:val="es-ES_tradnl"/>
              </w:rPr>
            </w:pPr>
            <w:r w:rsidRPr="00164016">
              <w:rPr>
                <w:b/>
                <w:bCs/>
                <w:sz w:val="32"/>
                <w:szCs w:val="32"/>
                <w:lang w:val="es-ES_tradnl"/>
              </w:rPr>
              <w:t>Grupo Asesor de Desarrollo de las Telecomunicaciones (GADT)</w:t>
            </w:r>
          </w:p>
          <w:p w14:paraId="66D838C6" w14:textId="2D6E64DA" w:rsidR="00AA7095" w:rsidRPr="00164016" w:rsidRDefault="00AA7095" w:rsidP="009716D1">
            <w:pPr>
              <w:tabs>
                <w:tab w:val="clear" w:pos="1191"/>
                <w:tab w:val="clear" w:pos="1588"/>
                <w:tab w:val="clear" w:pos="1985"/>
              </w:tabs>
              <w:spacing w:after="120"/>
              <w:ind w:left="34"/>
              <w:rPr>
                <w:rFonts w:ascii="Verdana" w:hAnsi="Verdana"/>
                <w:sz w:val="28"/>
                <w:szCs w:val="28"/>
                <w:lang w:val="es-ES_tradnl"/>
              </w:rPr>
            </w:pPr>
            <w:r w:rsidRPr="00164016">
              <w:rPr>
                <w:b/>
                <w:bCs/>
                <w:sz w:val="26"/>
                <w:szCs w:val="26"/>
                <w:lang w:val="es-ES_tradnl"/>
              </w:rPr>
              <w:t xml:space="preserve">32ª reunión, Ginebra </w:t>
            </w:r>
            <w:r w:rsidR="00464873" w:rsidRPr="00164016">
              <w:rPr>
                <w:b/>
                <w:bCs/>
                <w:sz w:val="26"/>
                <w:szCs w:val="26"/>
                <w:lang w:val="es-ES_tradnl"/>
              </w:rPr>
              <w:t>(</w:t>
            </w:r>
            <w:r w:rsidRPr="00164016">
              <w:rPr>
                <w:b/>
                <w:bCs/>
                <w:sz w:val="26"/>
                <w:szCs w:val="26"/>
                <w:lang w:val="es-ES_tradnl"/>
              </w:rPr>
              <w:t>Suiza</w:t>
            </w:r>
            <w:r w:rsidR="00464873" w:rsidRPr="00164016">
              <w:rPr>
                <w:b/>
                <w:bCs/>
                <w:sz w:val="26"/>
                <w:szCs w:val="26"/>
                <w:lang w:val="es-ES_tradnl"/>
              </w:rPr>
              <w:t>)</w:t>
            </w:r>
            <w:r w:rsidRPr="00164016">
              <w:rPr>
                <w:b/>
                <w:bCs/>
                <w:sz w:val="26"/>
                <w:szCs w:val="26"/>
                <w:lang w:val="es-ES_tradnl"/>
              </w:rPr>
              <w:t>, 12-16 de mayo de 2025</w:t>
            </w:r>
          </w:p>
        </w:tc>
        <w:tc>
          <w:tcPr>
            <w:tcW w:w="1372" w:type="dxa"/>
          </w:tcPr>
          <w:p w14:paraId="1006E4BE" w14:textId="77777777" w:rsidR="00AA7095" w:rsidRPr="00164016" w:rsidRDefault="00AA7095" w:rsidP="00CF6D4A">
            <w:pPr>
              <w:spacing w:before="240" w:after="120"/>
              <w:ind w:right="142"/>
              <w:jc w:val="right"/>
              <w:rPr>
                <w:lang w:val="es-ES_tradnl"/>
              </w:rPr>
            </w:pPr>
            <w:r w:rsidRPr="00164016">
              <w:rPr>
                <w:noProof/>
                <w:lang w:val="es-ES_tradnl" w:eastAsia="fr-FR"/>
              </w:rPr>
              <w:drawing>
                <wp:inline distT="0" distB="0" distL="0" distR="0" wp14:anchorId="0A7927B1" wp14:editId="64F46B5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164016" w14:paraId="74BD9C96" w14:textId="77777777" w:rsidTr="00F92361">
        <w:trPr>
          <w:cantSplit/>
        </w:trPr>
        <w:tc>
          <w:tcPr>
            <w:tcW w:w="6404" w:type="dxa"/>
            <w:gridSpan w:val="2"/>
            <w:tcBorders>
              <w:top w:val="single" w:sz="12" w:space="0" w:color="auto"/>
            </w:tcBorders>
          </w:tcPr>
          <w:p w14:paraId="5B829561" w14:textId="77777777" w:rsidR="00683C32" w:rsidRPr="00164016" w:rsidRDefault="00683C32" w:rsidP="00107E85">
            <w:pPr>
              <w:spacing w:before="0"/>
              <w:rPr>
                <w:rFonts w:cs="Arial"/>
                <w:b/>
                <w:bCs/>
                <w:sz w:val="20"/>
                <w:lang w:val="es-ES_tradnl"/>
              </w:rPr>
            </w:pPr>
          </w:p>
        </w:tc>
        <w:tc>
          <w:tcPr>
            <w:tcW w:w="3484" w:type="dxa"/>
            <w:gridSpan w:val="2"/>
            <w:tcBorders>
              <w:top w:val="single" w:sz="12" w:space="0" w:color="auto"/>
            </w:tcBorders>
          </w:tcPr>
          <w:p w14:paraId="3BA99B75" w14:textId="77777777" w:rsidR="00683C32" w:rsidRPr="00164016" w:rsidRDefault="00683C32" w:rsidP="00107E85">
            <w:pPr>
              <w:spacing w:before="0"/>
              <w:rPr>
                <w:b/>
                <w:bCs/>
                <w:sz w:val="20"/>
                <w:lang w:val="es-ES_tradnl"/>
              </w:rPr>
            </w:pPr>
          </w:p>
        </w:tc>
      </w:tr>
      <w:tr w:rsidR="00683C32" w:rsidRPr="00164016" w14:paraId="0A668A07" w14:textId="77777777" w:rsidTr="00F92361">
        <w:trPr>
          <w:cantSplit/>
        </w:trPr>
        <w:tc>
          <w:tcPr>
            <w:tcW w:w="6404" w:type="dxa"/>
            <w:gridSpan w:val="2"/>
          </w:tcPr>
          <w:p w14:paraId="292D1277" w14:textId="77777777" w:rsidR="00683C32" w:rsidRPr="00164016" w:rsidRDefault="00683C32" w:rsidP="00400CCF">
            <w:pPr>
              <w:pStyle w:val="Committee"/>
              <w:spacing w:before="0"/>
              <w:rPr>
                <w:bCs/>
                <w:szCs w:val="24"/>
                <w:lang w:val="es-ES_tradnl"/>
              </w:rPr>
            </w:pPr>
          </w:p>
        </w:tc>
        <w:tc>
          <w:tcPr>
            <w:tcW w:w="3484" w:type="dxa"/>
            <w:gridSpan w:val="2"/>
          </w:tcPr>
          <w:p w14:paraId="412A2F54" w14:textId="57097AAC" w:rsidR="00683C32" w:rsidRPr="00164016" w:rsidRDefault="0096201B" w:rsidP="00B648C7">
            <w:pPr>
              <w:spacing w:before="0"/>
              <w:jc w:val="both"/>
              <w:rPr>
                <w:bCs/>
                <w:szCs w:val="24"/>
                <w:lang w:val="es-ES_tradnl"/>
              </w:rPr>
            </w:pPr>
            <w:r w:rsidRPr="00164016">
              <w:rPr>
                <w:b/>
                <w:bCs/>
                <w:lang w:val="es-ES_tradnl"/>
              </w:rPr>
              <w:t>Document</w:t>
            </w:r>
            <w:r w:rsidR="00B42366" w:rsidRPr="00164016">
              <w:rPr>
                <w:b/>
                <w:bCs/>
                <w:lang w:val="es-ES_tradnl"/>
              </w:rPr>
              <w:t>o</w:t>
            </w:r>
            <w:r w:rsidRPr="00164016">
              <w:rPr>
                <w:b/>
                <w:bCs/>
                <w:lang w:val="es-ES_tradnl"/>
              </w:rPr>
              <w:t xml:space="preserve"> </w:t>
            </w:r>
            <w:bookmarkStart w:id="0" w:name="DocRef1"/>
            <w:bookmarkEnd w:id="0"/>
            <w:r w:rsidRPr="00164016">
              <w:rPr>
                <w:b/>
                <w:bCs/>
                <w:lang w:val="es-ES_tradnl"/>
              </w:rPr>
              <w:t>TDAG</w:t>
            </w:r>
            <w:r w:rsidR="003242AB" w:rsidRPr="00164016">
              <w:rPr>
                <w:b/>
                <w:bCs/>
                <w:lang w:val="es-ES_tradnl"/>
              </w:rPr>
              <w:t>-</w:t>
            </w:r>
            <w:r w:rsidR="00B648C7" w:rsidRPr="00164016">
              <w:rPr>
                <w:b/>
                <w:bCs/>
                <w:lang w:val="es-ES_tradnl"/>
              </w:rPr>
              <w:t>2</w:t>
            </w:r>
            <w:bookmarkStart w:id="1" w:name="DocNo1"/>
            <w:bookmarkEnd w:id="1"/>
            <w:r w:rsidR="004010E2" w:rsidRPr="00164016">
              <w:rPr>
                <w:b/>
                <w:bCs/>
                <w:lang w:val="es-ES_tradnl"/>
              </w:rPr>
              <w:t>5</w:t>
            </w:r>
            <w:r w:rsidR="0009076F" w:rsidRPr="00164016">
              <w:rPr>
                <w:b/>
                <w:bCs/>
                <w:lang w:val="es-ES_tradnl"/>
              </w:rPr>
              <w:t>/</w:t>
            </w:r>
            <w:r w:rsidR="006C3E48" w:rsidRPr="00164016">
              <w:rPr>
                <w:b/>
                <w:bCs/>
                <w:lang w:val="es-ES_tradnl"/>
              </w:rPr>
              <w:t>5</w:t>
            </w:r>
            <w:r w:rsidR="004010E2" w:rsidRPr="00164016">
              <w:rPr>
                <w:b/>
                <w:bCs/>
                <w:lang w:val="es-ES_tradnl"/>
              </w:rPr>
              <w:t>-S</w:t>
            </w:r>
          </w:p>
        </w:tc>
      </w:tr>
      <w:tr w:rsidR="00683C32" w:rsidRPr="00164016" w14:paraId="4E55C66C" w14:textId="77777777" w:rsidTr="00F92361">
        <w:trPr>
          <w:cantSplit/>
        </w:trPr>
        <w:tc>
          <w:tcPr>
            <w:tcW w:w="6404" w:type="dxa"/>
            <w:gridSpan w:val="2"/>
          </w:tcPr>
          <w:p w14:paraId="1AC9E039" w14:textId="77777777" w:rsidR="00683C32" w:rsidRPr="00164016" w:rsidRDefault="00683C32" w:rsidP="00400CCF">
            <w:pPr>
              <w:spacing w:before="0"/>
              <w:rPr>
                <w:b/>
                <w:bCs/>
                <w:smallCaps/>
                <w:szCs w:val="24"/>
                <w:lang w:val="es-ES_tradnl"/>
              </w:rPr>
            </w:pPr>
          </w:p>
        </w:tc>
        <w:tc>
          <w:tcPr>
            <w:tcW w:w="3484" w:type="dxa"/>
            <w:gridSpan w:val="2"/>
          </w:tcPr>
          <w:p w14:paraId="4DABAE97" w14:textId="1EE4BDFC" w:rsidR="00683C32" w:rsidRPr="00164016" w:rsidRDefault="009102EF" w:rsidP="00B648C7">
            <w:pPr>
              <w:spacing w:before="0"/>
              <w:rPr>
                <w:b/>
                <w:szCs w:val="24"/>
                <w:lang w:val="es-ES_tradnl"/>
              </w:rPr>
            </w:pPr>
            <w:bookmarkStart w:id="2" w:name="CreationDate"/>
            <w:bookmarkEnd w:id="2"/>
            <w:r w:rsidRPr="00164016">
              <w:rPr>
                <w:b/>
                <w:bCs/>
                <w:szCs w:val="28"/>
                <w:lang w:val="es-ES_tradnl"/>
              </w:rPr>
              <w:t>24</w:t>
            </w:r>
            <w:r w:rsidR="00066114" w:rsidRPr="00164016">
              <w:rPr>
                <w:b/>
                <w:bCs/>
                <w:szCs w:val="28"/>
                <w:lang w:val="es-ES_tradnl"/>
              </w:rPr>
              <w:t xml:space="preserve"> de </w:t>
            </w:r>
            <w:r w:rsidRPr="00164016">
              <w:rPr>
                <w:b/>
                <w:bCs/>
                <w:szCs w:val="28"/>
                <w:lang w:val="es-ES_tradnl"/>
              </w:rPr>
              <w:t xml:space="preserve">marzo </w:t>
            </w:r>
            <w:r w:rsidR="00066114" w:rsidRPr="00164016">
              <w:rPr>
                <w:b/>
                <w:bCs/>
                <w:szCs w:val="28"/>
                <w:lang w:val="es-ES_tradnl"/>
              </w:rPr>
              <w:t>de</w:t>
            </w:r>
            <w:r w:rsidR="004010E2" w:rsidRPr="00164016">
              <w:rPr>
                <w:b/>
                <w:bCs/>
                <w:szCs w:val="28"/>
                <w:lang w:val="es-ES_tradnl"/>
              </w:rPr>
              <w:t xml:space="preserve"> 2025</w:t>
            </w:r>
          </w:p>
        </w:tc>
      </w:tr>
      <w:tr w:rsidR="00683C32" w:rsidRPr="00164016" w14:paraId="070D99E2" w14:textId="77777777" w:rsidTr="00F92361">
        <w:trPr>
          <w:cantSplit/>
        </w:trPr>
        <w:tc>
          <w:tcPr>
            <w:tcW w:w="6404" w:type="dxa"/>
            <w:gridSpan w:val="2"/>
          </w:tcPr>
          <w:p w14:paraId="4BAA08D5" w14:textId="77777777" w:rsidR="00683C32" w:rsidRPr="00164016" w:rsidRDefault="00683C32" w:rsidP="00400CCF">
            <w:pPr>
              <w:spacing w:before="0"/>
              <w:rPr>
                <w:smallCaps/>
                <w:szCs w:val="24"/>
                <w:lang w:val="es-ES_tradnl"/>
              </w:rPr>
            </w:pPr>
          </w:p>
        </w:tc>
        <w:tc>
          <w:tcPr>
            <w:tcW w:w="3484" w:type="dxa"/>
            <w:gridSpan w:val="2"/>
          </w:tcPr>
          <w:p w14:paraId="5521A6EC" w14:textId="77777777" w:rsidR="00514D2F" w:rsidRPr="00164016" w:rsidRDefault="0096201B" w:rsidP="00400CCF">
            <w:pPr>
              <w:spacing w:before="0"/>
              <w:rPr>
                <w:szCs w:val="24"/>
                <w:lang w:val="es-ES_tradnl"/>
              </w:rPr>
            </w:pPr>
            <w:r w:rsidRPr="00164016">
              <w:rPr>
                <w:b/>
                <w:lang w:val="es-ES_tradnl"/>
              </w:rPr>
              <w:t>Original:</w:t>
            </w:r>
            <w:bookmarkStart w:id="3" w:name="Original"/>
            <w:bookmarkEnd w:id="3"/>
            <w:r w:rsidR="00CE0422" w:rsidRPr="00164016">
              <w:rPr>
                <w:b/>
                <w:lang w:val="es-ES_tradnl"/>
              </w:rPr>
              <w:t xml:space="preserve"> </w:t>
            </w:r>
            <w:r w:rsidR="00B42366" w:rsidRPr="00164016">
              <w:rPr>
                <w:b/>
                <w:lang w:val="es-ES_tradnl"/>
              </w:rPr>
              <w:t>inglés</w:t>
            </w:r>
          </w:p>
        </w:tc>
      </w:tr>
      <w:tr w:rsidR="00A13162" w:rsidRPr="001276A4" w14:paraId="1F470CAA" w14:textId="77777777" w:rsidTr="00107E85">
        <w:trPr>
          <w:cantSplit/>
          <w:trHeight w:val="852"/>
        </w:trPr>
        <w:tc>
          <w:tcPr>
            <w:tcW w:w="9888" w:type="dxa"/>
            <w:gridSpan w:val="4"/>
          </w:tcPr>
          <w:p w14:paraId="2FD52707" w14:textId="23F46255" w:rsidR="00A13162" w:rsidRPr="00164016" w:rsidRDefault="00464873" w:rsidP="0030353C">
            <w:pPr>
              <w:pStyle w:val="Source"/>
              <w:rPr>
                <w:lang w:val="es-ES_tradnl"/>
              </w:rPr>
            </w:pPr>
            <w:bookmarkStart w:id="4" w:name="Source"/>
            <w:bookmarkEnd w:id="4"/>
            <w:r w:rsidRPr="00164016">
              <w:rPr>
                <w:rFonts w:cstheme="minorHAnsi"/>
                <w:lang w:val="es-ES_tradnl"/>
              </w:rPr>
              <w:t>Director de la Oficina de Desarrollo de las Telecomunicaciones</w:t>
            </w:r>
          </w:p>
        </w:tc>
      </w:tr>
      <w:tr w:rsidR="00AC6F14" w:rsidRPr="00164016" w14:paraId="1B407DB6" w14:textId="77777777" w:rsidTr="00107E85">
        <w:trPr>
          <w:cantSplit/>
        </w:trPr>
        <w:tc>
          <w:tcPr>
            <w:tcW w:w="9888" w:type="dxa"/>
            <w:gridSpan w:val="4"/>
          </w:tcPr>
          <w:p w14:paraId="03BD966D" w14:textId="1D866627" w:rsidR="00AC6F14" w:rsidRPr="00164016" w:rsidRDefault="0018679D" w:rsidP="0030353C">
            <w:pPr>
              <w:pStyle w:val="Title1"/>
              <w:rPr>
                <w:lang w:val="es-ES_tradnl"/>
              </w:rPr>
            </w:pPr>
            <w:bookmarkStart w:id="5" w:name="Title"/>
            <w:bookmarkEnd w:id="5"/>
            <w:r w:rsidRPr="00164016">
              <w:rPr>
                <w:rFonts w:cstheme="minorHAnsi"/>
                <w:lang w:val="es-ES_tradnl"/>
              </w:rPr>
              <w:t>Proyectos</w:t>
            </w:r>
            <w:r w:rsidR="00464873" w:rsidRPr="00164016">
              <w:rPr>
                <w:rFonts w:cstheme="minorHAnsi"/>
                <w:lang w:val="es-ES_tradnl"/>
              </w:rPr>
              <w:t xml:space="preserve"> del UIT-T </w:t>
            </w:r>
          </w:p>
        </w:tc>
      </w:tr>
      <w:tr w:rsidR="00A721F4" w:rsidRPr="00164016" w14:paraId="2D02ED76" w14:textId="77777777" w:rsidTr="00A721F4">
        <w:trPr>
          <w:cantSplit/>
        </w:trPr>
        <w:tc>
          <w:tcPr>
            <w:tcW w:w="9888" w:type="dxa"/>
            <w:gridSpan w:val="4"/>
            <w:tcBorders>
              <w:bottom w:val="single" w:sz="4" w:space="0" w:color="auto"/>
            </w:tcBorders>
          </w:tcPr>
          <w:p w14:paraId="142365BE" w14:textId="77777777" w:rsidR="00A721F4" w:rsidRPr="00164016" w:rsidRDefault="00A721F4" w:rsidP="00BC06EA">
            <w:pPr>
              <w:spacing w:after="120"/>
              <w:rPr>
                <w:lang w:val="es-ES_tradnl"/>
              </w:rPr>
            </w:pPr>
          </w:p>
        </w:tc>
      </w:tr>
      <w:tr w:rsidR="00A721F4" w:rsidRPr="00164016" w14:paraId="2194997A"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645C8DA0" w14:textId="77777777" w:rsidR="00A721F4" w:rsidRPr="00164016" w:rsidRDefault="00B42366" w:rsidP="00C9742F">
            <w:pPr>
              <w:pStyle w:val="Headingb"/>
              <w:rPr>
                <w:lang w:val="es-ES_tradnl"/>
              </w:rPr>
            </w:pPr>
            <w:r w:rsidRPr="00164016">
              <w:rPr>
                <w:lang w:val="es-ES_tradnl"/>
              </w:rPr>
              <w:t>Resumen</w:t>
            </w:r>
            <w:r w:rsidR="00A721F4" w:rsidRPr="00164016">
              <w:rPr>
                <w:lang w:val="es-ES_tradnl"/>
              </w:rPr>
              <w:t>:</w:t>
            </w:r>
          </w:p>
          <w:p w14:paraId="4D459980" w14:textId="502A6699" w:rsidR="004A6A25" w:rsidRPr="00164016" w:rsidRDefault="00BA67ED" w:rsidP="00EA0C51">
            <w:pPr>
              <w:spacing w:after="120"/>
              <w:rPr>
                <w:szCs w:val="24"/>
                <w:lang w:val="es-ES_tradnl"/>
              </w:rPr>
            </w:pPr>
            <w:r w:rsidRPr="00164016">
              <w:rPr>
                <w:rFonts w:cstheme="minorHAnsi"/>
                <w:lang w:val="es-ES_tradnl"/>
              </w:rPr>
              <w:t>La Unión Internacional de Telecomunicaciones tiene un doble cometido como organismo especializado de las Naciones Unidas y como organismo ejecutor de proyectos</w:t>
            </w:r>
            <w:r w:rsidR="00AB2477" w:rsidRPr="00164016">
              <w:rPr>
                <w:szCs w:val="24"/>
                <w:lang w:val="es-ES_tradnl"/>
              </w:rPr>
              <w:t>.</w:t>
            </w:r>
            <w:r w:rsidR="000A36C3" w:rsidRPr="00164016">
              <w:rPr>
                <w:lang w:val="es-ES_tradnl"/>
              </w:rPr>
              <w:t xml:space="preserve"> </w:t>
            </w:r>
            <w:r w:rsidR="000A36C3" w:rsidRPr="00164016">
              <w:rPr>
                <w:szCs w:val="24"/>
                <w:lang w:val="es-ES_tradnl"/>
              </w:rPr>
              <w:t>El Sector de Desarrollo de las Telecomunicaciones (UIT-D), en cumplimiento de esos objetivos, tiene la importante función de ejecutar proyectos dentro del sistema de desarrollo de las Naciones Unidas y otros acuerdos de financiación para facilitar y potenciar el desarrollo de las telecomunicaciones ofreciendo, organizando y coordinando actividades de cooperación y asistencia técnicas.</w:t>
            </w:r>
          </w:p>
          <w:p w14:paraId="65BF04EE" w14:textId="1B247F46" w:rsidR="00387A48" w:rsidRPr="00164016" w:rsidRDefault="00387A48" w:rsidP="00EA0C51">
            <w:pPr>
              <w:spacing w:after="120"/>
              <w:rPr>
                <w:szCs w:val="24"/>
                <w:lang w:val="es-ES_tradnl"/>
              </w:rPr>
            </w:pPr>
            <w:r w:rsidRPr="00164016">
              <w:rPr>
                <w:szCs w:val="24"/>
                <w:lang w:val="es-ES_tradnl"/>
              </w:rPr>
              <w:t xml:space="preserve">En este documento se presenta una visión global de los trabajos emprendidos por la Oficina de Desarrollo de las Telecomunicaciones relacionados con </w:t>
            </w:r>
            <w:r w:rsidR="00264A32" w:rsidRPr="00164016">
              <w:rPr>
                <w:szCs w:val="24"/>
                <w:lang w:val="es-ES_tradnl"/>
              </w:rPr>
              <w:t xml:space="preserve">el diseño, </w:t>
            </w:r>
            <w:r w:rsidRPr="00164016">
              <w:rPr>
                <w:szCs w:val="24"/>
                <w:lang w:val="es-ES_tradnl"/>
              </w:rPr>
              <w:t xml:space="preserve">preparación </w:t>
            </w:r>
            <w:r w:rsidR="00C252B6" w:rsidRPr="00164016">
              <w:rPr>
                <w:szCs w:val="24"/>
                <w:lang w:val="es-ES_tradnl"/>
              </w:rPr>
              <w:t xml:space="preserve">y evaluación </w:t>
            </w:r>
            <w:r w:rsidRPr="00164016">
              <w:rPr>
                <w:szCs w:val="24"/>
                <w:lang w:val="es-ES_tradnl"/>
              </w:rPr>
              <w:t>de proyectos en las seis regiones del UIT-D, a saber, África, las Américas, los Estados Árabes, Asia y el Pacífico, la Comunidad de Estados Independientes (CEI) y Europa, así como a nivel multirregional.</w:t>
            </w:r>
          </w:p>
          <w:p w14:paraId="43464A4A" w14:textId="77777777" w:rsidR="00A721F4" w:rsidRPr="00C9742F" w:rsidRDefault="00A721F4" w:rsidP="00C9742F">
            <w:pPr>
              <w:pStyle w:val="Headingb"/>
              <w:rPr>
                <w:lang w:val="es-ES_tradnl"/>
              </w:rPr>
            </w:pPr>
            <w:r w:rsidRPr="00C9742F">
              <w:rPr>
                <w:lang w:val="es-ES_tradnl"/>
              </w:rPr>
              <w:t>Ac</w:t>
            </w:r>
            <w:r w:rsidR="00B42366" w:rsidRPr="00C9742F">
              <w:rPr>
                <w:lang w:val="es-ES_tradnl"/>
              </w:rPr>
              <w:t>ción solicitada</w:t>
            </w:r>
            <w:r w:rsidRPr="00C9742F">
              <w:rPr>
                <w:lang w:val="es-ES_tradnl"/>
              </w:rPr>
              <w:t>:</w:t>
            </w:r>
          </w:p>
          <w:p w14:paraId="7A9CD5CA" w14:textId="2FA5BEC3" w:rsidR="00A721F4" w:rsidRPr="00164016" w:rsidRDefault="00066114" w:rsidP="00C9742F">
            <w:pPr>
              <w:rPr>
                <w:szCs w:val="24"/>
                <w:lang w:val="es-ES_tradnl"/>
              </w:rPr>
            </w:pPr>
            <w:r w:rsidRPr="00164016">
              <w:rPr>
                <w:lang w:val="es-ES_tradnl"/>
              </w:rPr>
              <w:t>Se invita al GADT a tomar nota del presente documento</w:t>
            </w:r>
            <w:r w:rsidR="00711C29" w:rsidRPr="00164016">
              <w:rPr>
                <w:lang w:val="es-ES_tradnl"/>
              </w:rPr>
              <w:t xml:space="preserve"> y a formular </w:t>
            </w:r>
            <w:r w:rsidR="00D231A9" w:rsidRPr="00164016">
              <w:rPr>
                <w:lang w:val="es-ES_tradnl"/>
              </w:rPr>
              <w:t>las orientaciones</w:t>
            </w:r>
            <w:r w:rsidR="00711C29" w:rsidRPr="00164016">
              <w:rPr>
                <w:lang w:val="es-ES_tradnl"/>
              </w:rPr>
              <w:t xml:space="preserve"> que estime oportunos</w:t>
            </w:r>
            <w:r w:rsidRPr="00164016">
              <w:rPr>
                <w:lang w:val="es-ES_tradnl"/>
              </w:rPr>
              <w:t>.</w:t>
            </w:r>
          </w:p>
          <w:p w14:paraId="6DC2AF93" w14:textId="77777777" w:rsidR="00A721F4" w:rsidRPr="00C9742F" w:rsidRDefault="00A721F4" w:rsidP="00C9742F">
            <w:pPr>
              <w:pStyle w:val="Headingb"/>
              <w:rPr>
                <w:lang w:val="es-ES_tradnl"/>
              </w:rPr>
            </w:pPr>
            <w:r w:rsidRPr="00C9742F">
              <w:rPr>
                <w:lang w:val="es-ES_tradnl"/>
              </w:rPr>
              <w:t>Referenc</w:t>
            </w:r>
            <w:r w:rsidR="00B42366" w:rsidRPr="00C9742F">
              <w:rPr>
                <w:lang w:val="es-ES_tradnl"/>
              </w:rPr>
              <w:t>ia</w:t>
            </w:r>
            <w:r w:rsidRPr="00C9742F">
              <w:rPr>
                <w:lang w:val="es-ES_tradnl"/>
              </w:rPr>
              <w:t>s:</w:t>
            </w:r>
          </w:p>
          <w:p w14:paraId="60D68AB8" w14:textId="0C4E4879" w:rsidR="00A721F4" w:rsidRPr="001276A4" w:rsidRDefault="00E1414A" w:rsidP="00C9742F">
            <w:pPr>
              <w:spacing w:after="120"/>
              <w:rPr>
                <w:i/>
                <w:iCs/>
                <w:lang w:val="es-ES_tradnl"/>
              </w:rPr>
            </w:pPr>
            <w:r w:rsidRPr="001276A4">
              <w:rPr>
                <w:i/>
                <w:iCs/>
                <w:lang w:val="es-ES_tradnl"/>
              </w:rPr>
              <w:t>Resoluciones 17 (Rev. Kigali, 2022) y 52 (Rev. Dubái, 2014) de la Conferencia Mundial de Desarrollo de las Telecomunicaciones (CMDT-22) y Resolución 157 (Rev. Bucarest, 2022) de la Conferencia de Plenipotenciarios (PP-22). Resolución 1418 del Consejo de la UIT.</w:t>
            </w:r>
          </w:p>
        </w:tc>
      </w:tr>
    </w:tbl>
    <w:p w14:paraId="5CD08E9F" w14:textId="77777777" w:rsidR="00923CF1" w:rsidRPr="00164016" w:rsidRDefault="00923CF1" w:rsidP="00935FF0">
      <w:pPr>
        <w:rPr>
          <w:lang w:val="es-ES_tradnl"/>
        </w:rPr>
      </w:pPr>
    </w:p>
    <w:p w14:paraId="47FC5788" w14:textId="77777777" w:rsidR="00923CF1" w:rsidRPr="00164016"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164016">
        <w:rPr>
          <w:lang w:val="es-ES_tradnl"/>
        </w:rPr>
        <w:br w:type="page"/>
      </w:r>
    </w:p>
    <w:p w14:paraId="09DEF7E5" w14:textId="14F1AC52" w:rsidR="00066114" w:rsidRPr="00C05492" w:rsidRDefault="00066114" w:rsidP="00632B44">
      <w:pPr>
        <w:pStyle w:val="Heading1"/>
        <w:rPr>
          <w:sz w:val="24"/>
          <w:szCs w:val="24"/>
          <w:lang w:val="es-ES_tradnl"/>
        </w:rPr>
      </w:pPr>
      <w:r w:rsidRPr="00C05492">
        <w:rPr>
          <w:sz w:val="24"/>
          <w:szCs w:val="24"/>
          <w:lang w:val="es-ES_tradnl"/>
        </w:rPr>
        <w:lastRenderedPageBreak/>
        <w:t>1</w:t>
      </w:r>
      <w:r w:rsidRPr="00C05492">
        <w:rPr>
          <w:sz w:val="24"/>
          <w:szCs w:val="24"/>
          <w:lang w:val="es-ES_tradnl"/>
        </w:rPr>
        <w:tab/>
      </w:r>
      <w:r w:rsidR="00632B44" w:rsidRPr="00C05492">
        <w:rPr>
          <w:sz w:val="24"/>
          <w:szCs w:val="24"/>
          <w:lang w:val="es-ES_tradnl"/>
        </w:rPr>
        <w:t>Introducción</w:t>
      </w:r>
    </w:p>
    <w:p w14:paraId="5CD5FF41" w14:textId="32699FEE" w:rsidR="0060547F" w:rsidRPr="00164016" w:rsidRDefault="00F02BCE" w:rsidP="00C9742F">
      <w:pPr>
        <w:rPr>
          <w:lang w:val="es-ES_tradnl"/>
        </w:rPr>
      </w:pPr>
      <w:r w:rsidRPr="00164016">
        <w:rPr>
          <w:lang w:val="es-ES_tradnl"/>
        </w:rPr>
        <w:t>De conformidad con las Resoluciones 17 (Rev.</w:t>
      </w:r>
      <w:r w:rsidR="00C21F12" w:rsidRPr="00164016">
        <w:rPr>
          <w:lang w:val="es-ES_tradnl"/>
        </w:rPr>
        <w:t> </w:t>
      </w:r>
      <w:r w:rsidR="003A1DC8" w:rsidRPr="00164016">
        <w:rPr>
          <w:lang w:val="es-ES_tradnl"/>
        </w:rPr>
        <w:t xml:space="preserve">Kigali, 2022) y </w:t>
      </w:r>
      <w:r w:rsidR="00B5379F" w:rsidRPr="00164016">
        <w:rPr>
          <w:lang w:val="es-ES_tradnl"/>
        </w:rPr>
        <w:t>52 (Rev.</w:t>
      </w:r>
      <w:r w:rsidR="00C21F12" w:rsidRPr="00164016">
        <w:rPr>
          <w:lang w:val="es-ES_tradnl"/>
        </w:rPr>
        <w:t> </w:t>
      </w:r>
      <w:r w:rsidR="00B5379F" w:rsidRPr="00164016">
        <w:rPr>
          <w:lang w:val="es-ES_tradnl"/>
        </w:rPr>
        <w:t>Dubái, 2014) de la Conferencia Mundial de Desarrollo de las Telecomunicaciones (CMDT</w:t>
      </w:r>
      <w:r w:rsidR="00C9742F">
        <w:rPr>
          <w:lang w:val="es-ES_tradnl"/>
        </w:rPr>
        <w:t>-22</w:t>
      </w:r>
      <w:r w:rsidR="00B5379F" w:rsidRPr="00164016">
        <w:rPr>
          <w:lang w:val="es-ES_tradnl"/>
        </w:rPr>
        <w:t>) y la Resolución 157</w:t>
      </w:r>
      <w:r w:rsidR="00C9742F">
        <w:rPr>
          <w:lang w:val="es-ES_tradnl"/>
        </w:rPr>
        <w:t> </w:t>
      </w:r>
      <w:r w:rsidR="00B5379F" w:rsidRPr="00164016">
        <w:rPr>
          <w:lang w:val="es-ES_tradnl"/>
        </w:rPr>
        <w:t>(Rev.</w:t>
      </w:r>
      <w:r w:rsidR="00C9742F">
        <w:rPr>
          <w:lang w:val="es-ES_tradnl"/>
        </w:rPr>
        <w:t> </w:t>
      </w:r>
      <w:r w:rsidR="00B5379F" w:rsidRPr="00164016">
        <w:rPr>
          <w:lang w:val="es-ES_tradnl"/>
        </w:rPr>
        <w:t>Bucarest, 2022) de la Conferencia de Plenipotenciarios, la Oficina de Desarrollo de las Telecomunicaciones de la UIT (BDT) tiene la responsabilidad de cumplir el mandato de la UIT respecto de la ejecución de proyectos en el marco del sistema de las Naciones Unidas para el desarrollo y de otras iniciativas de financiación, con objeto de facilitar y potenciar el desarrollo de las telecomunicaciones/tecnologías de la información y la comunicación (TIC) ofreciendo, organizando y coordinando actividades de cooperación y asistencia técnicas</w:t>
      </w:r>
      <w:r w:rsidR="0060547F" w:rsidRPr="00164016">
        <w:rPr>
          <w:lang w:val="es-ES_tradnl"/>
        </w:rPr>
        <w:t>.</w:t>
      </w:r>
      <w:r w:rsidR="003A1DC8" w:rsidRPr="00164016">
        <w:rPr>
          <w:lang w:val="es-ES_tradnl"/>
        </w:rPr>
        <w:t xml:space="preserve"> En el presente informe se resume la situación de la cartera de proyectos de la UIT </w:t>
      </w:r>
      <w:r w:rsidR="00E80646" w:rsidRPr="00164016">
        <w:rPr>
          <w:lang w:val="es-ES_tradnl"/>
        </w:rPr>
        <w:t xml:space="preserve">en curso en </w:t>
      </w:r>
      <w:r w:rsidR="00674D35" w:rsidRPr="00164016">
        <w:rPr>
          <w:lang w:val="es-ES_tradnl"/>
        </w:rPr>
        <w:t>2024 (</w:t>
      </w:r>
      <w:r w:rsidR="00823CBE" w:rsidRPr="00164016">
        <w:rPr>
          <w:lang w:val="es-ES_tradnl"/>
        </w:rPr>
        <w:t xml:space="preserve">ejecutados </w:t>
      </w:r>
      <w:r w:rsidR="003A1DC8" w:rsidRPr="00164016">
        <w:rPr>
          <w:lang w:val="es-ES_tradnl"/>
        </w:rPr>
        <w:t>entre enero y diciembre de 202</w:t>
      </w:r>
      <w:r w:rsidR="00674D35" w:rsidRPr="00164016">
        <w:rPr>
          <w:lang w:val="es-ES_tradnl"/>
        </w:rPr>
        <w:t>4)</w:t>
      </w:r>
      <w:r w:rsidR="004C0EB2" w:rsidRPr="00164016">
        <w:rPr>
          <w:rStyle w:val="FootnoteReference"/>
          <w:rFonts w:cstheme="minorHAnsi"/>
          <w:szCs w:val="18"/>
          <w:lang w:val="es-ES_tradnl"/>
        </w:rPr>
        <w:footnoteReference w:id="1"/>
      </w:r>
      <w:r w:rsidR="00674D35" w:rsidRPr="00164016">
        <w:rPr>
          <w:lang w:val="es-ES_tradnl"/>
        </w:rPr>
        <w:t>.</w:t>
      </w:r>
    </w:p>
    <w:p w14:paraId="4C6F87A4" w14:textId="1929383E" w:rsidR="00066114" w:rsidRPr="00C05492" w:rsidRDefault="00066114" w:rsidP="009144F0">
      <w:pPr>
        <w:pStyle w:val="Heading1"/>
        <w:rPr>
          <w:sz w:val="24"/>
          <w:szCs w:val="24"/>
          <w:lang w:val="es-ES_tradnl"/>
        </w:rPr>
      </w:pPr>
      <w:r w:rsidRPr="00C05492">
        <w:rPr>
          <w:sz w:val="24"/>
          <w:szCs w:val="24"/>
          <w:lang w:val="es-ES_tradnl"/>
        </w:rPr>
        <w:t>2</w:t>
      </w:r>
      <w:r w:rsidRPr="00C05492">
        <w:rPr>
          <w:sz w:val="24"/>
          <w:szCs w:val="24"/>
          <w:lang w:val="es-ES_tradnl"/>
        </w:rPr>
        <w:tab/>
      </w:r>
      <w:r w:rsidR="007D57A2" w:rsidRPr="00C05492">
        <w:rPr>
          <w:sz w:val="24"/>
          <w:szCs w:val="24"/>
          <w:lang w:val="es-ES_tradnl"/>
        </w:rPr>
        <w:t>Cartera de proyectos de la UIT: proyectos con actividades en 2024</w:t>
      </w:r>
    </w:p>
    <w:p w14:paraId="40D3B23A" w14:textId="1F6C20F8" w:rsidR="009144F0" w:rsidRPr="00164016" w:rsidRDefault="009144F0" w:rsidP="009144F0">
      <w:pPr>
        <w:pStyle w:val="Heading2"/>
        <w:rPr>
          <w:lang w:val="es-ES_tradnl"/>
        </w:rPr>
      </w:pPr>
      <w:r w:rsidRPr="00164016">
        <w:rPr>
          <w:lang w:val="es-ES_tradnl"/>
        </w:rPr>
        <w:t>2.1</w:t>
      </w:r>
      <w:r w:rsidRPr="00164016">
        <w:rPr>
          <w:lang w:val="es-ES_tradnl"/>
        </w:rPr>
        <w:tab/>
      </w:r>
      <w:r w:rsidR="00813741" w:rsidRPr="00813741">
        <w:rPr>
          <w:lang w:val="es-ES_tradnl"/>
        </w:rPr>
        <w:t>Descripción general y distribución regional</w:t>
      </w:r>
    </w:p>
    <w:p w14:paraId="14691FA2" w14:textId="5A8E6664" w:rsidR="009144F0" w:rsidRPr="00164016" w:rsidRDefault="00901AE2" w:rsidP="00C9742F">
      <w:pPr>
        <w:spacing w:after="360"/>
        <w:rPr>
          <w:rFonts w:cstheme="minorBidi"/>
          <w:lang w:val="es-ES_tradnl"/>
        </w:rPr>
      </w:pPr>
      <w:r w:rsidRPr="00164016">
        <w:rPr>
          <w:rFonts w:cstheme="minorBidi"/>
          <w:lang w:val="es-ES_tradnl"/>
        </w:rPr>
        <w:t>A lo largo de 2024, la BDT ejecutó un total de 105 proyectos, por un valor de 90,4</w:t>
      </w:r>
      <w:r w:rsidR="00C9742F">
        <w:rPr>
          <w:rFonts w:cstheme="minorBidi"/>
          <w:lang w:val="es-ES_tradnl"/>
        </w:rPr>
        <w:t> </w:t>
      </w:r>
      <w:r w:rsidRPr="00164016">
        <w:rPr>
          <w:rFonts w:cstheme="minorBidi"/>
          <w:lang w:val="es-ES_tradnl"/>
        </w:rPr>
        <w:t>millones</w:t>
      </w:r>
      <w:r w:rsidR="00C9742F">
        <w:rPr>
          <w:rFonts w:cstheme="minorBidi"/>
          <w:lang w:val="es-ES_tradnl"/>
        </w:rPr>
        <w:t> </w:t>
      </w:r>
      <w:r w:rsidRPr="00164016">
        <w:rPr>
          <w:rFonts w:cstheme="minorBidi"/>
          <w:lang w:val="es-ES_tradnl"/>
        </w:rPr>
        <w:t xml:space="preserve">CHF. En la Figura 1 se presenta la distribución general de esta cartera por región y un resumen de: 1) los fondos movilizados para apoyar la ejecución de estos proyectos; </w:t>
      </w:r>
      <w:r w:rsidR="00674EB5">
        <w:rPr>
          <w:rFonts w:cstheme="minorBidi"/>
          <w:lang w:val="es-ES_tradnl"/>
        </w:rPr>
        <w:t xml:space="preserve">y </w:t>
      </w:r>
      <w:r w:rsidRPr="00164016">
        <w:rPr>
          <w:rFonts w:cstheme="minorBidi"/>
          <w:lang w:val="es-ES_tradnl"/>
        </w:rPr>
        <w:t xml:space="preserve">2) </w:t>
      </w:r>
      <w:r w:rsidR="00614C2A">
        <w:rPr>
          <w:rFonts w:cstheme="minorBidi"/>
          <w:lang w:val="es-ES_tradnl"/>
        </w:rPr>
        <w:t>el capital</w:t>
      </w:r>
      <w:r w:rsidRPr="00164016">
        <w:rPr>
          <w:rFonts w:cstheme="minorBidi"/>
          <w:lang w:val="es-ES_tradnl"/>
        </w:rPr>
        <w:t xml:space="preserve"> inicial asignad</w:t>
      </w:r>
      <w:r w:rsidR="00614C2A">
        <w:rPr>
          <w:rFonts w:cstheme="minorBidi"/>
          <w:lang w:val="es-ES_tradnl"/>
        </w:rPr>
        <w:t>o</w:t>
      </w:r>
      <w:r w:rsidRPr="00164016">
        <w:rPr>
          <w:rFonts w:cstheme="minorBidi"/>
          <w:lang w:val="es-ES_tradnl"/>
        </w:rPr>
        <w:t xml:space="preserve"> por la UIT con cargo al Fondo de Desarrollo de las TIC </w:t>
      </w:r>
      <w:r w:rsidR="009144F0" w:rsidRPr="00164016">
        <w:rPr>
          <w:rFonts w:cstheme="minorBidi"/>
          <w:lang w:val="es-ES_tradnl"/>
        </w:rPr>
        <w:t>(</w:t>
      </w:r>
      <w:r w:rsidR="00BB09EB" w:rsidRPr="00164016">
        <w:rPr>
          <w:rFonts w:cstheme="minorBidi"/>
          <w:lang w:val="es-ES_tradnl"/>
        </w:rPr>
        <w:t>FDT</w:t>
      </w:r>
      <w:r w:rsidR="009144F0" w:rsidRPr="00164016">
        <w:rPr>
          <w:rFonts w:cstheme="minorBidi"/>
          <w:lang w:val="es-ES_tradnl"/>
        </w:rPr>
        <w:t xml:space="preserve">IC). </w:t>
      </w:r>
    </w:p>
    <w:p w14:paraId="1FEF450C" w14:textId="4EE94C84" w:rsidR="009144F0" w:rsidRPr="00164016" w:rsidRDefault="009144F0" w:rsidP="00C9742F">
      <w:pPr>
        <w:pStyle w:val="Figuretitle"/>
        <w:spacing w:after="120"/>
        <w:rPr>
          <w:lang w:val="es-ES_tradnl"/>
        </w:rPr>
      </w:pPr>
      <w:r w:rsidRPr="00164016">
        <w:rPr>
          <w:lang w:val="es-ES_tradnl"/>
        </w:rPr>
        <w:t>Figur</w:t>
      </w:r>
      <w:r w:rsidR="00BB09EB" w:rsidRPr="00164016">
        <w:rPr>
          <w:lang w:val="es-ES_tradnl"/>
        </w:rPr>
        <w:t>a</w:t>
      </w:r>
      <w:r w:rsidRPr="00164016">
        <w:rPr>
          <w:lang w:val="es-ES_tradnl"/>
        </w:rPr>
        <w:t xml:space="preserve"> 1 – </w:t>
      </w:r>
      <w:r w:rsidR="003E3F74" w:rsidRPr="00164016">
        <w:rPr>
          <w:lang w:val="es-ES_tradnl"/>
        </w:rPr>
        <w:t xml:space="preserve">Resumen de los proyectos en curso de la UIT por región </w:t>
      </w:r>
      <w:r w:rsidRPr="00164016">
        <w:rPr>
          <w:lang w:val="es-ES_tradnl"/>
        </w:rPr>
        <w:t>(</w:t>
      </w:r>
      <w:r w:rsidR="003E3F74" w:rsidRPr="00164016">
        <w:rPr>
          <w:lang w:val="es-ES_tradnl"/>
        </w:rPr>
        <w:t xml:space="preserve">en miles </w:t>
      </w:r>
      <w:r w:rsidRPr="00164016">
        <w:rPr>
          <w:lang w:val="es-ES_tradnl"/>
        </w:rPr>
        <w:t>CHF)</w:t>
      </w:r>
    </w:p>
    <w:tbl>
      <w:tblPr>
        <w:tblW w:w="696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93"/>
        <w:gridCol w:w="1412"/>
        <w:gridCol w:w="1559"/>
        <w:gridCol w:w="1417"/>
        <w:gridCol w:w="1585"/>
      </w:tblGrid>
      <w:tr w:rsidR="004323F7" w:rsidRPr="001276A4" w14:paraId="7E01955B" w14:textId="77777777" w:rsidTr="004323F7">
        <w:trPr>
          <w:trHeight w:val="852"/>
          <w:jc w:val="center"/>
        </w:trPr>
        <w:tc>
          <w:tcPr>
            <w:tcW w:w="993" w:type="dxa"/>
            <w:shd w:val="clear" w:color="auto" w:fill="8DB3E2" w:themeFill="text2" w:themeFillTint="66"/>
            <w:noWrap/>
            <w:vAlign w:val="center"/>
            <w:hideMark/>
          </w:tcPr>
          <w:p w14:paraId="3938A3DE" w14:textId="54CFC495" w:rsidR="009144F0" w:rsidRPr="00164016" w:rsidRDefault="009144F0" w:rsidP="00C9742F">
            <w:pPr>
              <w:pStyle w:val="Tablehead"/>
              <w:rPr>
                <w:rFonts w:eastAsiaTheme="minorEastAsia"/>
                <w:lang w:val="es-ES_tradnl" w:eastAsia="zh-CN"/>
              </w:rPr>
            </w:pPr>
            <w:r w:rsidRPr="00164016">
              <w:rPr>
                <w:rFonts w:eastAsiaTheme="minorEastAsia"/>
                <w:lang w:val="es-ES_tradnl" w:eastAsia="zh-CN"/>
              </w:rPr>
              <w:t>Regi</w:t>
            </w:r>
            <w:r w:rsidR="003E3F74" w:rsidRPr="00164016">
              <w:rPr>
                <w:rFonts w:eastAsiaTheme="minorEastAsia"/>
                <w:lang w:val="es-ES_tradnl" w:eastAsia="zh-CN"/>
              </w:rPr>
              <w:t>ó</w:t>
            </w:r>
            <w:r w:rsidRPr="00164016">
              <w:rPr>
                <w:rFonts w:eastAsiaTheme="minorEastAsia"/>
                <w:lang w:val="es-ES_tradnl" w:eastAsia="zh-CN"/>
              </w:rPr>
              <w:t>n</w:t>
            </w:r>
          </w:p>
        </w:tc>
        <w:tc>
          <w:tcPr>
            <w:tcW w:w="1412" w:type="dxa"/>
            <w:shd w:val="clear" w:color="auto" w:fill="8DB3E2" w:themeFill="text2" w:themeFillTint="66"/>
            <w:noWrap/>
            <w:vAlign w:val="center"/>
            <w:hideMark/>
          </w:tcPr>
          <w:p w14:paraId="4CF35291" w14:textId="4C5ADA30" w:rsidR="009144F0" w:rsidRPr="00164016" w:rsidRDefault="003E3F74" w:rsidP="00C9742F">
            <w:pPr>
              <w:pStyle w:val="Tablehead"/>
              <w:rPr>
                <w:rFonts w:eastAsiaTheme="minorEastAsia"/>
                <w:lang w:val="es-ES_tradnl" w:eastAsia="zh-CN"/>
              </w:rPr>
            </w:pPr>
            <w:r w:rsidRPr="00164016">
              <w:rPr>
                <w:rFonts w:eastAsiaTheme="minorEastAsia"/>
                <w:lang w:val="es-ES_tradnl" w:eastAsia="zh-CN"/>
              </w:rPr>
              <w:t>Nº de proyectos</w:t>
            </w:r>
          </w:p>
        </w:tc>
        <w:tc>
          <w:tcPr>
            <w:tcW w:w="1559" w:type="dxa"/>
            <w:shd w:val="clear" w:color="auto" w:fill="8DB3E2" w:themeFill="text2" w:themeFillTint="66"/>
            <w:noWrap/>
            <w:vAlign w:val="center"/>
            <w:hideMark/>
          </w:tcPr>
          <w:p w14:paraId="2DB35321" w14:textId="41852DC0" w:rsidR="009144F0" w:rsidRPr="00164016" w:rsidRDefault="00A36E38" w:rsidP="00C9742F">
            <w:pPr>
              <w:pStyle w:val="Tablehead"/>
              <w:rPr>
                <w:rFonts w:eastAsiaTheme="minorEastAsia"/>
                <w:lang w:val="es-ES_tradnl" w:eastAsia="zh-CN"/>
              </w:rPr>
            </w:pPr>
            <w:r w:rsidRPr="00164016">
              <w:rPr>
                <w:rFonts w:eastAsiaTheme="minorEastAsia"/>
                <w:lang w:val="es-ES_tradnl" w:eastAsia="zh-CN"/>
              </w:rPr>
              <w:t>Fondos</w:t>
            </w:r>
            <w:r w:rsidR="003B2FBB" w:rsidRPr="00164016">
              <w:rPr>
                <w:rFonts w:eastAsiaTheme="minorEastAsia"/>
                <w:lang w:val="es-ES_tradnl" w:eastAsia="zh-CN"/>
              </w:rPr>
              <w:t xml:space="preserve"> </w:t>
            </w:r>
            <w:r w:rsidRPr="00164016">
              <w:rPr>
                <w:rFonts w:eastAsiaTheme="minorEastAsia"/>
                <w:lang w:val="es-ES_tradnl" w:eastAsia="zh-CN"/>
              </w:rPr>
              <w:t xml:space="preserve">de </w:t>
            </w:r>
            <w:r w:rsidR="003B2FBB" w:rsidRPr="00164016">
              <w:rPr>
                <w:rFonts w:eastAsiaTheme="minorEastAsia"/>
                <w:lang w:val="es-ES_tradnl" w:eastAsia="zh-CN"/>
              </w:rPr>
              <w:t>los asociados</w:t>
            </w:r>
          </w:p>
        </w:tc>
        <w:tc>
          <w:tcPr>
            <w:tcW w:w="1417" w:type="dxa"/>
            <w:shd w:val="clear" w:color="auto" w:fill="8DB3E2" w:themeFill="text2" w:themeFillTint="66"/>
            <w:noWrap/>
            <w:vAlign w:val="center"/>
          </w:tcPr>
          <w:p w14:paraId="5388D348" w14:textId="468A8F05" w:rsidR="009144F0" w:rsidRPr="00164016" w:rsidRDefault="00A36E38" w:rsidP="00C9742F">
            <w:pPr>
              <w:pStyle w:val="Tablehead"/>
              <w:rPr>
                <w:rFonts w:eastAsiaTheme="minorEastAsia"/>
                <w:lang w:val="es-ES_tradnl" w:eastAsia="zh-CN"/>
              </w:rPr>
            </w:pPr>
            <w:r w:rsidRPr="00164016">
              <w:rPr>
                <w:rFonts w:eastAsiaTheme="minorEastAsia"/>
                <w:lang w:val="es-ES_tradnl" w:eastAsia="zh-CN"/>
              </w:rPr>
              <w:t>Fondos de la U</w:t>
            </w:r>
            <w:r w:rsidR="009144F0" w:rsidRPr="00164016">
              <w:rPr>
                <w:rFonts w:eastAsiaTheme="minorEastAsia"/>
                <w:lang w:val="es-ES_tradnl" w:eastAsia="zh-CN"/>
              </w:rPr>
              <w:t xml:space="preserve">IT </w:t>
            </w:r>
          </w:p>
        </w:tc>
        <w:tc>
          <w:tcPr>
            <w:tcW w:w="1585" w:type="dxa"/>
            <w:shd w:val="clear" w:color="auto" w:fill="8DB3E2" w:themeFill="text2" w:themeFillTint="66"/>
            <w:noWrap/>
            <w:vAlign w:val="center"/>
            <w:hideMark/>
          </w:tcPr>
          <w:p w14:paraId="431E5722" w14:textId="22F5311C" w:rsidR="009144F0" w:rsidRPr="00164016" w:rsidRDefault="00A36E38" w:rsidP="00C9742F">
            <w:pPr>
              <w:pStyle w:val="Tablehead"/>
              <w:rPr>
                <w:rFonts w:eastAsiaTheme="minorEastAsia"/>
                <w:lang w:val="es-ES_tradnl" w:eastAsia="zh-CN"/>
              </w:rPr>
            </w:pPr>
            <w:r w:rsidRPr="00164016">
              <w:rPr>
                <w:rFonts w:eastAsiaTheme="minorEastAsia"/>
                <w:lang w:val="es-ES_tradnl" w:eastAsia="zh-CN"/>
              </w:rPr>
              <w:t xml:space="preserve">Financiación total de </w:t>
            </w:r>
            <w:r w:rsidR="007D7904" w:rsidRPr="00164016">
              <w:rPr>
                <w:rFonts w:eastAsiaTheme="minorEastAsia"/>
                <w:lang w:val="es-ES_tradnl" w:eastAsia="zh-CN"/>
              </w:rPr>
              <w:t xml:space="preserve">los </w:t>
            </w:r>
            <w:r w:rsidRPr="00164016">
              <w:rPr>
                <w:rFonts w:eastAsiaTheme="minorEastAsia"/>
                <w:lang w:val="es-ES_tradnl" w:eastAsia="zh-CN"/>
              </w:rPr>
              <w:t>proyectos</w:t>
            </w:r>
          </w:p>
        </w:tc>
      </w:tr>
      <w:tr w:rsidR="004323F7" w:rsidRPr="00164016" w14:paraId="119D4A3D" w14:textId="77777777" w:rsidTr="004323F7">
        <w:trPr>
          <w:trHeight w:val="54"/>
          <w:jc w:val="center"/>
        </w:trPr>
        <w:tc>
          <w:tcPr>
            <w:tcW w:w="993" w:type="dxa"/>
            <w:hideMark/>
          </w:tcPr>
          <w:p w14:paraId="1DCBB461" w14:textId="6AF2D58C" w:rsidR="009144F0" w:rsidRPr="00164016" w:rsidRDefault="009144F0" w:rsidP="00C9742F">
            <w:pPr>
              <w:pStyle w:val="Tabletext"/>
              <w:jc w:val="center"/>
              <w:rPr>
                <w:lang w:val="es-ES_tradnl" w:eastAsia="zh-CN"/>
              </w:rPr>
            </w:pPr>
            <w:r w:rsidRPr="00164016">
              <w:rPr>
                <w:lang w:val="es-ES_tradnl" w:eastAsia="zh-CN"/>
              </w:rPr>
              <w:t>AFR</w:t>
            </w:r>
          </w:p>
        </w:tc>
        <w:tc>
          <w:tcPr>
            <w:tcW w:w="1412" w:type="dxa"/>
            <w:noWrap/>
            <w:vAlign w:val="bottom"/>
            <w:hideMark/>
          </w:tcPr>
          <w:p w14:paraId="2AD3AB81" w14:textId="77777777" w:rsidR="009144F0" w:rsidRPr="00164016" w:rsidRDefault="009144F0" w:rsidP="00C9742F">
            <w:pPr>
              <w:pStyle w:val="Tabletext"/>
              <w:jc w:val="center"/>
              <w:rPr>
                <w:rFonts w:eastAsiaTheme="minorEastAsia"/>
                <w:lang w:val="es-ES_tradnl" w:eastAsia="zh-CN"/>
              </w:rPr>
            </w:pPr>
            <w:r w:rsidRPr="00164016">
              <w:rPr>
                <w:rFonts w:eastAsiaTheme="minorEastAsia"/>
                <w:lang w:val="es-ES_tradnl" w:eastAsia="zh-CN"/>
              </w:rPr>
              <w:t>17</w:t>
            </w:r>
          </w:p>
        </w:tc>
        <w:tc>
          <w:tcPr>
            <w:tcW w:w="1559" w:type="dxa"/>
            <w:vAlign w:val="bottom"/>
            <w:hideMark/>
          </w:tcPr>
          <w:p w14:paraId="15674B88" w14:textId="0E02627B" w:rsidR="009144F0" w:rsidRPr="00164016" w:rsidRDefault="009144F0" w:rsidP="00C9742F">
            <w:pPr>
              <w:pStyle w:val="Tabletext"/>
              <w:jc w:val="center"/>
              <w:rPr>
                <w:rFonts w:eastAsiaTheme="minorEastAsia"/>
                <w:lang w:val="es-ES_tradnl" w:eastAsia="zh-CN"/>
              </w:rPr>
            </w:pPr>
            <w:r w:rsidRPr="00164016">
              <w:rPr>
                <w:rFonts w:eastAsiaTheme="minorEastAsia"/>
                <w:lang w:val="es-ES_tradnl" w:eastAsia="zh-CN"/>
              </w:rPr>
              <w:t>26</w:t>
            </w:r>
            <w:r w:rsidR="007D7904" w:rsidRPr="00164016">
              <w:rPr>
                <w:rFonts w:eastAsiaTheme="minorEastAsia"/>
                <w:lang w:val="es-ES_tradnl" w:eastAsia="zh-CN"/>
              </w:rPr>
              <w:t> </w:t>
            </w:r>
            <w:r w:rsidRPr="00164016">
              <w:rPr>
                <w:rFonts w:eastAsiaTheme="minorEastAsia"/>
                <w:lang w:val="es-ES_tradnl" w:eastAsia="zh-CN"/>
              </w:rPr>
              <w:t>548</w:t>
            </w:r>
            <w:r w:rsidR="007D7904" w:rsidRPr="00164016">
              <w:rPr>
                <w:rFonts w:eastAsiaTheme="minorEastAsia"/>
                <w:lang w:val="es-ES_tradnl" w:eastAsia="zh-CN"/>
              </w:rPr>
              <w:t>,</w:t>
            </w:r>
            <w:r w:rsidRPr="00164016">
              <w:rPr>
                <w:rFonts w:eastAsiaTheme="minorEastAsia"/>
                <w:lang w:val="es-ES_tradnl" w:eastAsia="zh-CN"/>
              </w:rPr>
              <w:t>5</w:t>
            </w:r>
          </w:p>
        </w:tc>
        <w:tc>
          <w:tcPr>
            <w:tcW w:w="1417" w:type="dxa"/>
            <w:vAlign w:val="bottom"/>
            <w:hideMark/>
          </w:tcPr>
          <w:p w14:paraId="36C967D0" w14:textId="00498153" w:rsidR="009144F0" w:rsidRPr="00164016" w:rsidRDefault="009144F0" w:rsidP="00C9742F">
            <w:pPr>
              <w:pStyle w:val="Tabletext"/>
              <w:jc w:val="center"/>
              <w:rPr>
                <w:rFonts w:eastAsiaTheme="minorEastAsia"/>
                <w:lang w:val="es-ES_tradnl" w:eastAsia="zh-CN"/>
              </w:rPr>
            </w:pPr>
            <w:r w:rsidRPr="00164016">
              <w:rPr>
                <w:rFonts w:eastAsiaTheme="minorEastAsia"/>
                <w:lang w:val="es-ES_tradnl" w:eastAsia="zh-CN"/>
              </w:rPr>
              <w:t>1</w:t>
            </w:r>
            <w:r w:rsidR="007D7904" w:rsidRPr="00164016">
              <w:rPr>
                <w:rFonts w:eastAsiaTheme="minorEastAsia"/>
                <w:lang w:val="es-ES_tradnl" w:eastAsia="zh-CN"/>
              </w:rPr>
              <w:t> </w:t>
            </w:r>
            <w:r w:rsidRPr="00164016">
              <w:rPr>
                <w:rFonts w:eastAsiaTheme="minorEastAsia"/>
                <w:lang w:val="es-ES_tradnl" w:eastAsia="zh-CN"/>
              </w:rPr>
              <w:t>516</w:t>
            </w:r>
            <w:r w:rsidR="007D7904" w:rsidRPr="00164016">
              <w:rPr>
                <w:rFonts w:eastAsiaTheme="minorEastAsia"/>
                <w:lang w:val="es-ES_tradnl" w:eastAsia="zh-CN"/>
              </w:rPr>
              <w:t>,</w:t>
            </w:r>
            <w:r w:rsidRPr="00164016">
              <w:rPr>
                <w:rFonts w:eastAsiaTheme="minorEastAsia"/>
                <w:lang w:val="es-ES_tradnl" w:eastAsia="zh-CN"/>
              </w:rPr>
              <w:t>8</w:t>
            </w:r>
          </w:p>
        </w:tc>
        <w:tc>
          <w:tcPr>
            <w:tcW w:w="1585" w:type="dxa"/>
            <w:shd w:val="clear" w:color="auto" w:fill="DBE5F1" w:themeFill="accent1" w:themeFillTint="33"/>
            <w:hideMark/>
          </w:tcPr>
          <w:p w14:paraId="67A0745F" w14:textId="0B47905F" w:rsidR="009144F0" w:rsidRPr="00164016" w:rsidRDefault="009144F0" w:rsidP="00C9742F">
            <w:pPr>
              <w:pStyle w:val="Tabletext"/>
              <w:jc w:val="center"/>
              <w:rPr>
                <w:rFonts w:eastAsiaTheme="minorEastAsia"/>
                <w:lang w:val="es-ES_tradnl" w:eastAsia="zh-CN"/>
              </w:rPr>
            </w:pPr>
            <w:r w:rsidRPr="00164016">
              <w:rPr>
                <w:rFonts w:eastAsiaTheme="minorEastAsia"/>
                <w:lang w:val="es-ES_tradnl" w:eastAsia="zh-CN"/>
              </w:rPr>
              <w:t>28</w:t>
            </w:r>
            <w:r w:rsidR="007A030B" w:rsidRPr="00164016">
              <w:rPr>
                <w:rFonts w:eastAsiaTheme="minorEastAsia"/>
                <w:lang w:val="es-ES_tradnl" w:eastAsia="zh-CN"/>
              </w:rPr>
              <w:t> </w:t>
            </w:r>
            <w:r w:rsidRPr="00164016">
              <w:rPr>
                <w:rFonts w:eastAsiaTheme="minorEastAsia"/>
                <w:lang w:val="es-ES_tradnl" w:eastAsia="zh-CN"/>
              </w:rPr>
              <w:t>065</w:t>
            </w:r>
            <w:r w:rsidR="007A030B" w:rsidRPr="00164016">
              <w:rPr>
                <w:rFonts w:eastAsiaTheme="minorEastAsia"/>
                <w:lang w:val="es-ES_tradnl" w:eastAsia="zh-CN"/>
              </w:rPr>
              <w:t>,</w:t>
            </w:r>
            <w:r w:rsidRPr="00164016">
              <w:rPr>
                <w:rFonts w:eastAsiaTheme="minorEastAsia"/>
                <w:lang w:val="es-ES_tradnl" w:eastAsia="zh-CN"/>
              </w:rPr>
              <w:t>3</w:t>
            </w:r>
          </w:p>
        </w:tc>
      </w:tr>
      <w:tr w:rsidR="004323F7" w:rsidRPr="00164016" w14:paraId="1987FBC8" w14:textId="77777777" w:rsidTr="004323F7">
        <w:trPr>
          <w:trHeight w:val="54"/>
          <w:jc w:val="center"/>
        </w:trPr>
        <w:tc>
          <w:tcPr>
            <w:tcW w:w="993" w:type="dxa"/>
            <w:hideMark/>
          </w:tcPr>
          <w:p w14:paraId="5A35C4F3" w14:textId="00F740B8" w:rsidR="009144F0" w:rsidRPr="00164016" w:rsidRDefault="009144F0" w:rsidP="00C9742F">
            <w:pPr>
              <w:pStyle w:val="Tabletext"/>
              <w:jc w:val="center"/>
              <w:rPr>
                <w:lang w:val="es-ES_tradnl" w:eastAsia="zh-CN"/>
              </w:rPr>
            </w:pPr>
            <w:r w:rsidRPr="00164016">
              <w:rPr>
                <w:lang w:val="es-ES_tradnl" w:eastAsia="zh-CN"/>
              </w:rPr>
              <w:t>AMS</w:t>
            </w:r>
          </w:p>
        </w:tc>
        <w:tc>
          <w:tcPr>
            <w:tcW w:w="1412" w:type="dxa"/>
            <w:noWrap/>
            <w:vAlign w:val="bottom"/>
            <w:hideMark/>
          </w:tcPr>
          <w:p w14:paraId="5BD1805B" w14:textId="77777777" w:rsidR="009144F0" w:rsidRPr="00164016" w:rsidRDefault="009144F0" w:rsidP="00C9742F">
            <w:pPr>
              <w:pStyle w:val="Tabletext"/>
              <w:jc w:val="center"/>
              <w:rPr>
                <w:rFonts w:eastAsiaTheme="minorEastAsia"/>
                <w:lang w:val="es-ES_tradnl" w:eastAsia="zh-CN"/>
              </w:rPr>
            </w:pPr>
            <w:r w:rsidRPr="00164016">
              <w:rPr>
                <w:rFonts w:eastAsiaTheme="minorEastAsia"/>
                <w:lang w:val="es-ES_tradnl" w:eastAsia="zh-CN"/>
              </w:rPr>
              <w:t>19</w:t>
            </w:r>
          </w:p>
        </w:tc>
        <w:tc>
          <w:tcPr>
            <w:tcW w:w="1559" w:type="dxa"/>
            <w:vAlign w:val="bottom"/>
            <w:hideMark/>
          </w:tcPr>
          <w:p w14:paraId="0F361A59" w14:textId="7775E23B" w:rsidR="009144F0" w:rsidRPr="00164016" w:rsidRDefault="009144F0" w:rsidP="00C9742F">
            <w:pPr>
              <w:pStyle w:val="Tabletext"/>
              <w:jc w:val="center"/>
              <w:rPr>
                <w:rFonts w:eastAsiaTheme="minorEastAsia"/>
                <w:lang w:val="es-ES_tradnl" w:eastAsia="zh-CN"/>
              </w:rPr>
            </w:pPr>
            <w:r w:rsidRPr="00164016">
              <w:rPr>
                <w:rFonts w:eastAsiaTheme="minorEastAsia"/>
                <w:lang w:val="es-ES_tradnl" w:eastAsia="zh-CN"/>
              </w:rPr>
              <w:t>12</w:t>
            </w:r>
            <w:r w:rsidR="007D7904" w:rsidRPr="00164016">
              <w:rPr>
                <w:rFonts w:eastAsiaTheme="minorEastAsia"/>
                <w:lang w:val="es-ES_tradnl" w:eastAsia="zh-CN"/>
              </w:rPr>
              <w:t> </w:t>
            </w:r>
            <w:r w:rsidRPr="00164016">
              <w:rPr>
                <w:rFonts w:eastAsiaTheme="minorEastAsia"/>
                <w:lang w:val="es-ES_tradnl" w:eastAsia="zh-CN"/>
              </w:rPr>
              <w:t>600</w:t>
            </w:r>
            <w:r w:rsidR="007D7904" w:rsidRPr="00164016">
              <w:rPr>
                <w:rFonts w:eastAsiaTheme="minorEastAsia"/>
                <w:lang w:val="es-ES_tradnl" w:eastAsia="zh-CN"/>
              </w:rPr>
              <w:t>,</w:t>
            </w:r>
            <w:r w:rsidRPr="00164016">
              <w:rPr>
                <w:rFonts w:eastAsiaTheme="minorEastAsia"/>
                <w:lang w:val="es-ES_tradnl" w:eastAsia="zh-CN"/>
              </w:rPr>
              <w:t>3</w:t>
            </w:r>
          </w:p>
        </w:tc>
        <w:tc>
          <w:tcPr>
            <w:tcW w:w="1417" w:type="dxa"/>
            <w:vAlign w:val="bottom"/>
            <w:hideMark/>
          </w:tcPr>
          <w:p w14:paraId="299D8267" w14:textId="6A1021CF" w:rsidR="009144F0" w:rsidRPr="00164016" w:rsidRDefault="009144F0" w:rsidP="00C9742F">
            <w:pPr>
              <w:pStyle w:val="Tabletext"/>
              <w:jc w:val="center"/>
              <w:rPr>
                <w:rFonts w:eastAsiaTheme="minorEastAsia"/>
                <w:lang w:val="es-ES_tradnl" w:eastAsia="zh-CN"/>
              </w:rPr>
            </w:pPr>
            <w:r w:rsidRPr="00164016">
              <w:rPr>
                <w:rFonts w:eastAsiaTheme="minorEastAsia"/>
                <w:lang w:val="es-ES_tradnl" w:eastAsia="zh-CN"/>
              </w:rPr>
              <w:t>335</w:t>
            </w:r>
            <w:r w:rsidR="007D7904" w:rsidRPr="00164016">
              <w:rPr>
                <w:rFonts w:eastAsiaTheme="minorEastAsia"/>
                <w:lang w:val="es-ES_tradnl" w:eastAsia="zh-CN"/>
              </w:rPr>
              <w:t>,</w:t>
            </w:r>
            <w:r w:rsidRPr="00164016">
              <w:rPr>
                <w:rFonts w:eastAsiaTheme="minorEastAsia"/>
                <w:lang w:val="es-ES_tradnl" w:eastAsia="zh-CN"/>
              </w:rPr>
              <w:t>5</w:t>
            </w:r>
          </w:p>
        </w:tc>
        <w:tc>
          <w:tcPr>
            <w:tcW w:w="1585" w:type="dxa"/>
            <w:shd w:val="clear" w:color="auto" w:fill="DBE5F1" w:themeFill="accent1" w:themeFillTint="33"/>
            <w:hideMark/>
          </w:tcPr>
          <w:p w14:paraId="1AA07A7E" w14:textId="132F4782" w:rsidR="009144F0" w:rsidRPr="00164016" w:rsidRDefault="009144F0" w:rsidP="00C9742F">
            <w:pPr>
              <w:pStyle w:val="Tabletext"/>
              <w:jc w:val="center"/>
              <w:rPr>
                <w:rFonts w:eastAsiaTheme="minorEastAsia"/>
                <w:lang w:val="es-ES_tradnl" w:eastAsia="zh-CN"/>
              </w:rPr>
            </w:pPr>
            <w:r w:rsidRPr="00164016">
              <w:rPr>
                <w:rFonts w:eastAsiaTheme="minorEastAsia"/>
                <w:lang w:val="es-ES_tradnl" w:eastAsia="zh-CN"/>
              </w:rPr>
              <w:t>12</w:t>
            </w:r>
            <w:r w:rsidR="007A030B" w:rsidRPr="00164016">
              <w:rPr>
                <w:rFonts w:eastAsiaTheme="minorEastAsia"/>
                <w:lang w:val="es-ES_tradnl" w:eastAsia="zh-CN"/>
              </w:rPr>
              <w:t> </w:t>
            </w:r>
            <w:r w:rsidRPr="00164016">
              <w:rPr>
                <w:rFonts w:eastAsiaTheme="minorEastAsia"/>
                <w:lang w:val="es-ES_tradnl" w:eastAsia="zh-CN"/>
              </w:rPr>
              <w:t>935</w:t>
            </w:r>
            <w:r w:rsidR="007A030B" w:rsidRPr="00164016">
              <w:rPr>
                <w:rFonts w:eastAsiaTheme="minorEastAsia"/>
                <w:lang w:val="es-ES_tradnl" w:eastAsia="zh-CN"/>
              </w:rPr>
              <w:t>,</w:t>
            </w:r>
            <w:r w:rsidRPr="00164016">
              <w:rPr>
                <w:rFonts w:eastAsiaTheme="minorEastAsia"/>
                <w:lang w:val="es-ES_tradnl" w:eastAsia="zh-CN"/>
              </w:rPr>
              <w:t>8</w:t>
            </w:r>
          </w:p>
        </w:tc>
      </w:tr>
      <w:tr w:rsidR="004323F7" w:rsidRPr="00164016" w14:paraId="767247D0" w14:textId="77777777" w:rsidTr="004323F7">
        <w:trPr>
          <w:trHeight w:val="300"/>
          <w:jc w:val="center"/>
        </w:trPr>
        <w:tc>
          <w:tcPr>
            <w:tcW w:w="993" w:type="dxa"/>
            <w:hideMark/>
          </w:tcPr>
          <w:p w14:paraId="10D2F07D" w14:textId="287A72D7" w:rsidR="009144F0" w:rsidRPr="00164016" w:rsidRDefault="009144F0" w:rsidP="00C9742F">
            <w:pPr>
              <w:pStyle w:val="Tabletext"/>
              <w:jc w:val="center"/>
              <w:rPr>
                <w:lang w:val="es-ES_tradnl" w:eastAsia="zh-CN"/>
              </w:rPr>
            </w:pPr>
            <w:r w:rsidRPr="00164016">
              <w:rPr>
                <w:lang w:val="es-ES_tradnl" w:eastAsia="zh-CN"/>
              </w:rPr>
              <w:t>ARB</w:t>
            </w:r>
          </w:p>
        </w:tc>
        <w:tc>
          <w:tcPr>
            <w:tcW w:w="1412" w:type="dxa"/>
            <w:vAlign w:val="bottom"/>
            <w:hideMark/>
          </w:tcPr>
          <w:p w14:paraId="0760B42B" w14:textId="77777777" w:rsidR="009144F0" w:rsidRPr="00164016" w:rsidRDefault="009144F0" w:rsidP="00C9742F">
            <w:pPr>
              <w:pStyle w:val="Tabletext"/>
              <w:jc w:val="center"/>
              <w:rPr>
                <w:rFonts w:eastAsiaTheme="minorEastAsia"/>
                <w:lang w:val="es-ES_tradnl" w:eastAsia="zh-CN"/>
              </w:rPr>
            </w:pPr>
            <w:r w:rsidRPr="00164016">
              <w:rPr>
                <w:rFonts w:eastAsiaTheme="minorEastAsia"/>
                <w:lang w:val="es-ES_tradnl" w:eastAsia="zh-CN"/>
              </w:rPr>
              <w:t>5</w:t>
            </w:r>
          </w:p>
        </w:tc>
        <w:tc>
          <w:tcPr>
            <w:tcW w:w="1559" w:type="dxa"/>
            <w:vAlign w:val="bottom"/>
            <w:hideMark/>
          </w:tcPr>
          <w:p w14:paraId="23EC9769" w14:textId="222A432B" w:rsidR="009144F0" w:rsidRPr="00164016" w:rsidRDefault="009144F0" w:rsidP="00C9742F">
            <w:pPr>
              <w:pStyle w:val="Tabletext"/>
              <w:jc w:val="center"/>
              <w:rPr>
                <w:rFonts w:eastAsiaTheme="minorEastAsia"/>
                <w:lang w:val="es-ES_tradnl" w:eastAsia="zh-CN"/>
              </w:rPr>
            </w:pPr>
            <w:r w:rsidRPr="00164016">
              <w:rPr>
                <w:rFonts w:eastAsiaTheme="minorEastAsia"/>
                <w:lang w:val="es-ES_tradnl" w:eastAsia="zh-CN"/>
              </w:rPr>
              <w:t>2</w:t>
            </w:r>
            <w:r w:rsidR="007D7904" w:rsidRPr="00164016">
              <w:rPr>
                <w:rFonts w:eastAsiaTheme="minorEastAsia"/>
                <w:lang w:val="es-ES_tradnl" w:eastAsia="zh-CN"/>
              </w:rPr>
              <w:t> </w:t>
            </w:r>
            <w:r w:rsidRPr="00164016">
              <w:rPr>
                <w:rFonts w:eastAsiaTheme="minorEastAsia"/>
                <w:lang w:val="es-ES_tradnl" w:eastAsia="zh-CN"/>
              </w:rPr>
              <w:t>989</w:t>
            </w:r>
            <w:r w:rsidR="007D7904" w:rsidRPr="00164016">
              <w:rPr>
                <w:rFonts w:eastAsiaTheme="minorEastAsia"/>
                <w:lang w:val="es-ES_tradnl" w:eastAsia="zh-CN"/>
              </w:rPr>
              <w:t>,</w:t>
            </w:r>
            <w:r w:rsidRPr="00164016">
              <w:rPr>
                <w:rFonts w:eastAsiaTheme="minorEastAsia"/>
                <w:lang w:val="es-ES_tradnl" w:eastAsia="zh-CN"/>
              </w:rPr>
              <w:t>6</w:t>
            </w:r>
          </w:p>
        </w:tc>
        <w:tc>
          <w:tcPr>
            <w:tcW w:w="1417" w:type="dxa"/>
            <w:vAlign w:val="bottom"/>
            <w:hideMark/>
          </w:tcPr>
          <w:p w14:paraId="46795D0D" w14:textId="4D330561" w:rsidR="009144F0" w:rsidRPr="00164016" w:rsidRDefault="009144F0" w:rsidP="00C9742F">
            <w:pPr>
              <w:pStyle w:val="Tabletext"/>
              <w:jc w:val="center"/>
              <w:rPr>
                <w:rFonts w:eastAsiaTheme="minorEastAsia"/>
                <w:lang w:val="es-ES_tradnl" w:eastAsia="zh-CN"/>
              </w:rPr>
            </w:pPr>
            <w:r w:rsidRPr="00164016">
              <w:rPr>
                <w:rFonts w:eastAsiaTheme="minorEastAsia"/>
                <w:lang w:val="es-ES_tradnl" w:eastAsia="zh-CN"/>
              </w:rPr>
              <w:t>664</w:t>
            </w:r>
            <w:r w:rsidR="007D7904" w:rsidRPr="00164016">
              <w:rPr>
                <w:rFonts w:eastAsiaTheme="minorEastAsia"/>
                <w:lang w:val="es-ES_tradnl" w:eastAsia="zh-CN"/>
              </w:rPr>
              <w:t>,</w:t>
            </w:r>
            <w:r w:rsidRPr="00164016">
              <w:rPr>
                <w:rFonts w:eastAsiaTheme="minorEastAsia"/>
                <w:lang w:val="es-ES_tradnl" w:eastAsia="zh-CN"/>
              </w:rPr>
              <w:t>5</w:t>
            </w:r>
          </w:p>
        </w:tc>
        <w:tc>
          <w:tcPr>
            <w:tcW w:w="1585" w:type="dxa"/>
            <w:shd w:val="clear" w:color="auto" w:fill="DBE5F1" w:themeFill="accent1" w:themeFillTint="33"/>
            <w:hideMark/>
          </w:tcPr>
          <w:p w14:paraId="38F3A79F" w14:textId="2F83858D" w:rsidR="009144F0" w:rsidRPr="00164016" w:rsidRDefault="009144F0" w:rsidP="00C9742F">
            <w:pPr>
              <w:pStyle w:val="Tabletext"/>
              <w:jc w:val="center"/>
              <w:rPr>
                <w:rFonts w:eastAsiaTheme="minorEastAsia"/>
                <w:lang w:val="es-ES_tradnl" w:eastAsia="zh-CN"/>
              </w:rPr>
            </w:pPr>
            <w:r w:rsidRPr="00164016">
              <w:rPr>
                <w:rFonts w:eastAsiaTheme="minorEastAsia"/>
                <w:lang w:val="es-ES_tradnl" w:eastAsia="zh-CN"/>
              </w:rPr>
              <w:t>3</w:t>
            </w:r>
            <w:r w:rsidR="007A030B" w:rsidRPr="00164016">
              <w:rPr>
                <w:rFonts w:eastAsiaTheme="minorEastAsia"/>
                <w:lang w:val="es-ES_tradnl" w:eastAsia="zh-CN"/>
              </w:rPr>
              <w:t> </w:t>
            </w:r>
            <w:r w:rsidRPr="00164016">
              <w:rPr>
                <w:rFonts w:eastAsiaTheme="minorEastAsia"/>
                <w:lang w:val="es-ES_tradnl" w:eastAsia="zh-CN"/>
              </w:rPr>
              <w:t>654</w:t>
            </w:r>
            <w:r w:rsidR="007A030B" w:rsidRPr="00164016">
              <w:rPr>
                <w:rFonts w:eastAsiaTheme="minorEastAsia"/>
                <w:lang w:val="es-ES_tradnl" w:eastAsia="zh-CN"/>
              </w:rPr>
              <w:t>,</w:t>
            </w:r>
            <w:r w:rsidRPr="00164016">
              <w:rPr>
                <w:rFonts w:eastAsiaTheme="minorEastAsia"/>
                <w:lang w:val="es-ES_tradnl" w:eastAsia="zh-CN"/>
              </w:rPr>
              <w:t>1</w:t>
            </w:r>
          </w:p>
        </w:tc>
      </w:tr>
      <w:tr w:rsidR="004323F7" w:rsidRPr="00164016" w14:paraId="40165B6D" w14:textId="77777777" w:rsidTr="004323F7">
        <w:trPr>
          <w:trHeight w:val="54"/>
          <w:jc w:val="center"/>
        </w:trPr>
        <w:tc>
          <w:tcPr>
            <w:tcW w:w="993" w:type="dxa"/>
            <w:vAlign w:val="center"/>
            <w:hideMark/>
          </w:tcPr>
          <w:p w14:paraId="1939FA97" w14:textId="77777777" w:rsidR="009144F0" w:rsidRPr="00164016" w:rsidRDefault="009144F0" w:rsidP="00C9742F">
            <w:pPr>
              <w:pStyle w:val="Tabletext"/>
              <w:jc w:val="center"/>
              <w:rPr>
                <w:lang w:val="es-ES_tradnl" w:eastAsia="zh-CN"/>
              </w:rPr>
            </w:pPr>
            <w:r w:rsidRPr="00164016">
              <w:rPr>
                <w:lang w:val="es-ES_tradnl" w:eastAsia="zh-CN"/>
              </w:rPr>
              <w:t>ASP</w:t>
            </w:r>
          </w:p>
        </w:tc>
        <w:tc>
          <w:tcPr>
            <w:tcW w:w="1412" w:type="dxa"/>
            <w:noWrap/>
            <w:vAlign w:val="bottom"/>
            <w:hideMark/>
          </w:tcPr>
          <w:p w14:paraId="604F286D" w14:textId="77777777" w:rsidR="009144F0" w:rsidRPr="00164016" w:rsidRDefault="009144F0" w:rsidP="00C9742F">
            <w:pPr>
              <w:pStyle w:val="Tabletext"/>
              <w:jc w:val="center"/>
              <w:rPr>
                <w:rFonts w:eastAsiaTheme="minorEastAsia"/>
                <w:lang w:val="es-ES_tradnl" w:eastAsia="zh-CN"/>
              </w:rPr>
            </w:pPr>
            <w:r w:rsidRPr="00164016">
              <w:rPr>
                <w:rFonts w:eastAsiaTheme="minorEastAsia"/>
                <w:lang w:val="es-ES_tradnl" w:eastAsia="zh-CN"/>
              </w:rPr>
              <w:t>15</w:t>
            </w:r>
          </w:p>
        </w:tc>
        <w:tc>
          <w:tcPr>
            <w:tcW w:w="1559" w:type="dxa"/>
            <w:vAlign w:val="bottom"/>
            <w:hideMark/>
          </w:tcPr>
          <w:p w14:paraId="57CED8EE" w14:textId="51220EF7" w:rsidR="009144F0" w:rsidRPr="00164016" w:rsidRDefault="009144F0" w:rsidP="00C9742F">
            <w:pPr>
              <w:pStyle w:val="Tabletext"/>
              <w:jc w:val="center"/>
              <w:rPr>
                <w:rFonts w:eastAsiaTheme="minorEastAsia"/>
                <w:lang w:val="es-ES_tradnl" w:eastAsia="zh-CN"/>
              </w:rPr>
            </w:pPr>
            <w:r w:rsidRPr="00164016">
              <w:rPr>
                <w:rFonts w:eastAsiaTheme="minorEastAsia"/>
                <w:lang w:val="es-ES_tradnl" w:eastAsia="zh-CN"/>
              </w:rPr>
              <w:t>6</w:t>
            </w:r>
            <w:r w:rsidR="007D7904" w:rsidRPr="00164016">
              <w:rPr>
                <w:rFonts w:eastAsiaTheme="minorEastAsia"/>
                <w:lang w:val="es-ES_tradnl" w:eastAsia="zh-CN"/>
              </w:rPr>
              <w:t> </w:t>
            </w:r>
            <w:r w:rsidRPr="00164016">
              <w:rPr>
                <w:rFonts w:eastAsiaTheme="minorEastAsia"/>
                <w:lang w:val="es-ES_tradnl" w:eastAsia="zh-CN"/>
              </w:rPr>
              <w:t>667</w:t>
            </w:r>
            <w:r w:rsidR="007D7904" w:rsidRPr="00164016">
              <w:rPr>
                <w:rFonts w:eastAsiaTheme="minorEastAsia"/>
                <w:lang w:val="es-ES_tradnl" w:eastAsia="zh-CN"/>
              </w:rPr>
              <w:t>,</w:t>
            </w:r>
            <w:r w:rsidRPr="00164016">
              <w:rPr>
                <w:rFonts w:eastAsiaTheme="minorEastAsia"/>
                <w:lang w:val="es-ES_tradnl" w:eastAsia="zh-CN"/>
              </w:rPr>
              <w:t>2</w:t>
            </w:r>
          </w:p>
        </w:tc>
        <w:tc>
          <w:tcPr>
            <w:tcW w:w="1417" w:type="dxa"/>
            <w:vAlign w:val="bottom"/>
          </w:tcPr>
          <w:p w14:paraId="3564FB8D" w14:textId="081E4D50" w:rsidR="009144F0" w:rsidRPr="00164016" w:rsidRDefault="009144F0" w:rsidP="00C9742F">
            <w:pPr>
              <w:pStyle w:val="Tabletext"/>
              <w:jc w:val="center"/>
              <w:rPr>
                <w:rFonts w:eastAsiaTheme="minorEastAsia"/>
                <w:lang w:val="es-ES_tradnl" w:eastAsia="zh-CN"/>
              </w:rPr>
            </w:pPr>
            <w:r w:rsidRPr="00164016">
              <w:rPr>
                <w:rFonts w:eastAsiaTheme="minorEastAsia"/>
                <w:lang w:val="es-ES_tradnl" w:eastAsia="zh-CN"/>
              </w:rPr>
              <w:t>655</w:t>
            </w:r>
            <w:r w:rsidR="007D7904" w:rsidRPr="00164016">
              <w:rPr>
                <w:rFonts w:eastAsiaTheme="minorEastAsia"/>
                <w:lang w:val="es-ES_tradnl" w:eastAsia="zh-CN"/>
              </w:rPr>
              <w:t>,</w:t>
            </w:r>
            <w:r w:rsidRPr="00164016">
              <w:rPr>
                <w:rFonts w:eastAsiaTheme="minorEastAsia"/>
                <w:lang w:val="es-ES_tradnl" w:eastAsia="zh-CN"/>
              </w:rPr>
              <w:t>6</w:t>
            </w:r>
          </w:p>
        </w:tc>
        <w:tc>
          <w:tcPr>
            <w:tcW w:w="1585" w:type="dxa"/>
            <w:shd w:val="clear" w:color="auto" w:fill="DBE5F1" w:themeFill="accent1" w:themeFillTint="33"/>
            <w:hideMark/>
          </w:tcPr>
          <w:p w14:paraId="7E1328EF" w14:textId="23ECF5AF" w:rsidR="009144F0" w:rsidRPr="00164016" w:rsidRDefault="009144F0" w:rsidP="00C9742F">
            <w:pPr>
              <w:pStyle w:val="Tabletext"/>
              <w:jc w:val="center"/>
              <w:rPr>
                <w:rFonts w:eastAsiaTheme="minorEastAsia"/>
                <w:lang w:val="es-ES_tradnl" w:eastAsia="zh-CN"/>
              </w:rPr>
            </w:pPr>
            <w:r w:rsidRPr="00164016">
              <w:rPr>
                <w:rFonts w:eastAsiaTheme="minorEastAsia"/>
                <w:lang w:val="es-ES_tradnl" w:eastAsia="zh-CN"/>
              </w:rPr>
              <w:t>7</w:t>
            </w:r>
            <w:r w:rsidR="007A030B" w:rsidRPr="00164016">
              <w:rPr>
                <w:rFonts w:eastAsiaTheme="minorEastAsia"/>
                <w:lang w:val="es-ES_tradnl" w:eastAsia="zh-CN"/>
              </w:rPr>
              <w:t> </w:t>
            </w:r>
            <w:r w:rsidRPr="00164016">
              <w:rPr>
                <w:rFonts w:eastAsiaTheme="minorEastAsia"/>
                <w:lang w:val="es-ES_tradnl" w:eastAsia="zh-CN"/>
              </w:rPr>
              <w:t>322</w:t>
            </w:r>
            <w:r w:rsidR="007A030B" w:rsidRPr="00164016">
              <w:rPr>
                <w:rFonts w:eastAsiaTheme="minorEastAsia"/>
                <w:lang w:val="es-ES_tradnl" w:eastAsia="zh-CN"/>
              </w:rPr>
              <w:t>,</w:t>
            </w:r>
            <w:r w:rsidRPr="00164016">
              <w:rPr>
                <w:rFonts w:eastAsiaTheme="minorEastAsia"/>
                <w:lang w:val="es-ES_tradnl" w:eastAsia="zh-CN"/>
              </w:rPr>
              <w:t>9</w:t>
            </w:r>
          </w:p>
        </w:tc>
      </w:tr>
      <w:tr w:rsidR="004323F7" w:rsidRPr="00164016" w14:paraId="043F1BAC" w14:textId="77777777" w:rsidTr="004323F7">
        <w:trPr>
          <w:trHeight w:val="54"/>
          <w:jc w:val="center"/>
        </w:trPr>
        <w:tc>
          <w:tcPr>
            <w:tcW w:w="993" w:type="dxa"/>
            <w:hideMark/>
          </w:tcPr>
          <w:p w14:paraId="34BE2F27" w14:textId="7C946B15" w:rsidR="009144F0" w:rsidRPr="00164016" w:rsidRDefault="009144F0" w:rsidP="00C9742F">
            <w:pPr>
              <w:pStyle w:val="Tabletext"/>
              <w:jc w:val="center"/>
              <w:rPr>
                <w:lang w:val="es-ES_tradnl" w:eastAsia="zh-CN"/>
              </w:rPr>
            </w:pPr>
            <w:r w:rsidRPr="00164016">
              <w:rPr>
                <w:lang w:val="es-ES_tradnl" w:eastAsia="zh-CN"/>
              </w:rPr>
              <w:t>C</w:t>
            </w:r>
            <w:r w:rsidR="00DC0B6A">
              <w:rPr>
                <w:lang w:val="es-ES_tradnl" w:eastAsia="zh-CN"/>
              </w:rPr>
              <w:t>E</w:t>
            </w:r>
            <w:r w:rsidRPr="00164016">
              <w:rPr>
                <w:lang w:val="es-ES_tradnl" w:eastAsia="zh-CN"/>
              </w:rPr>
              <w:t>I</w:t>
            </w:r>
          </w:p>
        </w:tc>
        <w:tc>
          <w:tcPr>
            <w:tcW w:w="1412" w:type="dxa"/>
            <w:vAlign w:val="bottom"/>
            <w:hideMark/>
          </w:tcPr>
          <w:p w14:paraId="7F23BABD" w14:textId="77777777" w:rsidR="009144F0" w:rsidRPr="00164016" w:rsidRDefault="009144F0" w:rsidP="00C9742F">
            <w:pPr>
              <w:pStyle w:val="Tabletext"/>
              <w:jc w:val="center"/>
              <w:rPr>
                <w:rFonts w:eastAsiaTheme="minorEastAsia"/>
                <w:lang w:val="es-ES_tradnl" w:eastAsia="zh-CN"/>
              </w:rPr>
            </w:pPr>
            <w:r w:rsidRPr="00164016">
              <w:rPr>
                <w:rFonts w:eastAsiaTheme="minorEastAsia"/>
                <w:lang w:val="es-ES_tradnl" w:eastAsia="zh-CN"/>
              </w:rPr>
              <w:t>4</w:t>
            </w:r>
          </w:p>
        </w:tc>
        <w:tc>
          <w:tcPr>
            <w:tcW w:w="1559" w:type="dxa"/>
            <w:vAlign w:val="bottom"/>
            <w:hideMark/>
          </w:tcPr>
          <w:p w14:paraId="18BFE11E" w14:textId="2BE1E811" w:rsidR="009144F0" w:rsidRPr="00164016" w:rsidRDefault="009144F0" w:rsidP="00C9742F">
            <w:pPr>
              <w:pStyle w:val="Tabletext"/>
              <w:jc w:val="center"/>
              <w:rPr>
                <w:rFonts w:eastAsiaTheme="minorEastAsia"/>
                <w:lang w:val="es-ES_tradnl" w:eastAsia="zh-CN"/>
              </w:rPr>
            </w:pPr>
            <w:r w:rsidRPr="00164016">
              <w:rPr>
                <w:rFonts w:eastAsiaTheme="minorEastAsia"/>
                <w:lang w:val="es-ES_tradnl" w:eastAsia="zh-CN"/>
              </w:rPr>
              <w:t>342</w:t>
            </w:r>
            <w:r w:rsidR="007D7904" w:rsidRPr="00164016">
              <w:rPr>
                <w:rFonts w:eastAsiaTheme="minorEastAsia"/>
                <w:lang w:val="es-ES_tradnl" w:eastAsia="zh-CN"/>
              </w:rPr>
              <w:t>,</w:t>
            </w:r>
            <w:r w:rsidRPr="00164016">
              <w:rPr>
                <w:rFonts w:eastAsiaTheme="minorEastAsia"/>
                <w:lang w:val="es-ES_tradnl" w:eastAsia="zh-CN"/>
              </w:rPr>
              <w:t>0</w:t>
            </w:r>
          </w:p>
        </w:tc>
        <w:tc>
          <w:tcPr>
            <w:tcW w:w="1417" w:type="dxa"/>
            <w:vAlign w:val="bottom"/>
          </w:tcPr>
          <w:p w14:paraId="142C0A80" w14:textId="331910A2" w:rsidR="009144F0" w:rsidRPr="00164016" w:rsidRDefault="009144F0" w:rsidP="00C9742F">
            <w:pPr>
              <w:pStyle w:val="Tabletext"/>
              <w:jc w:val="center"/>
              <w:rPr>
                <w:rFonts w:eastAsiaTheme="minorEastAsia"/>
                <w:lang w:val="es-ES_tradnl" w:eastAsia="zh-CN"/>
              </w:rPr>
            </w:pPr>
            <w:r w:rsidRPr="00164016">
              <w:rPr>
                <w:rFonts w:eastAsiaTheme="minorEastAsia"/>
                <w:lang w:val="es-ES_tradnl" w:eastAsia="zh-CN"/>
              </w:rPr>
              <w:t>53</w:t>
            </w:r>
            <w:r w:rsidR="007A030B" w:rsidRPr="00164016">
              <w:rPr>
                <w:rFonts w:eastAsiaTheme="minorEastAsia"/>
                <w:lang w:val="es-ES_tradnl" w:eastAsia="zh-CN"/>
              </w:rPr>
              <w:t>,</w:t>
            </w:r>
            <w:r w:rsidRPr="00164016">
              <w:rPr>
                <w:rFonts w:eastAsiaTheme="minorEastAsia"/>
                <w:lang w:val="es-ES_tradnl" w:eastAsia="zh-CN"/>
              </w:rPr>
              <w:t>2</w:t>
            </w:r>
          </w:p>
        </w:tc>
        <w:tc>
          <w:tcPr>
            <w:tcW w:w="1585" w:type="dxa"/>
            <w:shd w:val="clear" w:color="auto" w:fill="DBE5F1" w:themeFill="accent1" w:themeFillTint="33"/>
            <w:hideMark/>
          </w:tcPr>
          <w:p w14:paraId="789B98BA" w14:textId="34FCE477" w:rsidR="009144F0" w:rsidRPr="00164016" w:rsidRDefault="009144F0" w:rsidP="00C9742F">
            <w:pPr>
              <w:pStyle w:val="Tabletext"/>
              <w:jc w:val="center"/>
              <w:rPr>
                <w:rFonts w:eastAsiaTheme="minorEastAsia"/>
                <w:lang w:val="es-ES_tradnl" w:eastAsia="zh-CN"/>
              </w:rPr>
            </w:pPr>
            <w:r w:rsidRPr="00164016">
              <w:rPr>
                <w:rFonts w:eastAsiaTheme="minorEastAsia"/>
                <w:lang w:val="es-ES_tradnl" w:eastAsia="zh-CN"/>
              </w:rPr>
              <w:t>874</w:t>
            </w:r>
            <w:r w:rsidR="007A030B" w:rsidRPr="00164016">
              <w:rPr>
                <w:rFonts w:eastAsiaTheme="minorEastAsia"/>
                <w:lang w:val="es-ES_tradnl" w:eastAsia="zh-CN"/>
              </w:rPr>
              <w:t>,</w:t>
            </w:r>
            <w:r w:rsidRPr="00164016">
              <w:rPr>
                <w:rFonts w:eastAsiaTheme="minorEastAsia"/>
                <w:lang w:val="es-ES_tradnl" w:eastAsia="zh-CN"/>
              </w:rPr>
              <w:t>1</w:t>
            </w:r>
          </w:p>
        </w:tc>
      </w:tr>
      <w:tr w:rsidR="004323F7" w:rsidRPr="00164016" w14:paraId="43C88585" w14:textId="77777777" w:rsidTr="004323F7">
        <w:trPr>
          <w:trHeight w:val="54"/>
          <w:jc w:val="center"/>
        </w:trPr>
        <w:tc>
          <w:tcPr>
            <w:tcW w:w="993" w:type="dxa"/>
            <w:vAlign w:val="bottom"/>
            <w:hideMark/>
          </w:tcPr>
          <w:p w14:paraId="041551F5" w14:textId="77777777" w:rsidR="009144F0" w:rsidRPr="00164016" w:rsidRDefault="009144F0" w:rsidP="00C9742F">
            <w:pPr>
              <w:pStyle w:val="Tabletext"/>
              <w:jc w:val="center"/>
              <w:rPr>
                <w:lang w:val="es-ES_tradnl" w:eastAsia="zh-CN"/>
              </w:rPr>
            </w:pPr>
            <w:r w:rsidRPr="00164016">
              <w:rPr>
                <w:lang w:val="es-ES_tradnl" w:eastAsia="zh-CN"/>
              </w:rPr>
              <w:t>EUR</w:t>
            </w:r>
          </w:p>
        </w:tc>
        <w:tc>
          <w:tcPr>
            <w:tcW w:w="1412" w:type="dxa"/>
            <w:vAlign w:val="bottom"/>
            <w:hideMark/>
          </w:tcPr>
          <w:p w14:paraId="40F5C785" w14:textId="77777777" w:rsidR="009144F0" w:rsidRPr="00164016" w:rsidRDefault="009144F0" w:rsidP="00C9742F">
            <w:pPr>
              <w:pStyle w:val="Tabletext"/>
              <w:jc w:val="center"/>
              <w:rPr>
                <w:rFonts w:eastAsiaTheme="minorEastAsia"/>
                <w:lang w:val="es-ES_tradnl" w:eastAsia="zh-CN"/>
              </w:rPr>
            </w:pPr>
            <w:r w:rsidRPr="00164016">
              <w:rPr>
                <w:rFonts w:eastAsiaTheme="minorEastAsia"/>
                <w:lang w:val="es-ES_tradnl" w:eastAsia="zh-CN"/>
              </w:rPr>
              <w:t>4</w:t>
            </w:r>
          </w:p>
        </w:tc>
        <w:tc>
          <w:tcPr>
            <w:tcW w:w="1559" w:type="dxa"/>
            <w:vAlign w:val="bottom"/>
            <w:hideMark/>
          </w:tcPr>
          <w:p w14:paraId="2FF416E7" w14:textId="0CEF46F3" w:rsidR="009144F0" w:rsidRPr="00164016" w:rsidRDefault="009144F0" w:rsidP="00C9742F">
            <w:pPr>
              <w:pStyle w:val="Tabletext"/>
              <w:jc w:val="center"/>
              <w:rPr>
                <w:rFonts w:eastAsiaTheme="minorEastAsia"/>
                <w:lang w:val="es-ES_tradnl" w:eastAsia="zh-CN"/>
              </w:rPr>
            </w:pPr>
            <w:r w:rsidRPr="00164016">
              <w:rPr>
                <w:rFonts w:eastAsiaTheme="minorEastAsia"/>
                <w:lang w:val="es-ES_tradnl" w:eastAsia="zh-CN"/>
              </w:rPr>
              <w:t>4</w:t>
            </w:r>
            <w:r w:rsidR="007D7904" w:rsidRPr="00164016">
              <w:rPr>
                <w:rFonts w:eastAsiaTheme="minorEastAsia"/>
                <w:lang w:val="es-ES_tradnl" w:eastAsia="zh-CN"/>
              </w:rPr>
              <w:t> </w:t>
            </w:r>
            <w:r w:rsidRPr="00164016">
              <w:rPr>
                <w:rFonts w:eastAsiaTheme="minorEastAsia"/>
                <w:lang w:val="es-ES_tradnl" w:eastAsia="zh-CN"/>
              </w:rPr>
              <w:t>034</w:t>
            </w:r>
            <w:r w:rsidR="007D7904" w:rsidRPr="00164016">
              <w:rPr>
                <w:rFonts w:eastAsiaTheme="minorEastAsia"/>
                <w:lang w:val="es-ES_tradnl" w:eastAsia="zh-CN"/>
              </w:rPr>
              <w:t>,</w:t>
            </w:r>
            <w:r w:rsidRPr="00164016">
              <w:rPr>
                <w:rFonts w:eastAsiaTheme="minorEastAsia"/>
                <w:lang w:val="es-ES_tradnl" w:eastAsia="zh-CN"/>
              </w:rPr>
              <w:t>6</w:t>
            </w:r>
          </w:p>
        </w:tc>
        <w:tc>
          <w:tcPr>
            <w:tcW w:w="1417" w:type="dxa"/>
            <w:vAlign w:val="bottom"/>
          </w:tcPr>
          <w:p w14:paraId="421F70BD" w14:textId="069FED7B" w:rsidR="009144F0" w:rsidRPr="00164016" w:rsidRDefault="009144F0" w:rsidP="00C9742F">
            <w:pPr>
              <w:pStyle w:val="Tabletext"/>
              <w:jc w:val="center"/>
              <w:rPr>
                <w:rFonts w:eastAsiaTheme="minorEastAsia"/>
                <w:lang w:val="es-ES_tradnl" w:eastAsia="zh-CN"/>
              </w:rPr>
            </w:pPr>
            <w:r w:rsidRPr="00164016">
              <w:rPr>
                <w:rFonts w:eastAsiaTheme="minorEastAsia"/>
                <w:lang w:val="es-ES_tradnl" w:eastAsia="zh-CN"/>
              </w:rPr>
              <w:t>44</w:t>
            </w:r>
            <w:r w:rsidR="007A030B" w:rsidRPr="00164016">
              <w:rPr>
                <w:rFonts w:eastAsiaTheme="minorEastAsia"/>
                <w:lang w:val="es-ES_tradnl" w:eastAsia="zh-CN"/>
              </w:rPr>
              <w:t>,</w:t>
            </w:r>
            <w:r w:rsidRPr="00164016">
              <w:rPr>
                <w:rFonts w:eastAsiaTheme="minorEastAsia"/>
                <w:lang w:val="es-ES_tradnl" w:eastAsia="zh-CN"/>
              </w:rPr>
              <w:t>2</w:t>
            </w:r>
          </w:p>
        </w:tc>
        <w:tc>
          <w:tcPr>
            <w:tcW w:w="1585" w:type="dxa"/>
            <w:shd w:val="clear" w:color="auto" w:fill="DBE5F1" w:themeFill="accent1" w:themeFillTint="33"/>
            <w:hideMark/>
          </w:tcPr>
          <w:p w14:paraId="4B34CDD0" w14:textId="6F2EAE68" w:rsidR="009144F0" w:rsidRPr="00164016" w:rsidRDefault="009144F0" w:rsidP="00C9742F">
            <w:pPr>
              <w:pStyle w:val="Tabletext"/>
              <w:jc w:val="center"/>
              <w:rPr>
                <w:rFonts w:eastAsiaTheme="minorEastAsia"/>
                <w:lang w:val="es-ES_tradnl" w:eastAsia="zh-CN"/>
              </w:rPr>
            </w:pPr>
            <w:r w:rsidRPr="00164016">
              <w:rPr>
                <w:rFonts w:eastAsiaTheme="minorEastAsia"/>
                <w:lang w:val="es-ES_tradnl" w:eastAsia="zh-CN"/>
              </w:rPr>
              <w:t>4</w:t>
            </w:r>
            <w:r w:rsidR="007A030B" w:rsidRPr="00164016">
              <w:rPr>
                <w:rFonts w:eastAsiaTheme="minorEastAsia"/>
                <w:lang w:val="es-ES_tradnl" w:eastAsia="zh-CN"/>
              </w:rPr>
              <w:t> </w:t>
            </w:r>
            <w:r w:rsidRPr="00164016">
              <w:rPr>
                <w:rFonts w:eastAsiaTheme="minorEastAsia"/>
                <w:lang w:val="es-ES_tradnl" w:eastAsia="zh-CN"/>
              </w:rPr>
              <w:t>078</w:t>
            </w:r>
            <w:r w:rsidR="007A030B" w:rsidRPr="00164016">
              <w:rPr>
                <w:rFonts w:eastAsiaTheme="minorEastAsia"/>
                <w:lang w:val="es-ES_tradnl" w:eastAsia="zh-CN"/>
              </w:rPr>
              <w:t>,</w:t>
            </w:r>
            <w:r w:rsidRPr="00164016">
              <w:rPr>
                <w:rFonts w:eastAsiaTheme="minorEastAsia"/>
                <w:lang w:val="es-ES_tradnl" w:eastAsia="zh-CN"/>
              </w:rPr>
              <w:t>8</w:t>
            </w:r>
          </w:p>
        </w:tc>
      </w:tr>
      <w:tr w:rsidR="004323F7" w:rsidRPr="00164016" w14:paraId="1D515EFB" w14:textId="77777777" w:rsidTr="004323F7">
        <w:trPr>
          <w:trHeight w:val="54"/>
          <w:jc w:val="center"/>
        </w:trPr>
        <w:tc>
          <w:tcPr>
            <w:tcW w:w="993" w:type="dxa"/>
            <w:hideMark/>
          </w:tcPr>
          <w:p w14:paraId="7EB71ACD" w14:textId="77777777" w:rsidR="009144F0" w:rsidRPr="00164016" w:rsidRDefault="009144F0" w:rsidP="00C9742F">
            <w:pPr>
              <w:pStyle w:val="Tabletext"/>
              <w:jc w:val="center"/>
              <w:rPr>
                <w:lang w:val="es-ES_tradnl" w:eastAsia="zh-CN"/>
              </w:rPr>
            </w:pPr>
            <w:r w:rsidRPr="00164016">
              <w:rPr>
                <w:lang w:val="es-ES_tradnl" w:eastAsia="zh-CN"/>
              </w:rPr>
              <w:t xml:space="preserve">MUL </w:t>
            </w:r>
            <w:bookmarkStart w:id="6" w:name="_Hlk161739046"/>
            <w:r w:rsidRPr="00164016">
              <w:rPr>
                <w:lang w:val="es-ES_tradnl" w:eastAsia="zh-CN"/>
              </w:rPr>
              <w:t>(*)</w:t>
            </w:r>
            <w:bookmarkEnd w:id="6"/>
          </w:p>
        </w:tc>
        <w:tc>
          <w:tcPr>
            <w:tcW w:w="1412" w:type="dxa"/>
            <w:noWrap/>
            <w:vAlign w:val="bottom"/>
            <w:hideMark/>
          </w:tcPr>
          <w:p w14:paraId="518C225B" w14:textId="77777777" w:rsidR="009144F0" w:rsidRPr="00164016" w:rsidRDefault="009144F0" w:rsidP="00C9742F">
            <w:pPr>
              <w:pStyle w:val="Tabletext"/>
              <w:jc w:val="center"/>
              <w:rPr>
                <w:rFonts w:eastAsiaTheme="minorEastAsia"/>
                <w:lang w:val="es-ES_tradnl" w:eastAsia="zh-CN"/>
              </w:rPr>
            </w:pPr>
            <w:r w:rsidRPr="00164016">
              <w:rPr>
                <w:rFonts w:eastAsiaTheme="minorEastAsia"/>
                <w:lang w:val="es-ES_tradnl" w:eastAsia="zh-CN"/>
              </w:rPr>
              <w:t>41</w:t>
            </w:r>
          </w:p>
        </w:tc>
        <w:tc>
          <w:tcPr>
            <w:tcW w:w="1559" w:type="dxa"/>
            <w:vAlign w:val="bottom"/>
            <w:hideMark/>
          </w:tcPr>
          <w:p w14:paraId="080EEEE1" w14:textId="4DD5A88E" w:rsidR="009144F0" w:rsidRPr="00164016" w:rsidRDefault="009144F0" w:rsidP="00C9742F">
            <w:pPr>
              <w:pStyle w:val="Tabletext"/>
              <w:jc w:val="center"/>
              <w:rPr>
                <w:rFonts w:eastAsiaTheme="minorEastAsia"/>
                <w:lang w:val="es-ES_tradnl" w:eastAsia="zh-CN"/>
              </w:rPr>
            </w:pPr>
            <w:r w:rsidRPr="00164016">
              <w:rPr>
                <w:rFonts w:eastAsiaTheme="minorEastAsia"/>
                <w:lang w:val="es-ES_tradnl" w:eastAsia="zh-CN"/>
              </w:rPr>
              <w:t>26</w:t>
            </w:r>
            <w:r w:rsidR="007D7904" w:rsidRPr="00164016">
              <w:rPr>
                <w:rFonts w:eastAsiaTheme="minorEastAsia"/>
                <w:lang w:val="es-ES_tradnl" w:eastAsia="zh-CN"/>
              </w:rPr>
              <w:t> </w:t>
            </w:r>
            <w:r w:rsidRPr="00164016">
              <w:rPr>
                <w:rFonts w:eastAsiaTheme="minorEastAsia"/>
                <w:lang w:val="es-ES_tradnl" w:eastAsia="zh-CN"/>
              </w:rPr>
              <w:t>852</w:t>
            </w:r>
            <w:r w:rsidR="007D7904" w:rsidRPr="00164016">
              <w:rPr>
                <w:rFonts w:eastAsiaTheme="minorEastAsia"/>
                <w:lang w:val="es-ES_tradnl" w:eastAsia="zh-CN"/>
              </w:rPr>
              <w:t>,</w:t>
            </w:r>
            <w:r w:rsidRPr="00164016">
              <w:rPr>
                <w:rFonts w:eastAsiaTheme="minorEastAsia"/>
                <w:lang w:val="es-ES_tradnl" w:eastAsia="zh-CN"/>
              </w:rPr>
              <w:t>4</w:t>
            </w:r>
          </w:p>
        </w:tc>
        <w:tc>
          <w:tcPr>
            <w:tcW w:w="1417" w:type="dxa"/>
            <w:vAlign w:val="bottom"/>
            <w:hideMark/>
          </w:tcPr>
          <w:p w14:paraId="3FEEDDD8" w14:textId="2DC75C42" w:rsidR="009144F0" w:rsidRPr="00164016" w:rsidRDefault="009144F0" w:rsidP="00C9742F">
            <w:pPr>
              <w:pStyle w:val="Tabletext"/>
              <w:jc w:val="center"/>
              <w:rPr>
                <w:rFonts w:eastAsiaTheme="minorEastAsia"/>
                <w:lang w:val="es-ES_tradnl" w:eastAsia="zh-CN"/>
              </w:rPr>
            </w:pPr>
            <w:r w:rsidRPr="00164016">
              <w:rPr>
                <w:rFonts w:eastAsiaTheme="minorEastAsia"/>
                <w:lang w:val="es-ES_tradnl" w:eastAsia="zh-CN"/>
              </w:rPr>
              <w:t>6</w:t>
            </w:r>
            <w:r w:rsidR="007D7904" w:rsidRPr="00164016">
              <w:rPr>
                <w:rFonts w:eastAsiaTheme="minorEastAsia"/>
                <w:lang w:val="es-ES_tradnl" w:eastAsia="zh-CN"/>
              </w:rPr>
              <w:t> </w:t>
            </w:r>
            <w:r w:rsidRPr="00164016">
              <w:rPr>
                <w:rFonts w:eastAsiaTheme="minorEastAsia"/>
                <w:lang w:val="es-ES_tradnl" w:eastAsia="zh-CN"/>
              </w:rPr>
              <w:t>676</w:t>
            </w:r>
            <w:r w:rsidR="007A030B" w:rsidRPr="00164016">
              <w:rPr>
                <w:rFonts w:eastAsiaTheme="minorEastAsia"/>
                <w:lang w:val="es-ES_tradnl" w:eastAsia="zh-CN"/>
              </w:rPr>
              <w:t>,</w:t>
            </w:r>
            <w:r w:rsidRPr="00164016">
              <w:rPr>
                <w:rFonts w:eastAsiaTheme="minorEastAsia"/>
                <w:lang w:val="es-ES_tradnl" w:eastAsia="zh-CN"/>
              </w:rPr>
              <w:t>5</w:t>
            </w:r>
          </w:p>
        </w:tc>
        <w:tc>
          <w:tcPr>
            <w:tcW w:w="1585" w:type="dxa"/>
            <w:shd w:val="clear" w:color="auto" w:fill="DBE5F1" w:themeFill="accent1" w:themeFillTint="33"/>
            <w:hideMark/>
          </w:tcPr>
          <w:p w14:paraId="49C17279" w14:textId="4317DF07" w:rsidR="009144F0" w:rsidRPr="00164016" w:rsidRDefault="009144F0" w:rsidP="00C9742F">
            <w:pPr>
              <w:pStyle w:val="Tabletext"/>
              <w:jc w:val="center"/>
              <w:rPr>
                <w:rFonts w:eastAsiaTheme="minorEastAsia"/>
                <w:lang w:val="es-ES_tradnl" w:eastAsia="zh-CN"/>
              </w:rPr>
            </w:pPr>
            <w:r w:rsidRPr="00164016">
              <w:rPr>
                <w:rFonts w:eastAsiaTheme="minorEastAsia"/>
                <w:lang w:val="es-ES_tradnl" w:eastAsia="zh-CN"/>
              </w:rPr>
              <w:t>33</w:t>
            </w:r>
            <w:r w:rsidR="007A030B" w:rsidRPr="00164016">
              <w:rPr>
                <w:rFonts w:eastAsiaTheme="minorEastAsia"/>
                <w:lang w:val="es-ES_tradnl" w:eastAsia="zh-CN"/>
              </w:rPr>
              <w:t> </w:t>
            </w:r>
            <w:r w:rsidRPr="00164016">
              <w:rPr>
                <w:rFonts w:eastAsiaTheme="minorEastAsia"/>
                <w:lang w:val="es-ES_tradnl" w:eastAsia="zh-CN"/>
              </w:rPr>
              <w:t>528</w:t>
            </w:r>
            <w:r w:rsidR="007A030B" w:rsidRPr="00164016">
              <w:rPr>
                <w:rFonts w:eastAsiaTheme="minorEastAsia"/>
                <w:lang w:val="es-ES_tradnl" w:eastAsia="zh-CN"/>
              </w:rPr>
              <w:t>,</w:t>
            </w:r>
            <w:r w:rsidRPr="00164016">
              <w:rPr>
                <w:rFonts w:eastAsiaTheme="minorEastAsia"/>
                <w:lang w:val="es-ES_tradnl" w:eastAsia="zh-CN"/>
              </w:rPr>
              <w:t>9</w:t>
            </w:r>
          </w:p>
        </w:tc>
      </w:tr>
      <w:tr w:rsidR="004323F7" w:rsidRPr="00164016" w14:paraId="5E176B1C" w14:textId="77777777" w:rsidTr="004323F7">
        <w:trPr>
          <w:trHeight w:val="54"/>
          <w:jc w:val="center"/>
        </w:trPr>
        <w:tc>
          <w:tcPr>
            <w:tcW w:w="993" w:type="dxa"/>
            <w:shd w:val="clear" w:color="auto" w:fill="DBE5F1" w:themeFill="accent1" w:themeFillTint="33"/>
            <w:noWrap/>
            <w:vAlign w:val="center"/>
            <w:hideMark/>
          </w:tcPr>
          <w:p w14:paraId="55B5808D" w14:textId="77777777" w:rsidR="009144F0" w:rsidRPr="00164016" w:rsidRDefault="009144F0" w:rsidP="00C9742F">
            <w:pPr>
              <w:pStyle w:val="Tabletext"/>
              <w:jc w:val="center"/>
              <w:rPr>
                <w:b/>
                <w:bCs/>
                <w:lang w:val="es-ES_tradnl" w:eastAsia="zh-CN"/>
              </w:rPr>
            </w:pPr>
            <w:r w:rsidRPr="00164016">
              <w:rPr>
                <w:b/>
                <w:bCs/>
                <w:lang w:val="es-ES_tradnl" w:eastAsia="zh-CN"/>
              </w:rPr>
              <w:t>Total</w:t>
            </w:r>
          </w:p>
        </w:tc>
        <w:tc>
          <w:tcPr>
            <w:tcW w:w="1412" w:type="dxa"/>
            <w:shd w:val="clear" w:color="auto" w:fill="DBE5F1" w:themeFill="accent1" w:themeFillTint="33"/>
            <w:noWrap/>
            <w:vAlign w:val="bottom"/>
            <w:hideMark/>
          </w:tcPr>
          <w:p w14:paraId="2F1171FF" w14:textId="77777777" w:rsidR="009144F0" w:rsidRPr="00164016" w:rsidRDefault="009144F0" w:rsidP="00C9742F">
            <w:pPr>
              <w:pStyle w:val="Tabletext"/>
              <w:jc w:val="center"/>
              <w:rPr>
                <w:rFonts w:eastAsiaTheme="minorEastAsia"/>
                <w:b/>
                <w:bCs/>
                <w:lang w:val="es-ES_tradnl" w:eastAsia="zh-CN"/>
              </w:rPr>
            </w:pPr>
            <w:r w:rsidRPr="00164016">
              <w:rPr>
                <w:rFonts w:eastAsiaTheme="minorEastAsia"/>
                <w:b/>
                <w:bCs/>
                <w:lang w:val="es-ES_tradnl" w:eastAsia="zh-CN"/>
              </w:rPr>
              <w:t>105</w:t>
            </w:r>
          </w:p>
        </w:tc>
        <w:tc>
          <w:tcPr>
            <w:tcW w:w="1559" w:type="dxa"/>
            <w:shd w:val="clear" w:color="auto" w:fill="DBE5F1" w:themeFill="accent1" w:themeFillTint="33"/>
            <w:noWrap/>
            <w:vAlign w:val="bottom"/>
            <w:hideMark/>
          </w:tcPr>
          <w:p w14:paraId="4B4F1622" w14:textId="37D63BEB" w:rsidR="009144F0" w:rsidRPr="00164016" w:rsidRDefault="009144F0" w:rsidP="00C9742F">
            <w:pPr>
              <w:pStyle w:val="Tabletext"/>
              <w:jc w:val="center"/>
              <w:rPr>
                <w:rFonts w:eastAsiaTheme="minorEastAsia"/>
                <w:b/>
                <w:bCs/>
                <w:lang w:val="es-ES_tradnl" w:eastAsia="zh-CN"/>
              </w:rPr>
            </w:pPr>
            <w:r w:rsidRPr="00164016">
              <w:rPr>
                <w:rFonts w:eastAsiaTheme="minorEastAsia"/>
                <w:b/>
                <w:bCs/>
                <w:lang w:val="es-ES_tradnl" w:eastAsia="zh-CN"/>
              </w:rPr>
              <w:t>80</w:t>
            </w:r>
            <w:r w:rsidR="007D7904" w:rsidRPr="00164016">
              <w:rPr>
                <w:rFonts w:eastAsiaTheme="minorEastAsia"/>
                <w:b/>
                <w:bCs/>
                <w:lang w:val="es-ES_tradnl" w:eastAsia="zh-CN"/>
              </w:rPr>
              <w:t> </w:t>
            </w:r>
            <w:r w:rsidRPr="00164016">
              <w:rPr>
                <w:rFonts w:eastAsiaTheme="minorEastAsia"/>
                <w:b/>
                <w:bCs/>
                <w:lang w:val="es-ES_tradnl" w:eastAsia="zh-CN"/>
              </w:rPr>
              <w:t>034</w:t>
            </w:r>
            <w:r w:rsidR="007D7904" w:rsidRPr="00164016">
              <w:rPr>
                <w:rFonts w:eastAsiaTheme="minorEastAsia"/>
                <w:b/>
                <w:bCs/>
                <w:lang w:val="es-ES_tradnl" w:eastAsia="zh-CN"/>
              </w:rPr>
              <w:t>,</w:t>
            </w:r>
            <w:r w:rsidRPr="00164016">
              <w:rPr>
                <w:rFonts w:eastAsiaTheme="minorEastAsia"/>
                <w:b/>
                <w:bCs/>
                <w:lang w:val="es-ES_tradnl" w:eastAsia="zh-CN"/>
              </w:rPr>
              <w:t>7</w:t>
            </w:r>
          </w:p>
        </w:tc>
        <w:tc>
          <w:tcPr>
            <w:tcW w:w="1417" w:type="dxa"/>
            <w:shd w:val="clear" w:color="auto" w:fill="DBE5F1" w:themeFill="accent1" w:themeFillTint="33"/>
            <w:noWrap/>
            <w:vAlign w:val="bottom"/>
            <w:hideMark/>
          </w:tcPr>
          <w:p w14:paraId="3410EFAB" w14:textId="12A5FA01" w:rsidR="009144F0" w:rsidRPr="00164016" w:rsidRDefault="009144F0" w:rsidP="00C9742F">
            <w:pPr>
              <w:pStyle w:val="Tabletext"/>
              <w:jc w:val="center"/>
              <w:rPr>
                <w:rFonts w:eastAsiaTheme="minorEastAsia"/>
                <w:b/>
                <w:bCs/>
                <w:lang w:val="es-ES_tradnl" w:eastAsia="zh-CN"/>
              </w:rPr>
            </w:pPr>
            <w:r w:rsidRPr="00164016">
              <w:rPr>
                <w:rFonts w:eastAsiaTheme="minorEastAsia"/>
                <w:b/>
                <w:bCs/>
                <w:lang w:val="es-ES_tradnl" w:eastAsia="zh-CN"/>
              </w:rPr>
              <w:t>10</w:t>
            </w:r>
            <w:r w:rsidR="007D7904" w:rsidRPr="00164016">
              <w:rPr>
                <w:rFonts w:eastAsiaTheme="minorEastAsia"/>
                <w:b/>
                <w:bCs/>
                <w:lang w:val="es-ES_tradnl" w:eastAsia="zh-CN"/>
              </w:rPr>
              <w:t> </w:t>
            </w:r>
            <w:r w:rsidRPr="00164016">
              <w:rPr>
                <w:rFonts w:eastAsiaTheme="minorEastAsia"/>
                <w:b/>
                <w:bCs/>
                <w:lang w:val="es-ES_tradnl" w:eastAsia="zh-CN"/>
              </w:rPr>
              <w:t>425</w:t>
            </w:r>
            <w:r w:rsidR="007A030B" w:rsidRPr="00164016">
              <w:rPr>
                <w:rFonts w:eastAsiaTheme="minorEastAsia"/>
                <w:b/>
                <w:bCs/>
                <w:lang w:val="es-ES_tradnl" w:eastAsia="zh-CN"/>
              </w:rPr>
              <w:t>,</w:t>
            </w:r>
            <w:r w:rsidRPr="00164016">
              <w:rPr>
                <w:rFonts w:eastAsiaTheme="minorEastAsia"/>
                <w:b/>
                <w:bCs/>
                <w:lang w:val="es-ES_tradnl" w:eastAsia="zh-CN"/>
              </w:rPr>
              <w:t>3</w:t>
            </w:r>
          </w:p>
        </w:tc>
        <w:tc>
          <w:tcPr>
            <w:tcW w:w="1585" w:type="dxa"/>
            <w:shd w:val="clear" w:color="auto" w:fill="DBE5F1" w:themeFill="accent1" w:themeFillTint="33"/>
            <w:noWrap/>
            <w:hideMark/>
          </w:tcPr>
          <w:p w14:paraId="08C73A62" w14:textId="2B124447" w:rsidR="009144F0" w:rsidRPr="00164016" w:rsidRDefault="009144F0" w:rsidP="00C9742F">
            <w:pPr>
              <w:pStyle w:val="Tabletext"/>
              <w:jc w:val="center"/>
              <w:rPr>
                <w:rFonts w:eastAsiaTheme="minorEastAsia"/>
                <w:b/>
                <w:bCs/>
                <w:lang w:val="es-ES_tradnl" w:eastAsia="zh-CN"/>
              </w:rPr>
            </w:pPr>
            <w:r w:rsidRPr="00164016">
              <w:rPr>
                <w:rFonts w:eastAsiaTheme="minorEastAsia"/>
                <w:b/>
                <w:bCs/>
                <w:lang w:val="es-ES_tradnl" w:eastAsia="zh-CN"/>
              </w:rPr>
              <w:t>90</w:t>
            </w:r>
            <w:r w:rsidR="007A030B" w:rsidRPr="00164016">
              <w:rPr>
                <w:rFonts w:eastAsiaTheme="minorEastAsia"/>
                <w:b/>
                <w:bCs/>
                <w:lang w:val="es-ES_tradnl" w:eastAsia="zh-CN"/>
              </w:rPr>
              <w:t> </w:t>
            </w:r>
            <w:r w:rsidRPr="00164016">
              <w:rPr>
                <w:rFonts w:eastAsiaTheme="minorEastAsia"/>
                <w:b/>
                <w:bCs/>
                <w:lang w:val="es-ES_tradnl" w:eastAsia="zh-CN"/>
              </w:rPr>
              <w:t>460</w:t>
            </w:r>
            <w:r w:rsidR="007A030B" w:rsidRPr="00164016">
              <w:rPr>
                <w:rFonts w:eastAsiaTheme="minorEastAsia"/>
                <w:b/>
                <w:bCs/>
                <w:lang w:val="es-ES_tradnl" w:eastAsia="zh-CN"/>
              </w:rPr>
              <w:t>,</w:t>
            </w:r>
            <w:r w:rsidRPr="00164016">
              <w:rPr>
                <w:rFonts w:eastAsiaTheme="minorEastAsia"/>
                <w:b/>
                <w:bCs/>
                <w:lang w:val="es-ES_tradnl" w:eastAsia="zh-CN"/>
              </w:rPr>
              <w:t>0</w:t>
            </w:r>
          </w:p>
        </w:tc>
      </w:tr>
    </w:tbl>
    <w:p w14:paraId="43750323" w14:textId="121D2D0F" w:rsidR="009144F0" w:rsidRPr="00164016" w:rsidRDefault="009144F0" w:rsidP="009322D1">
      <w:pPr>
        <w:tabs>
          <w:tab w:val="clear" w:pos="794"/>
          <w:tab w:val="left" w:pos="426"/>
          <w:tab w:val="left" w:pos="1701"/>
        </w:tabs>
        <w:spacing w:after="120"/>
        <w:rPr>
          <w:rFonts w:cstheme="minorHAnsi"/>
          <w:sz w:val="18"/>
          <w:szCs w:val="18"/>
          <w:lang w:val="es-ES_tradnl"/>
        </w:rPr>
      </w:pPr>
      <w:r w:rsidRPr="00164016">
        <w:rPr>
          <w:rFonts w:cstheme="minorHAnsi"/>
          <w:sz w:val="18"/>
          <w:szCs w:val="18"/>
          <w:lang w:val="es-ES_tradnl"/>
        </w:rPr>
        <w:t>(*)</w:t>
      </w:r>
      <w:r w:rsidR="009322D1">
        <w:rPr>
          <w:rFonts w:cstheme="minorHAnsi"/>
          <w:sz w:val="18"/>
          <w:szCs w:val="18"/>
          <w:lang w:val="es-ES_tradnl"/>
        </w:rPr>
        <w:tab/>
      </w:r>
      <w:r w:rsidR="007A030B" w:rsidRPr="00164016">
        <w:rPr>
          <w:rFonts w:cstheme="minorHAnsi"/>
          <w:sz w:val="18"/>
          <w:szCs w:val="18"/>
          <w:lang w:val="es-ES_tradnl"/>
        </w:rPr>
        <w:t>Proyectos multirregionales que benefician a todas las regiones</w:t>
      </w:r>
    </w:p>
    <w:p w14:paraId="7B063A1E" w14:textId="37DEF116" w:rsidR="009144F0" w:rsidRPr="00164016" w:rsidRDefault="007A030B" w:rsidP="009322D1">
      <w:pPr>
        <w:pStyle w:val="Heading2"/>
        <w:ind w:left="0" w:firstLine="0"/>
        <w:rPr>
          <w:lang w:val="es-ES_tradnl"/>
        </w:rPr>
      </w:pPr>
      <w:r w:rsidRPr="00164016">
        <w:rPr>
          <w:lang w:val="es-ES_tradnl"/>
        </w:rPr>
        <w:lastRenderedPageBreak/>
        <w:t>2.2</w:t>
      </w:r>
      <w:r w:rsidRPr="00164016">
        <w:rPr>
          <w:lang w:val="es-ES_tradnl"/>
        </w:rPr>
        <w:tab/>
      </w:r>
      <w:r w:rsidR="00967E92" w:rsidRPr="00164016">
        <w:rPr>
          <w:lang w:val="es-ES_tradnl"/>
        </w:rPr>
        <w:t>Proyectos firmados durante el periodo de notificación</w:t>
      </w:r>
      <w:r w:rsidR="009144F0" w:rsidRPr="00164016">
        <w:rPr>
          <w:lang w:val="es-ES_tradnl"/>
        </w:rPr>
        <w:t xml:space="preserve"> </w:t>
      </w:r>
    </w:p>
    <w:p w14:paraId="38F07A06" w14:textId="66FCF0AA" w:rsidR="009144F0" w:rsidRPr="00164016" w:rsidRDefault="000974FC" w:rsidP="009322D1">
      <w:pPr>
        <w:keepNext/>
        <w:keepLines/>
        <w:spacing w:after="360"/>
        <w:rPr>
          <w:rFonts w:cstheme="minorBidi"/>
          <w:lang w:val="es-ES_tradnl"/>
        </w:rPr>
      </w:pPr>
      <w:r w:rsidRPr="00164016">
        <w:rPr>
          <w:rFonts w:cstheme="minorBidi"/>
          <w:lang w:val="es-ES_tradnl"/>
        </w:rPr>
        <w:t>E</w:t>
      </w:r>
      <w:r w:rsidR="009144F0" w:rsidRPr="00164016">
        <w:rPr>
          <w:rFonts w:cstheme="minorBidi"/>
          <w:lang w:val="es-ES_tradnl"/>
        </w:rPr>
        <w:t xml:space="preserve">n 2024, </w:t>
      </w:r>
      <w:r w:rsidRPr="00164016">
        <w:rPr>
          <w:rFonts w:cstheme="minorBidi"/>
          <w:lang w:val="es-ES_tradnl"/>
        </w:rPr>
        <w:t xml:space="preserve">la </w:t>
      </w:r>
      <w:r w:rsidR="009144F0" w:rsidRPr="00164016">
        <w:rPr>
          <w:rFonts w:cstheme="minorBidi"/>
          <w:lang w:val="es-ES_tradnl"/>
        </w:rPr>
        <w:t xml:space="preserve">BDT </w:t>
      </w:r>
      <w:r w:rsidRPr="00164016">
        <w:rPr>
          <w:rFonts w:cstheme="minorBidi"/>
          <w:lang w:val="es-ES_tradnl"/>
        </w:rPr>
        <w:t xml:space="preserve">firmó un </w:t>
      </w:r>
      <w:r w:rsidR="009144F0" w:rsidRPr="00164016">
        <w:rPr>
          <w:rFonts w:cstheme="minorBidi"/>
          <w:lang w:val="es-ES_tradnl"/>
        </w:rPr>
        <w:t xml:space="preserve">total </w:t>
      </w:r>
      <w:r w:rsidRPr="00164016">
        <w:rPr>
          <w:rFonts w:cstheme="minorBidi"/>
          <w:lang w:val="es-ES_tradnl"/>
        </w:rPr>
        <w:t xml:space="preserve">de </w:t>
      </w:r>
      <w:r w:rsidR="009144F0" w:rsidRPr="00164016">
        <w:rPr>
          <w:rFonts w:cstheme="minorBidi"/>
          <w:lang w:val="es-ES_tradnl"/>
        </w:rPr>
        <w:t xml:space="preserve">37 </w:t>
      </w:r>
      <w:r w:rsidRPr="00164016">
        <w:rPr>
          <w:rFonts w:cstheme="minorBidi"/>
          <w:lang w:val="es-ES_tradnl"/>
        </w:rPr>
        <w:t xml:space="preserve">nuevos proyectos por un valor de </w:t>
      </w:r>
      <w:r w:rsidR="009144F0" w:rsidRPr="00164016">
        <w:rPr>
          <w:rFonts w:cstheme="minorBidi"/>
          <w:lang w:val="es-ES_tradnl"/>
        </w:rPr>
        <w:t>28</w:t>
      </w:r>
      <w:r w:rsidRPr="00164016">
        <w:rPr>
          <w:rFonts w:cstheme="minorBidi"/>
          <w:lang w:val="es-ES_tradnl"/>
        </w:rPr>
        <w:t>,</w:t>
      </w:r>
      <w:r w:rsidR="009144F0" w:rsidRPr="00164016">
        <w:rPr>
          <w:rFonts w:cstheme="minorBidi"/>
          <w:lang w:val="es-ES_tradnl"/>
        </w:rPr>
        <w:t>6</w:t>
      </w:r>
      <w:r w:rsidR="009322D1">
        <w:rPr>
          <w:rFonts w:cstheme="minorBidi"/>
          <w:lang w:val="es-ES_tradnl"/>
        </w:rPr>
        <w:t> </w:t>
      </w:r>
      <w:r w:rsidR="009144F0" w:rsidRPr="00164016">
        <w:rPr>
          <w:rFonts w:cstheme="minorBidi"/>
          <w:lang w:val="es-ES_tradnl"/>
        </w:rPr>
        <w:t>millon</w:t>
      </w:r>
      <w:r w:rsidRPr="00164016">
        <w:rPr>
          <w:rFonts w:cstheme="minorBidi"/>
          <w:lang w:val="es-ES_tradnl"/>
        </w:rPr>
        <w:t>es CHF</w:t>
      </w:r>
      <w:r w:rsidR="00F244DC" w:rsidRPr="00164016">
        <w:rPr>
          <w:rStyle w:val="FootnoteReference"/>
          <w:rFonts w:cstheme="minorHAnsi"/>
          <w:lang w:val="es-ES_tradnl"/>
        </w:rPr>
        <w:footnoteReference w:id="2"/>
      </w:r>
      <w:r w:rsidR="009144F0" w:rsidRPr="00164016">
        <w:rPr>
          <w:rFonts w:cstheme="minorBidi"/>
          <w:lang w:val="es-ES_tradnl"/>
        </w:rPr>
        <w:t xml:space="preserve">. </w:t>
      </w:r>
      <w:r w:rsidR="00241900" w:rsidRPr="00164016">
        <w:rPr>
          <w:rFonts w:cstheme="minorBidi"/>
          <w:lang w:val="es-ES_tradnl"/>
        </w:rPr>
        <w:t>Estas cifras representan el nivel más alto de fondos recaudados en proyectos en los últimos diez años, lo que confirma la tendencia positiva de los esfuerzos desplegados por la BDT para movilizar fondos extrapresupuestarios para proyectos (véase el gráfico 2). La lista de acuerdos conexos figura en el documento INF/1</w:t>
      </w:r>
      <w:r w:rsidR="009144F0" w:rsidRPr="00164016">
        <w:rPr>
          <w:rFonts w:cstheme="minorBidi"/>
          <w:lang w:val="es-ES_tradnl"/>
        </w:rPr>
        <w:t xml:space="preserve">. </w:t>
      </w:r>
    </w:p>
    <w:p w14:paraId="3D8825D6" w14:textId="33FD0C4E" w:rsidR="009144F0" w:rsidRPr="009322D1" w:rsidRDefault="009144F0" w:rsidP="009322D1">
      <w:pPr>
        <w:pStyle w:val="Figuretitle"/>
        <w:spacing w:after="120"/>
        <w:rPr>
          <w:lang w:val="es-ES_tradnl"/>
        </w:rPr>
      </w:pPr>
      <w:r w:rsidRPr="009322D1">
        <w:rPr>
          <w:lang w:val="es-ES_tradnl"/>
        </w:rPr>
        <w:t>Figur</w:t>
      </w:r>
      <w:r w:rsidR="00E84935" w:rsidRPr="009322D1">
        <w:rPr>
          <w:lang w:val="es-ES_tradnl"/>
        </w:rPr>
        <w:t>a</w:t>
      </w:r>
      <w:r w:rsidRPr="009322D1">
        <w:rPr>
          <w:lang w:val="es-ES_tradnl"/>
        </w:rPr>
        <w:t xml:space="preserve"> 2 – </w:t>
      </w:r>
      <w:r w:rsidR="00E84935" w:rsidRPr="009322D1">
        <w:rPr>
          <w:lang w:val="es-ES_tradnl"/>
        </w:rPr>
        <w:t>Nuevos proyectos firmados por la U</w:t>
      </w:r>
      <w:r w:rsidRPr="009322D1">
        <w:rPr>
          <w:lang w:val="es-ES_tradnl"/>
        </w:rPr>
        <w:t>IT (2014-2024)</w:t>
      </w:r>
    </w:p>
    <w:p w14:paraId="2B204CB3" w14:textId="191CCF25" w:rsidR="009144F0" w:rsidRPr="00164016" w:rsidRDefault="00D25338" w:rsidP="00D25338">
      <w:pPr>
        <w:spacing w:after="120"/>
        <w:jc w:val="center"/>
        <w:rPr>
          <w:rFonts w:cstheme="minorHAnsi"/>
          <w:lang w:val="es-ES_tradnl"/>
        </w:rPr>
      </w:pPr>
      <w:r w:rsidRPr="00D25338">
        <w:rPr>
          <w:rFonts w:cstheme="minorHAnsi"/>
          <w:noProof/>
          <w:lang w:val="es-ES_tradnl"/>
        </w:rPr>
        <w:drawing>
          <wp:inline distT="0" distB="0" distL="0" distR="0" wp14:anchorId="014384CE" wp14:editId="447D71EA">
            <wp:extent cx="5861714" cy="2461081"/>
            <wp:effectExtent l="0" t="0" r="5715" b="0"/>
            <wp:docPr id="410317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317144" name=""/>
                    <pic:cNvPicPr/>
                  </pic:nvPicPr>
                  <pic:blipFill>
                    <a:blip r:embed="rId12"/>
                    <a:stretch>
                      <a:fillRect/>
                    </a:stretch>
                  </pic:blipFill>
                  <pic:spPr>
                    <a:xfrm>
                      <a:off x="0" y="0"/>
                      <a:ext cx="5873015" cy="2465826"/>
                    </a:xfrm>
                    <a:prstGeom prst="rect">
                      <a:avLst/>
                    </a:prstGeom>
                  </pic:spPr>
                </pic:pic>
              </a:graphicData>
            </a:graphic>
          </wp:inline>
        </w:drawing>
      </w:r>
    </w:p>
    <w:p w14:paraId="112B2D39" w14:textId="321A6BF1" w:rsidR="009144F0" w:rsidRPr="00164016" w:rsidRDefault="00D153C6" w:rsidP="009902F1">
      <w:pPr>
        <w:spacing w:after="240"/>
        <w:rPr>
          <w:rFonts w:cstheme="minorHAnsi"/>
          <w:szCs w:val="24"/>
          <w:lang w:val="es-ES_tradnl"/>
        </w:rPr>
      </w:pPr>
      <w:r w:rsidRPr="00D153C6">
        <w:rPr>
          <w:rFonts w:cstheme="minorHAnsi"/>
          <w:lang w:val="es-ES_tradnl"/>
        </w:rPr>
        <w:t>Estos nuevos proyectos son de carácter multirregional, regional y nacional, y abarcan toda la gama de prioridades del UIT-D definidas en el Plan de Acción de Kigali (KAP) de la CM</w:t>
      </w:r>
      <w:r w:rsidR="009902F1">
        <w:rPr>
          <w:rFonts w:cstheme="minorHAnsi"/>
          <w:lang w:val="es-ES_tradnl"/>
        </w:rPr>
        <w:t>DT</w:t>
      </w:r>
      <w:r w:rsidRPr="00D153C6">
        <w:rPr>
          <w:rFonts w:cstheme="minorHAnsi"/>
          <w:lang w:val="es-ES_tradnl"/>
        </w:rPr>
        <w:t>-22. En cuanto a la fuente de financiación, el 92</w:t>
      </w:r>
      <w:r w:rsidR="009902F1">
        <w:rPr>
          <w:rFonts w:cstheme="minorHAnsi"/>
          <w:lang w:val="es-ES_tradnl"/>
        </w:rPr>
        <w:t> </w:t>
      </w:r>
      <w:r w:rsidRPr="00D153C6">
        <w:rPr>
          <w:rFonts w:cstheme="minorHAnsi"/>
          <w:lang w:val="es-ES_tradnl"/>
        </w:rPr>
        <w:t>% de los fondos para los nuevos proyectos proviene de fondos extrapresupuestarios movilizados por la BDT procedentes de terceros, mientras que el 8</w:t>
      </w:r>
      <w:r w:rsidR="009902F1">
        <w:rPr>
          <w:rFonts w:cstheme="minorHAnsi"/>
          <w:lang w:val="es-ES_tradnl"/>
        </w:rPr>
        <w:t> </w:t>
      </w:r>
      <w:r w:rsidRPr="00D153C6">
        <w:rPr>
          <w:rFonts w:cstheme="minorHAnsi"/>
          <w:lang w:val="es-ES_tradnl"/>
        </w:rPr>
        <w:t xml:space="preserve">% restante procede </w:t>
      </w:r>
      <w:r w:rsidR="00E0078A">
        <w:rPr>
          <w:rFonts w:cstheme="minorHAnsi"/>
          <w:lang w:val="es-ES_tradnl"/>
        </w:rPr>
        <w:t>del capital</w:t>
      </w:r>
      <w:r w:rsidRPr="00D153C6">
        <w:rPr>
          <w:rFonts w:cstheme="minorHAnsi"/>
          <w:lang w:val="es-ES_tradnl"/>
        </w:rPr>
        <w:t xml:space="preserve"> inicial asignado por la UIT. En la Figura 3 se representa </w:t>
      </w:r>
      <w:r w:rsidR="00811B3E" w:rsidRPr="00D153C6">
        <w:rPr>
          <w:rFonts w:cstheme="minorHAnsi"/>
          <w:lang w:val="es-ES_tradnl"/>
        </w:rPr>
        <w:t>gráficamente</w:t>
      </w:r>
      <w:r w:rsidRPr="00D153C6">
        <w:rPr>
          <w:rFonts w:cstheme="minorHAnsi"/>
          <w:lang w:val="es-ES_tradnl"/>
        </w:rPr>
        <w:t xml:space="preserve"> el porcentaje de fondos extrapresupuestarios y fondos de la UIT que contribuyen a la financiación de los proyectos</w:t>
      </w:r>
      <w:r w:rsidR="009144F0" w:rsidRPr="00164016">
        <w:rPr>
          <w:rFonts w:cstheme="minorHAnsi"/>
          <w:szCs w:val="24"/>
          <w:lang w:val="es-ES_tradnl"/>
        </w:rPr>
        <w:t xml:space="preserve">. </w:t>
      </w:r>
    </w:p>
    <w:p w14:paraId="40728E0B" w14:textId="3E5A5BEA" w:rsidR="009144F0" w:rsidRPr="009902F1" w:rsidRDefault="009144F0" w:rsidP="009902F1">
      <w:pPr>
        <w:pStyle w:val="Figuretitle"/>
        <w:keepNext/>
        <w:spacing w:after="120"/>
        <w:rPr>
          <w:lang w:val="es-ES_tradnl"/>
        </w:rPr>
      </w:pPr>
      <w:r w:rsidRPr="009902F1">
        <w:rPr>
          <w:lang w:val="es-ES_tradnl"/>
        </w:rPr>
        <w:lastRenderedPageBreak/>
        <w:t>Figur</w:t>
      </w:r>
      <w:r w:rsidR="00BD3086" w:rsidRPr="009902F1">
        <w:rPr>
          <w:lang w:val="es-ES_tradnl"/>
        </w:rPr>
        <w:t>a</w:t>
      </w:r>
      <w:r w:rsidRPr="009902F1">
        <w:rPr>
          <w:lang w:val="es-ES_tradnl"/>
        </w:rPr>
        <w:t xml:space="preserve"> 3 – </w:t>
      </w:r>
      <w:r w:rsidR="00E0078A" w:rsidRPr="009902F1">
        <w:rPr>
          <w:lang w:val="es-ES_tradnl"/>
        </w:rPr>
        <w:t>Fuentes de financiación de proyectos de la UIT</w:t>
      </w:r>
      <w:r w:rsidR="009902F1">
        <w:rPr>
          <w:lang w:val="es-ES_tradnl"/>
        </w:rPr>
        <w:br/>
      </w:r>
      <w:r w:rsidRPr="009902F1">
        <w:rPr>
          <w:lang w:val="es-ES_tradnl"/>
        </w:rPr>
        <w:t>(</w:t>
      </w:r>
      <w:r w:rsidR="00E0078A" w:rsidRPr="009902F1">
        <w:rPr>
          <w:lang w:val="es-ES_tradnl"/>
        </w:rPr>
        <w:t xml:space="preserve">nuevos proyectos firmados en </w:t>
      </w:r>
      <w:r w:rsidRPr="009902F1">
        <w:rPr>
          <w:lang w:val="es-ES_tradnl"/>
        </w:rPr>
        <w:t>2024)</w:t>
      </w:r>
    </w:p>
    <w:p w14:paraId="05C00787" w14:textId="41B58D87" w:rsidR="009144F0" w:rsidRPr="00164016" w:rsidRDefault="009144F0" w:rsidP="009144F0">
      <w:pPr>
        <w:keepNext/>
        <w:keepLines/>
        <w:widowControl w:val="0"/>
        <w:spacing w:after="120"/>
        <w:jc w:val="center"/>
        <w:rPr>
          <w:rFonts w:cstheme="minorHAnsi"/>
          <w:lang w:val="es-ES_tradnl"/>
        </w:rPr>
      </w:pPr>
      <w:r w:rsidRPr="00164016">
        <w:rPr>
          <w:rFonts w:cstheme="minorHAnsi"/>
          <w:color w:val="FF0000"/>
          <w:lang w:val="es-ES_tradnl"/>
        </w:rPr>
        <w:t xml:space="preserve"> </w:t>
      </w:r>
      <w:r w:rsidR="00C05492" w:rsidRPr="00C05492">
        <w:rPr>
          <w:rFonts w:cstheme="minorHAnsi"/>
          <w:noProof/>
          <w:color w:val="FF0000"/>
          <w:lang w:val="es-ES_tradnl"/>
        </w:rPr>
        <w:drawing>
          <wp:inline distT="0" distB="0" distL="0" distR="0" wp14:anchorId="6D03554C" wp14:editId="0C45E6DB">
            <wp:extent cx="4285397" cy="2170985"/>
            <wp:effectExtent l="0" t="0" r="1270" b="1270"/>
            <wp:docPr id="1196110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110549" name=""/>
                    <pic:cNvPicPr/>
                  </pic:nvPicPr>
                  <pic:blipFill>
                    <a:blip r:embed="rId13"/>
                    <a:stretch>
                      <a:fillRect/>
                    </a:stretch>
                  </pic:blipFill>
                  <pic:spPr>
                    <a:xfrm>
                      <a:off x="0" y="0"/>
                      <a:ext cx="4312443" cy="2184687"/>
                    </a:xfrm>
                    <a:prstGeom prst="rect">
                      <a:avLst/>
                    </a:prstGeom>
                  </pic:spPr>
                </pic:pic>
              </a:graphicData>
            </a:graphic>
          </wp:inline>
        </w:drawing>
      </w:r>
    </w:p>
    <w:p w14:paraId="32ED7D1E" w14:textId="70B61A73" w:rsidR="009144F0" w:rsidRPr="001276A4" w:rsidRDefault="008E036D" w:rsidP="00C05492">
      <w:pPr>
        <w:pStyle w:val="Heading1"/>
        <w:rPr>
          <w:sz w:val="24"/>
          <w:szCs w:val="24"/>
          <w:lang w:val="es-ES"/>
        </w:rPr>
      </w:pPr>
      <w:r w:rsidRPr="001276A4">
        <w:rPr>
          <w:sz w:val="24"/>
          <w:szCs w:val="24"/>
          <w:lang w:val="es-ES"/>
        </w:rPr>
        <w:t>3</w:t>
      </w:r>
      <w:r w:rsidRPr="001276A4">
        <w:rPr>
          <w:sz w:val="24"/>
          <w:szCs w:val="24"/>
          <w:lang w:val="es-ES"/>
        </w:rPr>
        <w:tab/>
      </w:r>
      <w:r w:rsidR="00706E70" w:rsidRPr="001276A4">
        <w:rPr>
          <w:sz w:val="24"/>
          <w:szCs w:val="24"/>
          <w:lang w:val="es-ES"/>
        </w:rPr>
        <w:t>Situación actual de la atribución de fondos para Iniciativas Regionales de la CMDT</w:t>
      </w:r>
      <w:r w:rsidR="009144F0" w:rsidRPr="001276A4">
        <w:rPr>
          <w:sz w:val="24"/>
          <w:szCs w:val="24"/>
          <w:lang w:val="es-ES"/>
        </w:rPr>
        <w:t xml:space="preserve">-22 </w:t>
      </w:r>
    </w:p>
    <w:p w14:paraId="5BE5AEC7" w14:textId="3A43BECA" w:rsidR="009144F0" w:rsidRPr="00164016" w:rsidRDefault="00326FCE" w:rsidP="00C05492">
      <w:pPr>
        <w:widowControl w:val="0"/>
        <w:spacing w:after="120"/>
        <w:ind w:right="-142"/>
        <w:rPr>
          <w:rFonts w:cstheme="minorHAnsi"/>
          <w:lang w:val="es-ES_tradnl"/>
        </w:rPr>
      </w:pPr>
      <w:r w:rsidRPr="00326FCE">
        <w:rPr>
          <w:rFonts w:cstheme="minorHAnsi"/>
          <w:lang w:val="es-ES_tradnl"/>
        </w:rPr>
        <w:t>En su reunión de 2023, el Consejo de la UIT aprobó la transferencia de 3</w:t>
      </w:r>
      <w:r w:rsidR="00C05492">
        <w:rPr>
          <w:rFonts w:cstheme="minorHAnsi"/>
          <w:lang w:val="es-ES_tradnl"/>
        </w:rPr>
        <w:t> </w:t>
      </w:r>
      <w:r w:rsidRPr="00326FCE">
        <w:rPr>
          <w:rFonts w:cstheme="minorHAnsi"/>
          <w:lang w:val="es-ES_tradnl"/>
        </w:rPr>
        <w:t>millones</w:t>
      </w:r>
      <w:r w:rsidR="00C05492">
        <w:rPr>
          <w:rFonts w:cstheme="minorHAnsi"/>
          <w:lang w:val="es-ES_tradnl"/>
        </w:rPr>
        <w:t> </w:t>
      </w:r>
      <w:r w:rsidR="00963CCC">
        <w:rPr>
          <w:rFonts w:cstheme="minorHAnsi"/>
          <w:lang w:val="es-ES_tradnl"/>
        </w:rPr>
        <w:t>CHF</w:t>
      </w:r>
      <w:r w:rsidRPr="00326FCE">
        <w:rPr>
          <w:rFonts w:cstheme="minorHAnsi"/>
          <w:lang w:val="es-ES_tradnl"/>
        </w:rPr>
        <w:t xml:space="preserve"> del Fondo de Operaciones </w:t>
      </w:r>
      <w:r w:rsidR="00B403EE">
        <w:rPr>
          <w:rFonts w:cstheme="minorHAnsi"/>
          <w:lang w:val="es-ES_tradnl"/>
        </w:rPr>
        <w:t>de las</w:t>
      </w:r>
      <w:r w:rsidRPr="00326FCE">
        <w:rPr>
          <w:rFonts w:cstheme="minorHAnsi"/>
          <w:lang w:val="es-ES_tradnl"/>
        </w:rPr>
        <w:t xml:space="preserve"> Exposiciones (</w:t>
      </w:r>
      <w:r w:rsidR="00B403EE">
        <w:rPr>
          <w:rFonts w:cstheme="minorHAnsi"/>
          <w:lang w:val="es-ES_tradnl"/>
        </w:rPr>
        <w:t>FOEX</w:t>
      </w:r>
      <w:r w:rsidRPr="00326FCE">
        <w:rPr>
          <w:rFonts w:cstheme="minorHAnsi"/>
          <w:lang w:val="es-ES_tradnl"/>
        </w:rPr>
        <w:t>) a la Cuenta de Capital del Fondo de Desarrollo de las Tecnologías de la Información y las Comunicaciones (</w:t>
      </w:r>
      <w:r w:rsidR="00EE28BF">
        <w:rPr>
          <w:rFonts w:cstheme="minorHAnsi"/>
          <w:lang w:val="es-ES_tradnl"/>
        </w:rPr>
        <w:t>FDT</w:t>
      </w:r>
      <w:r w:rsidRPr="00326FCE">
        <w:rPr>
          <w:rFonts w:cstheme="minorHAnsi"/>
          <w:lang w:val="es-ES_tradnl"/>
        </w:rPr>
        <w:t>IC) con el fin de aportar capital inicial para la financiación de iniciativas regionales</w:t>
      </w:r>
      <w:r w:rsidR="009144F0" w:rsidRPr="00164016">
        <w:rPr>
          <w:rStyle w:val="FootnoteReference"/>
          <w:rFonts w:cstheme="minorHAnsi"/>
          <w:szCs w:val="18"/>
          <w:lang w:val="es-ES_tradnl"/>
        </w:rPr>
        <w:footnoteReference w:id="3"/>
      </w:r>
      <w:r w:rsidR="009144F0" w:rsidRPr="00164016">
        <w:rPr>
          <w:rFonts w:cstheme="minorHAnsi"/>
          <w:lang w:val="es-ES_tradnl"/>
        </w:rPr>
        <w:t xml:space="preserve">. </w:t>
      </w:r>
    </w:p>
    <w:p w14:paraId="156F020E" w14:textId="11DF18A6" w:rsidR="003921E6" w:rsidRDefault="004F70C9" w:rsidP="00C05492">
      <w:pPr>
        <w:spacing w:after="240"/>
        <w:ind w:right="-284"/>
        <w:rPr>
          <w:lang w:val="es-ES_tradnl"/>
        </w:rPr>
      </w:pPr>
      <w:r w:rsidRPr="004F70C9">
        <w:rPr>
          <w:lang w:val="es-ES_tradnl"/>
        </w:rPr>
        <w:t>En 2024, estos fondos se utilizaron para financiar un total de 13 proyectos por valor de 23,4</w:t>
      </w:r>
      <w:r w:rsidR="00C05492">
        <w:rPr>
          <w:lang w:val="es-ES_tradnl"/>
        </w:rPr>
        <w:t> </w:t>
      </w:r>
      <w:r w:rsidRPr="004F70C9">
        <w:rPr>
          <w:lang w:val="es-ES_tradnl"/>
        </w:rPr>
        <w:t>millones</w:t>
      </w:r>
      <w:r w:rsidR="00C05492">
        <w:rPr>
          <w:lang w:val="es-ES_tradnl"/>
        </w:rPr>
        <w:t> </w:t>
      </w:r>
      <w:r w:rsidRPr="004F70C9">
        <w:rPr>
          <w:lang w:val="es-ES_tradnl"/>
        </w:rPr>
        <w:t>CHF (teniendo en cuenta únicamente las contribuciones en efectivo de los asociados) y se utilizaron 3,4 millones</w:t>
      </w:r>
      <w:r w:rsidR="00C05492">
        <w:rPr>
          <w:lang w:val="es-ES_tradnl"/>
        </w:rPr>
        <w:t> </w:t>
      </w:r>
      <w:r w:rsidRPr="004F70C9">
        <w:rPr>
          <w:lang w:val="es-ES_tradnl"/>
        </w:rPr>
        <w:t>CHF del F</w:t>
      </w:r>
      <w:r>
        <w:rPr>
          <w:lang w:val="es-ES_tradnl"/>
        </w:rPr>
        <w:t>DTIC</w:t>
      </w:r>
      <w:r w:rsidRPr="004F70C9">
        <w:rPr>
          <w:lang w:val="es-ES_tradnl"/>
        </w:rPr>
        <w:t xml:space="preserve"> (véase la </w:t>
      </w:r>
      <w:r>
        <w:rPr>
          <w:lang w:val="es-ES_tradnl"/>
        </w:rPr>
        <w:t>F</w:t>
      </w:r>
      <w:r w:rsidRPr="004F70C9">
        <w:rPr>
          <w:lang w:val="es-ES_tradnl"/>
        </w:rPr>
        <w:t>igura 4). Para obtener más información sobre cada proyecto, consulte el portal de proyectos de la UIT</w:t>
      </w:r>
      <w:r w:rsidR="009144F0" w:rsidRPr="00164016">
        <w:rPr>
          <w:rStyle w:val="FootnoteReference"/>
          <w:rFonts w:cstheme="minorHAnsi"/>
          <w:szCs w:val="18"/>
          <w:lang w:val="es-ES_tradnl"/>
        </w:rPr>
        <w:footnoteReference w:id="4"/>
      </w:r>
      <w:r w:rsidR="009144F0" w:rsidRPr="00164016">
        <w:rPr>
          <w:lang w:val="es-ES_tradnl"/>
        </w:rPr>
        <w:t xml:space="preserve">. </w:t>
      </w:r>
    </w:p>
    <w:p w14:paraId="36C14F14" w14:textId="310383A4" w:rsidR="003921E6" w:rsidRDefault="003921E6">
      <w:pPr>
        <w:tabs>
          <w:tab w:val="clear" w:pos="794"/>
          <w:tab w:val="clear" w:pos="1191"/>
          <w:tab w:val="clear" w:pos="1588"/>
          <w:tab w:val="clear" w:pos="1985"/>
        </w:tabs>
        <w:overflowPunct/>
        <w:autoSpaceDE/>
        <w:autoSpaceDN/>
        <w:adjustRightInd/>
        <w:spacing w:before="0"/>
        <w:textAlignment w:val="auto"/>
        <w:rPr>
          <w:lang w:val="es-ES_tradnl"/>
        </w:rPr>
      </w:pPr>
    </w:p>
    <w:p w14:paraId="72390E1B" w14:textId="6EDDE817" w:rsidR="003921E6" w:rsidRDefault="003921E6">
      <w:pPr>
        <w:tabs>
          <w:tab w:val="clear" w:pos="794"/>
          <w:tab w:val="clear" w:pos="1191"/>
          <w:tab w:val="clear" w:pos="1588"/>
          <w:tab w:val="clear" w:pos="1985"/>
        </w:tabs>
        <w:overflowPunct/>
        <w:autoSpaceDE/>
        <w:autoSpaceDN/>
        <w:adjustRightInd/>
        <w:spacing w:before="0"/>
        <w:textAlignment w:val="auto"/>
        <w:rPr>
          <w:lang w:val="es-ES_tradnl"/>
        </w:rPr>
      </w:pPr>
      <w:r>
        <w:rPr>
          <w:lang w:val="es-ES_tradnl"/>
        </w:rPr>
        <w:br w:type="page"/>
      </w:r>
    </w:p>
    <w:p w14:paraId="5EAE8CEE" w14:textId="34D23CBA" w:rsidR="009144F0" w:rsidRDefault="009144F0" w:rsidP="00C05492">
      <w:pPr>
        <w:pStyle w:val="Figuretitle"/>
        <w:keepNext/>
        <w:spacing w:after="120"/>
        <w:rPr>
          <w:lang w:val="es-ES_tradnl"/>
        </w:rPr>
      </w:pPr>
      <w:r w:rsidRPr="00C05492">
        <w:rPr>
          <w:lang w:val="es-ES_tradnl"/>
        </w:rPr>
        <w:lastRenderedPageBreak/>
        <w:t>Figur</w:t>
      </w:r>
      <w:r w:rsidR="004F70C9" w:rsidRPr="00C05492">
        <w:rPr>
          <w:lang w:val="es-ES_tradnl"/>
        </w:rPr>
        <w:t>a</w:t>
      </w:r>
      <w:r w:rsidRPr="00C05492">
        <w:rPr>
          <w:lang w:val="es-ES_tradnl"/>
        </w:rPr>
        <w:t xml:space="preserve"> 4 – </w:t>
      </w:r>
      <w:r w:rsidR="00B95A00" w:rsidRPr="00C05492">
        <w:rPr>
          <w:lang w:val="es-ES_tradnl"/>
        </w:rPr>
        <w:t xml:space="preserve">Nuevos proyectos con financiación del FDTIC firmados en </w:t>
      </w:r>
      <w:r w:rsidRPr="00C05492">
        <w:rPr>
          <w:lang w:val="es-ES_tradnl"/>
        </w:rPr>
        <w:t>2024</w:t>
      </w:r>
      <w:r w:rsidR="00C05492">
        <w:rPr>
          <w:lang w:val="es-ES_tradnl"/>
        </w:rPr>
        <w:br/>
      </w:r>
      <w:r w:rsidRPr="00C05492">
        <w:rPr>
          <w:lang w:val="es-ES_tradnl"/>
        </w:rPr>
        <w:t>(</w:t>
      </w:r>
      <w:r w:rsidR="00B95A00" w:rsidRPr="00C05492">
        <w:rPr>
          <w:lang w:val="es-ES_tradnl"/>
        </w:rPr>
        <w:t xml:space="preserve">cifras en miles </w:t>
      </w:r>
      <w:r w:rsidRPr="00C05492">
        <w:rPr>
          <w:lang w:val="es-ES_tradnl"/>
        </w:rPr>
        <w:t>CHF)</w:t>
      </w:r>
    </w:p>
    <w:p w14:paraId="6B6885E6" w14:textId="77777777" w:rsidR="00EF25ED" w:rsidRDefault="00EF25ED" w:rsidP="00EF25ED">
      <w:pPr>
        <w:rPr>
          <w:lang w:val="es-ES_tradnl"/>
        </w:rPr>
      </w:pPr>
    </w:p>
    <w:tbl>
      <w:tblPr>
        <w:tblW w:w="9659"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122"/>
        <w:gridCol w:w="2288"/>
        <w:gridCol w:w="741"/>
        <w:gridCol w:w="1387"/>
        <w:gridCol w:w="951"/>
        <w:gridCol w:w="845"/>
        <w:gridCol w:w="1091"/>
        <w:gridCol w:w="1655"/>
      </w:tblGrid>
      <w:tr w:rsidR="00EF25ED" w:rsidRPr="00164016" w14:paraId="55D7E6EC" w14:textId="77777777" w:rsidTr="004D2634">
        <w:trPr>
          <w:cantSplit/>
          <w:trHeight w:val="359"/>
          <w:tblHeader/>
          <w:jc w:val="center"/>
        </w:trPr>
        <w:tc>
          <w:tcPr>
            <w:tcW w:w="701" w:type="dxa"/>
            <w:shd w:val="clear" w:color="auto" w:fill="BFBFBF" w:themeFill="background1" w:themeFillShade="BF"/>
            <w:noWrap/>
            <w:vAlign w:val="center"/>
            <w:hideMark/>
          </w:tcPr>
          <w:p w14:paraId="40A98DD9" w14:textId="77777777" w:rsidR="00EF25ED" w:rsidRPr="00164016" w:rsidRDefault="00EF25ED" w:rsidP="003E45EE">
            <w:pPr>
              <w:pStyle w:val="Tablehead0"/>
            </w:pPr>
            <w:r w:rsidRPr="00164016">
              <w:t>ID</w:t>
            </w:r>
            <w:r>
              <w:t xml:space="preserve"> del proyecto</w:t>
            </w:r>
          </w:p>
        </w:tc>
        <w:tc>
          <w:tcPr>
            <w:tcW w:w="2288" w:type="dxa"/>
            <w:shd w:val="clear" w:color="auto" w:fill="BFBFBF" w:themeFill="background1" w:themeFillShade="BF"/>
            <w:noWrap/>
            <w:vAlign w:val="center"/>
            <w:hideMark/>
          </w:tcPr>
          <w:p w14:paraId="43B39BCB" w14:textId="77777777" w:rsidR="00EF25ED" w:rsidRPr="00164016" w:rsidRDefault="00EF25ED" w:rsidP="003E45EE">
            <w:pPr>
              <w:pStyle w:val="Tablehead0"/>
            </w:pPr>
            <w:r>
              <w:t>Título del proyecto</w:t>
            </w:r>
          </w:p>
        </w:tc>
        <w:tc>
          <w:tcPr>
            <w:tcW w:w="741" w:type="dxa"/>
            <w:shd w:val="clear" w:color="auto" w:fill="BFBFBF" w:themeFill="background1" w:themeFillShade="BF"/>
            <w:noWrap/>
            <w:vAlign w:val="center"/>
            <w:hideMark/>
          </w:tcPr>
          <w:p w14:paraId="5C6C8C0B" w14:textId="77777777" w:rsidR="00EF25ED" w:rsidRPr="00164016" w:rsidRDefault="00EF25ED" w:rsidP="003E45EE">
            <w:pPr>
              <w:pStyle w:val="Tablehead0"/>
            </w:pPr>
            <w:r>
              <w:t>Región</w:t>
            </w:r>
          </w:p>
        </w:tc>
        <w:tc>
          <w:tcPr>
            <w:tcW w:w="1387" w:type="dxa"/>
            <w:shd w:val="clear" w:color="auto" w:fill="BFBFBF" w:themeFill="background1" w:themeFillShade="BF"/>
            <w:noWrap/>
            <w:vAlign w:val="center"/>
            <w:hideMark/>
          </w:tcPr>
          <w:p w14:paraId="4B455EE8" w14:textId="77777777" w:rsidR="00EF25ED" w:rsidRPr="00164016" w:rsidRDefault="00EF25ED" w:rsidP="003E45EE">
            <w:pPr>
              <w:pStyle w:val="Tablehead0"/>
            </w:pPr>
            <w:r>
              <w:t xml:space="preserve">Iniciativa Regional </w:t>
            </w:r>
          </w:p>
        </w:tc>
        <w:tc>
          <w:tcPr>
            <w:tcW w:w="951" w:type="dxa"/>
            <w:shd w:val="clear" w:color="auto" w:fill="BFBFBF" w:themeFill="background1" w:themeFillShade="BF"/>
            <w:noWrap/>
            <w:vAlign w:val="center"/>
            <w:hideMark/>
          </w:tcPr>
          <w:p w14:paraId="3F56CD1D" w14:textId="77777777" w:rsidR="00EF25ED" w:rsidRPr="00164016" w:rsidRDefault="00EF25ED" w:rsidP="003E45EE">
            <w:pPr>
              <w:pStyle w:val="Tablehead0"/>
            </w:pPr>
            <w:r>
              <w:t>Fondos externos</w:t>
            </w:r>
          </w:p>
        </w:tc>
        <w:tc>
          <w:tcPr>
            <w:tcW w:w="845" w:type="dxa"/>
            <w:shd w:val="clear" w:color="auto" w:fill="BFBFBF" w:themeFill="background1" w:themeFillShade="BF"/>
            <w:noWrap/>
            <w:vAlign w:val="center"/>
            <w:hideMark/>
          </w:tcPr>
          <w:p w14:paraId="00079B6B" w14:textId="77777777" w:rsidR="00EF25ED" w:rsidRPr="00164016" w:rsidRDefault="00EF25ED" w:rsidP="003E45EE">
            <w:pPr>
              <w:pStyle w:val="Tablehead0"/>
            </w:pPr>
            <w:r>
              <w:t>Fondos de la UIT</w:t>
            </w:r>
          </w:p>
        </w:tc>
        <w:tc>
          <w:tcPr>
            <w:tcW w:w="1091" w:type="dxa"/>
            <w:shd w:val="clear" w:color="auto" w:fill="BFBFBF" w:themeFill="background1" w:themeFillShade="BF"/>
            <w:noWrap/>
            <w:vAlign w:val="center"/>
            <w:hideMark/>
          </w:tcPr>
          <w:p w14:paraId="3EE20F18" w14:textId="77777777" w:rsidR="00EF25ED" w:rsidRPr="00874A51" w:rsidRDefault="00EF25ED" w:rsidP="003E45EE">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871"/>
              </w:tabs>
              <w:rPr>
                <w:rFonts w:eastAsia="Batang" w:cs="Times New Roman Bold"/>
                <w:sz w:val="18"/>
                <w:szCs w:val="18"/>
              </w:rPr>
            </w:pPr>
            <w:r w:rsidRPr="00874A51">
              <w:rPr>
                <w:rFonts w:eastAsia="Batang" w:cs="Times New Roman Bold"/>
                <w:sz w:val="18"/>
                <w:szCs w:val="18"/>
              </w:rPr>
              <w:t>Total de fondos</w:t>
            </w:r>
          </w:p>
        </w:tc>
        <w:tc>
          <w:tcPr>
            <w:tcW w:w="1655" w:type="dxa"/>
            <w:shd w:val="clear" w:color="auto" w:fill="BFBFBF" w:themeFill="background1" w:themeFillShade="BF"/>
            <w:noWrap/>
            <w:vAlign w:val="center"/>
            <w:hideMark/>
          </w:tcPr>
          <w:p w14:paraId="0169E08B" w14:textId="77777777" w:rsidR="00EF25ED" w:rsidRPr="00164016" w:rsidRDefault="00EF25ED" w:rsidP="003E45EE">
            <w:pPr>
              <w:pStyle w:val="Tablehead0"/>
            </w:pPr>
            <w:r>
              <w:t>Asociado</w:t>
            </w:r>
          </w:p>
        </w:tc>
      </w:tr>
      <w:tr w:rsidR="00EF25ED" w:rsidRPr="00164016" w14:paraId="175EEC0B" w14:textId="77777777" w:rsidTr="004D2634">
        <w:trPr>
          <w:cantSplit/>
          <w:trHeight w:val="359"/>
          <w:jc w:val="center"/>
        </w:trPr>
        <w:tc>
          <w:tcPr>
            <w:tcW w:w="701" w:type="dxa"/>
            <w:noWrap/>
            <w:vAlign w:val="center"/>
          </w:tcPr>
          <w:p w14:paraId="56C2CEF1"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7GLO24139</w:t>
            </w:r>
          </w:p>
        </w:tc>
        <w:tc>
          <w:tcPr>
            <w:tcW w:w="2288" w:type="dxa"/>
            <w:noWrap/>
            <w:vAlign w:val="center"/>
          </w:tcPr>
          <w:p w14:paraId="0A89C560" w14:textId="77777777" w:rsidR="00EF25ED" w:rsidRPr="00EF25ED" w:rsidRDefault="00EF25ED" w:rsidP="004D2634">
            <w:pPr>
              <w:pStyle w:val="Tabletext"/>
              <w:tabs>
                <w:tab w:val="clear" w:pos="567"/>
                <w:tab w:val="clear" w:pos="1701"/>
                <w:tab w:val="clear" w:pos="2835"/>
                <w:tab w:val="left" w:pos="1871"/>
              </w:tabs>
              <w:jc w:val="center"/>
              <w:rPr>
                <w:rFonts w:eastAsia="Batang"/>
                <w:sz w:val="18"/>
                <w:szCs w:val="18"/>
                <w:lang w:val="es-ES"/>
              </w:rPr>
            </w:pPr>
            <w:r w:rsidRPr="00EF25ED">
              <w:rPr>
                <w:rFonts w:eastAsia="Batang"/>
                <w:sz w:val="18"/>
                <w:szCs w:val="18"/>
                <w:lang w:val="es-ES"/>
              </w:rPr>
              <w:t>Fortalecimiento de la capacidad de ejecución de los proyectos multirregionales financiados por la CE</w:t>
            </w:r>
          </w:p>
        </w:tc>
        <w:tc>
          <w:tcPr>
            <w:tcW w:w="741" w:type="dxa"/>
            <w:noWrap/>
            <w:vAlign w:val="center"/>
          </w:tcPr>
          <w:p w14:paraId="6265B4D6"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MUL</w:t>
            </w:r>
          </w:p>
        </w:tc>
        <w:tc>
          <w:tcPr>
            <w:tcW w:w="1387" w:type="dxa"/>
            <w:noWrap/>
            <w:vAlign w:val="center"/>
          </w:tcPr>
          <w:p w14:paraId="72D76216"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Múltiple</w:t>
            </w:r>
          </w:p>
        </w:tc>
        <w:tc>
          <w:tcPr>
            <w:tcW w:w="951" w:type="dxa"/>
            <w:noWrap/>
            <w:vAlign w:val="center"/>
          </w:tcPr>
          <w:p w14:paraId="4BDAD8DB"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w:t>
            </w:r>
          </w:p>
        </w:tc>
        <w:tc>
          <w:tcPr>
            <w:tcW w:w="845" w:type="dxa"/>
            <w:noWrap/>
            <w:vAlign w:val="center"/>
          </w:tcPr>
          <w:p w14:paraId="25BE34EF"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840</w:t>
            </w:r>
          </w:p>
        </w:tc>
        <w:tc>
          <w:tcPr>
            <w:tcW w:w="1091" w:type="dxa"/>
            <w:noWrap/>
            <w:vAlign w:val="center"/>
          </w:tcPr>
          <w:p w14:paraId="0D017378"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840</w:t>
            </w:r>
          </w:p>
        </w:tc>
        <w:tc>
          <w:tcPr>
            <w:tcW w:w="1655" w:type="dxa"/>
            <w:noWrap/>
            <w:vAlign w:val="center"/>
          </w:tcPr>
          <w:p w14:paraId="0BB77061"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Comisión Europea</w:t>
            </w:r>
          </w:p>
        </w:tc>
      </w:tr>
      <w:tr w:rsidR="00EF25ED" w:rsidRPr="00164016" w14:paraId="256761C1" w14:textId="77777777" w:rsidTr="004D2634">
        <w:trPr>
          <w:cantSplit/>
          <w:trHeight w:val="359"/>
          <w:jc w:val="center"/>
        </w:trPr>
        <w:tc>
          <w:tcPr>
            <w:tcW w:w="701" w:type="dxa"/>
            <w:noWrap/>
            <w:vAlign w:val="center"/>
          </w:tcPr>
          <w:p w14:paraId="2F921B51"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7GLO24144</w:t>
            </w:r>
          </w:p>
        </w:tc>
        <w:tc>
          <w:tcPr>
            <w:tcW w:w="2288" w:type="dxa"/>
            <w:noWrap/>
            <w:vAlign w:val="center"/>
          </w:tcPr>
          <w:p w14:paraId="132ECA8B" w14:textId="77777777" w:rsidR="00EF25ED" w:rsidRPr="00EF25ED" w:rsidRDefault="00EF25ED" w:rsidP="004D2634">
            <w:pPr>
              <w:pStyle w:val="Tabletext"/>
              <w:tabs>
                <w:tab w:val="clear" w:pos="567"/>
                <w:tab w:val="clear" w:pos="1701"/>
                <w:tab w:val="clear" w:pos="2835"/>
                <w:tab w:val="left" w:pos="1871"/>
              </w:tabs>
              <w:jc w:val="center"/>
              <w:rPr>
                <w:rFonts w:eastAsia="Batang"/>
                <w:sz w:val="18"/>
                <w:szCs w:val="18"/>
                <w:lang w:val="es-ES"/>
              </w:rPr>
            </w:pPr>
            <w:r w:rsidRPr="00EF25ED">
              <w:rPr>
                <w:rFonts w:eastAsia="Batang"/>
                <w:sz w:val="18"/>
                <w:szCs w:val="18"/>
                <w:lang w:val="es-ES"/>
              </w:rPr>
              <w:t>Alertas Tempranas para todos – Fondos de la UIT para la ejecución de la iniciativa</w:t>
            </w:r>
          </w:p>
        </w:tc>
        <w:tc>
          <w:tcPr>
            <w:tcW w:w="741" w:type="dxa"/>
            <w:noWrap/>
            <w:vAlign w:val="center"/>
          </w:tcPr>
          <w:p w14:paraId="051D015A"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MUL</w:t>
            </w:r>
          </w:p>
        </w:tc>
        <w:tc>
          <w:tcPr>
            <w:tcW w:w="1387" w:type="dxa"/>
            <w:noWrap/>
            <w:vAlign w:val="center"/>
          </w:tcPr>
          <w:p w14:paraId="44C99EC7"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Múltiple</w:t>
            </w:r>
          </w:p>
        </w:tc>
        <w:tc>
          <w:tcPr>
            <w:tcW w:w="951" w:type="dxa"/>
            <w:noWrap/>
            <w:vAlign w:val="center"/>
          </w:tcPr>
          <w:p w14:paraId="05DD2445"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1,577</w:t>
            </w:r>
          </w:p>
        </w:tc>
        <w:tc>
          <w:tcPr>
            <w:tcW w:w="845" w:type="dxa"/>
            <w:noWrap/>
            <w:vAlign w:val="center"/>
          </w:tcPr>
          <w:p w14:paraId="0FC514BB"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528</w:t>
            </w:r>
          </w:p>
        </w:tc>
        <w:tc>
          <w:tcPr>
            <w:tcW w:w="1091" w:type="dxa"/>
            <w:noWrap/>
            <w:vAlign w:val="center"/>
          </w:tcPr>
          <w:p w14:paraId="16B8FD1D"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2,105</w:t>
            </w:r>
          </w:p>
        </w:tc>
        <w:tc>
          <w:tcPr>
            <w:tcW w:w="1655" w:type="dxa"/>
            <w:noWrap/>
            <w:vAlign w:val="center"/>
          </w:tcPr>
          <w:p w14:paraId="51D2F755"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UNDRR, OMM</w:t>
            </w:r>
          </w:p>
        </w:tc>
      </w:tr>
      <w:tr w:rsidR="00EF25ED" w:rsidRPr="00164016" w14:paraId="08BB6943" w14:textId="77777777" w:rsidTr="004D2634">
        <w:trPr>
          <w:cantSplit/>
          <w:trHeight w:val="359"/>
          <w:jc w:val="center"/>
        </w:trPr>
        <w:tc>
          <w:tcPr>
            <w:tcW w:w="701" w:type="dxa"/>
            <w:noWrap/>
            <w:vAlign w:val="center"/>
          </w:tcPr>
          <w:p w14:paraId="0A1DF5D8"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7RAS24074</w:t>
            </w:r>
          </w:p>
        </w:tc>
        <w:tc>
          <w:tcPr>
            <w:tcW w:w="2288" w:type="dxa"/>
            <w:noWrap/>
            <w:vAlign w:val="center"/>
          </w:tcPr>
          <w:p w14:paraId="3A6D12F2" w14:textId="77777777" w:rsidR="00EF25ED" w:rsidRPr="00EF25ED" w:rsidRDefault="00EF25ED" w:rsidP="004D2634">
            <w:pPr>
              <w:pStyle w:val="Tabletext"/>
              <w:tabs>
                <w:tab w:val="clear" w:pos="567"/>
                <w:tab w:val="clear" w:pos="1701"/>
                <w:tab w:val="clear" w:pos="2835"/>
                <w:tab w:val="left" w:pos="1871"/>
              </w:tabs>
              <w:jc w:val="center"/>
              <w:rPr>
                <w:rFonts w:eastAsia="Batang"/>
                <w:sz w:val="18"/>
                <w:szCs w:val="18"/>
                <w:lang w:val="es-ES"/>
              </w:rPr>
            </w:pPr>
            <w:r w:rsidRPr="00EF25ED">
              <w:rPr>
                <w:rFonts w:eastAsia="Batang"/>
                <w:sz w:val="18"/>
                <w:szCs w:val="18"/>
                <w:lang w:val="es-ES"/>
              </w:rPr>
              <w:t>Potenciar infraestructuras de TIC resilientes en Asia y el Pacífico (segunda fase)</w:t>
            </w:r>
          </w:p>
        </w:tc>
        <w:tc>
          <w:tcPr>
            <w:tcW w:w="741" w:type="dxa"/>
            <w:noWrap/>
            <w:vAlign w:val="center"/>
          </w:tcPr>
          <w:p w14:paraId="057C9F97"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ASP</w:t>
            </w:r>
          </w:p>
        </w:tc>
        <w:tc>
          <w:tcPr>
            <w:tcW w:w="1387" w:type="dxa"/>
            <w:noWrap/>
            <w:vAlign w:val="center"/>
          </w:tcPr>
          <w:p w14:paraId="190316E2" w14:textId="77777777" w:rsidR="00EF25ED" w:rsidRPr="00EF25ED" w:rsidRDefault="00EF25ED" w:rsidP="004D2634">
            <w:pPr>
              <w:pStyle w:val="Tabletext"/>
              <w:tabs>
                <w:tab w:val="clear" w:pos="567"/>
                <w:tab w:val="clear" w:pos="1701"/>
                <w:tab w:val="clear" w:pos="2835"/>
                <w:tab w:val="left" w:pos="1871"/>
              </w:tabs>
              <w:jc w:val="center"/>
              <w:rPr>
                <w:rFonts w:eastAsia="Batang"/>
                <w:sz w:val="18"/>
                <w:szCs w:val="18"/>
                <w:lang w:val="es-ES"/>
              </w:rPr>
            </w:pPr>
            <w:r w:rsidRPr="00EF25ED">
              <w:rPr>
                <w:rFonts w:eastAsia="Batang"/>
                <w:sz w:val="18"/>
                <w:szCs w:val="18"/>
                <w:lang w:val="es-ES"/>
              </w:rPr>
              <w:t>ASP5 – TIC seguras y resilientes</w:t>
            </w:r>
          </w:p>
        </w:tc>
        <w:tc>
          <w:tcPr>
            <w:tcW w:w="951" w:type="dxa"/>
            <w:noWrap/>
            <w:vAlign w:val="center"/>
          </w:tcPr>
          <w:p w14:paraId="2691AA54"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132</w:t>
            </w:r>
          </w:p>
        </w:tc>
        <w:tc>
          <w:tcPr>
            <w:tcW w:w="845" w:type="dxa"/>
            <w:noWrap/>
            <w:vAlign w:val="center"/>
          </w:tcPr>
          <w:p w14:paraId="3D402445"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33</w:t>
            </w:r>
          </w:p>
        </w:tc>
        <w:tc>
          <w:tcPr>
            <w:tcW w:w="1091" w:type="dxa"/>
            <w:noWrap/>
            <w:vAlign w:val="center"/>
          </w:tcPr>
          <w:p w14:paraId="60BC370B"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165</w:t>
            </w:r>
          </w:p>
        </w:tc>
        <w:tc>
          <w:tcPr>
            <w:tcW w:w="1655" w:type="dxa"/>
            <w:noWrap/>
            <w:vAlign w:val="center"/>
          </w:tcPr>
          <w:p w14:paraId="2F9881E1"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MIC Japón</w:t>
            </w:r>
          </w:p>
        </w:tc>
      </w:tr>
      <w:tr w:rsidR="00EF25ED" w:rsidRPr="00164016" w14:paraId="6CB17D2F" w14:textId="77777777" w:rsidTr="004D2634">
        <w:trPr>
          <w:cantSplit/>
          <w:trHeight w:val="359"/>
          <w:jc w:val="center"/>
        </w:trPr>
        <w:tc>
          <w:tcPr>
            <w:tcW w:w="701" w:type="dxa"/>
            <w:noWrap/>
            <w:vAlign w:val="center"/>
          </w:tcPr>
          <w:p w14:paraId="18C1DE9F"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7RAS24075</w:t>
            </w:r>
          </w:p>
        </w:tc>
        <w:tc>
          <w:tcPr>
            <w:tcW w:w="2288" w:type="dxa"/>
            <w:noWrap/>
            <w:vAlign w:val="center"/>
          </w:tcPr>
          <w:p w14:paraId="608644D7" w14:textId="403BAFEB" w:rsidR="00EF25ED" w:rsidRPr="00EF25ED" w:rsidRDefault="00EF25ED" w:rsidP="004D2634">
            <w:pPr>
              <w:pStyle w:val="Tabletext"/>
              <w:tabs>
                <w:tab w:val="clear" w:pos="567"/>
                <w:tab w:val="clear" w:pos="1701"/>
                <w:tab w:val="clear" w:pos="2835"/>
                <w:tab w:val="left" w:pos="1871"/>
              </w:tabs>
              <w:jc w:val="center"/>
              <w:rPr>
                <w:rFonts w:eastAsia="Batang"/>
                <w:sz w:val="18"/>
                <w:szCs w:val="18"/>
                <w:lang w:val="es-ES"/>
              </w:rPr>
            </w:pPr>
            <w:r w:rsidRPr="00EF25ED">
              <w:rPr>
                <w:rFonts w:eastAsia="Batang"/>
                <w:sz w:val="18"/>
                <w:szCs w:val="18"/>
                <w:lang w:val="es-ES"/>
              </w:rPr>
              <w:t>Creación de una economía circular para los productos electrónicos y eléctricos en Tailandia y Mongolia</w:t>
            </w:r>
          </w:p>
        </w:tc>
        <w:tc>
          <w:tcPr>
            <w:tcW w:w="741" w:type="dxa"/>
            <w:noWrap/>
            <w:vAlign w:val="center"/>
          </w:tcPr>
          <w:p w14:paraId="1A0BC619"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ASP</w:t>
            </w:r>
          </w:p>
        </w:tc>
        <w:tc>
          <w:tcPr>
            <w:tcW w:w="1387" w:type="dxa"/>
            <w:noWrap/>
            <w:vAlign w:val="center"/>
          </w:tcPr>
          <w:p w14:paraId="50BB6654" w14:textId="77777777" w:rsidR="00EF25ED" w:rsidRPr="00EF25ED" w:rsidRDefault="00EF25ED" w:rsidP="004D2634">
            <w:pPr>
              <w:pStyle w:val="Tabletext"/>
              <w:tabs>
                <w:tab w:val="clear" w:pos="567"/>
                <w:tab w:val="clear" w:pos="1701"/>
                <w:tab w:val="clear" w:pos="2835"/>
                <w:tab w:val="left" w:pos="1871"/>
              </w:tabs>
              <w:jc w:val="center"/>
              <w:rPr>
                <w:rFonts w:eastAsia="Batang"/>
                <w:sz w:val="18"/>
                <w:szCs w:val="18"/>
                <w:lang w:val="es-ES"/>
              </w:rPr>
            </w:pPr>
            <w:r w:rsidRPr="00EF25ED">
              <w:rPr>
                <w:rFonts w:eastAsia="Batang"/>
                <w:sz w:val="18"/>
                <w:szCs w:val="18"/>
                <w:lang w:val="es-ES"/>
              </w:rPr>
              <w:t>ASP2 - Economía digital y sociedades digitales inclusivas</w:t>
            </w:r>
          </w:p>
        </w:tc>
        <w:tc>
          <w:tcPr>
            <w:tcW w:w="951" w:type="dxa"/>
            <w:noWrap/>
            <w:vAlign w:val="center"/>
          </w:tcPr>
          <w:p w14:paraId="405175AA"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225</w:t>
            </w:r>
          </w:p>
        </w:tc>
        <w:tc>
          <w:tcPr>
            <w:tcW w:w="845" w:type="dxa"/>
            <w:noWrap/>
            <w:vAlign w:val="center"/>
          </w:tcPr>
          <w:p w14:paraId="101BC9BC"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53</w:t>
            </w:r>
          </w:p>
        </w:tc>
        <w:tc>
          <w:tcPr>
            <w:tcW w:w="1091" w:type="dxa"/>
            <w:noWrap/>
            <w:vAlign w:val="center"/>
          </w:tcPr>
          <w:p w14:paraId="1516F602"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278</w:t>
            </w:r>
          </w:p>
        </w:tc>
        <w:tc>
          <w:tcPr>
            <w:tcW w:w="1655" w:type="dxa"/>
            <w:noWrap/>
            <w:vAlign w:val="center"/>
          </w:tcPr>
          <w:p w14:paraId="2CE873DC"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DIRTCA, Australia</w:t>
            </w:r>
          </w:p>
        </w:tc>
      </w:tr>
      <w:tr w:rsidR="00EF25ED" w:rsidRPr="00164016" w14:paraId="466BBED0" w14:textId="77777777" w:rsidTr="004D2634">
        <w:trPr>
          <w:cantSplit/>
          <w:trHeight w:val="359"/>
          <w:jc w:val="center"/>
        </w:trPr>
        <w:tc>
          <w:tcPr>
            <w:tcW w:w="701" w:type="dxa"/>
            <w:noWrap/>
            <w:vAlign w:val="center"/>
          </w:tcPr>
          <w:p w14:paraId="701C721A"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9RAF24107</w:t>
            </w:r>
          </w:p>
        </w:tc>
        <w:tc>
          <w:tcPr>
            <w:tcW w:w="2288" w:type="dxa"/>
            <w:noWrap/>
            <w:vAlign w:val="center"/>
          </w:tcPr>
          <w:p w14:paraId="0E523D5E" w14:textId="77777777" w:rsidR="00EF25ED" w:rsidRPr="00EF25ED" w:rsidRDefault="00EF25ED" w:rsidP="004D2634">
            <w:pPr>
              <w:pStyle w:val="Tabletext"/>
              <w:tabs>
                <w:tab w:val="clear" w:pos="567"/>
                <w:tab w:val="clear" w:pos="1701"/>
                <w:tab w:val="clear" w:pos="2835"/>
                <w:tab w:val="left" w:pos="1871"/>
              </w:tabs>
              <w:jc w:val="center"/>
              <w:rPr>
                <w:rFonts w:eastAsia="Batang"/>
                <w:sz w:val="18"/>
                <w:szCs w:val="18"/>
                <w:lang w:val="es-ES"/>
              </w:rPr>
            </w:pPr>
            <w:r w:rsidRPr="00EF25ED">
              <w:rPr>
                <w:rFonts w:eastAsia="Batang"/>
                <w:sz w:val="18"/>
                <w:szCs w:val="18"/>
                <w:lang w:val="es-ES"/>
              </w:rPr>
              <w:t>Apoyo de la UE para los sistemas de mapas nacionales de la banda ancha en África (AfricaBBMaps)</w:t>
            </w:r>
          </w:p>
        </w:tc>
        <w:tc>
          <w:tcPr>
            <w:tcW w:w="741" w:type="dxa"/>
            <w:noWrap/>
            <w:vAlign w:val="center"/>
          </w:tcPr>
          <w:p w14:paraId="0409049C"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AFR</w:t>
            </w:r>
          </w:p>
        </w:tc>
        <w:tc>
          <w:tcPr>
            <w:tcW w:w="1387" w:type="dxa"/>
            <w:noWrap/>
            <w:vAlign w:val="center"/>
          </w:tcPr>
          <w:p w14:paraId="690296C2"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AFR2 - Infraestructura y conectividad</w:t>
            </w:r>
          </w:p>
        </w:tc>
        <w:tc>
          <w:tcPr>
            <w:tcW w:w="951" w:type="dxa"/>
            <w:noWrap/>
            <w:vAlign w:val="center"/>
          </w:tcPr>
          <w:p w14:paraId="235E7243"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16,500</w:t>
            </w:r>
          </w:p>
        </w:tc>
        <w:tc>
          <w:tcPr>
            <w:tcW w:w="845" w:type="dxa"/>
            <w:noWrap/>
            <w:vAlign w:val="center"/>
          </w:tcPr>
          <w:p w14:paraId="79522963"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970</w:t>
            </w:r>
          </w:p>
        </w:tc>
        <w:tc>
          <w:tcPr>
            <w:tcW w:w="1091" w:type="dxa"/>
            <w:noWrap/>
            <w:vAlign w:val="center"/>
          </w:tcPr>
          <w:p w14:paraId="600AABE1"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17,470</w:t>
            </w:r>
          </w:p>
        </w:tc>
        <w:tc>
          <w:tcPr>
            <w:tcW w:w="1655" w:type="dxa"/>
            <w:noWrap/>
            <w:vAlign w:val="center"/>
          </w:tcPr>
          <w:p w14:paraId="1470CCC1"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Comisión Europea</w:t>
            </w:r>
          </w:p>
        </w:tc>
      </w:tr>
      <w:tr w:rsidR="00EF25ED" w:rsidRPr="00164016" w14:paraId="710F3E20" w14:textId="77777777" w:rsidTr="004D2634">
        <w:trPr>
          <w:cantSplit/>
          <w:trHeight w:val="359"/>
          <w:jc w:val="center"/>
        </w:trPr>
        <w:tc>
          <w:tcPr>
            <w:tcW w:w="701" w:type="dxa"/>
            <w:noWrap/>
            <w:vAlign w:val="center"/>
          </w:tcPr>
          <w:p w14:paraId="2E83FBF8"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9RAS24077</w:t>
            </w:r>
          </w:p>
        </w:tc>
        <w:tc>
          <w:tcPr>
            <w:tcW w:w="2288" w:type="dxa"/>
            <w:noWrap/>
            <w:vAlign w:val="center"/>
          </w:tcPr>
          <w:p w14:paraId="18661ABC" w14:textId="77777777" w:rsidR="00EF25ED" w:rsidRPr="00EF25ED" w:rsidRDefault="00EF25ED" w:rsidP="004D2634">
            <w:pPr>
              <w:pStyle w:val="Tabletext"/>
              <w:tabs>
                <w:tab w:val="clear" w:pos="567"/>
                <w:tab w:val="clear" w:pos="1701"/>
                <w:tab w:val="clear" w:pos="2835"/>
                <w:tab w:val="left" w:pos="1871"/>
              </w:tabs>
              <w:jc w:val="center"/>
              <w:rPr>
                <w:rFonts w:eastAsia="Batang"/>
                <w:sz w:val="18"/>
                <w:szCs w:val="18"/>
                <w:lang w:val="es-ES"/>
              </w:rPr>
            </w:pPr>
            <w:r w:rsidRPr="00EF25ED">
              <w:rPr>
                <w:rFonts w:eastAsia="Batang"/>
                <w:sz w:val="18"/>
                <w:szCs w:val="18"/>
                <w:lang w:val="es-ES"/>
              </w:rPr>
              <w:t>Aumento de la participación de Asia y el Pacífico en las Conferencias de la UIT (SAPEIC).</w:t>
            </w:r>
          </w:p>
        </w:tc>
        <w:tc>
          <w:tcPr>
            <w:tcW w:w="741" w:type="dxa"/>
            <w:noWrap/>
            <w:vAlign w:val="center"/>
          </w:tcPr>
          <w:p w14:paraId="201C5645"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ASP</w:t>
            </w:r>
          </w:p>
        </w:tc>
        <w:tc>
          <w:tcPr>
            <w:tcW w:w="1387" w:type="dxa"/>
            <w:noWrap/>
            <w:vAlign w:val="center"/>
          </w:tcPr>
          <w:p w14:paraId="7A2662D7"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Múltiple</w:t>
            </w:r>
          </w:p>
        </w:tc>
        <w:tc>
          <w:tcPr>
            <w:tcW w:w="951" w:type="dxa"/>
            <w:noWrap/>
            <w:vAlign w:val="center"/>
          </w:tcPr>
          <w:p w14:paraId="2DAAC0C7"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305</w:t>
            </w:r>
          </w:p>
        </w:tc>
        <w:tc>
          <w:tcPr>
            <w:tcW w:w="845" w:type="dxa"/>
            <w:noWrap/>
            <w:vAlign w:val="center"/>
          </w:tcPr>
          <w:p w14:paraId="0AB250B6"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58</w:t>
            </w:r>
          </w:p>
        </w:tc>
        <w:tc>
          <w:tcPr>
            <w:tcW w:w="1091" w:type="dxa"/>
            <w:noWrap/>
            <w:vAlign w:val="center"/>
          </w:tcPr>
          <w:p w14:paraId="75CF155B"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363</w:t>
            </w:r>
          </w:p>
        </w:tc>
        <w:tc>
          <w:tcPr>
            <w:tcW w:w="1655" w:type="dxa"/>
            <w:noWrap/>
            <w:vAlign w:val="center"/>
          </w:tcPr>
          <w:p w14:paraId="24732997"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DIRTCA, Australia</w:t>
            </w:r>
          </w:p>
        </w:tc>
      </w:tr>
      <w:tr w:rsidR="00EF25ED" w:rsidRPr="001276A4" w14:paraId="50C1F2B4" w14:textId="77777777" w:rsidTr="004D2634">
        <w:trPr>
          <w:cantSplit/>
          <w:trHeight w:val="359"/>
          <w:jc w:val="center"/>
        </w:trPr>
        <w:tc>
          <w:tcPr>
            <w:tcW w:w="701" w:type="dxa"/>
            <w:noWrap/>
            <w:vAlign w:val="center"/>
          </w:tcPr>
          <w:p w14:paraId="70CF3B45"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7CIS25001</w:t>
            </w:r>
          </w:p>
        </w:tc>
        <w:tc>
          <w:tcPr>
            <w:tcW w:w="2288" w:type="dxa"/>
            <w:noWrap/>
            <w:vAlign w:val="center"/>
          </w:tcPr>
          <w:p w14:paraId="5921CAC3" w14:textId="77777777" w:rsidR="00EF25ED" w:rsidRPr="00EF25ED" w:rsidRDefault="00EF25ED" w:rsidP="004D2634">
            <w:pPr>
              <w:pStyle w:val="Tabletext"/>
              <w:tabs>
                <w:tab w:val="clear" w:pos="567"/>
                <w:tab w:val="clear" w:pos="1701"/>
                <w:tab w:val="clear" w:pos="2835"/>
                <w:tab w:val="left" w:pos="1871"/>
              </w:tabs>
              <w:jc w:val="center"/>
              <w:rPr>
                <w:rFonts w:eastAsia="Batang"/>
                <w:sz w:val="18"/>
                <w:szCs w:val="18"/>
                <w:lang w:val="es-ES"/>
              </w:rPr>
            </w:pPr>
            <w:r w:rsidRPr="00EF25ED">
              <w:rPr>
                <w:rFonts w:eastAsia="Batang"/>
                <w:sz w:val="18"/>
                <w:szCs w:val="18"/>
                <w:lang w:val="es-ES"/>
              </w:rPr>
              <w:t>Cooperación en materia de gobierno digital en los países de Asia Central y el Cáucaso</w:t>
            </w:r>
          </w:p>
        </w:tc>
        <w:tc>
          <w:tcPr>
            <w:tcW w:w="741" w:type="dxa"/>
            <w:noWrap/>
            <w:vAlign w:val="center"/>
          </w:tcPr>
          <w:p w14:paraId="006C8F0F"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CIS</w:t>
            </w:r>
          </w:p>
        </w:tc>
        <w:tc>
          <w:tcPr>
            <w:tcW w:w="1387" w:type="dxa"/>
            <w:noWrap/>
            <w:vAlign w:val="center"/>
          </w:tcPr>
          <w:p w14:paraId="5FB8DB5C"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CEI3 – Entorno reglamentario propicio</w:t>
            </w:r>
          </w:p>
        </w:tc>
        <w:tc>
          <w:tcPr>
            <w:tcW w:w="951" w:type="dxa"/>
            <w:noWrap/>
            <w:vAlign w:val="center"/>
          </w:tcPr>
          <w:p w14:paraId="51C43901"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88</w:t>
            </w:r>
          </w:p>
        </w:tc>
        <w:tc>
          <w:tcPr>
            <w:tcW w:w="845" w:type="dxa"/>
            <w:noWrap/>
            <w:vAlign w:val="center"/>
          </w:tcPr>
          <w:p w14:paraId="6FCBC5D5"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88</w:t>
            </w:r>
          </w:p>
        </w:tc>
        <w:tc>
          <w:tcPr>
            <w:tcW w:w="1091" w:type="dxa"/>
            <w:noWrap/>
            <w:vAlign w:val="center"/>
          </w:tcPr>
          <w:p w14:paraId="777180D9"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176</w:t>
            </w:r>
          </w:p>
        </w:tc>
        <w:tc>
          <w:tcPr>
            <w:tcW w:w="1655" w:type="dxa"/>
            <w:noWrap/>
            <w:vAlign w:val="center"/>
          </w:tcPr>
          <w:p w14:paraId="58690A6E" w14:textId="4CD8A436" w:rsidR="00EF25ED" w:rsidRPr="00EF25ED" w:rsidRDefault="00EF25ED" w:rsidP="004D2634">
            <w:pPr>
              <w:pStyle w:val="Tabletext"/>
              <w:tabs>
                <w:tab w:val="clear" w:pos="567"/>
                <w:tab w:val="clear" w:pos="1701"/>
                <w:tab w:val="clear" w:pos="2835"/>
                <w:tab w:val="left" w:pos="1871"/>
              </w:tabs>
              <w:jc w:val="center"/>
              <w:rPr>
                <w:rFonts w:eastAsia="Batang"/>
                <w:sz w:val="18"/>
                <w:szCs w:val="18"/>
                <w:lang w:val="es-ES"/>
              </w:rPr>
            </w:pPr>
            <w:r w:rsidRPr="00EF25ED">
              <w:rPr>
                <w:rFonts w:eastAsia="Batang"/>
                <w:sz w:val="18"/>
                <w:szCs w:val="18"/>
                <w:lang w:val="es-ES"/>
              </w:rPr>
              <w:t>Ministerio de Desarrollo Digital, Innovación e Industria Aeroespacial (MDDIAI) y National Information Technologies JSC (NITEC) de Kazajstán</w:t>
            </w:r>
          </w:p>
        </w:tc>
      </w:tr>
      <w:tr w:rsidR="00EF25ED" w:rsidRPr="00164016" w14:paraId="700FE304" w14:textId="77777777" w:rsidTr="004D2634">
        <w:trPr>
          <w:cantSplit/>
          <w:trHeight w:val="359"/>
          <w:jc w:val="center"/>
        </w:trPr>
        <w:tc>
          <w:tcPr>
            <w:tcW w:w="701" w:type="dxa"/>
            <w:noWrap/>
            <w:vAlign w:val="center"/>
          </w:tcPr>
          <w:p w14:paraId="3B88CDF0"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7GLO24142</w:t>
            </w:r>
          </w:p>
        </w:tc>
        <w:tc>
          <w:tcPr>
            <w:tcW w:w="2288" w:type="dxa"/>
            <w:noWrap/>
            <w:vAlign w:val="center"/>
          </w:tcPr>
          <w:p w14:paraId="0A515545" w14:textId="77777777" w:rsidR="00EF25ED" w:rsidRPr="00EF25ED" w:rsidRDefault="00EF25ED" w:rsidP="004D2634">
            <w:pPr>
              <w:pStyle w:val="Tabletext"/>
              <w:tabs>
                <w:tab w:val="clear" w:pos="567"/>
                <w:tab w:val="clear" w:pos="1701"/>
                <w:tab w:val="clear" w:pos="2835"/>
                <w:tab w:val="left" w:pos="1871"/>
              </w:tabs>
              <w:jc w:val="center"/>
              <w:rPr>
                <w:rFonts w:eastAsia="Batang"/>
                <w:sz w:val="18"/>
                <w:szCs w:val="18"/>
                <w:lang w:val="es-ES"/>
              </w:rPr>
            </w:pPr>
            <w:r w:rsidRPr="00EF25ED">
              <w:rPr>
                <w:rFonts w:eastAsia="Batang"/>
                <w:sz w:val="18"/>
                <w:szCs w:val="18"/>
                <w:lang w:val="es-ES"/>
              </w:rPr>
              <w:t>Alianza para el fortalecimiento de la ciberseguridad</w:t>
            </w:r>
          </w:p>
        </w:tc>
        <w:tc>
          <w:tcPr>
            <w:tcW w:w="741" w:type="dxa"/>
            <w:noWrap/>
            <w:vAlign w:val="center"/>
          </w:tcPr>
          <w:p w14:paraId="6D40ECD0"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AFR</w:t>
            </w:r>
          </w:p>
        </w:tc>
        <w:tc>
          <w:tcPr>
            <w:tcW w:w="1387" w:type="dxa"/>
            <w:noWrap/>
            <w:vAlign w:val="center"/>
          </w:tcPr>
          <w:p w14:paraId="6EC9E2F8" w14:textId="77777777" w:rsidR="00EF25ED" w:rsidRPr="00EF25ED" w:rsidRDefault="00EF25ED" w:rsidP="004D2634">
            <w:pPr>
              <w:pStyle w:val="Tabletext"/>
              <w:tabs>
                <w:tab w:val="clear" w:pos="567"/>
                <w:tab w:val="clear" w:pos="1701"/>
                <w:tab w:val="clear" w:pos="2835"/>
                <w:tab w:val="left" w:pos="1871"/>
              </w:tabs>
              <w:jc w:val="center"/>
              <w:rPr>
                <w:rFonts w:eastAsia="Batang"/>
                <w:sz w:val="18"/>
                <w:szCs w:val="18"/>
                <w:lang w:val="es-ES"/>
              </w:rPr>
            </w:pPr>
            <w:r w:rsidRPr="00EF25ED">
              <w:rPr>
                <w:rFonts w:eastAsia="Batang"/>
                <w:sz w:val="18"/>
                <w:szCs w:val="18"/>
                <w:lang w:val="es-ES"/>
              </w:rPr>
              <w:t>AFR3 - Confianza, protección y seguridad</w:t>
            </w:r>
          </w:p>
        </w:tc>
        <w:tc>
          <w:tcPr>
            <w:tcW w:w="951" w:type="dxa"/>
            <w:noWrap/>
            <w:vAlign w:val="center"/>
          </w:tcPr>
          <w:p w14:paraId="5215243A"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397</w:t>
            </w:r>
          </w:p>
        </w:tc>
        <w:tc>
          <w:tcPr>
            <w:tcW w:w="845" w:type="dxa"/>
            <w:noWrap/>
            <w:vAlign w:val="center"/>
          </w:tcPr>
          <w:p w14:paraId="101BA0B6"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166</w:t>
            </w:r>
          </w:p>
        </w:tc>
        <w:tc>
          <w:tcPr>
            <w:tcW w:w="1091" w:type="dxa"/>
            <w:noWrap/>
            <w:vAlign w:val="center"/>
          </w:tcPr>
          <w:p w14:paraId="0EF11F37"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563</w:t>
            </w:r>
          </w:p>
        </w:tc>
        <w:tc>
          <w:tcPr>
            <w:tcW w:w="1655" w:type="dxa"/>
            <w:noWrap/>
            <w:vAlign w:val="center"/>
          </w:tcPr>
          <w:p w14:paraId="53474431"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GIZ</w:t>
            </w:r>
          </w:p>
        </w:tc>
      </w:tr>
      <w:tr w:rsidR="00EF25ED" w:rsidRPr="00164016" w14:paraId="6136B5AF" w14:textId="77777777" w:rsidTr="004D2634">
        <w:trPr>
          <w:cantSplit/>
          <w:trHeight w:val="359"/>
          <w:jc w:val="center"/>
        </w:trPr>
        <w:tc>
          <w:tcPr>
            <w:tcW w:w="701" w:type="dxa"/>
            <w:noWrap/>
            <w:vAlign w:val="center"/>
          </w:tcPr>
          <w:p w14:paraId="2C84FAC7"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7GLO24146</w:t>
            </w:r>
          </w:p>
        </w:tc>
        <w:tc>
          <w:tcPr>
            <w:tcW w:w="2288" w:type="dxa"/>
            <w:noWrap/>
            <w:vAlign w:val="center"/>
          </w:tcPr>
          <w:p w14:paraId="0495748C"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Cyber for Good (fase 2)</w:t>
            </w:r>
          </w:p>
        </w:tc>
        <w:tc>
          <w:tcPr>
            <w:tcW w:w="741" w:type="dxa"/>
            <w:noWrap/>
            <w:vAlign w:val="center"/>
          </w:tcPr>
          <w:p w14:paraId="74A4C093"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MULTI</w:t>
            </w:r>
          </w:p>
        </w:tc>
        <w:tc>
          <w:tcPr>
            <w:tcW w:w="1387" w:type="dxa"/>
            <w:noWrap/>
            <w:vAlign w:val="center"/>
          </w:tcPr>
          <w:p w14:paraId="6F7CBD90"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Múltiple</w:t>
            </w:r>
          </w:p>
        </w:tc>
        <w:tc>
          <w:tcPr>
            <w:tcW w:w="951" w:type="dxa"/>
            <w:noWrap/>
            <w:vAlign w:val="center"/>
          </w:tcPr>
          <w:p w14:paraId="1F812863"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132</w:t>
            </w:r>
          </w:p>
        </w:tc>
        <w:tc>
          <w:tcPr>
            <w:tcW w:w="845" w:type="dxa"/>
            <w:noWrap/>
            <w:vAlign w:val="center"/>
          </w:tcPr>
          <w:p w14:paraId="38F7272C"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132</w:t>
            </w:r>
          </w:p>
        </w:tc>
        <w:tc>
          <w:tcPr>
            <w:tcW w:w="1091" w:type="dxa"/>
            <w:noWrap/>
            <w:vAlign w:val="center"/>
          </w:tcPr>
          <w:p w14:paraId="7CA68837"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264</w:t>
            </w:r>
          </w:p>
        </w:tc>
        <w:tc>
          <w:tcPr>
            <w:tcW w:w="1655" w:type="dxa"/>
            <w:noWrap/>
            <w:vAlign w:val="center"/>
          </w:tcPr>
          <w:p w14:paraId="1BC49FE4"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MSIT, Corea</w:t>
            </w:r>
          </w:p>
        </w:tc>
      </w:tr>
      <w:tr w:rsidR="00EF25ED" w:rsidRPr="001276A4" w14:paraId="75F4A912" w14:textId="77777777" w:rsidTr="004D2634">
        <w:trPr>
          <w:cantSplit/>
          <w:trHeight w:val="359"/>
          <w:jc w:val="center"/>
        </w:trPr>
        <w:tc>
          <w:tcPr>
            <w:tcW w:w="701" w:type="dxa"/>
            <w:noWrap/>
            <w:vAlign w:val="center"/>
          </w:tcPr>
          <w:p w14:paraId="0AE4DBD6"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7MNE24002</w:t>
            </w:r>
          </w:p>
        </w:tc>
        <w:tc>
          <w:tcPr>
            <w:tcW w:w="2288" w:type="dxa"/>
            <w:noWrap/>
            <w:vAlign w:val="center"/>
          </w:tcPr>
          <w:p w14:paraId="08D24B61" w14:textId="77777777" w:rsidR="00EF25ED" w:rsidRPr="00EF25ED" w:rsidRDefault="00EF25ED" w:rsidP="004D2634">
            <w:pPr>
              <w:pStyle w:val="Tabletext"/>
              <w:tabs>
                <w:tab w:val="clear" w:pos="567"/>
                <w:tab w:val="clear" w:pos="1701"/>
                <w:tab w:val="clear" w:pos="2835"/>
                <w:tab w:val="left" w:pos="1871"/>
              </w:tabs>
              <w:jc w:val="center"/>
              <w:rPr>
                <w:rFonts w:eastAsia="Batang"/>
                <w:sz w:val="18"/>
                <w:szCs w:val="18"/>
                <w:lang w:val="es-ES"/>
              </w:rPr>
            </w:pPr>
            <w:r w:rsidRPr="00EF25ED">
              <w:rPr>
                <w:rFonts w:eastAsia="Batang"/>
                <w:sz w:val="18"/>
                <w:szCs w:val="18"/>
                <w:lang w:val="es-ES"/>
              </w:rPr>
              <w:t>Transformación digital de los gobiernos locales autónomos de Montenegro</w:t>
            </w:r>
          </w:p>
        </w:tc>
        <w:tc>
          <w:tcPr>
            <w:tcW w:w="741" w:type="dxa"/>
            <w:noWrap/>
            <w:vAlign w:val="center"/>
          </w:tcPr>
          <w:p w14:paraId="06A28948"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EUR</w:t>
            </w:r>
          </w:p>
        </w:tc>
        <w:tc>
          <w:tcPr>
            <w:tcW w:w="1387" w:type="dxa"/>
            <w:noWrap/>
            <w:vAlign w:val="center"/>
          </w:tcPr>
          <w:p w14:paraId="247935BF" w14:textId="2E207D4A"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EUR2 – Transformación digital</w:t>
            </w:r>
          </w:p>
        </w:tc>
        <w:tc>
          <w:tcPr>
            <w:tcW w:w="951" w:type="dxa"/>
            <w:noWrap/>
            <w:vAlign w:val="center"/>
          </w:tcPr>
          <w:p w14:paraId="590FA8C4"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97</w:t>
            </w:r>
          </w:p>
        </w:tc>
        <w:tc>
          <w:tcPr>
            <w:tcW w:w="845" w:type="dxa"/>
            <w:noWrap/>
            <w:vAlign w:val="center"/>
          </w:tcPr>
          <w:p w14:paraId="48CA52E0"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48</w:t>
            </w:r>
          </w:p>
        </w:tc>
        <w:tc>
          <w:tcPr>
            <w:tcW w:w="1091" w:type="dxa"/>
            <w:noWrap/>
            <w:vAlign w:val="center"/>
          </w:tcPr>
          <w:p w14:paraId="14DA35E4"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145</w:t>
            </w:r>
          </w:p>
        </w:tc>
        <w:tc>
          <w:tcPr>
            <w:tcW w:w="1655" w:type="dxa"/>
            <w:noWrap/>
            <w:vAlign w:val="center"/>
          </w:tcPr>
          <w:p w14:paraId="12522F7E" w14:textId="77777777" w:rsidR="00EF25ED" w:rsidRPr="00EF25ED" w:rsidRDefault="00EF25ED" w:rsidP="004D2634">
            <w:pPr>
              <w:pStyle w:val="Tabletext"/>
              <w:tabs>
                <w:tab w:val="clear" w:pos="567"/>
                <w:tab w:val="clear" w:pos="1701"/>
                <w:tab w:val="clear" w:pos="2835"/>
                <w:tab w:val="left" w:pos="1871"/>
              </w:tabs>
              <w:jc w:val="center"/>
              <w:rPr>
                <w:rFonts w:eastAsia="Batang"/>
                <w:sz w:val="18"/>
                <w:szCs w:val="18"/>
                <w:lang w:val="es-ES"/>
              </w:rPr>
            </w:pPr>
            <w:r w:rsidRPr="00EF25ED">
              <w:rPr>
                <w:rFonts w:eastAsia="Batang"/>
                <w:sz w:val="18"/>
                <w:szCs w:val="18"/>
                <w:lang w:val="es-ES"/>
              </w:rPr>
              <w:t>Gobierno de Montenegro y Fondos de Aceleración de los ODS</w:t>
            </w:r>
          </w:p>
        </w:tc>
      </w:tr>
      <w:tr w:rsidR="00EF25ED" w:rsidRPr="00164016" w14:paraId="79025BF7" w14:textId="77777777" w:rsidTr="004D2634">
        <w:trPr>
          <w:cantSplit/>
          <w:trHeight w:val="359"/>
          <w:jc w:val="center"/>
        </w:trPr>
        <w:tc>
          <w:tcPr>
            <w:tcW w:w="701" w:type="dxa"/>
            <w:noWrap/>
            <w:vAlign w:val="center"/>
          </w:tcPr>
          <w:p w14:paraId="46070F80"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lastRenderedPageBreak/>
              <w:t>7RAF24106</w:t>
            </w:r>
          </w:p>
        </w:tc>
        <w:tc>
          <w:tcPr>
            <w:tcW w:w="2288" w:type="dxa"/>
            <w:noWrap/>
            <w:vAlign w:val="center"/>
          </w:tcPr>
          <w:p w14:paraId="17EA7400" w14:textId="77777777" w:rsidR="00EF25ED" w:rsidRPr="00EF25ED" w:rsidRDefault="00EF25ED" w:rsidP="004D2634">
            <w:pPr>
              <w:pStyle w:val="Tabletext"/>
              <w:tabs>
                <w:tab w:val="clear" w:pos="567"/>
                <w:tab w:val="clear" w:pos="1701"/>
                <w:tab w:val="clear" w:pos="2835"/>
                <w:tab w:val="left" w:pos="1871"/>
              </w:tabs>
              <w:jc w:val="center"/>
              <w:rPr>
                <w:rFonts w:eastAsia="Batang"/>
                <w:sz w:val="18"/>
                <w:szCs w:val="18"/>
                <w:lang w:val="es-ES"/>
              </w:rPr>
            </w:pPr>
            <w:r w:rsidRPr="00EF25ED">
              <w:rPr>
                <w:rFonts w:eastAsia="Batang"/>
                <w:sz w:val="18"/>
                <w:szCs w:val="18"/>
                <w:lang w:val="es-ES"/>
              </w:rPr>
              <w:t>Ciberresiliencia para el desarrollo digital en los países menos adelantados</w:t>
            </w:r>
          </w:p>
        </w:tc>
        <w:tc>
          <w:tcPr>
            <w:tcW w:w="741" w:type="dxa"/>
            <w:noWrap/>
            <w:vAlign w:val="center"/>
          </w:tcPr>
          <w:p w14:paraId="1870D6F4"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MULTI</w:t>
            </w:r>
          </w:p>
        </w:tc>
        <w:tc>
          <w:tcPr>
            <w:tcW w:w="1387" w:type="dxa"/>
            <w:noWrap/>
            <w:vAlign w:val="center"/>
          </w:tcPr>
          <w:p w14:paraId="3BF315E6"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Múltiple</w:t>
            </w:r>
          </w:p>
        </w:tc>
        <w:tc>
          <w:tcPr>
            <w:tcW w:w="951" w:type="dxa"/>
            <w:noWrap/>
            <w:vAlign w:val="center"/>
          </w:tcPr>
          <w:p w14:paraId="779BE86D"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97</w:t>
            </w:r>
          </w:p>
        </w:tc>
        <w:tc>
          <w:tcPr>
            <w:tcW w:w="845" w:type="dxa"/>
            <w:noWrap/>
            <w:vAlign w:val="center"/>
          </w:tcPr>
          <w:p w14:paraId="33308F91"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50</w:t>
            </w:r>
          </w:p>
        </w:tc>
        <w:tc>
          <w:tcPr>
            <w:tcW w:w="1091" w:type="dxa"/>
            <w:noWrap/>
            <w:vAlign w:val="center"/>
          </w:tcPr>
          <w:p w14:paraId="69006BCA"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147</w:t>
            </w:r>
          </w:p>
        </w:tc>
        <w:tc>
          <w:tcPr>
            <w:tcW w:w="1655" w:type="dxa"/>
            <w:noWrap/>
            <w:vAlign w:val="center"/>
          </w:tcPr>
          <w:p w14:paraId="5034147A"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República Checa</w:t>
            </w:r>
          </w:p>
        </w:tc>
      </w:tr>
      <w:tr w:rsidR="00EF25ED" w:rsidRPr="00164016" w14:paraId="67BD6F75" w14:textId="77777777" w:rsidTr="004D2634">
        <w:trPr>
          <w:cantSplit/>
          <w:trHeight w:val="359"/>
          <w:jc w:val="center"/>
        </w:trPr>
        <w:tc>
          <w:tcPr>
            <w:tcW w:w="701" w:type="dxa"/>
            <w:noWrap/>
            <w:vAlign w:val="center"/>
          </w:tcPr>
          <w:p w14:paraId="6A8F1627"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7RAS24076</w:t>
            </w:r>
          </w:p>
        </w:tc>
        <w:tc>
          <w:tcPr>
            <w:tcW w:w="2288" w:type="dxa"/>
            <w:noWrap/>
            <w:vAlign w:val="center"/>
          </w:tcPr>
          <w:p w14:paraId="0E51C717" w14:textId="2F735946" w:rsidR="00EF25ED" w:rsidRPr="00EF25ED" w:rsidRDefault="00EF25ED" w:rsidP="004D2634">
            <w:pPr>
              <w:pStyle w:val="Tabletext"/>
              <w:tabs>
                <w:tab w:val="clear" w:pos="567"/>
                <w:tab w:val="clear" w:pos="1701"/>
                <w:tab w:val="clear" w:pos="2835"/>
                <w:tab w:val="left" w:pos="1871"/>
              </w:tabs>
              <w:jc w:val="center"/>
              <w:rPr>
                <w:rFonts w:eastAsia="Batang"/>
                <w:sz w:val="18"/>
                <w:szCs w:val="18"/>
                <w:lang w:val="es-ES"/>
              </w:rPr>
            </w:pPr>
            <w:r w:rsidRPr="00EF25ED">
              <w:rPr>
                <w:rFonts w:eastAsia="Batang"/>
                <w:sz w:val="18"/>
                <w:szCs w:val="18"/>
                <w:lang w:val="es-ES"/>
              </w:rPr>
              <w:t>Estudio de viabilidad: Atender las necesidades especiales en materia de telecomunicaciones y TIC de los pequeños Estados insulares en desarrollo (PEID) del Pacífico</w:t>
            </w:r>
          </w:p>
        </w:tc>
        <w:tc>
          <w:tcPr>
            <w:tcW w:w="741" w:type="dxa"/>
            <w:noWrap/>
            <w:vAlign w:val="center"/>
          </w:tcPr>
          <w:p w14:paraId="724F6690"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ASP</w:t>
            </w:r>
          </w:p>
        </w:tc>
        <w:tc>
          <w:tcPr>
            <w:tcW w:w="1387" w:type="dxa"/>
            <w:noWrap/>
            <w:vAlign w:val="center"/>
          </w:tcPr>
          <w:p w14:paraId="6B1E9EC4" w14:textId="77777777" w:rsidR="00EF25ED" w:rsidRPr="00EF25ED" w:rsidRDefault="00EF25ED" w:rsidP="004D2634">
            <w:pPr>
              <w:pStyle w:val="Tabletext"/>
              <w:tabs>
                <w:tab w:val="clear" w:pos="567"/>
                <w:tab w:val="clear" w:pos="1701"/>
                <w:tab w:val="clear" w:pos="2835"/>
                <w:tab w:val="left" w:pos="1871"/>
              </w:tabs>
              <w:jc w:val="center"/>
              <w:rPr>
                <w:rFonts w:eastAsia="Batang"/>
                <w:sz w:val="18"/>
                <w:szCs w:val="18"/>
                <w:lang w:val="es-ES"/>
              </w:rPr>
            </w:pPr>
            <w:r w:rsidRPr="00EF25ED">
              <w:rPr>
                <w:rFonts w:eastAsia="Batang"/>
                <w:sz w:val="18"/>
                <w:szCs w:val="18"/>
                <w:lang w:val="es-ES"/>
              </w:rPr>
              <w:t>ASP1 - Necesidades especiales PMA, PEID, PDSL</w:t>
            </w:r>
          </w:p>
        </w:tc>
        <w:tc>
          <w:tcPr>
            <w:tcW w:w="951" w:type="dxa"/>
            <w:noWrap/>
            <w:vAlign w:val="center"/>
          </w:tcPr>
          <w:p w14:paraId="10BDBA2B"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502</w:t>
            </w:r>
          </w:p>
        </w:tc>
        <w:tc>
          <w:tcPr>
            <w:tcW w:w="845" w:type="dxa"/>
            <w:noWrap/>
            <w:vAlign w:val="center"/>
          </w:tcPr>
          <w:p w14:paraId="599BCBED"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166</w:t>
            </w:r>
          </w:p>
        </w:tc>
        <w:tc>
          <w:tcPr>
            <w:tcW w:w="1091" w:type="dxa"/>
            <w:noWrap/>
            <w:vAlign w:val="center"/>
          </w:tcPr>
          <w:p w14:paraId="48EB27CD"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668</w:t>
            </w:r>
          </w:p>
        </w:tc>
        <w:tc>
          <w:tcPr>
            <w:tcW w:w="1655" w:type="dxa"/>
            <w:noWrap/>
            <w:vAlign w:val="center"/>
          </w:tcPr>
          <w:p w14:paraId="0062C21C"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DIRTCA, Australia</w:t>
            </w:r>
          </w:p>
        </w:tc>
      </w:tr>
      <w:tr w:rsidR="00EF25ED" w:rsidRPr="00164016" w14:paraId="6EEDD247" w14:textId="77777777" w:rsidTr="004D2634">
        <w:trPr>
          <w:cantSplit/>
          <w:trHeight w:val="359"/>
          <w:jc w:val="center"/>
        </w:trPr>
        <w:tc>
          <w:tcPr>
            <w:tcW w:w="701" w:type="dxa"/>
            <w:noWrap/>
            <w:vAlign w:val="center"/>
          </w:tcPr>
          <w:p w14:paraId="6969B9B0"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9GLO23134</w:t>
            </w:r>
          </w:p>
        </w:tc>
        <w:tc>
          <w:tcPr>
            <w:tcW w:w="2288" w:type="dxa"/>
            <w:noWrap/>
            <w:vAlign w:val="center"/>
          </w:tcPr>
          <w:p w14:paraId="18058987" w14:textId="77777777" w:rsidR="00EF25ED" w:rsidRPr="00EF25ED" w:rsidRDefault="00EF25ED" w:rsidP="004D2634">
            <w:pPr>
              <w:pStyle w:val="Tabletext"/>
              <w:tabs>
                <w:tab w:val="clear" w:pos="567"/>
                <w:tab w:val="clear" w:pos="1701"/>
                <w:tab w:val="clear" w:pos="2835"/>
                <w:tab w:val="left" w:pos="1871"/>
              </w:tabs>
              <w:jc w:val="center"/>
              <w:rPr>
                <w:rFonts w:eastAsia="Batang"/>
                <w:sz w:val="18"/>
                <w:szCs w:val="18"/>
                <w:lang w:val="es-ES"/>
              </w:rPr>
            </w:pPr>
            <w:r w:rsidRPr="00EF25ED">
              <w:rPr>
                <w:rFonts w:eastAsia="Batang"/>
                <w:sz w:val="18"/>
                <w:szCs w:val="18"/>
                <w:lang w:val="es-ES"/>
              </w:rPr>
              <w:t>Asistencia para fomentar la utilización de tecnologías innovadoras en la construcción de una sociedad digital de prosperidad compartida</w:t>
            </w:r>
          </w:p>
        </w:tc>
        <w:tc>
          <w:tcPr>
            <w:tcW w:w="741" w:type="dxa"/>
            <w:noWrap/>
            <w:vAlign w:val="center"/>
          </w:tcPr>
          <w:p w14:paraId="2779CBCC"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MULTI</w:t>
            </w:r>
          </w:p>
        </w:tc>
        <w:tc>
          <w:tcPr>
            <w:tcW w:w="1387" w:type="dxa"/>
            <w:noWrap/>
            <w:vAlign w:val="center"/>
          </w:tcPr>
          <w:p w14:paraId="068C1D17"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Múltiple</w:t>
            </w:r>
          </w:p>
        </w:tc>
        <w:tc>
          <w:tcPr>
            <w:tcW w:w="951" w:type="dxa"/>
            <w:noWrap/>
            <w:vAlign w:val="center"/>
          </w:tcPr>
          <w:p w14:paraId="4844B5E0"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199</w:t>
            </w:r>
          </w:p>
        </w:tc>
        <w:tc>
          <w:tcPr>
            <w:tcW w:w="845" w:type="dxa"/>
            <w:noWrap/>
            <w:vAlign w:val="center"/>
          </w:tcPr>
          <w:p w14:paraId="0F0226E6"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74</w:t>
            </w:r>
          </w:p>
        </w:tc>
        <w:tc>
          <w:tcPr>
            <w:tcW w:w="1091" w:type="dxa"/>
            <w:noWrap/>
            <w:vAlign w:val="center"/>
          </w:tcPr>
          <w:p w14:paraId="609AF4D5"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273</w:t>
            </w:r>
          </w:p>
        </w:tc>
        <w:tc>
          <w:tcPr>
            <w:tcW w:w="1655" w:type="dxa"/>
            <w:noWrap/>
            <w:vAlign w:val="center"/>
          </w:tcPr>
          <w:p w14:paraId="33AF80D2" w14:textId="77777777" w:rsidR="00EF25ED" w:rsidRPr="00874A51" w:rsidRDefault="00EF25ED" w:rsidP="004D2634">
            <w:pPr>
              <w:pStyle w:val="Tabletext"/>
              <w:tabs>
                <w:tab w:val="clear" w:pos="567"/>
                <w:tab w:val="clear" w:pos="1701"/>
                <w:tab w:val="clear" w:pos="2835"/>
                <w:tab w:val="left" w:pos="1871"/>
              </w:tabs>
              <w:jc w:val="center"/>
              <w:rPr>
                <w:rFonts w:eastAsia="Batang"/>
                <w:sz w:val="18"/>
                <w:szCs w:val="18"/>
              </w:rPr>
            </w:pPr>
            <w:r w:rsidRPr="00874A51">
              <w:rPr>
                <w:rFonts w:eastAsia="Batang"/>
                <w:sz w:val="18"/>
                <w:szCs w:val="18"/>
              </w:rPr>
              <w:t>MSIT, Corea</w:t>
            </w:r>
          </w:p>
        </w:tc>
      </w:tr>
      <w:tr w:rsidR="00EF25ED" w:rsidRPr="00164016" w14:paraId="3C2A89A2" w14:textId="77777777" w:rsidTr="004D2634">
        <w:trPr>
          <w:cantSplit/>
          <w:trHeight w:val="359"/>
          <w:jc w:val="center"/>
        </w:trPr>
        <w:tc>
          <w:tcPr>
            <w:tcW w:w="701" w:type="dxa"/>
            <w:shd w:val="clear" w:color="auto" w:fill="BFBFBF" w:themeFill="background1" w:themeFillShade="BF"/>
            <w:noWrap/>
            <w:vAlign w:val="center"/>
          </w:tcPr>
          <w:p w14:paraId="34A8CD67" w14:textId="77777777" w:rsidR="00EF25ED" w:rsidRPr="004D2634" w:rsidRDefault="00EF25ED" w:rsidP="004D2634">
            <w:pPr>
              <w:pStyle w:val="Tabletext"/>
              <w:tabs>
                <w:tab w:val="clear" w:pos="567"/>
                <w:tab w:val="clear" w:pos="1701"/>
                <w:tab w:val="clear" w:pos="2835"/>
                <w:tab w:val="left" w:pos="1871"/>
              </w:tabs>
              <w:jc w:val="center"/>
              <w:rPr>
                <w:rFonts w:eastAsia="Batang"/>
                <w:b/>
                <w:bCs/>
                <w:sz w:val="18"/>
                <w:szCs w:val="18"/>
              </w:rPr>
            </w:pPr>
          </w:p>
        </w:tc>
        <w:tc>
          <w:tcPr>
            <w:tcW w:w="2288" w:type="dxa"/>
            <w:shd w:val="clear" w:color="auto" w:fill="BFBFBF" w:themeFill="background1" w:themeFillShade="BF"/>
            <w:noWrap/>
            <w:vAlign w:val="center"/>
          </w:tcPr>
          <w:p w14:paraId="4ADCB991" w14:textId="77777777" w:rsidR="00EF25ED" w:rsidRPr="004D2634" w:rsidRDefault="00EF25ED" w:rsidP="004D2634">
            <w:pPr>
              <w:pStyle w:val="Tabletext"/>
              <w:tabs>
                <w:tab w:val="clear" w:pos="567"/>
                <w:tab w:val="clear" w:pos="1701"/>
                <w:tab w:val="clear" w:pos="2835"/>
                <w:tab w:val="left" w:pos="1871"/>
              </w:tabs>
              <w:jc w:val="center"/>
              <w:rPr>
                <w:rFonts w:eastAsia="Batang"/>
                <w:b/>
                <w:bCs/>
                <w:sz w:val="18"/>
                <w:szCs w:val="18"/>
              </w:rPr>
            </w:pPr>
            <w:r w:rsidRPr="004D2634">
              <w:rPr>
                <w:rFonts w:eastAsia="Batang"/>
                <w:b/>
                <w:bCs/>
                <w:sz w:val="18"/>
                <w:szCs w:val="18"/>
              </w:rPr>
              <w:t>Total</w:t>
            </w:r>
          </w:p>
        </w:tc>
        <w:tc>
          <w:tcPr>
            <w:tcW w:w="741" w:type="dxa"/>
            <w:shd w:val="clear" w:color="auto" w:fill="BFBFBF" w:themeFill="background1" w:themeFillShade="BF"/>
            <w:noWrap/>
            <w:vAlign w:val="center"/>
          </w:tcPr>
          <w:p w14:paraId="10C7BEA7" w14:textId="77777777" w:rsidR="00EF25ED" w:rsidRPr="004D2634" w:rsidRDefault="00EF25ED" w:rsidP="004D2634">
            <w:pPr>
              <w:pStyle w:val="Tabletext"/>
              <w:tabs>
                <w:tab w:val="clear" w:pos="567"/>
                <w:tab w:val="clear" w:pos="1701"/>
                <w:tab w:val="clear" w:pos="2835"/>
                <w:tab w:val="left" w:pos="1871"/>
              </w:tabs>
              <w:jc w:val="center"/>
              <w:rPr>
                <w:rFonts w:eastAsia="Batang"/>
                <w:b/>
                <w:bCs/>
                <w:sz w:val="18"/>
                <w:szCs w:val="18"/>
              </w:rPr>
            </w:pPr>
          </w:p>
        </w:tc>
        <w:tc>
          <w:tcPr>
            <w:tcW w:w="1387" w:type="dxa"/>
            <w:shd w:val="clear" w:color="auto" w:fill="BFBFBF" w:themeFill="background1" w:themeFillShade="BF"/>
            <w:noWrap/>
            <w:vAlign w:val="center"/>
          </w:tcPr>
          <w:p w14:paraId="59E9D160" w14:textId="77777777" w:rsidR="00EF25ED" w:rsidRPr="004D2634" w:rsidRDefault="00EF25ED" w:rsidP="004D2634">
            <w:pPr>
              <w:pStyle w:val="Tabletext"/>
              <w:tabs>
                <w:tab w:val="clear" w:pos="567"/>
                <w:tab w:val="clear" w:pos="1701"/>
                <w:tab w:val="clear" w:pos="2835"/>
                <w:tab w:val="left" w:pos="1871"/>
              </w:tabs>
              <w:jc w:val="center"/>
              <w:rPr>
                <w:rFonts w:eastAsia="Batang"/>
                <w:b/>
                <w:bCs/>
                <w:sz w:val="18"/>
                <w:szCs w:val="18"/>
              </w:rPr>
            </w:pPr>
          </w:p>
        </w:tc>
        <w:tc>
          <w:tcPr>
            <w:tcW w:w="951" w:type="dxa"/>
            <w:shd w:val="clear" w:color="auto" w:fill="BFBFBF" w:themeFill="background1" w:themeFillShade="BF"/>
            <w:noWrap/>
            <w:vAlign w:val="center"/>
          </w:tcPr>
          <w:p w14:paraId="7A123F5D" w14:textId="77777777" w:rsidR="00EF25ED" w:rsidRPr="004D2634" w:rsidRDefault="00EF25ED" w:rsidP="004D2634">
            <w:pPr>
              <w:pStyle w:val="Tabletext"/>
              <w:tabs>
                <w:tab w:val="clear" w:pos="567"/>
                <w:tab w:val="clear" w:pos="1701"/>
                <w:tab w:val="clear" w:pos="2835"/>
                <w:tab w:val="left" w:pos="1871"/>
              </w:tabs>
              <w:jc w:val="center"/>
              <w:rPr>
                <w:rFonts w:eastAsia="Batang"/>
                <w:b/>
                <w:bCs/>
                <w:sz w:val="18"/>
                <w:szCs w:val="18"/>
              </w:rPr>
            </w:pPr>
            <w:r w:rsidRPr="004D2634">
              <w:rPr>
                <w:rFonts w:eastAsia="Batang"/>
                <w:b/>
                <w:bCs/>
                <w:sz w:val="18"/>
                <w:szCs w:val="18"/>
              </w:rPr>
              <w:t>20,251</w:t>
            </w:r>
          </w:p>
        </w:tc>
        <w:tc>
          <w:tcPr>
            <w:tcW w:w="845" w:type="dxa"/>
            <w:shd w:val="clear" w:color="auto" w:fill="BFBFBF" w:themeFill="background1" w:themeFillShade="BF"/>
            <w:noWrap/>
            <w:vAlign w:val="center"/>
          </w:tcPr>
          <w:p w14:paraId="2915DDC7" w14:textId="77777777" w:rsidR="00EF25ED" w:rsidRPr="004D2634" w:rsidRDefault="00EF25ED" w:rsidP="004D2634">
            <w:pPr>
              <w:pStyle w:val="Tabletext"/>
              <w:tabs>
                <w:tab w:val="clear" w:pos="567"/>
                <w:tab w:val="clear" w:pos="1701"/>
                <w:tab w:val="clear" w:pos="2835"/>
                <w:tab w:val="left" w:pos="1871"/>
              </w:tabs>
              <w:jc w:val="center"/>
              <w:rPr>
                <w:rFonts w:eastAsia="Batang"/>
                <w:b/>
                <w:bCs/>
                <w:sz w:val="18"/>
                <w:szCs w:val="18"/>
              </w:rPr>
            </w:pPr>
            <w:r w:rsidRPr="004D2634">
              <w:rPr>
                <w:rFonts w:eastAsia="Batang"/>
                <w:b/>
                <w:bCs/>
                <w:sz w:val="18"/>
                <w:szCs w:val="18"/>
              </w:rPr>
              <w:t>3,206</w:t>
            </w:r>
          </w:p>
        </w:tc>
        <w:tc>
          <w:tcPr>
            <w:tcW w:w="1091" w:type="dxa"/>
            <w:shd w:val="clear" w:color="auto" w:fill="BFBFBF" w:themeFill="background1" w:themeFillShade="BF"/>
            <w:noWrap/>
            <w:vAlign w:val="center"/>
          </w:tcPr>
          <w:p w14:paraId="46E9F309" w14:textId="77777777" w:rsidR="00EF25ED" w:rsidRPr="004D2634" w:rsidRDefault="00EF25ED" w:rsidP="004D2634">
            <w:pPr>
              <w:pStyle w:val="Tabletext"/>
              <w:tabs>
                <w:tab w:val="clear" w:pos="567"/>
                <w:tab w:val="clear" w:pos="1701"/>
                <w:tab w:val="clear" w:pos="2835"/>
                <w:tab w:val="left" w:pos="1871"/>
              </w:tabs>
              <w:jc w:val="center"/>
              <w:rPr>
                <w:rFonts w:eastAsia="Batang"/>
                <w:b/>
                <w:bCs/>
                <w:sz w:val="18"/>
                <w:szCs w:val="18"/>
              </w:rPr>
            </w:pPr>
            <w:r w:rsidRPr="004D2634">
              <w:rPr>
                <w:rFonts w:eastAsia="Batang"/>
                <w:b/>
                <w:bCs/>
                <w:sz w:val="18"/>
                <w:szCs w:val="18"/>
              </w:rPr>
              <w:t>23,457</w:t>
            </w:r>
          </w:p>
        </w:tc>
        <w:tc>
          <w:tcPr>
            <w:tcW w:w="1655" w:type="dxa"/>
            <w:shd w:val="clear" w:color="auto" w:fill="BFBFBF" w:themeFill="background1" w:themeFillShade="BF"/>
            <w:noWrap/>
            <w:vAlign w:val="center"/>
          </w:tcPr>
          <w:p w14:paraId="181D6EA6" w14:textId="77777777" w:rsidR="00EF25ED" w:rsidRPr="004D2634" w:rsidRDefault="00EF25ED" w:rsidP="004D2634">
            <w:pPr>
              <w:pStyle w:val="Tabletext"/>
              <w:tabs>
                <w:tab w:val="clear" w:pos="567"/>
                <w:tab w:val="clear" w:pos="1701"/>
                <w:tab w:val="clear" w:pos="2835"/>
                <w:tab w:val="left" w:pos="1871"/>
              </w:tabs>
              <w:jc w:val="center"/>
              <w:rPr>
                <w:rFonts w:eastAsia="Batang"/>
                <w:b/>
                <w:bCs/>
                <w:sz w:val="18"/>
                <w:szCs w:val="18"/>
              </w:rPr>
            </w:pPr>
          </w:p>
        </w:tc>
      </w:tr>
    </w:tbl>
    <w:p w14:paraId="15A2BF5A" w14:textId="45E7F44B" w:rsidR="009144F0" w:rsidRPr="00164016" w:rsidRDefault="009144F0" w:rsidP="009144F0">
      <w:pPr>
        <w:spacing w:before="60" w:after="60"/>
        <w:rPr>
          <w:rFonts w:cstheme="minorHAnsi"/>
          <w:sz w:val="16"/>
          <w:szCs w:val="16"/>
          <w:lang w:val="es-ES_tradnl"/>
        </w:rPr>
      </w:pPr>
      <w:r w:rsidRPr="00164016">
        <w:rPr>
          <w:rFonts w:cstheme="minorHAnsi"/>
          <w:sz w:val="16"/>
          <w:szCs w:val="16"/>
          <w:lang w:val="es-ES_tradnl"/>
        </w:rPr>
        <w:t>Not</w:t>
      </w:r>
      <w:r w:rsidR="00DF1D13">
        <w:rPr>
          <w:rFonts w:cstheme="minorHAnsi"/>
          <w:sz w:val="16"/>
          <w:szCs w:val="16"/>
          <w:lang w:val="es-ES_tradnl"/>
        </w:rPr>
        <w:t>a</w:t>
      </w:r>
      <w:r w:rsidRPr="00164016">
        <w:rPr>
          <w:rFonts w:cstheme="minorHAnsi"/>
          <w:sz w:val="16"/>
          <w:szCs w:val="16"/>
          <w:lang w:val="es-ES_tradnl"/>
        </w:rPr>
        <w:t>:</w:t>
      </w:r>
      <w:r w:rsidR="00C71A19">
        <w:rPr>
          <w:rFonts w:cstheme="minorHAnsi"/>
          <w:sz w:val="16"/>
          <w:szCs w:val="16"/>
          <w:lang w:val="es-ES_tradnl"/>
        </w:rPr>
        <w:t xml:space="preserve"> </w:t>
      </w:r>
      <w:r w:rsidR="00DF1D13">
        <w:rPr>
          <w:rFonts w:cstheme="minorHAnsi"/>
          <w:sz w:val="16"/>
          <w:szCs w:val="16"/>
          <w:lang w:val="es-ES_tradnl"/>
        </w:rPr>
        <w:t xml:space="preserve">Todos los </w:t>
      </w:r>
      <w:r w:rsidR="004D2634">
        <w:rPr>
          <w:rFonts w:cstheme="minorHAnsi"/>
          <w:sz w:val="16"/>
          <w:szCs w:val="16"/>
          <w:lang w:val="es-ES_tradnl"/>
        </w:rPr>
        <w:t>fondos expresados</w:t>
      </w:r>
      <w:r w:rsidR="00DF1D13">
        <w:rPr>
          <w:rFonts w:cstheme="minorHAnsi"/>
          <w:sz w:val="16"/>
          <w:szCs w:val="16"/>
          <w:lang w:val="es-ES_tradnl"/>
        </w:rPr>
        <w:t xml:space="preserve"> en</w:t>
      </w:r>
      <w:r w:rsidRPr="00164016">
        <w:rPr>
          <w:rFonts w:cstheme="minorHAnsi"/>
          <w:sz w:val="16"/>
          <w:szCs w:val="16"/>
          <w:lang w:val="es-ES_tradnl"/>
        </w:rPr>
        <w:t xml:space="preserve"> CHF</w:t>
      </w:r>
      <w:r w:rsidRPr="00164016">
        <w:rPr>
          <w:rFonts w:cstheme="minorHAnsi"/>
          <w:sz w:val="16"/>
          <w:szCs w:val="16"/>
          <w:lang w:val="es-ES_tradnl"/>
        </w:rPr>
        <w:tab/>
      </w:r>
    </w:p>
    <w:p w14:paraId="1F939F16" w14:textId="47F88BD0" w:rsidR="009144F0" w:rsidRPr="00164016" w:rsidRDefault="009144F0" w:rsidP="00C71A19">
      <w:pPr>
        <w:tabs>
          <w:tab w:val="clear" w:pos="794"/>
          <w:tab w:val="left" w:pos="284"/>
        </w:tabs>
        <w:spacing w:before="60" w:after="60"/>
        <w:rPr>
          <w:rFonts w:cstheme="minorHAnsi"/>
          <w:sz w:val="16"/>
          <w:szCs w:val="16"/>
          <w:lang w:val="es-ES_tradnl"/>
        </w:rPr>
      </w:pPr>
      <w:bookmarkStart w:id="7" w:name="_Hlk195625115"/>
      <w:r w:rsidRPr="00164016">
        <w:rPr>
          <w:rFonts w:cstheme="minorHAnsi"/>
          <w:sz w:val="16"/>
          <w:szCs w:val="16"/>
          <w:lang w:val="es-ES_tradnl"/>
        </w:rPr>
        <w:t>(*)</w:t>
      </w:r>
      <w:r w:rsidR="00C71A19">
        <w:rPr>
          <w:rFonts w:cstheme="minorHAnsi"/>
          <w:sz w:val="16"/>
          <w:szCs w:val="16"/>
          <w:lang w:val="es-ES_tradnl"/>
        </w:rPr>
        <w:tab/>
      </w:r>
      <w:r w:rsidR="00032744" w:rsidRPr="00032744">
        <w:rPr>
          <w:rFonts w:cstheme="minorHAnsi"/>
          <w:sz w:val="16"/>
          <w:szCs w:val="16"/>
          <w:lang w:val="es-ES_tradnl"/>
        </w:rPr>
        <w:t>Fondos externos por valor de 9</w:t>
      </w:r>
      <w:r w:rsidR="004D2634">
        <w:rPr>
          <w:rFonts w:cstheme="minorHAnsi"/>
          <w:sz w:val="16"/>
          <w:szCs w:val="16"/>
          <w:lang w:val="es-ES_tradnl"/>
        </w:rPr>
        <w:t> </w:t>
      </w:r>
      <w:r w:rsidR="00032744" w:rsidRPr="00032744">
        <w:rPr>
          <w:rFonts w:cstheme="minorHAnsi"/>
          <w:sz w:val="16"/>
          <w:szCs w:val="16"/>
          <w:lang w:val="es-ES_tradnl"/>
        </w:rPr>
        <w:t>820</w:t>
      </w:r>
      <w:r w:rsidR="004D2634">
        <w:rPr>
          <w:rFonts w:cstheme="minorHAnsi"/>
          <w:sz w:val="16"/>
          <w:szCs w:val="16"/>
          <w:lang w:val="es-ES_tradnl"/>
        </w:rPr>
        <w:t> </w:t>
      </w:r>
      <w:r w:rsidR="00032744" w:rsidRPr="00032744">
        <w:rPr>
          <w:rFonts w:cstheme="minorHAnsi"/>
          <w:sz w:val="16"/>
          <w:szCs w:val="16"/>
          <w:lang w:val="es-ES_tradnl"/>
        </w:rPr>
        <w:t>000</w:t>
      </w:r>
      <w:r w:rsidR="004D2634">
        <w:rPr>
          <w:rFonts w:cstheme="minorHAnsi"/>
          <w:sz w:val="16"/>
          <w:szCs w:val="16"/>
          <w:lang w:val="es-ES_tradnl"/>
        </w:rPr>
        <w:t> </w:t>
      </w:r>
      <w:r w:rsidR="00032744" w:rsidRPr="00032744">
        <w:rPr>
          <w:rFonts w:cstheme="minorHAnsi"/>
          <w:sz w:val="16"/>
          <w:szCs w:val="16"/>
          <w:lang w:val="es-ES_tradnl"/>
        </w:rPr>
        <w:t xml:space="preserve">CHF </w:t>
      </w:r>
      <w:r w:rsidR="00D36494">
        <w:rPr>
          <w:rFonts w:cstheme="minorHAnsi"/>
          <w:sz w:val="16"/>
          <w:szCs w:val="16"/>
          <w:lang w:val="es-ES_tradnl"/>
        </w:rPr>
        <w:t>de</w:t>
      </w:r>
      <w:r w:rsidR="00032744" w:rsidRPr="00032744">
        <w:rPr>
          <w:rFonts w:cstheme="minorHAnsi"/>
          <w:sz w:val="16"/>
          <w:szCs w:val="16"/>
          <w:lang w:val="es-ES_tradnl"/>
        </w:rPr>
        <w:t xml:space="preserve"> proyectos financiados por la UE </w:t>
      </w:r>
      <w:r w:rsidR="00D36494">
        <w:rPr>
          <w:rFonts w:cstheme="minorHAnsi"/>
          <w:sz w:val="16"/>
          <w:szCs w:val="16"/>
          <w:lang w:val="es-ES_tradnl"/>
        </w:rPr>
        <w:t xml:space="preserve">y </w:t>
      </w:r>
      <w:r w:rsidR="00032744" w:rsidRPr="00032744">
        <w:rPr>
          <w:rFonts w:cstheme="minorHAnsi"/>
          <w:sz w:val="16"/>
          <w:szCs w:val="16"/>
          <w:lang w:val="es-ES_tradnl"/>
        </w:rPr>
        <w:t>firmados por la UIT en 2023.</w:t>
      </w:r>
    </w:p>
    <w:bookmarkEnd w:id="7"/>
    <w:p w14:paraId="7D4ADC17" w14:textId="3BD8E413" w:rsidR="009144F0" w:rsidRPr="00164016" w:rsidRDefault="00B33BEC" w:rsidP="0006556E">
      <w:pPr>
        <w:widowControl w:val="0"/>
        <w:spacing w:before="360" w:after="120"/>
        <w:rPr>
          <w:rFonts w:cstheme="minorHAnsi"/>
          <w:lang w:val="es-ES_tradnl"/>
        </w:rPr>
      </w:pPr>
      <w:r w:rsidRPr="00B33BEC">
        <w:rPr>
          <w:rFonts w:cstheme="minorHAnsi"/>
          <w:lang w:val="es-ES_tradnl"/>
        </w:rPr>
        <w:t>Cabe señalar que, puesto que la UIT no es una institución de financiación, la firma de nuevos proyectos depende en gran medida de la disponibilidad de asociados financieros dispuestos a respaldar los trabajos de la UIT</w:t>
      </w:r>
      <w:r w:rsidR="009144F0" w:rsidRPr="00164016">
        <w:rPr>
          <w:rFonts w:cstheme="minorHAnsi"/>
          <w:lang w:val="es-ES_tradnl"/>
        </w:rPr>
        <w:t xml:space="preserve">. </w:t>
      </w:r>
    </w:p>
    <w:p w14:paraId="3BEA5B09" w14:textId="243D51EA" w:rsidR="009144F0" w:rsidRPr="00EF25ED" w:rsidRDefault="006C2673" w:rsidP="006C2673">
      <w:pPr>
        <w:pStyle w:val="Heading1"/>
        <w:rPr>
          <w:sz w:val="24"/>
          <w:szCs w:val="24"/>
          <w:lang w:val="es-ES_tradnl"/>
        </w:rPr>
      </w:pPr>
      <w:r w:rsidRPr="00EF25ED">
        <w:rPr>
          <w:sz w:val="24"/>
          <w:szCs w:val="24"/>
          <w:lang w:val="es-ES_tradnl"/>
        </w:rPr>
        <w:t>4</w:t>
      </w:r>
      <w:r w:rsidRPr="00EF25ED">
        <w:rPr>
          <w:sz w:val="24"/>
          <w:szCs w:val="24"/>
          <w:lang w:val="es-ES_tradnl"/>
        </w:rPr>
        <w:tab/>
      </w:r>
      <w:r w:rsidR="00EB7FE6" w:rsidRPr="00EF25ED">
        <w:rPr>
          <w:sz w:val="24"/>
          <w:szCs w:val="24"/>
          <w:lang w:val="es-ES_tradnl"/>
        </w:rPr>
        <w:t>Fortalecimiento de las prácticas de gestión de proyectos en la BDT</w:t>
      </w:r>
    </w:p>
    <w:p w14:paraId="28B34BB3" w14:textId="5E8F1684" w:rsidR="009144F0" w:rsidRPr="00164016" w:rsidRDefault="00EB7FE6" w:rsidP="009144F0">
      <w:pPr>
        <w:pStyle w:val="ListParagraph"/>
        <w:widowControl w:val="0"/>
        <w:spacing w:after="120"/>
        <w:ind w:left="0"/>
        <w:contextualSpacing w:val="0"/>
        <w:rPr>
          <w:rFonts w:cstheme="minorHAnsi"/>
          <w:lang w:val="es-ES_tradnl"/>
        </w:rPr>
      </w:pPr>
      <w:r w:rsidRPr="00EB7FE6">
        <w:rPr>
          <w:rFonts w:cstheme="minorHAnsi"/>
          <w:lang w:val="es-ES_tradnl"/>
        </w:rPr>
        <w:t>La BDT ha seguido reforzando en 202</w:t>
      </w:r>
      <w:r>
        <w:rPr>
          <w:rFonts w:cstheme="minorHAnsi"/>
          <w:lang w:val="es-ES_tradnl"/>
        </w:rPr>
        <w:t>4</w:t>
      </w:r>
      <w:r w:rsidRPr="00EB7FE6">
        <w:rPr>
          <w:rFonts w:cstheme="minorHAnsi"/>
          <w:lang w:val="es-ES_tradnl"/>
        </w:rPr>
        <w:t xml:space="preserve"> las prácticas de gestión de proyectos aplicadas al conjunto de proyectos de la UIT</w:t>
      </w:r>
      <w:r w:rsidR="009144F0" w:rsidRPr="00164016">
        <w:rPr>
          <w:rFonts w:cstheme="minorHAnsi"/>
          <w:lang w:val="es-ES_tradnl"/>
        </w:rPr>
        <w:t xml:space="preserve">. </w:t>
      </w:r>
      <w:r w:rsidR="005A454F" w:rsidRPr="005A454F">
        <w:rPr>
          <w:rFonts w:cstheme="minorHAnsi"/>
          <w:lang w:val="es-ES_tradnl"/>
        </w:rPr>
        <w:t>A continuación, se resumen las actividades realizadas en el año, que se llevaron a cabo en estrecha colaboración con otras funciones de apoyo pertinentes de la UIT</w:t>
      </w:r>
      <w:r w:rsidR="009144F0" w:rsidRPr="00164016">
        <w:rPr>
          <w:rFonts w:cstheme="minorHAnsi"/>
          <w:lang w:val="es-ES_tradnl"/>
        </w:rPr>
        <w:t>:</w:t>
      </w:r>
    </w:p>
    <w:p w14:paraId="016BED4B" w14:textId="168B5ADA" w:rsidR="009144F0" w:rsidRPr="00164016" w:rsidRDefault="00143BC1" w:rsidP="0066572A">
      <w:pPr>
        <w:pStyle w:val="enumlev1"/>
        <w:rPr>
          <w:lang w:val="es-ES_tradnl"/>
        </w:rPr>
      </w:pPr>
      <w:r w:rsidRPr="00143BC1">
        <w:rPr>
          <w:lang w:val="es-ES_tradnl"/>
        </w:rPr>
        <w:t>–</w:t>
      </w:r>
      <w:r w:rsidRPr="00143BC1">
        <w:rPr>
          <w:lang w:val="es-ES_tradnl"/>
        </w:rPr>
        <w:tab/>
      </w:r>
      <w:r w:rsidR="00F84214" w:rsidRPr="00F84214">
        <w:rPr>
          <w:b/>
          <w:bCs/>
          <w:lang w:val="es-ES_tradnl"/>
        </w:rPr>
        <w:t xml:space="preserve">Creación de la nueva Unidad de Ejecución de Proyectos </w:t>
      </w:r>
      <w:r w:rsidR="009144F0" w:rsidRPr="00164016">
        <w:rPr>
          <w:b/>
          <w:bCs/>
          <w:lang w:val="es-ES_tradnl"/>
        </w:rPr>
        <w:t>(</w:t>
      </w:r>
      <w:r w:rsidR="00F84214">
        <w:rPr>
          <w:b/>
          <w:bCs/>
          <w:lang w:val="es-ES_tradnl"/>
        </w:rPr>
        <w:t>UEP</w:t>
      </w:r>
      <w:r w:rsidR="009144F0" w:rsidRPr="00164016">
        <w:rPr>
          <w:b/>
          <w:bCs/>
          <w:lang w:val="es-ES_tradnl"/>
        </w:rPr>
        <w:t>)</w:t>
      </w:r>
      <w:r w:rsidR="009144F0" w:rsidRPr="00164016">
        <w:rPr>
          <w:lang w:val="es-ES_tradnl"/>
        </w:rPr>
        <w:t xml:space="preserve">. </w:t>
      </w:r>
      <w:r w:rsidR="00D426A5" w:rsidRPr="00D426A5">
        <w:rPr>
          <w:lang w:val="es-ES_tradnl"/>
        </w:rPr>
        <w:t xml:space="preserve">En septiembre de 2024, el Director de la BDT </w:t>
      </w:r>
      <w:r w:rsidR="00ED24FB">
        <w:rPr>
          <w:lang w:val="es-ES_tradnl"/>
        </w:rPr>
        <w:t>estableció</w:t>
      </w:r>
      <w:r w:rsidR="00D426A5" w:rsidRPr="00D426A5">
        <w:rPr>
          <w:lang w:val="es-ES_tradnl"/>
        </w:rPr>
        <w:t xml:space="preserve"> una nueva estructura en la Oficina con el fin de reforzar la ejecución del mandato </w:t>
      </w:r>
      <w:r w:rsidR="00ED24FB">
        <w:rPr>
          <w:lang w:val="es-ES_tradnl"/>
        </w:rPr>
        <w:t xml:space="preserve">previsto </w:t>
      </w:r>
      <w:r w:rsidR="00D426A5" w:rsidRPr="00D426A5">
        <w:rPr>
          <w:lang w:val="es-ES_tradnl"/>
        </w:rPr>
        <w:t>en el marco del Plan de Acción de Kigali (KAP) y crear una BDT4Impact. La nueva estructura de la Oficina incluye una nueva unidad destinada a reforzar las fases de planificación y ejecución incluidas en el Manual de gestión de proyectos de la BDT. La Unidad de Ejecución de Proyectos (</w:t>
      </w:r>
      <w:r w:rsidR="00B45A3F">
        <w:rPr>
          <w:lang w:val="es-ES_tradnl"/>
        </w:rPr>
        <w:t>UEP</w:t>
      </w:r>
      <w:r w:rsidR="00D426A5" w:rsidRPr="00D426A5">
        <w:rPr>
          <w:lang w:val="es-ES_tradnl"/>
        </w:rPr>
        <w:t>), que depende del Director Adjunto, ya está trabajando en todas las esferas temáticas y con todos los equipos de proyectos para acelerar la ejecución y garantizar que los proyectos de la BDT logren los resultados previstos en el terreno.</w:t>
      </w:r>
      <w:r w:rsidR="009144F0" w:rsidRPr="00164016">
        <w:rPr>
          <w:lang w:val="es-ES_tradnl"/>
        </w:rPr>
        <w:t xml:space="preserve"> </w:t>
      </w:r>
    </w:p>
    <w:p w14:paraId="247B12DD" w14:textId="375F1302" w:rsidR="009144F0" w:rsidRPr="00164016" w:rsidRDefault="00143BC1" w:rsidP="0066572A">
      <w:pPr>
        <w:pStyle w:val="enumlev1"/>
        <w:rPr>
          <w:lang w:val="es-ES_tradnl"/>
        </w:rPr>
      </w:pPr>
      <w:r w:rsidRPr="00143BC1">
        <w:rPr>
          <w:lang w:val="es-ES_tradnl"/>
        </w:rPr>
        <w:t>–</w:t>
      </w:r>
      <w:r w:rsidRPr="00143BC1">
        <w:rPr>
          <w:lang w:val="es-ES_tradnl"/>
        </w:rPr>
        <w:tab/>
      </w:r>
      <w:r w:rsidR="00391401" w:rsidRPr="00391401">
        <w:rPr>
          <w:b/>
          <w:bCs/>
          <w:lang w:val="es-ES_tradnl"/>
        </w:rPr>
        <w:t>Intensificación de la presentación de informes a los asociados</w:t>
      </w:r>
      <w:r w:rsidR="009144F0" w:rsidRPr="00164016">
        <w:rPr>
          <w:b/>
          <w:bCs/>
          <w:lang w:val="es-ES_tradnl"/>
        </w:rPr>
        <w:t>.</w:t>
      </w:r>
      <w:r w:rsidR="009144F0" w:rsidRPr="00164016">
        <w:rPr>
          <w:lang w:val="es-ES_tradnl"/>
        </w:rPr>
        <w:t xml:space="preserve"> </w:t>
      </w:r>
      <w:r w:rsidR="0077291B" w:rsidRPr="0077291B">
        <w:rPr>
          <w:lang w:val="es-ES_tradnl"/>
        </w:rPr>
        <w:t xml:space="preserve">En 2024, la BDT adoptó una nueva política para reforzar la presentación de informes a los asociados que aportan financiación. En el marco de esta nueva política, todos estos asociados reciben ahora, cada seis </w:t>
      </w:r>
      <w:r w:rsidR="00AF5DB5">
        <w:rPr>
          <w:lang w:val="es-ES_tradnl"/>
        </w:rPr>
        <w:t>a</w:t>
      </w:r>
      <w:r w:rsidR="0077291B" w:rsidRPr="0077291B">
        <w:rPr>
          <w:lang w:val="es-ES_tradnl"/>
        </w:rPr>
        <w:t xml:space="preserve"> doce meses, al menos un informe en el que se presenta el estado de ejecución de los proyectos que financian. Los informes, elaborados por los gestores de proyectos con ayuda de los agentes internos pertinentes de la UIT, también destacan los retos y riesgos que puedan haber surgido durante el período considerado, así como la situación financiera del proyecto. La primera serie de informes se envió en julio de 2024 y la segunda durante el primer trimestre de 2025. La nueva medida tiene por objeto </w:t>
      </w:r>
      <w:r w:rsidR="0077291B" w:rsidRPr="0077291B">
        <w:rPr>
          <w:lang w:val="es-ES_tradnl"/>
        </w:rPr>
        <w:lastRenderedPageBreak/>
        <w:t>reforzar la transparencia y la rendición de cuentas en la ejecución de los proyectos de la BDT</w:t>
      </w:r>
      <w:r w:rsidR="009144F0" w:rsidRPr="00164016">
        <w:rPr>
          <w:lang w:val="es-ES_tradnl"/>
        </w:rPr>
        <w:t>.</w:t>
      </w:r>
    </w:p>
    <w:p w14:paraId="208F801B" w14:textId="12A75312" w:rsidR="009144F0" w:rsidRPr="0066572A" w:rsidRDefault="00143BC1" w:rsidP="0066572A">
      <w:pPr>
        <w:pStyle w:val="enumlev1"/>
        <w:rPr>
          <w:rFonts w:cstheme="minorBidi"/>
          <w:b/>
          <w:bCs/>
          <w:lang w:val="es-ES_tradnl"/>
        </w:rPr>
      </w:pPr>
      <w:r w:rsidRPr="00143BC1">
        <w:rPr>
          <w:lang w:val="es-ES_tradnl"/>
        </w:rPr>
        <w:t>–</w:t>
      </w:r>
      <w:r w:rsidRPr="00143BC1">
        <w:rPr>
          <w:lang w:val="es-ES_tradnl"/>
        </w:rPr>
        <w:tab/>
      </w:r>
      <w:r w:rsidR="00226857" w:rsidRPr="0066572A">
        <w:rPr>
          <w:rFonts w:cstheme="minorBidi"/>
          <w:b/>
          <w:bCs/>
          <w:lang w:val="es-ES_tradnl"/>
        </w:rPr>
        <w:t>Funcionamiento de la Junta de Proyectos de la BDT</w:t>
      </w:r>
      <w:r w:rsidR="009144F0" w:rsidRPr="0066572A">
        <w:rPr>
          <w:rFonts w:cstheme="minorBidi"/>
          <w:lang w:val="es-ES_tradnl"/>
        </w:rPr>
        <w:t xml:space="preserve">: </w:t>
      </w:r>
      <w:r w:rsidR="00C8688F" w:rsidRPr="00C8688F">
        <w:rPr>
          <w:rFonts w:cstheme="minorBidi"/>
          <w:lang w:val="es-ES_tradnl"/>
        </w:rPr>
        <w:t>La Junta de Proyectos del BDT ha seguido reuniéndose mensualmente a lo largo de 2024 para garantizar un mecanismo de gobernanza claro a nivel de la cartera. La Junta evalúa y aprueba nuevas propuestas de proyectos, modificaciones y cierres, y ofrece orientación, en su caso, a los proyectos que atraviesan dificultades de ejecución. Hasta la fecha, la Junta ha celebrado un total de 37</w:t>
      </w:r>
      <w:r w:rsidR="00C8688F">
        <w:rPr>
          <w:rFonts w:cstheme="minorBidi"/>
          <w:lang w:val="es-ES_tradnl"/>
        </w:rPr>
        <w:t> </w:t>
      </w:r>
      <w:r w:rsidR="00C8688F" w:rsidRPr="00C8688F">
        <w:rPr>
          <w:rFonts w:cstheme="minorBidi"/>
          <w:lang w:val="es-ES_tradnl"/>
        </w:rPr>
        <w:t>reuniones desde 2020. Las decisiones adoptadas por la Junta son de obligado cumplimiento por los gestores de proyectos. La División de Apoyo a los Proyectos realiza un seguimiento periódico de las decisiones de la Junta y las comunica a la Junta de Proyectos</w:t>
      </w:r>
      <w:r w:rsidR="009144F0" w:rsidRPr="0066572A">
        <w:rPr>
          <w:rFonts w:cstheme="minorBidi"/>
          <w:lang w:val="es-ES_tradnl"/>
        </w:rPr>
        <w:t>.</w:t>
      </w:r>
    </w:p>
    <w:p w14:paraId="3C32464A" w14:textId="524B7151" w:rsidR="009144F0" w:rsidRPr="00164016" w:rsidRDefault="00143BC1" w:rsidP="0066572A">
      <w:pPr>
        <w:pStyle w:val="enumlev1"/>
        <w:rPr>
          <w:rFonts w:cstheme="minorBidi"/>
          <w:b/>
          <w:bCs/>
          <w:lang w:val="es-ES_tradnl"/>
        </w:rPr>
      </w:pPr>
      <w:r w:rsidRPr="00143BC1">
        <w:rPr>
          <w:lang w:val="es-ES_tradnl"/>
        </w:rPr>
        <w:t>–</w:t>
      </w:r>
      <w:r w:rsidRPr="00143BC1">
        <w:rPr>
          <w:lang w:val="es-ES_tradnl"/>
        </w:rPr>
        <w:tab/>
      </w:r>
      <w:r w:rsidRPr="00143BC1">
        <w:rPr>
          <w:rFonts w:cstheme="minorBidi"/>
          <w:b/>
          <w:bCs/>
          <w:lang w:val="es-ES_tradnl"/>
        </w:rPr>
        <w:t>Serie de cursos de formación para gestores de proyectos.</w:t>
      </w:r>
      <w:r w:rsidR="009144F0" w:rsidRPr="00164016">
        <w:rPr>
          <w:rFonts w:cstheme="minorBidi"/>
          <w:b/>
          <w:bCs/>
          <w:i/>
          <w:iCs/>
          <w:lang w:val="es-ES_tradnl"/>
        </w:rPr>
        <w:t xml:space="preserve"> </w:t>
      </w:r>
      <w:r w:rsidR="003D2C4E" w:rsidRPr="003D2C4E">
        <w:rPr>
          <w:rFonts w:cstheme="minorBidi"/>
          <w:lang w:val="es-ES_tradnl"/>
        </w:rPr>
        <w:t>Durante 2024, el BDT ha continuado organizando sesiones periódicas de formación e intercambio de información para los gestores de proyectos.</w:t>
      </w:r>
      <w:r w:rsidR="009144F0" w:rsidRPr="00164016">
        <w:rPr>
          <w:rFonts w:cstheme="minorBidi"/>
          <w:lang w:val="es-ES_tradnl"/>
        </w:rPr>
        <w:t xml:space="preserve"> </w:t>
      </w:r>
      <w:r w:rsidR="00443896" w:rsidRPr="00443896">
        <w:rPr>
          <w:rFonts w:cstheme="minorBidi"/>
          <w:lang w:val="es-ES_tradnl"/>
        </w:rPr>
        <w:t>El objetivo de estas sesiones era armonizar las prácticas en materia de proyectos en toda la BDT, reforzar la comunidad de gestores de proyectos y seguir desarrollando las competencias de los gestores de proyectos en ámbitos relacionados con la labor de la UIT</w:t>
      </w:r>
      <w:r w:rsidR="009144F0" w:rsidRPr="00164016">
        <w:rPr>
          <w:rFonts w:cstheme="minorBidi"/>
          <w:lang w:val="es-ES_tradnl"/>
        </w:rPr>
        <w:t xml:space="preserve">. </w:t>
      </w:r>
      <w:r w:rsidR="00C05A32" w:rsidRPr="00C05A32">
        <w:rPr>
          <w:rFonts w:cstheme="minorBidi"/>
          <w:lang w:val="es-ES_tradnl"/>
        </w:rPr>
        <w:t xml:space="preserve">Este programa continuará a lo largo de </w:t>
      </w:r>
      <w:r w:rsidR="009144F0" w:rsidRPr="00164016">
        <w:rPr>
          <w:rFonts w:cstheme="minorBidi"/>
          <w:lang w:val="es-ES_tradnl"/>
        </w:rPr>
        <w:t xml:space="preserve">2025. </w:t>
      </w:r>
    </w:p>
    <w:p w14:paraId="6FBF6919" w14:textId="3B69046C" w:rsidR="009144F0" w:rsidRPr="00164016" w:rsidRDefault="00143BC1" w:rsidP="0066572A">
      <w:pPr>
        <w:pStyle w:val="enumlev1"/>
        <w:rPr>
          <w:rFonts w:cstheme="minorBidi"/>
          <w:lang w:val="es-ES_tradnl"/>
        </w:rPr>
      </w:pPr>
      <w:r w:rsidRPr="00143BC1">
        <w:rPr>
          <w:lang w:val="es-ES_tradnl"/>
        </w:rPr>
        <w:t>–</w:t>
      </w:r>
      <w:r w:rsidRPr="00143BC1">
        <w:rPr>
          <w:lang w:val="es-ES_tradnl"/>
        </w:rPr>
        <w:tab/>
      </w:r>
      <w:r w:rsidR="00C05A32" w:rsidRPr="00C05A32">
        <w:rPr>
          <w:rFonts w:cstheme="minorBidi"/>
          <w:b/>
          <w:bCs/>
          <w:lang w:val="es-ES_tradnl"/>
        </w:rPr>
        <w:t>Supervisión de proyectos de la UIT</w:t>
      </w:r>
      <w:r w:rsidR="009144F0" w:rsidRPr="00164016">
        <w:rPr>
          <w:rFonts w:cstheme="minorBidi"/>
          <w:lang w:val="es-ES_tradnl"/>
        </w:rPr>
        <w:t>:</w:t>
      </w:r>
      <w:r w:rsidR="009144F0" w:rsidRPr="00164016">
        <w:rPr>
          <w:rFonts w:cstheme="minorBidi"/>
          <w:b/>
          <w:bCs/>
          <w:lang w:val="es-ES_tradnl"/>
        </w:rPr>
        <w:t xml:space="preserve"> </w:t>
      </w:r>
      <w:r w:rsidR="007F462B">
        <w:rPr>
          <w:rFonts w:cstheme="minorBidi"/>
          <w:b/>
          <w:bCs/>
          <w:lang w:val="es-ES_tradnl"/>
        </w:rPr>
        <w:t>T</w:t>
      </w:r>
      <w:r w:rsidR="007F462B" w:rsidRPr="007F462B">
        <w:rPr>
          <w:rFonts w:cstheme="minorBidi"/>
          <w:lang w:val="es-ES_tradnl"/>
        </w:rPr>
        <w:t>odos los proyectos de la UIT se siguen supervisando diariamente y se informa de ellos al final de cada trimestre</w:t>
      </w:r>
      <w:r w:rsidR="009144F0" w:rsidRPr="00164016">
        <w:rPr>
          <w:rFonts w:cstheme="minorBidi"/>
          <w:lang w:val="es-ES_tradnl"/>
        </w:rPr>
        <w:t xml:space="preserve">. </w:t>
      </w:r>
      <w:r w:rsidR="007F462B" w:rsidRPr="007F462B">
        <w:rPr>
          <w:rFonts w:cstheme="minorBidi"/>
          <w:lang w:val="es-ES_tradnl"/>
        </w:rPr>
        <w:t>El resultado de esta labor se transmite al equipo de dirección de la BDT y a los jefes de proyecto por medio de informes de evaluación trimestrales y mediante el uso de los paneles de gestión interna que permiten tomar decisiones sobre proyectos basándose en los datos</w:t>
      </w:r>
      <w:r w:rsidR="009144F0" w:rsidRPr="00164016">
        <w:rPr>
          <w:rFonts w:cstheme="minorBidi"/>
          <w:lang w:val="es-ES_tradnl"/>
        </w:rPr>
        <w:t xml:space="preserve">. </w:t>
      </w:r>
    </w:p>
    <w:p w14:paraId="1D2FCEEF" w14:textId="4C83386C" w:rsidR="009144F0" w:rsidRPr="004D2634" w:rsidRDefault="006C2673" w:rsidP="006C2673">
      <w:pPr>
        <w:pStyle w:val="Heading1"/>
        <w:rPr>
          <w:sz w:val="24"/>
          <w:szCs w:val="24"/>
          <w:lang w:val="es-ES_tradnl"/>
        </w:rPr>
      </w:pPr>
      <w:r w:rsidRPr="004D2634">
        <w:rPr>
          <w:sz w:val="24"/>
          <w:szCs w:val="24"/>
          <w:lang w:val="es-ES_tradnl"/>
        </w:rPr>
        <w:t>5</w:t>
      </w:r>
      <w:r w:rsidRPr="004D2634">
        <w:rPr>
          <w:sz w:val="24"/>
          <w:szCs w:val="24"/>
          <w:lang w:val="es-ES_tradnl"/>
        </w:rPr>
        <w:tab/>
      </w:r>
      <w:r w:rsidR="009144F0" w:rsidRPr="004D2634">
        <w:rPr>
          <w:sz w:val="24"/>
          <w:szCs w:val="24"/>
          <w:lang w:val="es-ES_tradnl"/>
        </w:rPr>
        <w:t>Conclusion</w:t>
      </w:r>
      <w:r w:rsidRPr="004D2634">
        <w:rPr>
          <w:sz w:val="24"/>
          <w:szCs w:val="24"/>
          <w:lang w:val="es-ES_tradnl"/>
        </w:rPr>
        <w:t>e</w:t>
      </w:r>
      <w:r w:rsidR="009144F0" w:rsidRPr="004D2634">
        <w:rPr>
          <w:sz w:val="24"/>
          <w:szCs w:val="24"/>
          <w:lang w:val="es-ES_tradnl"/>
        </w:rPr>
        <w:t>s</w:t>
      </w:r>
    </w:p>
    <w:p w14:paraId="4E225B33" w14:textId="5118124F" w:rsidR="009144F0" w:rsidRDefault="00BB2802" w:rsidP="009144F0">
      <w:pPr>
        <w:spacing w:after="120"/>
        <w:rPr>
          <w:rFonts w:cstheme="minorHAnsi"/>
          <w:lang w:val="es-ES_tradnl"/>
        </w:rPr>
      </w:pPr>
      <w:r w:rsidRPr="00BB2802">
        <w:rPr>
          <w:rFonts w:cstheme="minorHAnsi"/>
          <w:lang w:val="es-ES_tradnl"/>
        </w:rPr>
        <w:t>El año 2024 se ha revelado como un año importante para avanzar los proyectos de la UIT. Con actividades que abarcan más de 100 proyectos en curso y 37 nuevos proyectos firmados durante el año, los proyectos de la UIT siguen desempeñando un papel crucial en la aplicación del Plan de Acción de Kigali y en la prestación de asistencia técnica a los Estados Miembros de la UIT, así como en la oferta de nuevos productos y servicios en el ámbito del desarrollo y la transformación digital.</w:t>
      </w:r>
      <w:r w:rsidR="009144F0" w:rsidRPr="00164016">
        <w:rPr>
          <w:rFonts w:cstheme="minorHAnsi"/>
          <w:lang w:val="es-ES_tradnl"/>
        </w:rPr>
        <w:t xml:space="preserve"> </w:t>
      </w:r>
    </w:p>
    <w:p w14:paraId="17118C18" w14:textId="25B95EE5" w:rsidR="009144F0" w:rsidRPr="00164016" w:rsidRDefault="00814295" w:rsidP="00AA09CA">
      <w:pPr>
        <w:spacing w:after="120"/>
        <w:rPr>
          <w:rFonts w:cstheme="minorBidi"/>
          <w:lang w:val="es-ES_tradnl"/>
        </w:rPr>
      </w:pPr>
      <w:r w:rsidRPr="00814295">
        <w:rPr>
          <w:rFonts w:cstheme="minorHAnsi"/>
          <w:lang w:val="es-ES_tradnl"/>
        </w:rPr>
        <w:t xml:space="preserve">Estos logros son el resultado de </w:t>
      </w:r>
      <w:r>
        <w:rPr>
          <w:rFonts w:cstheme="minorHAnsi"/>
          <w:lang w:val="es-ES_tradnl"/>
        </w:rPr>
        <w:t>una estrecha</w:t>
      </w:r>
      <w:r w:rsidRPr="00814295">
        <w:rPr>
          <w:rFonts w:cstheme="minorHAnsi"/>
          <w:lang w:val="es-ES_tradnl"/>
        </w:rPr>
        <w:t xml:space="preserve"> coordinación </w:t>
      </w:r>
      <w:r>
        <w:rPr>
          <w:rFonts w:cstheme="minorHAnsi"/>
          <w:lang w:val="es-ES_tradnl"/>
        </w:rPr>
        <w:t xml:space="preserve">y cooperación </w:t>
      </w:r>
      <w:r w:rsidRPr="00814295">
        <w:rPr>
          <w:rFonts w:cstheme="minorHAnsi"/>
          <w:lang w:val="es-ES_tradnl"/>
        </w:rPr>
        <w:t xml:space="preserve">entre </w:t>
      </w:r>
      <w:r>
        <w:rPr>
          <w:rFonts w:cstheme="minorHAnsi"/>
          <w:lang w:val="es-ES_tradnl"/>
        </w:rPr>
        <w:t xml:space="preserve">todos los </w:t>
      </w:r>
      <w:r w:rsidRPr="00814295">
        <w:rPr>
          <w:rFonts w:cstheme="minorHAnsi"/>
          <w:lang w:val="es-ES_tradnl"/>
        </w:rPr>
        <w:t>equipos</w:t>
      </w:r>
      <w:r>
        <w:rPr>
          <w:rFonts w:cstheme="minorHAnsi"/>
          <w:lang w:val="es-ES_tradnl"/>
        </w:rPr>
        <w:t>, tanto e</w:t>
      </w:r>
      <w:r w:rsidR="0060310A">
        <w:rPr>
          <w:rFonts w:cstheme="minorHAnsi"/>
          <w:lang w:val="es-ES_tradnl"/>
        </w:rPr>
        <w:t>n el terreno como en la sede de la Oficina de Desarrollo de las Telecomunicaciones, en particular gracias a</w:t>
      </w:r>
      <w:r w:rsidR="006C76D3">
        <w:rPr>
          <w:rFonts w:cstheme="minorHAnsi"/>
          <w:lang w:val="es-ES_tradnl"/>
        </w:rPr>
        <w:t xml:space="preserve">l apoyo </w:t>
      </w:r>
      <w:r w:rsidRPr="00814295">
        <w:rPr>
          <w:rFonts w:cstheme="minorHAnsi"/>
          <w:lang w:val="es-ES_tradnl"/>
        </w:rPr>
        <w:t xml:space="preserve">del Departamento de </w:t>
      </w:r>
      <w:r w:rsidR="009F5B9A">
        <w:rPr>
          <w:rFonts w:cstheme="minorHAnsi"/>
          <w:lang w:val="es-ES_tradnl"/>
        </w:rPr>
        <w:t xml:space="preserve">Proyectos, Alianzas y Competencias Digitales </w:t>
      </w:r>
      <w:r w:rsidR="00AA09CA">
        <w:rPr>
          <w:rFonts w:cstheme="minorHAnsi"/>
          <w:lang w:val="es-ES_tradnl"/>
        </w:rPr>
        <w:t xml:space="preserve">(PAC) </w:t>
      </w:r>
      <w:r w:rsidRPr="00814295">
        <w:rPr>
          <w:rFonts w:cstheme="minorHAnsi"/>
          <w:lang w:val="es-ES_tradnl"/>
        </w:rPr>
        <w:t>de la BDT</w:t>
      </w:r>
      <w:r w:rsidR="009144F0" w:rsidRPr="00164016">
        <w:rPr>
          <w:rFonts w:cstheme="minorBidi"/>
          <w:lang w:val="es-ES_tradnl"/>
        </w:rPr>
        <w:t>.</w:t>
      </w:r>
      <w:r w:rsidR="009144F0" w:rsidRPr="00164016">
        <w:rPr>
          <w:rStyle w:val="FootnoteReference"/>
          <w:rFonts w:cstheme="minorBidi"/>
          <w:lang w:val="es-ES_tradnl"/>
        </w:rPr>
        <w:footnoteReference w:id="5"/>
      </w:r>
      <w:r w:rsidR="009144F0" w:rsidRPr="00164016">
        <w:rPr>
          <w:rFonts w:cstheme="minorBidi"/>
          <w:lang w:val="es-ES_tradnl"/>
        </w:rPr>
        <w:t xml:space="preserve"> </w:t>
      </w:r>
    </w:p>
    <w:p w14:paraId="17384306" w14:textId="13FB4652" w:rsidR="009144F0" w:rsidRPr="00164016" w:rsidRDefault="00307A3A" w:rsidP="009144F0">
      <w:pPr>
        <w:spacing w:after="120"/>
        <w:rPr>
          <w:rFonts w:cstheme="minorHAnsi"/>
          <w:lang w:val="es-ES_tradnl"/>
        </w:rPr>
      </w:pPr>
      <w:r w:rsidRPr="00307A3A">
        <w:rPr>
          <w:rFonts w:cstheme="minorHAnsi"/>
          <w:lang w:val="es-ES_tradnl"/>
        </w:rPr>
        <w:t xml:space="preserve">En el marco de los preparativos del UIT-D para la CMDT-25, se invita al TDAG a seguir proporcionando orientación y asesoramiento sobre cómo continuar fortaleciendo las prácticas de </w:t>
      </w:r>
      <w:r>
        <w:rPr>
          <w:rFonts w:cstheme="minorHAnsi"/>
          <w:lang w:val="es-ES_tradnl"/>
        </w:rPr>
        <w:t>gestión de</w:t>
      </w:r>
      <w:r w:rsidRPr="00307A3A">
        <w:rPr>
          <w:rFonts w:cstheme="minorHAnsi"/>
          <w:lang w:val="es-ES_tradnl"/>
        </w:rPr>
        <w:t xml:space="preserve"> proyectos en el BDT a fin de lograr repercusiones tangibles sobre el terreno</w:t>
      </w:r>
      <w:r w:rsidR="00F9748B">
        <w:rPr>
          <w:rFonts w:cstheme="minorHAnsi"/>
          <w:lang w:val="es-ES_tradnl"/>
        </w:rPr>
        <w:t>,</w:t>
      </w:r>
      <w:r w:rsidRPr="00307A3A">
        <w:rPr>
          <w:rFonts w:cstheme="minorHAnsi"/>
          <w:lang w:val="es-ES_tradnl"/>
        </w:rPr>
        <w:t xml:space="preserve"> </w:t>
      </w:r>
      <w:r w:rsidR="00F9748B" w:rsidRPr="00307A3A">
        <w:rPr>
          <w:rFonts w:cstheme="minorHAnsi"/>
          <w:lang w:val="es-ES_tradnl"/>
        </w:rPr>
        <w:t xml:space="preserve">a través de los proyectos de desarrollo </w:t>
      </w:r>
      <w:r w:rsidRPr="00307A3A">
        <w:rPr>
          <w:rFonts w:cstheme="minorHAnsi"/>
          <w:lang w:val="es-ES_tradnl"/>
        </w:rPr>
        <w:t>en los Miembros del UIT-D.</w:t>
      </w:r>
      <w:r w:rsidR="009144F0" w:rsidRPr="00164016">
        <w:rPr>
          <w:rFonts w:cstheme="minorHAnsi"/>
          <w:lang w:val="es-ES_tradnl"/>
        </w:rPr>
        <w:t xml:space="preserve"> </w:t>
      </w:r>
    </w:p>
    <w:p w14:paraId="0CD7ACA7" w14:textId="77777777" w:rsidR="00066114" w:rsidRPr="00164016" w:rsidRDefault="00066114" w:rsidP="00411C49">
      <w:pPr>
        <w:pStyle w:val="Reasons"/>
        <w:rPr>
          <w:lang w:val="es-ES_tradnl"/>
        </w:rPr>
      </w:pPr>
    </w:p>
    <w:p w14:paraId="49073552" w14:textId="77777777" w:rsidR="00066114" w:rsidRPr="00164016" w:rsidRDefault="00066114">
      <w:pPr>
        <w:jc w:val="center"/>
        <w:rPr>
          <w:lang w:val="es-ES_tradnl"/>
        </w:rPr>
      </w:pPr>
      <w:r w:rsidRPr="00164016">
        <w:rPr>
          <w:lang w:val="es-ES_tradnl"/>
        </w:rPr>
        <w:t>______________</w:t>
      </w:r>
    </w:p>
    <w:sectPr w:rsidR="00066114" w:rsidRPr="00164016" w:rsidSect="00C71A19">
      <w:headerReference w:type="default" r:id="rId14"/>
      <w:footerReference w:type="first" r:id="rId15"/>
      <w:pgSz w:w="11907" w:h="16834" w:code="9"/>
      <w:pgMar w:top="1418" w:right="1134" w:bottom="1418" w:left="1276"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4EA65" w14:textId="77777777" w:rsidR="00F9226E" w:rsidRDefault="00F9226E">
      <w:r>
        <w:separator/>
      </w:r>
    </w:p>
  </w:endnote>
  <w:endnote w:type="continuationSeparator" w:id="0">
    <w:p w14:paraId="7CA00831" w14:textId="77777777" w:rsidR="00F9226E" w:rsidRDefault="00F9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993"/>
      <w:gridCol w:w="2693"/>
      <w:gridCol w:w="5919"/>
    </w:tblGrid>
    <w:tr w:rsidR="004B6F0B" w:rsidRPr="001276A4" w14:paraId="69024FE7" w14:textId="77777777" w:rsidTr="005539C3">
      <w:tc>
        <w:tcPr>
          <w:tcW w:w="993" w:type="dxa"/>
          <w:tcBorders>
            <w:top w:val="single" w:sz="4" w:space="0" w:color="000000" w:themeColor="text1"/>
          </w:tcBorders>
        </w:tcPr>
        <w:p w14:paraId="3C83AD08" w14:textId="77777777" w:rsidR="004B6F0B" w:rsidRPr="00AA7892" w:rsidRDefault="004B6F0B" w:rsidP="004B6F0B">
          <w:pPr>
            <w:pStyle w:val="FirstFooter"/>
            <w:tabs>
              <w:tab w:val="left" w:pos="1559"/>
              <w:tab w:val="left" w:pos="3828"/>
            </w:tabs>
            <w:rPr>
              <w:sz w:val="18"/>
              <w:szCs w:val="18"/>
            </w:rPr>
          </w:pPr>
          <w:r w:rsidRPr="00AA7892">
            <w:rPr>
              <w:sz w:val="18"/>
              <w:szCs w:val="18"/>
            </w:rPr>
            <w:t>Contacto:</w:t>
          </w:r>
        </w:p>
      </w:tc>
      <w:tc>
        <w:tcPr>
          <w:tcW w:w="2693" w:type="dxa"/>
          <w:tcBorders>
            <w:top w:val="single" w:sz="4" w:space="0" w:color="000000" w:themeColor="text1"/>
          </w:tcBorders>
        </w:tcPr>
        <w:p w14:paraId="2291ED3D" w14:textId="77777777" w:rsidR="004B6F0B" w:rsidRPr="00AA7892" w:rsidRDefault="004B6F0B" w:rsidP="004B6F0B">
          <w:pPr>
            <w:pStyle w:val="FirstFooter"/>
            <w:tabs>
              <w:tab w:val="left" w:pos="2302"/>
            </w:tabs>
            <w:ind w:left="2302" w:hanging="2302"/>
            <w:rPr>
              <w:sz w:val="18"/>
              <w:szCs w:val="18"/>
            </w:rPr>
          </w:pPr>
          <w:r w:rsidRPr="00AA7892">
            <w:rPr>
              <w:sz w:val="18"/>
              <w:szCs w:val="18"/>
            </w:rPr>
            <w:t>Nombre/Organización/Entidad:</w:t>
          </w:r>
        </w:p>
      </w:tc>
      <w:tc>
        <w:tcPr>
          <w:tcW w:w="5919" w:type="dxa"/>
          <w:tcBorders>
            <w:top w:val="single" w:sz="4" w:space="0" w:color="000000" w:themeColor="text1"/>
          </w:tcBorders>
        </w:tcPr>
        <w:p w14:paraId="53471520" w14:textId="181FBF11" w:rsidR="004B6F0B" w:rsidRPr="00066114" w:rsidRDefault="006F663B" w:rsidP="004B6F0B">
          <w:pPr>
            <w:pStyle w:val="FirstFooter"/>
            <w:rPr>
              <w:sz w:val="18"/>
              <w:szCs w:val="18"/>
              <w:highlight w:val="yellow"/>
              <w:lang w:val="es-ES"/>
            </w:rPr>
          </w:pPr>
          <w:r w:rsidRPr="006F663B">
            <w:rPr>
              <w:rFonts w:cstheme="minorHAnsi"/>
              <w:sz w:val="18"/>
              <w:szCs w:val="18"/>
              <w:lang w:val="es-ES"/>
            </w:rPr>
            <w:t>Sr.</w:t>
          </w:r>
          <w:r w:rsidR="00C9742F">
            <w:rPr>
              <w:rFonts w:cstheme="minorHAnsi"/>
              <w:sz w:val="18"/>
              <w:szCs w:val="18"/>
              <w:lang w:val="es-ES"/>
            </w:rPr>
            <w:t> </w:t>
          </w:r>
          <w:r w:rsidRPr="006F663B">
            <w:rPr>
              <w:rFonts w:cstheme="minorHAnsi"/>
              <w:sz w:val="18"/>
              <w:szCs w:val="18"/>
              <w:lang w:val="es-ES"/>
            </w:rPr>
            <w:t>Jose María Díaz Batanero, Jefe de la División de Apoyo a Proyectos, Oficina de Desarrollo de las Telecomunicaciones</w:t>
          </w:r>
        </w:p>
      </w:tc>
    </w:tr>
    <w:tr w:rsidR="002C7592" w:rsidRPr="00CB110F" w14:paraId="3B13B758" w14:textId="77777777" w:rsidTr="005539C3">
      <w:tc>
        <w:tcPr>
          <w:tcW w:w="993" w:type="dxa"/>
        </w:tcPr>
        <w:p w14:paraId="18C0449C" w14:textId="77777777" w:rsidR="002C7592" w:rsidRPr="00066114" w:rsidRDefault="002C7592" w:rsidP="002C7592">
          <w:pPr>
            <w:pStyle w:val="FirstFooter"/>
            <w:tabs>
              <w:tab w:val="left" w:pos="1559"/>
              <w:tab w:val="left" w:pos="3828"/>
            </w:tabs>
            <w:rPr>
              <w:sz w:val="18"/>
              <w:szCs w:val="18"/>
              <w:lang w:val="es-ES"/>
            </w:rPr>
          </w:pPr>
        </w:p>
      </w:tc>
      <w:tc>
        <w:tcPr>
          <w:tcW w:w="2693" w:type="dxa"/>
        </w:tcPr>
        <w:p w14:paraId="2314D988" w14:textId="77777777" w:rsidR="002C7592" w:rsidRPr="00AA7892" w:rsidRDefault="002C7592" w:rsidP="002C7592">
          <w:pPr>
            <w:pStyle w:val="FirstFooter"/>
            <w:tabs>
              <w:tab w:val="left" w:pos="2302"/>
            </w:tabs>
            <w:rPr>
              <w:sz w:val="18"/>
              <w:szCs w:val="18"/>
            </w:rPr>
          </w:pPr>
          <w:r w:rsidRPr="00AA7892">
            <w:rPr>
              <w:sz w:val="18"/>
              <w:szCs w:val="18"/>
            </w:rPr>
            <w:t>Teléfono:</w:t>
          </w:r>
        </w:p>
      </w:tc>
      <w:tc>
        <w:tcPr>
          <w:tcW w:w="5919" w:type="dxa"/>
        </w:tcPr>
        <w:p w14:paraId="71EA0D78" w14:textId="5E1785C5" w:rsidR="002C7592" w:rsidRPr="009359B8" w:rsidRDefault="002C7592" w:rsidP="002C7592">
          <w:pPr>
            <w:pStyle w:val="FirstFooter"/>
            <w:tabs>
              <w:tab w:val="left" w:pos="2302"/>
            </w:tabs>
            <w:rPr>
              <w:sz w:val="18"/>
              <w:szCs w:val="18"/>
              <w:highlight w:val="yellow"/>
              <w:lang w:val="en-US"/>
            </w:rPr>
          </w:pPr>
          <w:r w:rsidRPr="00AF1FCA">
            <w:rPr>
              <w:sz w:val="18"/>
              <w:szCs w:val="18"/>
            </w:rPr>
            <w:t>+41 22 730 5495</w:t>
          </w:r>
        </w:p>
      </w:tc>
    </w:tr>
    <w:tr w:rsidR="002C7592" w:rsidRPr="00CB110F" w14:paraId="4D51E7FE" w14:textId="77777777" w:rsidTr="005539C3">
      <w:tc>
        <w:tcPr>
          <w:tcW w:w="993" w:type="dxa"/>
        </w:tcPr>
        <w:p w14:paraId="7E6D8375" w14:textId="77777777" w:rsidR="002C7592" w:rsidRPr="00AA7892" w:rsidRDefault="002C7592" w:rsidP="002C7592">
          <w:pPr>
            <w:pStyle w:val="FirstFooter"/>
            <w:tabs>
              <w:tab w:val="left" w:pos="1559"/>
              <w:tab w:val="left" w:pos="3828"/>
            </w:tabs>
            <w:rPr>
              <w:sz w:val="18"/>
              <w:szCs w:val="18"/>
            </w:rPr>
          </w:pPr>
        </w:p>
      </w:tc>
      <w:tc>
        <w:tcPr>
          <w:tcW w:w="2693" w:type="dxa"/>
        </w:tcPr>
        <w:p w14:paraId="4A590D33" w14:textId="77777777" w:rsidR="002C7592" w:rsidRPr="00AA7892" w:rsidRDefault="002C7592" w:rsidP="002C7592">
          <w:pPr>
            <w:pStyle w:val="FirstFooter"/>
            <w:tabs>
              <w:tab w:val="left" w:pos="2302"/>
            </w:tabs>
            <w:rPr>
              <w:sz w:val="18"/>
              <w:szCs w:val="18"/>
            </w:rPr>
          </w:pPr>
          <w:r w:rsidRPr="00AA7892">
            <w:rPr>
              <w:sz w:val="18"/>
              <w:szCs w:val="18"/>
            </w:rPr>
            <w:t>Correo-e:</w:t>
          </w:r>
        </w:p>
      </w:tc>
      <w:tc>
        <w:tcPr>
          <w:tcW w:w="5919" w:type="dxa"/>
        </w:tcPr>
        <w:p w14:paraId="555C345E" w14:textId="3C0CD0EA" w:rsidR="002C7592" w:rsidRPr="00B80715" w:rsidRDefault="002C7592" w:rsidP="002C7592">
          <w:pPr>
            <w:pStyle w:val="FirstFooter"/>
            <w:tabs>
              <w:tab w:val="left" w:pos="2302"/>
            </w:tabs>
            <w:rPr>
              <w:sz w:val="18"/>
              <w:szCs w:val="18"/>
              <w:lang w:val="en-US"/>
            </w:rPr>
          </w:pPr>
          <w:hyperlink r:id="rId1" w:history="1">
            <w:r w:rsidRPr="00AF1FCA">
              <w:rPr>
                <w:rStyle w:val="Hyperlink"/>
                <w:sz w:val="18"/>
                <w:szCs w:val="22"/>
              </w:rPr>
              <w:t>jose.batanero@itu.int</w:t>
            </w:r>
          </w:hyperlink>
          <w:r w:rsidRPr="00AF1FCA">
            <w:rPr>
              <w:sz w:val="18"/>
              <w:szCs w:val="22"/>
            </w:rPr>
            <w:t xml:space="preserve"> </w:t>
          </w:r>
        </w:p>
      </w:tc>
    </w:tr>
  </w:tbl>
  <w:p w14:paraId="5A3DE00D" w14:textId="77777777" w:rsidR="004B6F0B" w:rsidRDefault="004B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444DA" w14:textId="77777777" w:rsidR="00F9226E" w:rsidRDefault="00F9226E">
      <w:r>
        <w:t>____________________</w:t>
      </w:r>
    </w:p>
  </w:footnote>
  <w:footnote w:type="continuationSeparator" w:id="0">
    <w:p w14:paraId="45EA5709" w14:textId="77777777" w:rsidR="00F9226E" w:rsidRDefault="00F9226E">
      <w:r>
        <w:continuationSeparator/>
      </w:r>
    </w:p>
  </w:footnote>
  <w:footnote w:id="1">
    <w:p w14:paraId="6B6E41C6" w14:textId="53730428" w:rsidR="004C0EB2" w:rsidRPr="009322D1" w:rsidRDefault="004C0EB2" w:rsidP="00205C9D">
      <w:pPr>
        <w:pStyle w:val="FootnoteText"/>
        <w:rPr>
          <w:sz w:val="20"/>
          <w:lang w:val="es-ES_tradnl"/>
        </w:rPr>
      </w:pPr>
      <w:r w:rsidRPr="009322D1">
        <w:rPr>
          <w:rStyle w:val="FootnoteReference"/>
          <w:position w:val="0"/>
          <w:sz w:val="24"/>
          <w:vertAlign w:val="superscript"/>
          <w:lang w:val="es-ES_tradnl"/>
        </w:rPr>
        <w:footnoteRef/>
      </w:r>
      <w:r w:rsidR="00DC0B6A" w:rsidRPr="009322D1">
        <w:rPr>
          <w:sz w:val="20"/>
          <w:lang w:val="es-ES_tradnl"/>
        </w:rPr>
        <w:tab/>
      </w:r>
      <w:r w:rsidR="0056238B" w:rsidRPr="009322D1">
        <w:rPr>
          <w:sz w:val="20"/>
          <w:lang w:val="es-ES_tradnl"/>
        </w:rPr>
        <w:t>Las cifras presentadas en este documento corresponden al balance financiero al cierre de cuentas de 2024 (saldo a</w:t>
      </w:r>
      <w:r w:rsidR="00AF342B" w:rsidRPr="009322D1">
        <w:rPr>
          <w:sz w:val="20"/>
          <w:lang w:val="es-ES_tradnl"/>
        </w:rPr>
        <w:t>l</w:t>
      </w:r>
      <w:r w:rsidR="0056238B" w:rsidRPr="009322D1">
        <w:rPr>
          <w:sz w:val="20"/>
          <w:lang w:val="es-ES_tradnl"/>
        </w:rPr>
        <w:t xml:space="preserve"> 31 de diciembre de 2024).</w:t>
      </w:r>
      <w:r w:rsidR="007F20B0" w:rsidRPr="009322D1">
        <w:rPr>
          <w:sz w:val="20"/>
          <w:lang w:val="es-ES_tradnl"/>
        </w:rPr>
        <w:t xml:space="preserve"> </w:t>
      </w:r>
    </w:p>
  </w:footnote>
  <w:footnote w:id="2">
    <w:p w14:paraId="46026F07" w14:textId="10A9901D" w:rsidR="00F244DC" w:rsidRPr="009322D1" w:rsidRDefault="00F244DC" w:rsidP="00F244DC">
      <w:pPr>
        <w:pStyle w:val="FootnoteText"/>
        <w:rPr>
          <w:sz w:val="20"/>
          <w:lang w:val="es-ES_tradnl"/>
        </w:rPr>
      </w:pPr>
      <w:r w:rsidRPr="00F25BBD">
        <w:rPr>
          <w:rStyle w:val="FootnoteReference"/>
          <w:position w:val="0"/>
          <w:sz w:val="24"/>
          <w:vertAlign w:val="superscript"/>
          <w:lang w:val="es-ES_tradnl"/>
        </w:rPr>
        <w:footnoteRef/>
      </w:r>
      <w:r w:rsidR="00DC0B6A" w:rsidRPr="00F25BBD">
        <w:rPr>
          <w:vertAlign w:val="superscript"/>
          <w:lang w:val="es-ES_tradnl"/>
        </w:rPr>
        <w:tab/>
      </w:r>
      <w:r w:rsidRPr="009322D1">
        <w:rPr>
          <w:sz w:val="20"/>
          <w:lang w:val="es-ES_tradnl"/>
        </w:rPr>
        <w:t>Obsérvese que esta cifra no incluye cláusulas adicionales firmadas para proyectos en curso, ni otros acuerdos de colaboración, como acuerdos de patrocinio o acuerdos de contribuciones voluntarias, que se recogen en el Documento</w:t>
      </w:r>
      <w:r w:rsidR="000974FC" w:rsidRPr="009322D1">
        <w:rPr>
          <w:sz w:val="20"/>
          <w:lang w:val="es-ES_tradnl"/>
        </w:rPr>
        <w:t xml:space="preserve"> TDAG-25/INF/1</w:t>
      </w:r>
      <w:r w:rsidRPr="009322D1">
        <w:rPr>
          <w:sz w:val="20"/>
          <w:lang w:val="es-ES_tradnl"/>
        </w:rPr>
        <w:t>.</w:t>
      </w:r>
    </w:p>
  </w:footnote>
  <w:footnote w:id="3">
    <w:p w14:paraId="69F64C6C" w14:textId="16B37759" w:rsidR="009144F0" w:rsidRPr="0006556E" w:rsidRDefault="009144F0" w:rsidP="00DC0B6A">
      <w:pPr>
        <w:pStyle w:val="FootnoteText"/>
        <w:rPr>
          <w:sz w:val="20"/>
          <w:lang w:val="es-ES_tradnl"/>
        </w:rPr>
      </w:pPr>
      <w:r w:rsidRPr="00F25BBD">
        <w:rPr>
          <w:rStyle w:val="FootnoteReference"/>
          <w:position w:val="0"/>
          <w:sz w:val="24"/>
          <w:vertAlign w:val="superscript"/>
          <w:lang w:val="es-ES_tradnl"/>
        </w:rPr>
        <w:footnoteRef/>
      </w:r>
      <w:r w:rsidR="00DC0B6A" w:rsidRPr="00F25BBD">
        <w:rPr>
          <w:vertAlign w:val="superscript"/>
          <w:lang w:val="es-ES_tradnl"/>
        </w:rPr>
        <w:tab/>
      </w:r>
      <w:r w:rsidR="00DC0B6A" w:rsidRPr="0006556E">
        <w:rPr>
          <w:sz w:val="20"/>
          <w:lang w:val="es-ES_tradnl"/>
        </w:rPr>
        <w:t xml:space="preserve">Para más información, véase la Resolución </w:t>
      </w:r>
      <w:r w:rsidRPr="0006556E">
        <w:rPr>
          <w:sz w:val="20"/>
          <w:lang w:val="es-ES_tradnl"/>
        </w:rPr>
        <w:t xml:space="preserve">1418, </w:t>
      </w:r>
      <w:r w:rsidR="00DC0B6A" w:rsidRPr="0006556E">
        <w:rPr>
          <w:sz w:val="20"/>
          <w:lang w:val="es-ES_tradnl"/>
        </w:rPr>
        <w:t xml:space="preserve">disponible en </w:t>
      </w:r>
      <w:r w:rsidR="00C71A19">
        <w:fldChar w:fldCharType="begin"/>
      </w:r>
      <w:r w:rsidR="00C71A19" w:rsidRPr="001276A4">
        <w:rPr>
          <w:lang w:val="es-ES"/>
        </w:rPr>
        <w:instrText>HYPERLINK "https://www.itu.int/md/S23CL-C-0116/"</w:instrText>
      </w:r>
      <w:r w:rsidR="00C71A19">
        <w:fldChar w:fldCharType="separate"/>
      </w:r>
      <w:r w:rsidR="00C71A19" w:rsidRPr="0006556E">
        <w:rPr>
          <w:rStyle w:val="Hyperlink"/>
          <w:sz w:val="20"/>
          <w:lang w:val="es-ES_tradnl"/>
        </w:rPr>
        <w:t>https://www.itu.int/md/S23CL-C-0116/</w:t>
      </w:r>
      <w:r w:rsidR="00C71A19">
        <w:fldChar w:fldCharType="end"/>
      </w:r>
      <w:r w:rsidR="00EE28BF" w:rsidRPr="0006556E">
        <w:rPr>
          <w:sz w:val="20"/>
          <w:lang w:val="es-ES_tradnl"/>
        </w:rPr>
        <w:t xml:space="preserve"> </w:t>
      </w:r>
    </w:p>
  </w:footnote>
  <w:footnote w:id="4">
    <w:p w14:paraId="28DEB9FB" w14:textId="6CE245AF" w:rsidR="009144F0" w:rsidRPr="00F25BBD" w:rsidRDefault="009144F0" w:rsidP="00DC0B6A">
      <w:pPr>
        <w:pStyle w:val="FootnoteText"/>
        <w:rPr>
          <w:lang w:val="es-ES_tradnl"/>
        </w:rPr>
      </w:pPr>
      <w:r w:rsidRPr="00F25BBD">
        <w:rPr>
          <w:rStyle w:val="FootnoteReference"/>
          <w:position w:val="0"/>
          <w:sz w:val="24"/>
          <w:vertAlign w:val="superscript"/>
          <w:lang w:val="es-ES_tradnl"/>
        </w:rPr>
        <w:footnoteRef/>
      </w:r>
      <w:r w:rsidR="00DC0B6A" w:rsidRPr="0006556E">
        <w:rPr>
          <w:sz w:val="20"/>
          <w:lang w:val="es-ES_tradnl"/>
        </w:rPr>
        <w:tab/>
        <w:t>Disponible</w:t>
      </w:r>
      <w:r w:rsidRPr="0006556E">
        <w:rPr>
          <w:sz w:val="20"/>
          <w:lang w:val="es-ES_tradnl"/>
        </w:rPr>
        <w:t xml:space="preserve"> </w:t>
      </w:r>
      <w:r w:rsidR="00DC0B6A" w:rsidRPr="0006556E">
        <w:rPr>
          <w:sz w:val="20"/>
          <w:lang w:val="es-ES_tradnl"/>
        </w:rPr>
        <w:t>en</w:t>
      </w:r>
      <w:r w:rsidRPr="0006556E">
        <w:rPr>
          <w:sz w:val="20"/>
          <w:lang w:val="es-ES_tradnl"/>
        </w:rPr>
        <w:t xml:space="preserve"> </w:t>
      </w:r>
      <w:r>
        <w:fldChar w:fldCharType="begin"/>
      </w:r>
      <w:r w:rsidRPr="001276A4">
        <w:rPr>
          <w:lang w:val="es-ES"/>
        </w:rPr>
        <w:instrText>HYPERLINK "https://www.itu.int/en/ITU-D/Projects"</w:instrText>
      </w:r>
      <w:r>
        <w:fldChar w:fldCharType="separate"/>
      </w:r>
      <w:r w:rsidRPr="0006556E">
        <w:rPr>
          <w:rStyle w:val="Hyperlink"/>
          <w:sz w:val="20"/>
          <w:lang w:val="es-ES_tradnl"/>
        </w:rPr>
        <w:t>https://www.itu.int/en/ITU-D/Projects</w:t>
      </w:r>
      <w:r>
        <w:fldChar w:fldCharType="end"/>
      </w:r>
    </w:p>
  </w:footnote>
  <w:footnote w:id="5">
    <w:p w14:paraId="0391977F" w14:textId="415C3655" w:rsidR="009144F0" w:rsidRPr="004D2634" w:rsidRDefault="009144F0" w:rsidP="005B5524">
      <w:pPr>
        <w:pStyle w:val="FootnoteText"/>
        <w:rPr>
          <w:rStyle w:val="FootnoteReference"/>
          <w:position w:val="0"/>
          <w:sz w:val="20"/>
          <w:lang w:val="es-ES_tradnl"/>
        </w:rPr>
      </w:pPr>
      <w:r w:rsidRPr="00F25BBD">
        <w:rPr>
          <w:rStyle w:val="FootnoteReference"/>
          <w:position w:val="0"/>
          <w:sz w:val="24"/>
          <w:vertAlign w:val="superscript"/>
          <w:lang w:val="es-ES_tradnl"/>
        </w:rPr>
        <w:footnoteRef/>
      </w:r>
      <w:r w:rsidR="005B5524" w:rsidRPr="00F25BBD">
        <w:rPr>
          <w:lang w:val="es-ES_tradnl"/>
        </w:rPr>
        <w:tab/>
      </w:r>
      <w:r w:rsidR="00B81D0F" w:rsidRPr="004D2634">
        <w:rPr>
          <w:rStyle w:val="FootnoteReference"/>
          <w:position w:val="0"/>
          <w:sz w:val="20"/>
          <w:lang w:val="es-ES_tradnl"/>
        </w:rPr>
        <w:t xml:space="preserve">Para obtener más información sobre las alianzas del UIT-D y la movilización de recursos, véanse los documentos </w:t>
      </w:r>
      <w:r>
        <w:fldChar w:fldCharType="begin"/>
      </w:r>
      <w:r w:rsidRPr="001276A4">
        <w:rPr>
          <w:lang w:val="es-ES"/>
        </w:rPr>
        <w:instrText>HYPERLINK "https://www.itu.int/md/D22-TDAG32-C-0009/es"</w:instrText>
      </w:r>
      <w:r>
        <w:fldChar w:fldCharType="separate"/>
      </w:r>
      <w:r w:rsidRPr="001276A4">
        <w:rPr>
          <w:rStyle w:val="Hyperlink"/>
          <w:sz w:val="20"/>
          <w:lang w:val="es-ES"/>
        </w:rPr>
        <w:t>TDAG-25/9-E </w:t>
      </w:r>
      <w:r>
        <w:fldChar w:fldCharType="end"/>
      </w:r>
      <w:r w:rsidR="00B81D0F" w:rsidRPr="004D2634">
        <w:rPr>
          <w:rStyle w:val="FootnoteReference"/>
          <w:position w:val="0"/>
          <w:sz w:val="20"/>
          <w:lang w:val="es-ES_tradnl"/>
        </w:rPr>
        <w:t>y</w:t>
      </w:r>
      <w:r w:rsidR="00B81D0F" w:rsidRPr="004D2634">
        <w:rPr>
          <w:sz w:val="20"/>
          <w:lang w:val="es-ES_tradnl"/>
        </w:rPr>
        <w:t xml:space="preserve"> </w:t>
      </w:r>
      <w:hyperlink r:id="rId1" w:history="1">
        <w:r w:rsidRPr="001276A4">
          <w:rPr>
            <w:rStyle w:val="Hyperlink"/>
            <w:sz w:val="20"/>
            <w:lang w:val="es-ES"/>
          </w:rPr>
          <w:t>TDAG-25/INF/3</w:t>
        </w:r>
      </w:hyperlink>
      <w:r w:rsidRPr="004D2634">
        <w:rPr>
          <w:rStyle w:val="FootnoteReference"/>
          <w:position w:val="0"/>
          <w:sz w:val="20"/>
          <w:lang w:val="es-ES_tradnl"/>
        </w:rPr>
        <w:t xml:space="preserve">, </w:t>
      </w:r>
      <w:r w:rsidR="00B02019" w:rsidRPr="004D2634">
        <w:rPr>
          <w:rStyle w:val="FootnoteReference"/>
          <w:position w:val="0"/>
          <w:sz w:val="20"/>
          <w:lang w:val="es-ES_tradnl"/>
        </w:rPr>
        <w:t>a</w:t>
      </w:r>
      <w:r w:rsidR="00B02019" w:rsidRPr="004D2634">
        <w:rPr>
          <w:sz w:val="20"/>
          <w:lang w:val="es-ES_tradnl"/>
        </w:rPr>
        <w:t xml:space="preserve">sí como el Documento </w:t>
      </w:r>
      <w:hyperlink r:id="rId2" w:history="1">
        <w:r w:rsidRPr="001276A4">
          <w:rPr>
            <w:rStyle w:val="Hyperlink"/>
            <w:sz w:val="20"/>
            <w:lang w:val="es-ES"/>
          </w:rPr>
          <w:t>TDAG-25/8-E</w:t>
        </w:r>
      </w:hyperlink>
      <w:r w:rsidRPr="004D2634">
        <w:rPr>
          <w:rStyle w:val="FootnoteReference"/>
          <w:position w:val="0"/>
          <w:sz w:val="20"/>
          <w:lang w:val="es-ES_tradnl"/>
        </w:rPr>
        <w:t xml:space="preserve"> </w:t>
      </w:r>
      <w:r w:rsidR="00B02019" w:rsidRPr="004D2634">
        <w:rPr>
          <w:rStyle w:val="FootnoteReference"/>
          <w:position w:val="0"/>
          <w:sz w:val="20"/>
          <w:lang w:val="es-ES_tradnl"/>
        </w:rPr>
        <w:t>s</w:t>
      </w:r>
      <w:r w:rsidR="00B02019" w:rsidRPr="004D2634">
        <w:rPr>
          <w:sz w:val="20"/>
          <w:lang w:val="es-ES_tradnl"/>
        </w:rPr>
        <w:t xml:space="preserve">obre Miembros de Sector del UIT-D, Asociados e </w:t>
      </w:r>
      <w:r w:rsidR="00B02019" w:rsidRPr="004D2634">
        <w:rPr>
          <w:rStyle w:val="FootnoteReference"/>
          <w:position w:val="0"/>
          <w:sz w:val="20"/>
          <w:lang w:val="es-ES_tradnl"/>
        </w:rPr>
        <w:t>I</w:t>
      </w:r>
      <w:r w:rsidR="00B02019" w:rsidRPr="004D2634">
        <w:rPr>
          <w:sz w:val="20"/>
          <w:lang w:val="es-ES_tradnl"/>
        </w:rPr>
        <w:t>nstituciones Académcias</w:t>
      </w:r>
      <w:r w:rsidRPr="004D2634">
        <w:rPr>
          <w:rStyle w:val="FootnoteReference"/>
          <w:position w:val="0"/>
          <w:sz w:val="20"/>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4FBAF" w14:textId="16428647" w:rsidR="00721657" w:rsidRPr="00EC356F" w:rsidRDefault="00A525CC" w:rsidP="00307769">
    <w:pPr>
      <w:tabs>
        <w:tab w:val="clear" w:pos="794"/>
        <w:tab w:val="clear" w:pos="1191"/>
        <w:tab w:val="clear" w:pos="1588"/>
        <w:tab w:val="clear" w:pos="1985"/>
        <w:tab w:val="center" w:pos="4820"/>
        <w:tab w:val="right" w:pos="9639"/>
      </w:tabs>
      <w:ind w:right="1"/>
      <w:rPr>
        <w:rStyle w:val="PageNumber"/>
        <w:lang w:val="es-ES_tradnl"/>
      </w:rPr>
    </w:pPr>
    <w:r w:rsidRPr="00EC356F">
      <w:rPr>
        <w:sz w:val="22"/>
        <w:szCs w:val="22"/>
        <w:lang w:val="es-ES_tradnl"/>
      </w:rPr>
      <w:tab/>
      <w:t>TDAG</w:t>
    </w:r>
    <w:r w:rsidR="003242AB" w:rsidRPr="00EC356F">
      <w:rPr>
        <w:sz w:val="22"/>
        <w:szCs w:val="22"/>
        <w:lang w:val="es-ES_tradnl"/>
      </w:rPr>
      <w:t>-</w:t>
    </w:r>
    <w:r w:rsidR="00923CF1" w:rsidRPr="00EC356F">
      <w:rPr>
        <w:sz w:val="22"/>
        <w:szCs w:val="22"/>
        <w:lang w:val="es-ES_tradnl"/>
      </w:rPr>
      <w:t>2</w:t>
    </w:r>
    <w:r w:rsidR="00FD34DF" w:rsidRPr="00EC356F">
      <w:rPr>
        <w:sz w:val="22"/>
        <w:szCs w:val="22"/>
        <w:lang w:val="es-ES_tradnl"/>
      </w:rPr>
      <w:t>5</w:t>
    </w:r>
    <w:r w:rsidRPr="00EC356F">
      <w:rPr>
        <w:sz w:val="22"/>
        <w:szCs w:val="22"/>
        <w:lang w:val="es-ES_tradnl"/>
      </w:rPr>
      <w:t>/</w:t>
    </w:r>
    <w:r w:rsidR="00674EB5">
      <w:rPr>
        <w:sz w:val="22"/>
        <w:szCs w:val="22"/>
        <w:lang w:val="es-ES_tradnl"/>
      </w:rPr>
      <w:t>5</w:t>
    </w:r>
    <w:r w:rsidRPr="00EC356F">
      <w:rPr>
        <w:sz w:val="22"/>
        <w:szCs w:val="22"/>
        <w:lang w:val="es-ES_tradnl"/>
      </w:rPr>
      <w:t>-</w:t>
    </w:r>
    <w:r w:rsidR="00842E57" w:rsidRPr="00EC356F">
      <w:rPr>
        <w:sz w:val="22"/>
        <w:szCs w:val="22"/>
        <w:lang w:val="es-ES_tradnl"/>
      </w:rPr>
      <w:t>S</w:t>
    </w:r>
    <w:r w:rsidRPr="00EC356F">
      <w:rPr>
        <w:sz w:val="22"/>
        <w:szCs w:val="22"/>
        <w:lang w:val="es-ES_tradnl"/>
      </w:rPr>
      <w:tab/>
    </w:r>
    <w:r w:rsidR="00842E57" w:rsidRPr="00EC356F">
      <w:rPr>
        <w:sz w:val="22"/>
        <w:szCs w:val="22"/>
        <w:lang w:val="es-ES_tradnl"/>
      </w:rPr>
      <w:t>Página</w:t>
    </w:r>
    <w:r w:rsidRPr="00EC356F">
      <w:rPr>
        <w:sz w:val="22"/>
        <w:szCs w:val="22"/>
        <w:lang w:val="es-ES_tradnl"/>
      </w:rPr>
      <w:t xml:space="preserve"> </w:t>
    </w:r>
    <w:r w:rsidRPr="00EC356F">
      <w:rPr>
        <w:sz w:val="22"/>
        <w:szCs w:val="22"/>
        <w:lang w:val="es-ES_tradnl"/>
      </w:rPr>
      <w:fldChar w:fldCharType="begin"/>
    </w:r>
    <w:r w:rsidRPr="00EC356F">
      <w:rPr>
        <w:sz w:val="22"/>
        <w:szCs w:val="22"/>
        <w:lang w:val="es-ES_tradnl"/>
      </w:rPr>
      <w:instrText xml:space="preserve"> PAGE </w:instrText>
    </w:r>
    <w:r w:rsidRPr="00EC356F">
      <w:rPr>
        <w:sz w:val="22"/>
        <w:szCs w:val="22"/>
        <w:lang w:val="es-ES_tradnl"/>
      </w:rPr>
      <w:fldChar w:fldCharType="separate"/>
    </w:r>
    <w:r w:rsidR="004D7DAB" w:rsidRPr="00EC356F">
      <w:rPr>
        <w:noProof/>
        <w:sz w:val="22"/>
        <w:szCs w:val="22"/>
        <w:lang w:val="es-ES_tradnl"/>
      </w:rPr>
      <w:t>2</w:t>
    </w:r>
    <w:r w:rsidRPr="00EC356F">
      <w:rPr>
        <w:sz w:val="22"/>
        <w:szCs w:val="22"/>
        <w:lang w:val="es-ES_tradn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2744"/>
    <w:rsid w:val="00037A9E"/>
    <w:rsid w:val="00037F91"/>
    <w:rsid w:val="00047DE7"/>
    <w:rsid w:val="000539F1"/>
    <w:rsid w:val="00054747"/>
    <w:rsid w:val="00054E8C"/>
    <w:rsid w:val="00055A2A"/>
    <w:rsid w:val="000615C1"/>
    <w:rsid w:val="00061675"/>
    <w:rsid w:val="00061B20"/>
    <w:rsid w:val="0006556E"/>
    <w:rsid w:val="00066114"/>
    <w:rsid w:val="000743AA"/>
    <w:rsid w:val="00086DAC"/>
    <w:rsid w:val="000873D6"/>
    <w:rsid w:val="0009076F"/>
    <w:rsid w:val="0009225C"/>
    <w:rsid w:val="000935CB"/>
    <w:rsid w:val="000974FC"/>
    <w:rsid w:val="000A17C4"/>
    <w:rsid w:val="000A36A4"/>
    <w:rsid w:val="000A36C3"/>
    <w:rsid w:val="000B2352"/>
    <w:rsid w:val="000B4B99"/>
    <w:rsid w:val="000B7308"/>
    <w:rsid w:val="000C7A9B"/>
    <w:rsid w:val="000C7B84"/>
    <w:rsid w:val="000D261B"/>
    <w:rsid w:val="000D58A3"/>
    <w:rsid w:val="000E1298"/>
    <w:rsid w:val="000E3ED4"/>
    <w:rsid w:val="000E3F9C"/>
    <w:rsid w:val="000F012B"/>
    <w:rsid w:val="000F1550"/>
    <w:rsid w:val="000F251B"/>
    <w:rsid w:val="000F5FE8"/>
    <w:rsid w:val="000F6644"/>
    <w:rsid w:val="00100833"/>
    <w:rsid w:val="00102F72"/>
    <w:rsid w:val="00107E85"/>
    <w:rsid w:val="00113EE8"/>
    <w:rsid w:val="0011455A"/>
    <w:rsid w:val="00114A65"/>
    <w:rsid w:val="001229F5"/>
    <w:rsid w:val="00126EBF"/>
    <w:rsid w:val="001276A4"/>
    <w:rsid w:val="00133061"/>
    <w:rsid w:val="0013526D"/>
    <w:rsid w:val="00141699"/>
    <w:rsid w:val="00143BC1"/>
    <w:rsid w:val="00147000"/>
    <w:rsid w:val="00162707"/>
    <w:rsid w:val="00163091"/>
    <w:rsid w:val="00164016"/>
    <w:rsid w:val="001645CB"/>
    <w:rsid w:val="00166305"/>
    <w:rsid w:val="00167545"/>
    <w:rsid w:val="001703C6"/>
    <w:rsid w:val="00173781"/>
    <w:rsid w:val="00175ADF"/>
    <w:rsid w:val="00175C80"/>
    <w:rsid w:val="00175CAE"/>
    <w:rsid w:val="001828DB"/>
    <w:rsid w:val="001850FE"/>
    <w:rsid w:val="00185135"/>
    <w:rsid w:val="0018679D"/>
    <w:rsid w:val="00187A2F"/>
    <w:rsid w:val="0019037C"/>
    <w:rsid w:val="001905A9"/>
    <w:rsid w:val="00191273"/>
    <w:rsid w:val="001942A7"/>
    <w:rsid w:val="0019587B"/>
    <w:rsid w:val="001A163D"/>
    <w:rsid w:val="001A441E"/>
    <w:rsid w:val="001A6733"/>
    <w:rsid w:val="001B357F"/>
    <w:rsid w:val="001C2887"/>
    <w:rsid w:val="001C3444"/>
    <w:rsid w:val="001C3702"/>
    <w:rsid w:val="001C4656"/>
    <w:rsid w:val="001C46BC"/>
    <w:rsid w:val="001D1160"/>
    <w:rsid w:val="001D1E06"/>
    <w:rsid w:val="001E0A8E"/>
    <w:rsid w:val="001F23E6"/>
    <w:rsid w:val="001F4238"/>
    <w:rsid w:val="00200A38"/>
    <w:rsid w:val="00200A46"/>
    <w:rsid w:val="00205B1B"/>
    <w:rsid w:val="00205C9D"/>
    <w:rsid w:val="00211B6F"/>
    <w:rsid w:val="00217CC3"/>
    <w:rsid w:val="00220AB6"/>
    <w:rsid w:val="0022120F"/>
    <w:rsid w:val="00226857"/>
    <w:rsid w:val="0022754A"/>
    <w:rsid w:val="00230152"/>
    <w:rsid w:val="00234BB7"/>
    <w:rsid w:val="00236560"/>
    <w:rsid w:val="0023662E"/>
    <w:rsid w:val="00241900"/>
    <w:rsid w:val="00245D0F"/>
    <w:rsid w:val="00247DAE"/>
    <w:rsid w:val="002548C3"/>
    <w:rsid w:val="002576ED"/>
    <w:rsid w:val="00257ACD"/>
    <w:rsid w:val="002615DB"/>
    <w:rsid w:val="00262908"/>
    <w:rsid w:val="00264A32"/>
    <w:rsid w:val="002650F4"/>
    <w:rsid w:val="002707B1"/>
    <w:rsid w:val="002715FD"/>
    <w:rsid w:val="002770B1"/>
    <w:rsid w:val="002826AC"/>
    <w:rsid w:val="00285B33"/>
    <w:rsid w:val="00287A3C"/>
    <w:rsid w:val="002A2FC6"/>
    <w:rsid w:val="002A6510"/>
    <w:rsid w:val="002C1EC7"/>
    <w:rsid w:val="002C3015"/>
    <w:rsid w:val="002C4342"/>
    <w:rsid w:val="002C7592"/>
    <w:rsid w:val="002C7EA3"/>
    <w:rsid w:val="002D20AE"/>
    <w:rsid w:val="002D387E"/>
    <w:rsid w:val="002D6C61"/>
    <w:rsid w:val="002E2104"/>
    <w:rsid w:val="002E2DAC"/>
    <w:rsid w:val="002E6963"/>
    <w:rsid w:val="002E6F8F"/>
    <w:rsid w:val="002F05D8"/>
    <w:rsid w:val="002F2DE0"/>
    <w:rsid w:val="002F5E25"/>
    <w:rsid w:val="00300B25"/>
    <w:rsid w:val="0030353C"/>
    <w:rsid w:val="00307769"/>
    <w:rsid w:val="00307A3A"/>
    <w:rsid w:val="003125C3"/>
    <w:rsid w:val="00312AE6"/>
    <w:rsid w:val="00317D1A"/>
    <w:rsid w:val="003211FF"/>
    <w:rsid w:val="003242AB"/>
    <w:rsid w:val="00326FCE"/>
    <w:rsid w:val="00327247"/>
    <w:rsid w:val="00327A9D"/>
    <w:rsid w:val="0033130E"/>
    <w:rsid w:val="0033269C"/>
    <w:rsid w:val="00341DA6"/>
    <w:rsid w:val="00342AA1"/>
    <w:rsid w:val="00351C79"/>
    <w:rsid w:val="0035516C"/>
    <w:rsid w:val="00355A4C"/>
    <w:rsid w:val="003604FB"/>
    <w:rsid w:val="00360B73"/>
    <w:rsid w:val="00372D70"/>
    <w:rsid w:val="00380B71"/>
    <w:rsid w:val="003810A8"/>
    <w:rsid w:val="0038365A"/>
    <w:rsid w:val="00386A89"/>
    <w:rsid w:val="00387A48"/>
    <w:rsid w:val="00391401"/>
    <w:rsid w:val="003921E6"/>
    <w:rsid w:val="0039648E"/>
    <w:rsid w:val="003A1DC8"/>
    <w:rsid w:val="003A5AFE"/>
    <w:rsid w:val="003A5D5F"/>
    <w:rsid w:val="003A7FFE"/>
    <w:rsid w:val="003B0A63"/>
    <w:rsid w:val="003B2FBB"/>
    <w:rsid w:val="003B50E1"/>
    <w:rsid w:val="003C1746"/>
    <w:rsid w:val="003C2AA9"/>
    <w:rsid w:val="003C58BF"/>
    <w:rsid w:val="003C6C09"/>
    <w:rsid w:val="003D2C4E"/>
    <w:rsid w:val="003D451D"/>
    <w:rsid w:val="003D6E47"/>
    <w:rsid w:val="003E3F74"/>
    <w:rsid w:val="003F2DD8"/>
    <w:rsid w:val="003F3F2D"/>
    <w:rsid w:val="003F50B2"/>
    <w:rsid w:val="004003ED"/>
    <w:rsid w:val="00400CCF"/>
    <w:rsid w:val="004010E2"/>
    <w:rsid w:val="00401BFF"/>
    <w:rsid w:val="00404424"/>
    <w:rsid w:val="0041156B"/>
    <w:rsid w:val="004122C5"/>
    <w:rsid w:val="00413B78"/>
    <w:rsid w:val="00416DDE"/>
    <w:rsid w:val="00423435"/>
    <w:rsid w:val="004323F7"/>
    <w:rsid w:val="00442BBE"/>
    <w:rsid w:val="00443896"/>
    <w:rsid w:val="0044411E"/>
    <w:rsid w:val="0044444A"/>
    <w:rsid w:val="00450B37"/>
    <w:rsid w:val="00453435"/>
    <w:rsid w:val="00453472"/>
    <w:rsid w:val="00460089"/>
    <w:rsid w:val="00464873"/>
    <w:rsid w:val="00466398"/>
    <w:rsid w:val="0047306D"/>
    <w:rsid w:val="00473791"/>
    <w:rsid w:val="00476E48"/>
    <w:rsid w:val="00481DE9"/>
    <w:rsid w:val="0049128B"/>
    <w:rsid w:val="00493B49"/>
    <w:rsid w:val="00495501"/>
    <w:rsid w:val="004960FF"/>
    <w:rsid w:val="004A070A"/>
    <w:rsid w:val="004A268A"/>
    <w:rsid w:val="004A320E"/>
    <w:rsid w:val="004A4E9C"/>
    <w:rsid w:val="004A6A25"/>
    <w:rsid w:val="004B1A3C"/>
    <w:rsid w:val="004B6F0B"/>
    <w:rsid w:val="004C0EB2"/>
    <w:rsid w:val="004D2634"/>
    <w:rsid w:val="004D2CC3"/>
    <w:rsid w:val="004D35CB"/>
    <w:rsid w:val="004D7DAB"/>
    <w:rsid w:val="004E20E5"/>
    <w:rsid w:val="004E42AE"/>
    <w:rsid w:val="004E64EA"/>
    <w:rsid w:val="004E7828"/>
    <w:rsid w:val="004F46AA"/>
    <w:rsid w:val="004F6A70"/>
    <w:rsid w:val="004F70C9"/>
    <w:rsid w:val="004F79E2"/>
    <w:rsid w:val="00500AD7"/>
    <w:rsid w:val="00502ABF"/>
    <w:rsid w:val="00504DB0"/>
    <w:rsid w:val="005068E5"/>
    <w:rsid w:val="00507C35"/>
    <w:rsid w:val="00510735"/>
    <w:rsid w:val="00514D2F"/>
    <w:rsid w:val="0054420E"/>
    <w:rsid w:val="00544D1B"/>
    <w:rsid w:val="00545DC0"/>
    <w:rsid w:val="00545F6C"/>
    <w:rsid w:val="005477D9"/>
    <w:rsid w:val="00554BD8"/>
    <w:rsid w:val="0055720C"/>
    <w:rsid w:val="00561796"/>
    <w:rsid w:val="0056238B"/>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A454F"/>
    <w:rsid w:val="005A609E"/>
    <w:rsid w:val="005B5524"/>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E780E"/>
    <w:rsid w:val="005F1CA7"/>
    <w:rsid w:val="005F43DD"/>
    <w:rsid w:val="005F51A9"/>
    <w:rsid w:val="005F59EC"/>
    <w:rsid w:val="005F6BE1"/>
    <w:rsid w:val="005F7416"/>
    <w:rsid w:val="00600C11"/>
    <w:rsid w:val="0060269F"/>
    <w:rsid w:val="0060310A"/>
    <w:rsid w:val="0060547F"/>
    <w:rsid w:val="00606B89"/>
    <w:rsid w:val="00611B1A"/>
    <w:rsid w:val="00611EAF"/>
    <w:rsid w:val="00614C2A"/>
    <w:rsid w:val="00617560"/>
    <w:rsid w:val="00623F30"/>
    <w:rsid w:val="00625FB8"/>
    <w:rsid w:val="006261BD"/>
    <w:rsid w:val="00632B44"/>
    <w:rsid w:val="00635EDB"/>
    <w:rsid w:val="0064734E"/>
    <w:rsid w:val="00650137"/>
    <w:rsid w:val="006509D7"/>
    <w:rsid w:val="00651CE8"/>
    <w:rsid w:val="0065521B"/>
    <w:rsid w:val="0066406B"/>
    <w:rsid w:val="0066572A"/>
    <w:rsid w:val="00671EF6"/>
    <w:rsid w:val="0067205B"/>
    <w:rsid w:val="00672D63"/>
    <w:rsid w:val="006748F8"/>
    <w:rsid w:val="00674D35"/>
    <w:rsid w:val="00674EB5"/>
    <w:rsid w:val="00680489"/>
    <w:rsid w:val="006815DD"/>
    <w:rsid w:val="00683C32"/>
    <w:rsid w:val="00690BB2"/>
    <w:rsid w:val="00693D09"/>
    <w:rsid w:val="006949C3"/>
    <w:rsid w:val="00697F15"/>
    <w:rsid w:val="006A02DF"/>
    <w:rsid w:val="006A23D0"/>
    <w:rsid w:val="006A6549"/>
    <w:rsid w:val="006A7710"/>
    <w:rsid w:val="006A7A61"/>
    <w:rsid w:val="006B1E59"/>
    <w:rsid w:val="006B2FFB"/>
    <w:rsid w:val="006B5AA9"/>
    <w:rsid w:val="006C10A2"/>
    <w:rsid w:val="006C1F18"/>
    <w:rsid w:val="006C2673"/>
    <w:rsid w:val="006C3E48"/>
    <w:rsid w:val="006C76D3"/>
    <w:rsid w:val="006D1CF4"/>
    <w:rsid w:val="006D40D5"/>
    <w:rsid w:val="006D6807"/>
    <w:rsid w:val="006E01ED"/>
    <w:rsid w:val="006F009A"/>
    <w:rsid w:val="006F3D93"/>
    <w:rsid w:val="006F663B"/>
    <w:rsid w:val="007019B1"/>
    <w:rsid w:val="00706E70"/>
    <w:rsid w:val="00711C29"/>
    <w:rsid w:val="00721657"/>
    <w:rsid w:val="00724613"/>
    <w:rsid w:val="007279A8"/>
    <w:rsid w:val="00727B1A"/>
    <w:rsid w:val="00741337"/>
    <w:rsid w:val="00750580"/>
    <w:rsid w:val="00752258"/>
    <w:rsid w:val="007529E1"/>
    <w:rsid w:val="00762880"/>
    <w:rsid w:val="00762AD6"/>
    <w:rsid w:val="00762E02"/>
    <w:rsid w:val="00770B93"/>
    <w:rsid w:val="00772290"/>
    <w:rsid w:val="0077291B"/>
    <w:rsid w:val="007767B3"/>
    <w:rsid w:val="00777265"/>
    <w:rsid w:val="007805E7"/>
    <w:rsid w:val="00780704"/>
    <w:rsid w:val="0078222A"/>
    <w:rsid w:val="00787D48"/>
    <w:rsid w:val="00795294"/>
    <w:rsid w:val="007A030B"/>
    <w:rsid w:val="007A40D1"/>
    <w:rsid w:val="007A4E50"/>
    <w:rsid w:val="007B18A7"/>
    <w:rsid w:val="007B250E"/>
    <w:rsid w:val="007B3269"/>
    <w:rsid w:val="007C27FC"/>
    <w:rsid w:val="007C51FF"/>
    <w:rsid w:val="007D50E4"/>
    <w:rsid w:val="007D57A2"/>
    <w:rsid w:val="007D7904"/>
    <w:rsid w:val="007E2DC5"/>
    <w:rsid w:val="007F082F"/>
    <w:rsid w:val="007F1CC7"/>
    <w:rsid w:val="007F20B0"/>
    <w:rsid w:val="007F462B"/>
    <w:rsid w:val="008027AC"/>
    <w:rsid w:val="008028CE"/>
    <w:rsid w:val="008030AE"/>
    <w:rsid w:val="0080332E"/>
    <w:rsid w:val="00811B3E"/>
    <w:rsid w:val="00813741"/>
    <w:rsid w:val="008141E0"/>
    <w:rsid w:val="00814295"/>
    <w:rsid w:val="00816B3A"/>
    <w:rsid w:val="00816EE1"/>
    <w:rsid w:val="00816F88"/>
    <w:rsid w:val="00821996"/>
    <w:rsid w:val="00822323"/>
    <w:rsid w:val="00823CBE"/>
    <w:rsid w:val="00827BC6"/>
    <w:rsid w:val="008300AD"/>
    <w:rsid w:val="00833024"/>
    <w:rsid w:val="00836D36"/>
    <w:rsid w:val="008419B1"/>
    <w:rsid w:val="00842A41"/>
    <w:rsid w:val="00842E57"/>
    <w:rsid w:val="00844A56"/>
    <w:rsid w:val="00845B11"/>
    <w:rsid w:val="008463FA"/>
    <w:rsid w:val="00852081"/>
    <w:rsid w:val="00855F53"/>
    <w:rsid w:val="0085679F"/>
    <w:rsid w:val="00872B6E"/>
    <w:rsid w:val="00874DFD"/>
    <w:rsid w:val="008802F9"/>
    <w:rsid w:val="00883086"/>
    <w:rsid w:val="008831E9"/>
    <w:rsid w:val="008879FD"/>
    <w:rsid w:val="00894C37"/>
    <w:rsid w:val="00896870"/>
    <w:rsid w:val="008A00EA"/>
    <w:rsid w:val="008A3F93"/>
    <w:rsid w:val="008A4070"/>
    <w:rsid w:val="008A6236"/>
    <w:rsid w:val="008A6E1C"/>
    <w:rsid w:val="008A72FD"/>
    <w:rsid w:val="008B2EDF"/>
    <w:rsid w:val="008B47C7"/>
    <w:rsid w:val="008B54CB"/>
    <w:rsid w:val="008B5A3D"/>
    <w:rsid w:val="008C4010"/>
    <w:rsid w:val="008C4FDF"/>
    <w:rsid w:val="008C6B1F"/>
    <w:rsid w:val="008D5E4F"/>
    <w:rsid w:val="008D7A56"/>
    <w:rsid w:val="008E036D"/>
    <w:rsid w:val="008E11B2"/>
    <w:rsid w:val="008E34F0"/>
    <w:rsid w:val="008E44E1"/>
    <w:rsid w:val="008F14F5"/>
    <w:rsid w:val="008F71C1"/>
    <w:rsid w:val="0090117A"/>
    <w:rsid w:val="00901AE2"/>
    <w:rsid w:val="00902D41"/>
    <w:rsid w:val="00902F49"/>
    <w:rsid w:val="00904230"/>
    <w:rsid w:val="009102EF"/>
    <w:rsid w:val="00914004"/>
    <w:rsid w:val="0091446B"/>
    <w:rsid w:val="009144F0"/>
    <w:rsid w:val="0092140E"/>
    <w:rsid w:val="00922EC1"/>
    <w:rsid w:val="00923CF1"/>
    <w:rsid w:val="009301F1"/>
    <w:rsid w:val="009307DF"/>
    <w:rsid w:val="009322D1"/>
    <w:rsid w:val="009359B8"/>
    <w:rsid w:val="00935FF0"/>
    <w:rsid w:val="009431F8"/>
    <w:rsid w:val="00947A35"/>
    <w:rsid w:val="00952667"/>
    <w:rsid w:val="0096201B"/>
    <w:rsid w:val="00962081"/>
    <w:rsid w:val="00963CCC"/>
    <w:rsid w:val="00966CB5"/>
    <w:rsid w:val="00967E92"/>
    <w:rsid w:val="009716D1"/>
    <w:rsid w:val="00971873"/>
    <w:rsid w:val="00975786"/>
    <w:rsid w:val="00981CB7"/>
    <w:rsid w:val="00983E1F"/>
    <w:rsid w:val="009902F1"/>
    <w:rsid w:val="00993F46"/>
    <w:rsid w:val="00997358"/>
    <w:rsid w:val="009A452B"/>
    <w:rsid w:val="009B050C"/>
    <w:rsid w:val="009B087F"/>
    <w:rsid w:val="009B2AF4"/>
    <w:rsid w:val="009B3946"/>
    <w:rsid w:val="009C110B"/>
    <w:rsid w:val="009C5441"/>
    <w:rsid w:val="009D119F"/>
    <w:rsid w:val="009D49A2"/>
    <w:rsid w:val="009F3940"/>
    <w:rsid w:val="009F3EB2"/>
    <w:rsid w:val="009F5B9A"/>
    <w:rsid w:val="009F6EB1"/>
    <w:rsid w:val="00A11D05"/>
    <w:rsid w:val="00A13162"/>
    <w:rsid w:val="00A136C2"/>
    <w:rsid w:val="00A20267"/>
    <w:rsid w:val="00A3158C"/>
    <w:rsid w:val="00A32DF3"/>
    <w:rsid w:val="00A33071"/>
    <w:rsid w:val="00A33E32"/>
    <w:rsid w:val="00A35E20"/>
    <w:rsid w:val="00A36E38"/>
    <w:rsid w:val="00A36F6D"/>
    <w:rsid w:val="00A43E46"/>
    <w:rsid w:val="00A50CA0"/>
    <w:rsid w:val="00A525CC"/>
    <w:rsid w:val="00A53E7C"/>
    <w:rsid w:val="00A60087"/>
    <w:rsid w:val="00A705E8"/>
    <w:rsid w:val="00A721F4"/>
    <w:rsid w:val="00A74161"/>
    <w:rsid w:val="00A934CF"/>
    <w:rsid w:val="00A9392C"/>
    <w:rsid w:val="00A9462B"/>
    <w:rsid w:val="00A97D59"/>
    <w:rsid w:val="00AA09CA"/>
    <w:rsid w:val="00AA1411"/>
    <w:rsid w:val="00AA3E09"/>
    <w:rsid w:val="00AA4BEF"/>
    <w:rsid w:val="00AA5C6E"/>
    <w:rsid w:val="00AA7095"/>
    <w:rsid w:val="00AB1659"/>
    <w:rsid w:val="00AB2477"/>
    <w:rsid w:val="00AB4962"/>
    <w:rsid w:val="00AB734E"/>
    <w:rsid w:val="00AB740F"/>
    <w:rsid w:val="00AC6F14"/>
    <w:rsid w:val="00AC7221"/>
    <w:rsid w:val="00AD4677"/>
    <w:rsid w:val="00AE3603"/>
    <w:rsid w:val="00AE5961"/>
    <w:rsid w:val="00AF0745"/>
    <w:rsid w:val="00AF342B"/>
    <w:rsid w:val="00AF4971"/>
    <w:rsid w:val="00AF51AE"/>
    <w:rsid w:val="00AF5276"/>
    <w:rsid w:val="00AF5DB5"/>
    <w:rsid w:val="00AF7C86"/>
    <w:rsid w:val="00B01046"/>
    <w:rsid w:val="00B02019"/>
    <w:rsid w:val="00B05EEE"/>
    <w:rsid w:val="00B20F46"/>
    <w:rsid w:val="00B310F9"/>
    <w:rsid w:val="00B33BEC"/>
    <w:rsid w:val="00B35D0B"/>
    <w:rsid w:val="00B37866"/>
    <w:rsid w:val="00B37B73"/>
    <w:rsid w:val="00B403EE"/>
    <w:rsid w:val="00B412FB"/>
    <w:rsid w:val="00B42366"/>
    <w:rsid w:val="00B4576B"/>
    <w:rsid w:val="00B45A3F"/>
    <w:rsid w:val="00B46350"/>
    <w:rsid w:val="00B46DF3"/>
    <w:rsid w:val="00B5379F"/>
    <w:rsid w:val="00B648C7"/>
    <w:rsid w:val="00B66E8F"/>
    <w:rsid w:val="00B80157"/>
    <w:rsid w:val="00B81D0F"/>
    <w:rsid w:val="00B82FB3"/>
    <w:rsid w:val="00B83D5E"/>
    <w:rsid w:val="00B8460A"/>
    <w:rsid w:val="00B8650D"/>
    <w:rsid w:val="00B879B4"/>
    <w:rsid w:val="00B90F07"/>
    <w:rsid w:val="00B95A00"/>
    <w:rsid w:val="00B9710C"/>
    <w:rsid w:val="00B97BB9"/>
    <w:rsid w:val="00BA0009"/>
    <w:rsid w:val="00BA67ED"/>
    <w:rsid w:val="00BB02B5"/>
    <w:rsid w:val="00BB09EB"/>
    <w:rsid w:val="00BB1863"/>
    <w:rsid w:val="00BB25EE"/>
    <w:rsid w:val="00BB2802"/>
    <w:rsid w:val="00BB363A"/>
    <w:rsid w:val="00BC06EA"/>
    <w:rsid w:val="00BC10A0"/>
    <w:rsid w:val="00BC7BA2"/>
    <w:rsid w:val="00BD3086"/>
    <w:rsid w:val="00BD426B"/>
    <w:rsid w:val="00BD79F0"/>
    <w:rsid w:val="00BE2B4D"/>
    <w:rsid w:val="00BE35EA"/>
    <w:rsid w:val="00C015F8"/>
    <w:rsid w:val="00C02C2A"/>
    <w:rsid w:val="00C05492"/>
    <w:rsid w:val="00C05A32"/>
    <w:rsid w:val="00C07E26"/>
    <w:rsid w:val="00C1011C"/>
    <w:rsid w:val="00C12F94"/>
    <w:rsid w:val="00C177C5"/>
    <w:rsid w:val="00C21F12"/>
    <w:rsid w:val="00C22881"/>
    <w:rsid w:val="00C252B6"/>
    <w:rsid w:val="00C34EC3"/>
    <w:rsid w:val="00C4038C"/>
    <w:rsid w:val="00C42BA2"/>
    <w:rsid w:val="00C44066"/>
    <w:rsid w:val="00C44E13"/>
    <w:rsid w:val="00C45F13"/>
    <w:rsid w:val="00C57294"/>
    <w:rsid w:val="00C60A41"/>
    <w:rsid w:val="00C62DE8"/>
    <w:rsid w:val="00C62DFB"/>
    <w:rsid w:val="00C630E6"/>
    <w:rsid w:val="00C63812"/>
    <w:rsid w:val="00C64AF3"/>
    <w:rsid w:val="00C65F8D"/>
    <w:rsid w:val="00C66F4D"/>
    <w:rsid w:val="00C67BB5"/>
    <w:rsid w:val="00C71A19"/>
    <w:rsid w:val="00C72713"/>
    <w:rsid w:val="00C842B5"/>
    <w:rsid w:val="00C848EF"/>
    <w:rsid w:val="00C86600"/>
    <w:rsid w:val="00C8688F"/>
    <w:rsid w:val="00C87BCA"/>
    <w:rsid w:val="00C87EED"/>
    <w:rsid w:val="00C93DE0"/>
    <w:rsid w:val="00C94506"/>
    <w:rsid w:val="00C954BC"/>
    <w:rsid w:val="00C9742F"/>
    <w:rsid w:val="00CA1F0B"/>
    <w:rsid w:val="00CA49B0"/>
    <w:rsid w:val="00CB110F"/>
    <w:rsid w:val="00CB2A2E"/>
    <w:rsid w:val="00CB338A"/>
    <w:rsid w:val="00CB79C5"/>
    <w:rsid w:val="00CC411F"/>
    <w:rsid w:val="00CC447E"/>
    <w:rsid w:val="00CC4B75"/>
    <w:rsid w:val="00CC732E"/>
    <w:rsid w:val="00CD2E44"/>
    <w:rsid w:val="00CD2FCD"/>
    <w:rsid w:val="00CD7207"/>
    <w:rsid w:val="00CE0422"/>
    <w:rsid w:val="00CE0DBE"/>
    <w:rsid w:val="00CE5E4D"/>
    <w:rsid w:val="00CE660D"/>
    <w:rsid w:val="00CF02C4"/>
    <w:rsid w:val="00CF167F"/>
    <w:rsid w:val="00CF6D4A"/>
    <w:rsid w:val="00CF72E5"/>
    <w:rsid w:val="00D013EE"/>
    <w:rsid w:val="00D01F54"/>
    <w:rsid w:val="00D040F7"/>
    <w:rsid w:val="00D04A76"/>
    <w:rsid w:val="00D10FC7"/>
    <w:rsid w:val="00D1519F"/>
    <w:rsid w:val="00D153C6"/>
    <w:rsid w:val="00D20E99"/>
    <w:rsid w:val="00D21C83"/>
    <w:rsid w:val="00D231A9"/>
    <w:rsid w:val="00D25338"/>
    <w:rsid w:val="00D35BDD"/>
    <w:rsid w:val="00D36494"/>
    <w:rsid w:val="00D426A5"/>
    <w:rsid w:val="00D63006"/>
    <w:rsid w:val="00D638AC"/>
    <w:rsid w:val="00D638E8"/>
    <w:rsid w:val="00D72301"/>
    <w:rsid w:val="00D8041C"/>
    <w:rsid w:val="00D81788"/>
    <w:rsid w:val="00D8383F"/>
    <w:rsid w:val="00D911DE"/>
    <w:rsid w:val="00D91B97"/>
    <w:rsid w:val="00D93ACC"/>
    <w:rsid w:val="00D93C08"/>
    <w:rsid w:val="00D95DAC"/>
    <w:rsid w:val="00DA0A35"/>
    <w:rsid w:val="00DA0B53"/>
    <w:rsid w:val="00DB1171"/>
    <w:rsid w:val="00DB1519"/>
    <w:rsid w:val="00DB2840"/>
    <w:rsid w:val="00DC0B6A"/>
    <w:rsid w:val="00DC1BD3"/>
    <w:rsid w:val="00DC2C1A"/>
    <w:rsid w:val="00DD66B4"/>
    <w:rsid w:val="00DE1972"/>
    <w:rsid w:val="00DE27AB"/>
    <w:rsid w:val="00DF1D13"/>
    <w:rsid w:val="00DF2AB3"/>
    <w:rsid w:val="00DF7250"/>
    <w:rsid w:val="00E0078A"/>
    <w:rsid w:val="00E00CAA"/>
    <w:rsid w:val="00E03EBF"/>
    <w:rsid w:val="00E05209"/>
    <w:rsid w:val="00E05AC1"/>
    <w:rsid w:val="00E11BCF"/>
    <w:rsid w:val="00E1414A"/>
    <w:rsid w:val="00E2258E"/>
    <w:rsid w:val="00E235F1"/>
    <w:rsid w:val="00E23FAC"/>
    <w:rsid w:val="00E260C2"/>
    <w:rsid w:val="00E32596"/>
    <w:rsid w:val="00E35790"/>
    <w:rsid w:val="00E368F7"/>
    <w:rsid w:val="00E36EB8"/>
    <w:rsid w:val="00E37FB8"/>
    <w:rsid w:val="00E40B07"/>
    <w:rsid w:val="00E42326"/>
    <w:rsid w:val="00E43544"/>
    <w:rsid w:val="00E44D89"/>
    <w:rsid w:val="00E477EA"/>
    <w:rsid w:val="00E55807"/>
    <w:rsid w:val="00E61DBA"/>
    <w:rsid w:val="00E63B14"/>
    <w:rsid w:val="00E65CA0"/>
    <w:rsid w:val="00E70D9F"/>
    <w:rsid w:val="00E80646"/>
    <w:rsid w:val="00E83810"/>
    <w:rsid w:val="00E84935"/>
    <w:rsid w:val="00E86933"/>
    <w:rsid w:val="00E9605B"/>
    <w:rsid w:val="00E97298"/>
    <w:rsid w:val="00E97753"/>
    <w:rsid w:val="00EA0C51"/>
    <w:rsid w:val="00EA7DE7"/>
    <w:rsid w:val="00EB1BE4"/>
    <w:rsid w:val="00EB7A8A"/>
    <w:rsid w:val="00EB7FE6"/>
    <w:rsid w:val="00EC356F"/>
    <w:rsid w:val="00EC3F83"/>
    <w:rsid w:val="00EC6FED"/>
    <w:rsid w:val="00EC7F3B"/>
    <w:rsid w:val="00ED24FB"/>
    <w:rsid w:val="00ED5299"/>
    <w:rsid w:val="00EE28BF"/>
    <w:rsid w:val="00EE3A64"/>
    <w:rsid w:val="00EE50E5"/>
    <w:rsid w:val="00EE6BEA"/>
    <w:rsid w:val="00EF01CF"/>
    <w:rsid w:val="00EF25ED"/>
    <w:rsid w:val="00F02138"/>
    <w:rsid w:val="00F02BCE"/>
    <w:rsid w:val="00F03590"/>
    <w:rsid w:val="00F03622"/>
    <w:rsid w:val="00F077FD"/>
    <w:rsid w:val="00F152EA"/>
    <w:rsid w:val="00F204F3"/>
    <w:rsid w:val="00F218AB"/>
    <w:rsid w:val="00F238B3"/>
    <w:rsid w:val="00F244DC"/>
    <w:rsid w:val="00F24FED"/>
    <w:rsid w:val="00F25586"/>
    <w:rsid w:val="00F25BBD"/>
    <w:rsid w:val="00F2651D"/>
    <w:rsid w:val="00F27362"/>
    <w:rsid w:val="00F31498"/>
    <w:rsid w:val="00F32FEF"/>
    <w:rsid w:val="00F37B9F"/>
    <w:rsid w:val="00F41B1C"/>
    <w:rsid w:val="00F42E13"/>
    <w:rsid w:val="00F42F1C"/>
    <w:rsid w:val="00F43B44"/>
    <w:rsid w:val="00F440E5"/>
    <w:rsid w:val="00F448F6"/>
    <w:rsid w:val="00F45BF0"/>
    <w:rsid w:val="00F52741"/>
    <w:rsid w:val="00F53D8A"/>
    <w:rsid w:val="00F5792A"/>
    <w:rsid w:val="00F626F7"/>
    <w:rsid w:val="00F736F9"/>
    <w:rsid w:val="00F73833"/>
    <w:rsid w:val="00F84214"/>
    <w:rsid w:val="00F9211C"/>
    <w:rsid w:val="00F9226E"/>
    <w:rsid w:val="00F92361"/>
    <w:rsid w:val="00F9748B"/>
    <w:rsid w:val="00FA095D"/>
    <w:rsid w:val="00FA5198"/>
    <w:rsid w:val="00FA6C8B"/>
    <w:rsid w:val="00FA6CDA"/>
    <w:rsid w:val="00FA7C89"/>
    <w:rsid w:val="00FB4139"/>
    <w:rsid w:val="00FB476E"/>
    <w:rsid w:val="00FC0D90"/>
    <w:rsid w:val="00FC7D8C"/>
    <w:rsid w:val="00FD34DF"/>
    <w:rsid w:val="00FD3980"/>
    <w:rsid w:val="00FD431E"/>
    <w:rsid w:val="00FD5A2C"/>
    <w:rsid w:val="00FE028F"/>
    <w:rsid w:val="00FE0D47"/>
    <w:rsid w:val="00FE1D5C"/>
    <w:rsid w:val="00FE2F8B"/>
    <w:rsid w:val="00FE3669"/>
    <w:rsid w:val="00FE5204"/>
    <w:rsid w:val="00FF287F"/>
    <w:rsid w:val="00FF3EE5"/>
    <w:rsid w:val="00FF584C"/>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8CA3F"/>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Listenabsatz Standard"/>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table" w:styleId="GridTable4-Accent1">
    <w:name w:val="Grid Table 4 Accent 1"/>
    <w:basedOn w:val="TableNormal"/>
    <w:uiPriority w:val="49"/>
    <w:rsid w:val="00342AA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semiHidden/>
    <w:unhideWhenUsed/>
    <w:rsid w:val="002826AC"/>
    <w:rPr>
      <w:sz w:val="16"/>
      <w:szCs w:val="16"/>
    </w:rPr>
  </w:style>
  <w:style w:type="paragraph" w:styleId="CommentText">
    <w:name w:val="annotation text"/>
    <w:basedOn w:val="Normal"/>
    <w:link w:val="CommentTextChar"/>
    <w:semiHidden/>
    <w:unhideWhenUsed/>
    <w:rsid w:val="002826AC"/>
    <w:rPr>
      <w:sz w:val="20"/>
    </w:rPr>
  </w:style>
  <w:style w:type="character" w:customStyle="1" w:styleId="CommentTextChar">
    <w:name w:val="Comment Text Char"/>
    <w:basedOn w:val="DefaultParagraphFont"/>
    <w:link w:val="CommentText"/>
    <w:semiHidden/>
    <w:rsid w:val="002826AC"/>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826AC"/>
    <w:rPr>
      <w:b/>
      <w:bCs/>
    </w:rPr>
  </w:style>
  <w:style w:type="character" w:customStyle="1" w:styleId="CommentSubjectChar">
    <w:name w:val="Comment Subject Char"/>
    <w:basedOn w:val="CommentTextChar"/>
    <w:link w:val="CommentSubject"/>
    <w:semiHidden/>
    <w:rsid w:val="002826AC"/>
    <w:rPr>
      <w:rFonts w:asciiTheme="minorHAnsi" w:hAnsiTheme="minorHAnsi"/>
      <w:b/>
      <w:bCs/>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4C0EB2"/>
    <w:rPr>
      <w:rFonts w:asciiTheme="minorHAnsi" w:hAnsiTheme="minorHAnsi"/>
      <w:sz w:val="24"/>
      <w:lang w:val="en-GB" w:eastAsia="en-U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Listenabsatz Standard Char"/>
    <w:link w:val="ListParagraph"/>
    <w:uiPriority w:val="34"/>
    <w:qFormat/>
    <w:rsid w:val="009144F0"/>
    <w:rPr>
      <w:rFonts w:asciiTheme="minorHAnsi" w:hAnsiTheme="minorHAnsi"/>
      <w:sz w:val="24"/>
      <w:lang w:val="en-GB" w:eastAsia="en-US"/>
    </w:rPr>
  </w:style>
  <w:style w:type="paragraph" w:customStyle="1" w:styleId="pf0">
    <w:name w:val="pf0"/>
    <w:basedOn w:val="Normal"/>
    <w:rsid w:val="009322D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cf01">
    <w:name w:val="cf01"/>
    <w:basedOn w:val="DefaultParagraphFont"/>
    <w:rsid w:val="009322D1"/>
    <w:rPr>
      <w:rFonts w:ascii="Segoe UI" w:hAnsi="Segoe UI" w:cs="Segoe UI" w:hint="default"/>
      <w:sz w:val="18"/>
      <w:szCs w:val="18"/>
    </w:rPr>
  </w:style>
  <w:style w:type="paragraph" w:customStyle="1" w:styleId="Tablehead0">
    <w:name w:val="Table head"/>
    <w:basedOn w:val="Normal"/>
    <w:rsid w:val="00EF25ED"/>
    <w:pPr>
      <w:spacing w:before="60" w:after="60"/>
      <w:jc w:val="center"/>
    </w:pPr>
    <w:rPr>
      <w:rFonts w:cstheme="minorHAnsi"/>
      <w:b/>
      <w:bCs/>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266786">
      <w:bodyDiv w:val="1"/>
      <w:marLeft w:val="0"/>
      <w:marRight w:val="0"/>
      <w:marTop w:val="0"/>
      <w:marBottom w:val="0"/>
      <w:divBdr>
        <w:top w:val="none" w:sz="0" w:space="0" w:color="auto"/>
        <w:left w:val="none" w:sz="0" w:space="0" w:color="auto"/>
        <w:bottom w:val="none" w:sz="0" w:space="0" w:color="auto"/>
        <w:right w:val="none" w:sz="0" w:space="0" w:color="auto"/>
      </w:divBdr>
    </w:div>
    <w:div w:id="983508664">
      <w:bodyDiv w:val="1"/>
      <w:marLeft w:val="0"/>
      <w:marRight w:val="0"/>
      <w:marTop w:val="0"/>
      <w:marBottom w:val="0"/>
      <w:divBdr>
        <w:top w:val="none" w:sz="0" w:space="0" w:color="auto"/>
        <w:left w:val="none" w:sz="0" w:space="0" w:color="auto"/>
        <w:bottom w:val="none" w:sz="0" w:space="0" w:color="auto"/>
        <w:right w:val="none" w:sz="0" w:space="0" w:color="auto"/>
      </w:divBdr>
    </w:div>
    <w:div w:id="190810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jose.batanero@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D22-TDAG32-C-0008/es" TargetMode="External"/><Relationship Id="rId1" Type="http://schemas.openxmlformats.org/officeDocument/2006/relationships/hyperlink" Target="https://www.itu.int/md/D22-TDAG32-INF-0003/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B0F09E89-F15B-4E45-8B5F-0D3320008D1C}"/>
</file>

<file path=customXml/itemProps2.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3.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4.xml><?xml version="1.0" encoding="utf-8"?>
<ds:datastoreItem xmlns:ds="http://schemas.openxmlformats.org/officeDocument/2006/customXml" ds:itemID="{0F034FE2-13EA-4EDF-9DD0-9E6AD7D260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Pages>
  <Words>2118</Words>
  <Characters>10976</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Spanish</dc:creator>
  <cp:lastModifiedBy>Spanish</cp:lastModifiedBy>
  <cp:revision>10</cp:revision>
  <cp:lastPrinted>2014-11-04T09:22:00Z</cp:lastPrinted>
  <dcterms:created xsi:type="dcterms:W3CDTF">2025-04-25T08:05:00Z</dcterms:created>
  <dcterms:modified xsi:type="dcterms:W3CDTF">2025-04-25T10:12:00Z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