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403C69" w14:paraId="3A5EE9F7" w14:textId="77777777" w:rsidTr="000D6EAB">
        <w:trPr>
          <w:cantSplit/>
          <w:trHeight w:val="1276"/>
        </w:trPr>
        <w:tc>
          <w:tcPr>
            <w:tcW w:w="1985" w:type="dxa"/>
          </w:tcPr>
          <w:p w14:paraId="3B73DDFA" w14:textId="77777777" w:rsidR="00AE1244" w:rsidRPr="00CB76A2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0623C1E8" wp14:editId="3B381555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71795FC" w14:textId="77777777" w:rsidR="008E1A73" w:rsidRPr="00F723AC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CB76A2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CB76A2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0EE1E068" w14:textId="77777777" w:rsidR="00AE1244" w:rsidRPr="00EB4AE6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EB4AE6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A6AB2ED" w14:textId="77777777" w:rsidR="00AE1244" w:rsidRPr="00403C69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3E0083E2" wp14:editId="34D0399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5BCE922E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6428796" w14:textId="77777777" w:rsidR="00D83BF5" w:rsidRPr="00403C69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2158840C" w14:textId="77777777" w:rsidR="00D83BF5" w:rsidRPr="00403C69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403C69" w14:paraId="24D190E7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CAD60A" w14:textId="77777777" w:rsidR="00D87035" w:rsidRPr="00403C69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682039D" w14:textId="53BA4E84" w:rsidR="00D87035" w:rsidRPr="005E032D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en-US"/>
              </w:rPr>
            </w:pPr>
            <w:r w:rsidRPr="005E032D">
              <w:rPr>
                <w:b/>
                <w:bCs/>
                <w:szCs w:val="22"/>
              </w:rPr>
              <w:t>Документ</w:t>
            </w:r>
            <w:r w:rsidR="00D87035" w:rsidRPr="005E032D">
              <w:rPr>
                <w:b/>
                <w:bCs/>
                <w:szCs w:val="22"/>
                <w:lang w:val="en-US"/>
              </w:rPr>
              <w:t xml:space="preserve"> </w:t>
            </w:r>
            <w:bookmarkStart w:id="4" w:name="DocRef1"/>
            <w:bookmarkEnd w:id="4"/>
            <w:r w:rsidR="00D87035" w:rsidRPr="005E032D">
              <w:rPr>
                <w:b/>
                <w:bCs/>
                <w:szCs w:val="22"/>
                <w:lang w:val="en-US"/>
              </w:rPr>
              <w:t>TDAG-</w:t>
            </w:r>
            <w:r w:rsidR="00523934" w:rsidRPr="005E032D">
              <w:rPr>
                <w:b/>
                <w:bCs/>
                <w:szCs w:val="22"/>
                <w:lang w:val="en-US"/>
              </w:rPr>
              <w:t>2</w:t>
            </w:r>
            <w:r w:rsidR="0081159E" w:rsidRPr="005E032D">
              <w:rPr>
                <w:b/>
                <w:bCs/>
                <w:szCs w:val="22"/>
                <w:lang w:val="en-US"/>
              </w:rPr>
              <w:t>5</w:t>
            </w:r>
            <w:r w:rsidR="00D87035" w:rsidRPr="005E032D">
              <w:rPr>
                <w:b/>
                <w:bCs/>
                <w:szCs w:val="22"/>
                <w:lang w:val="en-US"/>
              </w:rPr>
              <w:t>/</w:t>
            </w:r>
            <w:bookmarkStart w:id="5" w:name="DocNo1"/>
            <w:bookmarkEnd w:id="5"/>
            <w:r w:rsidR="00937ACC">
              <w:rPr>
                <w:b/>
                <w:bCs/>
                <w:szCs w:val="22"/>
                <w:lang w:val="en-US"/>
              </w:rPr>
              <w:t>5</w:t>
            </w:r>
            <w:r w:rsidR="00D87035" w:rsidRPr="005E032D">
              <w:rPr>
                <w:b/>
                <w:bCs/>
                <w:szCs w:val="22"/>
                <w:lang w:val="en-US"/>
              </w:rPr>
              <w:t>-</w:t>
            </w:r>
            <w:r w:rsidRPr="005E032D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D87035" w:rsidRPr="00403C69" w14:paraId="4F1C36B3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6B0B2DB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13CA333C" w14:textId="1089DF56" w:rsidR="00D87035" w:rsidRPr="005E032D" w:rsidRDefault="00937ACC" w:rsidP="00CE66E4">
            <w:pPr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  <w:lang w:val="en-US"/>
              </w:rPr>
              <w:t xml:space="preserve">24 </w:t>
            </w:r>
            <w:r>
              <w:rPr>
                <w:b/>
                <w:bCs/>
                <w:szCs w:val="22"/>
              </w:rPr>
              <w:t>марта</w:t>
            </w:r>
            <w:r w:rsidR="0081159E" w:rsidRPr="005E032D">
              <w:rPr>
                <w:b/>
                <w:bCs/>
                <w:szCs w:val="22"/>
              </w:rPr>
              <w:t xml:space="preserve"> </w:t>
            </w:r>
            <w:r w:rsidR="002955DA" w:rsidRPr="005E032D">
              <w:rPr>
                <w:b/>
                <w:bCs/>
                <w:szCs w:val="22"/>
              </w:rPr>
              <w:t>2025</w:t>
            </w:r>
            <w:r w:rsidR="005E032D" w:rsidRPr="005E032D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403C69" w14:paraId="522070B5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86B49D2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16FBBA22" w14:textId="77777777" w:rsidR="00D87035" w:rsidRPr="005E032D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5E032D">
              <w:rPr>
                <w:b/>
                <w:bCs/>
                <w:szCs w:val="22"/>
              </w:rPr>
              <w:t>Оригинал</w:t>
            </w:r>
            <w:r w:rsidR="00D87035" w:rsidRPr="005E032D">
              <w:rPr>
                <w:b/>
                <w:bCs/>
                <w:szCs w:val="22"/>
              </w:rPr>
              <w:t xml:space="preserve">: </w:t>
            </w:r>
            <w:r w:rsidRPr="005E032D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403C69" w14:paraId="68FFF8C6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190BF19" w14:textId="4CC9A298" w:rsidR="00D83BF5" w:rsidRPr="005E032D" w:rsidRDefault="00937ACC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937ACC">
              <w:t>Директор Бюро развития электросвязи</w:t>
            </w:r>
          </w:p>
        </w:tc>
      </w:tr>
      <w:tr w:rsidR="00D83BF5" w:rsidRPr="00403C69" w14:paraId="3D5535C3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EF7A3D7" w14:textId="59A7BCAF" w:rsidR="00D83BF5" w:rsidRPr="005E032D" w:rsidRDefault="00937ACC" w:rsidP="006774C6">
            <w:pPr>
              <w:pStyle w:val="Title1"/>
              <w:rPr>
                <w:caps/>
              </w:rPr>
            </w:pPr>
            <w:r w:rsidRPr="00937ACC">
              <w:t>Проекты МСЭ-D</w:t>
            </w:r>
          </w:p>
        </w:tc>
      </w:tr>
      <w:tr w:rsidR="00D83BF5" w:rsidRPr="00403C69" w14:paraId="54C998DF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FC5EB2" w14:textId="77777777" w:rsidR="00D83BF5" w:rsidRPr="00403C69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403C69" w14:paraId="222C2923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46B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Резюме</w:t>
            </w:r>
          </w:p>
          <w:p w14:paraId="1C1535F9" w14:textId="7A3DE747" w:rsidR="00937ACC" w:rsidRPr="00937ACC" w:rsidRDefault="00937ACC" w:rsidP="00937ACC">
            <w:pPr>
              <w:rPr>
                <w:szCs w:val="22"/>
              </w:rPr>
            </w:pPr>
            <w:r w:rsidRPr="00937ACC">
              <w:rPr>
                <w:szCs w:val="22"/>
              </w:rPr>
              <w:t>Международный союз электросвязи выполняет двойственную обязанность – специализированного учреждения Организации Объединенных Наций и учреждения-исполнителя. Сектор развития электросвязи (МСЭ-D), участвуя в выполнении этой двойственной обязанности Союза, осуществляет ключевую функцию реализации проектов в рамках системы развития Организации Объединенных Наций или других соглашений по финансированию с целью содействия развитию и ускорения развития электросвязи путем внесения предложений, организации и координации деятельности по техническому сотрудничеству и оказанию помощи.</w:t>
            </w:r>
          </w:p>
          <w:p w14:paraId="29B6DBCF" w14:textId="74C45A6F" w:rsidR="001E252D" w:rsidRPr="007606A7" w:rsidRDefault="00937ACC" w:rsidP="00937ACC">
            <w:pPr>
              <w:rPr>
                <w:szCs w:val="22"/>
              </w:rPr>
            </w:pPr>
            <w:r w:rsidRPr="00937ACC">
              <w:rPr>
                <w:szCs w:val="22"/>
              </w:rPr>
              <w:t>В настоящем документе представлен обзор работы, проделанной Бюро развития электросвязи (БРЭ) в сфере разработки и реализации проектов в шести регионах МСЭ-D – Африка, Северная и Южная Америка, Арабский регион, Азиатско-Тихоокеанский регион, Содружество Независимых Государств (СНГ) и Европа – а также межрегиональных проектов.</w:t>
            </w:r>
          </w:p>
          <w:p w14:paraId="671B4CFE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Необходимые действия</w:t>
            </w:r>
          </w:p>
          <w:p w14:paraId="1D65A057" w14:textId="3A02218B" w:rsidR="001E252D" w:rsidRPr="007606A7" w:rsidRDefault="00937ACC" w:rsidP="00EB4AE6">
            <w:pPr>
              <w:rPr>
                <w:szCs w:val="22"/>
              </w:rPr>
            </w:pPr>
            <w:r w:rsidRPr="00937ACC">
              <w:rPr>
                <w:szCs w:val="22"/>
              </w:rPr>
              <w:t>КГРЭ предлагается принять настоящий документ к сведению и предоставить руководящие указания, которые она сочтет необходимыми.</w:t>
            </w:r>
          </w:p>
          <w:p w14:paraId="5EC4EAF1" w14:textId="77777777" w:rsidR="001E252D" w:rsidRPr="00532A8A" w:rsidRDefault="004A3CDF" w:rsidP="00EB4AE6">
            <w:pPr>
              <w:rPr>
                <w:b/>
                <w:bCs/>
                <w:szCs w:val="22"/>
              </w:rPr>
            </w:pPr>
            <w:r w:rsidRPr="007606A7">
              <w:rPr>
                <w:b/>
                <w:bCs/>
                <w:szCs w:val="22"/>
              </w:rPr>
              <w:t>Справочные материалы</w:t>
            </w:r>
          </w:p>
          <w:p w14:paraId="43760860" w14:textId="0304AEDA" w:rsidR="001E252D" w:rsidRPr="00403C69" w:rsidRDefault="00937ACC" w:rsidP="00EB4AE6">
            <w:pPr>
              <w:spacing w:after="120"/>
            </w:pPr>
            <w:r w:rsidRPr="00937ACC">
              <w:rPr>
                <w:szCs w:val="22"/>
              </w:rPr>
              <w:t>Резолюции 17 (Пересм. Кигали, 2022 г.) и 52 (Пересм. Дубай, 2014 г.) Всемирной конференции по развитию электросвязи (ВКРЭ-22), Резолюция 157 (Пересм. Бухарест, 2022 г.) Полномочной конференции (ПК-22) и Резолюция 1418 Совета МСЭ.</w:t>
            </w:r>
          </w:p>
        </w:tc>
      </w:tr>
      <w:bookmarkEnd w:id="8"/>
      <w:bookmarkEnd w:id="9"/>
    </w:tbl>
    <w:p w14:paraId="235BE31C" w14:textId="77777777" w:rsidR="00075C63" w:rsidRPr="00403C69" w:rsidRDefault="00075C63" w:rsidP="00CE66E4">
      <w:pPr>
        <w:rPr>
          <w:szCs w:val="24"/>
        </w:rPr>
      </w:pPr>
      <w:r w:rsidRPr="00403C69">
        <w:rPr>
          <w:szCs w:val="24"/>
        </w:rPr>
        <w:br w:type="page"/>
      </w:r>
    </w:p>
    <w:p w14:paraId="62F5870D" w14:textId="75AE5138" w:rsidR="00937ACC" w:rsidRPr="00937ACC" w:rsidRDefault="00937ACC" w:rsidP="00DD1958">
      <w:pPr>
        <w:pStyle w:val="Heading1"/>
      </w:pPr>
      <w:r>
        <w:lastRenderedPageBreak/>
        <w:t>1</w:t>
      </w:r>
      <w:r>
        <w:tab/>
      </w:r>
      <w:r w:rsidRPr="00DD1958">
        <w:t>Введение</w:t>
      </w:r>
    </w:p>
    <w:p w14:paraId="004AF816" w14:textId="1B0D8C58" w:rsidR="00937ACC" w:rsidRPr="00EC1CF1" w:rsidRDefault="00937ACC" w:rsidP="00937ACC">
      <w:r w:rsidRPr="00EC1CF1">
        <w:t>В соответствии с Резолюциями 17 (Пересм. Кигали, 2022 г.) и 52 (Пересм. Дубай, 2014 г.) Всемирной конференции по развитию электросвязи (ВКРЭ-22) и Резолюцией 157 (Пересм. Бухарест, ПК-22) Полномочной конференции, Бюро развития электросвязи (БРЭ) МСЭ обязано выполнять мандат МСЭ по реализации проектов в рамках системы развития Организации Объединенных Наций или других соглашений по финансированию в целях содействия и совершенствования электросвязи/информаци</w:t>
      </w:r>
      <w:r>
        <w:t>онно-</w:t>
      </w:r>
      <w:r w:rsidRPr="00EC1CF1">
        <w:t>коммуникационных технологий (ИКТ) путем внесения предложений, организации и координации деятельности по техническому сотрудничеству и помощи</w:t>
      </w:r>
      <w:r>
        <w:t>.</w:t>
      </w:r>
      <w:r w:rsidRPr="00EC1CF1">
        <w:t xml:space="preserve"> В настоящем отчете представлен обзор состояния портфеля выполняемых МСЭ проектов в 2024 году (период реализации с января по декабрь 2024 </w:t>
      </w:r>
      <w:r>
        <w:t>г</w:t>
      </w:r>
      <w:r w:rsidR="00E641EB">
        <w:t>.</w:t>
      </w:r>
      <w:r>
        <w:t>)</w:t>
      </w:r>
      <w:r w:rsidRPr="00732F0B">
        <w:rPr>
          <w:rStyle w:val="FootnoteReference"/>
        </w:rPr>
        <w:footnoteReference w:id="2"/>
      </w:r>
      <w:r>
        <w:t>.</w:t>
      </w:r>
    </w:p>
    <w:p w14:paraId="571C08DB" w14:textId="2EC8CF77" w:rsidR="00937ACC" w:rsidRPr="00937ACC" w:rsidRDefault="00937ACC" w:rsidP="00937ACC">
      <w:pPr>
        <w:pStyle w:val="Heading1"/>
      </w:pPr>
      <w:r>
        <w:t>2</w:t>
      </w:r>
      <w:r>
        <w:tab/>
      </w:r>
      <w:r w:rsidRPr="00937ACC">
        <w:t>Портфель проектов МСЭ: проекты, предусматривающие ведение деятельности в 2024 году</w:t>
      </w:r>
    </w:p>
    <w:p w14:paraId="698CA17C" w14:textId="42445187" w:rsidR="00937ACC" w:rsidRPr="00122955" w:rsidRDefault="00937ACC" w:rsidP="00937ACC">
      <w:pPr>
        <w:pStyle w:val="Heading2"/>
      </w:pPr>
      <w:r>
        <w:t>2.1</w:t>
      </w:r>
      <w:r>
        <w:tab/>
        <w:t>Обзор</w:t>
      </w:r>
      <w:r w:rsidRPr="00122955">
        <w:t xml:space="preserve"> </w:t>
      </w:r>
      <w:r>
        <w:t>и</w:t>
      </w:r>
      <w:r w:rsidRPr="00122955">
        <w:t xml:space="preserve"> </w:t>
      </w:r>
      <w:r>
        <w:t>распределение</w:t>
      </w:r>
      <w:r w:rsidRPr="00122955">
        <w:t xml:space="preserve"> </w:t>
      </w:r>
      <w:r>
        <w:t>по</w:t>
      </w:r>
      <w:r w:rsidRPr="00122955">
        <w:t xml:space="preserve"> </w:t>
      </w:r>
      <w:r>
        <w:t>регионам</w:t>
      </w:r>
    </w:p>
    <w:p w14:paraId="531BF7CC" w14:textId="5E06D390" w:rsidR="00937ACC" w:rsidRDefault="00937ACC" w:rsidP="00937ACC">
      <w:r w:rsidRPr="00122955">
        <w:t>В 2024 году БРЭ выполнило в общей сложности 105 проектов на сумму 90,4 м</w:t>
      </w:r>
      <w:r>
        <w:t>лн.</w:t>
      </w:r>
      <w:r w:rsidRPr="00122955">
        <w:t xml:space="preserve"> швейцарских франков. На Рисунке 1 представлено общее распределение этого портфеля по регионам и обзор 1)</w:t>
      </w:r>
      <w:r w:rsidR="00DD1958">
        <w:t> </w:t>
      </w:r>
      <w:r w:rsidRPr="00122955">
        <w:t>средств, мобилизованных для поддержки реализации этих проектов, 2) начального финансирования, выделенного МСЭ из Фонда развития ИКТ (ФРИКТ)</w:t>
      </w:r>
      <w:r>
        <w:t>.</w:t>
      </w:r>
    </w:p>
    <w:p w14:paraId="39C29CCB" w14:textId="77777777" w:rsidR="00937ACC" w:rsidRDefault="00937ACC" w:rsidP="00937ACC">
      <w:pPr>
        <w:pStyle w:val="TableNo"/>
      </w:pPr>
      <w:r>
        <w:t>Рисунок</w:t>
      </w:r>
      <w:r w:rsidRPr="00122955">
        <w:t xml:space="preserve"> 1 </w:t>
      </w:r>
    </w:p>
    <w:p w14:paraId="72FE4092" w14:textId="4F9F9FCF" w:rsidR="00937ACC" w:rsidRDefault="00937ACC" w:rsidP="00937ACC">
      <w:pPr>
        <w:pStyle w:val="Tabletitle"/>
      </w:pPr>
      <w:r>
        <w:t>Обзор</w:t>
      </w:r>
      <w:r w:rsidRPr="00122955">
        <w:t xml:space="preserve"> </w:t>
      </w:r>
      <w:r>
        <w:t>выполняемых</w:t>
      </w:r>
      <w:r w:rsidRPr="00122955">
        <w:t xml:space="preserve"> </w:t>
      </w:r>
      <w:r>
        <w:t>проектов</w:t>
      </w:r>
      <w:r w:rsidRPr="00122955">
        <w:t xml:space="preserve"> </w:t>
      </w:r>
      <w:r>
        <w:t>в</w:t>
      </w:r>
      <w:r w:rsidRPr="00122955">
        <w:t xml:space="preserve"> </w:t>
      </w:r>
      <w:r>
        <w:t>разбивке</w:t>
      </w:r>
      <w:r w:rsidRPr="00122955">
        <w:t xml:space="preserve"> </w:t>
      </w:r>
      <w:r>
        <w:t>по</w:t>
      </w:r>
      <w:r w:rsidRPr="00122955">
        <w:t xml:space="preserve"> </w:t>
      </w:r>
      <w:r>
        <w:t>регионам</w:t>
      </w:r>
      <w:r w:rsidRPr="00122955">
        <w:t xml:space="preserve"> (</w:t>
      </w:r>
      <w:r>
        <w:t>в тыс. шв</w:t>
      </w:r>
      <w:r w:rsidRPr="00856BE0">
        <w:t xml:space="preserve">. </w:t>
      </w:r>
      <w:r>
        <w:t>фр.</w:t>
      </w:r>
      <w:r w:rsidRPr="00122955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701"/>
        <w:gridCol w:w="1979"/>
      </w:tblGrid>
      <w:tr w:rsidR="00937ACC" w:rsidRPr="00435970" w14:paraId="3441FACD" w14:textId="77777777" w:rsidTr="00496885">
        <w:trPr>
          <w:trHeight w:val="852"/>
          <w:jc w:val="center"/>
        </w:trPr>
        <w:tc>
          <w:tcPr>
            <w:tcW w:w="2405" w:type="dxa"/>
            <w:shd w:val="clear" w:color="auto" w:fill="8DB3E2" w:themeFill="text2" w:themeFillTint="66"/>
            <w:noWrap/>
            <w:vAlign w:val="center"/>
            <w:hideMark/>
          </w:tcPr>
          <w:p w14:paraId="1F001DB9" w14:textId="77777777" w:rsidR="00937ACC" w:rsidRPr="00997AF1" w:rsidRDefault="00937ACC" w:rsidP="00937ACC">
            <w:pPr>
              <w:pStyle w:val="Tablehead"/>
              <w:rPr>
                <w:lang w:eastAsia="zh-CN"/>
              </w:rPr>
            </w:pPr>
            <w:r w:rsidRPr="00997AF1">
              <w:rPr>
                <w:lang w:eastAsia="zh-CN"/>
              </w:rPr>
              <w:t>Регион</w:t>
            </w:r>
          </w:p>
        </w:tc>
        <w:tc>
          <w:tcPr>
            <w:tcW w:w="1843" w:type="dxa"/>
            <w:shd w:val="clear" w:color="auto" w:fill="8DB3E2" w:themeFill="text2" w:themeFillTint="66"/>
            <w:noWrap/>
            <w:vAlign w:val="center"/>
            <w:hideMark/>
          </w:tcPr>
          <w:p w14:paraId="6280FF46" w14:textId="6905CD82" w:rsidR="00937ACC" w:rsidRPr="00997AF1" w:rsidRDefault="00937ACC" w:rsidP="00937ACC">
            <w:pPr>
              <w:pStyle w:val="Tablehead"/>
              <w:rPr>
                <w:lang w:eastAsia="zh-CN"/>
              </w:rPr>
            </w:pPr>
            <w:r w:rsidRPr="00997AF1">
              <w:rPr>
                <w:lang w:eastAsia="zh-CN"/>
              </w:rPr>
              <w:t>Кол</w:t>
            </w:r>
            <w:r w:rsidR="00967891">
              <w:rPr>
                <w:lang w:eastAsia="zh-CN"/>
              </w:rPr>
              <w:t>ичество</w:t>
            </w:r>
            <w:r w:rsidRPr="00997AF1">
              <w:rPr>
                <w:lang w:eastAsia="zh-CN"/>
              </w:rPr>
              <w:t xml:space="preserve"> проектов</w:t>
            </w:r>
          </w:p>
        </w:tc>
        <w:tc>
          <w:tcPr>
            <w:tcW w:w="1701" w:type="dxa"/>
            <w:shd w:val="clear" w:color="auto" w:fill="8DB3E2" w:themeFill="text2" w:themeFillTint="66"/>
            <w:noWrap/>
            <w:vAlign w:val="center"/>
            <w:hideMark/>
          </w:tcPr>
          <w:p w14:paraId="09CDFBB2" w14:textId="77777777" w:rsidR="00937ACC" w:rsidRPr="00997AF1" w:rsidRDefault="00937ACC" w:rsidP="00937ACC">
            <w:pPr>
              <w:pStyle w:val="Tablehead"/>
              <w:rPr>
                <w:lang w:eastAsia="zh-CN"/>
              </w:rPr>
            </w:pPr>
            <w:r w:rsidRPr="00997AF1">
              <w:rPr>
                <w:lang w:eastAsia="zh-CN"/>
              </w:rPr>
              <w:t>Средства от партнеров</w:t>
            </w:r>
          </w:p>
        </w:tc>
        <w:tc>
          <w:tcPr>
            <w:tcW w:w="1701" w:type="dxa"/>
            <w:shd w:val="clear" w:color="auto" w:fill="8DB3E2" w:themeFill="text2" w:themeFillTint="66"/>
            <w:noWrap/>
            <w:vAlign w:val="center"/>
          </w:tcPr>
          <w:p w14:paraId="3E3D9848" w14:textId="77777777" w:rsidR="00937ACC" w:rsidRPr="00997AF1" w:rsidRDefault="00937ACC" w:rsidP="00937ACC">
            <w:pPr>
              <w:pStyle w:val="Tablehead"/>
              <w:rPr>
                <w:lang w:eastAsia="zh-CN"/>
              </w:rPr>
            </w:pPr>
            <w:r w:rsidRPr="00997AF1">
              <w:rPr>
                <w:lang w:eastAsia="zh-CN"/>
              </w:rPr>
              <w:t>Средства МСЭ</w:t>
            </w:r>
          </w:p>
        </w:tc>
        <w:tc>
          <w:tcPr>
            <w:tcW w:w="1979" w:type="dxa"/>
            <w:shd w:val="clear" w:color="auto" w:fill="8DB3E2" w:themeFill="text2" w:themeFillTint="66"/>
            <w:noWrap/>
            <w:vAlign w:val="center"/>
            <w:hideMark/>
          </w:tcPr>
          <w:p w14:paraId="5C07D9F9" w14:textId="77777777" w:rsidR="00937ACC" w:rsidRPr="00856BE0" w:rsidRDefault="00937ACC" w:rsidP="00937ACC">
            <w:pPr>
              <w:pStyle w:val="Tablehead"/>
              <w:rPr>
                <w:lang w:eastAsia="zh-CN"/>
              </w:rPr>
            </w:pPr>
            <w:r w:rsidRPr="00856BE0">
              <w:rPr>
                <w:lang w:eastAsia="zh-CN"/>
              </w:rPr>
              <w:t>Общая сумма средств на проекты</w:t>
            </w:r>
          </w:p>
        </w:tc>
      </w:tr>
      <w:tr w:rsidR="00937ACC" w:rsidRPr="00997AF1" w14:paraId="3F51AD8D" w14:textId="77777777" w:rsidTr="00496885">
        <w:trPr>
          <w:trHeight w:val="54"/>
          <w:jc w:val="center"/>
        </w:trPr>
        <w:tc>
          <w:tcPr>
            <w:tcW w:w="2405" w:type="dxa"/>
            <w:hideMark/>
          </w:tcPr>
          <w:p w14:paraId="623F600A" w14:textId="77777777" w:rsidR="00937ACC" w:rsidRPr="00997AF1" w:rsidRDefault="00937ACC" w:rsidP="00937ACC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АФР</w:t>
            </w:r>
          </w:p>
        </w:tc>
        <w:tc>
          <w:tcPr>
            <w:tcW w:w="1843" w:type="dxa"/>
            <w:noWrap/>
            <w:vAlign w:val="bottom"/>
            <w:hideMark/>
          </w:tcPr>
          <w:p w14:paraId="34544A1B" w14:textId="77777777" w:rsidR="00937ACC" w:rsidRPr="00997AF1" w:rsidRDefault="00937ACC" w:rsidP="00937AC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17</w:t>
            </w:r>
          </w:p>
        </w:tc>
        <w:tc>
          <w:tcPr>
            <w:tcW w:w="1701" w:type="dxa"/>
            <w:vAlign w:val="bottom"/>
            <w:hideMark/>
          </w:tcPr>
          <w:p w14:paraId="20ABCBEC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26 548,5</w:t>
            </w:r>
          </w:p>
        </w:tc>
        <w:tc>
          <w:tcPr>
            <w:tcW w:w="1701" w:type="dxa"/>
            <w:vAlign w:val="bottom"/>
            <w:hideMark/>
          </w:tcPr>
          <w:p w14:paraId="79BAD59A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1 516,8</w:t>
            </w:r>
          </w:p>
        </w:tc>
        <w:tc>
          <w:tcPr>
            <w:tcW w:w="1979" w:type="dxa"/>
            <w:shd w:val="clear" w:color="auto" w:fill="DBE5F1" w:themeFill="accent1" w:themeFillTint="33"/>
            <w:hideMark/>
          </w:tcPr>
          <w:p w14:paraId="0FA16FFB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8E7CF1">
              <w:rPr>
                <w:rFonts w:eastAsiaTheme="minorEastAsia" w:cstheme="minorHAnsi"/>
                <w:lang w:eastAsia="zh-CN"/>
              </w:rPr>
              <w:t>28</w:t>
            </w:r>
            <w:r>
              <w:rPr>
                <w:rFonts w:eastAsiaTheme="minorEastAsia" w:cstheme="minorHAnsi"/>
                <w:lang w:eastAsia="zh-CN"/>
              </w:rPr>
              <w:t> </w:t>
            </w:r>
            <w:r w:rsidRPr="008E7CF1">
              <w:rPr>
                <w:rFonts w:eastAsiaTheme="minorEastAsia" w:cstheme="minorHAnsi"/>
                <w:lang w:eastAsia="zh-CN"/>
              </w:rPr>
              <w:t>065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8E7CF1">
              <w:rPr>
                <w:rFonts w:eastAsiaTheme="minorEastAsia" w:cstheme="minorHAnsi"/>
                <w:lang w:eastAsia="zh-CN"/>
              </w:rPr>
              <w:t>3</w:t>
            </w:r>
          </w:p>
        </w:tc>
      </w:tr>
      <w:tr w:rsidR="00937ACC" w:rsidRPr="00997AF1" w14:paraId="59456823" w14:textId="77777777" w:rsidTr="00496885">
        <w:trPr>
          <w:trHeight w:val="54"/>
          <w:jc w:val="center"/>
        </w:trPr>
        <w:tc>
          <w:tcPr>
            <w:tcW w:w="2405" w:type="dxa"/>
            <w:hideMark/>
          </w:tcPr>
          <w:p w14:paraId="3B7BCAFF" w14:textId="77777777" w:rsidR="00937ACC" w:rsidRPr="00997AF1" w:rsidRDefault="00937ACC" w:rsidP="00937ACC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АМР</w:t>
            </w:r>
          </w:p>
        </w:tc>
        <w:tc>
          <w:tcPr>
            <w:tcW w:w="1843" w:type="dxa"/>
            <w:noWrap/>
            <w:vAlign w:val="bottom"/>
            <w:hideMark/>
          </w:tcPr>
          <w:p w14:paraId="17276B23" w14:textId="77777777" w:rsidR="00937ACC" w:rsidRPr="00997AF1" w:rsidRDefault="00937ACC" w:rsidP="00937AC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19</w:t>
            </w:r>
          </w:p>
        </w:tc>
        <w:tc>
          <w:tcPr>
            <w:tcW w:w="1701" w:type="dxa"/>
            <w:vAlign w:val="bottom"/>
            <w:hideMark/>
          </w:tcPr>
          <w:p w14:paraId="5E45D0AA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12 600,3</w:t>
            </w:r>
          </w:p>
        </w:tc>
        <w:tc>
          <w:tcPr>
            <w:tcW w:w="1701" w:type="dxa"/>
            <w:vAlign w:val="bottom"/>
            <w:hideMark/>
          </w:tcPr>
          <w:p w14:paraId="3762F761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335,5</w:t>
            </w:r>
          </w:p>
        </w:tc>
        <w:tc>
          <w:tcPr>
            <w:tcW w:w="1979" w:type="dxa"/>
            <w:shd w:val="clear" w:color="auto" w:fill="DBE5F1" w:themeFill="accent1" w:themeFillTint="33"/>
            <w:hideMark/>
          </w:tcPr>
          <w:p w14:paraId="6AB9141C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8E7CF1">
              <w:rPr>
                <w:rFonts w:eastAsiaTheme="minorEastAsia" w:cstheme="minorHAnsi"/>
                <w:lang w:eastAsia="zh-CN"/>
              </w:rPr>
              <w:t>12</w:t>
            </w:r>
            <w:r>
              <w:rPr>
                <w:rFonts w:eastAsiaTheme="minorEastAsia" w:cstheme="minorHAnsi"/>
                <w:lang w:eastAsia="zh-CN"/>
              </w:rPr>
              <w:t> </w:t>
            </w:r>
            <w:r w:rsidRPr="008E7CF1">
              <w:rPr>
                <w:rFonts w:eastAsiaTheme="minorEastAsia" w:cstheme="minorHAnsi"/>
                <w:lang w:eastAsia="zh-CN"/>
              </w:rPr>
              <w:t>935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8E7CF1">
              <w:rPr>
                <w:rFonts w:eastAsiaTheme="minorEastAsia" w:cstheme="minorHAnsi"/>
                <w:lang w:eastAsia="zh-CN"/>
              </w:rPr>
              <w:t>8</w:t>
            </w:r>
          </w:p>
        </w:tc>
      </w:tr>
      <w:tr w:rsidR="00937ACC" w:rsidRPr="00997AF1" w14:paraId="7A45DA24" w14:textId="77777777" w:rsidTr="00496885">
        <w:trPr>
          <w:trHeight w:val="300"/>
          <w:jc w:val="center"/>
        </w:trPr>
        <w:tc>
          <w:tcPr>
            <w:tcW w:w="2405" w:type="dxa"/>
            <w:hideMark/>
          </w:tcPr>
          <w:p w14:paraId="56B8EB1E" w14:textId="77777777" w:rsidR="00937ACC" w:rsidRPr="00997AF1" w:rsidRDefault="00937ACC" w:rsidP="00937ACC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АРБ</w:t>
            </w:r>
          </w:p>
        </w:tc>
        <w:tc>
          <w:tcPr>
            <w:tcW w:w="1843" w:type="dxa"/>
            <w:vAlign w:val="bottom"/>
            <w:hideMark/>
          </w:tcPr>
          <w:p w14:paraId="0F20C707" w14:textId="77777777" w:rsidR="00937ACC" w:rsidRPr="00997AF1" w:rsidRDefault="00937ACC" w:rsidP="00937AC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1701" w:type="dxa"/>
            <w:vAlign w:val="bottom"/>
            <w:hideMark/>
          </w:tcPr>
          <w:p w14:paraId="778004F2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2 989,6</w:t>
            </w:r>
          </w:p>
        </w:tc>
        <w:tc>
          <w:tcPr>
            <w:tcW w:w="1701" w:type="dxa"/>
            <w:vAlign w:val="bottom"/>
            <w:hideMark/>
          </w:tcPr>
          <w:p w14:paraId="054ABAF8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664,5</w:t>
            </w:r>
          </w:p>
        </w:tc>
        <w:tc>
          <w:tcPr>
            <w:tcW w:w="1979" w:type="dxa"/>
            <w:shd w:val="clear" w:color="auto" w:fill="DBE5F1" w:themeFill="accent1" w:themeFillTint="33"/>
            <w:hideMark/>
          </w:tcPr>
          <w:p w14:paraId="1EF363BC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8E7CF1">
              <w:rPr>
                <w:rFonts w:eastAsiaTheme="minorEastAsia" w:cstheme="minorHAnsi"/>
                <w:lang w:eastAsia="zh-CN"/>
              </w:rPr>
              <w:t>3</w:t>
            </w:r>
            <w:r>
              <w:rPr>
                <w:rFonts w:eastAsiaTheme="minorEastAsia" w:cstheme="minorHAnsi"/>
                <w:lang w:eastAsia="zh-CN"/>
              </w:rPr>
              <w:t> </w:t>
            </w:r>
            <w:r w:rsidRPr="008E7CF1">
              <w:rPr>
                <w:rFonts w:eastAsiaTheme="minorEastAsia" w:cstheme="minorHAnsi"/>
                <w:lang w:eastAsia="zh-CN"/>
              </w:rPr>
              <w:t>654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8E7CF1">
              <w:rPr>
                <w:rFonts w:eastAsiaTheme="minorEastAsia" w:cstheme="minorHAnsi"/>
                <w:lang w:eastAsia="zh-CN"/>
              </w:rPr>
              <w:t>1</w:t>
            </w:r>
          </w:p>
        </w:tc>
      </w:tr>
      <w:tr w:rsidR="00937ACC" w:rsidRPr="00997AF1" w14:paraId="614A7FE6" w14:textId="77777777" w:rsidTr="00496885">
        <w:trPr>
          <w:trHeight w:val="54"/>
          <w:jc w:val="center"/>
        </w:trPr>
        <w:tc>
          <w:tcPr>
            <w:tcW w:w="2405" w:type="dxa"/>
            <w:vAlign w:val="center"/>
            <w:hideMark/>
          </w:tcPr>
          <w:p w14:paraId="64CE95C8" w14:textId="77777777" w:rsidR="00937ACC" w:rsidRPr="00997AF1" w:rsidRDefault="00937ACC" w:rsidP="00937ACC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АТР</w:t>
            </w:r>
          </w:p>
        </w:tc>
        <w:tc>
          <w:tcPr>
            <w:tcW w:w="1843" w:type="dxa"/>
            <w:noWrap/>
            <w:vAlign w:val="bottom"/>
            <w:hideMark/>
          </w:tcPr>
          <w:p w14:paraId="6454F97D" w14:textId="77777777" w:rsidR="00937ACC" w:rsidRPr="00997AF1" w:rsidRDefault="00937ACC" w:rsidP="00937AC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15</w:t>
            </w:r>
          </w:p>
        </w:tc>
        <w:tc>
          <w:tcPr>
            <w:tcW w:w="1701" w:type="dxa"/>
            <w:vAlign w:val="bottom"/>
            <w:hideMark/>
          </w:tcPr>
          <w:p w14:paraId="2AF41677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6 667,2</w:t>
            </w:r>
          </w:p>
        </w:tc>
        <w:tc>
          <w:tcPr>
            <w:tcW w:w="1701" w:type="dxa"/>
            <w:vAlign w:val="bottom"/>
          </w:tcPr>
          <w:p w14:paraId="710E95D7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655,6</w:t>
            </w:r>
          </w:p>
        </w:tc>
        <w:tc>
          <w:tcPr>
            <w:tcW w:w="1979" w:type="dxa"/>
            <w:shd w:val="clear" w:color="auto" w:fill="DBE5F1" w:themeFill="accent1" w:themeFillTint="33"/>
            <w:hideMark/>
          </w:tcPr>
          <w:p w14:paraId="5797454D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8E7CF1">
              <w:rPr>
                <w:rFonts w:eastAsiaTheme="minorEastAsia" w:cstheme="minorHAnsi"/>
                <w:lang w:eastAsia="zh-CN"/>
              </w:rPr>
              <w:t>7</w:t>
            </w:r>
            <w:r>
              <w:rPr>
                <w:rFonts w:eastAsiaTheme="minorEastAsia" w:cstheme="minorHAnsi"/>
                <w:lang w:eastAsia="zh-CN"/>
              </w:rPr>
              <w:t> </w:t>
            </w:r>
            <w:r w:rsidRPr="008E7CF1">
              <w:rPr>
                <w:rFonts w:eastAsiaTheme="minorEastAsia" w:cstheme="minorHAnsi"/>
                <w:lang w:eastAsia="zh-CN"/>
              </w:rPr>
              <w:t>322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8E7CF1">
              <w:rPr>
                <w:rFonts w:eastAsiaTheme="minorEastAsia" w:cstheme="minorHAnsi"/>
                <w:lang w:eastAsia="zh-CN"/>
              </w:rPr>
              <w:t>9</w:t>
            </w:r>
          </w:p>
        </w:tc>
      </w:tr>
      <w:tr w:rsidR="00937ACC" w:rsidRPr="00997AF1" w14:paraId="018183DB" w14:textId="77777777" w:rsidTr="00496885">
        <w:trPr>
          <w:trHeight w:val="54"/>
          <w:jc w:val="center"/>
        </w:trPr>
        <w:tc>
          <w:tcPr>
            <w:tcW w:w="2405" w:type="dxa"/>
            <w:hideMark/>
          </w:tcPr>
          <w:p w14:paraId="02198E19" w14:textId="77777777" w:rsidR="00937ACC" w:rsidRPr="00997AF1" w:rsidRDefault="00937ACC" w:rsidP="00937ACC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 xml:space="preserve">СНГ </w:t>
            </w:r>
          </w:p>
        </w:tc>
        <w:tc>
          <w:tcPr>
            <w:tcW w:w="1843" w:type="dxa"/>
            <w:vAlign w:val="bottom"/>
            <w:hideMark/>
          </w:tcPr>
          <w:p w14:paraId="296D0C02" w14:textId="77777777" w:rsidR="00937ACC" w:rsidRPr="00997AF1" w:rsidRDefault="00937ACC" w:rsidP="00937AC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1701" w:type="dxa"/>
            <w:vAlign w:val="bottom"/>
            <w:hideMark/>
          </w:tcPr>
          <w:p w14:paraId="577261AC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342,0</w:t>
            </w:r>
          </w:p>
        </w:tc>
        <w:tc>
          <w:tcPr>
            <w:tcW w:w="1701" w:type="dxa"/>
            <w:vAlign w:val="bottom"/>
          </w:tcPr>
          <w:p w14:paraId="5A19F620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532,2</w:t>
            </w:r>
          </w:p>
        </w:tc>
        <w:tc>
          <w:tcPr>
            <w:tcW w:w="1979" w:type="dxa"/>
            <w:shd w:val="clear" w:color="auto" w:fill="DBE5F1" w:themeFill="accent1" w:themeFillTint="33"/>
            <w:hideMark/>
          </w:tcPr>
          <w:p w14:paraId="31040005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8E7CF1">
              <w:rPr>
                <w:rFonts w:eastAsiaTheme="minorEastAsia" w:cstheme="minorHAnsi"/>
                <w:lang w:eastAsia="zh-CN"/>
              </w:rPr>
              <w:t>874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8E7CF1">
              <w:rPr>
                <w:rFonts w:eastAsiaTheme="minorEastAsia" w:cstheme="minorHAnsi"/>
                <w:lang w:eastAsia="zh-CN"/>
              </w:rPr>
              <w:t>1</w:t>
            </w:r>
          </w:p>
        </w:tc>
      </w:tr>
      <w:tr w:rsidR="00937ACC" w:rsidRPr="00997AF1" w14:paraId="62A10BBA" w14:textId="77777777" w:rsidTr="00496885">
        <w:trPr>
          <w:trHeight w:val="54"/>
          <w:jc w:val="center"/>
        </w:trPr>
        <w:tc>
          <w:tcPr>
            <w:tcW w:w="2405" w:type="dxa"/>
            <w:vAlign w:val="bottom"/>
            <w:hideMark/>
          </w:tcPr>
          <w:p w14:paraId="60AC1956" w14:textId="77777777" w:rsidR="00937ACC" w:rsidRPr="00997AF1" w:rsidRDefault="00937ACC" w:rsidP="00937ACC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ЕВР</w:t>
            </w:r>
          </w:p>
        </w:tc>
        <w:tc>
          <w:tcPr>
            <w:tcW w:w="1843" w:type="dxa"/>
            <w:vAlign w:val="bottom"/>
            <w:hideMark/>
          </w:tcPr>
          <w:p w14:paraId="4554DB99" w14:textId="77777777" w:rsidR="00937ACC" w:rsidRPr="00997AF1" w:rsidRDefault="00937ACC" w:rsidP="00937AC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1701" w:type="dxa"/>
            <w:vAlign w:val="bottom"/>
            <w:hideMark/>
          </w:tcPr>
          <w:p w14:paraId="63795C57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4 034,6</w:t>
            </w:r>
          </w:p>
        </w:tc>
        <w:tc>
          <w:tcPr>
            <w:tcW w:w="1701" w:type="dxa"/>
            <w:vAlign w:val="bottom"/>
          </w:tcPr>
          <w:p w14:paraId="41D854B1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44,2</w:t>
            </w:r>
          </w:p>
        </w:tc>
        <w:tc>
          <w:tcPr>
            <w:tcW w:w="1979" w:type="dxa"/>
            <w:shd w:val="clear" w:color="auto" w:fill="DBE5F1" w:themeFill="accent1" w:themeFillTint="33"/>
            <w:hideMark/>
          </w:tcPr>
          <w:p w14:paraId="2335D109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8E7CF1">
              <w:rPr>
                <w:rFonts w:eastAsiaTheme="minorEastAsia" w:cstheme="minorHAnsi"/>
                <w:lang w:eastAsia="zh-CN"/>
              </w:rPr>
              <w:t>4</w:t>
            </w:r>
            <w:r>
              <w:rPr>
                <w:rFonts w:eastAsiaTheme="minorEastAsia" w:cstheme="minorHAnsi"/>
                <w:lang w:eastAsia="zh-CN"/>
              </w:rPr>
              <w:t> </w:t>
            </w:r>
            <w:r w:rsidRPr="008E7CF1">
              <w:rPr>
                <w:rFonts w:eastAsiaTheme="minorEastAsia" w:cstheme="minorHAnsi"/>
                <w:lang w:eastAsia="zh-CN"/>
              </w:rPr>
              <w:t>078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8E7CF1">
              <w:rPr>
                <w:rFonts w:eastAsiaTheme="minorEastAsia" w:cstheme="minorHAnsi"/>
                <w:lang w:eastAsia="zh-CN"/>
              </w:rPr>
              <w:t>8</w:t>
            </w:r>
          </w:p>
        </w:tc>
      </w:tr>
      <w:tr w:rsidR="00937ACC" w:rsidRPr="00997AF1" w14:paraId="7025C0F7" w14:textId="77777777" w:rsidTr="00496885">
        <w:trPr>
          <w:trHeight w:val="54"/>
          <w:jc w:val="center"/>
        </w:trPr>
        <w:tc>
          <w:tcPr>
            <w:tcW w:w="2405" w:type="dxa"/>
            <w:hideMark/>
          </w:tcPr>
          <w:p w14:paraId="574BC705" w14:textId="77777777" w:rsidR="00937ACC" w:rsidRPr="00997AF1" w:rsidRDefault="00937ACC" w:rsidP="00937ACC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Несколько регионов (*)</w:t>
            </w:r>
          </w:p>
        </w:tc>
        <w:tc>
          <w:tcPr>
            <w:tcW w:w="1843" w:type="dxa"/>
            <w:noWrap/>
            <w:vAlign w:val="bottom"/>
            <w:hideMark/>
          </w:tcPr>
          <w:p w14:paraId="111EEC9A" w14:textId="77777777" w:rsidR="00937ACC" w:rsidRPr="00997AF1" w:rsidRDefault="00937ACC" w:rsidP="00937AC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41</w:t>
            </w:r>
          </w:p>
        </w:tc>
        <w:tc>
          <w:tcPr>
            <w:tcW w:w="1701" w:type="dxa"/>
            <w:vAlign w:val="bottom"/>
            <w:hideMark/>
          </w:tcPr>
          <w:p w14:paraId="6A6784FE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26 852,4</w:t>
            </w:r>
          </w:p>
        </w:tc>
        <w:tc>
          <w:tcPr>
            <w:tcW w:w="1701" w:type="dxa"/>
            <w:vAlign w:val="bottom"/>
            <w:hideMark/>
          </w:tcPr>
          <w:p w14:paraId="2065F531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6 676,5</w:t>
            </w:r>
          </w:p>
        </w:tc>
        <w:tc>
          <w:tcPr>
            <w:tcW w:w="1979" w:type="dxa"/>
            <w:shd w:val="clear" w:color="auto" w:fill="DBE5F1" w:themeFill="accent1" w:themeFillTint="33"/>
            <w:hideMark/>
          </w:tcPr>
          <w:p w14:paraId="027C2861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8E7CF1">
              <w:rPr>
                <w:rFonts w:eastAsiaTheme="minorEastAsia" w:cstheme="minorHAnsi"/>
                <w:lang w:eastAsia="zh-CN"/>
              </w:rPr>
              <w:t>33</w:t>
            </w:r>
            <w:r>
              <w:rPr>
                <w:rFonts w:eastAsiaTheme="minorEastAsia" w:cstheme="minorHAnsi"/>
                <w:lang w:eastAsia="zh-CN"/>
              </w:rPr>
              <w:t> </w:t>
            </w:r>
            <w:r w:rsidRPr="008E7CF1">
              <w:rPr>
                <w:rFonts w:eastAsiaTheme="minorEastAsia" w:cstheme="minorHAnsi"/>
                <w:lang w:eastAsia="zh-CN"/>
              </w:rPr>
              <w:t>528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8E7CF1">
              <w:rPr>
                <w:rFonts w:eastAsiaTheme="minorEastAsia" w:cstheme="minorHAnsi"/>
                <w:lang w:eastAsia="zh-CN"/>
              </w:rPr>
              <w:t>9</w:t>
            </w:r>
          </w:p>
        </w:tc>
      </w:tr>
      <w:tr w:rsidR="00937ACC" w:rsidRPr="00997AF1" w14:paraId="492CD43F" w14:textId="77777777" w:rsidTr="00496885">
        <w:trPr>
          <w:trHeight w:val="54"/>
          <w:jc w:val="center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  <w:hideMark/>
          </w:tcPr>
          <w:p w14:paraId="7368B89E" w14:textId="77777777" w:rsidR="00937ACC" w:rsidRPr="00997AF1" w:rsidRDefault="00937ACC" w:rsidP="00937ACC">
            <w:pPr>
              <w:pStyle w:val="Tabletext"/>
              <w:rPr>
                <w:b/>
                <w:bCs/>
                <w:lang w:eastAsia="zh-CN"/>
              </w:rPr>
            </w:pPr>
            <w:r w:rsidRPr="00997AF1">
              <w:rPr>
                <w:b/>
                <w:bCs/>
                <w:lang w:eastAsia="zh-CN"/>
              </w:rPr>
              <w:t>ВСЕГО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vAlign w:val="bottom"/>
            <w:hideMark/>
          </w:tcPr>
          <w:p w14:paraId="137F841B" w14:textId="77777777" w:rsidR="00937ACC" w:rsidRPr="00997AF1" w:rsidRDefault="00937ACC" w:rsidP="00937ACC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997AF1">
              <w:rPr>
                <w:rFonts w:eastAsiaTheme="minorEastAsia"/>
                <w:b/>
                <w:bCs/>
                <w:lang w:eastAsia="zh-CN"/>
              </w:rPr>
              <w:t>105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  <w:hideMark/>
          </w:tcPr>
          <w:p w14:paraId="1DFBB948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b/>
                <w:bCs/>
                <w:lang w:eastAsia="zh-CN"/>
              </w:rPr>
            </w:pPr>
            <w:r w:rsidRPr="00997AF1">
              <w:rPr>
                <w:rFonts w:eastAsiaTheme="minorEastAsia"/>
                <w:b/>
                <w:bCs/>
                <w:lang w:eastAsia="zh-CN"/>
              </w:rPr>
              <w:t>80 034,7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  <w:hideMark/>
          </w:tcPr>
          <w:p w14:paraId="5CFFBED8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b/>
                <w:bCs/>
                <w:lang w:eastAsia="zh-CN"/>
              </w:rPr>
            </w:pPr>
            <w:r w:rsidRPr="00997AF1">
              <w:rPr>
                <w:rFonts w:eastAsiaTheme="minorEastAsia"/>
                <w:b/>
                <w:bCs/>
                <w:lang w:eastAsia="zh-CN"/>
              </w:rPr>
              <w:t>10 425,3</w:t>
            </w:r>
          </w:p>
        </w:tc>
        <w:tc>
          <w:tcPr>
            <w:tcW w:w="1979" w:type="dxa"/>
            <w:shd w:val="clear" w:color="auto" w:fill="DBE5F1" w:themeFill="accent1" w:themeFillTint="33"/>
            <w:noWrap/>
            <w:hideMark/>
          </w:tcPr>
          <w:p w14:paraId="5A494D71" w14:textId="77777777" w:rsidR="00937ACC" w:rsidRPr="00997AF1" w:rsidRDefault="00937ACC" w:rsidP="00937ACC">
            <w:pPr>
              <w:pStyle w:val="Tabletext"/>
              <w:jc w:val="right"/>
              <w:rPr>
                <w:rFonts w:eastAsiaTheme="minorEastAsia"/>
                <w:b/>
                <w:bCs/>
                <w:lang w:eastAsia="zh-CN"/>
              </w:rPr>
            </w:pPr>
            <w:r w:rsidRPr="008E7CF1">
              <w:rPr>
                <w:rFonts w:eastAsiaTheme="minorEastAsia" w:cstheme="minorHAnsi"/>
                <w:b/>
                <w:bCs/>
                <w:lang w:eastAsia="zh-CN"/>
              </w:rPr>
              <w:t>90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 </w:t>
            </w:r>
            <w:r w:rsidRPr="008E7CF1">
              <w:rPr>
                <w:rFonts w:eastAsiaTheme="minorEastAsia" w:cstheme="minorHAnsi"/>
                <w:b/>
                <w:bCs/>
                <w:lang w:eastAsia="zh-CN"/>
              </w:rPr>
              <w:t>460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8E7CF1">
              <w:rPr>
                <w:rFonts w:eastAsiaTheme="minorEastAsia" w:cstheme="minorHAnsi"/>
                <w:b/>
                <w:bCs/>
                <w:lang w:eastAsia="zh-CN"/>
              </w:rPr>
              <w:t>0</w:t>
            </w:r>
          </w:p>
        </w:tc>
      </w:tr>
    </w:tbl>
    <w:p w14:paraId="57D759D0" w14:textId="2C0E76FF" w:rsidR="00937ACC" w:rsidRPr="00937ACC" w:rsidRDefault="00937ACC" w:rsidP="00937ACC">
      <w:pPr>
        <w:pStyle w:val="Tablelegend"/>
      </w:pPr>
      <w:r w:rsidRPr="00937ACC">
        <w:t>(*)</w:t>
      </w:r>
      <w:r>
        <w:tab/>
      </w:r>
      <w:r w:rsidRPr="00937ACC">
        <w:t>Межрегиональные проекты для всех регионов.</w:t>
      </w:r>
    </w:p>
    <w:p w14:paraId="7B9D7419" w14:textId="515CDBDD" w:rsidR="00937ACC" w:rsidRPr="008658DF" w:rsidRDefault="00937ACC" w:rsidP="00937ACC">
      <w:pPr>
        <w:pStyle w:val="Heading2"/>
      </w:pPr>
      <w:r>
        <w:t>2.2</w:t>
      </w:r>
      <w:r>
        <w:tab/>
      </w:r>
      <w:r w:rsidRPr="008658DF">
        <w:t xml:space="preserve">Проекты, по которым были подписаны соглашения в течение отчетного периода </w:t>
      </w:r>
    </w:p>
    <w:p w14:paraId="627BE6BB" w14:textId="3D37B927" w:rsidR="00937ACC" w:rsidRPr="00856BE0" w:rsidRDefault="00937ACC" w:rsidP="00937ACC">
      <w:r>
        <w:t>В</w:t>
      </w:r>
      <w:r w:rsidRPr="008658DF">
        <w:t xml:space="preserve"> 2024 </w:t>
      </w:r>
      <w:r>
        <w:t>году</w:t>
      </w:r>
      <w:r w:rsidRPr="008658DF">
        <w:t xml:space="preserve"> </w:t>
      </w:r>
      <w:r>
        <w:t>БРЭ</w:t>
      </w:r>
      <w:r w:rsidRPr="008658DF">
        <w:t xml:space="preserve"> </w:t>
      </w:r>
      <w:r>
        <w:t>подписало</w:t>
      </w:r>
      <w:r w:rsidRPr="008658DF">
        <w:t xml:space="preserve"> </w:t>
      </w:r>
      <w:r>
        <w:t>в</w:t>
      </w:r>
      <w:r w:rsidRPr="008658DF">
        <w:t xml:space="preserve"> </w:t>
      </w:r>
      <w:r>
        <w:t>общей</w:t>
      </w:r>
      <w:r w:rsidRPr="008658DF">
        <w:t xml:space="preserve"> </w:t>
      </w:r>
      <w:r>
        <w:t>сложности</w:t>
      </w:r>
      <w:r w:rsidRPr="008658DF">
        <w:t xml:space="preserve"> 37 </w:t>
      </w:r>
      <w:r>
        <w:t>соглашений</w:t>
      </w:r>
      <w:r w:rsidRPr="008658DF">
        <w:t xml:space="preserve"> </w:t>
      </w:r>
      <w:r>
        <w:t xml:space="preserve">по новым проектам общей стоимостью </w:t>
      </w:r>
      <w:r w:rsidRPr="008658DF">
        <w:t>28</w:t>
      </w:r>
      <w:r>
        <w:t>,</w:t>
      </w:r>
      <w:r w:rsidRPr="008658DF">
        <w:t xml:space="preserve">6 </w:t>
      </w:r>
      <w:r>
        <w:t>млн. швейцарских франков</w:t>
      </w:r>
      <w:r w:rsidRPr="00732F0B">
        <w:rPr>
          <w:rStyle w:val="FootnoteReference"/>
        </w:rPr>
        <w:footnoteReference w:id="3"/>
      </w:r>
      <w:r w:rsidRPr="008658DF">
        <w:t xml:space="preserve">. Эти цифры отражают самый высокий уровень средств, привлеченных в рамках проектов за последние десять лет, что подтверждает положительную </w:t>
      </w:r>
      <w:r w:rsidRPr="008658DF">
        <w:lastRenderedPageBreak/>
        <w:t>тенденцию усилий БРЭ по мобилизации внебюджетных средств для поддержки проектов (см.</w:t>
      </w:r>
      <w:r w:rsidR="00DD1958">
        <w:t> </w:t>
      </w:r>
      <w:r w:rsidRPr="008658DF">
        <w:t>Рисунок</w:t>
      </w:r>
      <w:r w:rsidRPr="00937ACC">
        <w:t xml:space="preserve"> 2)</w:t>
      </w:r>
      <w:r>
        <w:t>.</w:t>
      </w:r>
      <w:r w:rsidRPr="00937ACC">
        <w:t xml:space="preserve"> </w:t>
      </w:r>
      <w:r w:rsidRPr="008658DF">
        <w:t>Список</w:t>
      </w:r>
      <w:r w:rsidRPr="00856BE0">
        <w:t xml:space="preserve"> </w:t>
      </w:r>
      <w:r w:rsidRPr="008658DF">
        <w:t>соответствующих</w:t>
      </w:r>
      <w:r w:rsidRPr="00856BE0">
        <w:t xml:space="preserve"> </w:t>
      </w:r>
      <w:r w:rsidRPr="008658DF">
        <w:t>соглашений</w:t>
      </w:r>
      <w:r w:rsidRPr="00856BE0">
        <w:t xml:space="preserve"> </w:t>
      </w:r>
      <w:r w:rsidRPr="008658DF">
        <w:t>содержится</w:t>
      </w:r>
      <w:r w:rsidRPr="00856BE0">
        <w:t xml:space="preserve"> </w:t>
      </w:r>
      <w:r w:rsidRPr="008658DF">
        <w:t>в</w:t>
      </w:r>
      <w:r w:rsidRPr="00856BE0">
        <w:t xml:space="preserve"> </w:t>
      </w:r>
      <w:r w:rsidRPr="008658DF">
        <w:t>Документе</w:t>
      </w:r>
      <w:r w:rsidRPr="00856BE0">
        <w:t xml:space="preserve"> </w:t>
      </w:r>
      <w:r w:rsidRPr="008658DF">
        <w:rPr>
          <w:lang w:val="en-US"/>
        </w:rPr>
        <w:t>INF</w:t>
      </w:r>
      <w:r w:rsidRPr="00856BE0">
        <w:t>/1</w:t>
      </w:r>
      <w:r>
        <w:t>.</w:t>
      </w:r>
    </w:p>
    <w:p w14:paraId="1819B7D7" w14:textId="77777777" w:rsidR="00937ACC" w:rsidRDefault="00937ACC" w:rsidP="00937ACC">
      <w:pPr>
        <w:pStyle w:val="FigureNo"/>
      </w:pPr>
      <w:r>
        <w:t>Рисунок</w:t>
      </w:r>
      <w:r w:rsidRPr="00AE390C">
        <w:t xml:space="preserve"> 2</w:t>
      </w:r>
    </w:p>
    <w:p w14:paraId="464F7351" w14:textId="22DFBE15" w:rsidR="00937ACC" w:rsidRPr="00AE390C" w:rsidRDefault="00937ACC" w:rsidP="00937ACC">
      <w:pPr>
        <w:pStyle w:val="Figuretitle"/>
      </w:pPr>
      <w:r>
        <w:t>Новые</w:t>
      </w:r>
      <w:r w:rsidRPr="00AE390C">
        <w:t xml:space="preserve"> </w:t>
      </w:r>
      <w:r>
        <w:t>проекты</w:t>
      </w:r>
      <w:r w:rsidRPr="00AE390C">
        <w:t xml:space="preserve">, </w:t>
      </w:r>
      <w:r>
        <w:t xml:space="preserve">соглашения по которым были подписаны МСЭ </w:t>
      </w:r>
      <w:r w:rsidRPr="00AE390C">
        <w:t>(2014</w:t>
      </w:r>
      <w:r>
        <w:t>–</w:t>
      </w:r>
      <w:r w:rsidRPr="00AE390C">
        <w:t>2024</w:t>
      </w:r>
      <w:r>
        <w:t xml:space="preserve"> г</w:t>
      </w:r>
      <w:r w:rsidR="00DD1958">
        <w:t>г.</w:t>
      </w:r>
      <w:r w:rsidRPr="00AE390C">
        <w:t>)</w:t>
      </w:r>
    </w:p>
    <w:p w14:paraId="7107CD07" w14:textId="77777777" w:rsidR="00937ACC" w:rsidRDefault="00937ACC" w:rsidP="00937ACC">
      <w:pPr>
        <w:pStyle w:val="Figure"/>
        <w:rPr>
          <w:rFonts w:cstheme="minorHAnsi"/>
        </w:rPr>
      </w:pPr>
      <w:r w:rsidRPr="008E7CF1">
        <w:rPr>
          <w:noProof/>
        </w:rPr>
        <w:drawing>
          <wp:inline distT="0" distB="0" distL="0" distR="0" wp14:anchorId="627C8E73" wp14:editId="605B727E">
            <wp:extent cx="6120765" cy="2385060"/>
            <wp:effectExtent l="0" t="0" r="0" b="0"/>
            <wp:docPr id="7100737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A63566E-3D2F-4F23-8937-8CA0AF27F5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9BE3F8B" w14:textId="77777777" w:rsidR="00937ACC" w:rsidRPr="00AE390C" w:rsidRDefault="00937ACC" w:rsidP="00937ACC">
      <w:r w:rsidRPr="00AE390C">
        <w:t xml:space="preserve">Эти новые проекты </w:t>
      </w:r>
      <w:r>
        <w:t>осуществляются на межрегиональном</w:t>
      </w:r>
      <w:r w:rsidRPr="00AE390C">
        <w:t>, региональн</w:t>
      </w:r>
      <w:r>
        <w:t>ом</w:t>
      </w:r>
      <w:r w:rsidRPr="00AE390C">
        <w:t xml:space="preserve"> и национальн</w:t>
      </w:r>
      <w:r>
        <w:t>ом уровнях</w:t>
      </w:r>
      <w:r w:rsidRPr="00AE390C">
        <w:t xml:space="preserve"> и охватывают весь спектр приоритетов МСЭ-</w:t>
      </w:r>
      <w:r w:rsidRPr="00AE390C">
        <w:rPr>
          <w:lang w:val="en-US"/>
        </w:rPr>
        <w:t>D</w:t>
      </w:r>
      <w:r w:rsidRPr="00AE390C">
        <w:t xml:space="preserve">, определенных в Кигалийском плане действий (КПД) ВКРЭ-22. Что касается источников финансирования, </w:t>
      </w:r>
      <w:r>
        <w:t xml:space="preserve">то </w:t>
      </w:r>
      <w:r w:rsidRPr="00AE390C">
        <w:t xml:space="preserve">92% средств для новых проектов поступает из внебюджетных средств, привлеченных БРЭ от третьих сторон, тогда как остальные 8% </w:t>
      </w:r>
      <w:r>
        <w:t>представляют собой</w:t>
      </w:r>
      <w:r w:rsidRPr="00AE390C">
        <w:t xml:space="preserve"> начальны</w:t>
      </w:r>
      <w:r>
        <w:t>е</w:t>
      </w:r>
      <w:r w:rsidRPr="00AE390C">
        <w:t xml:space="preserve"> инвестици</w:t>
      </w:r>
      <w:r>
        <w:t>и</w:t>
      </w:r>
      <w:r w:rsidRPr="00AE390C">
        <w:t xml:space="preserve"> от МСЭ. На Рисунке 3 представлен график, показывающий процентное соотношение внебюджетных средств и </w:t>
      </w:r>
      <w:r>
        <w:t>с</w:t>
      </w:r>
      <w:r w:rsidRPr="00AE390C">
        <w:t>редств МСЭ</w:t>
      </w:r>
      <w:r>
        <w:t xml:space="preserve"> в рамках</w:t>
      </w:r>
      <w:r w:rsidRPr="00AE390C">
        <w:t xml:space="preserve"> бюджет</w:t>
      </w:r>
      <w:r>
        <w:t>ов</w:t>
      </w:r>
      <w:r w:rsidRPr="00AE390C">
        <w:t xml:space="preserve"> проектов</w:t>
      </w:r>
      <w:r>
        <w:t xml:space="preserve">. </w:t>
      </w:r>
    </w:p>
    <w:p w14:paraId="1C11EFFE" w14:textId="77777777" w:rsidR="006D4BCE" w:rsidRDefault="00937ACC" w:rsidP="006D4BCE">
      <w:pPr>
        <w:pStyle w:val="FigureNo"/>
      </w:pPr>
      <w:r>
        <w:t>Рисунок</w:t>
      </w:r>
      <w:r w:rsidRPr="00254CF0">
        <w:t xml:space="preserve"> 3</w:t>
      </w:r>
    </w:p>
    <w:p w14:paraId="1298B887" w14:textId="37A3A70E" w:rsidR="00937ACC" w:rsidRPr="00254CF0" w:rsidRDefault="00937ACC" w:rsidP="006D4BCE">
      <w:pPr>
        <w:pStyle w:val="Figuretitle"/>
      </w:pPr>
      <w:r>
        <w:t>Источники</w:t>
      </w:r>
      <w:r w:rsidRPr="00254CF0">
        <w:t xml:space="preserve"> </w:t>
      </w:r>
      <w:r>
        <w:t>финансирования</w:t>
      </w:r>
      <w:r w:rsidRPr="00254CF0">
        <w:t xml:space="preserve"> </w:t>
      </w:r>
      <w:r>
        <w:t>проектов</w:t>
      </w:r>
      <w:r w:rsidRPr="00254CF0">
        <w:t xml:space="preserve"> </w:t>
      </w:r>
      <w:r>
        <w:t>МСЭ</w:t>
      </w:r>
      <w:r w:rsidRPr="00254CF0">
        <w:t xml:space="preserve"> (</w:t>
      </w:r>
      <w:r>
        <w:t xml:space="preserve">новые проекты, </w:t>
      </w:r>
      <w:r w:rsidR="006D4BCE">
        <w:br/>
      </w:r>
      <w:r>
        <w:t>соглашения по которым были подписаны в</w:t>
      </w:r>
      <w:r w:rsidRPr="00254CF0">
        <w:t xml:space="preserve"> 2024</w:t>
      </w:r>
      <w:r>
        <w:t xml:space="preserve"> г</w:t>
      </w:r>
      <w:r w:rsidR="00DD1958">
        <w:t>.</w:t>
      </w:r>
      <w:r w:rsidRPr="00254CF0">
        <w:t>)</w:t>
      </w:r>
    </w:p>
    <w:p w14:paraId="07EBBE6E" w14:textId="77777777" w:rsidR="00937ACC" w:rsidRPr="00732F0B" w:rsidRDefault="00937ACC" w:rsidP="00732F0B">
      <w:pPr>
        <w:pStyle w:val="Figure"/>
        <w:keepNext w:val="0"/>
        <w:keepLines w:val="0"/>
        <w:rPr>
          <w:rFonts w:cstheme="minorHAnsi"/>
          <w:noProof/>
        </w:rPr>
      </w:pPr>
      <w:r w:rsidRPr="00254CF0">
        <w:rPr>
          <w:rFonts w:cstheme="minorHAnsi"/>
          <w:noProof/>
          <w:color w:val="FF0000"/>
        </w:rPr>
        <w:t xml:space="preserve"> </w:t>
      </w:r>
      <w:r w:rsidRPr="008E7CF1">
        <w:rPr>
          <w:noProof/>
        </w:rPr>
        <w:drawing>
          <wp:inline distT="0" distB="0" distL="0" distR="0" wp14:anchorId="29E81A82" wp14:editId="15B93B88">
            <wp:extent cx="4561840" cy="2218414"/>
            <wp:effectExtent l="0" t="0" r="0" b="0"/>
            <wp:docPr id="84780269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C87DC3D-E7EF-9DBA-F6F2-C4E742E59B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4AE68C" w14:textId="7AC8342C" w:rsidR="00937ACC" w:rsidRPr="00937ACC" w:rsidRDefault="00937ACC" w:rsidP="00937ACC">
      <w:pPr>
        <w:pStyle w:val="Heading1"/>
      </w:pPr>
      <w:r>
        <w:lastRenderedPageBreak/>
        <w:t>3</w:t>
      </w:r>
      <w:r>
        <w:tab/>
      </w:r>
      <w:r w:rsidRPr="00937ACC">
        <w:t>Обновленная информация о положении дел с выделением финансирования в поддержку региональных инициатив ВКРЭ-22</w:t>
      </w:r>
    </w:p>
    <w:p w14:paraId="497B8C35" w14:textId="1C4C9649" w:rsidR="00937ACC" w:rsidRPr="00700849" w:rsidRDefault="00937ACC" w:rsidP="00937ACC">
      <w:r w:rsidRPr="00700849">
        <w:t>На сессии Совета МСЭ 2023 года Члены МСЭ утвердили перевод 3 млн</w:t>
      </w:r>
      <w:r>
        <w:t>.</w:t>
      </w:r>
      <w:r w:rsidRPr="00700849">
        <w:t xml:space="preserve"> швейцарских франков из средств Оборотного выставочного фонда (ОВФ) на счет </w:t>
      </w:r>
      <w:r>
        <w:t>капитальных затрат</w:t>
      </w:r>
      <w:r w:rsidRPr="00700849">
        <w:t xml:space="preserve"> Фонда развития информационно-коммуникационных технологий (ФРИКТ) в качестве начального капитала для финансирования региональных инициатив</w:t>
      </w:r>
      <w:r w:rsidRPr="00732F0B">
        <w:rPr>
          <w:rStyle w:val="FootnoteReference"/>
        </w:rPr>
        <w:footnoteReference w:id="4"/>
      </w:r>
      <w:r w:rsidRPr="00700849">
        <w:t>.</w:t>
      </w:r>
    </w:p>
    <w:p w14:paraId="23BEB721" w14:textId="16CA3A9E" w:rsidR="00937ACC" w:rsidRPr="00CC3D1D" w:rsidRDefault="00937ACC" w:rsidP="00937ACC">
      <w:pPr>
        <w:rPr>
          <w:rFonts w:cstheme="minorBidi"/>
        </w:rPr>
      </w:pPr>
      <w:r w:rsidRPr="00CC3D1D">
        <w:rPr>
          <w:rFonts w:cstheme="minorBidi"/>
        </w:rPr>
        <w:t>В течение 2024 года эти средства были использованы для поддержки в общей сложности 13</w:t>
      </w:r>
      <w:r w:rsidR="00F0066B">
        <w:rPr>
          <w:rFonts w:cstheme="minorBidi"/>
        </w:rPr>
        <w:t> </w:t>
      </w:r>
      <w:r w:rsidRPr="00CC3D1D">
        <w:rPr>
          <w:rFonts w:cstheme="minorBidi"/>
        </w:rPr>
        <w:t>проектов на сумму 23</w:t>
      </w:r>
      <w:r>
        <w:rPr>
          <w:rFonts w:cstheme="minorBidi"/>
        </w:rPr>
        <w:t>,</w:t>
      </w:r>
      <w:r w:rsidRPr="00CC3D1D">
        <w:rPr>
          <w:rFonts w:cstheme="minorBidi"/>
        </w:rPr>
        <w:t>4 млн</w:t>
      </w:r>
      <w:r>
        <w:rPr>
          <w:rFonts w:cstheme="minorBidi"/>
        </w:rPr>
        <w:t>.</w:t>
      </w:r>
      <w:r w:rsidRPr="00CC3D1D">
        <w:rPr>
          <w:rFonts w:cstheme="minorBidi"/>
        </w:rPr>
        <w:t xml:space="preserve"> швейцарских франков (учитывая только денежные взносы партнеров), </w:t>
      </w:r>
      <w:r>
        <w:rPr>
          <w:rFonts w:cstheme="minorBidi"/>
        </w:rPr>
        <w:t xml:space="preserve">причем </w:t>
      </w:r>
      <w:r w:rsidRPr="00CC3D1D">
        <w:rPr>
          <w:rFonts w:cstheme="minorBidi"/>
        </w:rPr>
        <w:t>3</w:t>
      </w:r>
      <w:r>
        <w:rPr>
          <w:rFonts w:cstheme="minorBidi"/>
        </w:rPr>
        <w:t>,</w:t>
      </w:r>
      <w:r w:rsidRPr="00CC3D1D">
        <w:rPr>
          <w:rFonts w:cstheme="minorBidi"/>
        </w:rPr>
        <w:t>4 млн</w:t>
      </w:r>
      <w:r>
        <w:rPr>
          <w:rFonts w:cstheme="minorBidi"/>
        </w:rPr>
        <w:t>.</w:t>
      </w:r>
      <w:r w:rsidRPr="00CC3D1D">
        <w:rPr>
          <w:rFonts w:cstheme="minorBidi"/>
        </w:rPr>
        <w:t xml:space="preserve"> швейцарских франков </w:t>
      </w:r>
      <w:r>
        <w:rPr>
          <w:rFonts w:cstheme="minorBidi"/>
        </w:rPr>
        <w:t>было выделено из средств</w:t>
      </w:r>
      <w:r w:rsidRPr="00CC3D1D">
        <w:rPr>
          <w:rFonts w:cstheme="minorBidi"/>
        </w:rPr>
        <w:t xml:space="preserve"> ФРИКТ (см. </w:t>
      </w:r>
      <w:r>
        <w:rPr>
          <w:rFonts w:cstheme="minorBidi"/>
        </w:rPr>
        <w:t>Рисунок</w:t>
      </w:r>
      <w:r w:rsidRPr="00CC3D1D">
        <w:rPr>
          <w:rFonts w:cstheme="minorBidi"/>
        </w:rPr>
        <w:t xml:space="preserve"> 4)</w:t>
      </w:r>
      <w:r w:rsidRPr="00937ACC">
        <w:rPr>
          <w:rFonts w:cstheme="minorBidi"/>
        </w:rPr>
        <w:t xml:space="preserve">. </w:t>
      </w:r>
      <w:r>
        <w:rPr>
          <w:rFonts w:cstheme="minorBidi"/>
        </w:rPr>
        <w:t>Дополнительные</w:t>
      </w:r>
      <w:r w:rsidRPr="00CC3D1D">
        <w:rPr>
          <w:rFonts w:cstheme="minorBidi"/>
        </w:rPr>
        <w:t xml:space="preserve"> </w:t>
      </w:r>
      <w:r>
        <w:rPr>
          <w:rFonts w:cstheme="minorBidi"/>
        </w:rPr>
        <w:t>сведения</w:t>
      </w:r>
      <w:r w:rsidRPr="00CC3D1D">
        <w:rPr>
          <w:rFonts w:cstheme="minorBidi"/>
        </w:rPr>
        <w:t xml:space="preserve"> </w:t>
      </w:r>
      <w:r>
        <w:rPr>
          <w:rFonts w:cstheme="minorBidi"/>
        </w:rPr>
        <w:t>о</w:t>
      </w:r>
      <w:r w:rsidRPr="00CC3D1D">
        <w:rPr>
          <w:rFonts w:cstheme="minorBidi"/>
        </w:rPr>
        <w:t xml:space="preserve"> </w:t>
      </w:r>
      <w:r>
        <w:rPr>
          <w:rFonts w:cstheme="minorBidi"/>
        </w:rPr>
        <w:t>каждом</w:t>
      </w:r>
      <w:r w:rsidRPr="00CC3D1D">
        <w:rPr>
          <w:rFonts w:cstheme="minorBidi"/>
        </w:rPr>
        <w:t xml:space="preserve"> </w:t>
      </w:r>
      <w:r>
        <w:rPr>
          <w:rFonts w:cstheme="minorBidi"/>
        </w:rPr>
        <w:t>проекте</w:t>
      </w:r>
      <w:r w:rsidRPr="00CC3D1D">
        <w:rPr>
          <w:rFonts w:cstheme="minorBidi"/>
        </w:rPr>
        <w:t xml:space="preserve"> </w:t>
      </w:r>
      <w:r>
        <w:rPr>
          <w:rFonts w:cstheme="minorBidi"/>
        </w:rPr>
        <w:t>приводятся</w:t>
      </w:r>
      <w:r w:rsidRPr="00CC3D1D">
        <w:rPr>
          <w:rFonts w:cstheme="minorBidi"/>
        </w:rPr>
        <w:t xml:space="preserve"> </w:t>
      </w:r>
      <w:r>
        <w:rPr>
          <w:rFonts w:cstheme="minorBidi"/>
        </w:rPr>
        <w:t>на</w:t>
      </w:r>
      <w:r w:rsidRPr="00CC3D1D">
        <w:rPr>
          <w:rFonts w:cstheme="minorBidi"/>
        </w:rPr>
        <w:t xml:space="preserve"> </w:t>
      </w:r>
      <w:r>
        <w:rPr>
          <w:rFonts w:cstheme="minorBidi"/>
        </w:rPr>
        <w:t>портале</w:t>
      </w:r>
      <w:r w:rsidRPr="00CC3D1D">
        <w:rPr>
          <w:rFonts w:cstheme="minorBidi"/>
        </w:rPr>
        <w:t xml:space="preserve"> </w:t>
      </w:r>
      <w:r>
        <w:rPr>
          <w:rFonts w:cstheme="minorBidi"/>
        </w:rPr>
        <w:t>проектов</w:t>
      </w:r>
      <w:r w:rsidRPr="00CC3D1D">
        <w:rPr>
          <w:rFonts w:cstheme="minorBidi"/>
        </w:rPr>
        <w:t xml:space="preserve"> МСЭ</w:t>
      </w:r>
      <w:r w:rsidRPr="00732F0B">
        <w:rPr>
          <w:rStyle w:val="FootnoteReference"/>
        </w:rPr>
        <w:footnoteReference w:id="5"/>
      </w:r>
      <w:r w:rsidRPr="00CC3D1D">
        <w:rPr>
          <w:rFonts w:cstheme="minorBidi"/>
        </w:rPr>
        <w:t xml:space="preserve">. </w:t>
      </w:r>
    </w:p>
    <w:p w14:paraId="364BBB51" w14:textId="77777777" w:rsidR="006D4BCE" w:rsidRDefault="00937ACC" w:rsidP="006D4BCE">
      <w:pPr>
        <w:pStyle w:val="TableNo"/>
      </w:pPr>
      <w:r>
        <w:t>Рисунок</w:t>
      </w:r>
      <w:r w:rsidRPr="00CC3D1D">
        <w:t xml:space="preserve"> 4</w:t>
      </w:r>
    </w:p>
    <w:p w14:paraId="668439B6" w14:textId="4FD194F1" w:rsidR="00937ACC" w:rsidRPr="00CC3D1D" w:rsidRDefault="00937ACC" w:rsidP="006D4BCE">
      <w:pPr>
        <w:pStyle w:val="Tabletitle"/>
      </w:pPr>
      <w:r>
        <w:t>Новые</w:t>
      </w:r>
      <w:r w:rsidRPr="00CC3D1D">
        <w:t xml:space="preserve"> </w:t>
      </w:r>
      <w:r>
        <w:t>проекты</w:t>
      </w:r>
      <w:r w:rsidRPr="00CC3D1D">
        <w:t xml:space="preserve"> </w:t>
      </w:r>
      <w:r>
        <w:t>с</w:t>
      </w:r>
      <w:r w:rsidRPr="00CC3D1D">
        <w:t xml:space="preserve"> </w:t>
      </w:r>
      <w:r>
        <w:t>финансированием</w:t>
      </w:r>
      <w:r w:rsidRPr="00CC3D1D">
        <w:t xml:space="preserve"> </w:t>
      </w:r>
      <w:r>
        <w:t xml:space="preserve">по линии ФРИКТ, соглашения по которым были подписаны в 2024 году </w:t>
      </w:r>
      <w:r w:rsidRPr="00CC3D1D">
        <w:t>(</w:t>
      </w:r>
      <w:r>
        <w:t>суммы указаны в тыс. швейцарских франков</w:t>
      </w:r>
      <w:r w:rsidRPr="00CC3D1D">
        <w:t>)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980"/>
        <w:gridCol w:w="810"/>
        <w:gridCol w:w="1530"/>
        <w:gridCol w:w="990"/>
        <w:gridCol w:w="990"/>
        <w:gridCol w:w="1080"/>
        <w:gridCol w:w="2250"/>
      </w:tblGrid>
      <w:tr w:rsidR="002A35A8" w:rsidRPr="002A35A8" w14:paraId="17C7834E" w14:textId="77777777" w:rsidTr="002A35A8">
        <w:trPr>
          <w:trHeight w:val="371"/>
          <w:tblHeader/>
          <w:jc w:val="center"/>
        </w:trPr>
        <w:tc>
          <w:tcPr>
            <w:tcW w:w="1255" w:type="dxa"/>
            <w:shd w:val="clear" w:color="auto" w:fill="BFBFBF" w:themeFill="background1" w:themeFillShade="BF"/>
            <w:noWrap/>
            <w:vAlign w:val="center"/>
            <w:hideMark/>
          </w:tcPr>
          <w:p w14:paraId="79A6FB51" w14:textId="6351D3FC" w:rsidR="00937ACC" w:rsidRPr="002A35A8" w:rsidRDefault="00937ACC" w:rsidP="006D4BCE">
            <w:pPr>
              <w:pStyle w:val="Tablehead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Идентифи</w:t>
            </w:r>
            <w:r w:rsidR="002A35A8" w:rsidRPr="002A35A8">
              <w:rPr>
                <w:sz w:val="18"/>
                <w:szCs w:val="18"/>
              </w:rPr>
              <w:t>-</w:t>
            </w:r>
            <w:r w:rsidRPr="002A35A8">
              <w:rPr>
                <w:sz w:val="18"/>
                <w:szCs w:val="18"/>
              </w:rPr>
              <w:t>кационный номер проекта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center"/>
            <w:hideMark/>
          </w:tcPr>
          <w:p w14:paraId="16044A77" w14:textId="77777777" w:rsidR="00937ACC" w:rsidRPr="002A35A8" w:rsidRDefault="00937ACC" w:rsidP="006D4BCE">
            <w:pPr>
              <w:pStyle w:val="Tablehead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Название проекта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vAlign w:val="center"/>
            <w:hideMark/>
          </w:tcPr>
          <w:p w14:paraId="3DA96A68" w14:textId="77777777" w:rsidR="00937ACC" w:rsidRPr="002A35A8" w:rsidRDefault="00937ACC" w:rsidP="006D4BCE">
            <w:pPr>
              <w:pStyle w:val="Tablehead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Регион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center"/>
            <w:hideMark/>
          </w:tcPr>
          <w:p w14:paraId="2763F3F2" w14:textId="77777777" w:rsidR="00937ACC" w:rsidRPr="002A35A8" w:rsidRDefault="00937ACC" w:rsidP="006D4BCE">
            <w:pPr>
              <w:pStyle w:val="Tablehead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Региональная инициатива</w:t>
            </w:r>
          </w:p>
        </w:tc>
        <w:tc>
          <w:tcPr>
            <w:tcW w:w="990" w:type="dxa"/>
            <w:shd w:val="clear" w:color="auto" w:fill="BFBFBF" w:themeFill="background1" w:themeFillShade="BF"/>
            <w:noWrap/>
            <w:vAlign w:val="center"/>
            <w:hideMark/>
          </w:tcPr>
          <w:p w14:paraId="40924E6D" w14:textId="7138EA7F" w:rsidR="00937ACC" w:rsidRPr="002A35A8" w:rsidRDefault="00937ACC" w:rsidP="006D4BCE">
            <w:pPr>
              <w:pStyle w:val="Tablehead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Внешнее финанси</w:t>
            </w:r>
            <w:r w:rsidR="002A35A8" w:rsidRPr="002A35A8">
              <w:rPr>
                <w:sz w:val="18"/>
                <w:szCs w:val="18"/>
              </w:rPr>
              <w:t>-</w:t>
            </w:r>
            <w:r w:rsidRPr="002A35A8">
              <w:rPr>
                <w:sz w:val="18"/>
                <w:szCs w:val="18"/>
              </w:rPr>
              <w:t>рование</w:t>
            </w:r>
          </w:p>
        </w:tc>
        <w:tc>
          <w:tcPr>
            <w:tcW w:w="990" w:type="dxa"/>
            <w:shd w:val="clear" w:color="auto" w:fill="BFBFBF" w:themeFill="background1" w:themeFillShade="BF"/>
            <w:noWrap/>
            <w:vAlign w:val="center"/>
            <w:hideMark/>
          </w:tcPr>
          <w:p w14:paraId="47D77853" w14:textId="77777777" w:rsidR="00937ACC" w:rsidRPr="002A35A8" w:rsidRDefault="00937ACC" w:rsidP="006D4BCE">
            <w:pPr>
              <w:pStyle w:val="Tablehead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Средства МСЭ</w:t>
            </w: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center"/>
            <w:hideMark/>
          </w:tcPr>
          <w:p w14:paraId="302FE1FE" w14:textId="77777777" w:rsidR="00937ACC" w:rsidRPr="002A35A8" w:rsidRDefault="00937ACC" w:rsidP="006D4BCE">
            <w:pPr>
              <w:pStyle w:val="Tablehead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Общий объем средств</w:t>
            </w:r>
          </w:p>
        </w:tc>
        <w:tc>
          <w:tcPr>
            <w:tcW w:w="2250" w:type="dxa"/>
            <w:shd w:val="clear" w:color="auto" w:fill="BFBFBF" w:themeFill="background1" w:themeFillShade="BF"/>
            <w:noWrap/>
            <w:vAlign w:val="center"/>
            <w:hideMark/>
          </w:tcPr>
          <w:p w14:paraId="37FD9EF2" w14:textId="77777777" w:rsidR="00937ACC" w:rsidRPr="002A35A8" w:rsidRDefault="00937ACC" w:rsidP="006D4BCE">
            <w:pPr>
              <w:pStyle w:val="Tablehead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Партнер</w:t>
            </w:r>
          </w:p>
        </w:tc>
      </w:tr>
      <w:tr w:rsidR="002A35A8" w:rsidRPr="008E7CF1" w14:paraId="5CAE36CD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5C05158F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7GLO24139</w:t>
            </w:r>
          </w:p>
        </w:tc>
        <w:tc>
          <w:tcPr>
            <w:tcW w:w="1980" w:type="dxa"/>
            <w:noWrap/>
            <w:vAlign w:val="center"/>
          </w:tcPr>
          <w:p w14:paraId="4A190111" w14:textId="69048768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Укрепление потенциала для выполнения проектов, финансируемых ЕС</w:t>
            </w:r>
          </w:p>
        </w:tc>
        <w:tc>
          <w:tcPr>
            <w:tcW w:w="810" w:type="dxa"/>
            <w:noWrap/>
            <w:vAlign w:val="center"/>
          </w:tcPr>
          <w:p w14:paraId="3C4AB527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МРГ</w:t>
            </w:r>
          </w:p>
        </w:tc>
        <w:tc>
          <w:tcPr>
            <w:tcW w:w="1530" w:type="dxa"/>
            <w:noWrap/>
            <w:vAlign w:val="center"/>
          </w:tcPr>
          <w:p w14:paraId="19147A0E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Несколько регионов</w:t>
            </w:r>
          </w:p>
        </w:tc>
        <w:tc>
          <w:tcPr>
            <w:tcW w:w="990" w:type="dxa"/>
            <w:noWrap/>
            <w:vAlign w:val="center"/>
          </w:tcPr>
          <w:p w14:paraId="419B193E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(*)</w:t>
            </w:r>
          </w:p>
        </w:tc>
        <w:tc>
          <w:tcPr>
            <w:tcW w:w="990" w:type="dxa"/>
            <w:noWrap/>
            <w:vAlign w:val="center"/>
          </w:tcPr>
          <w:p w14:paraId="7624352A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840</w:t>
            </w:r>
          </w:p>
        </w:tc>
        <w:tc>
          <w:tcPr>
            <w:tcW w:w="1080" w:type="dxa"/>
            <w:noWrap/>
            <w:vAlign w:val="center"/>
          </w:tcPr>
          <w:p w14:paraId="66187DB2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840</w:t>
            </w:r>
          </w:p>
        </w:tc>
        <w:tc>
          <w:tcPr>
            <w:tcW w:w="2250" w:type="dxa"/>
            <w:noWrap/>
            <w:vAlign w:val="center"/>
          </w:tcPr>
          <w:p w14:paraId="549B162A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Европейская комиссия</w:t>
            </w:r>
          </w:p>
        </w:tc>
      </w:tr>
      <w:tr w:rsidR="002A35A8" w:rsidRPr="008E7CF1" w14:paraId="13EAB11F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227945BE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7GLO24144</w:t>
            </w:r>
          </w:p>
        </w:tc>
        <w:tc>
          <w:tcPr>
            <w:tcW w:w="1980" w:type="dxa"/>
            <w:noWrap/>
            <w:vAlign w:val="center"/>
          </w:tcPr>
          <w:p w14:paraId="217559C0" w14:textId="6DCB9C30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Система раннего предупреждения для всех – средства МСЭ для поддержки реализации инициативы</w:t>
            </w:r>
          </w:p>
        </w:tc>
        <w:tc>
          <w:tcPr>
            <w:tcW w:w="810" w:type="dxa"/>
            <w:noWrap/>
            <w:vAlign w:val="center"/>
          </w:tcPr>
          <w:p w14:paraId="2E00D86B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МРГ</w:t>
            </w:r>
          </w:p>
        </w:tc>
        <w:tc>
          <w:tcPr>
            <w:tcW w:w="1530" w:type="dxa"/>
            <w:noWrap/>
            <w:vAlign w:val="center"/>
          </w:tcPr>
          <w:p w14:paraId="717B4727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Несколько регионов</w:t>
            </w:r>
          </w:p>
        </w:tc>
        <w:tc>
          <w:tcPr>
            <w:tcW w:w="990" w:type="dxa"/>
            <w:noWrap/>
            <w:vAlign w:val="center"/>
          </w:tcPr>
          <w:p w14:paraId="21658B8C" w14:textId="4686E19F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</w:t>
            </w:r>
            <w:r w:rsidR="00DD1958">
              <w:rPr>
                <w:sz w:val="18"/>
                <w:szCs w:val="18"/>
              </w:rPr>
              <w:t> </w:t>
            </w:r>
            <w:r w:rsidRPr="002A35A8">
              <w:rPr>
                <w:sz w:val="18"/>
                <w:szCs w:val="18"/>
              </w:rPr>
              <w:t>577</w:t>
            </w:r>
          </w:p>
        </w:tc>
        <w:tc>
          <w:tcPr>
            <w:tcW w:w="990" w:type="dxa"/>
            <w:noWrap/>
            <w:vAlign w:val="center"/>
          </w:tcPr>
          <w:p w14:paraId="4FA72E62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528</w:t>
            </w:r>
          </w:p>
        </w:tc>
        <w:tc>
          <w:tcPr>
            <w:tcW w:w="1080" w:type="dxa"/>
            <w:noWrap/>
            <w:vAlign w:val="center"/>
          </w:tcPr>
          <w:p w14:paraId="5BAB4C1A" w14:textId="3A5C7C4F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2</w:t>
            </w:r>
            <w:r w:rsidR="00DD1958">
              <w:rPr>
                <w:sz w:val="18"/>
                <w:szCs w:val="18"/>
              </w:rPr>
              <w:t> </w:t>
            </w:r>
            <w:r w:rsidRPr="002A35A8">
              <w:rPr>
                <w:sz w:val="18"/>
                <w:szCs w:val="18"/>
              </w:rPr>
              <w:t>105</w:t>
            </w:r>
          </w:p>
        </w:tc>
        <w:tc>
          <w:tcPr>
            <w:tcW w:w="2250" w:type="dxa"/>
            <w:noWrap/>
            <w:vAlign w:val="center"/>
          </w:tcPr>
          <w:p w14:paraId="55936DDE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УСРБ ООН, ВМО</w:t>
            </w:r>
          </w:p>
        </w:tc>
      </w:tr>
      <w:tr w:rsidR="002A35A8" w:rsidRPr="008E7CF1" w14:paraId="7A368334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2D99B313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7RAS24074</w:t>
            </w:r>
          </w:p>
        </w:tc>
        <w:tc>
          <w:tcPr>
            <w:tcW w:w="1980" w:type="dxa"/>
            <w:noWrap/>
            <w:vAlign w:val="center"/>
          </w:tcPr>
          <w:p w14:paraId="7C77BE4F" w14:textId="3733C8F6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Укрепление надежной инфраструктуры ИКТ в Азиатско-Тихоокеанском регионе (второй этап)</w:t>
            </w:r>
          </w:p>
        </w:tc>
        <w:tc>
          <w:tcPr>
            <w:tcW w:w="810" w:type="dxa"/>
            <w:noWrap/>
            <w:vAlign w:val="center"/>
          </w:tcPr>
          <w:p w14:paraId="18CCD7CF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АТР</w:t>
            </w:r>
          </w:p>
        </w:tc>
        <w:tc>
          <w:tcPr>
            <w:tcW w:w="1530" w:type="dxa"/>
            <w:noWrap/>
            <w:vAlign w:val="center"/>
          </w:tcPr>
          <w:p w14:paraId="057FE476" w14:textId="58B15205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АТР5 – Безопасные и надежные ИКТ</w:t>
            </w:r>
          </w:p>
        </w:tc>
        <w:tc>
          <w:tcPr>
            <w:tcW w:w="990" w:type="dxa"/>
            <w:noWrap/>
            <w:vAlign w:val="center"/>
          </w:tcPr>
          <w:p w14:paraId="166C488E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noWrap/>
            <w:vAlign w:val="center"/>
          </w:tcPr>
          <w:p w14:paraId="53282037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33</w:t>
            </w:r>
          </w:p>
        </w:tc>
        <w:tc>
          <w:tcPr>
            <w:tcW w:w="1080" w:type="dxa"/>
            <w:noWrap/>
            <w:vAlign w:val="center"/>
          </w:tcPr>
          <w:p w14:paraId="4568B366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165</w:t>
            </w:r>
          </w:p>
        </w:tc>
        <w:tc>
          <w:tcPr>
            <w:tcW w:w="2250" w:type="dxa"/>
            <w:noWrap/>
            <w:vAlign w:val="center"/>
          </w:tcPr>
          <w:p w14:paraId="5CB72C97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2A35A8">
              <w:rPr>
                <w:sz w:val="18"/>
                <w:szCs w:val="18"/>
                <w:lang w:val="en-US"/>
              </w:rPr>
              <w:t>MIC</w:t>
            </w:r>
            <w:r w:rsidRPr="002A35A8">
              <w:rPr>
                <w:sz w:val="18"/>
                <w:szCs w:val="18"/>
              </w:rPr>
              <w:t xml:space="preserve"> </w:t>
            </w:r>
            <w:r w:rsidRPr="002A35A8">
              <w:rPr>
                <w:sz w:val="18"/>
                <w:szCs w:val="18"/>
                <w:lang w:val="en-US"/>
              </w:rPr>
              <w:t>(</w:t>
            </w:r>
            <w:r w:rsidRPr="002A35A8">
              <w:rPr>
                <w:sz w:val="18"/>
                <w:szCs w:val="18"/>
              </w:rPr>
              <w:t>Япония)</w:t>
            </w:r>
          </w:p>
        </w:tc>
      </w:tr>
      <w:tr w:rsidR="002A35A8" w:rsidRPr="008E7CF1" w14:paraId="2860AA50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185466BE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7RAS24075</w:t>
            </w:r>
          </w:p>
        </w:tc>
        <w:tc>
          <w:tcPr>
            <w:tcW w:w="1980" w:type="dxa"/>
            <w:noWrap/>
            <w:vAlign w:val="center"/>
          </w:tcPr>
          <w:p w14:paraId="78F63C72" w14:textId="25A45CB0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Создание циркуляционной экономики для электроники и электротехники в Таиланде и Монголии</w:t>
            </w:r>
          </w:p>
        </w:tc>
        <w:tc>
          <w:tcPr>
            <w:tcW w:w="810" w:type="dxa"/>
            <w:noWrap/>
            <w:vAlign w:val="center"/>
          </w:tcPr>
          <w:p w14:paraId="1979CED0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АТР</w:t>
            </w:r>
          </w:p>
        </w:tc>
        <w:tc>
          <w:tcPr>
            <w:tcW w:w="1530" w:type="dxa"/>
            <w:noWrap/>
            <w:vAlign w:val="center"/>
          </w:tcPr>
          <w:p w14:paraId="70FFBC87" w14:textId="2D84A1BB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АТР2 – Цифровая экономика и инклюзивные цифровые общества</w:t>
            </w:r>
          </w:p>
        </w:tc>
        <w:tc>
          <w:tcPr>
            <w:tcW w:w="990" w:type="dxa"/>
            <w:noWrap/>
            <w:vAlign w:val="center"/>
          </w:tcPr>
          <w:p w14:paraId="1DF08560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225</w:t>
            </w:r>
          </w:p>
        </w:tc>
        <w:tc>
          <w:tcPr>
            <w:tcW w:w="990" w:type="dxa"/>
            <w:noWrap/>
            <w:vAlign w:val="center"/>
          </w:tcPr>
          <w:p w14:paraId="2F3970F1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53</w:t>
            </w:r>
          </w:p>
        </w:tc>
        <w:tc>
          <w:tcPr>
            <w:tcW w:w="1080" w:type="dxa"/>
            <w:noWrap/>
            <w:vAlign w:val="center"/>
          </w:tcPr>
          <w:p w14:paraId="49AEA8D0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278</w:t>
            </w:r>
          </w:p>
        </w:tc>
        <w:tc>
          <w:tcPr>
            <w:tcW w:w="2250" w:type="dxa"/>
            <w:noWrap/>
            <w:vAlign w:val="center"/>
          </w:tcPr>
          <w:p w14:paraId="4C8F168B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2A35A8">
              <w:rPr>
                <w:sz w:val="18"/>
                <w:szCs w:val="18"/>
              </w:rPr>
              <w:t>DIRTCA (Австралия)</w:t>
            </w:r>
          </w:p>
        </w:tc>
      </w:tr>
      <w:tr w:rsidR="002A35A8" w:rsidRPr="008E7CF1" w14:paraId="51A8F9D5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1F729468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9RAF24107</w:t>
            </w:r>
          </w:p>
        </w:tc>
        <w:tc>
          <w:tcPr>
            <w:tcW w:w="1980" w:type="dxa"/>
            <w:noWrap/>
            <w:vAlign w:val="center"/>
          </w:tcPr>
          <w:p w14:paraId="09B42F5A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Поддержка ЕС национальных систем картирования широкополосной связи в Африке (AfricaBBMaps)</w:t>
            </w:r>
          </w:p>
        </w:tc>
        <w:tc>
          <w:tcPr>
            <w:tcW w:w="810" w:type="dxa"/>
            <w:noWrap/>
            <w:vAlign w:val="center"/>
          </w:tcPr>
          <w:p w14:paraId="608953CE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АФР</w:t>
            </w:r>
          </w:p>
        </w:tc>
        <w:tc>
          <w:tcPr>
            <w:tcW w:w="1530" w:type="dxa"/>
            <w:noWrap/>
            <w:vAlign w:val="center"/>
          </w:tcPr>
          <w:p w14:paraId="0F60E3F3" w14:textId="543D5BF3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АФР2 – Инфраструктура и установление соединений</w:t>
            </w:r>
          </w:p>
        </w:tc>
        <w:tc>
          <w:tcPr>
            <w:tcW w:w="990" w:type="dxa"/>
            <w:noWrap/>
            <w:vAlign w:val="center"/>
          </w:tcPr>
          <w:p w14:paraId="13159A27" w14:textId="3C65802A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16</w:t>
            </w:r>
            <w:r w:rsidR="00DD1958">
              <w:rPr>
                <w:sz w:val="18"/>
                <w:szCs w:val="18"/>
              </w:rPr>
              <w:t> </w:t>
            </w:r>
            <w:r w:rsidRPr="002A35A8"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noWrap/>
            <w:vAlign w:val="center"/>
          </w:tcPr>
          <w:p w14:paraId="3EC77879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970</w:t>
            </w:r>
          </w:p>
        </w:tc>
        <w:tc>
          <w:tcPr>
            <w:tcW w:w="1080" w:type="dxa"/>
            <w:noWrap/>
            <w:vAlign w:val="center"/>
          </w:tcPr>
          <w:p w14:paraId="05659D8A" w14:textId="258BEC8C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17</w:t>
            </w:r>
            <w:r w:rsidR="00DD1958">
              <w:rPr>
                <w:sz w:val="18"/>
                <w:szCs w:val="18"/>
              </w:rPr>
              <w:t> </w:t>
            </w:r>
            <w:r w:rsidRPr="002A35A8">
              <w:rPr>
                <w:sz w:val="18"/>
                <w:szCs w:val="18"/>
              </w:rPr>
              <w:t>470</w:t>
            </w:r>
          </w:p>
        </w:tc>
        <w:tc>
          <w:tcPr>
            <w:tcW w:w="2250" w:type="dxa"/>
            <w:noWrap/>
            <w:vAlign w:val="center"/>
          </w:tcPr>
          <w:p w14:paraId="265979F9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Европейская комиссия</w:t>
            </w:r>
          </w:p>
        </w:tc>
      </w:tr>
      <w:tr w:rsidR="002A35A8" w:rsidRPr="008E7CF1" w14:paraId="32E41652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5A8538F1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9RAS24077</w:t>
            </w:r>
          </w:p>
        </w:tc>
        <w:tc>
          <w:tcPr>
            <w:tcW w:w="1980" w:type="dxa"/>
            <w:noWrap/>
            <w:vAlign w:val="center"/>
          </w:tcPr>
          <w:p w14:paraId="43E66A37" w14:textId="12064811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 xml:space="preserve">Расширение участия Азиатско-Тихоокеанского региона в </w:t>
            </w:r>
            <w:r w:rsidRPr="002A35A8">
              <w:rPr>
                <w:sz w:val="18"/>
                <w:szCs w:val="18"/>
              </w:rPr>
              <w:lastRenderedPageBreak/>
              <w:t>конференциях МСЭ (SAPEIC)</w:t>
            </w:r>
          </w:p>
        </w:tc>
        <w:tc>
          <w:tcPr>
            <w:tcW w:w="810" w:type="dxa"/>
            <w:noWrap/>
            <w:vAlign w:val="center"/>
          </w:tcPr>
          <w:p w14:paraId="798592B3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lastRenderedPageBreak/>
              <w:t>АТР</w:t>
            </w:r>
          </w:p>
        </w:tc>
        <w:tc>
          <w:tcPr>
            <w:tcW w:w="1530" w:type="dxa"/>
            <w:noWrap/>
            <w:vAlign w:val="center"/>
          </w:tcPr>
          <w:p w14:paraId="1459CB40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Несколько регионов</w:t>
            </w:r>
          </w:p>
        </w:tc>
        <w:tc>
          <w:tcPr>
            <w:tcW w:w="990" w:type="dxa"/>
            <w:noWrap/>
            <w:vAlign w:val="center"/>
          </w:tcPr>
          <w:p w14:paraId="53D71138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305</w:t>
            </w:r>
          </w:p>
        </w:tc>
        <w:tc>
          <w:tcPr>
            <w:tcW w:w="990" w:type="dxa"/>
            <w:noWrap/>
            <w:vAlign w:val="center"/>
          </w:tcPr>
          <w:p w14:paraId="7CBC694E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58</w:t>
            </w:r>
          </w:p>
        </w:tc>
        <w:tc>
          <w:tcPr>
            <w:tcW w:w="1080" w:type="dxa"/>
            <w:noWrap/>
            <w:vAlign w:val="center"/>
          </w:tcPr>
          <w:p w14:paraId="6320DEFA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363</w:t>
            </w:r>
          </w:p>
        </w:tc>
        <w:tc>
          <w:tcPr>
            <w:tcW w:w="2250" w:type="dxa"/>
            <w:noWrap/>
            <w:vAlign w:val="center"/>
          </w:tcPr>
          <w:p w14:paraId="7F171095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DIRTCA (Австралия)</w:t>
            </w:r>
          </w:p>
        </w:tc>
      </w:tr>
      <w:tr w:rsidR="002A35A8" w:rsidRPr="00435970" w14:paraId="467EF091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73391ABB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7CIS25001</w:t>
            </w:r>
          </w:p>
        </w:tc>
        <w:tc>
          <w:tcPr>
            <w:tcW w:w="1980" w:type="dxa"/>
            <w:noWrap/>
            <w:vAlign w:val="center"/>
          </w:tcPr>
          <w:p w14:paraId="70C37B0E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Сотрудничество в области деятельности цифрового правительства в странах Центральной Азии и Кавказа</w:t>
            </w:r>
          </w:p>
        </w:tc>
        <w:tc>
          <w:tcPr>
            <w:tcW w:w="810" w:type="dxa"/>
            <w:noWrap/>
            <w:vAlign w:val="center"/>
          </w:tcPr>
          <w:p w14:paraId="1654C37F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СНГ</w:t>
            </w:r>
          </w:p>
        </w:tc>
        <w:tc>
          <w:tcPr>
            <w:tcW w:w="1530" w:type="dxa"/>
            <w:noWrap/>
            <w:vAlign w:val="center"/>
          </w:tcPr>
          <w:p w14:paraId="4CDC98E8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СНГ3 – Благоприятная регуляторная среда</w:t>
            </w:r>
          </w:p>
        </w:tc>
        <w:tc>
          <w:tcPr>
            <w:tcW w:w="990" w:type="dxa"/>
            <w:noWrap/>
            <w:vAlign w:val="center"/>
          </w:tcPr>
          <w:p w14:paraId="45E2D7D8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noWrap/>
            <w:vAlign w:val="center"/>
          </w:tcPr>
          <w:p w14:paraId="2A7F51F6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88</w:t>
            </w:r>
          </w:p>
        </w:tc>
        <w:tc>
          <w:tcPr>
            <w:tcW w:w="1080" w:type="dxa"/>
            <w:noWrap/>
            <w:vAlign w:val="center"/>
          </w:tcPr>
          <w:p w14:paraId="717811B2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176</w:t>
            </w:r>
          </w:p>
        </w:tc>
        <w:tc>
          <w:tcPr>
            <w:tcW w:w="2250" w:type="dxa"/>
            <w:noWrap/>
            <w:vAlign w:val="center"/>
          </w:tcPr>
          <w:p w14:paraId="264BD6DF" w14:textId="3FAEEA90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 xml:space="preserve">Министерство цифрового развития, инноваций и аэрокосмической промышленности (МЦРИАИ) и АО </w:t>
            </w:r>
            <w:r w:rsidR="00DD1958">
              <w:rPr>
                <w:sz w:val="18"/>
                <w:szCs w:val="18"/>
              </w:rPr>
              <w:t>"</w:t>
            </w:r>
            <w:r w:rsidRPr="002A35A8">
              <w:rPr>
                <w:sz w:val="18"/>
                <w:szCs w:val="18"/>
              </w:rPr>
              <w:t>Национальные информационные технологии</w:t>
            </w:r>
            <w:r w:rsidR="00DD1958">
              <w:rPr>
                <w:sz w:val="18"/>
                <w:szCs w:val="18"/>
              </w:rPr>
              <w:t>"</w:t>
            </w:r>
            <w:r w:rsidRPr="002A35A8">
              <w:rPr>
                <w:sz w:val="18"/>
                <w:szCs w:val="18"/>
              </w:rPr>
              <w:t xml:space="preserve"> (НИТЭК) Казахстана</w:t>
            </w:r>
          </w:p>
        </w:tc>
      </w:tr>
      <w:tr w:rsidR="002A35A8" w:rsidRPr="008E7CF1" w14:paraId="23334520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0EDFD66D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7GLO24142</w:t>
            </w:r>
          </w:p>
        </w:tc>
        <w:tc>
          <w:tcPr>
            <w:tcW w:w="1980" w:type="dxa"/>
            <w:noWrap/>
            <w:vAlign w:val="center"/>
          </w:tcPr>
          <w:p w14:paraId="3C31CEB7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Партнерство для укрепления кибербезопасности</w:t>
            </w:r>
          </w:p>
        </w:tc>
        <w:tc>
          <w:tcPr>
            <w:tcW w:w="810" w:type="dxa"/>
            <w:noWrap/>
            <w:vAlign w:val="center"/>
          </w:tcPr>
          <w:p w14:paraId="5DD42862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АФР</w:t>
            </w:r>
          </w:p>
        </w:tc>
        <w:tc>
          <w:tcPr>
            <w:tcW w:w="1530" w:type="dxa"/>
            <w:noWrap/>
            <w:vAlign w:val="center"/>
          </w:tcPr>
          <w:p w14:paraId="2F1E12A4" w14:textId="50FD4B06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АФР3 – Доверие, охрана и безопасность</w:t>
            </w:r>
          </w:p>
        </w:tc>
        <w:tc>
          <w:tcPr>
            <w:tcW w:w="990" w:type="dxa"/>
            <w:noWrap/>
            <w:vAlign w:val="center"/>
          </w:tcPr>
          <w:p w14:paraId="2FBDEBA8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397</w:t>
            </w:r>
          </w:p>
        </w:tc>
        <w:tc>
          <w:tcPr>
            <w:tcW w:w="990" w:type="dxa"/>
            <w:noWrap/>
            <w:vAlign w:val="center"/>
          </w:tcPr>
          <w:p w14:paraId="240649D9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166</w:t>
            </w:r>
          </w:p>
        </w:tc>
        <w:tc>
          <w:tcPr>
            <w:tcW w:w="1080" w:type="dxa"/>
            <w:noWrap/>
            <w:vAlign w:val="center"/>
          </w:tcPr>
          <w:p w14:paraId="204BDE0E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563</w:t>
            </w:r>
          </w:p>
        </w:tc>
        <w:tc>
          <w:tcPr>
            <w:tcW w:w="2250" w:type="dxa"/>
            <w:noWrap/>
            <w:vAlign w:val="center"/>
          </w:tcPr>
          <w:p w14:paraId="199278DC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GIZ</w:t>
            </w:r>
          </w:p>
        </w:tc>
      </w:tr>
      <w:tr w:rsidR="002A35A8" w:rsidRPr="008E7CF1" w14:paraId="6394DC2B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00EF8EC2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7GLO24146</w:t>
            </w:r>
          </w:p>
        </w:tc>
        <w:tc>
          <w:tcPr>
            <w:tcW w:w="1980" w:type="dxa"/>
            <w:noWrap/>
            <w:vAlign w:val="center"/>
          </w:tcPr>
          <w:p w14:paraId="01444973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«Кибертехнологии во благо» (этап 2)</w:t>
            </w:r>
          </w:p>
        </w:tc>
        <w:tc>
          <w:tcPr>
            <w:tcW w:w="810" w:type="dxa"/>
            <w:noWrap/>
            <w:vAlign w:val="center"/>
          </w:tcPr>
          <w:p w14:paraId="33C27142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МРГ</w:t>
            </w:r>
          </w:p>
        </w:tc>
        <w:tc>
          <w:tcPr>
            <w:tcW w:w="1530" w:type="dxa"/>
            <w:noWrap/>
            <w:vAlign w:val="center"/>
          </w:tcPr>
          <w:p w14:paraId="457FC3F5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Несколько регионов</w:t>
            </w:r>
          </w:p>
        </w:tc>
        <w:tc>
          <w:tcPr>
            <w:tcW w:w="990" w:type="dxa"/>
            <w:noWrap/>
            <w:vAlign w:val="center"/>
          </w:tcPr>
          <w:p w14:paraId="518D6A6D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132</w:t>
            </w:r>
          </w:p>
        </w:tc>
        <w:tc>
          <w:tcPr>
            <w:tcW w:w="990" w:type="dxa"/>
            <w:noWrap/>
            <w:vAlign w:val="center"/>
          </w:tcPr>
          <w:p w14:paraId="3938C6A4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132</w:t>
            </w:r>
          </w:p>
        </w:tc>
        <w:tc>
          <w:tcPr>
            <w:tcW w:w="1080" w:type="dxa"/>
            <w:noWrap/>
            <w:vAlign w:val="center"/>
          </w:tcPr>
          <w:p w14:paraId="522962C2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264</w:t>
            </w:r>
          </w:p>
        </w:tc>
        <w:tc>
          <w:tcPr>
            <w:tcW w:w="2250" w:type="dxa"/>
            <w:noWrap/>
            <w:vAlign w:val="center"/>
          </w:tcPr>
          <w:p w14:paraId="18BE9CDF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MSIT (Корея)</w:t>
            </w:r>
          </w:p>
        </w:tc>
      </w:tr>
      <w:tr w:rsidR="002A35A8" w:rsidRPr="00435970" w14:paraId="090555CD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60CF508F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7MNE24002</w:t>
            </w:r>
          </w:p>
        </w:tc>
        <w:tc>
          <w:tcPr>
            <w:tcW w:w="1980" w:type="dxa"/>
            <w:noWrap/>
            <w:vAlign w:val="center"/>
          </w:tcPr>
          <w:p w14:paraId="0C527038" w14:textId="2034058A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Цифровая трансформация органов местного самоуправления в Черногории</w:t>
            </w:r>
          </w:p>
        </w:tc>
        <w:tc>
          <w:tcPr>
            <w:tcW w:w="810" w:type="dxa"/>
            <w:noWrap/>
            <w:vAlign w:val="center"/>
          </w:tcPr>
          <w:p w14:paraId="51A7C7E5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ЕВР</w:t>
            </w:r>
          </w:p>
        </w:tc>
        <w:tc>
          <w:tcPr>
            <w:tcW w:w="1530" w:type="dxa"/>
            <w:noWrap/>
            <w:vAlign w:val="center"/>
          </w:tcPr>
          <w:p w14:paraId="2CAC74D5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2A35A8">
              <w:rPr>
                <w:sz w:val="18"/>
                <w:szCs w:val="18"/>
              </w:rPr>
              <w:t>ЕВР2 – Цифровая трансформация</w:t>
            </w:r>
          </w:p>
        </w:tc>
        <w:tc>
          <w:tcPr>
            <w:tcW w:w="990" w:type="dxa"/>
            <w:noWrap/>
            <w:vAlign w:val="center"/>
          </w:tcPr>
          <w:p w14:paraId="6F0AE4A5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noWrap/>
            <w:vAlign w:val="center"/>
          </w:tcPr>
          <w:p w14:paraId="0FF282E8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48</w:t>
            </w:r>
          </w:p>
        </w:tc>
        <w:tc>
          <w:tcPr>
            <w:tcW w:w="1080" w:type="dxa"/>
            <w:noWrap/>
            <w:vAlign w:val="center"/>
          </w:tcPr>
          <w:p w14:paraId="6594C696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145</w:t>
            </w:r>
          </w:p>
        </w:tc>
        <w:tc>
          <w:tcPr>
            <w:tcW w:w="2250" w:type="dxa"/>
            <w:noWrap/>
            <w:vAlign w:val="center"/>
          </w:tcPr>
          <w:p w14:paraId="17934D33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Правительство Черногории и Фонды ускорения ЦУР</w:t>
            </w:r>
          </w:p>
        </w:tc>
      </w:tr>
      <w:tr w:rsidR="002A35A8" w:rsidRPr="008E7CF1" w14:paraId="5A35C7CC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2CB95CC3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7RAF24106</w:t>
            </w:r>
          </w:p>
        </w:tc>
        <w:tc>
          <w:tcPr>
            <w:tcW w:w="1980" w:type="dxa"/>
            <w:noWrap/>
            <w:vAlign w:val="center"/>
          </w:tcPr>
          <w:p w14:paraId="5E285CA9" w14:textId="06C5493E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Киберустойчивость для цифрового развития в наименее развитых странах</w:t>
            </w:r>
          </w:p>
        </w:tc>
        <w:tc>
          <w:tcPr>
            <w:tcW w:w="810" w:type="dxa"/>
            <w:noWrap/>
            <w:vAlign w:val="center"/>
          </w:tcPr>
          <w:p w14:paraId="4D77A599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МРГ</w:t>
            </w:r>
          </w:p>
        </w:tc>
        <w:tc>
          <w:tcPr>
            <w:tcW w:w="1530" w:type="dxa"/>
            <w:noWrap/>
            <w:vAlign w:val="center"/>
          </w:tcPr>
          <w:p w14:paraId="0218AF22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Несколько регионов</w:t>
            </w:r>
          </w:p>
        </w:tc>
        <w:tc>
          <w:tcPr>
            <w:tcW w:w="990" w:type="dxa"/>
            <w:noWrap/>
            <w:vAlign w:val="center"/>
          </w:tcPr>
          <w:p w14:paraId="080368F2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noWrap/>
            <w:vAlign w:val="center"/>
          </w:tcPr>
          <w:p w14:paraId="05DDCB3C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noWrap/>
            <w:vAlign w:val="center"/>
          </w:tcPr>
          <w:p w14:paraId="28CA7390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147</w:t>
            </w:r>
          </w:p>
        </w:tc>
        <w:tc>
          <w:tcPr>
            <w:tcW w:w="2250" w:type="dxa"/>
            <w:noWrap/>
            <w:vAlign w:val="center"/>
          </w:tcPr>
          <w:p w14:paraId="79C01D6D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Чешская Республика</w:t>
            </w:r>
          </w:p>
        </w:tc>
      </w:tr>
      <w:tr w:rsidR="002A35A8" w:rsidRPr="008E7CF1" w14:paraId="5A020B4D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5C3EB7D9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7RAS24076</w:t>
            </w:r>
          </w:p>
        </w:tc>
        <w:tc>
          <w:tcPr>
            <w:tcW w:w="1980" w:type="dxa"/>
            <w:noWrap/>
            <w:vAlign w:val="center"/>
          </w:tcPr>
          <w:p w14:paraId="6D1FD865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Технико-экономическое обоснование: удовлетворение особых потребностей в электросвязи/ИКТ малых островных развивающихся государств Тихого океана (</w:t>
            </w:r>
            <w:r w:rsidRPr="002A35A8">
              <w:rPr>
                <w:sz w:val="18"/>
                <w:szCs w:val="18"/>
                <w:lang w:val="en-US"/>
              </w:rPr>
              <w:t>PSIDS</w:t>
            </w:r>
            <w:r w:rsidRPr="002A35A8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noWrap/>
            <w:vAlign w:val="center"/>
          </w:tcPr>
          <w:p w14:paraId="79BD8F5A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АТР</w:t>
            </w:r>
          </w:p>
        </w:tc>
        <w:tc>
          <w:tcPr>
            <w:tcW w:w="1530" w:type="dxa"/>
            <w:noWrap/>
            <w:vAlign w:val="center"/>
          </w:tcPr>
          <w:p w14:paraId="783168DA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НРС, СИДС и ЛЛДС с особыми потребностями</w:t>
            </w:r>
          </w:p>
        </w:tc>
        <w:tc>
          <w:tcPr>
            <w:tcW w:w="990" w:type="dxa"/>
            <w:noWrap/>
            <w:vAlign w:val="center"/>
          </w:tcPr>
          <w:p w14:paraId="1A906876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502</w:t>
            </w:r>
          </w:p>
        </w:tc>
        <w:tc>
          <w:tcPr>
            <w:tcW w:w="990" w:type="dxa"/>
            <w:noWrap/>
            <w:vAlign w:val="center"/>
          </w:tcPr>
          <w:p w14:paraId="310434AF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166</w:t>
            </w:r>
          </w:p>
        </w:tc>
        <w:tc>
          <w:tcPr>
            <w:tcW w:w="1080" w:type="dxa"/>
            <w:noWrap/>
            <w:vAlign w:val="center"/>
          </w:tcPr>
          <w:p w14:paraId="0965F1CC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668</w:t>
            </w:r>
          </w:p>
        </w:tc>
        <w:tc>
          <w:tcPr>
            <w:tcW w:w="2250" w:type="dxa"/>
            <w:noWrap/>
            <w:vAlign w:val="center"/>
          </w:tcPr>
          <w:p w14:paraId="26F9D8E2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DIRTCA (Австралия)</w:t>
            </w:r>
          </w:p>
        </w:tc>
      </w:tr>
      <w:tr w:rsidR="002A35A8" w:rsidRPr="008E7CF1" w14:paraId="644E83C8" w14:textId="77777777" w:rsidTr="002A35A8">
        <w:trPr>
          <w:trHeight w:val="371"/>
          <w:jc w:val="center"/>
        </w:trPr>
        <w:tc>
          <w:tcPr>
            <w:tcW w:w="1255" w:type="dxa"/>
            <w:noWrap/>
            <w:vAlign w:val="center"/>
          </w:tcPr>
          <w:p w14:paraId="1B786177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9GLO23134</w:t>
            </w:r>
          </w:p>
        </w:tc>
        <w:tc>
          <w:tcPr>
            <w:tcW w:w="1980" w:type="dxa"/>
            <w:noWrap/>
            <w:vAlign w:val="center"/>
          </w:tcPr>
          <w:p w14:paraId="743FD98F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Помощь в поощрении использования инновационных технологий для построения общества, обеспечивающего всеобщее цифровое процветание</w:t>
            </w:r>
          </w:p>
        </w:tc>
        <w:tc>
          <w:tcPr>
            <w:tcW w:w="810" w:type="dxa"/>
            <w:noWrap/>
            <w:vAlign w:val="center"/>
          </w:tcPr>
          <w:p w14:paraId="508A4027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МРГ</w:t>
            </w:r>
          </w:p>
        </w:tc>
        <w:tc>
          <w:tcPr>
            <w:tcW w:w="1530" w:type="dxa"/>
            <w:noWrap/>
            <w:vAlign w:val="center"/>
          </w:tcPr>
          <w:p w14:paraId="62CC0616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Несколько регионов</w:t>
            </w:r>
          </w:p>
        </w:tc>
        <w:tc>
          <w:tcPr>
            <w:tcW w:w="990" w:type="dxa"/>
            <w:noWrap/>
            <w:vAlign w:val="center"/>
          </w:tcPr>
          <w:p w14:paraId="481265BD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199</w:t>
            </w:r>
          </w:p>
        </w:tc>
        <w:tc>
          <w:tcPr>
            <w:tcW w:w="990" w:type="dxa"/>
            <w:noWrap/>
            <w:vAlign w:val="center"/>
          </w:tcPr>
          <w:p w14:paraId="04D5E525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noWrap/>
            <w:vAlign w:val="center"/>
          </w:tcPr>
          <w:p w14:paraId="1CC47BFC" w14:textId="77777777" w:rsidR="00937ACC" w:rsidRPr="002A35A8" w:rsidRDefault="00937ACC" w:rsidP="002A35A8">
            <w:pPr>
              <w:pStyle w:val="Tabletext"/>
              <w:jc w:val="right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273</w:t>
            </w:r>
          </w:p>
        </w:tc>
        <w:tc>
          <w:tcPr>
            <w:tcW w:w="2250" w:type="dxa"/>
            <w:noWrap/>
            <w:vAlign w:val="center"/>
          </w:tcPr>
          <w:p w14:paraId="38D52739" w14:textId="77777777" w:rsidR="00937ACC" w:rsidRPr="002A35A8" w:rsidRDefault="00937ACC" w:rsidP="002A35A8">
            <w:pPr>
              <w:pStyle w:val="Tabletext"/>
              <w:jc w:val="center"/>
              <w:rPr>
                <w:sz w:val="18"/>
                <w:szCs w:val="18"/>
              </w:rPr>
            </w:pPr>
            <w:r w:rsidRPr="002A35A8">
              <w:rPr>
                <w:sz w:val="18"/>
                <w:szCs w:val="18"/>
              </w:rPr>
              <w:t>MSIT (Корея)</w:t>
            </w:r>
          </w:p>
        </w:tc>
      </w:tr>
      <w:tr w:rsidR="002A35A8" w:rsidRPr="002A35A8" w14:paraId="4FF00557" w14:textId="77777777" w:rsidTr="002A35A8">
        <w:trPr>
          <w:trHeight w:val="371"/>
          <w:jc w:val="center"/>
        </w:trPr>
        <w:tc>
          <w:tcPr>
            <w:tcW w:w="1255" w:type="dxa"/>
            <w:shd w:val="clear" w:color="auto" w:fill="BFBFBF" w:themeFill="background1" w:themeFillShade="BF"/>
            <w:noWrap/>
            <w:vAlign w:val="center"/>
          </w:tcPr>
          <w:p w14:paraId="332273D6" w14:textId="77777777" w:rsidR="00937ACC" w:rsidRPr="002A35A8" w:rsidRDefault="00937ACC" w:rsidP="006D4BCE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center"/>
          </w:tcPr>
          <w:p w14:paraId="4BC2ACF6" w14:textId="77777777" w:rsidR="00937ACC" w:rsidRPr="002A35A8" w:rsidRDefault="00937ACC" w:rsidP="002A35A8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2A35A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vAlign w:val="center"/>
          </w:tcPr>
          <w:p w14:paraId="06723981" w14:textId="77777777" w:rsidR="00937ACC" w:rsidRPr="002A35A8" w:rsidRDefault="00937ACC" w:rsidP="006D4BCE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center"/>
          </w:tcPr>
          <w:p w14:paraId="6714BF0F" w14:textId="77777777" w:rsidR="00937ACC" w:rsidRPr="002A35A8" w:rsidRDefault="00937ACC" w:rsidP="006D4BCE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noWrap/>
            <w:vAlign w:val="center"/>
          </w:tcPr>
          <w:p w14:paraId="21F2A14E" w14:textId="34F80527" w:rsidR="00937ACC" w:rsidRPr="002A35A8" w:rsidRDefault="00937ACC" w:rsidP="002A35A8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2A35A8">
              <w:rPr>
                <w:b/>
                <w:bCs/>
                <w:sz w:val="18"/>
                <w:szCs w:val="18"/>
              </w:rPr>
              <w:t>20</w:t>
            </w:r>
            <w:r w:rsidR="00DD1958">
              <w:rPr>
                <w:b/>
                <w:bCs/>
                <w:sz w:val="18"/>
                <w:szCs w:val="18"/>
              </w:rPr>
              <w:t> </w:t>
            </w:r>
            <w:r w:rsidRPr="002A35A8">
              <w:rPr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990" w:type="dxa"/>
            <w:shd w:val="clear" w:color="auto" w:fill="BFBFBF" w:themeFill="background1" w:themeFillShade="BF"/>
            <w:noWrap/>
            <w:vAlign w:val="center"/>
          </w:tcPr>
          <w:p w14:paraId="7422F4AA" w14:textId="21C55706" w:rsidR="00937ACC" w:rsidRPr="002A35A8" w:rsidRDefault="00937ACC" w:rsidP="002A35A8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2A35A8">
              <w:rPr>
                <w:b/>
                <w:bCs/>
                <w:sz w:val="18"/>
                <w:szCs w:val="18"/>
              </w:rPr>
              <w:t>3</w:t>
            </w:r>
            <w:r w:rsidR="00DD1958">
              <w:rPr>
                <w:b/>
                <w:bCs/>
                <w:sz w:val="18"/>
                <w:szCs w:val="18"/>
              </w:rPr>
              <w:t> </w:t>
            </w:r>
            <w:r w:rsidRPr="002A35A8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center"/>
          </w:tcPr>
          <w:p w14:paraId="7C111AF6" w14:textId="173FE5EC" w:rsidR="00937ACC" w:rsidRPr="002A35A8" w:rsidRDefault="00937ACC" w:rsidP="002A35A8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2A35A8">
              <w:rPr>
                <w:b/>
                <w:bCs/>
                <w:sz w:val="18"/>
                <w:szCs w:val="18"/>
              </w:rPr>
              <w:t>23</w:t>
            </w:r>
            <w:r w:rsidR="00DD1958">
              <w:rPr>
                <w:b/>
                <w:bCs/>
                <w:sz w:val="18"/>
                <w:szCs w:val="18"/>
              </w:rPr>
              <w:t> </w:t>
            </w:r>
            <w:r w:rsidRPr="002A35A8">
              <w:rPr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2250" w:type="dxa"/>
            <w:shd w:val="clear" w:color="auto" w:fill="BFBFBF" w:themeFill="background1" w:themeFillShade="BF"/>
            <w:noWrap/>
            <w:vAlign w:val="center"/>
          </w:tcPr>
          <w:p w14:paraId="37443D4A" w14:textId="77777777" w:rsidR="00937ACC" w:rsidRPr="002A35A8" w:rsidRDefault="00937ACC" w:rsidP="006D4BCE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</w:tr>
    </w:tbl>
    <w:p w14:paraId="4609C30E" w14:textId="77777777" w:rsidR="00937ACC" w:rsidRPr="004D563D" w:rsidRDefault="00937ACC" w:rsidP="00732F0B">
      <w:pPr>
        <w:pStyle w:val="Tablelegend"/>
      </w:pPr>
      <w:r>
        <w:t>Примечание</w:t>
      </w:r>
      <w:r w:rsidRPr="004D563D">
        <w:t xml:space="preserve">: </w:t>
      </w:r>
      <w:r>
        <w:t xml:space="preserve">все денежные средства переведены в швейцарские франки </w:t>
      </w:r>
    </w:p>
    <w:p w14:paraId="7F8CD1DD" w14:textId="6359676D" w:rsidR="00937ACC" w:rsidRPr="004D563D" w:rsidRDefault="00937ACC" w:rsidP="00732F0B">
      <w:pPr>
        <w:pStyle w:val="Tablelegend"/>
      </w:pPr>
      <w:bookmarkStart w:id="10" w:name="_Hlk195625115"/>
      <w:r w:rsidRPr="004D563D">
        <w:t xml:space="preserve">(*) </w:t>
      </w:r>
      <w:r w:rsidR="00732F0B">
        <w:tab/>
      </w:r>
      <w:r>
        <w:t>Средства</w:t>
      </w:r>
      <w:r w:rsidRPr="004D563D">
        <w:t xml:space="preserve"> </w:t>
      </w:r>
      <w:r>
        <w:t>из</w:t>
      </w:r>
      <w:r w:rsidRPr="004D563D">
        <w:t xml:space="preserve"> </w:t>
      </w:r>
      <w:r>
        <w:t>внешних</w:t>
      </w:r>
      <w:r w:rsidRPr="004D563D">
        <w:t xml:space="preserve"> </w:t>
      </w:r>
      <w:r>
        <w:t>источников</w:t>
      </w:r>
      <w:r w:rsidRPr="004D563D">
        <w:t xml:space="preserve"> </w:t>
      </w:r>
      <w:r>
        <w:t>в</w:t>
      </w:r>
      <w:r w:rsidRPr="004D563D">
        <w:t xml:space="preserve"> </w:t>
      </w:r>
      <w:r>
        <w:t>размере</w:t>
      </w:r>
      <w:r w:rsidRPr="004D563D">
        <w:t xml:space="preserve"> 9820 </w:t>
      </w:r>
      <w:r>
        <w:t>тыс</w:t>
      </w:r>
      <w:r w:rsidRPr="004D563D">
        <w:t xml:space="preserve">. </w:t>
      </w:r>
      <w:r>
        <w:t>швейцарских</w:t>
      </w:r>
      <w:r w:rsidRPr="004D563D">
        <w:t xml:space="preserve"> </w:t>
      </w:r>
      <w:r>
        <w:t xml:space="preserve">франков, которые связаны с финансируемыми ЕС проектами, соглашения о которых были подписаны МСЭ в 2023 году </w:t>
      </w:r>
    </w:p>
    <w:bookmarkEnd w:id="10"/>
    <w:p w14:paraId="585C0D0F" w14:textId="77777777" w:rsidR="00937ACC" w:rsidRPr="004D563D" w:rsidRDefault="00937ACC" w:rsidP="00937ACC">
      <w:r w:rsidRPr="004D563D">
        <w:t xml:space="preserve">Важно отметить, что, поскольку МСЭ не является финансирующим учреждением, возможность подписания </w:t>
      </w:r>
      <w:r>
        <w:t xml:space="preserve">соглашений о </w:t>
      </w:r>
      <w:r w:rsidRPr="004D563D">
        <w:t>новых проект</w:t>
      </w:r>
      <w:r>
        <w:t>ах</w:t>
      </w:r>
      <w:r w:rsidRPr="004D563D">
        <w:t xml:space="preserve"> в </w:t>
      </w:r>
      <w:r>
        <w:t>значительной</w:t>
      </w:r>
      <w:r w:rsidRPr="004D563D">
        <w:t xml:space="preserve"> степени зависит от наличия партнеров по финансированию, готовых поддерживать работу МСЭ</w:t>
      </w:r>
      <w:r>
        <w:t xml:space="preserve">. </w:t>
      </w:r>
    </w:p>
    <w:p w14:paraId="5E6DE95D" w14:textId="468176D4" w:rsidR="00937ACC" w:rsidRPr="00937ACC" w:rsidRDefault="00937ACC" w:rsidP="00937ACC">
      <w:pPr>
        <w:pStyle w:val="Heading1"/>
      </w:pPr>
      <w:r>
        <w:lastRenderedPageBreak/>
        <w:t>4</w:t>
      </w:r>
      <w:r>
        <w:tab/>
      </w:r>
      <w:r w:rsidRPr="00937ACC">
        <w:t>Совершенствование практики управления проектами в БРЭ</w:t>
      </w:r>
    </w:p>
    <w:p w14:paraId="399E8AB9" w14:textId="77777777" w:rsidR="00937ACC" w:rsidRPr="004D563D" w:rsidRDefault="00937ACC" w:rsidP="00937ACC">
      <w:r>
        <w:t>В</w:t>
      </w:r>
      <w:r w:rsidRPr="00563DB8">
        <w:t xml:space="preserve"> </w:t>
      </w:r>
      <w:r>
        <w:t>течение</w:t>
      </w:r>
      <w:r w:rsidRPr="00563DB8">
        <w:t xml:space="preserve"> 2024 </w:t>
      </w:r>
      <w:r>
        <w:t>года</w:t>
      </w:r>
      <w:r w:rsidRPr="00563DB8">
        <w:t xml:space="preserve"> БРЭ </w:t>
      </w:r>
      <w:r>
        <w:t>продолжило</w:t>
      </w:r>
      <w:r w:rsidRPr="00563DB8">
        <w:t xml:space="preserve"> </w:t>
      </w:r>
      <w:r>
        <w:t>совершенствовать</w:t>
      </w:r>
      <w:r w:rsidRPr="00563DB8">
        <w:t xml:space="preserve"> </w:t>
      </w:r>
      <w:r>
        <w:t>практику</w:t>
      </w:r>
      <w:r w:rsidRPr="00563DB8">
        <w:t xml:space="preserve"> </w:t>
      </w:r>
      <w:r>
        <w:t>управления</w:t>
      </w:r>
      <w:r w:rsidRPr="00563DB8">
        <w:t xml:space="preserve"> </w:t>
      </w:r>
      <w:r>
        <w:t>проектами</w:t>
      </w:r>
      <w:r w:rsidRPr="00563DB8">
        <w:t xml:space="preserve"> </w:t>
      </w:r>
      <w:r>
        <w:t>в</w:t>
      </w:r>
      <w:r w:rsidRPr="00563DB8">
        <w:t xml:space="preserve"> </w:t>
      </w:r>
      <w:r>
        <w:t>рамках</w:t>
      </w:r>
      <w:r w:rsidRPr="00563DB8">
        <w:t xml:space="preserve"> </w:t>
      </w:r>
      <w:r>
        <w:t>всех</w:t>
      </w:r>
      <w:r w:rsidRPr="00563DB8">
        <w:t xml:space="preserve"> </w:t>
      </w:r>
      <w:r>
        <w:t>проектов</w:t>
      </w:r>
      <w:r w:rsidRPr="00563DB8">
        <w:t xml:space="preserve"> МСЭ. </w:t>
      </w:r>
      <w:r w:rsidRPr="004D563D">
        <w:t xml:space="preserve">В следующем списке кратко представлены виды деятельности, </w:t>
      </w:r>
      <w:r>
        <w:t>реализованные</w:t>
      </w:r>
      <w:r w:rsidRPr="004D563D">
        <w:t xml:space="preserve"> в течение года</w:t>
      </w:r>
      <w:r>
        <w:t xml:space="preserve"> </w:t>
      </w:r>
      <w:r w:rsidRPr="004D563D">
        <w:t>в тесном сотрудничестве с другими соответствующими вспомогательными подразделениями МСЭ:</w:t>
      </w:r>
    </w:p>
    <w:p w14:paraId="123CB14E" w14:textId="4CC3D10C" w:rsidR="00937ACC" w:rsidRPr="00137F6F" w:rsidRDefault="00937ACC" w:rsidP="00937ACC">
      <w:pPr>
        <w:pStyle w:val="enumlev1"/>
      </w:pPr>
      <w:r w:rsidRPr="00937ACC">
        <w:t>−</w:t>
      </w:r>
      <w:r w:rsidRPr="00937ACC">
        <w:tab/>
      </w:r>
      <w:r>
        <w:rPr>
          <w:b/>
          <w:bCs/>
        </w:rPr>
        <w:t>Создание</w:t>
      </w:r>
      <w:r w:rsidRPr="00563DB8">
        <w:rPr>
          <w:b/>
          <w:bCs/>
        </w:rPr>
        <w:t xml:space="preserve"> </w:t>
      </w:r>
      <w:r>
        <w:rPr>
          <w:b/>
          <w:bCs/>
        </w:rPr>
        <w:t>нового</w:t>
      </w:r>
      <w:r w:rsidRPr="00563DB8">
        <w:rPr>
          <w:b/>
          <w:bCs/>
        </w:rPr>
        <w:t xml:space="preserve"> </w:t>
      </w:r>
      <w:r>
        <w:rPr>
          <w:b/>
          <w:bCs/>
        </w:rPr>
        <w:t>подразделения по</w:t>
      </w:r>
      <w:r w:rsidRPr="00563DB8">
        <w:rPr>
          <w:b/>
          <w:bCs/>
        </w:rPr>
        <w:t xml:space="preserve"> </w:t>
      </w:r>
      <w:r>
        <w:rPr>
          <w:b/>
          <w:bCs/>
        </w:rPr>
        <w:t>реализации</w:t>
      </w:r>
      <w:r w:rsidRPr="00563DB8">
        <w:rPr>
          <w:b/>
          <w:bCs/>
        </w:rPr>
        <w:t xml:space="preserve"> </w:t>
      </w:r>
      <w:r>
        <w:rPr>
          <w:b/>
          <w:bCs/>
        </w:rPr>
        <w:t>проектов</w:t>
      </w:r>
      <w:r w:rsidRPr="00563DB8">
        <w:rPr>
          <w:b/>
          <w:bCs/>
        </w:rPr>
        <w:t xml:space="preserve"> (</w:t>
      </w:r>
      <w:r>
        <w:rPr>
          <w:b/>
          <w:bCs/>
          <w:lang w:val="en-US"/>
        </w:rPr>
        <w:t>PPI</w:t>
      </w:r>
      <w:r w:rsidRPr="00563DB8">
        <w:rPr>
          <w:b/>
          <w:bCs/>
        </w:rPr>
        <w:t>)</w:t>
      </w:r>
      <w:r w:rsidRPr="00563DB8">
        <w:t xml:space="preserve">. </w:t>
      </w:r>
      <w:r w:rsidRPr="00137F6F">
        <w:t xml:space="preserve">В сентябре 2024 года Директор БРЭ ввел в Бюро новую структуру, направленную на </w:t>
      </w:r>
      <w:r>
        <w:t>активизацию</w:t>
      </w:r>
      <w:r w:rsidRPr="00137F6F">
        <w:t xml:space="preserve"> выполнения мандата Кигалийского плана действий (КПД) и </w:t>
      </w:r>
      <w:r>
        <w:t xml:space="preserve">следование принципу </w:t>
      </w:r>
      <w:r w:rsidRPr="008E7CF1">
        <w:t>BDT</w:t>
      </w:r>
      <w:r w:rsidRPr="00137F6F">
        <w:t>4Impact</w:t>
      </w:r>
      <w:r>
        <w:t>.</w:t>
      </w:r>
      <w:r w:rsidRPr="00137F6F">
        <w:t xml:space="preserve"> В</w:t>
      </w:r>
      <w:r w:rsidR="00DD1958">
        <w:t> </w:t>
      </w:r>
      <w:r>
        <w:t>усовершенствованной</w:t>
      </w:r>
      <w:r w:rsidRPr="00137F6F">
        <w:t xml:space="preserve"> структуре Бюро появилось новое подразделение, направленное на укрепление этапов планирования и реализации, включенных в Руководство БРЭ по управлению проектами. </w:t>
      </w:r>
      <w:r w:rsidRPr="000545FE">
        <w:t>Подразделени</w:t>
      </w:r>
      <w:r>
        <w:t>е</w:t>
      </w:r>
      <w:r w:rsidRPr="000545FE">
        <w:t xml:space="preserve"> </w:t>
      </w:r>
      <w:r>
        <w:t>п</w:t>
      </w:r>
      <w:r w:rsidRPr="000545FE">
        <w:t xml:space="preserve">о </w:t>
      </w:r>
      <w:r w:rsidRPr="00137F6F">
        <w:t>реализации проектов (</w:t>
      </w:r>
      <w:r w:rsidRPr="000545FE">
        <w:rPr>
          <w:lang w:val="en-US"/>
        </w:rPr>
        <w:t>PPI</w:t>
      </w:r>
      <w:r w:rsidRPr="00137F6F">
        <w:t>)</w:t>
      </w:r>
      <w:r>
        <w:t>, курируемое заместителем Директора,</w:t>
      </w:r>
      <w:r w:rsidRPr="00137F6F">
        <w:t xml:space="preserve"> уже проводит работу по всем тематическим областям и проектным группам, </w:t>
      </w:r>
      <w:r>
        <w:t xml:space="preserve">с тем </w:t>
      </w:r>
      <w:r w:rsidRPr="00137F6F">
        <w:t xml:space="preserve">чтобы ускорить </w:t>
      </w:r>
      <w:r>
        <w:t>темпы реализации проектов</w:t>
      </w:r>
      <w:r w:rsidRPr="00137F6F">
        <w:t xml:space="preserve"> </w:t>
      </w:r>
      <w:r>
        <w:t xml:space="preserve">БРЭ </w:t>
      </w:r>
      <w:r w:rsidRPr="00137F6F">
        <w:t>и обеспечить ожидаемое воздействие на места</w:t>
      </w:r>
      <w:r>
        <w:t>х.</w:t>
      </w:r>
    </w:p>
    <w:p w14:paraId="3D6AA57F" w14:textId="7505D0AE" w:rsidR="00937ACC" w:rsidRPr="00137F6F" w:rsidRDefault="00937ACC" w:rsidP="00937ACC">
      <w:pPr>
        <w:pStyle w:val="enumlev1"/>
      </w:pPr>
      <w:r w:rsidRPr="00937ACC">
        <w:t>−</w:t>
      </w:r>
      <w:r w:rsidRPr="00937ACC">
        <w:tab/>
      </w:r>
      <w:r>
        <w:rPr>
          <w:b/>
          <w:bCs/>
        </w:rPr>
        <w:t>Совершенствование</w:t>
      </w:r>
      <w:r w:rsidRPr="00856BE0">
        <w:rPr>
          <w:b/>
          <w:bCs/>
        </w:rPr>
        <w:t xml:space="preserve"> </w:t>
      </w:r>
      <w:r>
        <w:rPr>
          <w:b/>
          <w:bCs/>
        </w:rPr>
        <w:t>отчетности</w:t>
      </w:r>
      <w:r w:rsidRPr="00856BE0">
        <w:rPr>
          <w:b/>
          <w:bCs/>
        </w:rPr>
        <w:t xml:space="preserve"> </w:t>
      </w:r>
      <w:r>
        <w:rPr>
          <w:b/>
          <w:bCs/>
        </w:rPr>
        <w:t>перед</w:t>
      </w:r>
      <w:r w:rsidRPr="00856BE0">
        <w:rPr>
          <w:b/>
          <w:bCs/>
        </w:rPr>
        <w:t xml:space="preserve"> </w:t>
      </w:r>
      <w:r>
        <w:rPr>
          <w:b/>
          <w:bCs/>
        </w:rPr>
        <w:t>партнерами</w:t>
      </w:r>
      <w:r w:rsidRPr="00DD1958">
        <w:t>.</w:t>
      </w:r>
      <w:r w:rsidRPr="00856BE0">
        <w:t xml:space="preserve"> </w:t>
      </w:r>
      <w:r w:rsidRPr="00137F6F">
        <w:t xml:space="preserve">В 2024 году БРЭ ввело новую политику по </w:t>
      </w:r>
      <w:r>
        <w:t>совершенствованию</w:t>
      </w:r>
      <w:r w:rsidRPr="00137F6F">
        <w:t xml:space="preserve"> отчетности перед</w:t>
      </w:r>
      <w:r>
        <w:t xml:space="preserve"> </w:t>
      </w:r>
      <w:r w:rsidRPr="00137F6F">
        <w:t>партнерами</w:t>
      </w:r>
      <w:r>
        <w:t>, предоставляющими</w:t>
      </w:r>
      <w:r w:rsidRPr="00137F6F">
        <w:t xml:space="preserve"> финансировани</w:t>
      </w:r>
      <w:r>
        <w:t>е.</w:t>
      </w:r>
      <w:r w:rsidRPr="00137F6F">
        <w:t xml:space="preserve"> В рамках новой политики все партнеры</w:t>
      </w:r>
      <w:r>
        <w:t>, предоставляющие</w:t>
      </w:r>
      <w:r w:rsidRPr="00137F6F">
        <w:t xml:space="preserve"> финансировани</w:t>
      </w:r>
      <w:r>
        <w:t>е,</w:t>
      </w:r>
      <w:r w:rsidRPr="00137F6F">
        <w:t xml:space="preserve"> теперь получают каждые 6–12 месяцев не менее одного отчета, отражающего состояние реализации проектов, которые они финансируют. В отчетах, подготовленных руководителями проектов при поддержке соответствующих внутренних заинтересованных сторон МСЭ, также указываются любые проблемы и риски, которые могли возникнуть в течение отчетного периода, </w:t>
      </w:r>
      <w:r>
        <w:t>и данные о</w:t>
      </w:r>
      <w:r w:rsidRPr="00137F6F">
        <w:t xml:space="preserve"> финансово</w:t>
      </w:r>
      <w:r>
        <w:t>м</w:t>
      </w:r>
      <w:r w:rsidRPr="00137F6F">
        <w:t xml:space="preserve"> состояни</w:t>
      </w:r>
      <w:r>
        <w:t>и</w:t>
      </w:r>
      <w:r w:rsidRPr="00137F6F">
        <w:t xml:space="preserve"> проекта</w:t>
      </w:r>
      <w:r>
        <w:t>.</w:t>
      </w:r>
      <w:r w:rsidRPr="00137F6F">
        <w:t xml:space="preserve"> Первая партия этих отчетов была </w:t>
      </w:r>
      <w:r>
        <w:t>разослана</w:t>
      </w:r>
      <w:r w:rsidRPr="00137F6F">
        <w:t xml:space="preserve"> в июле 2024 года, а вторая партия – в первом квартале 2025 года</w:t>
      </w:r>
      <w:r>
        <w:t>.</w:t>
      </w:r>
      <w:r w:rsidRPr="00137F6F">
        <w:t xml:space="preserve"> Новая мера направлена на усиление прозрачности и подотчетности при реализации проектов БРЭ</w:t>
      </w:r>
      <w:r>
        <w:t xml:space="preserve">. </w:t>
      </w:r>
    </w:p>
    <w:p w14:paraId="3F5BE0C3" w14:textId="0F378710" w:rsidR="00937ACC" w:rsidRPr="00DD1958" w:rsidRDefault="00937ACC" w:rsidP="00937ACC">
      <w:pPr>
        <w:pStyle w:val="enumlev1"/>
        <w:rPr>
          <w:rFonts w:cstheme="minorBidi"/>
        </w:rPr>
      </w:pPr>
      <w:r w:rsidRPr="00937ACC">
        <w:t>−</w:t>
      </w:r>
      <w:r w:rsidRPr="00937ACC">
        <w:tab/>
      </w:r>
      <w:r>
        <w:rPr>
          <w:rFonts w:cstheme="minorBidi"/>
          <w:b/>
          <w:bCs/>
        </w:rPr>
        <w:t>Деятельность</w:t>
      </w:r>
      <w:r w:rsidRPr="00651037">
        <w:rPr>
          <w:rFonts w:cstheme="minorBidi"/>
          <w:b/>
          <w:bCs/>
        </w:rPr>
        <w:t xml:space="preserve"> </w:t>
      </w:r>
      <w:r>
        <w:rPr>
          <w:rFonts w:cstheme="minorBidi"/>
          <w:b/>
          <w:bCs/>
        </w:rPr>
        <w:t>Комитета</w:t>
      </w:r>
      <w:r w:rsidRPr="00651037">
        <w:rPr>
          <w:rFonts w:cstheme="minorBidi"/>
          <w:b/>
          <w:bCs/>
        </w:rPr>
        <w:t xml:space="preserve"> </w:t>
      </w:r>
      <w:r>
        <w:rPr>
          <w:rFonts w:cstheme="minorBidi"/>
          <w:b/>
          <w:bCs/>
        </w:rPr>
        <w:t>по</w:t>
      </w:r>
      <w:r w:rsidRPr="00651037">
        <w:rPr>
          <w:rFonts w:cstheme="minorBidi"/>
          <w:b/>
          <w:bCs/>
        </w:rPr>
        <w:t xml:space="preserve"> </w:t>
      </w:r>
      <w:r>
        <w:rPr>
          <w:rFonts w:cstheme="minorBidi"/>
          <w:b/>
          <w:bCs/>
        </w:rPr>
        <w:t>проектам</w:t>
      </w:r>
      <w:r w:rsidRPr="00651037">
        <w:rPr>
          <w:rFonts w:cstheme="minorBidi"/>
          <w:b/>
          <w:bCs/>
        </w:rPr>
        <w:t xml:space="preserve"> БРЭ</w:t>
      </w:r>
      <w:r>
        <w:rPr>
          <w:rFonts w:cstheme="minorBidi"/>
        </w:rPr>
        <w:t>.</w:t>
      </w:r>
      <w:r w:rsidRPr="00651037">
        <w:rPr>
          <w:rFonts w:cstheme="minorBidi"/>
        </w:rPr>
        <w:t xml:space="preserve"> В течение 2024 года Комитет по проектам БРЭ продолжал проводить ежемесячные собрания, </w:t>
      </w:r>
      <w:r>
        <w:rPr>
          <w:rFonts w:cstheme="minorBidi"/>
        </w:rPr>
        <w:t xml:space="preserve">с тем </w:t>
      </w:r>
      <w:r w:rsidRPr="00651037">
        <w:rPr>
          <w:rFonts w:cstheme="minorBidi"/>
        </w:rPr>
        <w:t xml:space="preserve">чтобы обеспечить четкий механизм управления на уровне портфеля. </w:t>
      </w:r>
      <w:r>
        <w:rPr>
          <w:rFonts w:cstheme="minorBidi"/>
        </w:rPr>
        <w:t>Комитет</w:t>
      </w:r>
      <w:r w:rsidRPr="00651037">
        <w:rPr>
          <w:rFonts w:cstheme="minorBidi"/>
        </w:rPr>
        <w:t xml:space="preserve"> оценивает и утверждает новые предложения по проектам, дополнительные </w:t>
      </w:r>
      <w:r>
        <w:rPr>
          <w:rFonts w:cstheme="minorBidi"/>
        </w:rPr>
        <w:t xml:space="preserve">и итоговые </w:t>
      </w:r>
      <w:r w:rsidRPr="00651037">
        <w:rPr>
          <w:rFonts w:cstheme="minorBidi"/>
        </w:rPr>
        <w:t xml:space="preserve">документы, а также в соответствующих случаях предоставляет руководящие указания </w:t>
      </w:r>
      <w:r>
        <w:rPr>
          <w:rFonts w:cstheme="minorBidi"/>
        </w:rPr>
        <w:t>в отношении</w:t>
      </w:r>
      <w:r w:rsidRPr="00651037">
        <w:rPr>
          <w:rFonts w:cstheme="minorBidi"/>
        </w:rPr>
        <w:t xml:space="preserve"> проект</w:t>
      </w:r>
      <w:r>
        <w:rPr>
          <w:rFonts w:cstheme="minorBidi"/>
        </w:rPr>
        <w:t>ов</w:t>
      </w:r>
      <w:r w:rsidRPr="00651037">
        <w:rPr>
          <w:rFonts w:cstheme="minorBidi"/>
        </w:rPr>
        <w:t xml:space="preserve">, </w:t>
      </w:r>
      <w:r>
        <w:rPr>
          <w:rFonts w:cstheme="minorBidi"/>
        </w:rPr>
        <w:t>применительно к</w:t>
      </w:r>
      <w:r w:rsidRPr="00651037">
        <w:rPr>
          <w:rFonts w:cstheme="minorBidi"/>
        </w:rPr>
        <w:t xml:space="preserve"> которы</w:t>
      </w:r>
      <w:r>
        <w:rPr>
          <w:rFonts w:cstheme="minorBidi"/>
        </w:rPr>
        <w:t>м</w:t>
      </w:r>
      <w:r w:rsidRPr="00651037">
        <w:rPr>
          <w:rFonts w:cstheme="minorBidi"/>
        </w:rPr>
        <w:t xml:space="preserve"> возникают проблемы </w:t>
      </w:r>
      <w:r>
        <w:rPr>
          <w:rFonts w:cstheme="minorBidi"/>
        </w:rPr>
        <w:t xml:space="preserve">с </w:t>
      </w:r>
      <w:r w:rsidRPr="00651037">
        <w:rPr>
          <w:rFonts w:cstheme="minorBidi"/>
        </w:rPr>
        <w:t>реализаци</w:t>
      </w:r>
      <w:r>
        <w:rPr>
          <w:rFonts w:cstheme="minorBidi"/>
        </w:rPr>
        <w:t>ей.</w:t>
      </w:r>
      <w:r w:rsidRPr="00651037">
        <w:rPr>
          <w:rFonts w:cstheme="minorBidi"/>
        </w:rPr>
        <w:t xml:space="preserve"> На сегодняшний день, с 2020 года, Комитет провел в общей сложности 37 собраний</w:t>
      </w:r>
      <w:r>
        <w:rPr>
          <w:rFonts w:cstheme="minorBidi"/>
        </w:rPr>
        <w:t>.</w:t>
      </w:r>
      <w:r w:rsidRPr="00651037">
        <w:rPr>
          <w:rFonts w:cstheme="minorBidi"/>
        </w:rPr>
        <w:t xml:space="preserve"> Решения, принятые </w:t>
      </w:r>
      <w:r>
        <w:rPr>
          <w:rFonts w:cstheme="minorBidi"/>
        </w:rPr>
        <w:t>Комитетом</w:t>
      </w:r>
      <w:r w:rsidRPr="00651037">
        <w:rPr>
          <w:rFonts w:cstheme="minorBidi"/>
        </w:rPr>
        <w:t>, обязательн</w:t>
      </w:r>
      <w:r>
        <w:rPr>
          <w:rFonts w:cstheme="minorBidi"/>
        </w:rPr>
        <w:t>ы для</w:t>
      </w:r>
      <w:r w:rsidRPr="00651037">
        <w:rPr>
          <w:rFonts w:cstheme="minorBidi"/>
        </w:rPr>
        <w:t xml:space="preserve"> выполнения руководителями проектов</w:t>
      </w:r>
      <w:r>
        <w:rPr>
          <w:rFonts w:cstheme="minorBidi"/>
        </w:rPr>
        <w:t>.</w:t>
      </w:r>
      <w:r w:rsidRPr="00651037">
        <w:rPr>
          <w:rFonts w:cstheme="minorBidi"/>
        </w:rPr>
        <w:t xml:space="preserve"> Решения </w:t>
      </w:r>
      <w:r>
        <w:rPr>
          <w:rFonts w:cstheme="minorBidi"/>
        </w:rPr>
        <w:t>Комитета</w:t>
      </w:r>
      <w:r w:rsidRPr="00651037">
        <w:rPr>
          <w:rFonts w:cstheme="minorBidi"/>
        </w:rPr>
        <w:t xml:space="preserve"> на регулярной основе контрол</w:t>
      </w:r>
      <w:r>
        <w:rPr>
          <w:rFonts w:cstheme="minorBidi"/>
        </w:rPr>
        <w:t>ируют</w:t>
      </w:r>
      <w:r w:rsidRPr="00651037">
        <w:rPr>
          <w:rFonts w:cstheme="minorBidi"/>
        </w:rPr>
        <w:t>ся Отделом поддержки проектов</w:t>
      </w:r>
      <w:r>
        <w:rPr>
          <w:rFonts w:cstheme="minorBidi"/>
        </w:rPr>
        <w:t>; в порядке обратной связи о них сообщается</w:t>
      </w:r>
      <w:r w:rsidRPr="00651037">
        <w:rPr>
          <w:rFonts w:cstheme="minorBidi"/>
        </w:rPr>
        <w:t xml:space="preserve"> Совету по проектам</w:t>
      </w:r>
      <w:r>
        <w:rPr>
          <w:rFonts w:cstheme="minorBidi"/>
        </w:rPr>
        <w:t>.</w:t>
      </w:r>
    </w:p>
    <w:p w14:paraId="42CA7AB2" w14:textId="1F38A2BD" w:rsidR="00937ACC" w:rsidRPr="005E2B10" w:rsidRDefault="00937ACC" w:rsidP="00937ACC">
      <w:pPr>
        <w:pStyle w:val="enumlev1"/>
        <w:rPr>
          <w:rFonts w:cstheme="minorBidi"/>
          <w:b/>
          <w:bCs/>
        </w:rPr>
      </w:pPr>
      <w:r w:rsidRPr="00937ACC">
        <w:t>−</w:t>
      </w:r>
      <w:r w:rsidRPr="00937ACC">
        <w:tab/>
      </w:r>
      <w:r>
        <w:rPr>
          <w:rFonts w:cstheme="minorBidi"/>
          <w:b/>
          <w:bCs/>
        </w:rPr>
        <w:t>Серия тренингов для руководителей проектов</w:t>
      </w:r>
      <w:r w:rsidRPr="00DD1958">
        <w:rPr>
          <w:rFonts w:cstheme="minorBidi"/>
        </w:rPr>
        <w:t>.</w:t>
      </w:r>
      <w:r w:rsidRPr="00DD1958">
        <w:rPr>
          <w:rFonts w:cstheme="minorBidi"/>
          <w:i/>
          <w:iCs/>
        </w:rPr>
        <w:t xml:space="preserve"> </w:t>
      </w:r>
      <w:r w:rsidRPr="005E2B10">
        <w:rPr>
          <w:rFonts w:cstheme="minorBidi"/>
        </w:rPr>
        <w:t xml:space="preserve">В течение 2024 года БРЭ продолжило проведение регулярных учебных занятий и сессий по обмену информацией для руководителей проектов. Цель этих сессий заключалась в согласовании практики </w:t>
      </w:r>
      <w:r>
        <w:rPr>
          <w:rFonts w:cstheme="minorBidi"/>
        </w:rPr>
        <w:t>реализации</w:t>
      </w:r>
      <w:r w:rsidRPr="005E2B10">
        <w:rPr>
          <w:rFonts w:cstheme="minorBidi"/>
        </w:rPr>
        <w:t xml:space="preserve"> проектов в рамках БРЭ, укреплении сообщества руководителей проектов и дальнейшем развитии навыков руководителей проектов в областях, связанных с работой МСЭ. Эта программа будет действовать </w:t>
      </w:r>
      <w:r>
        <w:rPr>
          <w:rFonts w:cstheme="minorBidi"/>
        </w:rPr>
        <w:t>на всем протяжении</w:t>
      </w:r>
      <w:r w:rsidRPr="005E2B10">
        <w:rPr>
          <w:rFonts w:cstheme="minorBidi"/>
        </w:rPr>
        <w:t xml:space="preserve"> 2025 года</w:t>
      </w:r>
      <w:r>
        <w:rPr>
          <w:rFonts w:cstheme="minorBidi"/>
        </w:rPr>
        <w:t xml:space="preserve">. </w:t>
      </w:r>
    </w:p>
    <w:p w14:paraId="6CD1E10B" w14:textId="092762B2" w:rsidR="00937ACC" w:rsidRPr="005F3ACA" w:rsidRDefault="00937ACC" w:rsidP="00937ACC">
      <w:pPr>
        <w:pStyle w:val="enumlev1"/>
        <w:rPr>
          <w:rFonts w:cstheme="minorBidi"/>
        </w:rPr>
      </w:pPr>
      <w:r w:rsidRPr="00937ACC">
        <w:t>−</w:t>
      </w:r>
      <w:r w:rsidRPr="00937ACC">
        <w:tab/>
      </w:r>
      <w:r>
        <w:rPr>
          <w:rFonts w:cstheme="minorBidi"/>
          <w:b/>
          <w:bCs/>
        </w:rPr>
        <w:t>Мониторинг</w:t>
      </w:r>
      <w:r w:rsidRPr="00856BE0">
        <w:rPr>
          <w:rFonts w:cstheme="minorBidi"/>
          <w:b/>
          <w:bCs/>
        </w:rPr>
        <w:t xml:space="preserve"> </w:t>
      </w:r>
      <w:r>
        <w:rPr>
          <w:rFonts w:cstheme="minorBidi"/>
          <w:b/>
          <w:bCs/>
        </w:rPr>
        <w:t>проектов</w:t>
      </w:r>
      <w:r w:rsidRPr="00856BE0">
        <w:rPr>
          <w:rFonts w:cstheme="minorBidi"/>
          <w:b/>
          <w:bCs/>
        </w:rPr>
        <w:t xml:space="preserve"> </w:t>
      </w:r>
      <w:r>
        <w:rPr>
          <w:rFonts w:cstheme="minorBidi"/>
          <w:b/>
          <w:bCs/>
        </w:rPr>
        <w:t>МСЭ</w:t>
      </w:r>
      <w:r w:rsidRPr="00DD1958">
        <w:rPr>
          <w:rFonts w:cstheme="minorBidi"/>
        </w:rPr>
        <w:t xml:space="preserve">. </w:t>
      </w:r>
      <w:r w:rsidRPr="005F3ACA">
        <w:rPr>
          <w:rFonts w:cstheme="minorBidi"/>
        </w:rPr>
        <w:t xml:space="preserve">Мониторинг всех проектов МСЭ продолжается на </w:t>
      </w:r>
      <w:r>
        <w:rPr>
          <w:rFonts w:cstheme="minorBidi"/>
        </w:rPr>
        <w:t>каждо</w:t>
      </w:r>
      <w:r w:rsidRPr="005F3ACA">
        <w:rPr>
          <w:rFonts w:cstheme="minorBidi"/>
        </w:rPr>
        <w:t xml:space="preserve">дневной основе, и по ним представляются отчеты в конце каждого квартала. Результаты этой работы представляются руководству БРЭ и руководителям проектов в виде ежеквартальных отчетов об оценке, а также с помощью внутренних информационных панелей управления, которые позволяют принимать решения по проектам на основе </w:t>
      </w:r>
      <w:r>
        <w:rPr>
          <w:rFonts w:cstheme="minorBidi"/>
        </w:rPr>
        <w:t xml:space="preserve">фактических </w:t>
      </w:r>
      <w:r w:rsidRPr="005F3ACA">
        <w:rPr>
          <w:rFonts w:cstheme="minorBidi"/>
        </w:rPr>
        <w:t>данных.</w:t>
      </w:r>
    </w:p>
    <w:p w14:paraId="4AB34FCB" w14:textId="4C9D6CEA" w:rsidR="00937ACC" w:rsidRPr="00937ACC" w:rsidRDefault="00937ACC" w:rsidP="00937ACC">
      <w:pPr>
        <w:pStyle w:val="Heading1"/>
      </w:pPr>
      <w:r>
        <w:lastRenderedPageBreak/>
        <w:t>5</w:t>
      </w:r>
      <w:r>
        <w:tab/>
      </w:r>
      <w:r w:rsidRPr="00937ACC">
        <w:t>Выводы</w:t>
      </w:r>
    </w:p>
    <w:p w14:paraId="5C08EEB1" w14:textId="1E6255AC" w:rsidR="00937ACC" w:rsidRPr="005F3ACA" w:rsidRDefault="00937ACC" w:rsidP="00937ACC">
      <w:r w:rsidRPr="005F3ACA">
        <w:t xml:space="preserve">2024 год стал важным годом в развитии проектов МСЭ. </w:t>
      </w:r>
      <w:r>
        <w:t>На фоне того, что в настоящее время насчитывается</w:t>
      </w:r>
      <w:r w:rsidRPr="005F3ACA">
        <w:t xml:space="preserve"> 100 </w:t>
      </w:r>
      <w:r>
        <w:t>выполняемых</w:t>
      </w:r>
      <w:r w:rsidRPr="005F3ACA">
        <w:t xml:space="preserve"> проектов</w:t>
      </w:r>
      <w:r>
        <w:t>,</w:t>
      </w:r>
      <w:r w:rsidRPr="005F3ACA">
        <w:t xml:space="preserve"> </w:t>
      </w:r>
      <w:r>
        <w:t>а</w:t>
      </w:r>
      <w:r w:rsidRPr="005F3ACA">
        <w:t xml:space="preserve"> в течение </w:t>
      </w:r>
      <w:r>
        <w:t xml:space="preserve">последнего </w:t>
      </w:r>
      <w:r w:rsidRPr="005F3ACA">
        <w:t xml:space="preserve">года </w:t>
      </w:r>
      <w:r>
        <w:t xml:space="preserve">били подписаны соглашения о реализации </w:t>
      </w:r>
      <w:r w:rsidRPr="005F3ACA">
        <w:t>37 новых проектов, проекты МСЭ продолжают играть важную роль в выполнении Кигалийского плана действий и предоставлении технической помощи Государствам – Членам МСЭ, а также в предоставлении новых продуктов и услуг в области цифрового развития и трансформации</w:t>
      </w:r>
      <w:r>
        <w:t>.</w:t>
      </w:r>
    </w:p>
    <w:p w14:paraId="5DB9F53C" w14:textId="77777777" w:rsidR="00937ACC" w:rsidRPr="005252AE" w:rsidRDefault="00937ACC" w:rsidP="00937ACC">
      <w:pPr>
        <w:rPr>
          <w:rFonts w:cstheme="minorBidi"/>
        </w:rPr>
      </w:pPr>
      <w:r w:rsidRPr="005F3ACA">
        <w:rPr>
          <w:rFonts w:cstheme="minorBidi"/>
        </w:rPr>
        <w:t xml:space="preserve">Эти достижения являются результатом тесной координации и сотрудничества между всеми </w:t>
      </w:r>
      <w:r>
        <w:rPr>
          <w:rFonts w:cstheme="minorBidi"/>
        </w:rPr>
        <w:t>коллективами</w:t>
      </w:r>
      <w:r w:rsidRPr="005F3ACA">
        <w:rPr>
          <w:rFonts w:cstheme="minorBidi"/>
        </w:rPr>
        <w:t xml:space="preserve"> как на местах, так и в штаб-квартире Бюро развития электросвязи, </w:t>
      </w:r>
      <w:r>
        <w:rPr>
          <w:rFonts w:cstheme="minorBidi"/>
        </w:rPr>
        <w:t xml:space="preserve">включая, </w:t>
      </w:r>
      <w:r w:rsidRPr="005F3ACA">
        <w:rPr>
          <w:rFonts w:cstheme="minorBidi"/>
        </w:rPr>
        <w:t>в частности, поддержк</w:t>
      </w:r>
      <w:r>
        <w:rPr>
          <w:rFonts w:cstheme="minorBidi"/>
        </w:rPr>
        <w:t>у</w:t>
      </w:r>
      <w:r w:rsidRPr="005F3ACA">
        <w:rPr>
          <w:rFonts w:cstheme="minorBidi"/>
        </w:rPr>
        <w:t xml:space="preserve"> со стороны Департамента проектов, партнерств и цифровых навыков (PPS) БРЭ</w:t>
      </w:r>
      <w:r w:rsidRPr="00732F0B">
        <w:rPr>
          <w:rStyle w:val="FootnoteReference"/>
        </w:rPr>
        <w:footnoteReference w:id="6"/>
      </w:r>
      <w:r>
        <w:rPr>
          <w:rFonts w:cstheme="minorBidi"/>
        </w:rPr>
        <w:t xml:space="preserve">. </w:t>
      </w:r>
    </w:p>
    <w:p w14:paraId="4201DF14" w14:textId="77777777" w:rsidR="00937ACC" w:rsidRPr="005252AE" w:rsidRDefault="00937ACC" w:rsidP="00937ACC">
      <w:r w:rsidRPr="005252AE">
        <w:t xml:space="preserve">В </w:t>
      </w:r>
      <w:r>
        <w:t>контексте</w:t>
      </w:r>
      <w:r w:rsidRPr="005252AE">
        <w:t xml:space="preserve"> подготовк</w:t>
      </w:r>
      <w:r>
        <w:t>и</w:t>
      </w:r>
      <w:r w:rsidRPr="005252AE">
        <w:t xml:space="preserve"> МСЭ-D к ВКРЭ-25 КГРЭ предлагается </w:t>
      </w:r>
      <w:r>
        <w:t>и впредь</w:t>
      </w:r>
      <w:r w:rsidRPr="005252AE">
        <w:t xml:space="preserve"> предоставлять руководящие указания и рекомендации </w:t>
      </w:r>
      <w:r>
        <w:t>относительно</w:t>
      </w:r>
      <w:r w:rsidRPr="005252AE">
        <w:t xml:space="preserve"> то</w:t>
      </w:r>
      <w:r>
        <w:t>го</w:t>
      </w:r>
      <w:r w:rsidRPr="005252AE">
        <w:t>, как продолжить укрепление практики реализации проектов в БРЭ для оказания значимого воздействия на деятельность членов МСЭ-D посредством проектов в области развития</w:t>
      </w:r>
      <w:r>
        <w:t>.</w:t>
      </w:r>
    </w:p>
    <w:p w14:paraId="6A958BDE" w14:textId="77777777" w:rsidR="00CE66E4" w:rsidRPr="00CE66E4" w:rsidRDefault="00CE66E4" w:rsidP="00937ACC">
      <w:pPr>
        <w:spacing w:before="720"/>
        <w:jc w:val="center"/>
        <w:rPr>
          <w:lang w:val="en-US"/>
        </w:rPr>
      </w:pPr>
      <w:r>
        <w:t>______________</w:t>
      </w:r>
    </w:p>
    <w:sectPr w:rsidR="00CE66E4" w:rsidRPr="00CE66E4" w:rsidSect="00CE66E4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1685E" w14:textId="77777777" w:rsidR="00937ACC" w:rsidRDefault="00937ACC">
      <w:r>
        <w:separator/>
      </w:r>
    </w:p>
    <w:p w14:paraId="6B1DABEC" w14:textId="77777777" w:rsidR="00937ACC" w:rsidRDefault="00937ACC"/>
  </w:endnote>
  <w:endnote w:type="continuationSeparator" w:id="0">
    <w:p w14:paraId="3D7A3332" w14:textId="77777777" w:rsidR="00937ACC" w:rsidRDefault="00937ACC">
      <w:r>
        <w:continuationSeparator/>
      </w:r>
    </w:p>
    <w:p w14:paraId="140AEAD8" w14:textId="77777777" w:rsidR="00937ACC" w:rsidRDefault="00937ACC"/>
  </w:endnote>
  <w:endnote w:type="continuationNotice" w:id="1">
    <w:p w14:paraId="0F35BC63" w14:textId="77777777" w:rsidR="00937ACC" w:rsidRDefault="00937ACC">
      <w:pPr>
        <w:spacing w:before="0"/>
      </w:pPr>
    </w:p>
    <w:p w14:paraId="1B88DEA9" w14:textId="77777777" w:rsidR="00937ACC" w:rsidRDefault="00937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3D18FF84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4A12BA11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B78F59E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7A738743" w14:textId="6E7A3F56" w:rsidR="00F723AC" w:rsidRPr="00937ACC" w:rsidRDefault="00937ACC" w:rsidP="00F723AC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937ACC">
            <w:rPr>
              <w:sz w:val="18"/>
              <w:szCs w:val="18"/>
            </w:rPr>
            <w:t>-н Хосе Мария Диас Батанеро (</w:t>
          </w:r>
          <w:r w:rsidRPr="00937ACC">
            <w:rPr>
              <w:sz w:val="18"/>
              <w:szCs w:val="18"/>
              <w:lang w:val="en-US"/>
            </w:rPr>
            <w:t>Mr</w:t>
          </w:r>
          <w:r w:rsidRPr="00937ACC">
            <w:rPr>
              <w:sz w:val="18"/>
              <w:szCs w:val="18"/>
            </w:rPr>
            <w:t xml:space="preserve"> </w:t>
          </w:r>
          <w:r w:rsidRPr="00937ACC">
            <w:rPr>
              <w:sz w:val="18"/>
              <w:szCs w:val="18"/>
              <w:lang w:val="en-US"/>
            </w:rPr>
            <w:t>Jose</w:t>
          </w:r>
          <w:r w:rsidRPr="00937ACC">
            <w:rPr>
              <w:sz w:val="18"/>
              <w:szCs w:val="18"/>
            </w:rPr>
            <w:t xml:space="preserve"> </w:t>
          </w:r>
          <w:r w:rsidRPr="00937ACC">
            <w:rPr>
              <w:sz w:val="18"/>
              <w:szCs w:val="18"/>
              <w:lang w:val="en-US"/>
            </w:rPr>
            <w:t>Maria</w:t>
          </w:r>
          <w:r w:rsidRPr="00937ACC">
            <w:rPr>
              <w:sz w:val="18"/>
              <w:szCs w:val="18"/>
            </w:rPr>
            <w:t xml:space="preserve"> </w:t>
          </w:r>
          <w:r w:rsidRPr="00937ACC">
            <w:rPr>
              <w:sz w:val="18"/>
              <w:szCs w:val="18"/>
              <w:lang w:val="en-US"/>
            </w:rPr>
            <w:t>Diaz</w:t>
          </w:r>
          <w:r w:rsidRPr="00937ACC">
            <w:rPr>
              <w:sz w:val="18"/>
              <w:szCs w:val="18"/>
            </w:rPr>
            <w:t xml:space="preserve"> </w:t>
          </w:r>
          <w:r w:rsidRPr="00937ACC">
            <w:rPr>
              <w:sz w:val="18"/>
              <w:szCs w:val="18"/>
              <w:lang w:val="en-US"/>
            </w:rPr>
            <w:t>Batanero</w:t>
          </w:r>
          <w:r w:rsidRPr="00937ACC">
            <w:rPr>
              <w:sz w:val="18"/>
              <w:szCs w:val="18"/>
            </w:rPr>
            <w:t>), Руководитель Отдела поддержки проектов Бюро развития электросвязи</w:t>
          </w:r>
        </w:p>
      </w:tc>
      <w:bookmarkStart w:id="11" w:name="OrgName"/>
      <w:bookmarkEnd w:id="11"/>
    </w:tr>
    <w:tr w:rsidR="00F723AC" w:rsidRPr="00365AB0" w14:paraId="7EEEE2E5" w14:textId="77777777" w:rsidTr="005539C3">
      <w:trPr>
        <w:trHeight w:val="165"/>
      </w:trPr>
      <w:tc>
        <w:tcPr>
          <w:tcW w:w="1526" w:type="dxa"/>
        </w:tcPr>
        <w:p w14:paraId="030F2D45" w14:textId="77777777" w:rsidR="00F723AC" w:rsidRPr="00937ACC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78485A06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0AB28D99" w14:textId="464EB8A9" w:rsidR="00F723AC" w:rsidRPr="00365AB0" w:rsidRDefault="00937ACC" w:rsidP="00F723AC">
          <w:pPr>
            <w:pStyle w:val="FirstFooter"/>
            <w:rPr>
              <w:sz w:val="18"/>
              <w:szCs w:val="18"/>
            </w:rPr>
          </w:pPr>
          <w:r w:rsidRPr="00937ACC">
            <w:rPr>
              <w:sz w:val="18"/>
              <w:szCs w:val="18"/>
              <w:lang w:val="en-US"/>
            </w:rPr>
            <w:t>+41 22 730 5495</w:t>
          </w:r>
        </w:p>
      </w:tc>
      <w:bookmarkStart w:id="12" w:name="PhoneNo"/>
      <w:bookmarkEnd w:id="12"/>
    </w:tr>
    <w:tr w:rsidR="00F723AC" w:rsidRPr="00365AB0" w14:paraId="1A93A37D" w14:textId="77777777" w:rsidTr="005539C3">
      <w:tc>
        <w:tcPr>
          <w:tcW w:w="1526" w:type="dxa"/>
        </w:tcPr>
        <w:p w14:paraId="2D8373DD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2700A4C0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5EBD2DD1" w14:textId="2E770AD8" w:rsidR="00F723AC" w:rsidRPr="00365AB0" w:rsidRDefault="00937ACC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AF1FCA">
              <w:rPr>
                <w:rStyle w:val="Hyperlink"/>
                <w:sz w:val="18"/>
                <w:szCs w:val="22"/>
              </w:rPr>
              <w:t>jose.batanero@itu.int</w:t>
            </w:r>
          </w:hyperlink>
        </w:p>
      </w:tc>
      <w:bookmarkStart w:id="13" w:name="Email"/>
      <w:bookmarkEnd w:id="13"/>
    </w:tr>
  </w:tbl>
  <w:p w14:paraId="2CF3AFDA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9241" w14:textId="77777777" w:rsidR="00937ACC" w:rsidRPr="0054377E" w:rsidRDefault="00937ACC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1BB7F45E" w14:textId="77777777" w:rsidR="00937ACC" w:rsidRDefault="00937ACC" w:rsidP="0054377E">
      <w:pPr>
        <w:spacing w:before="0"/>
      </w:pPr>
      <w:r>
        <w:continuationSeparator/>
      </w:r>
    </w:p>
    <w:p w14:paraId="7B2669A6" w14:textId="77777777" w:rsidR="00937ACC" w:rsidRDefault="00937ACC"/>
  </w:footnote>
  <w:footnote w:type="continuationNotice" w:id="1">
    <w:p w14:paraId="7BBBD35E" w14:textId="77777777" w:rsidR="00937ACC" w:rsidRDefault="00937ACC">
      <w:pPr>
        <w:spacing w:before="0"/>
      </w:pPr>
    </w:p>
    <w:p w14:paraId="6FA8A4D9" w14:textId="77777777" w:rsidR="00937ACC" w:rsidRDefault="00937ACC"/>
  </w:footnote>
  <w:footnote w:id="2">
    <w:p w14:paraId="67AD2D72" w14:textId="274A4AC9" w:rsidR="00937ACC" w:rsidRPr="00EC1CF1" w:rsidRDefault="00937ACC" w:rsidP="00937ACC">
      <w:pPr>
        <w:pStyle w:val="FootnoteText"/>
        <w:spacing w:before="0"/>
        <w:rPr>
          <w:i/>
          <w:iCs/>
        </w:rPr>
      </w:pPr>
      <w:r w:rsidRPr="00732F0B">
        <w:rPr>
          <w:rStyle w:val="FootnoteReference"/>
        </w:rPr>
        <w:footnoteRef/>
      </w:r>
      <w:r w:rsidRPr="00EC1CF1">
        <w:rPr>
          <w:i/>
          <w:iCs/>
        </w:rPr>
        <w:t xml:space="preserve"> </w:t>
      </w:r>
      <w:r>
        <w:rPr>
          <w:i/>
          <w:iCs/>
        </w:rPr>
        <w:tab/>
      </w:r>
      <w:r w:rsidRPr="00EC1CF1">
        <w:rPr>
          <w:i/>
          <w:iCs/>
        </w:rPr>
        <w:t>Представленные в настоящем документе цифры соответствуют финансовому балансу на момент закрытия счетов в 2024 году (остаток средств на 31 декабря 2024 г</w:t>
      </w:r>
      <w:r w:rsidR="00DD1958">
        <w:rPr>
          <w:i/>
          <w:iCs/>
        </w:rPr>
        <w:t>.</w:t>
      </w:r>
      <w:r w:rsidRPr="00EC1CF1">
        <w:rPr>
          <w:i/>
          <w:iCs/>
        </w:rPr>
        <w:t>)</w:t>
      </w:r>
      <w:r>
        <w:rPr>
          <w:i/>
          <w:iCs/>
        </w:rPr>
        <w:t>.</w:t>
      </w:r>
    </w:p>
  </w:footnote>
  <w:footnote w:id="3">
    <w:p w14:paraId="79B55729" w14:textId="1048C941" w:rsidR="00937ACC" w:rsidRPr="008658DF" w:rsidRDefault="00937ACC" w:rsidP="00937ACC">
      <w:pPr>
        <w:pStyle w:val="FootnoteText"/>
        <w:tabs>
          <w:tab w:val="left" w:pos="0"/>
        </w:tabs>
        <w:spacing w:before="0"/>
        <w:rPr>
          <w:i/>
          <w:iCs/>
        </w:rPr>
      </w:pPr>
      <w:r w:rsidRPr="00732F0B">
        <w:rPr>
          <w:rStyle w:val="FootnoteReference"/>
        </w:rPr>
        <w:footnoteRef/>
      </w:r>
      <w:r w:rsidRPr="008658DF">
        <w:t xml:space="preserve"> </w:t>
      </w:r>
      <w:r>
        <w:tab/>
      </w:r>
      <w:r w:rsidRPr="008658DF">
        <w:rPr>
          <w:i/>
          <w:iCs/>
        </w:rPr>
        <w:t xml:space="preserve">Следует отметить, что в эту цифру не входят дополнительные документы, подписанные по </w:t>
      </w:r>
      <w:r>
        <w:rPr>
          <w:i/>
          <w:iCs/>
        </w:rPr>
        <w:t>выполняемым</w:t>
      </w:r>
      <w:r w:rsidRPr="008658DF">
        <w:rPr>
          <w:i/>
          <w:iCs/>
        </w:rPr>
        <w:t xml:space="preserve"> проектам, а также другие соглашения о партнерстве, такие как соглашения о спонсорской поддержке или соглашения о добровольных взносах, о которых сообщается в Документе </w:t>
      </w:r>
      <w:r w:rsidRPr="008658DF">
        <w:rPr>
          <w:i/>
          <w:iCs/>
          <w:lang w:val="en-US"/>
        </w:rPr>
        <w:t>TDAG</w:t>
      </w:r>
      <w:r w:rsidRPr="008658DF">
        <w:rPr>
          <w:i/>
          <w:iCs/>
        </w:rPr>
        <w:t>-25/</w:t>
      </w:r>
      <w:r w:rsidRPr="008658DF">
        <w:rPr>
          <w:i/>
          <w:iCs/>
          <w:lang w:val="en-US"/>
        </w:rPr>
        <w:t>INF</w:t>
      </w:r>
      <w:r w:rsidRPr="008658DF">
        <w:rPr>
          <w:i/>
          <w:iCs/>
        </w:rPr>
        <w:t>/1</w:t>
      </w:r>
      <w:r>
        <w:rPr>
          <w:i/>
          <w:iCs/>
        </w:rPr>
        <w:t>.</w:t>
      </w:r>
    </w:p>
  </w:footnote>
  <w:footnote w:id="4">
    <w:p w14:paraId="3CDDBD8D" w14:textId="03FE7893" w:rsidR="00937ACC" w:rsidRPr="00700849" w:rsidRDefault="00937ACC" w:rsidP="00937ACC">
      <w:pPr>
        <w:pStyle w:val="FootnoteText"/>
        <w:spacing w:before="0"/>
        <w:rPr>
          <w:i/>
          <w:iCs/>
        </w:rPr>
      </w:pPr>
      <w:r w:rsidRPr="00732F0B">
        <w:rPr>
          <w:rStyle w:val="FootnoteReference"/>
        </w:rPr>
        <w:footnoteRef/>
      </w:r>
      <w:r>
        <w:rPr>
          <w:i/>
          <w:iCs/>
        </w:rPr>
        <w:tab/>
        <w:t>Дополнительную</w:t>
      </w:r>
      <w:r w:rsidRPr="00700849">
        <w:rPr>
          <w:i/>
          <w:iCs/>
        </w:rPr>
        <w:t xml:space="preserve"> </w:t>
      </w:r>
      <w:r>
        <w:rPr>
          <w:i/>
          <w:iCs/>
        </w:rPr>
        <w:t>информацию</w:t>
      </w:r>
      <w:r w:rsidRPr="00700849">
        <w:rPr>
          <w:i/>
          <w:iCs/>
        </w:rPr>
        <w:t xml:space="preserve"> </w:t>
      </w:r>
      <w:r>
        <w:rPr>
          <w:i/>
          <w:iCs/>
        </w:rPr>
        <w:t>см</w:t>
      </w:r>
      <w:r w:rsidRPr="00700849">
        <w:rPr>
          <w:i/>
          <w:iCs/>
        </w:rPr>
        <w:t xml:space="preserve">. </w:t>
      </w:r>
      <w:r>
        <w:rPr>
          <w:i/>
          <w:iCs/>
        </w:rPr>
        <w:t>в</w:t>
      </w:r>
      <w:r w:rsidRPr="00700849">
        <w:rPr>
          <w:i/>
          <w:iCs/>
        </w:rPr>
        <w:t xml:space="preserve"> </w:t>
      </w:r>
      <w:r>
        <w:rPr>
          <w:i/>
          <w:iCs/>
        </w:rPr>
        <w:t>Резолюции</w:t>
      </w:r>
      <w:r w:rsidRPr="00700849">
        <w:rPr>
          <w:i/>
          <w:iCs/>
        </w:rPr>
        <w:t xml:space="preserve"> 1418, </w:t>
      </w:r>
      <w:r>
        <w:rPr>
          <w:i/>
          <w:iCs/>
        </w:rPr>
        <w:t>доступной по ссылке</w:t>
      </w:r>
      <w:r w:rsidRPr="00700849">
        <w:rPr>
          <w:i/>
          <w:iCs/>
        </w:rPr>
        <w:t xml:space="preserve"> </w:t>
      </w:r>
      <w:hyperlink r:id="rId1" w:history="1">
        <w:r w:rsidRPr="003B78F1">
          <w:rPr>
            <w:rStyle w:val="Hyperlink"/>
            <w:i/>
            <w:iCs/>
          </w:rPr>
          <w:t>https</w:t>
        </w:r>
        <w:r w:rsidRPr="00700849">
          <w:rPr>
            <w:rStyle w:val="Hyperlink"/>
            <w:i/>
            <w:iCs/>
          </w:rPr>
          <w:t>://</w:t>
        </w:r>
        <w:r w:rsidRPr="003B78F1">
          <w:rPr>
            <w:rStyle w:val="Hyperlink"/>
            <w:i/>
            <w:iCs/>
          </w:rPr>
          <w:t>www</w:t>
        </w:r>
        <w:r w:rsidRPr="00700849">
          <w:rPr>
            <w:rStyle w:val="Hyperlink"/>
            <w:i/>
            <w:iCs/>
          </w:rPr>
          <w:t>.</w:t>
        </w:r>
        <w:r w:rsidRPr="003B78F1">
          <w:rPr>
            <w:rStyle w:val="Hyperlink"/>
            <w:i/>
            <w:iCs/>
          </w:rPr>
          <w:t>itu</w:t>
        </w:r>
        <w:r w:rsidRPr="00700849">
          <w:rPr>
            <w:rStyle w:val="Hyperlink"/>
            <w:i/>
            <w:iCs/>
          </w:rPr>
          <w:t>.</w:t>
        </w:r>
        <w:r w:rsidRPr="003B78F1">
          <w:rPr>
            <w:rStyle w:val="Hyperlink"/>
            <w:i/>
            <w:iCs/>
          </w:rPr>
          <w:t>int</w:t>
        </w:r>
        <w:r w:rsidRPr="00700849">
          <w:rPr>
            <w:rStyle w:val="Hyperlink"/>
            <w:i/>
            <w:iCs/>
          </w:rPr>
          <w:t>/</w:t>
        </w:r>
        <w:r w:rsidRPr="003B78F1">
          <w:rPr>
            <w:rStyle w:val="Hyperlink"/>
            <w:i/>
            <w:iCs/>
          </w:rPr>
          <w:t>md</w:t>
        </w:r>
        <w:r w:rsidRPr="00700849">
          <w:rPr>
            <w:rStyle w:val="Hyperlink"/>
            <w:i/>
            <w:iCs/>
          </w:rPr>
          <w:t>/</w:t>
        </w:r>
        <w:r w:rsidRPr="003B78F1">
          <w:rPr>
            <w:rStyle w:val="Hyperlink"/>
            <w:i/>
            <w:iCs/>
          </w:rPr>
          <w:t>S</w:t>
        </w:r>
        <w:r w:rsidRPr="00700849">
          <w:rPr>
            <w:rStyle w:val="Hyperlink"/>
            <w:i/>
            <w:iCs/>
          </w:rPr>
          <w:t>23-</w:t>
        </w:r>
        <w:r w:rsidRPr="003B78F1">
          <w:rPr>
            <w:rStyle w:val="Hyperlink"/>
            <w:i/>
            <w:iCs/>
          </w:rPr>
          <w:t>CL</w:t>
        </w:r>
        <w:r w:rsidRPr="00700849">
          <w:rPr>
            <w:rStyle w:val="Hyperlink"/>
            <w:i/>
            <w:iCs/>
          </w:rPr>
          <w:t>-</w:t>
        </w:r>
        <w:r w:rsidRPr="003B78F1">
          <w:rPr>
            <w:rStyle w:val="Hyperlink"/>
            <w:i/>
            <w:iCs/>
          </w:rPr>
          <w:t>C</w:t>
        </w:r>
        <w:r w:rsidRPr="00700849">
          <w:rPr>
            <w:rStyle w:val="Hyperlink"/>
            <w:i/>
            <w:iCs/>
          </w:rPr>
          <w:t>-0116/</w:t>
        </w:r>
      </w:hyperlink>
      <w:r>
        <w:t>.</w:t>
      </w:r>
    </w:p>
  </w:footnote>
  <w:footnote w:id="5">
    <w:p w14:paraId="21BD953A" w14:textId="54645E57" w:rsidR="00937ACC" w:rsidRPr="00700849" w:rsidRDefault="00937ACC" w:rsidP="00937ACC">
      <w:pPr>
        <w:pStyle w:val="FootnoteText"/>
        <w:spacing w:before="0"/>
        <w:rPr>
          <w:i/>
          <w:iCs/>
        </w:rPr>
      </w:pPr>
      <w:r w:rsidRPr="00732F0B">
        <w:rPr>
          <w:rStyle w:val="FootnoteReference"/>
        </w:rPr>
        <w:footnoteRef/>
      </w:r>
      <w:r>
        <w:rPr>
          <w:i/>
          <w:iCs/>
        </w:rPr>
        <w:tab/>
        <w:t>Доступно по ссылке</w:t>
      </w:r>
      <w:r w:rsidRPr="00700849">
        <w:rPr>
          <w:i/>
          <w:iCs/>
        </w:rPr>
        <w:t xml:space="preserve"> </w:t>
      </w:r>
      <w:hyperlink r:id="rId2" w:history="1">
        <w:r w:rsidRPr="003B78F1">
          <w:rPr>
            <w:rStyle w:val="Hyperlink"/>
            <w:i/>
            <w:iCs/>
          </w:rPr>
          <w:t>https</w:t>
        </w:r>
        <w:r w:rsidRPr="00700849">
          <w:rPr>
            <w:rStyle w:val="Hyperlink"/>
            <w:i/>
            <w:iCs/>
          </w:rPr>
          <w:t>://</w:t>
        </w:r>
        <w:r w:rsidRPr="003B78F1">
          <w:rPr>
            <w:rStyle w:val="Hyperlink"/>
            <w:i/>
            <w:iCs/>
          </w:rPr>
          <w:t>www</w:t>
        </w:r>
        <w:r w:rsidRPr="00700849">
          <w:rPr>
            <w:rStyle w:val="Hyperlink"/>
            <w:i/>
            <w:iCs/>
          </w:rPr>
          <w:t>.</w:t>
        </w:r>
        <w:r w:rsidRPr="003B78F1">
          <w:rPr>
            <w:rStyle w:val="Hyperlink"/>
            <w:i/>
            <w:iCs/>
          </w:rPr>
          <w:t>itu</w:t>
        </w:r>
        <w:r w:rsidRPr="00700849">
          <w:rPr>
            <w:rStyle w:val="Hyperlink"/>
            <w:i/>
            <w:iCs/>
          </w:rPr>
          <w:t>.</w:t>
        </w:r>
        <w:r w:rsidRPr="003B78F1">
          <w:rPr>
            <w:rStyle w:val="Hyperlink"/>
            <w:i/>
            <w:iCs/>
          </w:rPr>
          <w:t>int</w:t>
        </w:r>
        <w:r w:rsidRPr="00700849">
          <w:rPr>
            <w:rStyle w:val="Hyperlink"/>
            <w:i/>
            <w:iCs/>
          </w:rPr>
          <w:t>/</w:t>
        </w:r>
        <w:r w:rsidRPr="003B78F1">
          <w:rPr>
            <w:rStyle w:val="Hyperlink"/>
            <w:i/>
            <w:iCs/>
          </w:rPr>
          <w:t>en</w:t>
        </w:r>
        <w:r w:rsidRPr="00700849">
          <w:rPr>
            <w:rStyle w:val="Hyperlink"/>
            <w:i/>
            <w:iCs/>
          </w:rPr>
          <w:t>/</w:t>
        </w:r>
        <w:r w:rsidRPr="003B78F1">
          <w:rPr>
            <w:rStyle w:val="Hyperlink"/>
            <w:i/>
            <w:iCs/>
          </w:rPr>
          <w:t>ITU</w:t>
        </w:r>
        <w:r w:rsidRPr="00700849">
          <w:rPr>
            <w:rStyle w:val="Hyperlink"/>
            <w:i/>
            <w:iCs/>
          </w:rPr>
          <w:t>-</w:t>
        </w:r>
        <w:r w:rsidRPr="003B78F1">
          <w:rPr>
            <w:rStyle w:val="Hyperlink"/>
            <w:i/>
            <w:iCs/>
          </w:rPr>
          <w:t>D</w:t>
        </w:r>
        <w:r w:rsidRPr="00700849">
          <w:rPr>
            <w:rStyle w:val="Hyperlink"/>
            <w:i/>
            <w:iCs/>
          </w:rPr>
          <w:t>/</w:t>
        </w:r>
        <w:r w:rsidRPr="003B78F1">
          <w:rPr>
            <w:rStyle w:val="Hyperlink"/>
            <w:i/>
            <w:iCs/>
          </w:rPr>
          <w:t>Projects</w:t>
        </w:r>
      </w:hyperlink>
      <w:r>
        <w:t>.</w:t>
      </w:r>
    </w:p>
  </w:footnote>
  <w:footnote w:id="6">
    <w:p w14:paraId="0112A518" w14:textId="77E1A3E0" w:rsidR="00937ACC" w:rsidRPr="005252AE" w:rsidRDefault="00937ACC" w:rsidP="00937ACC">
      <w:pPr>
        <w:pStyle w:val="FootnoteText"/>
        <w:tabs>
          <w:tab w:val="left" w:pos="90"/>
        </w:tabs>
        <w:spacing w:before="0"/>
        <w:rPr>
          <w:rFonts w:cstheme="minorHAnsi"/>
          <w:i/>
          <w:iCs/>
        </w:rPr>
      </w:pPr>
      <w:r w:rsidRPr="00732F0B">
        <w:rPr>
          <w:rStyle w:val="FootnoteReference"/>
        </w:rPr>
        <w:footnoteRef/>
      </w:r>
      <w:r w:rsidRPr="005252AE">
        <w:rPr>
          <w:i/>
          <w:iCs/>
        </w:rPr>
        <w:t xml:space="preserve"> </w:t>
      </w:r>
      <w:r w:rsidR="00732F0B">
        <w:rPr>
          <w:i/>
          <w:iCs/>
        </w:rPr>
        <w:tab/>
      </w:r>
      <w:r w:rsidRPr="005252AE">
        <w:rPr>
          <w:rFonts w:cstheme="minorHAnsi"/>
          <w:i/>
          <w:iCs/>
        </w:rPr>
        <w:t>Более подробная информация о партнерских связях и мобилизации ресурсов в МСЭ-</w:t>
      </w:r>
      <w:r w:rsidRPr="005252AE">
        <w:rPr>
          <w:rFonts w:cstheme="minorHAnsi"/>
          <w:i/>
          <w:iCs/>
          <w:lang w:val="en-US"/>
        </w:rPr>
        <w:t>D</w:t>
      </w:r>
      <w:r w:rsidRPr="005252AE">
        <w:rPr>
          <w:rFonts w:cstheme="minorHAnsi"/>
          <w:i/>
          <w:iCs/>
        </w:rPr>
        <w:t xml:space="preserve"> содержится в Документах </w:t>
      </w:r>
      <w:hyperlink r:id="rId3" w:history="1">
        <w:r w:rsidRPr="005252AE">
          <w:rPr>
            <w:rStyle w:val="Hyperlink"/>
            <w:rFonts w:cstheme="minorHAnsi"/>
            <w:i/>
            <w:iCs/>
            <w:lang w:val="en-US"/>
          </w:rPr>
          <w:t>TDAG</w:t>
        </w:r>
        <w:r w:rsidRPr="005252AE">
          <w:rPr>
            <w:rStyle w:val="Hyperlink"/>
            <w:rFonts w:cstheme="minorHAnsi"/>
            <w:i/>
            <w:iCs/>
          </w:rPr>
          <w:t>-25/9</w:t>
        </w:r>
      </w:hyperlink>
      <w:r w:rsidRPr="005252AE">
        <w:rPr>
          <w:rFonts w:cstheme="minorHAnsi"/>
          <w:i/>
          <w:iCs/>
        </w:rPr>
        <w:t xml:space="preserve">, </w:t>
      </w:r>
      <w:hyperlink r:id="rId4" w:history="1">
        <w:r w:rsidRPr="005252AE">
          <w:rPr>
            <w:rStyle w:val="Hyperlink"/>
            <w:rFonts w:cstheme="minorHAnsi"/>
            <w:i/>
            <w:iCs/>
            <w:lang w:val="en-US"/>
          </w:rPr>
          <w:t>TDAG</w:t>
        </w:r>
        <w:r w:rsidRPr="005252AE">
          <w:rPr>
            <w:rStyle w:val="Hyperlink"/>
            <w:rFonts w:cstheme="minorHAnsi"/>
            <w:i/>
            <w:iCs/>
          </w:rPr>
          <w:t>-25/</w:t>
        </w:r>
        <w:r w:rsidRPr="005252AE">
          <w:rPr>
            <w:rStyle w:val="Hyperlink"/>
            <w:rFonts w:cstheme="minorHAnsi"/>
            <w:i/>
            <w:iCs/>
            <w:lang w:val="en-US"/>
          </w:rPr>
          <w:t>INF</w:t>
        </w:r>
        <w:r w:rsidRPr="005252AE">
          <w:rPr>
            <w:rStyle w:val="Hyperlink"/>
            <w:rFonts w:cstheme="minorHAnsi"/>
            <w:i/>
            <w:iCs/>
          </w:rPr>
          <w:t>/3</w:t>
        </w:r>
      </w:hyperlink>
      <w:r w:rsidRPr="005252AE">
        <w:rPr>
          <w:rFonts w:cstheme="minorHAnsi"/>
          <w:i/>
          <w:iCs/>
        </w:rPr>
        <w:t xml:space="preserve"> и </w:t>
      </w:r>
      <w:hyperlink r:id="rId5" w:history="1">
        <w:r w:rsidRPr="005252AE">
          <w:rPr>
            <w:rStyle w:val="Hyperlink"/>
            <w:rFonts w:cstheme="minorHAnsi"/>
            <w:i/>
            <w:iCs/>
            <w:lang w:val="en-US"/>
          </w:rPr>
          <w:t>TDAG</w:t>
        </w:r>
        <w:r w:rsidRPr="005252AE">
          <w:rPr>
            <w:rStyle w:val="Hyperlink"/>
            <w:rFonts w:cstheme="minorHAnsi"/>
            <w:i/>
            <w:iCs/>
          </w:rPr>
          <w:t>-25/8</w:t>
        </w:r>
      </w:hyperlink>
      <w:r w:rsidRPr="005252AE">
        <w:rPr>
          <w:rFonts w:cstheme="minorHAnsi"/>
          <w:i/>
          <w:iCs/>
        </w:rPr>
        <w:t>, касающихся Членов Сектора МСЭ-</w:t>
      </w:r>
      <w:r w:rsidRPr="005252AE">
        <w:rPr>
          <w:rFonts w:cstheme="minorHAnsi"/>
          <w:i/>
          <w:iCs/>
          <w:lang w:val="en-US"/>
        </w:rPr>
        <w:t>D</w:t>
      </w:r>
      <w:r w:rsidRPr="005252AE">
        <w:rPr>
          <w:rFonts w:cstheme="minorHAnsi"/>
          <w:i/>
          <w:iCs/>
        </w:rPr>
        <w:t>, Ассоциированных членов и Академических организаций</w:t>
      </w:r>
      <w:r>
        <w:rPr>
          <w:rFonts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8F88" w14:textId="234E0E2C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937ACC">
      <w:rPr>
        <w:sz w:val="20"/>
      </w:rPr>
      <w:t>5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658A7"/>
    <w:multiLevelType w:val="hybridMultilevel"/>
    <w:tmpl w:val="A652166A"/>
    <w:lvl w:ilvl="0" w:tplc="B80E9A4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2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40"/>
  </w:num>
  <w:num w:numId="4" w16cid:durableId="1830174465">
    <w:abstractNumId w:val="3"/>
  </w:num>
  <w:num w:numId="5" w16cid:durableId="1479105461">
    <w:abstractNumId w:val="32"/>
  </w:num>
  <w:num w:numId="6" w16cid:durableId="869954702">
    <w:abstractNumId w:val="38"/>
  </w:num>
  <w:num w:numId="7" w16cid:durableId="444734477">
    <w:abstractNumId w:val="4"/>
  </w:num>
  <w:num w:numId="8" w16cid:durableId="362947223">
    <w:abstractNumId w:val="14"/>
  </w:num>
  <w:num w:numId="9" w16cid:durableId="458111764">
    <w:abstractNumId w:val="6"/>
  </w:num>
  <w:num w:numId="10" w16cid:durableId="1195534353">
    <w:abstractNumId w:val="13"/>
  </w:num>
  <w:num w:numId="11" w16cid:durableId="1826580952">
    <w:abstractNumId w:val="30"/>
  </w:num>
  <w:num w:numId="12" w16cid:durableId="1514690498">
    <w:abstractNumId w:val="37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2"/>
  </w:num>
  <w:num w:numId="16" w16cid:durableId="1227569663">
    <w:abstractNumId w:val="9"/>
  </w:num>
  <w:num w:numId="17" w16cid:durableId="810974550">
    <w:abstractNumId w:val="43"/>
  </w:num>
  <w:num w:numId="18" w16cid:durableId="1354573477">
    <w:abstractNumId w:val="35"/>
  </w:num>
  <w:num w:numId="19" w16cid:durableId="435754545">
    <w:abstractNumId w:val="18"/>
  </w:num>
  <w:num w:numId="20" w16cid:durableId="1066875134">
    <w:abstractNumId w:val="29"/>
  </w:num>
  <w:num w:numId="21" w16cid:durableId="1689939216">
    <w:abstractNumId w:val="28"/>
  </w:num>
  <w:num w:numId="22" w16cid:durableId="1257783837">
    <w:abstractNumId w:val="44"/>
  </w:num>
  <w:num w:numId="23" w16cid:durableId="970285242">
    <w:abstractNumId w:val="24"/>
  </w:num>
  <w:num w:numId="24" w16cid:durableId="1876889861">
    <w:abstractNumId w:val="17"/>
  </w:num>
  <w:num w:numId="25" w16cid:durableId="138228398">
    <w:abstractNumId w:val="20"/>
  </w:num>
  <w:num w:numId="26" w16cid:durableId="1871145006">
    <w:abstractNumId w:val="22"/>
  </w:num>
  <w:num w:numId="27" w16cid:durableId="1946108508">
    <w:abstractNumId w:val="25"/>
  </w:num>
  <w:num w:numId="28" w16cid:durableId="1629045729">
    <w:abstractNumId w:val="11"/>
  </w:num>
  <w:num w:numId="29" w16cid:durableId="2010906637">
    <w:abstractNumId w:val="26"/>
  </w:num>
  <w:num w:numId="30" w16cid:durableId="290525213">
    <w:abstractNumId w:val="42"/>
  </w:num>
  <w:num w:numId="31" w16cid:durableId="191966975">
    <w:abstractNumId w:val="27"/>
  </w:num>
  <w:num w:numId="32" w16cid:durableId="2014406757">
    <w:abstractNumId w:val="33"/>
  </w:num>
  <w:num w:numId="33" w16cid:durableId="648558829">
    <w:abstractNumId w:val="19"/>
  </w:num>
  <w:num w:numId="34" w16cid:durableId="2071807613">
    <w:abstractNumId w:val="10"/>
  </w:num>
  <w:num w:numId="35" w16cid:durableId="271744889">
    <w:abstractNumId w:val="36"/>
  </w:num>
  <w:num w:numId="36" w16cid:durableId="1457527817">
    <w:abstractNumId w:val="23"/>
  </w:num>
  <w:num w:numId="37" w16cid:durableId="10661010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4"/>
  </w:num>
  <w:num w:numId="39" w16cid:durableId="359361948">
    <w:abstractNumId w:val="39"/>
  </w:num>
  <w:num w:numId="40" w16cid:durableId="1037706265">
    <w:abstractNumId w:val="8"/>
  </w:num>
  <w:num w:numId="41" w16cid:durableId="447436251">
    <w:abstractNumId w:val="45"/>
  </w:num>
  <w:num w:numId="42" w16cid:durableId="655766109">
    <w:abstractNumId w:val="16"/>
  </w:num>
  <w:num w:numId="43" w16cid:durableId="577523632">
    <w:abstractNumId w:val="15"/>
  </w:num>
  <w:num w:numId="44" w16cid:durableId="1138063662">
    <w:abstractNumId w:val="41"/>
  </w:num>
  <w:num w:numId="45" w16cid:durableId="25525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42778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4366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35A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7B1"/>
    <w:rsid w:val="00345D42"/>
    <w:rsid w:val="00346224"/>
    <w:rsid w:val="0034636C"/>
    <w:rsid w:val="0035089A"/>
    <w:rsid w:val="003511BC"/>
    <w:rsid w:val="00356083"/>
    <w:rsid w:val="00361609"/>
    <w:rsid w:val="00364098"/>
    <w:rsid w:val="00364335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0159"/>
    <w:rsid w:val="00550443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39F8"/>
    <w:rsid w:val="00633AB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4BCE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2F0B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2999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37ACC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67891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424E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CCB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1958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1EB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066B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CF61A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,Listenabsatz Standard"/>
    <w:basedOn w:val="Normal"/>
    <w:link w:val="ListParagraphChar"/>
    <w:uiPriority w:val="34"/>
    <w:qFormat/>
    <w:rsid w:val="00937ACC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,Listenabsatz Standard Char"/>
    <w:link w:val="ListParagraph"/>
    <w:uiPriority w:val="34"/>
    <w:qFormat/>
    <w:rsid w:val="00937AC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e.batanero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D22-TDAG32-C-0009/" TargetMode="External"/><Relationship Id="rId2" Type="http://schemas.openxmlformats.org/officeDocument/2006/relationships/hyperlink" Target="https://www.itu.int/en/ITU-D/Projects" TargetMode="External"/><Relationship Id="rId1" Type="http://schemas.openxmlformats.org/officeDocument/2006/relationships/hyperlink" Target="https://www.itu.int/md/S23-CL-C-0116/" TargetMode="External"/><Relationship Id="rId5" Type="http://schemas.openxmlformats.org/officeDocument/2006/relationships/hyperlink" Target="https://www.itu.int/md/D22-TDAG32-C-0008/" TargetMode="External"/><Relationship Id="rId4" Type="http://schemas.openxmlformats.org/officeDocument/2006/relationships/hyperlink" Target="https://www.itu.int/md/D22-TDAG32-INF-0003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.sharepoint.com/sites/PRJ/Shared%20Documents/General/TDAG/2025/PRJ%20database%20for%20TDAG%202025%20report%20-%20rev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.sharepoint.com/sites/PRJ/Shared%20Documents/General/TDAG/2025/PRJ%20database%20for%20TDAG%202025%20report%20-%20rev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'Projects per year'!$B$2</c:f>
              <c:strCache>
                <c:ptCount val="1"/>
                <c:pt idx="0">
                  <c:v> Общий объем подтвержденного финансирования проектов (в швейцарских франках)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'Projects per year'!$A$7:$A$17</c:f>
              <c:numCache>
                <c:formatCode>0_);\(0\)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'Projects per year'!$B$7:$B$17</c:f>
              <c:numCache>
                <c:formatCode>_(* #,##0.00_);_(* \(#,##0.00\);_(* "-"??_);_(@_)</c:formatCode>
                <c:ptCount val="11"/>
                <c:pt idx="0">
                  <c:v>7674402</c:v>
                </c:pt>
                <c:pt idx="1">
                  <c:v>5289174</c:v>
                </c:pt>
                <c:pt idx="2">
                  <c:v>2767939</c:v>
                </c:pt>
                <c:pt idx="3">
                  <c:v>9730134</c:v>
                </c:pt>
                <c:pt idx="4">
                  <c:v>10721579</c:v>
                </c:pt>
                <c:pt idx="5">
                  <c:v>13612980</c:v>
                </c:pt>
                <c:pt idx="6">
                  <c:v>14901477</c:v>
                </c:pt>
                <c:pt idx="7">
                  <c:v>19315000</c:v>
                </c:pt>
                <c:pt idx="8">
                  <c:v>5342000</c:v>
                </c:pt>
                <c:pt idx="9">
                  <c:v>20965339.076000001</c:v>
                </c:pt>
                <c:pt idx="10">
                  <c:v>28656547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93-42DE-A0D4-8D012EFA5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6506240"/>
        <c:axId val="315425040"/>
      </c:barChart>
      <c:catAx>
        <c:axId val="626506240"/>
        <c:scaling>
          <c:orientation val="minMax"/>
        </c:scaling>
        <c:delete val="0"/>
        <c:axPos val="b"/>
        <c:numFmt formatCode="0_);\(0\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315425040"/>
        <c:crosses val="autoZero"/>
        <c:auto val="1"/>
        <c:lblAlgn val="ctr"/>
        <c:lblOffset val="100"/>
        <c:noMultiLvlLbl val="0"/>
      </c:catAx>
      <c:valAx>
        <c:axId val="31542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506240"/>
        <c:crosses val="autoZero"/>
        <c:crossBetween val="between"/>
        <c:dispUnits>
          <c:builtInUnit val="million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ru-RU"/>
                    <a:t>Млн</a:t>
                  </a:r>
                  <a:endParaRPr lang="en-US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B7-4EC5-9C6F-8A1BC14652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B7-4EC5-9C6F-8A1BC14652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'Projects signed 2024'!$J$2:$J$3</c:f>
              <c:strCache>
                <c:ptCount val="2"/>
                <c:pt idx="0">
                  <c:v>Внебюджетные средства</c:v>
                </c:pt>
                <c:pt idx="1">
                  <c:v>Средства МСЭ (ФРИКТ и средства РИ)</c:v>
                </c:pt>
              </c:strCache>
            </c:strRef>
          </c:cat>
          <c:val>
            <c:numRef>
              <c:f>'Projects signed 2024'!$K$2:$K$3</c:f>
              <c:numCache>
                <c:formatCode>#,##0.0,</c:formatCode>
                <c:ptCount val="2"/>
                <c:pt idx="0">
                  <c:v>25878207</c:v>
                </c:pt>
                <c:pt idx="1">
                  <c:v>2121278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B7-4EC5-9C6F-8A1BC1465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29610-DE7B-4BC9-AD7D-E3851FC9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1677</Words>
  <Characters>11103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12755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Rudometova, Alisa</dc:creator>
  <cp:lastModifiedBy>BDT</cp:lastModifiedBy>
  <cp:revision>2</cp:revision>
  <cp:lastPrinted>2019-01-16T07:57:00Z</cp:lastPrinted>
  <dcterms:created xsi:type="dcterms:W3CDTF">2025-05-09T09:49:00Z</dcterms:created>
  <dcterms:modified xsi:type="dcterms:W3CDTF">2025-05-09T09:49:00Z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