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76466C" w14:paraId="3F0E9EC4" w14:textId="77777777" w:rsidTr="00E24DE9">
        <w:trPr>
          <w:cantSplit/>
          <w:trHeight w:val="1134"/>
        </w:trPr>
        <w:tc>
          <w:tcPr>
            <w:tcW w:w="1985" w:type="dxa"/>
          </w:tcPr>
          <w:p w14:paraId="1C6881CD" w14:textId="419D18F9" w:rsidR="00921A30" w:rsidRPr="0076466C" w:rsidRDefault="00AC2BF7" w:rsidP="001E5219">
            <w:pPr>
              <w:tabs>
                <w:tab w:val="clear" w:pos="1191"/>
                <w:tab w:val="clear" w:pos="1588"/>
                <w:tab w:val="clear" w:pos="1985"/>
              </w:tabs>
              <w:spacing w:after="40"/>
              <w:rPr>
                <w:b/>
                <w:bCs/>
                <w:sz w:val="32"/>
                <w:szCs w:val="32"/>
                <w:lang w:val="fr-FR"/>
              </w:rPr>
            </w:pPr>
            <w:r w:rsidRPr="0076466C">
              <w:rPr>
                <w:b/>
                <w:bCs/>
                <w:noProof/>
                <w:sz w:val="32"/>
                <w:szCs w:val="32"/>
                <w:lang w:val="fr-FR"/>
              </w:rPr>
              <w:drawing>
                <wp:inline distT="0" distB="0" distL="0" distR="0" wp14:anchorId="7DECAEFB" wp14:editId="3169823E">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76466C" w:rsidRDefault="00921A30" w:rsidP="004037AF">
            <w:pPr>
              <w:tabs>
                <w:tab w:val="clear" w:pos="1191"/>
                <w:tab w:val="clear" w:pos="1588"/>
                <w:tab w:val="clear" w:pos="1985"/>
              </w:tabs>
              <w:spacing w:before="240" w:after="240"/>
              <w:ind w:left="34"/>
              <w:rPr>
                <w:b/>
                <w:bCs/>
                <w:sz w:val="32"/>
                <w:szCs w:val="32"/>
                <w:lang w:val="fr-FR"/>
              </w:rPr>
            </w:pPr>
            <w:r w:rsidRPr="0076466C">
              <w:rPr>
                <w:b/>
                <w:bCs/>
                <w:sz w:val="32"/>
                <w:szCs w:val="32"/>
                <w:lang w:val="fr-FR"/>
              </w:rPr>
              <w:t xml:space="preserve">Groupe consultatif pour le développement </w:t>
            </w:r>
            <w:r w:rsidRPr="0076466C">
              <w:rPr>
                <w:b/>
                <w:bCs/>
                <w:sz w:val="32"/>
                <w:szCs w:val="32"/>
                <w:lang w:val="fr-FR"/>
              </w:rPr>
              <w:br/>
              <w:t>des télécommunications (GCDT)</w:t>
            </w:r>
          </w:p>
          <w:p w14:paraId="5F5F590A" w14:textId="7427F64C" w:rsidR="00921A30" w:rsidRPr="0076466C" w:rsidRDefault="00921A30" w:rsidP="001011EB">
            <w:pPr>
              <w:tabs>
                <w:tab w:val="clear" w:pos="1191"/>
                <w:tab w:val="clear" w:pos="1588"/>
                <w:tab w:val="clear" w:pos="1985"/>
              </w:tabs>
              <w:spacing w:after="120"/>
              <w:ind w:left="34"/>
              <w:rPr>
                <w:rFonts w:ascii="Verdana" w:hAnsi="Verdana"/>
                <w:sz w:val="28"/>
                <w:szCs w:val="28"/>
                <w:lang w:val="fr-FR"/>
              </w:rPr>
            </w:pPr>
            <w:r w:rsidRPr="0076466C">
              <w:rPr>
                <w:b/>
                <w:bCs/>
                <w:sz w:val="26"/>
                <w:szCs w:val="26"/>
                <w:lang w:val="fr-FR"/>
              </w:rPr>
              <w:t>32ème réunion, Genève, Suisse, 12-16 mai 2025</w:t>
            </w:r>
          </w:p>
        </w:tc>
        <w:tc>
          <w:tcPr>
            <w:tcW w:w="1666" w:type="dxa"/>
          </w:tcPr>
          <w:p w14:paraId="67E7B4C4" w14:textId="0F52E4CC" w:rsidR="00921A30" w:rsidRPr="0076466C" w:rsidRDefault="00921A30" w:rsidP="00946023">
            <w:pPr>
              <w:spacing w:before="240" w:after="120"/>
              <w:ind w:right="142"/>
              <w:jc w:val="right"/>
              <w:rPr>
                <w:lang w:val="fr-FR"/>
              </w:rPr>
            </w:pPr>
            <w:r w:rsidRPr="0076466C">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76466C" w14:paraId="3C13197B" w14:textId="77777777" w:rsidTr="0009076F">
        <w:trPr>
          <w:cantSplit/>
        </w:trPr>
        <w:tc>
          <w:tcPr>
            <w:tcW w:w="6379" w:type="dxa"/>
            <w:gridSpan w:val="2"/>
            <w:tcBorders>
              <w:top w:val="single" w:sz="12" w:space="0" w:color="auto"/>
            </w:tcBorders>
          </w:tcPr>
          <w:p w14:paraId="2EED9DB2" w14:textId="77777777" w:rsidR="00683C32" w:rsidRPr="0076466C"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76466C" w:rsidRDefault="00683C32" w:rsidP="00107E85">
            <w:pPr>
              <w:spacing w:before="0"/>
              <w:rPr>
                <w:b/>
                <w:bCs/>
                <w:sz w:val="20"/>
                <w:lang w:val="fr-FR"/>
              </w:rPr>
            </w:pPr>
          </w:p>
        </w:tc>
      </w:tr>
      <w:tr w:rsidR="00683C32" w:rsidRPr="0076466C" w14:paraId="0BB3FBC4" w14:textId="77777777" w:rsidTr="0009076F">
        <w:trPr>
          <w:cantSplit/>
        </w:trPr>
        <w:tc>
          <w:tcPr>
            <w:tcW w:w="6379" w:type="dxa"/>
            <w:gridSpan w:val="2"/>
          </w:tcPr>
          <w:p w14:paraId="43C54B3D" w14:textId="77777777" w:rsidR="00683C32" w:rsidRPr="0076466C" w:rsidRDefault="00683C32" w:rsidP="00400CCF">
            <w:pPr>
              <w:pStyle w:val="Committee"/>
              <w:spacing w:before="0"/>
              <w:rPr>
                <w:b w:val="0"/>
                <w:szCs w:val="24"/>
                <w:lang w:val="fr-FR"/>
              </w:rPr>
            </w:pPr>
          </w:p>
        </w:tc>
        <w:tc>
          <w:tcPr>
            <w:tcW w:w="3509" w:type="dxa"/>
            <w:gridSpan w:val="2"/>
          </w:tcPr>
          <w:p w14:paraId="02E44EE9" w14:textId="7F74789B" w:rsidR="00683C32" w:rsidRPr="0076466C" w:rsidRDefault="0096201B" w:rsidP="00E25345">
            <w:pPr>
              <w:spacing w:before="0"/>
              <w:jc w:val="both"/>
              <w:rPr>
                <w:bCs/>
                <w:szCs w:val="24"/>
                <w:lang w:val="fr-FR"/>
              </w:rPr>
            </w:pPr>
            <w:r w:rsidRPr="0076466C">
              <w:rPr>
                <w:b/>
                <w:bCs/>
                <w:lang w:val="fr-FR"/>
              </w:rPr>
              <w:t xml:space="preserve">Document </w:t>
            </w:r>
            <w:bookmarkStart w:id="0" w:name="DocRef1"/>
            <w:bookmarkEnd w:id="0"/>
            <w:r w:rsidRPr="0076466C">
              <w:rPr>
                <w:b/>
                <w:bCs/>
                <w:lang w:val="fr-FR"/>
              </w:rPr>
              <w:t>TDAG</w:t>
            </w:r>
            <w:r w:rsidR="003242AB" w:rsidRPr="0076466C">
              <w:rPr>
                <w:b/>
                <w:bCs/>
                <w:lang w:val="fr-FR"/>
              </w:rPr>
              <w:t>-</w:t>
            </w:r>
            <w:r w:rsidR="00B648C7" w:rsidRPr="0076466C">
              <w:rPr>
                <w:b/>
                <w:bCs/>
                <w:lang w:val="fr-FR"/>
              </w:rPr>
              <w:t>2</w:t>
            </w:r>
            <w:bookmarkStart w:id="1" w:name="DocNo1"/>
            <w:bookmarkEnd w:id="1"/>
            <w:r w:rsidR="001C48D3" w:rsidRPr="0076466C">
              <w:rPr>
                <w:b/>
                <w:bCs/>
                <w:lang w:val="fr-FR"/>
              </w:rPr>
              <w:t>5</w:t>
            </w:r>
            <w:r w:rsidR="0009076F" w:rsidRPr="0076466C">
              <w:rPr>
                <w:b/>
                <w:bCs/>
                <w:lang w:val="fr-FR"/>
              </w:rPr>
              <w:t>/</w:t>
            </w:r>
            <w:r w:rsidR="00A34099" w:rsidRPr="0076466C">
              <w:rPr>
                <w:b/>
                <w:bCs/>
                <w:lang w:val="fr-FR"/>
              </w:rPr>
              <w:t>5</w:t>
            </w:r>
            <w:r w:rsidRPr="0076466C">
              <w:rPr>
                <w:b/>
                <w:bCs/>
                <w:lang w:val="fr-FR"/>
              </w:rPr>
              <w:t>-</w:t>
            </w:r>
            <w:r w:rsidR="00E25345" w:rsidRPr="0076466C">
              <w:rPr>
                <w:b/>
                <w:bCs/>
                <w:lang w:val="fr-FR"/>
              </w:rPr>
              <w:t>F</w:t>
            </w:r>
          </w:p>
        </w:tc>
      </w:tr>
      <w:tr w:rsidR="00683C32" w:rsidRPr="0076466C" w14:paraId="24D04936" w14:textId="77777777" w:rsidTr="0009076F">
        <w:trPr>
          <w:cantSplit/>
        </w:trPr>
        <w:tc>
          <w:tcPr>
            <w:tcW w:w="6379" w:type="dxa"/>
            <w:gridSpan w:val="2"/>
          </w:tcPr>
          <w:p w14:paraId="12CE4DBF" w14:textId="77777777" w:rsidR="00683C32" w:rsidRPr="0076466C" w:rsidRDefault="00683C32" w:rsidP="00400CCF">
            <w:pPr>
              <w:spacing w:before="0"/>
              <w:rPr>
                <w:b/>
                <w:bCs/>
                <w:smallCaps/>
                <w:szCs w:val="24"/>
                <w:lang w:val="fr-FR"/>
              </w:rPr>
            </w:pPr>
          </w:p>
        </w:tc>
        <w:tc>
          <w:tcPr>
            <w:tcW w:w="3509" w:type="dxa"/>
            <w:gridSpan w:val="2"/>
          </w:tcPr>
          <w:p w14:paraId="0F89640F" w14:textId="47D0FF51" w:rsidR="00683C32" w:rsidRPr="0076466C" w:rsidRDefault="00A34099" w:rsidP="00B648C7">
            <w:pPr>
              <w:spacing w:before="0"/>
              <w:rPr>
                <w:b/>
                <w:szCs w:val="24"/>
                <w:lang w:val="fr-FR"/>
              </w:rPr>
            </w:pPr>
            <w:bookmarkStart w:id="2" w:name="CreationDate"/>
            <w:bookmarkEnd w:id="2"/>
            <w:r w:rsidRPr="0076466C">
              <w:rPr>
                <w:b/>
                <w:bCs/>
                <w:color w:val="000000"/>
                <w:lang w:val="fr-FR"/>
              </w:rPr>
              <w:t>24 mars 2025</w:t>
            </w:r>
          </w:p>
        </w:tc>
      </w:tr>
      <w:tr w:rsidR="00683C32" w:rsidRPr="0076466C" w14:paraId="7B96545F" w14:textId="77777777" w:rsidTr="0009076F">
        <w:trPr>
          <w:cantSplit/>
        </w:trPr>
        <w:tc>
          <w:tcPr>
            <w:tcW w:w="6379" w:type="dxa"/>
            <w:gridSpan w:val="2"/>
          </w:tcPr>
          <w:p w14:paraId="65956FD3" w14:textId="77777777" w:rsidR="00683C32" w:rsidRPr="0076466C" w:rsidRDefault="00683C32" w:rsidP="00400CCF">
            <w:pPr>
              <w:spacing w:before="0"/>
              <w:rPr>
                <w:b/>
                <w:bCs/>
                <w:smallCaps/>
                <w:szCs w:val="24"/>
                <w:lang w:val="fr-FR"/>
              </w:rPr>
            </w:pPr>
          </w:p>
        </w:tc>
        <w:tc>
          <w:tcPr>
            <w:tcW w:w="3509" w:type="dxa"/>
            <w:gridSpan w:val="2"/>
          </w:tcPr>
          <w:p w14:paraId="30EFD39F" w14:textId="33ACFB79" w:rsidR="00514D2F" w:rsidRPr="0076466C" w:rsidRDefault="0096201B" w:rsidP="001011EB">
            <w:pPr>
              <w:spacing w:before="0"/>
              <w:rPr>
                <w:szCs w:val="24"/>
                <w:lang w:val="fr-FR"/>
              </w:rPr>
            </w:pPr>
            <w:r w:rsidRPr="0076466C">
              <w:rPr>
                <w:b/>
                <w:lang w:val="fr-FR"/>
              </w:rPr>
              <w:t>Original:</w:t>
            </w:r>
            <w:bookmarkStart w:id="3" w:name="Original"/>
            <w:bookmarkEnd w:id="3"/>
            <w:r w:rsidR="00CE0422" w:rsidRPr="0076466C">
              <w:rPr>
                <w:b/>
                <w:lang w:val="fr-FR"/>
              </w:rPr>
              <w:t xml:space="preserve"> </w:t>
            </w:r>
            <w:r w:rsidR="001011EB" w:rsidRPr="0076466C">
              <w:rPr>
                <w:b/>
                <w:lang w:val="fr-FR"/>
              </w:rPr>
              <w:t>anglais</w:t>
            </w:r>
          </w:p>
        </w:tc>
      </w:tr>
      <w:tr w:rsidR="00A34099" w:rsidRPr="0076466C" w14:paraId="31656E31" w14:textId="77777777" w:rsidTr="00107E85">
        <w:trPr>
          <w:cantSplit/>
          <w:trHeight w:val="852"/>
        </w:trPr>
        <w:tc>
          <w:tcPr>
            <w:tcW w:w="9888" w:type="dxa"/>
            <w:gridSpan w:val="4"/>
          </w:tcPr>
          <w:p w14:paraId="512FCA01" w14:textId="45CCD729" w:rsidR="00A34099" w:rsidRPr="0076466C" w:rsidRDefault="00A34099" w:rsidP="00A34099">
            <w:pPr>
              <w:pStyle w:val="Source"/>
              <w:rPr>
                <w:lang w:val="fr-FR"/>
              </w:rPr>
            </w:pPr>
            <w:bookmarkStart w:id="4" w:name="Source"/>
            <w:bookmarkEnd w:id="4"/>
            <w:r w:rsidRPr="0076466C">
              <w:rPr>
                <w:bCs/>
                <w:color w:val="000000"/>
                <w:lang w:val="fr-FR"/>
              </w:rPr>
              <w:t>Directeur du Bureau de développement des télécommunications</w:t>
            </w:r>
          </w:p>
        </w:tc>
      </w:tr>
      <w:tr w:rsidR="00A34099" w:rsidRPr="0076466C" w14:paraId="2CBD3A36" w14:textId="77777777" w:rsidTr="00F55EDB">
        <w:trPr>
          <w:cantSplit/>
        </w:trPr>
        <w:tc>
          <w:tcPr>
            <w:tcW w:w="9888" w:type="dxa"/>
            <w:gridSpan w:val="4"/>
            <w:vAlign w:val="center"/>
          </w:tcPr>
          <w:p w14:paraId="1B4121DF" w14:textId="33619DD5" w:rsidR="00A34099" w:rsidRPr="0076466C" w:rsidRDefault="00A34099" w:rsidP="00A34099">
            <w:pPr>
              <w:pStyle w:val="Title1"/>
              <w:rPr>
                <w:lang w:val="fr-FR"/>
              </w:rPr>
            </w:pPr>
            <w:bookmarkStart w:id="5" w:name="Title"/>
            <w:bookmarkEnd w:id="5"/>
            <w:r w:rsidRPr="0076466C">
              <w:rPr>
                <w:color w:val="000000"/>
                <w:lang w:val="fr-FR"/>
              </w:rPr>
              <w:t>Projets de l'UIT-D</w:t>
            </w:r>
          </w:p>
        </w:tc>
      </w:tr>
      <w:tr w:rsidR="00A721F4" w:rsidRPr="0076466C" w14:paraId="23A30231" w14:textId="77777777" w:rsidTr="00A721F4">
        <w:trPr>
          <w:cantSplit/>
        </w:trPr>
        <w:tc>
          <w:tcPr>
            <w:tcW w:w="9888" w:type="dxa"/>
            <w:gridSpan w:val="4"/>
            <w:tcBorders>
              <w:bottom w:val="single" w:sz="4" w:space="0" w:color="auto"/>
            </w:tcBorders>
          </w:tcPr>
          <w:p w14:paraId="726EE70E" w14:textId="77777777" w:rsidR="00A721F4" w:rsidRPr="0076466C" w:rsidRDefault="00A721F4" w:rsidP="0030353C">
            <w:pPr>
              <w:rPr>
                <w:lang w:val="fr-FR"/>
              </w:rPr>
            </w:pPr>
          </w:p>
        </w:tc>
      </w:tr>
      <w:tr w:rsidR="00A721F4" w:rsidRPr="0076466C"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76466C" w:rsidRDefault="001011EB" w:rsidP="00EA0C51">
            <w:pPr>
              <w:spacing w:after="120"/>
              <w:rPr>
                <w:b/>
                <w:bCs/>
                <w:szCs w:val="24"/>
                <w:lang w:val="fr-FR"/>
              </w:rPr>
            </w:pPr>
            <w:r w:rsidRPr="0076466C">
              <w:rPr>
                <w:b/>
                <w:bCs/>
                <w:szCs w:val="24"/>
                <w:lang w:val="fr-FR"/>
              </w:rPr>
              <w:t>Résumé</w:t>
            </w:r>
            <w:r w:rsidR="00A721F4" w:rsidRPr="0076466C">
              <w:rPr>
                <w:b/>
                <w:bCs/>
                <w:szCs w:val="24"/>
                <w:lang w:val="fr-FR"/>
              </w:rPr>
              <w:t>:</w:t>
            </w:r>
          </w:p>
          <w:p w14:paraId="60C0B0D7" w14:textId="77777777" w:rsidR="00A34099" w:rsidRPr="0076466C" w:rsidRDefault="00A34099" w:rsidP="00A34099">
            <w:pPr>
              <w:spacing w:after="120"/>
              <w:rPr>
                <w:rFonts w:cstheme="minorHAnsi"/>
                <w:lang w:val="fr-FR"/>
              </w:rPr>
            </w:pPr>
            <w:r w:rsidRPr="0076466C">
              <w:rPr>
                <w:color w:val="000000"/>
                <w:lang w:val="fr-FR"/>
              </w:rPr>
              <w:t>L'Union internationale des télécommunications (UIT) a une double responsabilité en tant qu'institution spécialisée des Nations Unies et en tant qu'agent d'exécution. 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p>
          <w:p w14:paraId="4082D7E8" w14:textId="52EB0C15" w:rsidR="00A721F4" w:rsidRPr="0076466C" w:rsidRDefault="00A34099" w:rsidP="00A34099">
            <w:pPr>
              <w:spacing w:after="120"/>
              <w:rPr>
                <w:szCs w:val="24"/>
                <w:lang w:val="fr-FR"/>
              </w:rPr>
            </w:pPr>
            <w:r w:rsidRPr="0076466C">
              <w:rPr>
                <w:color w:val="000000"/>
                <w:lang w:val="fr-FR"/>
              </w:rPr>
              <w:t>Le présent document donne un aperçu général des travaux menés par le Bureau de développement des télécommunications en ce qui concerne la conception, l'élaboration et l'évaluation de projets dans les six régions définies par l'UIT-D, à savoir la région Afrique, la région</w:t>
            </w:r>
            <w:r w:rsidR="00D9231C" w:rsidRPr="0076466C">
              <w:rPr>
                <w:color w:val="000000"/>
                <w:lang w:val="fr-FR"/>
              </w:rPr>
              <w:t> </w:t>
            </w:r>
            <w:r w:rsidRPr="0076466C">
              <w:rPr>
                <w:color w:val="000000"/>
                <w:lang w:val="fr-FR"/>
              </w:rPr>
              <w:t>Amériques, la région des États arabes, la région Asie-Pacifique, la région de la CEI (Communauté des États indépendants) et la région Europe, ainsi qu'à l'échelle multirégionale.</w:t>
            </w:r>
          </w:p>
          <w:p w14:paraId="76A1C541" w14:textId="23209CDB" w:rsidR="00A721F4" w:rsidRPr="0076466C" w:rsidRDefault="001011EB" w:rsidP="00EA0C51">
            <w:pPr>
              <w:spacing w:after="120"/>
              <w:rPr>
                <w:b/>
                <w:bCs/>
                <w:szCs w:val="24"/>
                <w:lang w:val="fr-FR"/>
              </w:rPr>
            </w:pPr>
            <w:r w:rsidRPr="0076466C">
              <w:rPr>
                <w:b/>
                <w:bCs/>
                <w:lang w:val="fr-FR"/>
              </w:rPr>
              <w:t>Suite à donner</w:t>
            </w:r>
            <w:r w:rsidR="00A721F4" w:rsidRPr="0076466C">
              <w:rPr>
                <w:b/>
                <w:bCs/>
                <w:lang w:val="fr-FR"/>
              </w:rPr>
              <w:t>:</w:t>
            </w:r>
          </w:p>
          <w:p w14:paraId="371956FC" w14:textId="48E088A0" w:rsidR="00A721F4" w:rsidRPr="0076466C" w:rsidRDefault="00A34099" w:rsidP="00EA0C51">
            <w:pPr>
              <w:spacing w:after="120"/>
              <w:rPr>
                <w:szCs w:val="24"/>
                <w:lang w:val="fr-FR"/>
              </w:rPr>
            </w:pPr>
            <w:r w:rsidRPr="0076466C">
              <w:rPr>
                <w:color w:val="000000"/>
                <w:lang w:val="fr-FR"/>
              </w:rPr>
              <w:t>Le GCDT est invité à prendre note du présent document et à fournir les indications qu'il jugera utiles.</w:t>
            </w:r>
          </w:p>
          <w:p w14:paraId="622ACB80" w14:textId="39EE560D" w:rsidR="00A721F4" w:rsidRPr="0076466C" w:rsidRDefault="00A721F4" w:rsidP="00EA0C51">
            <w:pPr>
              <w:spacing w:after="120"/>
              <w:rPr>
                <w:b/>
                <w:bCs/>
                <w:szCs w:val="24"/>
                <w:lang w:val="fr-FR"/>
              </w:rPr>
            </w:pPr>
            <w:r w:rsidRPr="0076466C">
              <w:rPr>
                <w:b/>
                <w:bCs/>
                <w:szCs w:val="24"/>
                <w:lang w:val="fr-FR"/>
              </w:rPr>
              <w:t>R</w:t>
            </w:r>
            <w:r w:rsidR="001011EB" w:rsidRPr="0076466C">
              <w:rPr>
                <w:b/>
                <w:bCs/>
                <w:szCs w:val="24"/>
                <w:lang w:val="fr-FR"/>
              </w:rPr>
              <w:t>é</w:t>
            </w:r>
            <w:r w:rsidRPr="0076466C">
              <w:rPr>
                <w:b/>
                <w:bCs/>
                <w:szCs w:val="24"/>
                <w:lang w:val="fr-FR"/>
              </w:rPr>
              <w:t>f</w:t>
            </w:r>
            <w:r w:rsidR="001011EB" w:rsidRPr="0076466C">
              <w:rPr>
                <w:b/>
                <w:bCs/>
                <w:szCs w:val="24"/>
                <w:lang w:val="fr-FR"/>
              </w:rPr>
              <w:t>é</w:t>
            </w:r>
            <w:r w:rsidRPr="0076466C">
              <w:rPr>
                <w:b/>
                <w:bCs/>
                <w:szCs w:val="24"/>
                <w:lang w:val="fr-FR"/>
              </w:rPr>
              <w:t>rences:</w:t>
            </w:r>
          </w:p>
          <w:p w14:paraId="1ECDD20E" w14:textId="1D03F8DB" w:rsidR="00A721F4" w:rsidRPr="0076466C" w:rsidRDefault="00A34099" w:rsidP="001C48D3">
            <w:pPr>
              <w:spacing w:after="120"/>
              <w:rPr>
                <w:szCs w:val="24"/>
                <w:lang w:val="fr-FR"/>
              </w:rPr>
            </w:pPr>
            <w:r w:rsidRPr="0076466C">
              <w:rPr>
                <w:color w:val="000000"/>
                <w:lang w:val="fr-FR"/>
              </w:rPr>
              <w:t>Résolutions 17 (Rév. Kigali, 2022) et 52 (Rév. Dubaï, 2014) de la Conférence mondiale de développement des télécommunications de 2022 (CMDT-22) et Résolution 157 (Rév.</w:t>
            </w:r>
            <w:r w:rsidR="00D9231C" w:rsidRPr="0076466C">
              <w:rPr>
                <w:color w:val="000000"/>
                <w:lang w:val="fr-FR"/>
              </w:rPr>
              <w:t> </w:t>
            </w:r>
            <w:r w:rsidRPr="0076466C">
              <w:rPr>
                <w:color w:val="000000"/>
                <w:lang w:val="fr-FR"/>
              </w:rPr>
              <w:t>Bucarest,</w:t>
            </w:r>
            <w:r w:rsidR="00D9231C" w:rsidRPr="0076466C">
              <w:rPr>
                <w:color w:val="000000"/>
                <w:lang w:val="fr-FR"/>
              </w:rPr>
              <w:t> </w:t>
            </w:r>
            <w:r w:rsidRPr="0076466C">
              <w:rPr>
                <w:color w:val="000000"/>
                <w:lang w:val="fr-FR"/>
              </w:rPr>
              <w:t>2022) de la Conférence de plénipotentiaires de 2022 (PP-22); Résolution 1418 du Conseil de l'UIT.</w:t>
            </w:r>
          </w:p>
        </w:tc>
      </w:tr>
    </w:tbl>
    <w:p w14:paraId="5B29B2A3" w14:textId="77777777" w:rsidR="00923CF1" w:rsidRPr="0076466C" w:rsidRDefault="00923CF1">
      <w:pPr>
        <w:tabs>
          <w:tab w:val="clear" w:pos="794"/>
          <w:tab w:val="clear" w:pos="1191"/>
          <w:tab w:val="clear" w:pos="1588"/>
          <w:tab w:val="clear" w:pos="1985"/>
        </w:tabs>
        <w:overflowPunct/>
        <w:autoSpaceDE/>
        <w:autoSpaceDN/>
        <w:adjustRightInd/>
        <w:spacing w:before="0"/>
        <w:textAlignment w:val="auto"/>
        <w:rPr>
          <w:lang w:val="fr-FR"/>
        </w:rPr>
      </w:pPr>
      <w:r w:rsidRPr="0076466C">
        <w:rPr>
          <w:lang w:val="fr-FR"/>
        </w:rPr>
        <w:br w:type="page"/>
      </w:r>
    </w:p>
    <w:p w14:paraId="65518ABA" w14:textId="57370858" w:rsidR="00A34099" w:rsidRPr="0076466C" w:rsidRDefault="00A34099" w:rsidP="00A34099">
      <w:pPr>
        <w:pStyle w:val="Heading1"/>
        <w:rPr>
          <w:lang w:val="fr-FR"/>
        </w:rPr>
      </w:pPr>
      <w:r w:rsidRPr="0076466C">
        <w:rPr>
          <w:lang w:val="fr-FR"/>
        </w:rPr>
        <w:lastRenderedPageBreak/>
        <w:t>1</w:t>
      </w:r>
      <w:r w:rsidRPr="0076466C">
        <w:rPr>
          <w:lang w:val="fr-FR"/>
        </w:rPr>
        <w:tab/>
      </w:r>
      <w:r w:rsidRPr="0076466C">
        <w:rPr>
          <w:lang w:val="fr-FR"/>
        </w:rPr>
        <w:t>Introduction</w:t>
      </w:r>
    </w:p>
    <w:p w14:paraId="017CB95A" w14:textId="1E332F69" w:rsidR="00D9231C" w:rsidRPr="00A34099" w:rsidRDefault="00A34099" w:rsidP="00A34099">
      <w:pPr>
        <w:rPr>
          <w:lang w:val="fr-FR"/>
        </w:rPr>
      </w:pPr>
      <w:r w:rsidRPr="00A34099">
        <w:rPr>
          <w:lang w:val="fr-FR"/>
        </w:rPr>
        <w:t>Conformément aux Résolutions 17 (Rév. Kigali, 2022) et 52 (Rév. Dubaï, 2014) de la Conférence mondiale de développement des télécommunications de 2022 (CMDT-22) et à la Résolution 157 (Rév. Bucarest, 2022) de la Conférence de plénipotentiaires de 2022 (PP-22),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 Le présent rapport donne un aperçu de l</w:t>
      </w:r>
      <w:r w:rsidR="00D9231C" w:rsidRPr="0076466C">
        <w:rPr>
          <w:lang w:val="fr-FR"/>
        </w:rPr>
        <w:t>'</w:t>
      </w:r>
      <w:r w:rsidRPr="00A34099">
        <w:rPr>
          <w:lang w:val="fr-FR"/>
        </w:rPr>
        <w:t>état d</w:t>
      </w:r>
      <w:r w:rsidR="00D9231C" w:rsidRPr="0076466C">
        <w:rPr>
          <w:lang w:val="fr-FR"/>
        </w:rPr>
        <w:t>'</w:t>
      </w:r>
      <w:r w:rsidRPr="00A34099">
        <w:rPr>
          <w:lang w:val="fr-FR"/>
        </w:rPr>
        <w:t>avancement du portefeuille de projets de l</w:t>
      </w:r>
      <w:r w:rsidR="00D9231C" w:rsidRPr="0076466C">
        <w:rPr>
          <w:lang w:val="fr-FR"/>
        </w:rPr>
        <w:t>'</w:t>
      </w:r>
      <w:r w:rsidRPr="00A34099">
        <w:rPr>
          <w:lang w:val="fr-FR"/>
        </w:rPr>
        <w:t>UIT en cours en</w:t>
      </w:r>
      <w:r w:rsidR="00D9231C" w:rsidRPr="0076466C">
        <w:rPr>
          <w:lang w:val="fr-FR"/>
        </w:rPr>
        <w:t> </w:t>
      </w:r>
      <w:r w:rsidRPr="00A34099">
        <w:rPr>
          <w:lang w:val="fr-FR"/>
        </w:rPr>
        <w:t>2024 (période de mise en œuvre de janvier à décembre 2024)</w:t>
      </w:r>
      <w:r w:rsidRPr="00A34099">
        <w:rPr>
          <w:rStyle w:val="FootnoteReference"/>
          <w:lang w:val="fr-FR"/>
        </w:rPr>
        <w:footnoteReference w:id="1"/>
      </w:r>
      <w:r w:rsidR="00D9231C" w:rsidRPr="0076466C">
        <w:rPr>
          <w:lang w:val="fr-FR"/>
        </w:rPr>
        <w:t>.</w:t>
      </w:r>
    </w:p>
    <w:p w14:paraId="3FC2BD94" w14:textId="422BEE6A" w:rsidR="00A34099" w:rsidRPr="0076466C" w:rsidRDefault="00A34099" w:rsidP="00A34099">
      <w:pPr>
        <w:pStyle w:val="Heading1"/>
        <w:rPr>
          <w:lang w:val="fr-FR"/>
        </w:rPr>
      </w:pPr>
      <w:r w:rsidRPr="0076466C">
        <w:rPr>
          <w:lang w:val="fr-FR"/>
        </w:rPr>
        <w:t>2</w:t>
      </w:r>
      <w:r w:rsidRPr="0076466C">
        <w:rPr>
          <w:lang w:val="fr-FR"/>
        </w:rPr>
        <w:tab/>
      </w:r>
      <w:r w:rsidRPr="0076466C">
        <w:rPr>
          <w:lang w:val="fr-FR"/>
        </w:rPr>
        <w:t>Portefeuille de projets de l</w:t>
      </w:r>
      <w:r w:rsidR="00D9231C" w:rsidRPr="0076466C">
        <w:rPr>
          <w:lang w:val="fr-FR"/>
        </w:rPr>
        <w:t>'</w:t>
      </w:r>
      <w:r w:rsidRPr="0076466C">
        <w:rPr>
          <w:lang w:val="fr-FR"/>
        </w:rPr>
        <w:t>UIT: projets dans le cadre desquels des activités ont été menées en 2024</w:t>
      </w:r>
    </w:p>
    <w:p w14:paraId="2CEF9BDA" w14:textId="7F4C429B" w:rsidR="00A34099" w:rsidRPr="0076466C" w:rsidRDefault="00A34099" w:rsidP="00A34099">
      <w:pPr>
        <w:pStyle w:val="Heading2"/>
        <w:rPr>
          <w:lang w:val="fr-FR"/>
        </w:rPr>
      </w:pPr>
      <w:r w:rsidRPr="0076466C">
        <w:rPr>
          <w:lang w:val="fr-FR"/>
        </w:rPr>
        <w:t>2.1</w:t>
      </w:r>
      <w:r w:rsidRPr="0076466C">
        <w:rPr>
          <w:lang w:val="fr-FR"/>
        </w:rPr>
        <w:tab/>
      </w:r>
      <w:r w:rsidRPr="0076466C">
        <w:rPr>
          <w:lang w:val="fr-FR"/>
        </w:rPr>
        <w:t>Vue d'ensemble et répartition régionale</w:t>
      </w:r>
    </w:p>
    <w:p w14:paraId="7F3ABFCD" w14:textId="171EF0BC" w:rsidR="00A34099" w:rsidRPr="00A34099" w:rsidRDefault="00A34099" w:rsidP="00A34099">
      <w:pPr>
        <w:rPr>
          <w:lang w:val="fr-FR"/>
        </w:rPr>
      </w:pPr>
      <w:r w:rsidRPr="00A34099">
        <w:rPr>
          <w:lang w:val="fr-FR"/>
        </w:rPr>
        <w:t>En 2024, le BDT a entrepris 105 projets, pour un montant de 9</w:t>
      </w:r>
      <w:r w:rsidR="00D9231C" w:rsidRPr="0076466C">
        <w:rPr>
          <w:lang w:val="fr-FR"/>
        </w:rPr>
        <w:t>0</w:t>
      </w:r>
      <w:r w:rsidRPr="00A34099">
        <w:rPr>
          <w:lang w:val="fr-FR"/>
        </w:rPr>
        <w:t>,</w:t>
      </w:r>
      <w:r w:rsidR="00D9231C" w:rsidRPr="0076466C">
        <w:rPr>
          <w:lang w:val="fr-FR"/>
        </w:rPr>
        <w:t>4</w:t>
      </w:r>
      <w:r w:rsidRPr="00A34099">
        <w:rPr>
          <w:lang w:val="fr-FR"/>
        </w:rPr>
        <w:t> millions CHF. La Figure 1 illustre la répartition générale du portefeuille de projets de l'UIT par région et donne un aperçu: 1) des fonds mobilisés pour appuyer la mise en œuvre de ces projets</w:t>
      </w:r>
      <w:r w:rsidR="00D9231C" w:rsidRPr="0076466C">
        <w:rPr>
          <w:lang w:val="fr-FR"/>
        </w:rPr>
        <w:t>;</w:t>
      </w:r>
      <w:r w:rsidRPr="00A34099">
        <w:rPr>
          <w:lang w:val="fr-FR"/>
        </w:rPr>
        <w:t xml:space="preserve"> et 2) des fonds d'amorçage alloués par l'UIT au titre du Fonds pour le développement des TIC (FDTIC).</w:t>
      </w:r>
    </w:p>
    <w:p w14:paraId="0BDD11DD" w14:textId="284492BE" w:rsidR="00A34099" w:rsidRPr="0076466C" w:rsidRDefault="00A34099" w:rsidP="00A34099">
      <w:pPr>
        <w:pStyle w:val="Figuretitle"/>
        <w:spacing w:before="240" w:after="240"/>
        <w:rPr>
          <w:lang w:val="fr-FR"/>
        </w:rPr>
      </w:pPr>
      <w:r w:rsidRPr="0076466C">
        <w:rPr>
          <w:lang w:val="fr-FR"/>
        </w:rPr>
        <w:t>Figure 1</w:t>
      </w:r>
      <w:r w:rsidR="00D9231C" w:rsidRPr="0076466C">
        <w:rPr>
          <w:lang w:val="fr-FR"/>
        </w:rPr>
        <w:t xml:space="preserve"> – V</w:t>
      </w:r>
      <w:r w:rsidRPr="0076466C">
        <w:rPr>
          <w:lang w:val="fr-FR"/>
        </w:rPr>
        <w:t>ue d'ensemble des projets de l'UIT en cours, par région (en milliers CHF)</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32"/>
        <w:gridCol w:w="1170"/>
        <w:gridCol w:w="1449"/>
        <w:gridCol w:w="1169"/>
        <w:gridCol w:w="1459"/>
      </w:tblGrid>
      <w:tr w:rsidR="00A34099" w:rsidRPr="00A34099" w14:paraId="2A7061CC" w14:textId="77777777" w:rsidTr="00D9231C">
        <w:trPr>
          <w:trHeight w:val="852"/>
          <w:jc w:val="center"/>
        </w:trPr>
        <w:tc>
          <w:tcPr>
            <w:tcW w:w="1132" w:type="dxa"/>
            <w:shd w:val="clear" w:color="auto" w:fill="8DB3E2" w:themeFill="text2" w:themeFillTint="66"/>
            <w:noWrap/>
            <w:vAlign w:val="center"/>
            <w:hideMark/>
          </w:tcPr>
          <w:p w14:paraId="3B02FE76" w14:textId="77777777" w:rsidR="00A34099" w:rsidRPr="0076466C" w:rsidRDefault="00A34099" w:rsidP="00A34099">
            <w:pPr>
              <w:pStyle w:val="Tablehead"/>
              <w:rPr>
                <w:lang w:val="fr-FR"/>
              </w:rPr>
            </w:pPr>
            <w:r w:rsidRPr="0076466C">
              <w:rPr>
                <w:lang w:val="fr-FR"/>
              </w:rPr>
              <w:t>Région</w:t>
            </w:r>
          </w:p>
        </w:tc>
        <w:tc>
          <w:tcPr>
            <w:tcW w:w="1170" w:type="dxa"/>
            <w:shd w:val="clear" w:color="auto" w:fill="8DB3E2" w:themeFill="text2" w:themeFillTint="66"/>
            <w:noWrap/>
            <w:vAlign w:val="center"/>
            <w:hideMark/>
          </w:tcPr>
          <w:p w14:paraId="7CE8D107" w14:textId="77777777" w:rsidR="00A34099" w:rsidRPr="0076466C" w:rsidRDefault="00A34099" w:rsidP="00A34099">
            <w:pPr>
              <w:pStyle w:val="Tablehead"/>
              <w:rPr>
                <w:lang w:val="fr-FR"/>
              </w:rPr>
            </w:pPr>
            <w:r w:rsidRPr="0076466C">
              <w:rPr>
                <w:lang w:val="fr-FR"/>
              </w:rPr>
              <w:t>Nombre de projets</w:t>
            </w:r>
          </w:p>
        </w:tc>
        <w:tc>
          <w:tcPr>
            <w:tcW w:w="1449" w:type="dxa"/>
            <w:shd w:val="clear" w:color="auto" w:fill="8DB3E2" w:themeFill="text2" w:themeFillTint="66"/>
            <w:noWrap/>
            <w:vAlign w:val="center"/>
            <w:hideMark/>
          </w:tcPr>
          <w:p w14:paraId="0AA7E36C" w14:textId="69BE54B1" w:rsidR="00A34099" w:rsidRPr="0076466C" w:rsidRDefault="00A34099" w:rsidP="00A34099">
            <w:pPr>
              <w:pStyle w:val="Tablehead"/>
              <w:rPr>
                <w:lang w:val="fr-FR"/>
              </w:rPr>
            </w:pPr>
            <w:r w:rsidRPr="0076466C">
              <w:rPr>
                <w:lang w:val="fr-FR"/>
              </w:rPr>
              <w:t>Fonds provenant de partenaires</w:t>
            </w:r>
          </w:p>
        </w:tc>
        <w:tc>
          <w:tcPr>
            <w:tcW w:w="1169" w:type="dxa"/>
            <w:shd w:val="clear" w:color="auto" w:fill="8DB3E2" w:themeFill="text2" w:themeFillTint="66"/>
            <w:noWrap/>
            <w:vAlign w:val="center"/>
          </w:tcPr>
          <w:p w14:paraId="65CC4CAC" w14:textId="77777777" w:rsidR="00A34099" w:rsidRPr="0076466C" w:rsidRDefault="00A34099" w:rsidP="00A34099">
            <w:pPr>
              <w:pStyle w:val="Tablehead"/>
              <w:rPr>
                <w:lang w:val="fr-FR"/>
              </w:rPr>
            </w:pPr>
            <w:r w:rsidRPr="0076466C">
              <w:rPr>
                <w:lang w:val="fr-FR"/>
              </w:rPr>
              <w:t xml:space="preserve">Fonds de l'UIT </w:t>
            </w:r>
          </w:p>
        </w:tc>
        <w:tc>
          <w:tcPr>
            <w:tcW w:w="1459" w:type="dxa"/>
            <w:shd w:val="clear" w:color="auto" w:fill="8DB3E2" w:themeFill="text2" w:themeFillTint="66"/>
            <w:noWrap/>
            <w:vAlign w:val="center"/>
            <w:hideMark/>
          </w:tcPr>
          <w:p w14:paraId="69A6434A" w14:textId="77777777" w:rsidR="00A34099" w:rsidRPr="0076466C" w:rsidRDefault="00A34099" w:rsidP="00A34099">
            <w:pPr>
              <w:pStyle w:val="Tablehead"/>
              <w:rPr>
                <w:lang w:val="fr-FR"/>
              </w:rPr>
            </w:pPr>
            <w:r w:rsidRPr="0076466C">
              <w:rPr>
                <w:lang w:val="fr-FR"/>
              </w:rPr>
              <w:t>Total du financement des projets</w:t>
            </w:r>
          </w:p>
        </w:tc>
      </w:tr>
      <w:tr w:rsidR="00A34099" w:rsidRPr="00A34099" w14:paraId="0A628F11" w14:textId="77777777" w:rsidTr="00D9231C">
        <w:trPr>
          <w:trHeight w:val="54"/>
          <w:jc w:val="center"/>
        </w:trPr>
        <w:tc>
          <w:tcPr>
            <w:tcW w:w="1132" w:type="dxa"/>
            <w:hideMark/>
          </w:tcPr>
          <w:p w14:paraId="3464A8E0" w14:textId="6A8BE19E" w:rsidR="00A34099" w:rsidRPr="0076466C" w:rsidRDefault="00A34099" w:rsidP="00A34099">
            <w:pPr>
              <w:pStyle w:val="Tabletext"/>
              <w:rPr>
                <w:lang w:val="fr-FR"/>
              </w:rPr>
            </w:pPr>
            <w:r w:rsidRPr="0076466C">
              <w:rPr>
                <w:lang w:val="fr-FR"/>
              </w:rPr>
              <w:t>AFR</w:t>
            </w:r>
          </w:p>
        </w:tc>
        <w:tc>
          <w:tcPr>
            <w:tcW w:w="1170" w:type="dxa"/>
            <w:noWrap/>
            <w:vAlign w:val="bottom"/>
            <w:hideMark/>
          </w:tcPr>
          <w:p w14:paraId="14AF6415" w14:textId="77777777" w:rsidR="00A34099" w:rsidRPr="0076466C" w:rsidRDefault="00A34099" w:rsidP="00D9231C">
            <w:pPr>
              <w:pStyle w:val="Tabletext"/>
              <w:jc w:val="center"/>
              <w:rPr>
                <w:lang w:val="fr-FR"/>
              </w:rPr>
            </w:pPr>
            <w:r w:rsidRPr="0076466C">
              <w:rPr>
                <w:lang w:val="fr-FR"/>
              </w:rPr>
              <w:t>17</w:t>
            </w:r>
          </w:p>
        </w:tc>
        <w:tc>
          <w:tcPr>
            <w:tcW w:w="1449" w:type="dxa"/>
            <w:vAlign w:val="bottom"/>
            <w:hideMark/>
          </w:tcPr>
          <w:p w14:paraId="279F30C7" w14:textId="77777777" w:rsidR="00A34099" w:rsidRPr="0076466C" w:rsidRDefault="00A34099" w:rsidP="00D9231C">
            <w:pPr>
              <w:pStyle w:val="Tabletext"/>
              <w:jc w:val="right"/>
              <w:rPr>
                <w:lang w:val="fr-FR"/>
              </w:rPr>
            </w:pPr>
            <w:r w:rsidRPr="0076466C">
              <w:rPr>
                <w:lang w:val="fr-FR"/>
              </w:rPr>
              <w:t>26 548,5</w:t>
            </w:r>
          </w:p>
        </w:tc>
        <w:tc>
          <w:tcPr>
            <w:tcW w:w="1169" w:type="dxa"/>
            <w:vAlign w:val="bottom"/>
            <w:hideMark/>
          </w:tcPr>
          <w:p w14:paraId="211F1025" w14:textId="77777777" w:rsidR="00A34099" w:rsidRPr="0076466C" w:rsidRDefault="00A34099" w:rsidP="00D9231C">
            <w:pPr>
              <w:pStyle w:val="Tabletext"/>
              <w:jc w:val="right"/>
              <w:rPr>
                <w:lang w:val="fr-FR"/>
              </w:rPr>
            </w:pPr>
            <w:r w:rsidRPr="0076466C">
              <w:rPr>
                <w:lang w:val="fr-FR"/>
              </w:rPr>
              <w:t>1 516,8</w:t>
            </w:r>
          </w:p>
        </w:tc>
        <w:tc>
          <w:tcPr>
            <w:tcW w:w="1459" w:type="dxa"/>
            <w:shd w:val="clear" w:color="auto" w:fill="DBE5F1" w:themeFill="accent1" w:themeFillTint="33"/>
            <w:vAlign w:val="bottom"/>
            <w:hideMark/>
          </w:tcPr>
          <w:p w14:paraId="3FBB2AB7" w14:textId="7B053235" w:rsidR="00A34099" w:rsidRPr="0076466C" w:rsidRDefault="00A34099" w:rsidP="00D9231C">
            <w:pPr>
              <w:pStyle w:val="Tabletext"/>
              <w:jc w:val="right"/>
              <w:rPr>
                <w:lang w:val="fr-FR"/>
              </w:rPr>
            </w:pPr>
            <w:r w:rsidRPr="0076466C">
              <w:rPr>
                <w:color w:val="000000"/>
                <w:szCs w:val="22"/>
                <w:lang w:val="fr-FR"/>
              </w:rPr>
              <w:t>28</w:t>
            </w:r>
            <w:r w:rsidR="00D9231C" w:rsidRPr="0076466C">
              <w:rPr>
                <w:color w:val="000000"/>
                <w:szCs w:val="22"/>
                <w:lang w:val="fr-FR"/>
              </w:rPr>
              <w:t xml:space="preserve"> </w:t>
            </w:r>
            <w:r w:rsidRPr="0076466C">
              <w:rPr>
                <w:color w:val="000000"/>
                <w:szCs w:val="22"/>
                <w:lang w:val="fr-FR"/>
              </w:rPr>
              <w:t>065</w:t>
            </w:r>
            <w:r w:rsidR="00D9231C" w:rsidRPr="0076466C">
              <w:rPr>
                <w:color w:val="000000"/>
                <w:szCs w:val="22"/>
                <w:lang w:val="fr-FR"/>
              </w:rPr>
              <w:t>,</w:t>
            </w:r>
            <w:r w:rsidRPr="0076466C">
              <w:rPr>
                <w:color w:val="000000"/>
                <w:szCs w:val="22"/>
                <w:lang w:val="fr-FR"/>
              </w:rPr>
              <w:t>3</w:t>
            </w:r>
          </w:p>
        </w:tc>
      </w:tr>
      <w:tr w:rsidR="00A34099" w:rsidRPr="00A34099" w14:paraId="6C8B82A9" w14:textId="77777777" w:rsidTr="00D9231C">
        <w:trPr>
          <w:trHeight w:val="54"/>
          <w:jc w:val="center"/>
        </w:trPr>
        <w:tc>
          <w:tcPr>
            <w:tcW w:w="1132" w:type="dxa"/>
            <w:hideMark/>
          </w:tcPr>
          <w:p w14:paraId="021737D3" w14:textId="77777777" w:rsidR="00A34099" w:rsidRPr="0076466C" w:rsidRDefault="00A34099" w:rsidP="00A34099">
            <w:pPr>
              <w:pStyle w:val="Tabletext"/>
              <w:rPr>
                <w:lang w:val="fr-FR"/>
              </w:rPr>
            </w:pPr>
            <w:r w:rsidRPr="0076466C">
              <w:rPr>
                <w:lang w:val="fr-FR"/>
              </w:rPr>
              <w:t xml:space="preserve">AMS </w:t>
            </w:r>
          </w:p>
        </w:tc>
        <w:tc>
          <w:tcPr>
            <w:tcW w:w="1170" w:type="dxa"/>
            <w:noWrap/>
            <w:vAlign w:val="bottom"/>
            <w:hideMark/>
          </w:tcPr>
          <w:p w14:paraId="4FC5596A" w14:textId="77777777" w:rsidR="00A34099" w:rsidRPr="0076466C" w:rsidRDefault="00A34099" w:rsidP="00D9231C">
            <w:pPr>
              <w:pStyle w:val="Tabletext"/>
              <w:jc w:val="center"/>
              <w:rPr>
                <w:lang w:val="fr-FR"/>
              </w:rPr>
            </w:pPr>
            <w:r w:rsidRPr="0076466C">
              <w:rPr>
                <w:lang w:val="fr-FR"/>
              </w:rPr>
              <w:t>19</w:t>
            </w:r>
          </w:p>
        </w:tc>
        <w:tc>
          <w:tcPr>
            <w:tcW w:w="1449" w:type="dxa"/>
            <w:vAlign w:val="bottom"/>
            <w:hideMark/>
          </w:tcPr>
          <w:p w14:paraId="61042774" w14:textId="77777777" w:rsidR="00A34099" w:rsidRPr="0076466C" w:rsidRDefault="00A34099" w:rsidP="00D9231C">
            <w:pPr>
              <w:pStyle w:val="Tabletext"/>
              <w:jc w:val="right"/>
              <w:rPr>
                <w:lang w:val="fr-FR"/>
              </w:rPr>
            </w:pPr>
            <w:r w:rsidRPr="0076466C">
              <w:rPr>
                <w:lang w:val="fr-FR"/>
              </w:rPr>
              <w:t>12 600,3</w:t>
            </w:r>
          </w:p>
        </w:tc>
        <w:tc>
          <w:tcPr>
            <w:tcW w:w="1169" w:type="dxa"/>
            <w:vAlign w:val="bottom"/>
            <w:hideMark/>
          </w:tcPr>
          <w:p w14:paraId="776A65DA" w14:textId="77777777" w:rsidR="00A34099" w:rsidRPr="0076466C" w:rsidRDefault="00A34099" w:rsidP="00D9231C">
            <w:pPr>
              <w:pStyle w:val="Tabletext"/>
              <w:jc w:val="right"/>
              <w:rPr>
                <w:lang w:val="fr-FR"/>
              </w:rPr>
            </w:pPr>
            <w:r w:rsidRPr="0076466C">
              <w:rPr>
                <w:lang w:val="fr-FR"/>
              </w:rPr>
              <w:t>335,5</w:t>
            </w:r>
          </w:p>
        </w:tc>
        <w:tc>
          <w:tcPr>
            <w:tcW w:w="1459" w:type="dxa"/>
            <w:shd w:val="clear" w:color="auto" w:fill="DBE5F1" w:themeFill="accent1" w:themeFillTint="33"/>
            <w:vAlign w:val="bottom"/>
            <w:hideMark/>
          </w:tcPr>
          <w:p w14:paraId="47D25ECC" w14:textId="2635E3DF" w:rsidR="00A34099" w:rsidRPr="0076466C" w:rsidRDefault="00A34099" w:rsidP="00D9231C">
            <w:pPr>
              <w:pStyle w:val="Tabletext"/>
              <w:jc w:val="right"/>
              <w:rPr>
                <w:lang w:val="fr-FR"/>
              </w:rPr>
            </w:pPr>
            <w:r w:rsidRPr="0076466C">
              <w:rPr>
                <w:color w:val="000000"/>
                <w:szCs w:val="22"/>
                <w:lang w:val="fr-FR"/>
              </w:rPr>
              <w:t>12</w:t>
            </w:r>
            <w:r w:rsidR="00D9231C" w:rsidRPr="0076466C">
              <w:rPr>
                <w:color w:val="000000"/>
                <w:szCs w:val="22"/>
                <w:lang w:val="fr-FR"/>
              </w:rPr>
              <w:t xml:space="preserve"> </w:t>
            </w:r>
            <w:r w:rsidRPr="0076466C">
              <w:rPr>
                <w:color w:val="000000"/>
                <w:szCs w:val="22"/>
                <w:lang w:val="fr-FR"/>
              </w:rPr>
              <w:t>935</w:t>
            </w:r>
            <w:r w:rsidR="00D9231C" w:rsidRPr="0076466C">
              <w:rPr>
                <w:color w:val="000000"/>
                <w:szCs w:val="22"/>
                <w:lang w:val="fr-FR"/>
              </w:rPr>
              <w:t>,</w:t>
            </w:r>
            <w:r w:rsidRPr="0076466C">
              <w:rPr>
                <w:color w:val="000000"/>
                <w:szCs w:val="22"/>
                <w:lang w:val="fr-FR"/>
              </w:rPr>
              <w:t>8</w:t>
            </w:r>
          </w:p>
        </w:tc>
      </w:tr>
      <w:tr w:rsidR="00A34099" w:rsidRPr="00A34099" w14:paraId="1C014835" w14:textId="77777777" w:rsidTr="00D9231C">
        <w:trPr>
          <w:trHeight w:val="300"/>
          <w:jc w:val="center"/>
        </w:trPr>
        <w:tc>
          <w:tcPr>
            <w:tcW w:w="1132" w:type="dxa"/>
            <w:hideMark/>
          </w:tcPr>
          <w:p w14:paraId="3F208355" w14:textId="77777777" w:rsidR="00A34099" w:rsidRPr="0076466C" w:rsidRDefault="00A34099" w:rsidP="00A34099">
            <w:pPr>
              <w:pStyle w:val="Tabletext"/>
              <w:rPr>
                <w:lang w:val="fr-FR"/>
              </w:rPr>
            </w:pPr>
            <w:r w:rsidRPr="0076466C">
              <w:rPr>
                <w:lang w:val="fr-FR"/>
              </w:rPr>
              <w:t xml:space="preserve">ARB </w:t>
            </w:r>
          </w:p>
        </w:tc>
        <w:tc>
          <w:tcPr>
            <w:tcW w:w="1170" w:type="dxa"/>
            <w:vAlign w:val="bottom"/>
            <w:hideMark/>
          </w:tcPr>
          <w:p w14:paraId="5D5B2A1F" w14:textId="77777777" w:rsidR="00A34099" w:rsidRPr="0076466C" w:rsidRDefault="00A34099" w:rsidP="00D9231C">
            <w:pPr>
              <w:pStyle w:val="Tabletext"/>
              <w:jc w:val="center"/>
              <w:rPr>
                <w:lang w:val="fr-FR"/>
              </w:rPr>
            </w:pPr>
            <w:r w:rsidRPr="0076466C">
              <w:rPr>
                <w:lang w:val="fr-FR"/>
              </w:rPr>
              <w:t>5</w:t>
            </w:r>
          </w:p>
        </w:tc>
        <w:tc>
          <w:tcPr>
            <w:tcW w:w="1449" w:type="dxa"/>
            <w:vAlign w:val="bottom"/>
            <w:hideMark/>
          </w:tcPr>
          <w:p w14:paraId="0D6BC3BA" w14:textId="77777777" w:rsidR="00A34099" w:rsidRPr="0076466C" w:rsidRDefault="00A34099" w:rsidP="00D9231C">
            <w:pPr>
              <w:pStyle w:val="Tabletext"/>
              <w:jc w:val="right"/>
              <w:rPr>
                <w:lang w:val="fr-FR"/>
              </w:rPr>
            </w:pPr>
            <w:r w:rsidRPr="0076466C">
              <w:rPr>
                <w:lang w:val="fr-FR"/>
              </w:rPr>
              <w:t>2 989,6</w:t>
            </w:r>
          </w:p>
        </w:tc>
        <w:tc>
          <w:tcPr>
            <w:tcW w:w="1169" w:type="dxa"/>
            <w:vAlign w:val="bottom"/>
            <w:hideMark/>
          </w:tcPr>
          <w:p w14:paraId="7A406F96" w14:textId="77777777" w:rsidR="00A34099" w:rsidRPr="0076466C" w:rsidRDefault="00A34099" w:rsidP="00D9231C">
            <w:pPr>
              <w:pStyle w:val="Tabletext"/>
              <w:jc w:val="right"/>
              <w:rPr>
                <w:lang w:val="fr-FR"/>
              </w:rPr>
            </w:pPr>
            <w:r w:rsidRPr="0076466C">
              <w:rPr>
                <w:lang w:val="fr-FR"/>
              </w:rPr>
              <w:t>664,5</w:t>
            </w:r>
          </w:p>
        </w:tc>
        <w:tc>
          <w:tcPr>
            <w:tcW w:w="1459" w:type="dxa"/>
            <w:shd w:val="clear" w:color="auto" w:fill="DBE5F1" w:themeFill="accent1" w:themeFillTint="33"/>
            <w:vAlign w:val="bottom"/>
            <w:hideMark/>
          </w:tcPr>
          <w:p w14:paraId="1505D677" w14:textId="77777777" w:rsidR="00A34099" w:rsidRPr="0076466C" w:rsidRDefault="00A34099" w:rsidP="00D9231C">
            <w:pPr>
              <w:pStyle w:val="Tabletext"/>
              <w:jc w:val="right"/>
              <w:rPr>
                <w:lang w:val="fr-FR"/>
              </w:rPr>
            </w:pPr>
            <w:r w:rsidRPr="0076466C">
              <w:rPr>
                <w:lang w:val="fr-FR"/>
              </w:rPr>
              <w:t>3 654,1</w:t>
            </w:r>
          </w:p>
        </w:tc>
      </w:tr>
      <w:tr w:rsidR="00A34099" w:rsidRPr="00A34099" w14:paraId="0A5A5338" w14:textId="77777777" w:rsidTr="00D9231C">
        <w:trPr>
          <w:trHeight w:val="54"/>
          <w:jc w:val="center"/>
        </w:trPr>
        <w:tc>
          <w:tcPr>
            <w:tcW w:w="1132" w:type="dxa"/>
            <w:vAlign w:val="center"/>
            <w:hideMark/>
          </w:tcPr>
          <w:p w14:paraId="783BDCD6" w14:textId="77777777" w:rsidR="00A34099" w:rsidRPr="0076466C" w:rsidRDefault="00A34099" w:rsidP="00A34099">
            <w:pPr>
              <w:pStyle w:val="Tabletext"/>
              <w:rPr>
                <w:lang w:val="fr-FR"/>
              </w:rPr>
            </w:pPr>
            <w:r w:rsidRPr="0076466C">
              <w:rPr>
                <w:lang w:val="fr-FR"/>
              </w:rPr>
              <w:t>ASP</w:t>
            </w:r>
          </w:p>
        </w:tc>
        <w:tc>
          <w:tcPr>
            <w:tcW w:w="1170" w:type="dxa"/>
            <w:noWrap/>
            <w:vAlign w:val="bottom"/>
            <w:hideMark/>
          </w:tcPr>
          <w:p w14:paraId="2B93F7CD" w14:textId="77777777" w:rsidR="00A34099" w:rsidRPr="0076466C" w:rsidRDefault="00A34099" w:rsidP="00D9231C">
            <w:pPr>
              <w:pStyle w:val="Tabletext"/>
              <w:jc w:val="center"/>
              <w:rPr>
                <w:lang w:val="fr-FR"/>
              </w:rPr>
            </w:pPr>
            <w:r w:rsidRPr="0076466C">
              <w:rPr>
                <w:lang w:val="fr-FR"/>
              </w:rPr>
              <w:t>15</w:t>
            </w:r>
          </w:p>
        </w:tc>
        <w:tc>
          <w:tcPr>
            <w:tcW w:w="1449" w:type="dxa"/>
            <w:vAlign w:val="bottom"/>
            <w:hideMark/>
          </w:tcPr>
          <w:p w14:paraId="66964943" w14:textId="77777777" w:rsidR="00A34099" w:rsidRPr="0076466C" w:rsidRDefault="00A34099" w:rsidP="00D9231C">
            <w:pPr>
              <w:pStyle w:val="Tabletext"/>
              <w:jc w:val="right"/>
              <w:rPr>
                <w:lang w:val="fr-FR"/>
              </w:rPr>
            </w:pPr>
            <w:r w:rsidRPr="0076466C">
              <w:rPr>
                <w:lang w:val="fr-FR"/>
              </w:rPr>
              <w:t>6 667,2</w:t>
            </w:r>
          </w:p>
        </w:tc>
        <w:tc>
          <w:tcPr>
            <w:tcW w:w="1169" w:type="dxa"/>
            <w:vAlign w:val="bottom"/>
          </w:tcPr>
          <w:p w14:paraId="2E858EB8" w14:textId="77777777" w:rsidR="00A34099" w:rsidRPr="0076466C" w:rsidRDefault="00A34099" w:rsidP="00D9231C">
            <w:pPr>
              <w:pStyle w:val="Tabletext"/>
              <w:jc w:val="right"/>
              <w:rPr>
                <w:lang w:val="fr-FR"/>
              </w:rPr>
            </w:pPr>
            <w:r w:rsidRPr="0076466C">
              <w:rPr>
                <w:lang w:val="fr-FR"/>
              </w:rPr>
              <w:t>655,6</w:t>
            </w:r>
          </w:p>
        </w:tc>
        <w:tc>
          <w:tcPr>
            <w:tcW w:w="1459" w:type="dxa"/>
            <w:shd w:val="clear" w:color="auto" w:fill="DBE5F1" w:themeFill="accent1" w:themeFillTint="33"/>
            <w:vAlign w:val="bottom"/>
            <w:hideMark/>
          </w:tcPr>
          <w:p w14:paraId="54C0FA97" w14:textId="73801BAD" w:rsidR="00A34099" w:rsidRPr="0076466C" w:rsidRDefault="00A34099" w:rsidP="00D9231C">
            <w:pPr>
              <w:pStyle w:val="Tabletext"/>
              <w:jc w:val="right"/>
              <w:rPr>
                <w:lang w:val="fr-FR"/>
              </w:rPr>
            </w:pPr>
            <w:r w:rsidRPr="0076466C">
              <w:rPr>
                <w:color w:val="000000"/>
                <w:szCs w:val="22"/>
                <w:lang w:val="fr-FR"/>
              </w:rPr>
              <w:t>7</w:t>
            </w:r>
            <w:r w:rsidR="00D9231C" w:rsidRPr="0076466C">
              <w:rPr>
                <w:color w:val="000000"/>
                <w:szCs w:val="22"/>
                <w:lang w:val="fr-FR"/>
              </w:rPr>
              <w:t xml:space="preserve"> </w:t>
            </w:r>
            <w:r w:rsidRPr="0076466C">
              <w:rPr>
                <w:color w:val="000000"/>
                <w:szCs w:val="22"/>
                <w:lang w:val="fr-FR"/>
              </w:rPr>
              <w:t>322</w:t>
            </w:r>
            <w:r w:rsidR="00D9231C" w:rsidRPr="0076466C">
              <w:rPr>
                <w:color w:val="000000"/>
                <w:szCs w:val="22"/>
                <w:lang w:val="fr-FR"/>
              </w:rPr>
              <w:t>,</w:t>
            </w:r>
            <w:r w:rsidRPr="0076466C">
              <w:rPr>
                <w:color w:val="000000"/>
                <w:szCs w:val="22"/>
                <w:lang w:val="fr-FR"/>
              </w:rPr>
              <w:t>9</w:t>
            </w:r>
          </w:p>
        </w:tc>
      </w:tr>
      <w:tr w:rsidR="00A34099" w:rsidRPr="00A34099" w14:paraId="117C7312" w14:textId="77777777" w:rsidTr="00D9231C">
        <w:trPr>
          <w:trHeight w:val="54"/>
          <w:jc w:val="center"/>
        </w:trPr>
        <w:tc>
          <w:tcPr>
            <w:tcW w:w="1132" w:type="dxa"/>
            <w:hideMark/>
          </w:tcPr>
          <w:p w14:paraId="46372F16" w14:textId="77777777" w:rsidR="00A34099" w:rsidRPr="0076466C" w:rsidRDefault="00A34099" w:rsidP="00A34099">
            <w:pPr>
              <w:pStyle w:val="Tabletext"/>
              <w:rPr>
                <w:lang w:val="fr-FR"/>
              </w:rPr>
            </w:pPr>
            <w:r w:rsidRPr="0076466C">
              <w:rPr>
                <w:lang w:val="fr-FR"/>
              </w:rPr>
              <w:t xml:space="preserve">CEI </w:t>
            </w:r>
          </w:p>
        </w:tc>
        <w:tc>
          <w:tcPr>
            <w:tcW w:w="1170" w:type="dxa"/>
            <w:vAlign w:val="bottom"/>
            <w:hideMark/>
          </w:tcPr>
          <w:p w14:paraId="4E162B1E" w14:textId="77777777" w:rsidR="00A34099" w:rsidRPr="0076466C" w:rsidRDefault="00A34099" w:rsidP="00D9231C">
            <w:pPr>
              <w:pStyle w:val="Tabletext"/>
              <w:jc w:val="center"/>
              <w:rPr>
                <w:lang w:val="fr-FR"/>
              </w:rPr>
            </w:pPr>
            <w:r w:rsidRPr="0076466C">
              <w:rPr>
                <w:lang w:val="fr-FR"/>
              </w:rPr>
              <w:t>4</w:t>
            </w:r>
          </w:p>
        </w:tc>
        <w:tc>
          <w:tcPr>
            <w:tcW w:w="1449" w:type="dxa"/>
            <w:vAlign w:val="bottom"/>
            <w:hideMark/>
          </w:tcPr>
          <w:p w14:paraId="43810CB8" w14:textId="77777777" w:rsidR="00A34099" w:rsidRPr="0076466C" w:rsidRDefault="00A34099" w:rsidP="00D9231C">
            <w:pPr>
              <w:pStyle w:val="Tabletext"/>
              <w:jc w:val="right"/>
              <w:rPr>
                <w:lang w:val="fr-FR"/>
              </w:rPr>
            </w:pPr>
            <w:r w:rsidRPr="0076466C">
              <w:rPr>
                <w:lang w:val="fr-FR"/>
              </w:rPr>
              <w:t>342,0</w:t>
            </w:r>
          </w:p>
        </w:tc>
        <w:tc>
          <w:tcPr>
            <w:tcW w:w="1169" w:type="dxa"/>
            <w:vAlign w:val="bottom"/>
          </w:tcPr>
          <w:p w14:paraId="48D1BB1F" w14:textId="77777777" w:rsidR="00A34099" w:rsidRPr="0076466C" w:rsidRDefault="00A34099" w:rsidP="00D9231C">
            <w:pPr>
              <w:pStyle w:val="Tabletext"/>
              <w:jc w:val="right"/>
              <w:rPr>
                <w:lang w:val="fr-FR"/>
              </w:rPr>
            </w:pPr>
            <w:r w:rsidRPr="0076466C">
              <w:rPr>
                <w:lang w:val="fr-FR"/>
              </w:rPr>
              <w:t>532,2</w:t>
            </w:r>
          </w:p>
        </w:tc>
        <w:tc>
          <w:tcPr>
            <w:tcW w:w="1459" w:type="dxa"/>
            <w:shd w:val="clear" w:color="auto" w:fill="DBE5F1" w:themeFill="accent1" w:themeFillTint="33"/>
            <w:vAlign w:val="bottom"/>
            <w:hideMark/>
          </w:tcPr>
          <w:p w14:paraId="31046AA8" w14:textId="77777777" w:rsidR="00A34099" w:rsidRPr="0076466C" w:rsidRDefault="00A34099" w:rsidP="00D9231C">
            <w:pPr>
              <w:pStyle w:val="Tabletext"/>
              <w:jc w:val="right"/>
              <w:rPr>
                <w:lang w:val="fr-FR"/>
              </w:rPr>
            </w:pPr>
            <w:r w:rsidRPr="0076466C">
              <w:rPr>
                <w:lang w:val="fr-FR"/>
              </w:rPr>
              <w:t>874,1</w:t>
            </w:r>
          </w:p>
        </w:tc>
      </w:tr>
      <w:tr w:rsidR="00A34099" w:rsidRPr="00A34099" w14:paraId="7E14894B" w14:textId="77777777" w:rsidTr="00D9231C">
        <w:trPr>
          <w:trHeight w:val="54"/>
          <w:jc w:val="center"/>
        </w:trPr>
        <w:tc>
          <w:tcPr>
            <w:tcW w:w="1132" w:type="dxa"/>
            <w:vAlign w:val="bottom"/>
            <w:hideMark/>
          </w:tcPr>
          <w:p w14:paraId="6E572A51" w14:textId="77777777" w:rsidR="00A34099" w:rsidRPr="0076466C" w:rsidRDefault="00A34099" w:rsidP="00A34099">
            <w:pPr>
              <w:pStyle w:val="Tabletext"/>
              <w:rPr>
                <w:lang w:val="fr-FR"/>
              </w:rPr>
            </w:pPr>
            <w:r w:rsidRPr="0076466C">
              <w:rPr>
                <w:lang w:val="fr-FR"/>
              </w:rPr>
              <w:t>EUR</w:t>
            </w:r>
          </w:p>
        </w:tc>
        <w:tc>
          <w:tcPr>
            <w:tcW w:w="1170" w:type="dxa"/>
            <w:vAlign w:val="bottom"/>
            <w:hideMark/>
          </w:tcPr>
          <w:p w14:paraId="20FF48C8" w14:textId="77777777" w:rsidR="00A34099" w:rsidRPr="0076466C" w:rsidRDefault="00A34099" w:rsidP="00D9231C">
            <w:pPr>
              <w:pStyle w:val="Tabletext"/>
              <w:jc w:val="center"/>
              <w:rPr>
                <w:lang w:val="fr-FR"/>
              </w:rPr>
            </w:pPr>
            <w:r w:rsidRPr="0076466C">
              <w:rPr>
                <w:lang w:val="fr-FR"/>
              </w:rPr>
              <w:t>4</w:t>
            </w:r>
          </w:p>
        </w:tc>
        <w:tc>
          <w:tcPr>
            <w:tcW w:w="1449" w:type="dxa"/>
            <w:vAlign w:val="bottom"/>
            <w:hideMark/>
          </w:tcPr>
          <w:p w14:paraId="7C97F519" w14:textId="77777777" w:rsidR="00A34099" w:rsidRPr="0076466C" w:rsidRDefault="00A34099" w:rsidP="00D9231C">
            <w:pPr>
              <w:pStyle w:val="Tabletext"/>
              <w:jc w:val="right"/>
              <w:rPr>
                <w:lang w:val="fr-FR"/>
              </w:rPr>
            </w:pPr>
            <w:r w:rsidRPr="0076466C">
              <w:rPr>
                <w:lang w:val="fr-FR"/>
              </w:rPr>
              <w:t>4 034,6</w:t>
            </w:r>
          </w:p>
        </w:tc>
        <w:tc>
          <w:tcPr>
            <w:tcW w:w="1169" w:type="dxa"/>
            <w:vAlign w:val="bottom"/>
          </w:tcPr>
          <w:p w14:paraId="6CA2B51E" w14:textId="77777777" w:rsidR="00A34099" w:rsidRPr="0076466C" w:rsidRDefault="00A34099" w:rsidP="00D9231C">
            <w:pPr>
              <w:pStyle w:val="Tabletext"/>
              <w:jc w:val="right"/>
              <w:rPr>
                <w:lang w:val="fr-FR"/>
              </w:rPr>
            </w:pPr>
            <w:r w:rsidRPr="0076466C">
              <w:rPr>
                <w:lang w:val="fr-FR"/>
              </w:rPr>
              <w:t>44,2</w:t>
            </w:r>
          </w:p>
        </w:tc>
        <w:tc>
          <w:tcPr>
            <w:tcW w:w="1459" w:type="dxa"/>
            <w:shd w:val="clear" w:color="auto" w:fill="DBE5F1" w:themeFill="accent1" w:themeFillTint="33"/>
            <w:vAlign w:val="bottom"/>
            <w:hideMark/>
          </w:tcPr>
          <w:p w14:paraId="390B359D" w14:textId="77777777" w:rsidR="00A34099" w:rsidRPr="0076466C" w:rsidRDefault="00A34099" w:rsidP="00D9231C">
            <w:pPr>
              <w:pStyle w:val="Tabletext"/>
              <w:jc w:val="right"/>
              <w:rPr>
                <w:lang w:val="fr-FR"/>
              </w:rPr>
            </w:pPr>
            <w:r w:rsidRPr="0076466C">
              <w:rPr>
                <w:lang w:val="fr-FR"/>
              </w:rPr>
              <w:t>4 078,8</w:t>
            </w:r>
          </w:p>
        </w:tc>
      </w:tr>
      <w:tr w:rsidR="00A34099" w:rsidRPr="00A34099" w14:paraId="24FB0D4B" w14:textId="77777777" w:rsidTr="00D9231C">
        <w:trPr>
          <w:trHeight w:val="54"/>
          <w:jc w:val="center"/>
        </w:trPr>
        <w:tc>
          <w:tcPr>
            <w:tcW w:w="1132" w:type="dxa"/>
            <w:hideMark/>
          </w:tcPr>
          <w:p w14:paraId="74E40A76" w14:textId="77777777" w:rsidR="00A34099" w:rsidRPr="0076466C" w:rsidRDefault="00A34099" w:rsidP="00A34099">
            <w:pPr>
              <w:pStyle w:val="Tabletext"/>
              <w:rPr>
                <w:lang w:val="fr-FR"/>
              </w:rPr>
            </w:pPr>
            <w:r w:rsidRPr="0076466C">
              <w:rPr>
                <w:lang w:val="fr-FR"/>
              </w:rPr>
              <w:t>Plusieurs régions(*)</w:t>
            </w:r>
            <w:bookmarkStart w:id="6" w:name="_Hlk161739046"/>
            <w:bookmarkEnd w:id="6"/>
          </w:p>
        </w:tc>
        <w:tc>
          <w:tcPr>
            <w:tcW w:w="1170" w:type="dxa"/>
            <w:noWrap/>
            <w:vAlign w:val="bottom"/>
            <w:hideMark/>
          </w:tcPr>
          <w:p w14:paraId="6B7259C2" w14:textId="77777777" w:rsidR="00A34099" w:rsidRPr="0076466C" w:rsidRDefault="00A34099" w:rsidP="00D9231C">
            <w:pPr>
              <w:pStyle w:val="Tabletext"/>
              <w:jc w:val="center"/>
              <w:rPr>
                <w:lang w:val="fr-FR"/>
              </w:rPr>
            </w:pPr>
            <w:r w:rsidRPr="0076466C">
              <w:rPr>
                <w:lang w:val="fr-FR"/>
              </w:rPr>
              <w:t>41</w:t>
            </w:r>
          </w:p>
        </w:tc>
        <w:tc>
          <w:tcPr>
            <w:tcW w:w="1449" w:type="dxa"/>
            <w:vAlign w:val="bottom"/>
            <w:hideMark/>
          </w:tcPr>
          <w:p w14:paraId="1CEA6249" w14:textId="77777777" w:rsidR="00A34099" w:rsidRPr="0076466C" w:rsidRDefault="00A34099" w:rsidP="00D9231C">
            <w:pPr>
              <w:pStyle w:val="Tabletext"/>
              <w:jc w:val="right"/>
              <w:rPr>
                <w:lang w:val="fr-FR"/>
              </w:rPr>
            </w:pPr>
            <w:r w:rsidRPr="0076466C">
              <w:rPr>
                <w:lang w:val="fr-FR"/>
              </w:rPr>
              <w:t>26 852,4</w:t>
            </w:r>
          </w:p>
        </w:tc>
        <w:tc>
          <w:tcPr>
            <w:tcW w:w="1169" w:type="dxa"/>
            <w:vAlign w:val="bottom"/>
            <w:hideMark/>
          </w:tcPr>
          <w:p w14:paraId="66C95944" w14:textId="77777777" w:rsidR="00A34099" w:rsidRPr="0076466C" w:rsidRDefault="00A34099" w:rsidP="00D9231C">
            <w:pPr>
              <w:pStyle w:val="Tabletext"/>
              <w:jc w:val="right"/>
              <w:rPr>
                <w:lang w:val="fr-FR"/>
              </w:rPr>
            </w:pPr>
            <w:r w:rsidRPr="0076466C">
              <w:rPr>
                <w:lang w:val="fr-FR"/>
              </w:rPr>
              <w:t>6 676,5</w:t>
            </w:r>
          </w:p>
        </w:tc>
        <w:tc>
          <w:tcPr>
            <w:tcW w:w="1459" w:type="dxa"/>
            <w:shd w:val="clear" w:color="auto" w:fill="DBE5F1" w:themeFill="accent1" w:themeFillTint="33"/>
            <w:vAlign w:val="bottom"/>
            <w:hideMark/>
          </w:tcPr>
          <w:p w14:paraId="5572823C" w14:textId="32369D37" w:rsidR="00A34099" w:rsidRPr="0076466C" w:rsidRDefault="00A34099" w:rsidP="00D9231C">
            <w:pPr>
              <w:pStyle w:val="Tabletext"/>
              <w:jc w:val="right"/>
              <w:rPr>
                <w:lang w:val="fr-FR"/>
              </w:rPr>
            </w:pPr>
            <w:r w:rsidRPr="0076466C">
              <w:rPr>
                <w:color w:val="000000"/>
                <w:szCs w:val="22"/>
                <w:lang w:val="fr-FR"/>
              </w:rPr>
              <w:t>33</w:t>
            </w:r>
            <w:r w:rsidR="00D9231C" w:rsidRPr="0076466C">
              <w:rPr>
                <w:color w:val="000000"/>
                <w:szCs w:val="22"/>
                <w:lang w:val="fr-FR"/>
              </w:rPr>
              <w:t xml:space="preserve"> </w:t>
            </w:r>
            <w:r w:rsidRPr="0076466C">
              <w:rPr>
                <w:color w:val="000000"/>
                <w:szCs w:val="22"/>
                <w:lang w:val="fr-FR"/>
              </w:rPr>
              <w:t>528</w:t>
            </w:r>
            <w:r w:rsidR="00D9231C" w:rsidRPr="0076466C">
              <w:rPr>
                <w:color w:val="000000"/>
                <w:szCs w:val="22"/>
                <w:lang w:val="fr-FR"/>
              </w:rPr>
              <w:t>,</w:t>
            </w:r>
            <w:r w:rsidRPr="0076466C">
              <w:rPr>
                <w:color w:val="000000"/>
                <w:szCs w:val="22"/>
                <w:lang w:val="fr-FR"/>
              </w:rPr>
              <w:t>9</w:t>
            </w:r>
          </w:p>
        </w:tc>
      </w:tr>
      <w:tr w:rsidR="00A34099" w:rsidRPr="00A34099" w14:paraId="71A7A834" w14:textId="77777777" w:rsidTr="00D9231C">
        <w:trPr>
          <w:trHeight w:val="54"/>
          <w:jc w:val="center"/>
        </w:trPr>
        <w:tc>
          <w:tcPr>
            <w:tcW w:w="1132" w:type="dxa"/>
            <w:shd w:val="clear" w:color="auto" w:fill="DBE5F1" w:themeFill="accent1" w:themeFillTint="33"/>
            <w:noWrap/>
            <w:vAlign w:val="center"/>
            <w:hideMark/>
          </w:tcPr>
          <w:p w14:paraId="4E39B363" w14:textId="77777777" w:rsidR="00A34099" w:rsidRPr="0076466C" w:rsidRDefault="00A34099" w:rsidP="00A34099">
            <w:pPr>
              <w:pStyle w:val="Tabletext"/>
              <w:rPr>
                <w:b/>
                <w:bCs/>
                <w:lang w:val="fr-FR"/>
              </w:rPr>
            </w:pPr>
            <w:r w:rsidRPr="0076466C">
              <w:rPr>
                <w:b/>
                <w:bCs/>
                <w:lang w:val="fr-FR"/>
              </w:rPr>
              <w:t>Total</w:t>
            </w:r>
          </w:p>
        </w:tc>
        <w:tc>
          <w:tcPr>
            <w:tcW w:w="1170" w:type="dxa"/>
            <w:shd w:val="clear" w:color="auto" w:fill="DBE5F1" w:themeFill="accent1" w:themeFillTint="33"/>
            <w:noWrap/>
            <w:vAlign w:val="bottom"/>
            <w:hideMark/>
          </w:tcPr>
          <w:p w14:paraId="16A3BF33" w14:textId="77777777" w:rsidR="00A34099" w:rsidRPr="0076466C" w:rsidRDefault="00A34099" w:rsidP="00D9231C">
            <w:pPr>
              <w:pStyle w:val="Tabletext"/>
              <w:jc w:val="center"/>
              <w:rPr>
                <w:b/>
                <w:bCs/>
                <w:lang w:val="fr-FR"/>
              </w:rPr>
            </w:pPr>
            <w:r w:rsidRPr="0076466C">
              <w:rPr>
                <w:b/>
                <w:bCs/>
                <w:lang w:val="fr-FR"/>
              </w:rPr>
              <w:t>105</w:t>
            </w:r>
          </w:p>
        </w:tc>
        <w:tc>
          <w:tcPr>
            <w:tcW w:w="1449" w:type="dxa"/>
            <w:shd w:val="clear" w:color="auto" w:fill="DBE5F1" w:themeFill="accent1" w:themeFillTint="33"/>
            <w:noWrap/>
            <w:vAlign w:val="bottom"/>
            <w:hideMark/>
          </w:tcPr>
          <w:p w14:paraId="22EAC006" w14:textId="77777777" w:rsidR="00A34099" w:rsidRPr="0076466C" w:rsidRDefault="00A34099" w:rsidP="00D9231C">
            <w:pPr>
              <w:pStyle w:val="Tabletext"/>
              <w:jc w:val="right"/>
              <w:rPr>
                <w:b/>
                <w:bCs/>
                <w:lang w:val="fr-FR"/>
              </w:rPr>
            </w:pPr>
            <w:r w:rsidRPr="0076466C">
              <w:rPr>
                <w:b/>
                <w:bCs/>
                <w:lang w:val="fr-FR"/>
              </w:rPr>
              <w:t>80 034,7</w:t>
            </w:r>
          </w:p>
        </w:tc>
        <w:tc>
          <w:tcPr>
            <w:tcW w:w="1169" w:type="dxa"/>
            <w:shd w:val="clear" w:color="auto" w:fill="DBE5F1" w:themeFill="accent1" w:themeFillTint="33"/>
            <w:noWrap/>
            <w:vAlign w:val="bottom"/>
            <w:hideMark/>
          </w:tcPr>
          <w:p w14:paraId="22D57E5F" w14:textId="77777777" w:rsidR="00A34099" w:rsidRPr="0076466C" w:rsidRDefault="00A34099" w:rsidP="00D9231C">
            <w:pPr>
              <w:pStyle w:val="Tabletext"/>
              <w:jc w:val="right"/>
              <w:rPr>
                <w:b/>
                <w:bCs/>
                <w:lang w:val="fr-FR"/>
              </w:rPr>
            </w:pPr>
            <w:r w:rsidRPr="0076466C">
              <w:rPr>
                <w:b/>
                <w:bCs/>
                <w:lang w:val="fr-FR"/>
              </w:rPr>
              <w:t>10 425,3</w:t>
            </w:r>
          </w:p>
        </w:tc>
        <w:tc>
          <w:tcPr>
            <w:tcW w:w="1459" w:type="dxa"/>
            <w:shd w:val="clear" w:color="auto" w:fill="DBE5F1" w:themeFill="accent1" w:themeFillTint="33"/>
            <w:noWrap/>
            <w:vAlign w:val="bottom"/>
            <w:hideMark/>
          </w:tcPr>
          <w:p w14:paraId="735DD455" w14:textId="6F15EE7F" w:rsidR="00A34099" w:rsidRPr="0076466C" w:rsidRDefault="00A34099" w:rsidP="00D9231C">
            <w:pPr>
              <w:pStyle w:val="Tabletext"/>
              <w:jc w:val="right"/>
              <w:rPr>
                <w:b/>
                <w:bCs/>
                <w:lang w:val="fr-FR"/>
              </w:rPr>
            </w:pPr>
            <w:r w:rsidRPr="0076466C">
              <w:rPr>
                <w:b/>
                <w:bCs/>
                <w:color w:val="000000"/>
                <w:szCs w:val="22"/>
                <w:lang w:val="fr-FR"/>
              </w:rPr>
              <w:t>90</w:t>
            </w:r>
            <w:r w:rsidR="00D9231C" w:rsidRPr="0076466C">
              <w:rPr>
                <w:b/>
                <w:bCs/>
                <w:color w:val="000000"/>
                <w:szCs w:val="22"/>
                <w:lang w:val="fr-FR"/>
              </w:rPr>
              <w:t xml:space="preserve"> </w:t>
            </w:r>
            <w:r w:rsidRPr="0076466C">
              <w:rPr>
                <w:b/>
                <w:bCs/>
                <w:color w:val="000000"/>
                <w:szCs w:val="22"/>
                <w:lang w:val="fr-FR"/>
              </w:rPr>
              <w:t>460</w:t>
            </w:r>
            <w:r w:rsidR="00D9231C" w:rsidRPr="0076466C">
              <w:rPr>
                <w:b/>
                <w:bCs/>
                <w:color w:val="000000"/>
                <w:szCs w:val="22"/>
                <w:lang w:val="fr-FR"/>
              </w:rPr>
              <w:t>,</w:t>
            </w:r>
            <w:r w:rsidRPr="0076466C">
              <w:rPr>
                <w:b/>
                <w:bCs/>
                <w:color w:val="000000"/>
                <w:szCs w:val="22"/>
                <w:lang w:val="fr-FR"/>
              </w:rPr>
              <w:t>0</w:t>
            </w:r>
          </w:p>
        </w:tc>
      </w:tr>
    </w:tbl>
    <w:p w14:paraId="47ECBF50" w14:textId="221A55DE" w:rsidR="00A34099" w:rsidRPr="0076466C" w:rsidRDefault="00A34099" w:rsidP="00D9231C">
      <w:pPr>
        <w:pStyle w:val="Tablelegend"/>
        <w:tabs>
          <w:tab w:val="clear" w:pos="284"/>
          <w:tab w:val="clear" w:pos="567"/>
          <w:tab w:val="clear" w:pos="851"/>
          <w:tab w:val="clear" w:pos="1134"/>
          <w:tab w:val="clear" w:pos="1418"/>
        </w:tabs>
        <w:rPr>
          <w:lang w:val="fr-FR"/>
        </w:rPr>
      </w:pPr>
      <w:r w:rsidRPr="0076466C">
        <w:rPr>
          <w:lang w:val="fr-FR"/>
        </w:rPr>
        <w:tab/>
        <w:t>(*) Projets multirégionaux dont bénéficient toutes les régions</w:t>
      </w:r>
      <w:r w:rsidR="00643866" w:rsidRPr="0076466C">
        <w:rPr>
          <w:lang w:val="fr-FR"/>
        </w:rPr>
        <w:t>.</w:t>
      </w:r>
    </w:p>
    <w:p w14:paraId="6074339B" w14:textId="1F1241ED" w:rsidR="00A34099" w:rsidRPr="0076466C" w:rsidRDefault="00A34099" w:rsidP="00A34099">
      <w:pPr>
        <w:pStyle w:val="Heading2"/>
        <w:rPr>
          <w:lang w:val="fr-FR"/>
        </w:rPr>
      </w:pPr>
      <w:r w:rsidRPr="0076466C">
        <w:rPr>
          <w:lang w:val="fr-FR"/>
        </w:rPr>
        <w:lastRenderedPageBreak/>
        <w:t>2.2</w:t>
      </w:r>
      <w:r w:rsidRPr="0076466C">
        <w:rPr>
          <w:lang w:val="fr-FR"/>
        </w:rPr>
        <w:tab/>
      </w:r>
      <w:r w:rsidRPr="0076466C">
        <w:rPr>
          <w:lang w:val="fr-FR"/>
        </w:rPr>
        <w:t>Projets signés pendant la période considérée</w:t>
      </w:r>
    </w:p>
    <w:p w14:paraId="64ECAF74" w14:textId="54A0FA32" w:rsidR="00A34099" w:rsidRPr="00A34099" w:rsidRDefault="00A34099" w:rsidP="00A34099">
      <w:pPr>
        <w:rPr>
          <w:lang w:val="fr-FR"/>
        </w:rPr>
      </w:pPr>
      <w:r w:rsidRPr="00A34099">
        <w:rPr>
          <w:lang w:val="fr-FR"/>
        </w:rPr>
        <w:t>En 2024, le BDT a signé, au total, 37 nouveaux projets, pour un montant de 28,6 millions CHF</w:t>
      </w:r>
      <w:r w:rsidRPr="00A34099">
        <w:rPr>
          <w:rStyle w:val="FootnoteReference"/>
          <w:lang w:val="fr-FR"/>
        </w:rPr>
        <w:footnoteReference w:id="2"/>
      </w:r>
      <w:r w:rsidRPr="00A34099">
        <w:rPr>
          <w:lang w:val="fr-FR"/>
        </w:rPr>
        <w:t>. Les chiffres ci-dessous représentent les montants le plus élevés collectés au titre des projets depuis 10 ans, confirmant la tendance positive des efforts déployés par le BDT pour mobiliser des fonds extrabudgétaires à l</w:t>
      </w:r>
      <w:r w:rsidR="00D9231C" w:rsidRPr="0076466C">
        <w:rPr>
          <w:lang w:val="fr-FR"/>
        </w:rPr>
        <w:t>'</w:t>
      </w:r>
      <w:r w:rsidRPr="00A34099">
        <w:rPr>
          <w:lang w:val="fr-FR"/>
        </w:rPr>
        <w:t>appui des projets (voir la Figure 2). On trouvera la liste des accords correspondants dans le Document INF/1.</w:t>
      </w:r>
    </w:p>
    <w:p w14:paraId="7E098413" w14:textId="7BF08E73" w:rsidR="00A34099" w:rsidRPr="0076466C" w:rsidRDefault="00A34099" w:rsidP="00A34099">
      <w:pPr>
        <w:pStyle w:val="Figuretitle"/>
        <w:spacing w:before="240" w:after="240"/>
        <w:rPr>
          <w:lang w:val="fr-FR"/>
        </w:rPr>
      </w:pPr>
      <w:r w:rsidRPr="0076466C">
        <w:rPr>
          <w:lang w:val="fr-FR"/>
        </w:rPr>
        <w:t>Figure 2</w:t>
      </w:r>
      <w:r w:rsidR="00D64217" w:rsidRPr="0076466C">
        <w:rPr>
          <w:lang w:val="fr-FR"/>
        </w:rPr>
        <w:t xml:space="preserve"> – N</w:t>
      </w:r>
      <w:r w:rsidRPr="0076466C">
        <w:rPr>
          <w:lang w:val="fr-FR"/>
        </w:rPr>
        <w:t>ouveaux projets signés par l'UIT (2014-2024)</w:t>
      </w:r>
    </w:p>
    <w:p w14:paraId="4E1CDA4B" w14:textId="07BBDA0B" w:rsidR="00A34099" w:rsidRPr="00A34099" w:rsidRDefault="00D64217" w:rsidP="00A34099">
      <w:pPr>
        <w:rPr>
          <w:lang w:val="fr-FR"/>
        </w:rPr>
      </w:pPr>
      <w:r w:rsidRPr="0076466C">
        <w:rPr>
          <w:noProof/>
          <w:lang w:val="fr-FR"/>
        </w:rPr>
        <mc:AlternateContent>
          <mc:Choice Requires="wps">
            <w:drawing>
              <wp:anchor distT="0" distB="0" distL="114300" distR="114300" simplePos="0" relativeHeight="251661312" behindDoc="0" locked="0" layoutInCell="1" allowOverlap="1" wp14:anchorId="21ADBA0E" wp14:editId="2AE2633C">
                <wp:simplePos x="0" y="0"/>
                <wp:positionH relativeFrom="column">
                  <wp:posOffset>2315893</wp:posOffset>
                </wp:positionH>
                <wp:positionV relativeFrom="paragraph">
                  <wp:posOffset>2098327</wp:posOffset>
                </wp:positionV>
                <wp:extent cx="2053087" cy="336430"/>
                <wp:effectExtent l="0" t="0" r="4445" b="6985"/>
                <wp:wrapNone/>
                <wp:docPr id="150086540" name="Text Box 1"/>
                <wp:cNvGraphicFramePr/>
                <a:graphic xmlns:a="http://schemas.openxmlformats.org/drawingml/2006/main">
                  <a:graphicData uri="http://schemas.microsoft.com/office/word/2010/wordprocessingShape">
                    <wps:wsp>
                      <wps:cNvSpPr txBox="1"/>
                      <wps:spPr>
                        <a:xfrm>
                          <a:off x="0" y="0"/>
                          <a:ext cx="2053087" cy="336430"/>
                        </a:xfrm>
                        <a:prstGeom prst="rect">
                          <a:avLst/>
                        </a:prstGeom>
                        <a:solidFill>
                          <a:schemeClr val="lt1"/>
                        </a:solidFill>
                        <a:ln w="6350">
                          <a:noFill/>
                        </a:ln>
                      </wps:spPr>
                      <wps:txbx>
                        <w:txbxContent>
                          <w:p w14:paraId="4B8F8134" w14:textId="5397F261" w:rsidR="00D64217" w:rsidRPr="00D64217" w:rsidRDefault="00D64217" w:rsidP="00D64217">
                            <w:pPr>
                              <w:spacing w:before="0"/>
                              <w:rPr>
                                <w:sz w:val="18"/>
                                <w:szCs w:val="18"/>
                                <w:lang w:val="fr-FR"/>
                              </w:rPr>
                            </w:pPr>
                            <w:r w:rsidRPr="00A34099">
                              <w:rPr>
                                <w:sz w:val="18"/>
                                <w:szCs w:val="18"/>
                                <w:lang w:val="fr-FR"/>
                              </w:rPr>
                              <w:t>Montant total des financements convenus pour les projets signés (en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DBA0E" id="_x0000_t202" coordsize="21600,21600" o:spt="202" path="m,l,21600r21600,l21600,xe">
                <v:stroke joinstyle="miter"/>
                <v:path gradientshapeok="t" o:connecttype="rect"/>
              </v:shapetype>
              <v:shape id="Text Box 1" o:spid="_x0000_s1026" type="#_x0000_t202" style="position:absolute;margin-left:182.35pt;margin-top:165.2pt;width:161.6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" fillcolor="white [3201]" stroked="f" strokeweight=".5pt">
                <v:textbox inset="0,0,0,0">
                  <w:txbxContent>
                    <w:p w14:paraId="4B8F8134" w14:textId="5397F261" w:rsidR="00D64217" w:rsidRPr="00D64217" w:rsidRDefault="00D64217" w:rsidP="00D64217">
                      <w:pPr>
                        <w:spacing w:before="0"/>
                        <w:rPr>
                          <w:sz w:val="18"/>
                          <w:szCs w:val="18"/>
                          <w:lang w:val="fr-FR"/>
                        </w:rPr>
                      </w:pPr>
                      <w:r w:rsidRPr="00A34099">
                        <w:rPr>
                          <w:sz w:val="18"/>
                          <w:szCs w:val="18"/>
                          <w:lang w:val="fr-FR"/>
                        </w:rPr>
                        <w:t>Montant total des financements convenus pour les projets signés (en CHF)</w:t>
                      </w:r>
                    </w:p>
                  </w:txbxContent>
                </v:textbox>
              </v:shape>
            </w:pict>
          </mc:Fallback>
        </mc:AlternateContent>
      </w:r>
      <w:r w:rsidRPr="0076466C">
        <w:rPr>
          <w:noProof/>
          <w:lang w:val="fr-FR"/>
        </w:rPr>
        <mc:AlternateContent>
          <mc:Choice Requires="wps">
            <w:drawing>
              <wp:anchor distT="0" distB="0" distL="114300" distR="114300" simplePos="0" relativeHeight="251659264" behindDoc="0" locked="0" layoutInCell="1" allowOverlap="1" wp14:anchorId="5449303F" wp14:editId="75BB9989">
                <wp:simplePos x="0" y="0"/>
                <wp:positionH relativeFrom="column">
                  <wp:posOffset>-133984</wp:posOffset>
                </wp:positionH>
                <wp:positionV relativeFrom="paragraph">
                  <wp:posOffset>363544</wp:posOffset>
                </wp:positionV>
                <wp:extent cx="672860" cy="202577"/>
                <wp:effectExtent l="6350" t="0" r="635" b="635"/>
                <wp:wrapNone/>
                <wp:docPr id="529352867" name="Text Box 1"/>
                <wp:cNvGraphicFramePr/>
                <a:graphic xmlns:a="http://schemas.openxmlformats.org/drawingml/2006/main">
                  <a:graphicData uri="http://schemas.microsoft.com/office/word/2010/wordprocessingShape">
                    <wps:wsp>
                      <wps:cNvSpPr txBox="1"/>
                      <wps:spPr>
                        <a:xfrm rot="16200000">
                          <a:off x="0" y="0"/>
                          <a:ext cx="672860" cy="202577"/>
                        </a:xfrm>
                        <a:prstGeom prst="rect">
                          <a:avLst/>
                        </a:prstGeom>
                        <a:solidFill>
                          <a:schemeClr val="lt1"/>
                        </a:solidFill>
                        <a:ln w="6350">
                          <a:noFill/>
                        </a:ln>
                      </wps:spPr>
                      <wps:txbx>
                        <w:txbxContent>
                          <w:p w14:paraId="7F844B2F" w14:textId="4985E29C" w:rsidR="00D64217" w:rsidRPr="00D64217" w:rsidRDefault="00D64217" w:rsidP="00D64217">
                            <w:pPr>
                              <w:spacing w:before="0"/>
                              <w:rPr>
                                <w:sz w:val="18"/>
                                <w:szCs w:val="18"/>
                              </w:rPr>
                            </w:pPr>
                            <w:r w:rsidRPr="00A34099">
                              <w:rPr>
                                <w:sz w:val="18"/>
                                <w:szCs w:val="18"/>
                                <w:lang w:val="fr-FR"/>
                              </w:rPr>
                              <w:t>Millions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49303F" id="_x0000_s1027" type="#_x0000_t202" style="position:absolute;margin-left:-10.55pt;margin-top:28.65pt;width:53pt;height:15.9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" fillcolor="white [3201]" stroked="f" strokeweight=".5pt">
                <v:textbox inset="0,0,0,0">
                  <w:txbxContent>
                    <w:p w14:paraId="7F844B2F" w14:textId="4985E29C" w:rsidR="00D64217" w:rsidRPr="00D64217" w:rsidRDefault="00D64217" w:rsidP="00D64217">
                      <w:pPr>
                        <w:spacing w:before="0"/>
                        <w:rPr>
                          <w:sz w:val="18"/>
                          <w:szCs w:val="18"/>
                        </w:rPr>
                      </w:pPr>
                      <w:r w:rsidRPr="00A34099">
                        <w:rPr>
                          <w:sz w:val="18"/>
                          <w:szCs w:val="18"/>
                          <w:lang w:val="fr-FR"/>
                        </w:rPr>
                        <w:t>Millions CHF</w:t>
                      </w:r>
                    </w:p>
                  </w:txbxContent>
                </v:textbox>
              </v:shape>
            </w:pict>
          </mc:Fallback>
        </mc:AlternateContent>
      </w:r>
      <w:r w:rsidR="00A34099" w:rsidRPr="00A34099">
        <w:rPr>
          <w:lang w:val="fr-FR"/>
        </w:rPr>
        <w:drawing>
          <wp:inline distT="0" distB="0" distL="0" distR="0" wp14:anchorId="338D9CCC" wp14:editId="5AC5007F">
            <wp:extent cx="6120765" cy="2385060"/>
            <wp:effectExtent l="0" t="0" r="0" b="0"/>
            <wp:docPr id="710073757"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8FC54" w14:textId="70240CC1" w:rsidR="00A34099" w:rsidRPr="00A34099" w:rsidRDefault="00A34099" w:rsidP="00C030BD">
      <w:pPr>
        <w:spacing w:before="240"/>
        <w:rPr>
          <w:lang w:val="fr-FR"/>
        </w:rPr>
      </w:pPr>
      <w:r w:rsidRPr="00A34099">
        <w:rPr>
          <w:lang w:val="fr-FR"/>
        </w:rPr>
        <w:t>Ces nouveaux projets sont de nature multirégionale, régionale et nationale et couvrent l</w:t>
      </w:r>
      <w:r w:rsidR="00D9231C" w:rsidRPr="0076466C">
        <w:rPr>
          <w:lang w:val="fr-FR"/>
        </w:rPr>
        <w:t>'</w:t>
      </w:r>
      <w:r w:rsidRPr="00A34099">
        <w:rPr>
          <w:lang w:val="fr-FR"/>
        </w:rPr>
        <w:t>ensemble des priorités de l</w:t>
      </w:r>
      <w:r w:rsidR="00D9231C" w:rsidRPr="0076466C">
        <w:rPr>
          <w:lang w:val="fr-FR"/>
        </w:rPr>
        <w:t>'</w:t>
      </w:r>
      <w:r w:rsidRPr="00A34099">
        <w:rPr>
          <w:lang w:val="fr-FR"/>
        </w:rPr>
        <w:t>UIT-D définies dans le Plan d</w:t>
      </w:r>
      <w:r w:rsidR="00D9231C" w:rsidRPr="0076466C">
        <w:rPr>
          <w:lang w:val="fr-FR"/>
        </w:rPr>
        <w:t>'</w:t>
      </w:r>
      <w:r w:rsidRPr="00A34099">
        <w:rPr>
          <w:lang w:val="fr-FR"/>
        </w:rPr>
        <w:t>action de Kigali de la CMDT-22. S'agissant des sources de financement, 92% du financement de ces nouveaux projets provient des fonds extrabudgétaires mobilisés par le BDT auprès de tiers, tandis que les 8% restants proviennent de fonds d'amorçage alloués par l'UIT. La Figure 3 est un diagramme montrant le pourcentage des fonds extrabudgétaires et des fonds de l'UIT contribuant au budget des projets.</w:t>
      </w:r>
    </w:p>
    <w:p w14:paraId="6955098A" w14:textId="666EAAEE" w:rsidR="00A34099" w:rsidRPr="0076466C" w:rsidRDefault="00A34099" w:rsidP="00A34099">
      <w:pPr>
        <w:pStyle w:val="Figuretitle"/>
        <w:spacing w:before="240" w:after="240"/>
        <w:rPr>
          <w:lang w:val="fr-FR"/>
        </w:rPr>
      </w:pPr>
      <w:r w:rsidRPr="0076466C">
        <w:rPr>
          <w:lang w:val="fr-FR"/>
        </w:rPr>
        <w:t>Figure 3</w:t>
      </w:r>
      <w:r w:rsidR="00C030BD" w:rsidRPr="0076466C">
        <w:rPr>
          <w:lang w:val="fr-FR"/>
        </w:rPr>
        <w:t xml:space="preserve"> – S</w:t>
      </w:r>
      <w:r w:rsidRPr="0076466C">
        <w:rPr>
          <w:lang w:val="fr-FR"/>
        </w:rPr>
        <w:t>ources de financement des projets de l'UIT (nouveaux projets signés en 2024)</w:t>
      </w:r>
    </w:p>
    <w:p w14:paraId="7E5BE9F7" w14:textId="06B3F7D7" w:rsidR="00A34099" w:rsidRPr="00A34099" w:rsidRDefault="00C030BD" w:rsidP="00A34099">
      <w:pPr>
        <w:rPr>
          <w:lang w:val="fr-FR"/>
        </w:rPr>
      </w:pPr>
      <w:r w:rsidRPr="0076466C">
        <w:rPr>
          <w:noProof/>
          <w:lang w:val="fr-FR"/>
        </w:rPr>
        <mc:AlternateContent>
          <mc:Choice Requires="wps">
            <w:drawing>
              <wp:anchor distT="0" distB="0" distL="114300" distR="114300" simplePos="0" relativeHeight="251665408" behindDoc="0" locked="0" layoutInCell="1" allowOverlap="1" wp14:anchorId="413796B2" wp14:editId="5624336C">
                <wp:simplePos x="0" y="0"/>
                <wp:positionH relativeFrom="column">
                  <wp:posOffset>3437411</wp:posOffset>
                </wp:positionH>
                <wp:positionV relativeFrom="paragraph">
                  <wp:posOffset>1093806</wp:posOffset>
                </wp:positionV>
                <wp:extent cx="1699404" cy="336430"/>
                <wp:effectExtent l="0" t="0" r="0" b="6985"/>
                <wp:wrapNone/>
                <wp:docPr id="301255188" name="Text Box 1"/>
                <wp:cNvGraphicFramePr/>
                <a:graphic xmlns:a="http://schemas.openxmlformats.org/drawingml/2006/main">
                  <a:graphicData uri="http://schemas.microsoft.com/office/word/2010/wordprocessingShape">
                    <wps:wsp>
                      <wps:cNvSpPr txBox="1"/>
                      <wps:spPr>
                        <a:xfrm>
                          <a:off x="0" y="0"/>
                          <a:ext cx="1699404" cy="336430"/>
                        </a:xfrm>
                        <a:prstGeom prst="rect">
                          <a:avLst/>
                        </a:prstGeom>
                        <a:solidFill>
                          <a:schemeClr val="lt1"/>
                        </a:solidFill>
                        <a:ln w="6350">
                          <a:noFill/>
                        </a:ln>
                      </wps:spPr>
                      <wps:txbx>
                        <w:txbxContent>
                          <w:p w14:paraId="3905D6F3" w14:textId="794F62D7" w:rsidR="00C030BD" w:rsidRPr="00D64217" w:rsidRDefault="00C030BD" w:rsidP="00C030BD">
                            <w:pPr>
                              <w:spacing w:before="0"/>
                              <w:rPr>
                                <w:sz w:val="18"/>
                                <w:szCs w:val="18"/>
                                <w:lang w:val="fr-FR"/>
                              </w:rPr>
                            </w:pPr>
                            <w:r w:rsidRPr="00A34099">
                              <w:rPr>
                                <w:sz w:val="18"/>
                                <w:szCs w:val="18"/>
                                <w:lang w:val="fr-FR"/>
                              </w:rPr>
                              <w:t>Fonds de l</w:t>
                            </w:r>
                            <w:r w:rsidRPr="00C030BD">
                              <w:rPr>
                                <w:sz w:val="18"/>
                                <w:szCs w:val="18"/>
                                <w:lang w:val="fr-FR"/>
                              </w:rPr>
                              <w:t>'</w:t>
                            </w:r>
                            <w:r w:rsidRPr="00A34099">
                              <w:rPr>
                                <w:sz w:val="18"/>
                                <w:szCs w:val="18"/>
                                <w:lang w:val="fr-FR"/>
                              </w:rPr>
                              <w:t>UIT (FDTIC et fonds à l</w:t>
                            </w:r>
                            <w:r w:rsidRPr="00C030BD">
                              <w:rPr>
                                <w:sz w:val="18"/>
                                <w:szCs w:val="18"/>
                                <w:lang w:val="fr-FR"/>
                              </w:rPr>
                              <w:t>'</w:t>
                            </w:r>
                            <w:r w:rsidRPr="00A34099">
                              <w:rPr>
                                <w:sz w:val="18"/>
                                <w:szCs w:val="18"/>
                                <w:lang w:val="fr-FR"/>
                              </w:rPr>
                              <w:t>appui des initiatives régionales)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96B2" id="_x0000_s1028" type="#_x0000_t202" style="position:absolute;margin-left:270.65pt;margin-top:86.15pt;width:133.8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" fillcolor="white [3201]" stroked="f" strokeweight=".5pt">
                <v:textbox inset="0,0,0,0">
                  <w:txbxContent>
                    <w:p w14:paraId="3905D6F3" w14:textId="794F62D7" w:rsidR="00C030BD" w:rsidRPr="00D64217" w:rsidRDefault="00C030BD" w:rsidP="00C030BD">
                      <w:pPr>
                        <w:spacing w:before="0"/>
                        <w:rPr>
                          <w:sz w:val="18"/>
                          <w:szCs w:val="18"/>
                          <w:lang w:val="fr-FR"/>
                        </w:rPr>
                      </w:pPr>
                      <w:r w:rsidRPr="00A34099">
                        <w:rPr>
                          <w:sz w:val="18"/>
                          <w:szCs w:val="18"/>
                          <w:lang w:val="fr-FR"/>
                        </w:rPr>
                        <w:t>Fonds de l</w:t>
                      </w:r>
                      <w:r w:rsidRPr="00C030BD">
                        <w:rPr>
                          <w:sz w:val="18"/>
                          <w:szCs w:val="18"/>
                          <w:lang w:val="fr-FR"/>
                        </w:rPr>
                        <w:t>'</w:t>
                      </w:r>
                      <w:r w:rsidRPr="00A34099">
                        <w:rPr>
                          <w:sz w:val="18"/>
                          <w:szCs w:val="18"/>
                          <w:lang w:val="fr-FR"/>
                        </w:rPr>
                        <w:t>UIT (FDTIC et fonds à l</w:t>
                      </w:r>
                      <w:r w:rsidRPr="00C030BD">
                        <w:rPr>
                          <w:sz w:val="18"/>
                          <w:szCs w:val="18"/>
                          <w:lang w:val="fr-FR"/>
                        </w:rPr>
                        <w:t>'</w:t>
                      </w:r>
                      <w:r w:rsidRPr="00A34099">
                        <w:rPr>
                          <w:sz w:val="18"/>
                          <w:szCs w:val="18"/>
                          <w:lang w:val="fr-FR"/>
                        </w:rPr>
                        <w:t>appui des initiatives régionales)</w:t>
                      </w:r>
                    </w:p>
                  </w:txbxContent>
                </v:textbox>
              </v:shape>
            </w:pict>
          </mc:Fallback>
        </mc:AlternateContent>
      </w:r>
      <w:r w:rsidRPr="0076466C">
        <w:rPr>
          <w:noProof/>
          <w:lang w:val="fr-FR"/>
        </w:rPr>
        <mc:AlternateContent>
          <mc:Choice Requires="wps">
            <w:drawing>
              <wp:anchor distT="0" distB="0" distL="114300" distR="114300" simplePos="0" relativeHeight="251663360" behindDoc="0" locked="0" layoutInCell="1" allowOverlap="1" wp14:anchorId="77D29C46" wp14:editId="25CE3324">
                <wp:simplePos x="0" y="0"/>
                <wp:positionH relativeFrom="column">
                  <wp:posOffset>3438130</wp:posOffset>
                </wp:positionH>
                <wp:positionV relativeFrom="paragraph">
                  <wp:posOffset>775107</wp:posOffset>
                </wp:positionV>
                <wp:extent cx="1371600" cy="198407"/>
                <wp:effectExtent l="0" t="0" r="0" b="0"/>
                <wp:wrapNone/>
                <wp:docPr id="1661418364" name="Text Box 1"/>
                <wp:cNvGraphicFramePr/>
                <a:graphic xmlns:a="http://schemas.openxmlformats.org/drawingml/2006/main">
                  <a:graphicData uri="http://schemas.microsoft.com/office/word/2010/wordprocessingShape">
                    <wps:wsp>
                      <wps:cNvSpPr txBox="1"/>
                      <wps:spPr>
                        <a:xfrm>
                          <a:off x="0" y="0"/>
                          <a:ext cx="1371600" cy="198407"/>
                        </a:xfrm>
                        <a:prstGeom prst="rect">
                          <a:avLst/>
                        </a:prstGeom>
                        <a:solidFill>
                          <a:schemeClr val="lt1"/>
                        </a:solidFill>
                        <a:ln w="6350">
                          <a:noFill/>
                        </a:ln>
                      </wps:spPr>
                      <wps:txbx>
                        <w:txbxContent>
                          <w:p w14:paraId="5438CA80" w14:textId="04B37245" w:rsidR="00C030BD" w:rsidRPr="00D64217" w:rsidRDefault="00C030BD" w:rsidP="00C030BD">
                            <w:pPr>
                              <w:spacing w:before="0"/>
                              <w:rPr>
                                <w:sz w:val="18"/>
                                <w:szCs w:val="18"/>
                                <w:lang w:val="fr-FR"/>
                              </w:rPr>
                            </w:pPr>
                            <w:r w:rsidRPr="00A34099">
                              <w:rPr>
                                <w:sz w:val="18"/>
                                <w:szCs w:val="18"/>
                                <w:lang w:val="fr-FR"/>
                              </w:rPr>
                              <w:t>Fonds extrabudgétaires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C46" id="_x0000_s1029" type="#_x0000_t202" style="position:absolute;margin-left:270.7pt;margin-top:61.05pt;width:10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" fillcolor="white [3201]" stroked="f" strokeweight=".5pt">
                <v:textbox inset="0,0,0,0">
                  <w:txbxContent>
                    <w:p w14:paraId="5438CA80" w14:textId="04B37245" w:rsidR="00C030BD" w:rsidRPr="00D64217" w:rsidRDefault="00C030BD" w:rsidP="00C030BD">
                      <w:pPr>
                        <w:spacing w:before="0"/>
                        <w:rPr>
                          <w:sz w:val="18"/>
                          <w:szCs w:val="18"/>
                          <w:lang w:val="fr-FR"/>
                        </w:rPr>
                      </w:pPr>
                      <w:r w:rsidRPr="00A34099">
                        <w:rPr>
                          <w:sz w:val="18"/>
                          <w:szCs w:val="18"/>
                          <w:lang w:val="fr-FR"/>
                        </w:rPr>
                        <w:t>Fonds extrabudgétaires</w:t>
                      </w:r>
                    </w:p>
                  </w:txbxContent>
                </v:textbox>
              </v:shape>
            </w:pict>
          </mc:Fallback>
        </mc:AlternateContent>
      </w:r>
      <w:r w:rsidR="00A34099" w:rsidRPr="00A34099">
        <w:rPr>
          <w:lang w:val="fr-FR"/>
        </w:rPr>
        <w:t xml:space="preserve"> </w:t>
      </w:r>
      <w:r w:rsidR="00A34099" w:rsidRPr="00A34099">
        <w:rPr>
          <w:lang w:val="fr-FR"/>
        </w:rPr>
        <w:drawing>
          <wp:inline distT="0" distB="0" distL="0" distR="0" wp14:anchorId="52B0DF6D" wp14:editId="667849E3">
            <wp:extent cx="4561840" cy="2218414"/>
            <wp:effectExtent l="0" t="0" r="0" b="0"/>
            <wp:docPr id="847802697"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6E0B2A" w14:textId="3145EBD6" w:rsidR="00A34099" w:rsidRPr="0076466C" w:rsidRDefault="00A34099" w:rsidP="00A34099">
      <w:pPr>
        <w:pStyle w:val="Heading1"/>
        <w:rPr>
          <w:lang w:val="fr-FR"/>
        </w:rPr>
      </w:pPr>
      <w:r w:rsidRPr="0076466C">
        <w:rPr>
          <w:lang w:val="fr-FR"/>
        </w:rPr>
        <w:lastRenderedPageBreak/>
        <w:t>3</w:t>
      </w:r>
      <w:r w:rsidRPr="0076466C">
        <w:rPr>
          <w:lang w:val="fr-FR"/>
        </w:rPr>
        <w:tab/>
      </w:r>
      <w:r w:rsidRPr="0076466C">
        <w:rPr>
          <w:lang w:val="fr-FR"/>
        </w:rPr>
        <w:t>Point sur l'allocation de fonds à l'appui des initiatives régionales approuvées par la CMDT-22</w:t>
      </w:r>
    </w:p>
    <w:p w14:paraId="61AF2B23" w14:textId="282BAA19" w:rsidR="00A34099" w:rsidRPr="00A34099" w:rsidRDefault="00A34099" w:rsidP="00A34099">
      <w:pPr>
        <w:rPr>
          <w:lang w:val="fr-FR"/>
        </w:rPr>
      </w:pPr>
      <w:r w:rsidRPr="00A34099">
        <w:rPr>
          <w:lang w:val="fr-FR"/>
        </w:rPr>
        <w:t>À la session de 2023 du Conseil de l'UIT, les membres de l'Union ont approuvé le transfert d'un montant de 3 millions CHF du Fonds de roulement des expositions (EWCF) vers le compte de capital du Fonds pour le développement des TIC (FDTIC), afin de fournir des capitaux d'amorçage pour le financement des initiatives régionales</w:t>
      </w:r>
      <w:r w:rsidRPr="00A34099">
        <w:rPr>
          <w:rStyle w:val="FootnoteReference"/>
          <w:lang w:val="fr-FR"/>
        </w:rPr>
        <w:footnoteReference w:id="3"/>
      </w:r>
      <w:r w:rsidRPr="00A34099">
        <w:rPr>
          <w:lang w:val="fr-FR"/>
        </w:rPr>
        <w:t>.</w:t>
      </w:r>
    </w:p>
    <w:p w14:paraId="1816D89A" w14:textId="785CC7B3" w:rsidR="00A34099" w:rsidRPr="00A34099" w:rsidRDefault="00A34099" w:rsidP="00A34099">
      <w:pPr>
        <w:rPr>
          <w:lang w:val="fr-FR"/>
        </w:rPr>
      </w:pPr>
      <w:r w:rsidRPr="00A34099">
        <w:rPr>
          <w:lang w:val="fr-FR"/>
        </w:rPr>
        <w:t>En 2024, ces fonds ont permis de signer un total de 13 projets d'un montant estimé à 2</w:t>
      </w:r>
      <w:r w:rsidR="00EC4063" w:rsidRPr="0076466C">
        <w:rPr>
          <w:lang w:val="fr-FR"/>
        </w:rPr>
        <w:t>3,4</w:t>
      </w:r>
      <w:r w:rsidRPr="00A34099">
        <w:rPr>
          <w:lang w:val="fr-FR"/>
        </w:rPr>
        <w:t> millions CHF (compte tenu uniquement des contributions en espèces versées par les partenaires), en utilisant 3,4 millions CHF du FDTIC (voir la Figure 4). Des informations détaillées sur ces projets sont disponibles sur le portail de l'UIT consacré aux projets</w:t>
      </w:r>
      <w:r w:rsidRPr="00A34099">
        <w:rPr>
          <w:rStyle w:val="FootnoteReference"/>
          <w:lang w:val="fr-FR"/>
        </w:rPr>
        <w:footnoteReference w:id="4"/>
      </w:r>
      <w:r w:rsidRPr="00A34099">
        <w:rPr>
          <w:lang w:val="fr-FR"/>
        </w:rPr>
        <w:t>.</w:t>
      </w:r>
    </w:p>
    <w:p w14:paraId="3F803B3A" w14:textId="1CC70130" w:rsidR="00A34099" w:rsidRPr="0076466C" w:rsidRDefault="00A34099" w:rsidP="00A34099">
      <w:pPr>
        <w:pStyle w:val="Figuretitle"/>
        <w:spacing w:before="240" w:after="240"/>
        <w:rPr>
          <w:lang w:val="fr-FR"/>
        </w:rPr>
      </w:pPr>
      <w:r w:rsidRPr="0076466C">
        <w:rPr>
          <w:lang w:val="fr-FR"/>
        </w:rPr>
        <w:t>Figure 4</w:t>
      </w:r>
      <w:r w:rsidR="00EC4063" w:rsidRPr="0076466C">
        <w:rPr>
          <w:lang w:val="fr-FR"/>
        </w:rPr>
        <w:t xml:space="preserve"> – N</w:t>
      </w:r>
      <w:r w:rsidRPr="0076466C">
        <w:rPr>
          <w:lang w:val="fr-FR"/>
        </w:rPr>
        <w:t>ouveaux projets financés par le FDTIC signés en 2024 (en milliers CHF)</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22"/>
        <w:gridCol w:w="2565"/>
        <w:gridCol w:w="1128"/>
        <w:gridCol w:w="1417"/>
        <w:gridCol w:w="993"/>
        <w:gridCol w:w="850"/>
        <w:gridCol w:w="954"/>
        <w:gridCol w:w="1856"/>
      </w:tblGrid>
      <w:tr w:rsidR="00EC4063" w:rsidRPr="0076466C" w14:paraId="53F4B1C9" w14:textId="77777777" w:rsidTr="00ED2C0F">
        <w:trPr>
          <w:trHeight w:val="371"/>
          <w:tblHeader/>
          <w:jc w:val="center"/>
        </w:trPr>
        <w:tc>
          <w:tcPr>
            <w:tcW w:w="1122" w:type="dxa"/>
            <w:shd w:val="clear" w:color="auto" w:fill="BFBFBF" w:themeFill="background1" w:themeFillShade="BF"/>
            <w:noWrap/>
            <w:vAlign w:val="center"/>
            <w:hideMark/>
          </w:tcPr>
          <w:p w14:paraId="356CEB26" w14:textId="2BC51713" w:rsidR="00A34099" w:rsidRPr="0076466C" w:rsidRDefault="00A34099" w:rsidP="00EC4063">
            <w:pPr>
              <w:pStyle w:val="Tablehead"/>
              <w:rPr>
                <w:sz w:val="18"/>
                <w:szCs w:val="18"/>
                <w:lang w:val="fr-FR"/>
              </w:rPr>
            </w:pPr>
            <w:r w:rsidRPr="0076466C">
              <w:rPr>
                <w:sz w:val="18"/>
                <w:szCs w:val="18"/>
                <w:lang w:val="fr-FR"/>
              </w:rPr>
              <w:t>N</w:t>
            </w:r>
            <w:r w:rsidR="00EC4063" w:rsidRPr="0076466C">
              <w:rPr>
                <w:sz w:val="18"/>
                <w:szCs w:val="18"/>
                <w:lang w:val="fr-FR"/>
              </w:rPr>
              <w:t>°</w:t>
            </w:r>
            <w:r w:rsidRPr="0076466C">
              <w:rPr>
                <w:sz w:val="18"/>
                <w:szCs w:val="18"/>
                <w:lang w:val="fr-FR"/>
              </w:rPr>
              <w:t xml:space="preserve"> ID du projet</w:t>
            </w:r>
          </w:p>
        </w:tc>
        <w:tc>
          <w:tcPr>
            <w:tcW w:w="2565" w:type="dxa"/>
            <w:shd w:val="clear" w:color="auto" w:fill="BFBFBF" w:themeFill="background1" w:themeFillShade="BF"/>
            <w:noWrap/>
            <w:vAlign w:val="center"/>
            <w:hideMark/>
          </w:tcPr>
          <w:p w14:paraId="2E85EACC" w14:textId="77777777" w:rsidR="00A34099" w:rsidRPr="0076466C" w:rsidRDefault="00A34099" w:rsidP="00EC4063">
            <w:pPr>
              <w:pStyle w:val="Tablehead"/>
              <w:rPr>
                <w:sz w:val="18"/>
                <w:szCs w:val="18"/>
                <w:lang w:val="fr-FR"/>
              </w:rPr>
            </w:pPr>
            <w:r w:rsidRPr="0076466C">
              <w:rPr>
                <w:sz w:val="18"/>
                <w:szCs w:val="18"/>
                <w:lang w:val="fr-FR"/>
              </w:rPr>
              <w:t>Intitulé du projet</w:t>
            </w:r>
          </w:p>
        </w:tc>
        <w:tc>
          <w:tcPr>
            <w:tcW w:w="1128" w:type="dxa"/>
            <w:shd w:val="clear" w:color="auto" w:fill="BFBFBF" w:themeFill="background1" w:themeFillShade="BF"/>
            <w:noWrap/>
            <w:vAlign w:val="center"/>
            <w:hideMark/>
          </w:tcPr>
          <w:p w14:paraId="628D4D5A" w14:textId="77777777" w:rsidR="00A34099" w:rsidRPr="0076466C" w:rsidRDefault="00A34099" w:rsidP="00EC4063">
            <w:pPr>
              <w:pStyle w:val="Tablehead"/>
              <w:rPr>
                <w:sz w:val="18"/>
                <w:szCs w:val="18"/>
                <w:lang w:val="fr-FR"/>
              </w:rPr>
            </w:pPr>
            <w:r w:rsidRPr="0076466C">
              <w:rPr>
                <w:sz w:val="18"/>
                <w:szCs w:val="18"/>
                <w:lang w:val="fr-FR"/>
              </w:rPr>
              <w:t>Région</w:t>
            </w:r>
          </w:p>
        </w:tc>
        <w:tc>
          <w:tcPr>
            <w:tcW w:w="1417" w:type="dxa"/>
            <w:shd w:val="clear" w:color="auto" w:fill="BFBFBF" w:themeFill="background1" w:themeFillShade="BF"/>
            <w:noWrap/>
            <w:vAlign w:val="center"/>
            <w:hideMark/>
          </w:tcPr>
          <w:p w14:paraId="61DD6D34" w14:textId="77777777" w:rsidR="00A34099" w:rsidRPr="0076466C" w:rsidRDefault="00A34099" w:rsidP="00EC4063">
            <w:pPr>
              <w:pStyle w:val="Tablehead"/>
              <w:rPr>
                <w:sz w:val="18"/>
                <w:szCs w:val="18"/>
                <w:lang w:val="fr-FR"/>
              </w:rPr>
            </w:pPr>
            <w:r w:rsidRPr="0076466C">
              <w:rPr>
                <w:sz w:val="18"/>
                <w:szCs w:val="18"/>
                <w:lang w:val="fr-FR"/>
              </w:rPr>
              <w:t>Initiative régionale</w:t>
            </w:r>
          </w:p>
        </w:tc>
        <w:tc>
          <w:tcPr>
            <w:tcW w:w="993" w:type="dxa"/>
            <w:shd w:val="clear" w:color="auto" w:fill="BFBFBF" w:themeFill="background1" w:themeFillShade="BF"/>
            <w:noWrap/>
            <w:vAlign w:val="center"/>
            <w:hideMark/>
          </w:tcPr>
          <w:p w14:paraId="06B3593B" w14:textId="77777777" w:rsidR="00A34099" w:rsidRPr="0076466C" w:rsidRDefault="00A34099" w:rsidP="00EC4063">
            <w:pPr>
              <w:pStyle w:val="Tablehead"/>
              <w:rPr>
                <w:sz w:val="18"/>
                <w:szCs w:val="18"/>
                <w:lang w:val="fr-FR"/>
              </w:rPr>
            </w:pPr>
            <w:r w:rsidRPr="0076466C">
              <w:rPr>
                <w:sz w:val="18"/>
                <w:szCs w:val="18"/>
                <w:lang w:val="fr-FR"/>
              </w:rPr>
              <w:t>Fonds extérieurs</w:t>
            </w:r>
          </w:p>
        </w:tc>
        <w:tc>
          <w:tcPr>
            <w:tcW w:w="850" w:type="dxa"/>
            <w:shd w:val="clear" w:color="auto" w:fill="BFBFBF" w:themeFill="background1" w:themeFillShade="BF"/>
            <w:noWrap/>
            <w:vAlign w:val="center"/>
            <w:hideMark/>
          </w:tcPr>
          <w:p w14:paraId="2972F125" w14:textId="77777777" w:rsidR="00A34099" w:rsidRPr="0076466C" w:rsidRDefault="00A34099" w:rsidP="00EC4063">
            <w:pPr>
              <w:pStyle w:val="Tablehead"/>
              <w:rPr>
                <w:sz w:val="18"/>
                <w:szCs w:val="18"/>
                <w:lang w:val="fr-FR"/>
              </w:rPr>
            </w:pPr>
            <w:r w:rsidRPr="0076466C">
              <w:rPr>
                <w:sz w:val="18"/>
                <w:szCs w:val="18"/>
                <w:lang w:val="fr-FR"/>
              </w:rPr>
              <w:t>Fonds de l'UIT</w:t>
            </w:r>
          </w:p>
        </w:tc>
        <w:tc>
          <w:tcPr>
            <w:tcW w:w="954" w:type="dxa"/>
            <w:shd w:val="clear" w:color="auto" w:fill="BFBFBF" w:themeFill="background1" w:themeFillShade="BF"/>
            <w:noWrap/>
            <w:vAlign w:val="center"/>
            <w:hideMark/>
          </w:tcPr>
          <w:p w14:paraId="3999E192" w14:textId="77777777" w:rsidR="00A34099" w:rsidRPr="0076466C" w:rsidRDefault="00A34099" w:rsidP="00EC4063">
            <w:pPr>
              <w:pStyle w:val="Tablehead"/>
              <w:rPr>
                <w:sz w:val="18"/>
                <w:szCs w:val="18"/>
                <w:lang w:val="fr-FR"/>
              </w:rPr>
            </w:pPr>
            <w:r w:rsidRPr="0076466C">
              <w:rPr>
                <w:sz w:val="18"/>
                <w:szCs w:val="18"/>
                <w:lang w:val="fr-FR"/>
              </w:rPr>
              <w:t>Total des fonds</w:t>
            </w:r>
          </w:p>
        </w:tc>
        <w:tc>
          <w:tcPr>
            <w:tcW w:w="1856" w:type="dxa"/>
            <w:shd w:val="clear" w:color="auto" w:fill="BFBFBF" w:themeFill="background1" w:themeFillShade="BF"/>
            <w:noWrap/>
            <w:vAlign w:val="center"/>
            <w:hideMark/>
          </w:tcPr>
          <w:p w14:paraId="5F6F82AB" w14:textId="77777777" w:rsidR="00A34099" w:rsidRPr="0076466C" w:rsidRDefault="00A34099" w:rsidP="00EC4063">
            <w:pPr>
              <w:pStyle w:val="Tablehead"/>
              <w:rPr>
                <w:sz w:val="18"/>
                <w:szCs w:val="18"/>
                <w:lang w:val="fr-FR"/>
              </w:rPr>
            </w:pPr>
            <w:r w:rsidRPr="0076466C">
              <w:rPr>
                <w:sz w:val="18"/>
                <w:szCs w:val="18"/>
                <w:lang w:val="fr-FR"/>
              </w:rPr>
              <w:t>Partenaire</w:t>
            </w:r>
          </w:p>
        </w:tc>
      </w:tr>
      <w:tr w:rsidR="00A34099" w:rsidRPr="00A34099" w14:paraId="2A065CEA" w14:textId="77777777" w:rsidTr="00ED2C0F">
        <w:trPr>
          <w:trHeight w:val="371"/>
          <w:jc w:val="center"/>
        </w:trPr>
        <w:tc>
          <w:tcPr>
            <w:tcW w:w="1122" w:type="dxa"/>
            <w:noWrap/>
            <w:vAlign w:val="center"/>
          </w:tcPr>
          <w:p w14:paraId="6D5559C9" w14:textId="77777777" w:rsidR="00A34099" w:rsidRPr="0076466C" w:rsidRDefault="00A34099" w:rsidP="00EC4063">
            <w:pPr>
              <w:pStyle w:val="Tabletext"/>
              <w:jc w:val="center"/>
              <w:rPr>
                <w:sz w:val="18"/>
                <w:szCs w:val="18"/>
                <w:lang w:val="fr-FR"/>
              </w:rPr>
            </w:pPr>
            <w:r w:rsidRPr="0076466C">
              <w:rPr>
                <w:sz w:val="18"/>
                <w:szCs w:val="18"/>
                <w:lang w:val="fr-FR"/>
              </w:rPr>
              <w:t>7GLO24139</w:t>
            </w:r>
          </w:p>
        </w:tc>
        <w:tc>
          <w:tcPr>
            <w:tcW w:w="2565" w:type="dxa"/>
            <w:noWrap/>
            <w:vAlign w:val="center"/>
          </w:tcPr>
          <w:p w14:paraId="7E627831" w14:textId="77777777" w:rsidR="00A34099" w:rsidRPr="0076466C" w:rsidRDefault="00A34099" w:rsidP="00EC4063">
            <w:pPr>
              <w:pStyle w:val="Tabletext"/>
              <w:jc w:val="center"/>
              <w:rPr>
                <w:sz w:val="18"/>
                <w:szCs w:val="18"/>
                <w:lang w:val="fr-FR"/>
              </w:rPr>
            </w:pPr>
            <w:r w:rsidRPr="0076466C">
              <w:rPr>
                <w:sz w:val="18"/>
                <w:szCs w:val="18"/>
                <w:lang w:val="fr-FR"/>
              </w:rPr>
              <w:t>Renforcement des capacités aux fins de la mise en œuvre des projets financés par la Commission européenne</w:t>
            </w:r>
          </w:p>
        </w:tc>
        <w:tc>
          <w:tcPr>
            <w:tcW w:w="1128" w:type="dxa"/>
            <w:noWrap/>
            <w:vAlign w:val="center"/>
          </w:tcPr>
          <w:p w14:paraId="22A9D987" w14:textId="77777777" w:rsidR="00A34099" w:rsidRPr="0076466C" w:rsidRDefault="00A34099" w:rsidP="00EC4063">
            <w:pPr>
              <w:pStyle w:val="Tabletext"/>
              <w:jc w:val="center"/>
              <w:rPr>
                <w:sz w:val="18"/>
                <w:szCs w:val="18"/>
                <w:lang w:val="fr-FR"/>
              </w:rPr>
            </w:pPr>
            <w:r w:rsidRPr="0076466C">
              <w:rPr>
                <w:sz w:val="18"/>
                <w:szCs w:val="18"/>
                <w:lang w:val="fr-FR"/>
              </w:rPr>
              <w:t>Plusieurs régions</w:t>
            </w:r>
          </w:p>
        </w:tc>
        <w:tc>
          <w:tcPr>
            <w:tcW w:w="1417" w:type="dxa"/>
            <w:noWrap/>
            <w:vAlign w:val="center"/>
          </w:tcPr>
          <w:p w14:paraId="690ACEE8"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5EB08354" w14:textId="56261D3C" w:rsidR="00A34099" w:rsidRPr="0076466C" w:rsidRDefault="00EC4063" w:rsidP="00EC4063">
            <w:pPr>
              <w:pStyle w:val="Tabletext"/>
              <w:jc w:val="right"/>
              <w:rPr>
                <w:sz w:val="18"/>
                <w:szCs w:val="18"/>
                <w:lang w:val="fr-FR"/>
              </w:rPr>
            </w:pPr>
            <w:r w:rsidRPr="0076466C">
              <w:rPr>
                <w:rFonts w:cstheme="minorHAnsi"/>
                <w:sz w:val="18"/>
                <w:szCs w:val="18"/>
                <w:lang w:val="fr-FR"/>
              </w:rPr>
              <w:t>(*)</w:t>
            </w:r>
          </w:p>
        </w:tc>
        <w:tc>
          <w:tcPr>
            <w:tcW w:w="850" w:type="dxa"/>
            <w:noWrap/>
            <w:vAlign w:val="center"/>
          </w:tcPr>
          <w:p w14:paraId="34AB20AE" w14:textId="40AE3E21" w:rsidR="00A34099" w:rsidRPr="0076466C" w:rsidRDefault="00A34099" w:rsidP="00EC4063">
            <w:pPr>
              <w:pStyle w:val="Tabletext"/>
              <w:jc w:val="right"/>
              <w:rPr>
                <w:sz w:val="18"/>
                <w:szCs w:val="18"/>
                <w:lang w:val="fr-FR"/>
              </w:rPr>
            </w:pPr>
            <w:r w:rsidRPr="0076466C">
              <w:rPr>
                <w:sz w:val="18"/>
                <w:szCs w:val="18"/>
                <w:lang w:val="fr-FR"/>
              </w:rPr>
              <w:t>840</w:t>
            </w:r>
          </w:p>
        </w:tc>
        <w:tc>
          <w:tcPr>
            <w:tcW w:w="954" w:type="dxa"/>
            <w:noWrap/>
            <w:vAlign w:val="center"/>
          </w:tcPr>
          <w:p w14:paraId="24119405" w14:textId="77777777" w:rsidR="00A34099" w:rsidRPr="0076466C" w:rsidRDefault="00A34099" w:rsidP="00EC4063">
            <w:pPr>
              <w:pStyle w:val="Tabletext"/>
              <w:jc w:val="right"/>
              <w:rPr>
                <w:sz w:val="18"/>
                <w:szCs w:val="18"/>
                <w:lang w:val="fr-FR"/>
              </w:rPr>
            </w:pPr>
            <w:r w:rsidRPr="0076466C">
              <w:rPr>
                <w:sz w:val="18"/>
                <w:szCs w:val="18"/>
                <w:lang w:val="fr-FR"/>
              </w:rPr>
              <w:t>840,0</w:t>
            </w:r>
          </w:p>
        </w:tc>
        <w:tc>
          <w:tcPr>
            <w:tcW w:w="1856" w:type="dxa"/>
            <w:noWrap/>
            <w:vAlign w:val="center"/>
          </w:tcPr>
          <w:p w14:paraId="5168515E" w14:textId="77777777" w:rsidR="00A34099" w:rsidRPr="0076466C" w:rsidRDefault="00A34099" w:rsidP="00EC4063">
            <w:pPr>
              <w:pStyle w:val="Tabletext"/>
              <w:jc w:val="center"/>
              <w:rPr>
                <w:sz w:val="18"/>
                <w:szCs w:val="18"/>
                <w:lang w:val="fr-FR"/>
              </w:rPr>
            </w:pPr>
            <w:r w:rsidRPr="0076466C">
              <w:rPr>
                <w:sz w:val="18"/>
                <w:szCs w:val="18"/>
                <w:lang w:val="fr-FR"/>
              </w:rPr>
              <w:t>Commission européenne</w:t>
            </w:r>
          </w:p>
        </w:tc>
      </w:tr>
      <w:tr w:rsidR="00A34099" w:rsidRPr="00A34099" w14:paraId="30996AB8" w14:textId="77777777" w:rsidTr="00ED2C0F">
        <w:trPr>
          <w:trHeight w:val="371"/>
          <w:jc w:val="center"/>
        </w:trPr>
        <w:tc>
          <w:tcPr>
            <w:tcW w:w="1122" w:type="dxa"/>
            <w:noWrap/>
            <w:vAlign w:val="center"/>
          </w:tcPr>
          <w:p w14:paraId="512747B6" w14:textId="77777777" w:rsidR="00A34099" w:rsidRPr="0076466C" w:rsidRDefault="00A34099" w:rsidP="00EC4063">
            <w:pPr>
              <w:pStyle w:val="Tabletext"/>
              <w:jc w:val="center"/>
              <w:rPr>
                <w:sz w:val="18"/>
                <w:szCs w:val="18"/>
                <w:lang w:val="fr-FR"/>
              </w:rPr>
            </w:pPr>
            <w:r w:rsidRPr="0076466C">
              <w:rPr>
                <w:sz w:val="18"/>
                <w:szCs w:val="18"/>
                <w:lang w:val="fr-FR"/>
              </w:rPr>
              <w:t>7GLO24144</w:t>
            </w:r>
          </w:p>
        </w:tc>
        <w:tc>
          <w:tcPr>
            <w:tcW w:w="2565" w:type="dxa"/>
            <w:noWrap/>
            <w:vAlign w:val="center"/>
          </w:tcPr>
          <w:p w14:paraId="6AF6EEA0" w14:textId="7403AFF7" w:rsidR="00A34099" w:rsidRPr="0076466C" w:rsidRDefault="00A34099" w:rsidP="00EC4063">
            <w:pPr>
              <w:pStyle w:val="Tabletext"/>
              <w:jc w:val="center"/>
              <w:rPr>
                <w:sz w:val="18"/>
                <w:szCs w:val="18"/>
                <w:lang w:val="fr-FR"/>
              </w:rPr>
            </w:pPr>
            <w:r w:rsidRPr="0076466C">
              <w:rPr>
                <w:sz w:val="18"/>
                <w:szCs w:val="18"/>
                <w:lang w:val="fr-FR"/>
              </w:rPr>
              <w:t>Alertes précoces pour tous: fonds de l</w:t>
            </w:r>
            <w:r w:rsidR="00D9231C" w:rsidRPr="0076466C">
              <w:rPr>
                <w:sz w:val="18"/>
                <w:szCs w:val="18"/>
                <w:lang w:val="fr-FR"/>
              </w:rPr>
              <w:t>'</w:t>
            </w:r>
            <w:r w:rsidRPr="0076466C">
              <w:rPr>
                <w:sz w:val="18"/>
                <w:szCs w:val="18"/>
                <w:lang w:val="fr-FR"/>
              </w:rPr>
              <w:t>UIT destinés à appuyer la mise en œuvre de l</w:t>
            </w:r>
            <w:r w:rsidR="00D9231C" w:rsidRPr="0076466C">
              <w:rPr>
                <w:sz w:val="18"/>
                <w:szCs w:val="18"/>
                <w:lang w:val="fr-FR"/>
              </w:rPr>
              <w:t>'</w:t>
            </w:r>
            <w:r w:rsidRPr="0076466C">
              <w:rPr>
                <w:sz w:val="18"/>
                <w:szCs w:val="18"/>
                <w:lang w:val="fr-FR"/>
              </w:rPr>
              <w:t>initiative</w:t>
            </w:r>
          </w:p>
        </w:tc>
        <w:tc>
          <w:tcPr>
            <w:tcW w:w="1128" w:type="dxa"/>
            <w:noWrap/>
            <w:vAlign w:val="center"/>
          </w:tcPr>
          <w:p w14:paraId="1E2D6457" w14:textId="77777777" w:rsidR="00A34099" w:rsidRPr="0076466C" w:rsidRDefault="00A34099" w:rsidP="00EC4063">
            <w:pPr>
              <w:pStyle w:val="Tabletext"/>
              <w:jc w:val="center"/>
              <w:rPr>
                <w:sz w:val="18"/>
                <w:szCs w:val="18"/>
                <w:lang w:val="fr-FR"/>
              </w:rPr>
            </w:pPr>
            <w:r w:rsidRPr="0076466C">
              <w:rPr>
                <w:sz w:val="18"/>
                <w:szCs w:val="18"/>
                <w:lang w:val="fr-FR"/>
              </w:rPr>
              <w:t>Plusieurs régions</w:t>
            </w:r>
          </w:p>
        </w:tc>
        <w:tc>
          <w:tcPr>
            <w:tcW w:w="1417" w:type="dxa"/>
            <w:noWrap/>
            <w:vAlign w:val="center"/>
          </w:tcPr>
          <w:p w14:paraId="4E6F2CF4"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1A1C7432" w14:textId="427FA485" w:rsidR="00A34099" w:rsidRPr="0076466C" w:rsidRDefault="00A34099" w:rsidP="00EC4063">
            <w:pPr>
              <w:pStyle w:val="Tabletext"/>
              <w:jc w:val="right"/>
              <w:rPr>
                <w:sz w:val="18"/>
                <w:szCs w:val="18"/>
                <w:lang w:val="fr-FR"/>
              </w:rPr>
            </w:pPr>
            <w:r w:rsidRPr="0076466C">
              <w:rPr>
                <w:sz w:val="18"/>
                <w:szCs w:val="18"/>
                <w:lang w:val="fr-FR"/>
              </w:rPr>
              <w:t>1 577</w:t>
            </w:r>
          </w:p>
        </w:tc>
        <w:tc>
          <w:tcPr>
            <w:tcW w:w="850" w:type="dxa"/>
            <w:noWrap/>
            <w:vAlign w:val="center"/>
          </w:tcPr>
          <w:p w14:paraId="50A256B0" w14:textId="217E81A3" w:rsidR="00A34099" w:rsidRPr="0076466C" w:rsidRDefault="00A34099" w:rsidP="00EC4063">
            <w:pPr>
              <w:pStyle w:val="Tabletext"/>
              <w:jc w:val="right"/>
              <w:rPr>
                <w:sz w:val="18"/>
                <w:szCs w:val="18"/>
                <w:lang w:val="fr-FR"/>
              </w:rPr>
            </w:pPr>
            <w:r w:rsidRPr="0076466C">
              <w:rPr>
                <w:sz w:val="18"/>
                <w:szCs w:val="18"/>
                <w:lang w:val="fr-FR"/>
              </w:rPr>
              <w:t>528</w:t>
            </w:r>
          </w:p>
        </w:tc>
        <w:tc>
          <w:tcPr>
            <w:tcW w:w="954" w:type="dxa"/>
            <w:noWrap/>
            <w:vAlign w:val="center"/>
          </w:tcPr>
          <w:p w14:paraId="7EE48470" w14:textId="6DD41FDD" w:rsidR="00A34099" w:rsidRPr="0076466C" w:rsidRDefault="00A34099" w:rsidP="00EC4063">
            <w:pPr>
              <w:pStyle w:val="Tabletext"/>
              <w:jc w:val="right"/>
              <w:rPr>
                <w:sz w:val="18"/>
                <w:szCs w:val="18"/>
                <w:lang w:val="fr-FR"/>
              </w:rPr>
            </w:pPr>
            <w:r w:rsidRPr="0076466C">
              <w:rPr>
                <w:sz w:val="18"/>
                <w:szCs w:val="18"/>
                <w:lang w:val="fr-FR"/>
              </w:rPr>
              <w:t>2 105</w:t>
            </w:r>
          </w:p>
        </w:tc>
        <w:tc>
          <w:tcPr>
            <w:tcW w:w="1856" w:type="dxa"/>
            <w:noWrap/>
            <w:vAlign w:val="center"/>
          </w:tcPr>
          <w:p w14:paraId="1FB9A91C" w14:textId="77777777" w:rsidR="00A34099" w:rsidRPr="0076466C" w:rsidRDefault="00A34099" w:rsidP="00EC4063">
            <w:pPr>
              <w:pStyle w:val="Tabletext"/>
              <w:jc w:val="center"/>
              <w:rPr>
                <w:sz w:val="18"/>
                <w:szCs w:val="18"/>
                <w:lang w:val="fr-FR"/>
              </w:rPr>
            </w:pPr>
            <w:r w:rsidRPr="0076466C">
              <w:rPr>
                <w:sz w:val="18"/>
                <w:szCs w:val="18"/>
                <w:lang w:val="fr-FR"/>
              </w:rPr>
              <w:t>UNDRR et OMM</w:t>
            </w:r>
          </w:p>
        </w:tc>
      </w:tr>
      <w:tr w:rsidR="00A34099" w:rsidRPr="00A34099" w14:paraId="08663336" w14:textId="77777777" w:rsidTr="00ED2C0F">
        <w:trPr>
          <w:trHeight w:val="371"/>
          <w:jc w:val="center"/>
        </w:trPr>
        <w:tc>
          <w:tcPr>
            <w:tcW w:w="1122" w:type="dxa"/>
            <w:noWrap/>
            <w:vAlign w:val="center"/>
          </w:tcPr>
          <w:p w14:paraId="089FDCA1" w14:textId="77777777" w:rsidR="00A34099" w:rsidRPr="0076466C" w:rsidRDefault="00A34099" w:rsidP="00EC4063">
            <w:pPr>
              <w:pStyle w:val="Tabletext"/>
              <w:jc w:val="center"/>
              <w:rPr>
                <w:sz w:val="18"/>
                <w:szCs w:val="18"/>
                <w:lang w:val="fr-FR"/>
              </w:rPr>
            </w:pPr>
            <w:r w:rsidRPr="0076466C">
              <w:rPr>
                <w:sz w:val="18"/>
                <w:szCs w:val="18"/>
                <w:lang w:val="fr-FR"/>
              </w:rPr>
              <w:t>7RAS24074</w:t>
            </w:r>
          </w:p>
        </w:tc>
        <w:tc>
          <w:tcPr>
            <w:tcW w:w="2565" w:type="dxa"/>
            <w:noWrap/>
            <w:vAlign w:val="center"/>
          </w:tcPr>
          <w:p w14:paraId="77DFC069" w14:textId="77777777" w:rsidR="00A34099" w:rsidRPr="0076466C" w:rsidRDefault="00A34099" w:rsidP="00EC4063">
            <w:pPr>
              <w:pStyle w:val="Tabletext"/>
              <w:jc w:val="center"/>
              <w:rPr>
                <w:sz w:val="18"/>
                <w:szCs w:val="18"/>
                <w:lang w:val="fr-FR"/>
              </w:rPr>
            </w:pPr>
            <w:r w:rsidRPr="0076466C">
              <w:rPr>
                <w:sz w:val="18"/>
                <w:szCs w:val="18"/>
                <w:lang w:val="fr-FR"/>
              </w:rPr>
              <w:t>Améliorer l'infrastructure TIC résiliente en Asie-Pacifique (deuxième phase)</w:t>
            </w:r>
          </w:p>
        </w:tc>
        <w:tc>
          <w:tcPr>
            <w:tcW w:w="1128" w:type="dxa"/>
            <w:noWrap/>
            <w:vAlign w:val="center"/>
          </w:tcPr>
          <w:p w14:paraId="5DE577A0" w14:textId="77777777" w:rsidR="00A34099" w:rsidRPr="0076466C" w:rsidRDefault="00A34099" w:rsidP="00EC4063">
            <w:pPr>
              <w:pStyle w:val="Tabletext"/>
              <w:jc w:val="center"/>
              <w:rPr>
                <w:sz w:val="18"/>
                <w:szCs w:val="18"/>
                <w:lang w:val="fr-FR"/>
              </w:rPr>
            </w:pPr>
            <w:r w:rsidRPr="0076466C">
              <w:rPr>
                <w:sz w:val="18"/>
                <w:szCs w:val="18"/>
                <w:lang w:val="fr-FR"/>
              </w:rPr>
              <w:t>ASP</w:t>
            </w:r>
          </w:p>
        </w:tc>
        <w:tc>
          <w:tcPr>
            <w:tcW w:w="1417" w:type="dxa"/>
            <w:noWrap/>
            <w:vAlign w:val="center"/>
          </w:tcPr>
          <w:p w14:paraId="472B1C27" w14:textId="77777777" w:rsidR="00A34099" w:rsidRPr="0076466C" w:rsidRDefault="00A34099" w:rsidP="00EC4063">
            <w:pPr>
              <w:pStyle w:val="Tabletext"/>
              <w:jc w:val="center"/>
              <w:rPr>
                <w:sz w:val="18"/>
                <w:szCs w:val="18"/>
                <w:lang w:val="fr-FR"/>
              </w:rPr>
            </w:pPr>
            <w:r w:rsidRPr="0076466C">
              <w:rPr>
                <w:sz w:val="18"/>
                <w:szCs w:val="18"/>
                <w:lang w:val="fr-FR"/>
              </w:rPr>
              <w:t>ASP5 – TIC sûres et résilientes</w:t>
            </w:r>
          </w:p>
        </w:tc>
        <w:tc>
          <w:tcPr>
            <w:tcW w:w="993" w:type="dxa"/>
            <w:noWrap/>
            <w:vAlign w:val="center"/>
          </w:tcPr>
          <w:p w14:paraId="5BE3D4A4" w14:textId="47D2AC0A" w:rsidR="00A34099" w:rsidRPr="0076466C" w:rsidRDefault="00A34099" w:rsidP="00EC4063">
            <w:pPr>
              <w:pStyle w:val="Tabletext"/>
              <w:jc w:val="right"/>
              <w:rPr>
                <w:sz w:val="18"/>
                <w:szCs w:val="18"/>
                <w:lang w:val="fr-FR"/>
              </w:rPr>
            </w:pPr>
            <w:r w:rsidRPr="0076466C">
              <w:rPr>
                <w:sz w:val="18"/>
                <w:szCs w:val="18"/>
                <w:lang w:val="fr-FR"/>
              </w:rPr>
              <w:t>132</w:t>
            </w:r>
          </w:p>
        </w:tc>
        <w:tc>
          <w:tcPr>
            <w:tcW w:w="850" w:type="dxa"/>
            <w:noWrap/>
            <w:vAlign w:val="center"/>
          </w:tcPr>
          <w:p w14:paraId="4E617490" w14:textId="53C1FFAD" w:rsidR="00A34099" w:rsidRPr="0076466C" w:rsidRDefault="00A34099" w:rsidP="00EC4063">
            <w:pPr>
              <w:pStyle w:val="Tabletext"/>
              <w:jc w:val="right"/>
              <w:rPr>
                <w:sz w:val="18"/>
                <w:szCs w:val="18"/>
                <w:lang w:val="fr-FR"/>
              </w:rPr>
            </w:pPr>
            <w:r w:rsidRPr="0076466C">
              <w:rPr>
                <w:sz w:val="18"/>
                <w:szCs w:val="18"/>
                <w:lang w:val="fr-FR"/>
              </w:rPr>
              <w:t>33</w:t>
            </w:r>
          </w:p>
        </w:tc>
        <w:tc>
          <w:tcPr>
            <w:tcW w:w="954" w:type="dxa"/>
            <w:noWrap/>
            <w:vAlign w:val="center"/>
          </w:tcPr>
          <w:p w14:paraId="0BC1A21D" w14:textId="7A93AFCF" w:rsidR="00A34099" w:rsidRPr="0076466C" w:rsidRDefault="00A34099" w:rsidP="00EC4063">
            <w:pPr>
              <w:pStyle w:val="Tabletext"/>
              <w:jc w:val="right"/>
              <w:rPr>
                <w:sz w:val="18"/>
                <w:szCs w:val="18"/>
                <w:lang w:val="fr-FR"/>
              </w:rPr>
            </w:pPr>
            <w:r w:rsidRPr="0076466C">
              <w:rPr>
                <w:sz w:val="18"/>
                <w:szCs w:val="18"/>
                <w:lang w:val="fr-FR"/>
              </w:rPr>
              <w:t>165</w:t>
            </w:r>
          </w:p>
        </w:tc>
        <w:tc>
          <w:tcPr>
            <w:tcW w:w="1856" w:type="dxa"/>
            <w:noWrap/>
            <w:vAlign w:val="center"/>
          </w:tcPr>
          <w:p w14:paraId="1E74F84C" w14:textId="77777777" w:rsidR="00A34099" w:rsidRPr="0076466C" w:rsidRDefault="00A34099" w:rsidP="00EC4063">
            <w:pPr>
              <w:pStyle w:val="Tabletext"/>
              <w:jc w:val="center"/>
              <w:rPr>
                <w:sz w:val="18"/>
                <w:szCs w:val="18"/>
                <w:lang w:val="fr-FR"/>
              </w:rPr>
            </w:pPr>
            <w:r w:rsidRPr="0076466C">
              <w:rPr>
                <w:sz w:val="18"/>
                <w:szCs w:val="18"/>
                <w:lang w:val="fr-FR"/>
              </w:rPr>
              <w:t>Ministère des affaires intérieures et des communications (MIC) du Japon</w:t>
            </w:r>
          </w:p>
        </w:tc>
      </w:tr>
      <w:tr w:rsidR="00A34099" w:rsidRPr="00A34099" w14:paraId="231A0CBE" w14:textId="77777777" w:rsidTr="00ED2C0F">
        <w:trPr>
          <w:trHeight w:val="371"/>
          <w:jc w:val="center"/>
        </w:trPr>
        <w:tc>
          <w:tcPr>
            <w:tcW w:w="1122" w:type="dxa"/>
            <w:noWrap/>
            <w:vAlign w:val="center"/>
          </w:tcPr>
          <w:p w14:paraId="53C7498D" w14:textId="77777777" w:rsidR="00A34099" w:rsidRPr="0076466C" w:rsidRDefault="00A34099" w:rsidP="00EC4063">
            <w:pPr>
              <w:pStyle w:val="Tabletext"/>
              <w:jc w:val="center"/>
              <w:rPr>
                <w:sz w:val="18"/>
                <w:szCs w:val="18"/>
                <w:lang w:val="fr-FR"/>
              </w:rPr>
            </w:pPr>
            <w:r w:rsidRPr="0076466C">
              <w:rPr>
                <w:sz w:val="18"/>
                <w:szCs w:val="18"/>
                <w:lang w:val="fr-FR"/>
              </w:rPr>
              <w:t>7RAS24075</w:t>
            </w:r>
          </w:p>
        </w:tc>
        <w:tc>
          <w:tcPr>
            <w:tcW w:w="2565" w:type="dxa"/>
            <w:noWrap/>
            <w:vAlign w:val="center"/>
          </w:tcPr>
          <w:p w14:paraId="1F5D8323" w14:textId="77777777" w:rsidR="00A34099" w:rsidRPr="0076466C" w:rsidRDefault="00A34099" w:rsidP="00EC4063">
            <w:pPr>
              <w:pStyle w:val="Tabletext"/>
              <w:jc w:val="center"/>
              <w:rPr>
                <w:sz w:val="18"/>
                <w:szCs w:val="18"/>
                <w:lang w:val="fr-FR"/>
              </w:rPr>
            </w:pPr>
            <w:r w:rsidRPr="0076466C">
              <w:rPr>
                <w:sz w:val="18"/>
                <w:szCs w:val="18"/>
                <w:lang w:val="fr-FR"/>
              </w:rPr>
              <w:t>Créer une économie circulaire pour le secteur de l'électronique et de l'électricité en Thaïlande et en Mongolie</w:t>
            </w:r>
          </w:p>
        </w:tc>
        <w:tc>
          <w:tcPr>
            <w:tcW w:w="1128" w:type="dxa"/>
            <w:noWrap/>
            <w:vAlign w:val="center"/>
          </w:tcPr>
          <w:p w14:paraId="617C922E" w14:textId="77777777" w:rsidR="00A34099" w:rsidRPr="0076466C" w:rsidRDefault="00A34099" w:rsidP="00EC4063">
            <w:pPr>
              <w:pStyle w:val="Tabletext"/>
              <w:jc w:val="center"/>
              <w:rPr>
                <w:sz w:val="18"/>
                <w:szCs w:val="18"/>
                <w:lang w:val="fr-FR"/>
              </w:rPr>
            </w:pPr>
            <w:r w:rsidRPr="0076466C">
              <w:rPr>
                <w:sz w:val="18"/>
                <w:szCs w:val="18"/>
                <w:lang w:val="fr-FR"/>
              </w:rPr>
              <w:t>ASP</w:t>
            </w:r>
          </w:p>
        </w:tc>
        <w:tc>
          <w:tcPr>
            <w:tcW w:w="1417" w:type="dxa"/>
            <w:noWrap/>
            <w:vAlign w:val="center"/>
          </w:tcPr>
          <w:p w14:paraId="0300DEF5" w14:textId="77777777" w:rsidR="00A34099" w:rsidRPr="0076466C" w:rsidRDefault="00A34099" w:rsidP="00EC4063">
            <w:pPr>
              <w:pStyle w:val="Tabletext"/>
              <w:jc w:val="center"/>
              <w:rPr>
                <w:sz w:val="18"/>
                <w:szCs w:val="18"/>
                <w:lang w:val="fr-FR"/>
              </w:rPr>
            </w:pPr>
            <w:r w:rsidRPr="0076466C">
              <w:rPr>
                <w:sz w:val="18"/>
                <w:szCs w:val="18"/>
                <w:lang w:val="fr-FR"/>
              </w:rPr>
              <w:t>ASP2 – Économie numérique et sociétés numériques inclusives</w:t>
            </w:r>
          </w:p>
        </w:tc>
        <w:tc>
          <w:tcPr>
            <w:tcW w:w="993" w:type="dxa"/>
            <w:noWrap/>
            <w:vAlign w:val="center"/>
          </w:tcPr>
          <w:p w14:paraId="5376143A" w14:textId="58A0C8F1" w:rsidR="00A34099" w:rsidRPr="0076466C" w:rsidRDefault="00A34099" w:rsidP="00EC4063">
            <w:pPr>
              <w:pStyle w:val="Tabletext"/>
              <w:jc w:val="right"/>
              <w:rPr>
                <w:sz w:val="18"/>
                <w:szCs w:val="18"/>
                <w:lang w:val="fr-FR"/>
              </w:rPr>
            </w:pPr>
            <w:r w:rsidRPr="0076466C">
              <w:rPr>
                <w:sz w:val="18"/>
                <w:szCs w:val="18"/>
                <w:lang w:val="fr-FR"/>
              </w:rPr>
              <w:t>225</w:t>
            </w:r>
          </w:p>
        </w:tc>
        <w:tc>
          <w:tcPr>
            <w:tcW w:w="850" w:type="dxa"/>
            <w:noWrap/>
            <w:vAlign w:val="center"/>
          </w:tcPr>
          <w:p w14:paraId="73F2C9E3" w14:textId="1397A525" w:rsidR="00A34099" w:rsidRPr="0076466C" w:rsidRDefault="00A34099" w:rsidP="00EC4063">
            <w:pPr>
              <w:pStyle w:val="Tabletext"/>
              <w:jc w:val="right"/>
              <w:rPr>
                <w:sz w:val="18"/>
                <w:szCs w:val="18"/>
                <w:lang w:val="fr-FR"/>
              </w:rPr>
            </w:pPr>
            <w:r w:rsidRPr="0076466C">
              <w:rPr>
                <w:sz w:val="18"/>
                <w:szCs w:val="18"/>
                <w:lang w:val="fr-FR"/>
              </w:rPr>
              <w:t>5</w:t>
            </w:r>
            <w:r w:rsidR="00A23E9E" w:rsidRPr="0076466C">
              <w:rPr>
                <w:sz w:val="18"/>
                <w:szCs w:val="18"/>
                <w:lang w:val="fr-FR"/>
              </w:rPr>
              <w:t>3</w:t>
            </w:r>
          </w:p>
        </w:tc>
        <w:tc>
          <w:tcPr>
            <w:tcW w:w="954" w:type="dxa"/>
            <w:noWrap/>
            <w:vAlign w:val="center"/>
          </w:tcPr>
          <w:p w14:paraId="443811FC" w14:textId="1BDCCE65" w:rsidR="00A34099" w:rsidRPr="0076466C" w:rsidRDefault="00A34099" w:rsidP="00EC4063">
            <w:pPr>
              <w:pStyle w:val="Tabletext"/>
              <w:jc w:val="right"/>
              <w:rPr>
                <w:sz w:val="18"/>
                <w:szCs w:val="18"/>
                <w:lang w:val="fr-FR"/>
              </w:rPr>
            </w:pPr>
            <w:r w:rsidRPr="0076466C">
              <w:rPr>
                <w:sz w:val="18"/>
                <w:szCs w:val="18"/>
                <w:lang w:val="fr-FR"/>
              </w:rPr>
              <w:t>278</w:t>
            </w:r>
          </w:p>
        </w:tc>
        <w:tc>
          <w:tcPr>
            <w:tcW w:w="1856" w:type="dxa"/>
            <w:noWrap/>
            <w:vAlign w:val="center"/>
          </w:tcPr>
          <w:p w14:paraId="3616C897" w14:textId="77777777" w:rsidR="00A34099" w:rsidRPr="0076466C" w:rsidRDefault="00A34099" w:rsidP="00EC4063">
            <w:pPr>
              <w:pStyle w:val="Tabletext"/>
              <w:jc w:val="center"/>
              <w:rPr>
                <w:sz w:val="18"/>
                <w:szCs w:val="18"/>
                <w:lang w:val="fr-FR"/>
              </w:rPr>
            </w:pPr>
            <w:r w:rsidRPr="0076466C">
              <w:rPr>
                <w:sz w:val="18"/>
                <w:szCs w:val="18"/>
                <w:lang w:val="fr-FR"/>
              </w:rPr>
              <w:t>Ministère des infrastructures, des transports, du développement régional, des communications et des arts (DITRDCA) de l'Australie</w:t>
            </w:r>
          </w:p>
        </w:tc>
      </w:tr>
      <w:tr w:rsidR="00A34099" w:rsidRPr="00A34099" w14:paraId="710FEE4B" w14:textId="77777777" w:rsidTr="00ED2C0F">
        <w:trPr>
          <w:trHeight w:val="371"/>
          <w:jc w:val="center"/>
        </w:trPr>
        <w:tc>
          <w:tcPr>
            <w:tcW w:w="1122" w:type="dxa"/>
            <w:noWrap/>
            <w:vAlign w:val="center"/>
          </w:tcPr>
          <w:p w14:paraId="39679E3B" w14:textId="77777777" w:rsidR="00A34099" w:rsidRPr="0076466C" w:rsidRDefault="00A34099" w:rsidP="00EC4063">
            <w:pPr>
              <w:pStyle w:val="Tabletext"/>
              <w:jc w:val="center"/>
              <w:rPr>
                <w:sz w:val="18"/>
                <w:szCs w:val="18"/>
                <w:lang w:val="fr-FR"/>
              </w:rPr>
            </w:pPr>
            <w:r w:rsidRPr="0076466C">
              <w:rPr>
                <w:sz w:val="18"/>
                <w:szCs w:val="18"/>
                <w:lang w:val="fr-FR"/>
              </w:rPr>
              <w:t>9RAF24107</w:t>
            </w:r>
          </w:p>
        </w:tc>
        <w:tc>
          <w:tcPr>
            <w:tcW w:w="2565" w:type="dxa"/>
            <w:noWrap/>
            <w:vAlign w:val="center"/>
          </w:tcPr>
          <w:p w14:paraId="572E02AB" w14:textId="44EE6E4C" w:rsidR="00A34099" w:rsidRPr="0076466C" w:rsidRDefault="00A34099" w:rsidP="00EC4063">
            <w:pPr>
              <w:pStyle w:val="Tabletext"/>
              <w:jc w:val="center"/>
              <w:rPr>
                <w:sz w:val="18"/>
                <w:szCs w:val="18"/>
                <w:lang w:val="fr-FR"/>
              </w:rPr>
            </w:pPr>
            <w:r w:rsidRPr="0076466C">
              <w:rPr>
                <w:sz w:val="18"/>
                <w:szCs w:val="18"/>
                <w:lang w:val="fr-FR"/>
              </w:rPr>
              <w:t>Soutien de l</w:t>
            </w:r>
            <w:r w:rsidR="00D9231C" w:rsidRPr="0076466C">
              <w:rPr>
                <w:sz w:val="18"/>
                <w:szCs w:val="18"/>
                <w:lang w:val="fr-FR"/>
              </w:rPr>
              <w:t>'</w:t>
            </w:r>
            <w:r w:rsidRPr="0076466C">
              <w:rPr>
                <w:sz w:val="18"/>
                <w:szCs w:val="18"/>
                <w:lang w:val="fr-FR"/>
              </w:rPr>
              <w:t>UE aux systèmes de cartographie nationale du large bande en Afrique (AfricaBBMaps)</w:t>
            </w:r>
          </w:p>
        </w:tc>
        <w:tc>
          <w:tcPr>
            <w:tcW w:w="1128" w:type="dxa"/>
            <w:noWrap/>
            <w:vAlign w:val="center"/>
          </w:tcPr>
          <w:p w14:paraId="1B292DAB" w14:textId="77777777" w:rsidR="00A34099" w:rsidRPr="0076466C" w:rsidRDefault="00A34099" w:rsidP="00EC4063">
            <w:pPr>
              <w:pStyle w:val="Tabletext"/>
              <w:jc w:val="center"/>
              <w:rPr>
                <w:sz w:val="18"/>
                <w:szCs w:val="18"/>
                <w:lang w:val="fr-FR"/>
              </w:rPr>
            </w:pPr>
            <w:r w:rsidRPr="0076466C">
              <w:rPr>
                <w:sz w:val="18"/>
                <w:szCs w:val="18"/>
                <w:lang w:val="fr-FR"/>
              </w:rPr>
              <w:t>AFR</w:t>
            </w:r>
          </w:p>
        </w:tc>
        <w:tc>
          <w:tcPr>
            <w:tcW w:w="1417" w:type="dxa"/>
            <w:noWrap/>
            <w:vAlign w:val="center"/>
          </w:tcPr>
          <w:p w14:paraId="15C9C0E8" w14:textId="4F0DFD0F" w:rsidR="00A34099" w:rsidRPr="0076466C" w:rsidRDefault="00A34099" w:rsidP="00EC4063">
            <w:pPr>
              <w:pStyle w:val="Tabletext"/>
              <w:jc w:val="center"/>
              <w:rPr>
                <w:sz w:val="18"/>
                <w:szCs w:val="18"/>
                <w:lang w:val="fr-FR"/>
              </w:rPr>
            </w:pPr>
            <w:r w:rsidRPr="0076466C">
              <w:rPr>
                <w:sz w:val="18"/>
                <w:szCs w:val="18"/>
                <w:lang w:val="fr-FR"/>
              </w:rPr>
              <w:t>AFR2 – Infrastructure et connectivité</w:t>
            </w:r>
          </w:p>
        </w:tc>
        <w:tc>
          <w:tcPr>
            <w:tcW w:w="993" w:type="dxa"/>
            <w:noWrap/>
            <w:vAlign w:val="center"/>
          </w:tcPr>
          <w:p w14:paraId="77FA3834" w14:textId="36C2F3D0" w:rsidR="00A34099" w:rsidRPr="0076466C" w:rsidRDefault="00A34099" w:rsidP="00EC4063">
            <w:pPr>
              <w:pStyle w:val="Tabletext"/>
              <w:jc w:val="right"/>
              <w:rPr>
                <w:sz w:val="18"/>
                <w:szCs w:val="18"/>
                <w:lang w:val="fr-FR"/>
              </w:rPr>
            </w:pPr>
            <w:r w:rsidRPr="0076466C">
              <w:rPr>
                <w:sz w:val="18"/>
                <w:szCs w:val="18"/>
                <w:lang w:val="fr-FR"/>
              </w:rPr>
              <w:t>16 500</w:t>
            </w:r>
          </w:p>
        </w:tc>
        <w:tc>
          <w:tcPr>
            <w:tcW w:w="850" w:type="dxa"/>
            <w:noWrap/>
            <w:vAlign w:val="center"/>
          </w:tcPr>
          <w:p w14:paraId="554B1E5F" w14:textId="3882D8E8" w:rsidR="00A34099" w:rsidRPr="0076466C" w:rsidRDefault="00A34099" w:rsidP="00EC4063">
            <w:pPr>
              <w:pStyle w:val="Tabletext"/>
              <w:jc w:val="right"/>
              <w:rPr>
                <w:sz w:val="18"/>
                <w:szCs w:val="18"/>
                <w:lang w:val="fr-FR"/>
              </w:rPr>
            </w:pPr>
            <w:r w:rsidRPr="0076466C">
              <w:rPr>
                <w:sz w:val="18"/>
                <w:szCs w:val="18"/>
                <w:lang w:val="fr-FR"/>
              </w:rPr>
              <w:t>970</w:t>
            </w:r>
          </w:p>
        </w:tc>
        <w:tc>
          <w:tcPr>
            <w:tcW w:w="954" w:type="dxa"/>
            <w:noWrap/>
            <w:vAlign w:val="center"/>
          </w:tcPr>
          <w:p w14:paraId="3DD9098A" w14:textId="29D519AA" w:rsidR="00A34099" w:rsidRPr="0076466C" w:rsidRDefault="00A34099" w:rsidP="00EC4063">
            <w:pPr>
              <w:pStyle w:val="Tabletext"/>
              <w:jc w:val="right"/>
              <w:rPr>
                <w:sz w:val="18"/>
                <w:szCs w:val="18"/>
                <w:lang w:val="fr-FR"/>
              </w:rPr>
            </w:pPr>
            <w:r w:rsidRPr="0076466C">
              <w:rPr>
                <w:sz w:val="18"/>
                <w:szCs w:val="18"/>
                <w:lang w:val="fr-FR"/>
              </w:rPr>
              <w:t>17 470</w:t>
            </w:r>
          </w:p>
        </w:tc>
        <w:tc>
          <w:tcPr>
            <w:tcW w:w="1856" w:type="dxa"/>
            <w:noWrap/>
            <w:vAlign w:val="center"/>
          </w:tcPr>
          <w:p w14:paraId="4A4FC39B" w14:textId="77777777" w:rsidR="00A34099" w:rsidRPr="0076466C" w:rsidRDefault="00A34099" w:rsidP="00EC4063">
            <w:pPr>
              <w:pStyle w:val="Tabletext"/>
              <w:jc w:val="center"/>
              <w:rPr>
                <w:sz w:val="18"/>
                <w:szCs w:val="18"/>
                <w:lang w:val="fr-FR"/>
              </w:rPr>
            </w:pPr>
            <w:r w:rsidRPr="0076466C">
              <w:rPr>
                <w:sz w:val="18"/>
                <w:szCs w:val="18"/>
                <w:lang w:val="fr-FR"/>
              </w:rPr>
              <w:t>Commission européenne</w:t>
            </w:r>
          </w:p>
        </w:tc>
      </w:tr>
      <w:tr w:rsidR="00A34099" w:rsidRPr="00A34099" w14:paraId="25B44233" w14:textId="77777777" w:rsidTr="00ED2C0F">
        <w:trPr>
          <w:trHeight w:val="371"/>
          <w:jc w:val="center"/>
        </w:trPr>
        <w:tc>
          <w:tcPr>
            <w:tcW w:w="1122" w:type="dxa"/>
            <w:noWrap/>
            <w:vAlign w:val="center"/>
          </w:tcPr>
          <w:p w14:paraId="0B359D0C" w14:textId="77777777" w:rsidR="00A34099" w:rsidRPr="0076466C" w:rsidRDefault="00A34099" w:rsidP="00EC4063">
            <w:pPr>
              <w:pStyle w:val="Tabletext"/>
              <w:jc w:val="center"/>
              <w:rPr>
                <w:sz w:val="18"/>
                <w:szCs w:val="18"/>
                <w:lang w:val="fr-FR"/>
              </w:rPr>
            </w:pPr>
            <w:r w:rsidRPr="0076466C">
              <w:rPr>
                <w:sz w:val="18"/>
                <w:szCs w:val="18"/>
                <w:lang w:val="fr-FR"/>
              </w:rPr>
              <w:t>9RAS24077</w:t>
            </w:r>
          </w:p>
        </w:tc>
        <w:tc>
          <w:tcPr>
            <w:tcW w:w="2565" w:type="dxa"/>
            <w:noWrap/>
            <w:vAlign w:val="center"/>
          </w:tcPr>
          <w:p w14:paraId="22D69B1F" w14:textId="1385EA37" w:rsidR="00A34099" w:rsidRPr="0076466C" w:rsidRDefault="00A34099" w:rsidP="00EC4063">
            <w:pPr>
              <w:pStyle w:val="Tabletext"/>
              <w:jc w:val="center"/>
              <w:rPr>
                <w:sz w:val="18"/>
                <w:szCs w:val="18"/>
                <w:lang w:val="fr-FR"/>
              </w:rPr>
            </w:pPr>
            <w:r w:rsidRPr="0076466C">
              <w:rPr>
                <w:sz w:val="18"/>
                <w:szCs w:val="18"/>
                <w:lang w:val="fr-FR"/>
              </w:rPr>
              <w:t>Renforcement de la participation de la région Asie</w:t>
            </w:r>
            <w:r w:rsidR="00A23E9E" w:rsidRPr="0076466C">
              <w:rPr>
                <w:sz w:val="18"/>
                <w:szCs w:val="18"/>
                <w:lang w:val="fr-FR"/>
              </w:rPr>
              <w:noBreakHyphen/>
            </w:r>
            <w:r w:rsidRPr="0076466C">
              <w:rPr>
                <w:sz w:val="18"/>
                <w:szCs w:val="18"/>
                <w:lang w:val="fr-FR"/>
              </w:rPr>
              <w:t>Pacifique aux conférences de l</w:t>
            </w:r>
            <w:r w:rsidR="00D9231C" w:rsidRPr="0076466C">
              <w:rPr>
                <w:sz w:val="18"/>
                <w:szCs w:val="18"/>
                <w:lang w:val="fr-FR"/>
              </w:rPr>
              <w:t>'</w:t>
            </w:r>
            <w:r w:rsidRPr="0076466C">
              <w:rPr>
                <w:sz w:val="18"/>
                <w:szCs w:val="18"/>
                <w:lang w:val="fr-FR"/>
              </w:rPr>
              <w:t>UIT (SAPEIC)</w:t>
            </w:r>
          </w:p>
        </w:tc>
        <w:tc>
          <w:tcPr>
            <w:tcW w:w="1128" w:type="dxa"/>
            <w:noWrap/>
            <w:vAlign w:val="center"/>
          </w:tcPr>
          <w:p w14:paraId="1E09ABDC" w14:textId="77777777" w:rsidR="00A34099" w:rsidRPr="0076466C" w:rsidRDefault="00A34099" w:rsidP="00EC4063">
            <w:pPr>
              <w:pStyle w:val="Tabletext"/>
              <w:jc w:val="center"/>
              <w:rPr>
                <w:sz w:val="18"/>
                <w:szCs w:val="18"/>
                <w:lang w:val="fr-FR"/>
              </w:rPr>
            </w:pPr>
            <w:r w:rsidRPr="0076466C">
              <w:rPr>
                <w:sz w:val="18"/>
                <w:szCs w:val="18"/>
                <w:lang w:val="fr-FR"/>
              </w:rPr>
              <w:t>ASP</w:t>
            </w:r>
          </w:p>
        </w:tc>
        <w:tc>
          <w:tcPr>
            <w:tcW w:w="1417" w:type="dxa"/>
            <w:noWrap/>
            <w:vAlign w:val="center"/>
          </w:tcPr>
          <w:p w14:paraId="7412E837"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14638942" w14:textId="7A8F3789" w:rsidR="00A34099" w:rsidRPr="0076466C" w:rsidRDefault="00A34099" w:rsidP="00EC4063">
            <w:pPr>
              <w:pStyle w:val="Tabletext"/>
              <w:jc w:val="right"/>
              <w:rPr>
                <w:sz w:val="18"/>
                <w:szCs w:val="18"/>
                <w:lang w:val="fr-FR"/>
              </w:rPr>
            </w:pPr>
            <w:r w:rsidRPr="0076466C">
              <w:rPr>
                <w:sz w:val="18"/>
                <w:szCs w:val="18"/>
                <w:lang w:val="fr-FR"/>
              </w:rPr>
              <w:t>30</w:t>
            </w:r>
            <w:r w:rsidR="00A23E9E" w:rsidRPr="0076466C">
              <w:rPr>
                <w:sz w:val="18"/>
                <w:szCs w:val="18"/>
                <w:lang w:val="fr-FR"/>
              </w:rPr>
              <w:t>5</w:t>
            </w:r>
          </w:p>
        </w:tc>
        <w:tc>
          <w:tcPr>
            <w:tcW w:w="850" w:type="dxa"/>
            <w:noWrap/>
            <w:vAlign w:val="center"/>
          </w:tcPr>
          <w:p w14:paraId="49956572" w14:textId="708B4FC9" w:rsidR="00A34099" w:rsidRPr="0076466C" w:rsidRDefault="00A34099" w:rsidP="00EC4063">
            <w:pPr>
              <w:pStyle w:val="Tabletext"/>
              <w:jc w:val="right"/>
              <w:rPr>
                <w:sz w:val="18"/>
                <w:szCs w:val="18"/>
                <w:lang w:val="fr-FR"/>
              </w:rPr>
            </w:pPr>
            <w:r w:rsidRPr="0076466C">
              <w:rPr>
                <w:sz w:val="18"/>
                <w:szCs w:val="18"/>
                <w:lang w:val="fr-FR"/>
              </w:rPr>
              <w:t>58</w:t>
            </w:r>
          </w:p>
        </w:tc>
        <w:tc>
          <w:tcPr>
            <w:tcW w:w="954" w:type="dxa"/>
            <w:noWrap/>
            <w:vAlign w:val="center"/>
          </w:tcPr>
          <w:p w14:paraId="0361904C" w14:textId="073BCFF9" w:rsidR="00A34099" w:rsidRPr="0076466C" w:rsidRDefault="00A34099" w:rsidP="00EC4063">
            <w:pPr>
              <w:pStyle w:val="Tabletext"/>
              <w:jc w:val="right"/>
              <w:rPr>
                <w:sz w:val="18"/>
                <w:szCs w:val="18"/>
                <w:lang w:val="fr-FR"/>
              </w:rPr>
            </w:pPr>
            <w:r w:rsidRPr="0076466C">
              <w:rPr>
                <w:sz w:val="18"/>
                <w:szCs w:val="18"/>
                <w:lang w:val="fr-FR"/>
              </w:rPr>
              <w:t>363</w:t>
            </w:r>
          </w:p>
        </w:tc>
        <w:tc>
          <w:tcPr>
            <w:tcW w:w="1856" w:type="dxa"/>
            <w:noWrap/>
            <w:vAlign w:val="center"/>
          </w:tcPr>
          <w:p w14:paraId="50E96AD5" w14:textId="77777777" w:rsidR="00A34099" w:rsidRPr="0076466C" w:rsidRDefault="00A34099" w:rsidP="00EC4063">
            <w:pPr>
              <w:pStyle w:val="Tabletext"/>
              <w:jc w:val="center"/>
              <w:rPr>
                <w:sz w:val="18"/>
                <w:szCs w:val="18"/>
                <w:lang w:val="fr-FR"/>
              </w:rPr>
            </w:pPr>
            <w:r w:rsidRPr="0076466C">
              <w:rPr>
                <w:sz w:val="18"/>
                <w:szCs w:val="18"/>
                <w:lang w:val="fr-FR"/>
              </w:rPr>
              <w:t>Ministère des infrastructures, des transports, du développement régional, des communications et des arts (DITRDCA) de l'Australie</w:t>
            </w:r>
          </w:p>
        </w:tc>
      </w:tr>
      <w:tr w:rsidR="00A34099" w:rsidRPr="00A34099" w14:paraId="339C2760" w14:textId="77777777" w:rsidTr="00ED2C0F">
        <w:trPr>
          <w:trHeight w:val="371"/>
          <w:jc w:val="center"/>
        </w:trPr>
        <w:tc>
          <w:tcPr>
            <w:tcW w:w="1122" w:type="dxa"/>
            <w:noWrap/>
            <w:vAlign w:val="center"/>
          </w:tcPr>
          <w:p w14:paraId="0F5C69AF" w14:textId="77777777" w:rsidR="00A34099" w:rsidRPr="0076466C" w:rsidRDefault="00A34099" w:rsidP="00EC4063">
            <w:pPr>
              <w:pStyle w:val="Tabletext"/>
              <w:jc w:val="center"/>
              <w:rPr>
                <w:sz w:val="18"/>
                <w:szCs w:val="18"/>
                <w:lang w:val="fr-FR"/>
              </w:rPr>
            </w:pPr>
            <w:r w:rsidRPr="0076466C">
              <w:rPr>
                <w:sz w:val="18"/>
                <w:szCs w:val="18"/>
                <w:lang w:val="fr-FR"/>
              </w:rPr>
              <w:t>7CIS25001</w:t>
            </w:r>
          </w:p>
        </w:tc>
        <w:tc>
          <w:tcPr>
            <w:tcW w:w="2565" w:type="dxa"/>
            <w:noWrap/>
            <w:vAlign w:val="center"/>
          </w:tcPr>
          <w:p w14:paraId="674F192B" w14:textId="16CAA109" w:rsidR="00A34099" w:rsidRPr="0076466C" w:rsidRDefault="00A34099" w:rsidP="00EC4063">
            <w:pPr>
              <w:pStyle w:val="Tabletext"/>
              <w:jc w:val="center"/>
              <w:rPr>
                <w:sz w:val="18"/>
                <w:szCs w:val="18"/>
                <w:lang w:val="fr-FR"/>
              </w:rPr>
            </w:pPr>
            <w:r w:rsidRPr="0076466C">
              <w:rPr>
                <w:sz w:val="18"/>
                <w:szCs w:val="18"/>
                <w:lang w:val="fr-FR"/>
              </w:rPr>
              <w:t>Coopération numérique gouvernementale dans les pays d</w:t>
            </w:r>
            <w:r w:rsidR="00D9231C" w:rsidRPr="0076466C">
              <w:rPr>
                <w:sz w:val="18"/>
                <w:szCs w:val="18"/>
                <w:lang w:val="fr-FR"/>
              </w:rPr>
              <w:t>'</w:t>
            </w:r>
            <w:r w:rsidRPr="0076466C">
              <w:rPr>
                <w:sz w:val="18"/>
                <w:szCs w:val="18"/>
                <w:lang w:val="fr-FR"/>
              </w:rPr>
              <w:t>Asie centrale et du Caucase</w:t>
            </w:r>
          </w:p>
        </w:tc>
        <w:tc>
          <w:tcPr>
            <w:tcW w:w="1128" w:type="dxa"/>
            <w:noWrap/>
            <w:vAlign w:val="center"/>
          </w:tcPr>
          <w:p w14:paraId="6085621B" w14:textId="77777777" w:rsidR="00A34099" w:rsidRPr="0076466C" w:rsidRDefault="00A34099" w:rsidP="00EC4063">
            <w:pPr>
              <w:pStyle w:val="Tabletext"/>
              <w:jc w:val="center"/>
              <w:rPr>
                <w:sz w:val="18"/>
                <w:szCs w:val="18"/>
                <w:lang w:val="fr-FR"/>
              </w:rPr>
            </w:pPr>
            <w:r w:rsidRPr="0076466C">
              <w:rPr>
                <w:sz w:val="18"/>
                <w:szCs w:val="18"/>
                <w:lang w:val="fr-FR"/>
              </w:rPr>
              <w:t>CEI</w:t>
            </w:r>
          </w:p>
        </w:tc>
        <w:tc>
          <w:tcPr>
            <w:tcW w:w="1417" w:type="dxa"/>
            <w:noWrap/>
            <w:vAlign w:val="center"/>
          </w:tcPr>
          <w:p w14:paraId="78119DB1" w14:textId="443F6E60" w:rsidR="00A34099" w:rsidRPr="0076466C" w:rsidRDefault="00A34099" w:rsidP="00EC4063">
            <w:pPr>
              <w:pStyle w:val="Tabletext"/>
              <w:jc w:val="center"/>
              <w:rPr>
                <w:sz w:val="18"/>
                <w:szCs w:val="18"/>
                <w:lang w:val="fr-FR"/>
              </w:rPr>
            </w:pPr>
            <w:r w:rsidRPr="0076466C">
              <w:rPr>
                <w:sz w:val="18"/>
                <w:szCs w:val="18"/>
                <w:lang w:val="fr-FR"/>
              </w:rPr>
              <w:t>CEI3 – Environnement réglementaire propice</w:t>
            </w:r>
          </w:p>
        </w:tc>
        <w:tc>
          <w:tcPr>
            <w:tcW w:w="993" w:type="dxa"/>
            <w:noWrap/>
            <w:vAlign w:val="center"/>
          </w:tcPr>
          <w:p w14:paraId="56DB811E" w14:textId="12164441" w:rsidR="00A34099" w:rsidRPr="0076466C" w:rsidRDefault="00A34099" w:rsidP="00EC4063">
            <w:pPr>
              <w:pStyle w:val="Tabletext"/>
              <w:jc w:val="right"/>
              <w:rPr>
                <w:sz w:val="18"/>
                <w:szCs w:val="18"/>
                <w:lang w:val="fr-FR"/>
              </w:rPr>
            </w:pPr>
            <w:r w:rsidRPr="0076466C">
              <w:rPr>
                <w:sz w:val="18"/>
                <w:szCs w:val="18"/>
                <w:lang w:val="fr-FR"/>
              </w:rPr>
              <w:t>88</w:t>
            </w:r>
          </w:p>
        </w:tc>
        <w:tc>
          <w:tcPr>
            <w:tcW w:w="850" w:type="dxa"/>
            <w:noWrap/>
            <w:vAlign w:val="center"/>
          </w:tcPr>
          <w:p w14:paraId="3DF53271" w14:textId="58BDA3A5" w:rsidR="00A34099" w:rsidRPr="0076466C" w:rsidRDefault="00A34099" w:rsidP="00EC4063">
            <w:pPr>
              <w:pStyle w:val="Tabletext"/>
              <w:jc w:val="right"/>
              <w:rPr>
                <w:sz w:val="18"/>
                <w:szCs w:val="18"/>
                <w:lang w:val="fr-FR"/>
              </w:rPr>
            </w:pPr>
            <w:r w:rsidRPr="0076466C">
              <w:rPr>
                <w:sz w:val="18"/>
                <w:szCs w:val="18"/>
                <w:lang w:val="fr-FR"/>
              </w:rPr>
              <w:t>88</w:t>
            </w:r>
          </w:p>
        </w:tc>
        <w:tc>
          <w:tcPr>
            <w:tcW w:w="954" w:type="dxa"/>
            <w:noWrap/>
            <w:vAlign w:val="center"/>
          </w:tcPr>
          <w:p w14:paraId="029CEB07" w14:textId="58ADF781" w:rsidR="00A34099" w:rsidRPr="0076466C" w:rsidRDefault="00A34099" w:rsidP="00EC4063">
            <w:pPr>
              <w:pStyle w:val="Tabletext"/>
              <w:jc w:val="right"/>
              <w:rPr>
                <w:sz w:val="18"/>
                <w:szCs w:val="18"/>
                <w:lang w:val="fr-FR"/>
              </w:rPr>
            </w:pPr>
            <w:r w:rsidRPr="0076466C">
              <w:rPr>
                <w:sz w:val="18"/>
                <w:szCs w:val="18"/>
                <w:lang w:val="fr-FR"/>
              </w:rPr>
              <w:t>176</w:t>
            </w:r>
          </w:p>
        </w:tc>
        <w:tc>
          <w:tcPr>
            <w:tcW w:w="1856" w:type="dxa"/>
            <w:noWrap/>
            <w:vAlign w:val="center"/>
          </w:tcPr>
          <w:p w14:paraId="58F11414" w14:textId="38ACA706" w:rsidR="00A34099" w:rsidRPr="0076466C" w:rsidRDefault="00A34099" w:rsidP="00EC4063">
            <w:pPr>
              <w:pStyle w:val="Tabletext"/>
              <w:jc w:val="center"/>
              <w:rPr>
                <w:sz w:val="18"/>
                <w:szCs w:val="18"/>
                <w:lang w:val="fr-FR"/>
              </w:rPr>
            </w:pPr>
            <w:r w:rsidRPr="0076466C">
              <w:rPr>
                <w:sz w:val="18"/>
                <w:szCs w:val="18"/>
                <w:lang w:val="fr-FR"/>
              </w:rPr>
              <w:t>Ministère du développement numérique, de l</w:t>
            </w:r>
            <w:r w:rsidR="00D9231C" w:rsidRPr="0076466C">
              <w:rPr>
                <w:sz w:val="18"/>
                <w:szCs w:val="18"/>
                <w:lang w:val="fr-FR"/>
              </w:rPr>
              <w:t>'</w:t>
            </w:r>
            <w:r w:rsidRPr="0076466C">
              <w:rPr>
                <w:sz w:val="18"/>
                <w:szCs w:val="18"/>
                <w:lang w:val="fr-FR"/>
              </w:rPr>
              <w:t>innovation et de l</w:t>
            </w:r>
            <w:r w:rsidR="00D9231C" w:rsidRPr="0076466C">
              <w:rPr>
                <w:sz w:val="18"/>
                <w:szCs w:val="18"/>
                <w:lang w:val="fr-FR"/>
              </w:rPr>
              <w:t>'</w:t>
            </w:r>
            <w:r w:rsidRPr="0076466C">
              <w:rPr>
                <w:sz w:val="18"/>
                <w:szCs w:val="18"/>
                <w:lang w:val="fr-FR"/>
              </w:rPr>
              <w:t>industrie aérospatiale (MDDIAI, Kazakhstan) et société anonyme National Information Technologies (NITEC, Kazakhstan)</w:t>
            </w:r>
          </w:p>
        </w:tc>
      </w:tr>
      <w:tr w:rsidR="00A34099" w:rsidRPr="00A34099" w14:paraId="121193ED" w14:textId="77777777" w:rsidTr="00ED2C0F">
        <w:trPr>
          <w:trHeight w:val="371"/>
          <w:jc w:val="center"/>
        </w:trPr>
        <w:tc>
          <w:tcPr>
            <w:tcW w:w="1122" w:type="dxa"/>
            <w:noWrap/>
            <w:vAlign w:val="center"/>
          </w:tcPr>
          <w:p w14:paraId="089F4BC5" w14:textId="77777777" w:rsidR="00A34099" w:rsidRPr="0076466C" w:rsidRDefault="00A34099" w:rsidP="00EC4063">
            <w:pPr>
              <w:pStyle w:val="Tabletext"/>
              <w:jc w:val="center"/>
              <w:rPr>
                <w:sz w:val="18"/>
                <w:szCs w:val="18"/>
                <w:lang w:val="fr-FR"/>
              </w:rPr>
            </w:pPr>
            <w:r w:rsidRPr="0076466C">
              <w:rPr>
                <w:sz w:val="18"/>
                <w:szCs w:val="18"/>
                <w:lang w:val="fr-FR"/>
              </w:rPr>
              <w:t>7GLO24142</w:t>
            </w:r>
          </w:p>
        </w:tc>
        <w:tc>
          <w:tcPr>
            <w:tcW w:w="2565" w:type="dxa"/>
            <w:noWrap/>
            <w:vAlign w:val="center"/>
          </w:tcPr>
          <w:p w14:paraId="622A7964" w14:textId="77777777" w:rsidR="00A34099" w:rsidRPr="0076466C" w:rsidRDefault="00A34099" w:rsidP="00EC4063">
            <w:pPr>
              <w:pStyle w:val="Tabletext"/>
              <w:jc w:val="center"/>
              <w:rPr>
                <w:sz w:val="18"/>
                <w:szCs w:val="18"/>
                <w:lang w:val="fr-FR"/>
              </w:rPr>
            </w:pPr>
            <w:r w:rsidRPr="0076466C">
              <w:rPr>
                <w:sz w:val="18"/>
                <w:szCs w:val="18"/>
                <w:lang w:val="fr-FR"/>
              </w:rPr>
              <w:t>Partenariat pour le renforcement de la cybersécurité</w:t>
            </w:r>
          </w:p>
        </w:tc>
        <w:tc>
          <w:tcPr>
            <w:tcW w:w="1128" w:type="dxa"/>
            <w:noWrap/>
            <w:vAlign w:val="center"/>
          </w:tcPr>
          <w:p w14:paraId="127FCD58" w14:textId="77777777" w:rsidR="00A34099" w:rsidRPr="0076466C" w:rsidRDefault="00A34099" w:rsidP="00EC4063">
            <w:pPr>
              <w:pStyle w:val="Tabletext"/>
              <w:jc w:val="center"/>
              <w:rPr>
                <w:sz w:val="18"/>
                <w:szCs w:val="18"/>
                <w:lang w:val="fr-FR"/>
              </w:rPr>
            </w:pPr>
            <w:r w:rsidRPr="0076466C">
              <w:rPr>
                <w:sz w:val="18"/>
                <w:szCs w:val="18"/>
                <w:lang w:val="fr-FR"/>
              </w:rPr>
              <w:t>AFR</w:t>
            </w:r>
          </w:p>
        </w:tc>
        <w:tc>
          <w:tcPr>
            <w:tcW w:w="1417" w:type="dxa"/>
            <w:noWrap/>
            <w:vAlign w:val="center"/>
          </w:tcPr>
          <w:p w14:paraId="4BF55E8B" w14:textId="77777777" w:rsidR="00A34099" w:rsidRPr="0076466C" w:rsidRDefault="00A34099" w:rsidP="00EC4063">
            <w:pPr>
              <w:pStyle w:val="Tabletext"/>
              <w:jc w:val="center"/>
              <w:rPr>
                <w:sz w:val="18"/>
                <w:szCs w:val="18"/>
                <w:lang w:val="fr-FR"/>
              </w:rPr>
            </w:pPr>
            <w:r w:rsidRPr="0076466C">
              <w:rPr>
                <w:sz w:val="18"/>
                <w:szCs w:val="18"/>
                <w:lang w:val="fr-FR"/>
              </w:rPr>
              <w:t>AFR3 – Confiance, sûreté et sécurité</w:t>
            </w:r>
          </w:p>
        </w:tc>
        <w:tc>
          <w:tcPr>
            <w:tcW w:w="993" w:type="dxa"/>
            <w:noWrap/>
            <w:vAlign w:val="center"/>
          </w:tcPr>
          <w:p w14:paraId="1F38CF78" w14:textId="11AD8B57" w:rsidR="00A34099" w:rsidRPr="0076466C" w:rsidRDefault="00A34099" w:rsidP="00EC4063">
            <w:pPr>
              <w:pStyle w:val="Tabletext"/>
              <w:jc w:val="right"/>
              <w:rPr>
                <w:sz w:val="18"/>
                <w:szCs w:val="18"/>
                <w:lang w:val="fr-FR"/>
              </w:rPr>
            </w:pPr>
            <w:r w:rsidRPr="0076466C">
              <w:rPr>
                <w:sz w:val="18"/>
                <w:szCs w:val="18"/>
                <w:lang w:val="fr-FR"/>
              </w:rPr>
              <w:t>39</w:t>
            </w:r>
            <w:r w:rsidR="00A23E9E" w:rsidRPr="0076466C">
              <w:rPr>
                <w:sz w:val="18"/>
                <w:szCs w:val="18"/>
                <w:lang w:val="fr-FR"/>
              </w:rPr>
              <w:t>7</w:t>
            </w:r>
          </w:p>
        </w:tc>
        <w:tc>
          <w:tcPr>
            <w:tcW w:w="850" w:type="dxa"/>
            <w:noWrap/>
            <w:vAlign w:val="center"/>
          </w:tcPr>
          <w:p w14:paraId="617BE152" w14:textId="7E9A5DCB" w:rsidR="00A34099" w:rsidRPr="0076466C" w:rsidRDefault="00A34099" w:rsidP="00EC4063">
            <w:pPr>
              <w:pStyle w:val="Tabletext"/>
              <w:jc w:val="right"/>
              <w:rPr>
                <w:sz w:val="18"/>
                <w:szCs w:val="18"/>
                <w:lang w:val="fr-FR"/>
              </w:rPr>
            </w:pPr>
            <w:r w:rsidRPr="0076466C">
              <w:rPr>
                <w:sz w:val="18"/>
                <w:szCs w:val="18"/>
                <w:lang w:val="fr-FR"/>
              </w:rPr>
              <w:t>166</w:t>
            </w:r>
          </w:p>
        </w:tc>
        <w:tc>
          <w:tcPr>
            <w:tcW w:w="954" w:type="dxa"/>
            <w:noWrap/>
            <w:vAlign w:val="center"/>
          </w:tcPr>
          <w:p w14:paraId="687FDF81" w14:textId="18524C36" w:rsidR="00A34099" w:rsidRPr="0076466C" w:rsidRDefault="00A34099" w:rsidP="00EC4063">
            <w:pPr>
              <w:pStyle w:val="Tabletext"/>
              <w:jc w:val="right"/>
              <w:rPr>
                <w:sz w:val="18"/>
                <w:szCs w:val="18"/>
                <w:lang w:val="fr-FR"/>
              </w:rPr>
            </w:pPr>
            <w:r w:rsidRPr="0076466C">
              <w:rPr>
                <w:sz w:val="18"/>
                <w:szCs w:val="18"/>
                <w:lang w:val="fr-FR"/>
              </w:rPr>
              <w:t>56</w:t>
            </w:r>
            <w:r w:rsidR="00A23E9E" w:rsidRPr="0076466C">
              <w:rPr>
                <w:sz w:val="18"/>
                <w:szCs w:val="18"/>
                <w:lang w:val="fr-FR"/>
              </w:rPr>
              <w:t>3</w:t>
            </w:r>
          </w:p>
        </w:tc>
        <w:tc>
          <w:tcPr>
            <w:tcW w:w="1856" w:type="dxa"/>
            <w:noWrap/>
            <w:vAlign w:val="center"/>
          </w:tcPr>
          <w:p w14:paraId="0CAE341A" w14:textId="77777777" w:rsidR="00A34099" w:rsidRPr="0076466C" w:rsidRDefault="00A34099" w:rsidP="00EC4063">
            <w:pPr>
              <w:pStyle w:val="Tabletext"/>
              <w:jc w:val="center"/>
              <w:rPr>
                <w:sz w:val="18"/>
                <w:szCs w:val="18"/>
                <w:lang w:val="fr-FR"/>
              </w:rPr>
            </w:pPr>
            <w:r w:rsidRPr="0076466C">
              <w:rPr>
                <w:sz w:val="18"/>
                <w:szCs w:val="18"/>
                <w:lang w:val="fr-FR"/>
              </w:rPr>
              <w:t>Agence allemande pour la coopération internationale (Deutsche Gesellschaft für Internationale Zusammenarbeit, GIZ)</w:t>
            </w:r>
          </w:p>
        </w:tc>
      </w:tr>
      <w:tr w:rsidR="00A34099" w:rsidRPr="00A34099" w14:paraId="46F4ECC4" w14:textId="77777777" w:rsidTr="00ED2C0F">
        <w:trPr>
          <w:trHeight w:val="371"/>
          <w:jc w:val="center"/>
        </w:trPr>
        <w:tc>
          <w:tcPr>
            <w:tcW w:w="1122" w:type="dxa"/>
            <w:noWrap/>
            <w:vAlign w:val="center"/>
          </w:tcPr>
          <w:p w14:paraId="4764B3B4" w14:textId="77777777" w:rsidR="00A34099" w:rsidRPr="0076466C" w:rsidRDefault="00A34099" w:rsidP="00EC4063">
            <w:pPr>
              <w:pStyle w:val="Tabletext"/>
              <w:jc w:val="center"/>
              <w:rPr>
                <w:sz w:val="18"/>
                <w:szCs w:val="18"/>
                <w:lang w:val="fr-FR"/>
              </w:rPr>
            </w:pPr>
            <w:r w:rsidRPr="0076466C">
              <w:rPr>
                <w:sz w:val="18"/>
                <w:szCs w:val="18"/>
                <w:lang w:val="fr-FR"/>
              </w:rPr>
              <w:t>7GLO24146</w:t>
            </w:r>
          </w:p>
        </w:tc>
        <w:tc>
          <w:tcPr>
            <w:tcW w:w="2565" w:type="dxa"/>
            <w:noWrap/>
            <w:vAlign w:val="center"/>
          </w:tcPr>
          <w:p w14:paraId="7D4EDA9A" w14:textId="77777777" w:rsidR="00A34099" w:rsidRPr="0076466C" w:rsidRDefault="00A34099" w:rsidP="00EC4063">
            <w:pPr>
              <w:pStyle w:val="Tabletext"/>
              <w:jc w:val="center"/>
              <w:rPr>
                <w:sz w:val="18"/>
                <w:szCs w:val="18"/>
                <w:lang w:val="fr-FR"/>
              </w:rPr>
            </w:pPr>
            <w:r w:rsidRPr="0076466C">
              <w:rPr>
                <w:sz w:val="18"/>
                <w:szCs w:val="18"/>
                <w:lang w:val="fr-FR"/>
              </w:rPr>
              <w:t>La cybersécurité au service du bien social (Phase 2)</w:t>
            </w:r>
          </w:p>
        </w:tc>
        <w:tc>
          <w:tcPr>
            <w:tcW w:w="1128" w:type="dxa"/>
            <w:noWrap/>
            <w:vAlign w:val="center"/>
          </w:tcPr>
          <w:p w14:paraId="55253A75" w14:textId="77777777" w:rsidR="00A34099" w:rsidRPr="0076466C" w:rsidRDefault="00A34099" w:rsidP="00EC4063">
            <w:pPr>
              <w:pStyle w:val="Tabletext"/>
              <w:jc w:val="center"/>
              <w:rPr>
                <w:sz w:val="18"/>
                <w:szCs w:val="18"/>
                <w:lang w:val="fr-FR"/>
              </w:rPr>
            </w:pPr>
            <w:r w:rsidRPr="0076466C">
              <w:rPr>
                <w:sz w:val="18"/>
                <w:szCs w:val="18"/>
                <w:lang w:val="fr-FR"/>
              </w:rPr>
              <w:t>Plusieurs régions</w:t>
            </w:r>
          </w:p>
        </w:tc>
        <w:tc>
          <w:tcPr>
            <w:tcW w:w="1417" w:type="dxa"/>
            <w:noWrap/>
            <w:vAlign w:val="center"/>
          </w:tcPr>
          <w:p w14:paraId="104085BB"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165707A4" w14:textId="17264DA2" w:rsidR="00A34099" w:rsidRPr="0076466C" w:rsidRDefault="00A34099" w:rsidP="00EC4063">
            <w:pPr>
              <w:pStyle w:val="Tabletext"/>
              <w:jc w:val="right"/>
              <w:rPr>
                <w:sz w:val="18"/>
                <w:szCs w:val="18"/>
                <w:lang w:val="fr-FR"/>
              </w:rPr>
            </w:pPr>
            <w:r w:rsidRPr="0076466C">
              <w:rPr>
                <w:sz w:val="18"/>
                <w:szCs w:val="18"/>
                <w:lang w:val="fr-FR"/>
              </w:rPr>
              <w:t>132</w:t>
            </w:r>
          </w:p>
        </w:tc>
        <w:tc>
          <w:tcPr>
            <w:tcW w:w="850" w:type="dxa"/>
            <w:noWrap/>
            <w:vAlign w:val="center"/>
          </w:tcPr>
          <w:p w14:paraId="23CCD49A" w14:textId="5EAECB3C" w:rsidR="00A34099" w:rsidRPr="0076466C" w:rsidRDefault="00A34099" w:rsidP="00EC4063">
            <w:pPr>
              <w:pStyle w:val="Tabletext"/>
              <w:jc w:val="right"/>
              <w:rPr>
                <w:sz w:val="18"/>
                <w:szCs w:val="18"/>
                <w:lang w:val="fr-FR"/>
              </w:rPr>
            </w:pPr>
            <w:r w:rsidRPr="0076466C">
              <w:rPr>
                <w:sz w:val="18"/>
                <w:szCs w:val="18"/>
                <w:lang w:val="fr-FR"/>
              </w:rPr>
              <w:t>132</w:t>
            </w:r>
          </w:p>
        </w:tc>
        <w:tc>
          <w:tcPr>
            <w:tcW w:w="954" w:type="dxa"/>
            <w:noWrap/>
            <w:vAlign w:val="center"/>
          </w:tcPr>
          <w:p w14:paraId="0404F05D" w14:textId="08D2B49D" w:rsidR="00A34099" w:rsidRPr="0076466C" w:rsidRDefault="00A34099" w:rsidP="00EC4063">
            <w:pPr>
              <w:pStyle w:val="Tabletext"/>
              <w:jc w:val="right"/>
              <w:rPr>
                <w:sz w:val="18"/>
                <w:szCs w:val="18"/>
                <w:lang w:val="fr-FR"/>
              </w:rPr>
            </w:pPr>
            <w:r w:rsidRPr="0076466C">
              <w:rPr>
                <w:sz w:val="18"/>
                <w:szCs w:val="18"/>
                <w:lang w:val="fr-FR"/>
              </w:rPr>
              <w:t>264</w:t>
            </w:r>
          </w:p>
        </w:tc>
        <w:tc>
          <w:tcPr>
            <w:tcW w:w="1856" w:type="dxa"/>
            <w:noWrap/>
            <w:vAlign w:val="center"/>
          </w:tcPr>
          <w:p w14:paraId="4C85E026" w14:textId="77777777" w:rsidR="00A34099" w:rsidRPr="0076466C" w:rsidRDefault="00A34099" w:rsidP="00EC4063">
            <w:pPr>
              <w:pStyle w:val="Tabletext"/>
              <w:jc w:val="center"/>
              <w:rPr>
                <w:sz w:val="18"/>
                <w:szCs w:val="18"/>
                <w:lang w:val="fr-FR"/>
              </w:rPr>
            </w:pPr>
            <w:r w:rsidRPr="0076466C">
              <w:rPr>
                <w:sz w:val="18"/>
                <w:szCs w:val="18"/>
                <w:lang w:val="fr-FR"/>
              </w:rPr>
              <w:t>Ministère des sciences et des TIC (MSIT), République de Corée</w:t>
            </w:r>
          </w:p>
        </w:tc>
      </w:tr>
      <w:tr w:rsidR="00A34099" w:rsidRPr="00A34099" w14:paraId="7257575F" w14:textId="77777777" w:rsidTr="00ED2C0F">
        <w:trPr>
          <w:trHeight w:val="371"/>
          <w:jc w:val="center"/>
        </w:trPr>
        <w:tc>
          <w:tcPr>
            <w:tcW w:w="1122" w:type="dxa"/>
            <w:noWrap/>
            <w:vAlign w:val="center"/>
          </w:tcPr>
          <w:p w14:paraId="3D2C08AD" w14:textId="77777777" w:rsidR="00A34099" w:rsidRPr="0076466C" w:rsidRDefault="00A34099" w:rsidP="00EC4063">
            <w:pPr>
              <w:pStyle w:val="Tabletext"/>
              <w:jc w:val="center"/>
              <w:rPr>
                <w:sz w:val="18"/>
                <w:szCs w:val="18"/>
                <w:lang w:val="fr-FR"/>
              </w:rPr>
            </w:pPr>
            <w:r w:rsidRPr="0076466C">
              <w:rPr>
                <w:sz w:val="18"/>
                <w:szCs w:val="18"/>
                <w:lang w:val="fr-FR"/>
              </w:rPr>
              <w:t>7MNE24002</w:t>
            </w:r>
          </w:p>
        </w:tc>
        <w:tc>
          <w:tcPr>
            <w:tcW w:w="2565" w:type="dxa"/>
            <w:noWrap/>
            <w:vAlign w:val="center"/>
          </w:tcPr>
          <w:p w14:paraId="5D5596C8" w14:textId="77777777" w:rsidR="00A34099" w:rsidRPr="0076466C" w:rsidRDefault="00A34099" w:rsidP="00EC4063">
            <w:pPr>
              <w:pStyle w:val="Tabletext"/>
              <w:jc w:val="center"/>
              <w:rPr>
                <w:sz w:val="18"/>
                <w:szCs w:val="18"/>
                <w:lang w:val="fr-FR"/>
              </w:rPr>
            </w:pPr>
            <w:r w:rsidRPr="0076466C">
              <w:rPr>
                <w:sz w:val="18"/>
                <w:szCs w:val="18"/>
                <w:lang w:val="fr-FR"/>
              </w:rPr>
              <w:t>Transformation numérique des collectivités locales au Monténégro</w:t>
            </w:r>
          </w:p>
        </w:tc>
        <w:tc>
          <w:tcPr>
            <w:tcW w:w="1128" w:type="dxa"/>
            <w:noWrap/>
            <w:vAlign w:val="center"/>
          </w:tcPr>
          <w:p w14:paraId="378670DD" w14:textId="77777777" w:rsidR="00A34099" w:rsidRPr="0076466C" w:rsidRDefault="00A34099" w:rsidP="00EC4063">
            <w:pPr>
              <w:pStyle w:val="Tabletext"/>
              <w:jc w:val="center"/>
              <w:rPr>
                <w:sz w:val="18"/>
                <w:szCs w:val="18"/>
                <w:lang w:val="fr-FR"/>
              </w:rPr>
            </w:pPr>
            <w:r w:rsidRPr="0076466C">
              <w:rPr>
                <w:sz w:val="18"/>
                <w:szCs w:val="18"/>
                <w:lang w:val="fr-FR"/>
              </w:rPr>
              <w:t>EUR</w:t>
            </w:r>
          </w:p>
        </w:tc>
        <w:tc>
          <w:tcPr>
            <w:tcW w:w="1417" w:type="dxa"/>
            <w:noWrap/>
            <w:vAlign w:val="center"/>
          </w:tcPr>
          <w:p w14:paraId="3BA4B1F1" w14:textId="77777777" w:rsidR="00A34099" w:rsidRPr="0076466C" w:rsidRDefault="00A34099" w:rsidP="00EC4063">
            <w:pPr>
              <w:pStyle w:val="Tabletext"/>
              <w:jc w:val="center"/>
              <w:rPr>
                <w:sz w:val="18"/>
                <w:szCs w:val="18"/>
                <w:lang w:val="fr-FR"/>
              </w:rPr>
            </w:pPr>
            <w:r w:rsidRPr="0076466C">
              <w:rPr>
                <w:sz w:val="18"/>
                <w:szCs w:val="18"/>
                <w:lang w:val="fr-FR"/>
              </w:rPr>
              <w:t>EUR2 – Transformation numérique</w:t>
            </w:r>
          </w:p>
        </w:tc>
        <w:tc>
          <w:tcPr>
            <w:tcW w:w="993" w:type="dxa"/>
            <w:noWrap/>
            <w:vAlign w:val="center"/>
          </w:tcPr>
          <w:p w14:paraId="384B345B" w14:textId="7D9BE9C2" w:rsidR="00A34099" w:rsidRPr="0076466C" w:rsidRDefault="00A34099" w:rsidP="00EC4063">
            <w:pPr>
              <w:pStyle w:val="Tabletext"/>
              <w:jc w:val="right"/>
              <w:rPr>
                <w:sz w:val="18"/>
                <w:szCs w:val="18"/>
                <w:lang w:val="fr-FR"/>
              </w:rPr>
            </w:pPr>
            <w:r w:rsidRPr="0076466C">
              <w:rPr>
                <w:sz w:val="18"/>
                <w:szCs w:val="18"/>
                <w:lang w:val="fr-FR"/>
              </w:rPr>
              <w:t>97</w:t>
            </w:r>
          </w:p>
        </w:tc>
        <w:tc>
          <w:tcPr>
            <w:tcW w:w="850" w:type="dxa"/>
            <w:noWrap/>
            <w:vAlign w:val="center"/>
          </w:tcPr>
          <w:p w14:paraId="38245DAD" w14:textId="4811D0D3" w:rsidR="00A34099" w:rsidRPr="0076466C" w:rsidRDefault="00A34099" w:rsidP="00EC4063">
            <w:pPr>
              <w:pStyle w:val="Tabletext"/>
              <w:jc w:val="right"/>
              <w:rPr>
                <w:sz w:val="18"/>
                <w:szCs w:val="18"/>
                <w:lang w:val="fr-FR"/>
              </w:rPr>
            </w:pPr>
            <w:r w:rsidRPr="0076466C">
              <w:rPr>
                <w:sz w:val="18"/>
                <w:szCs w:val="18"/>
                <w:lang w:val="fr-FR"/>
              </w:rPr>
              <w:t>48</w:t>
            </w:r>
          </w:p>
        </w:tc>
        <w:tc>
          <w:tcPr>
            <w:tcW w:w="954" w:type="dxa"/>
            <w:noWrap/>
            <w:vAlign w:val="center"/>
          </w:tcPr>
          <w:p w14:paraId="662A8EC9" w14:textId="00FCB771" w:rsidR="00A34099" w:rsidRPr="0076466C" w:rsidRDefault="00A34099" w:rsidP="00EC4063">
            <w:pPr>
              <w:pStyle w:val="Tabletext"/>
              <w:jc w:val="right"/>
              <w:rPr>
                <w:sz w:val="18"/>
                <w:szCs w:val="18"/>
                <w:lang w:val="fr-FR"/>
              </w:rPr>
            </w:pPr>
            <w:r w:rsidRPr="0076466C">
              <w:rPr>
                <w:sz w:val="18"/>
                <w:szCs w:val="18"/>
                <w:lang w:val="fr-FR"/>
              </w:rPr>
              <w:t>145</w:t>
            </w:r>
          </w:p>
        </w:tc>
        <w:tc>
          <w:tcPr>
            <w:tcW w:w="1856" w:type="dxa"/>
            <w:noWrap/>
            <w:vAlign w:val="center"/>
          </w:tcPr>
          <w:p w14:paraId="09B4A62A" w14:textId="067B121E" w:rsidR="00A34099" w:rsidRPr="0076466C" w:rsidRDefault="00A34099" w:rsidP="00EC4063">
            <w:pPr>
              <w:pStyle w:val="Tabletext"/>
              <w:jc w:val="center"/>
              <w:rPr>
                <w:sz w:val="18"/>
                <w:szCs w:val="18"/>
                <w:lang w:val="fr-FR"/>
              </w:rPr>
            </w:pPr>
            <w:r w:rsidRPr="0076466C">
              <w:rPr>
                <w:sz w:val="18"/>
                <w:szCs w:val="18"/>
                <w:lang w:val="fr-FR"/>
              </w:rPr>
              <w:t>Gouvernement du Monténégro et Fonds d</w:t>
            </w:r>
            <w:r w:rsidR="00D9231C" w:rsidRPr="0076466C">
              <w:rPr>
                <w:sz w:val="18"/>
                <w:szCs w:val="18"/>
                <w:lang w:val="fr-FR"/>
              </w:rPr>
              <w:t>'</w:t>
            </w:r>
            <w:r w:rsidRPr="0076466C">
              <w:rPr>
                <w:sz w:val="18"/>
                <w:szCs w:val="18"/>
                <w:lang w:val="fr-FR"/>
              </w:rPr>
              <w:t>accélération pour les ODD</w:t>
            </w:r>
          </w:p>
        </w:tc>
      </w:tr>
      <w:tr w:rsidR="00A34099" w:rsidRPr="00A34099" w14:paraId="714DD7FA" w14:textId="77777777" w:rsidTr="00ED2C0F">
        <w:trPr>
          <w:trHeight w:val="371"/>
          <w:jc w:val="center"/>
        </w:trPr>
        <w:tc>
          <w:tcPr>
            <w:tcW w:w="1122" w:type="dxa"/>
            <w:noWrap/>
            <w:vAlign w:val="center"/>
          </w:tcPr>
          <w:p w14:paraId="1BBFC79B" w14:textId="77777777" w:rsidR="00A34099" w:rsidRPr="0076466C" w:rsidRDefault="00A34099" w:rsidP="00EC4063">
            <w:pPr>
              <w:pStyle w:val="Tabletext"/>
              <w:jc w:val="center"/>
              <w:rPr>
                <w:sz w:val="18"/>
                <w:szCs w:val="18"/>
                <w:lang w:val="fr-FR"/>
              </w:rPr>
            </w:pPr>
            <w:r w:rsidRPr="0076466C">
              <w:rPr>
                <w:sz w:val="18"/>
                <w:szCs w:val="18"/>
                <w:lang w:val="fr-FR"/>
              </w:rPr>
              <w:t>7RAF24106</w:t>
            </w:r>
          </w:p>
        </w:tc>
        <w:tc>
          <w:tcPr>
            <w:tcW w:w="2565" w:type="dxa"/>
            <w:noWrap/>
            <w:vAlign w:val="center"/>
          </w:tcPr>
          <w:p w14:paraId="275954F6" w14:textId="77777777" w:rsidR="00A34099" w:rsidRPr="0076466C" w:rsidRDefault="00A34099" w:rsidP="00EC4063">
            <w:pPr>
              <w:pStyle w:val="Tabletext"/>
              <w:jc w:val="center"/>
              <w:rPr>
                <w:sz w:val="18"/>
                <w:szCs w:val="18"/>
                <w:lang w:val="fr-FR"/>
              </w:rPr>
            </w:pPr>
            <w:r w:rsidRPr="0076466C">
              <w:rPr>
                <w:sz w:val="18"/>
                <w:szCs w:val="18"/>
                <w:lang w:val="fr-FR"/>
              </w:rPr>
              <w:t>Cyberrésilience au service du développement numérique dans les pays les moins avancés</w:t>
            </w:r>
          </w:p>
        </w:tc>
        <w:tc>
          <w:tcPr>
            <w:tcW w:w="1128" w:type="dxa"/>
            <w:noWrap/>
            <w:vAlign w:val="center"/>
          </w:tcPr>
          <w:p w14:paraId="291D1811" w14:textId="77777777" w:rsidR="00A34099" w:rsidRPr="0076466C" w:rsidRDefault="00A34099" w:rsidP="00EC4063">
            <w:pPr>
              <w:pStyle w:val="Tabletext"/>
              <w:jc w:val="center"/>
              <w:rPr>
                <w:sz w:val="18"/>
                <w:szCs w:val="18"/>
                <w:lang w:val="fr-FR"/>
              </w:rPr>
            </w:pPr>
            <w:r w:rsidRPr="0076466C">
              <w:rPr>
                <w:sz w:val="18"/>
                <w:szCs w:val="18"/>
                <w:lang w:val="fr-FR"/>
              </w:rPr>
              <w:t>Plusieurs régions</w:t>
            </w:r>
          </w:p>
        </w:tc>
        <w:tc>
          <w:tcPr>
            <w:tcW w:w="1417" w:type="dxa"/>
            <w:noWrap/>
            <w:vAlign w:val="center"/>
          </w:tcPr>
          <w:p w14:paraId="5C310E94"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61092BC4" w14:textId="3B836C38" w:rsidR="00A34099" w:rsidRPr="0076466C" w:rsidRDefault="00A34099" w:rsidP="00EC4063">
            <w:pPr>
              <w:pStyle w:val="Tabletext"/>
              <w:jc w:val="right"/>
              <w:rPr>
                <w:sz w:val="18"/>
                <w:szCs w:val="18"/>
                <w:lang w:val="fr-FR"/>
              </w:rPr>
            </w:pPr>
            <w:r w:rsidRPr="0076466C">
              <w:rPr>
                <w:sz w:val="18"/>
                <w:szCs w:val="18"/>
                <w:lang w:val="fr-FR"/>
              </w:rPr>
              <w:t>97</w:t>
            </w:r>
          </w:p>
        </w:tc>
        <w:tc>
          <w:tcPr>
            <w:tcW w:w="850" w:type="dxa"/>
            <w:noWrap/>
            <w:vAlign w:val="center"/>
          </w:tcPr>
          <w:p w14:paraId="37E0DC8A" w14:textId="6DCE7009" w:rsidR="00A34099" w:rsidRPr="0076466C" w:rsidRDefault="00A34099" w:rsidP="00EC4063">
            <w:pPr>
              <w:pStyle w:val="Tabletext"/>
              <w:jc w:val="right"/>
              <w:rPr>
                <w:sz w:val="18"/>
                <w:szCs w:val="18"/>
                <w:lang w:val="fr-FR"/>
              </w:rPr>
            </w:pPr>
            <w:r w:rsidRPr="0076466C">
              <w:rPr>
                <w:sz w:val="18"/>
                <w:szCs w:val="18"/>
                <w:lang w:val="fr-FR"/>
              </w:rPr>
              <w:t>50</w:t>
            </w:r>
          </w:p>
        </w:tc>
        <w:tc>
          <w:tcPr>
            <w:tcW w:w="954" w:type="dxa"/>
            <w:noWrap/>
            <w:vAlign w:val="center"/>
          </w:tcPr>
          <w:p w14:paraId="487967E8" w14:textId="40AD3491" w:rsidR="00A34099" w:rsidRPr="0076466C" w:rsidRDefault="00A34099" w:rsidP="00EC4063">
            <w:pPr>
              <w:pStyle w:val="Tabletext"/>
              <w:jc w:val="right"/>
              <w:rPr>
                <w:sz w:val="18"/>
                <w:szCs w:val="18"/>
                <w:lang w:val="fr-FR"/>
              </w:rPr>
            </w:pPr>
            <w:r w:rsidRPr="0076466C">
              <w:rPr>
                <w:sz w:val="18"/>
                <w:szCs w:val="18"/>
                <w:lang w:val="fr-FR"/>
              </w:rPr>
              <w:t>147</w:t>
            </w:r>
          </w:p>
        </w:tc>
        <w:tc>
          <w:tcPr>
            <w:tcW w:w="1856" w:type="dxa"/>
            <w:noWrap/>
            <w:vAlign w:val="center"/>
          </w:tcPr>
          <w:p w14:paraId="74941DF3" w14:textId="77777777" w:rsidR="00A34099" w:rsidRPr="0076466C" w:rsidRDefault="00A34099" w:rsidP="00EC4063">
            <w:pPr>
              <w:pStyle w:val="Tabletext"/>
              <w:jc w:val="center"/>
              <w:rPr>
                <w:sz w:val="18"/>
                <w:szCs w:val="18"/>
                <w:lang w:val="fr-FR"/>
              </w:rPr>
            </w:pPr>
            <w:r w:rsidRPr="0076466C">
              <w:rPr>
                <w:sz w:val="18"/>
                <w:szCs w:val="18"/>
                <w:lang w:val="fr-FR"/>
              </w:rPr>
              <w:t>République tchèque</w:t>
            </w:r>
          </w:p>
        </w:tc>
      </w:tr>
      <w:tr w:rsidR="00A34099" w:rsidRPr="00A34099" w14:paraId="10843413" w14:textId="77777777" w:rsidTr="00ED2C0F">
        <w:trPr>
          <w:trHeight w:val="371"/>
          <w:jc w:val="center"/>
        </w:trPr>
        <w:tc>
          <w:tcPr>
            <w:tcW w:w="1122" w:type="dxa"/>
            <w:noWrap/>
            <w:vAlign w:val="center"/>
          </w:tcPr>
          <w:p w14:paraId="526396D1" w14:textId="77777777" w:rsidR="00A34099" w:rsidRPr="0076466C" w:rsidRDefault="00A34099" w:rsidP="00EC4063">
            <w:pPr>
              <w:pStyle w:val="Tabletext"/>
              <w:jc w:val="center"/>
              <w:rPr>
                <w:sz w:val="18"/>
                <w:szCs w:val="18"/>
                <w:lang w:val="fr-FR"/>
              </w:rPr>
            </w:pPr>
            <w:r w:rsidRPr="0076466C">
              <w:rPr>
                <w:sz w:val="18"/>
                <w:szCs w:val="18"/>
                <w:lang w:val="fr-FR"/>
              </w:rPr>
              <w:t>7RAS24076</w:t>
            </w:r>
          </w:p>
        </w:tc>
        <w:tc>
          <w:tcPr>
            <w:tcW w:w="2565" w:type="dxa"/>
            <w:noWrap/>
            <w:vAlign w:val="center"/>
          </w:tcPr>
          <w:p w14:paraId="519DB9A6" w14:textId="77777777" w:rsidR="00A34099" w:rsidRPr="0076466C" w:rsidRDefault="00A34099" w:rsidP="00EC4063">
            <w:pPr>
              <w:pStyle w:val="Tabletext"/>
              <w:jc w:val="center"/>
              <w:rPr>
                <w:sz w:val="18"/>
                <w:szCs w:val="18"/>
                <w:lang w:val="fr-FR"/>
              </w:rPr>
            </w:pPr>
            <w:r w:rsidRPr="0076466C">
              <w:rPr>
                <w:sz w:val="18"/>
                <w:szCs w:val="18"/>
                <w:lang w:val="fr-FR"/>
              </w:rPr>
              <w:t>Étude de faisabilité: répondre aux besoins particuliers des petits États insulaires en développement du Pacifique en matière de télécommunication/TIC</w:t>
            </w:r>
          </w:p>
        </w:tc>
        <w:tc>
          <w:tcPr>
            <w:tcW w:w="1128" w:type="dxa"/>
            <w:noWrap/>
            <w:vAlign w:val="center"/>
          </w:tcPr>
          <w:p w14:paraId="2AE7FA76" w14:textId="77777777" w:rsidR="00A34099" w:rsidRPr="0076466C" w:rsidRDefault="00A34099" w:rsidP="00EC4063">
            <w:pPr>
              <w:pStyle w:val="Tabletext"/>
              <w:jc w:val="center"/>
              <w:rPr>
                <w:sz w:val="18"/>
                <w:szCs w:val="18"/>
                <w:lang w:val="fr-FR"/>
              </w:rPr>
            </w:pPr>
            <w:r w:rsidRPr="0076466C">
              <w:rPr>
                <w:sz w:val="18"/>
                <w:szCs w:val="18"/>
                <w:lang w:val="fr-FR"/>
              </w:rPr>
              <w:t>ASP</w:t>
            </w:r>
          </w:p>
        </w:tc>
        <w:tc>
          <w:tcPr>
            <w:tcW w:w="1417" w:type="dxa"/>
            <w:noWrap/>
            <w:vAlign w:val="center"/>
          </w:tcPr>
          <w:p w14:paraId="20803C96" w14:textId="77777777" w:rsidR="00A34099" w:rsidRPr="0076466C" w:rsidRDefault="00A34099" w:rsidP="00EC4063">
            <w:pPr>
              <w:pStyle w:val="Tabletext"/>
              <w:jc w:val="center"/>
              <w:rPr>
                <w:sz w:val="18"/>
                <w:szCs w:val="18"/>
                <w:lang w:val="fr-FR"/>
              </w:rPr>
            </w:pPr>
            <w:r w:rsidRPr="0076466C">
              <w:rPr>
                <w:sz w:val="18"/>
                <w:szCs w:val="18"/>
                <w:lang w:val="fr-FR"/>
              </w:rPr>
              <w:t>ASP1 – Besoins particuliers des PMA, des PEID et des PDSL</w:t>
            </w:r>
          </w:p>
        </w:tc>
        <w:tc>
          <w:tcPr>
            <w:tcW w:w="993" w:type="dxa"/>
            <w:noWrap/>
            <w:vAlign w:val="center"/>
          </w:tcPr>
          <w:p w14:paraId="72A11769" w14:textId="279B88E6" w:rsidR="00A34099" w:rsidRPr="0076466C" w:rsidRDefault="00A34099" w:rsidP="00EC4063">
            <w:pPr>
              <w:pStyle w:val="Tabletext"/>
              <w:jc w:val="right"/>
              <w:rPr>
                <w:sz w:val="18"/>
                <w:szCs w:val="18"/>
                <w:lang w:val="fr-FR"/>
              </w:rPr>
            </w:pPr>
            <w:r w:rsidRPr="0076466C">
              <w:rPr>
                <w:sz w:val="18"/>
                <w:szCs w:val="18"/>
                <w:lang w:val="fr-FR"/>
              </w:rPr>
              <w:t>50</w:t>
            </w:r>
            <w:r w:rsidR="00ED2C0F" w:rsidRPr="0076466C">
              <w:rPr>
                <w:sz w:val="18"/>
                <w:szCs w:val="18"/>
                <w:lang w:val="fr-FR"/>
              </w:rPr>
              <w:t>2</w:t>
            </w:r>
          </w:p>
        </w:tc>
        <w:tc>
          <w:tcPr>
            <w:tcW w:w="850" w:type="dxa"/>
            <w:noWrap/>
            <w:vAlign w:val="center"/>
          </w:tcPr>
          <w:p w14:paraId="290C1DF1" w14:textId="625191F8" w:rsidR="00A34099" w:rsidRPr="0076466C" w:rsidRDefault="00A34099" w:rsidP="00EC4063">
            <w:pPr>
              <w:pStyle w:val="Tabletext"/>
              <w:jc w:val="right"/>
              <w:rPr>
                <w:sz w:val="18"/>
                <w:szCs w:val="18"/>
                <w:lang w:val="fr-FR"/>
              </w:rPr>
            </w:pPr>
            <w:r w:rsidRPr="0076466C">
              <w:rPr>
                <w:sz w:val="18"/>
                <w:szCs w:val="18"/>
                <w:lang w:val="fr-FR"/>
              </w:rPr>
              <w:t>166</w:t>
            </w:r>
          </w:p>
        </w:tc>
        <w:tc>
          <w:tcPr>
            <w:tcW w:w="954" w:type="dxa"/>
            <w:noWrap/>
            <w:vAlign w:val="center"/>
          </w:tcPr>
          <w:p w14:paraId="50E577B3" w14:textId="060762E8" w:rsidR="00A34099" w:rsidRPr="0076466C" w:rsidRDefault="00A34099" w:rsidP="00EC4063">
            <w:pPr>
              <w:pStyle w:val="Tabletext"/>
              <w:jc w:val="right"/>
              <w:rPr>
                <w:sz w:val="18"/>
                <w:szCs w:val="18"/>
                <w:lang w:val="fr-FR"/>
              </w:rPr>
            </w:pPr>
            <w:r w:rsidRPr="0076466C">
              <w:rPr>
                <w:sz w:val="18"/>
                <w:szCs w:val="18"/>
                <w:lang w:val="fr-FR"/>
              </w:rPr>
              <w:t>668</w:t>
            </w:r>
          </w:p>
        </w:tc>
        <w:tc>
          <w:tcPr>
            <w:tcW w:w="1856" w:type="dxa"/>
            <w:noWrap/>
            <w:vAlign w:val="center"/>
          </w:tcPr>
          <w:p w14:paraId="0E2DDD01" w14:textId="77777777" w:rsidR="00A34099" w:rsidRPr="0076466C" w:rsidRDefault="00A34099" w:rsidP="00EC4063">
            <w:pPr>
              <w:pStyle w:val="Tabletext"/>
              <w:jc w:val="center"/>
              <w:rPr>
                <w:sz w:val="18"/>
                <w:szCs w:val="18"/>
                <w:lang w:val="fr-FR"/>
              </w:rPr>
            </w:pPr>
            <w:r w:rsidRPr="0076466C">
              <w:rPr>
                <w:sz w:val="18"/>
                <w:szCs w:val="18"/>
                <w:lang w:val="fr-FR"/>
              </w:rPr>
              <w:t>Ministère des infrastructures, des transports, du développement régional, des communications et des arts (DITRDCA) de l'Australie</w:t>
            </w:r>
          </w:p>
        </w:tc>
      </w:tr>
      <w:tr w:rsidR="00A34099" w:rsidRPr="00A34099" w14:paraId="6DBC2D4C" w14:textId="77777777" w:rsidTr="00ED2C0F">
        <w:trPr>
          <w:trHeight w:val="371"/>
          <w:jc w:val="center"/>
        </w:trPr>
        <w:tc>
          <w:tcPr>
            <w:tcW w:w="1122" w:type="dxa"/>
            <w:noWrap/>
            <w:vAlign w:val="center"/>
          </w:tcPr>
          <w:p w14:paraId="3ACE8608" w14:textId="77777777" w:rsidR="00A34099" w:rsidRPr="0076466C" w:rsidRDefault="00A34099" w:rsidP="00EC4063">
            <w:pPr>
              <w:pStyle w:val="Tabletext"/>
              <w:jc w:val="center"/>
              <w:rPr>
                <w:sz w:val="18"/>
                <w:szCs w:val="18"/>
                <w:lang w:val="fr-FR"/>
              </w:rPr>
            </w:pPr>
            <w:r w:rsidRPr="0076466C">
              <w:rPr>
                <w:sz w:val="18"/>
                <w:szCs w:val="18"/>
                <w:lang w:val="fr-FR"/>
              </w:rPr>
              <w:t>9GLO23134</w:t>
            </w:r>
          </w:p>
        </w:tc>
        <w:tc>
          <w:tcPr>
            <w:tcW w:w="2565" w:type="dxa"/>
            <w:noWrap/>
            <w:vAlign w:val="center"/>
          </w:tcPr>
          <w:p w14:paraId="1FF8C58A" w14:textId="77777777" w:rsidR="00A34099" w:rsidRPr="0076466C" w:rsidRDefault="00A34099" w:rsidP="00EC4063">
            <w:pPr>
              <w:pStyle w:val="Tabletext"/>
              <w:jc w:val="center"/>
              <w:rPr>
                <w:sz w:val="18"/>
                <w:szCs w:val="18"/>
                <w:lang w:val="fr-FR"/>
              </w:rPr>
            </w:pPr>
            <w:r w:rsidRPr="0076466C">
              <w:rPr>
                <w:sz w:val="18"/>
                <w:szCs w:val="18"/>
                <w:lang w:val="fr-FR"/>
              </w:rPr>
              <w:t>Assistance visant à encourager l'utilisation de technologies innovantes pour édifier une société numérique de prospérité partagée</w:t>
            </w:r>
          </w:p>
        </w:tc>
        <w:tc>
          <w:tcPr>
            <w:tcW w:w="1128" w:type="dxa"/>
            <w:noWrap/>
            <w:vAlign w:val="center"/>
          </w:tcPr>
          <w:p w14:paraId="25BEF070" w14:textId="77777777" w:rsidR="00A34099" w:rsidRPr="0076466C" w:rsidRDefault="00A34099" w:rsidP="00EC4063">
            <w:pPr>
              <w:pStyle w:val="Tabletext"/>
              <w:jc w:val="center"/>
              <w:rPr>
                <w:sz w:val="18"/>
                <w:szCs w:val="18"/>
                <w:lang w:val="fr-FR"/>
              </w:rPr>
            </w:pPr>
            <w:r w:rsidRPr="0076466C">
              <w:rPr>
                <w:sz w:val="18"/>
                <w:szCs w:val="18"/>
                <w:lang w:val="fr-FR"/>
              </w:rPr>
              <w:t>Plusieurs régions</w:t>
            </w:r>
          </w:p>
        </w:tc>
        <w:tc>
          <w:tcPr>
            <w:tcW w:w="1417" w:type="dxa"/>
            <w:noWrap/>
            <w:vAlign w:val="center"/>
          </w:tcPr>
          <w:p w14:paraId="291AC019" w14:textId="77777777" w:rsidR="00A34099" w:rsidRPr="0076466C" w:rsidRDefault="00A34099" w:rsidP="00EC4063">
            <w:pPr>
              <w:pStyle w:val="Tabletext"/>
              <w:jc w:val="center"/>
              <w:rPr>
                <w:sz w:val="18"/>
                <w:szCs w:val="18"/>
                <w:lang w:val="fr-FR"/>
              </w:rPr>
            </w:pPr>
            <w:r w:rsidRPr="0076466C">
              <w:rPr>
                <w:sz w:val="18"/>
                <w:szCs w:val="18"/>
                <w:lang w:val="fr-FR"/>
              </w:rPr>
              <w:t>Multiple</w:t>
            </w:r>
          </w:p>
        </w:tc>
        <w:tc>
          <w:tcPr>
            <w:tcW w:w="993" w:type="dxa"/>
            <w:noWrap/>
            <w:vAlign w:val="center"/>
          </w:tcPr>
          <w:p w14:paraId="02483688" w14:textId="56DE72A0" w:rsidR="00A34099" w:rsidRPr="0076466C" w:rsidRDefault="00A34099" w:rsidP="00EC4063">
            <w:pPr>
              <w:pStyle w:val="Tabletext"/>
              <w:jc w:val="right"/>
              <w:rPr>
                <w:sz w:val="18"/>
                <w:szCs w:val="18"/>
                <w:lang w:val="fr-FR"/>
              </w:rPr>
            </w:pPr>
            <w:r w:rsidRPr="0076466C">
              <w:rPr>
                <w:sz w:val="18"/>
                <w:szCs w:val="18"/>
                <w:lang w:val="fr-FR"/>
              </w:rPr>
              <w:t>199</w:t>
            </w:r>
          </w:p>
        </w:tc>
        <w:tc>
          <w:tcPr>
            <w:tcW w:w="850" w:type="dxa"/>
            <w:noWrap/>
            <w:vAlign w:val="center"/>
          </w:tcPr>
          <w:p w14:paraId="2760C2C5" w14:textId="4ABA8B9A" w:rsidR="00A34099" w:rsidRPr="0076466C" w:rsidRDefault="00A34099" w:rsidP="00EC4063">
            <w:pPr>
              <w:pStyle w:val="Tabletext"/>
              <w:jc w:val="right"/>
              <w:rPr>
                <w:sz w:val="18"/>
                <w:szCs w:val="18"/>
                <w:lang w:val="fr-FR"/>
              </w:rPr>
            </w:pPr>
            <w:r w:rsidRPr="0076466C">
              <w:rPr>
                <w:sz w:val="18"/>
                <w:szCs w:val="18"/>
                <w:lang w:val="fr-FR"/>
              </w:rPr>
              <w:t>7</w:t>
            </w:r>
            <w:r w:rsidR="00ED2C0F" w:rsidRPr="0076466C">
              <w:rPr>
                <w:sz w:val="18"/>
                <w:szCs w:val="18"/>
                <w:lang w:val="fr-FR"/>
              </w:rPr>
              <w:t>4</w:t>
            </w:r>
          </w:p>
        </w:tc>
        <w:tc>
          <w:tcPr>
            <w:tcW w:w="954" w:type="dxa"/>
            <w:noWrap/>
            <w:vAlign w:val="center"/>
          </w:tcPr>
          <w:p w14:paraId="461CBE5C" w14:textId="0C8E67D8" w:rsidR="00A34099" w:rsidRPr="0076466C" w:rsidRDefault="00A34099" w:rsidP="00EC4063">
            <w:pPr>
              <w:pStyle w:val="Tabletext"/>
              <w:jc w:val="right"/>
              <w:rPr>
                <w:sz w:val="18"/>
                <w:szCs w:val="18"/>
                <w:lang w:val="fr-FR"/>
              </w:rPr>
            </w:pPr>
            <w:r w:rsidRPr="0076466C">
              <w:rPr>
                <w:sz w:val="18"/>
                <w:szCs w:val="18"/>
                <w:lang w:val="fr-FR"/>
              </w:rPr>
              <w:t>27</w:t>
            </w:r>
            <w:r w:rsidR="00ED2C0F" w:rsidRPr="0076466C">
              <w:rPr>
                <w:sz w:val="18"/>
                <w:szCs w:val="18"/>
                <w:lang w:val="fr-FR"/>
              </w:rPr>
              <w:t>3</w:t>
            </w:r>
          </w:p>
        </w:tc>
        <w:tc>
          <w:tcPr>
            <w:tcW w:w="1856" w:type="dxa"/>
            <w:noWrap/>
            <w:vAlign w:val="center"/>
          </w:tcPr>
          <w:p w14:paraId="57BFA224" w14:textId="77777777" w:rsidR="00A34099" w:rsidRPr="0076466C" w:rsidRDefault="00A34099" w:rsidP="00EC4063">
            <w:pPr>
              <w:pStyle w:val="Tabletext"/>
              <w:jc w:val="center"/>
              <w:rPr>
                <w:sz w:val="18"/>
                <w:szCs w:val="18"/>
                <w:lang w:val="fr-FR"/>
              </w:rPr>
            </w:pPr>
            <w:r w:rsidRPr="0076466C">
              <w:rPr>
                <w:sz w:val="18"/>
                <w:szCs w:val="18"/>
                <w:lang w:val="fr-FR"/>
              </w:rPr>
              <w:t>Ministère des sciences et des TIC (MSIT), République de Corée</w:t>
            </w:r>
          </w:p>
        </w:tc>
      </w:tr>
      <w:tr w:rsidR="00ED2C0F" w:rsidRPr="0076466C" w14:paraId="3D6479F3" w14:textId="77777777" w:rsidTr="000E5663">
        <w:trPr>
          <w:trHeight w:val="371"/>
          <w:jc w:val="center"/>
        </w:trPr>
        <w:tc>
          <w:tcPr>
            <w:tcW w:w="1122" w:type="dxa"/>
            <w:shd w:val="clear" w:color="auto" w:fill="BFBFBF" w:themeFill="background1" w:themeFillShade="BF"/>
            <w:noWrap/>
            <w:vAlign w:val="center"/>
          </w:tcPr>
          <w:p w14:paraId="67229DDD" w14:textId="77777777" w:rsidR="00ED2C0F" w:rsidRPr="0076466C" w:rsidRDefault="00ED2C0F" w:rsidP="00ED2C0F">
            <w:pPr>
              <w:pStyle w:val="Tabletext"/>
              <w:jc w:val="center"/>
              <w:rPr>
                <w:b/>
                <w:bCs/>
                <w:sz w:val="18"/>
                <w:szCs w:val="18"/>
                <w:lang w:val="fr-FR"/>
              </w:rPr>
            </w:pPr>
          </w:p>
        </w:tc>
        <w:tc>
          <w:tcPr>
            <w:tcW w:w="2565" w:type="dxa"/>
            <w:shd w:val="clear" w:color="auto" w:fill="BFBFBF" w:themeFill="background1" w:themeFillShade="BF"/>
            <w:noWrap/>
            <w:vAlign w:val="center"/>
          </w:tcPr>
          <w:p w14:paraId="360F1ECC" w14:textId="77777777" w:rsidR="00ED2C0F" w:rsidRPr="0076466C" w:rsidRDefault="00ED2C0F" w:rsidP="00ED2C0F">
            <w:pPr>
              <w:pStyle w:val="Tabletext"/>
              <w:jc w:val="center"/>
              <w:rPr>
                <w:b/>
                <w:bCs/>
                <w:sz w:val="18"/>
                <w:szCs w:val="18"/>
                <w:lang w:val="fr-FR"/>
              </w:rPr>
            </w:pPr>
            <w:r w:rsidRPr="0076466C">
              <w:rPr>
                <w:b/>
                <w:bCs/>
                <w:sz w:val="18"/>
                <w:szCs w:val="18"/>
                <w:lang w:val="fr-FR"/>
              </w:rPr>
              <w:t>Total</w:t>
            </w:r>
          </w:p>
        </w:tc>
        <w:tc>
          <w:tcPr>
            <w:tcW w:w="1128" w:type="dxa"/>
            <w:shd w:val="clear" w:color="auto" w:fill="BFBFBF" w:themeFill="background1" w:themeFillShade="BF"/>
            <w:noWrap/>
            <w:vAlign w:val="center"/>
          </w:tcPr>
          <w:p w14:paraId="7D1D4715" w14:textId="77777777" w:rsidR="00ED2C0F" w:rsidRPr="0076466C" w:rsidRDefault="00ED2C0F" w:rsidP="00ED2C0F">
            <w:pPr>
              <w:pStyle w:val="Tabletext"/>
              <w:jc w:val="center"/>
              <w:rPr>
                <w:b/>
                <w:bCs/>
                <w:sz w:val="18"/>
                <w:szCs w:val="18"/>
                <w:lang w:val="fr-FR"/>
              </w:rPr>
            </w:pPr>
          </w:p>
        </w:tc>
        <w:tc>
          <w:tcPr>
            <w:tcW w:w="1417" w:type="dxa"/>
            <w:shd w:val="clear" w:color="auto" w:fill="BFBFBF" w:themeFill="background1" w:themeFillShade="BF"/>
            <w:noWrap/>
            <w:vAlign w:val="center"/>
          </w:tcPr>
          <w:p w14:paraId="673CDBB3" w14:textId="77777777" w:rsidR="00ED2C0F" w:rsidRPr="0076466C" w:rsidRDefault="00ED2C0F" w:rsidP="00ED2C0F">
            <w:pPr>
              <w:pStyle w:val="Tabletext"/>
              <w:jc w:val="center"/>
              <w:rPr>
                <w:b/>
                <w:bCs/>
                <w:sz w:val="18"/>
                <w:szCs w:val="18"/>
                <w:lang w:val="fr-FR"/>
              </w:rPr>
            </w:pPr>
          </w:p>
        </w:tc>
        <w:tc>
          <w:tcPr>
            <w:tcW w:w="993" w:type="dxa"/>
            <w:shd w:val="clear" w:color="auto" w:fill="BFBFBF" w:themeFill="background1" w:themeFillShade="BF"/>
            <w:noWrap/>
            <w:vAlign w:val="center"/>
          </w:tcPr>
          <w:p w14:paraId="24C55199" w14:textId="60ADDB64" w:rsidR="00ED2C0F" w:rsidRPr="0076466C" w:rsidRDefault="00ED2C0F" w:rsidP="00ED2C0F">
            <w:pPr>
              <w:pStyle w:val="Tabletext"/>
              <w:jc w:val="right"/>
              <w:rPr>
                <w:b/>
                <w:bCs/>
                <w:sz w:val="18"/>
                <w:szCs w:val="18"/>
                <w:lang w:val="fr-FR"/>
              </w:rPr>
            </w:pPr>
            <w:r w:rsidRPr="0076466C">
              <w:rPr>
                <w:rFonts w:cstheme="minorHAnsi"/>
                <w:b/>
                <w:bCs/>
                <w:sz w:val="18"/>
                <w:szCs w:val="18"/>
                <w:lang w:val="fr-FR"/>
              </w:rPr>
              <w:t>20</w:t>
            </w:r>
            <w:r w:rsidRPr="0076466C">
              <w:rPr>
                <w:rFonts w:cstheme="minorHAnsi"/>
                <w:b/>
                <w:bCs/>
                <w:sz w:val="18"/>
                <w:szCs w:val="18"/>
                <w:lang w:val="fr-FR"/>
              </w:rPr>
              <w:t xml:space="preserve"> </w:t>
            </w:r>
            <w:r w:rsidRPr="0076466C">
              <w:rPr>
                <w:rFonts w:cstheme="minorHAnsi"/>
                <w:b/>
                <w:bCs/>
                <w:sz w:val="18"/>
                <w:szCs w:val="18"/>
                <w:lang w:val="fr-FR"/>
              </w:rPr>
              <w:t>251</w:t>
            </w:r>
          </w:p>
        </w:tc>
        <w:tc>
          <w:tcPr>
            <w:tcW w:w="850" w:type="dxa"/>
            <w:shd w:val="clear" w:color="auto" w:fill="BFBFBF" w:themeFill="background1" w:themeFillShade="BF"/>
            <w:noWrap/>
            <w:vAlign w:val="center"/>
          </w:tcPr>
          <w:p w14:paraId="40D81FD1" w14:textId="4009BE70" w:rsidR="00ED2C0F" w:rsidRPr="0076466C" w:rsidRDefault="00ED2C0F" w:rsidP="00ED2C0F">
            <w:pPr>
              <w:pStyle w:val="Tabletext"/>
              <w:jc w:val="right"/>
              <w:rPr>
                <w:b/>
                <w:bCs/>
                <w:sz w:val="18"/>
                <w:szCs w:val="18"/>
                <w:lang w:val="fr-FR"/>
              </w:rPr>
            </w:pPr>
            <w:r w:rsidRPr="0076466C">
              <w:rPr>
                <w:rFonts w:cstheme="minorHAnsi"/>
                <w:b/>
                <w:bCs/>
                <w:sz w:val="18"/>
                <w:szCs w:val="18"/>
                <w:lang w:val="fr-FR"/>
              </w:rPr>
              <w:t>3</w:t>
            </w:r>
            <w:r w:rsidRPr="0076466C">
              <w:rPr>
                <w:rFonts w:cstheme="minorHAnsi"/>
                <w:b/>
                <w:bCs/>
                <w:sz w:val="18"/>
                <w:szCs w:val="18"/>
                <w:lang w:val="fr-FR"/>
              </w:rPr>
              <w:t xml:space="preserve"> </w:t>
            </w:r>
            <w:r w:rsidRPr="0076466C">
              <w:rPr>
                <w:rFonts w:cstheme="minorHAnsi"/>
                <w:b/>
                <w:bCs/>
                <w:sz w:val="18"/>
                <w:szCs w:val="18"/>
                <w:lang w:val="fr-FR"/>
              </w:rPr>
              <w:t>206</w:t>
            </w:r>
          </w:p>
        </w:tc>
        <w:tc>
          <w:tcPr>
            <w:tcW w:w="954" w:type="dxa"/>
            <w:shd w:val="clear" w:color="auto" w:fill="BFBFBF" w:themeFill="background1" w:themeFillShade="BF"/>
            <w:noWrap/>
            <w:vAlign w:val="center"/>
          </w:tcPr>
          <w:p w14:paraId="3E496879" w14:textId="14E8BFB6" w:rsidR="00ED2C0F" w:rsidRPr="0076466C" w:rsidRDefault="00ED2C0F" w:rsidP="00ED2C0F">
            <w:pPr>
              <w:pStyle w:val="Tabletext"/>
              <w:jc w:val="right"/>
              <w:rPr>
                <w:b/>
                <w:bCs/>
                <w:sz w:val="18"/>
                <w:szCs w:val="18"/>
                <w:lang w:val="fr-FR"/>
              </w:rPr>
            </w:pPr>
            <w:r w:rsidRPr="0076466C">
              <w:rPr>
                <w:rFonts w:cstheme="minorHAnsi"/>
                <w:b/>
                <w:bCs/>
                <w:sz w:val="18"/>
                <w:szCs w:val="18"/>
                <w:lang w:val="fr-FR"/>
              </w:rPr>
              <w:t>23</w:t>
            </w:r>
            <w:r w:rsidRPr="0076466C">
              <w:rPr>
                <w:rFonts w:cstheme="minorHAnsi"/>
                <w:b/>
                <w:bCs/>
                <w:sz w:val="18"/>
                <w:szCs w:val="18"/>
                <w:lang w:val="fr-FR"/>
              </w:rPr>
              <w:t xml:space="preserve"> </w:t>
            </w:r>
            <w:r w:rsidRPr="0076466C">
              <w:rPr>
                <w:rFonts w:cstheme="minorHAnsi"/>
                <w:b/>
                <w:bCs/>
                <w:sz w:val="18"/>
                <w:szCs w:val="18"/>
                <w:lang w:val="fr-FR"/>
              </w:rPr>
              <w:t>457</w:t>
            </w:r>
          </w:p>
        </w:tc>
        <w:tc>
          <w:tcPr>
            <w:tcW w:w="1856" w:type="dxa"/>
            <w:shd w:val="clear" w:color="auto" w:fill="BFBFBF" w:themeFill="background1" w:themeFillShade="BF"/>
            <w:noWrap/>
            <w:vAlign w:val="center"/>
          </w:tcPr>
          <w:p w14:paraId="2139B1BE" w14:textId="77777777" w:rsidR="00ED2C0F" w:rsidRPr="0076466C" w:rsidRDefault="00ED2C0F" w:rsidP="00ED2C0F">
            <w:pPr>
              <w:pStyle w:val="Tabletext"/>
              <w:jc w:val="center"/>
              <w:rPr>
                <w:b/>
                <w:bCs/>
                <w:sz w:val="18"/>
                <w:szCs w:val="18"/>
                <w:lang w:val="fr-FR"/>
              </w:rPr>
            </w:pPr>
          </w:p>
        </w:tc>
      </w:tr>
    </w:tbl>
    <w:p w14:paraId="52A73465" w14:textId="77777777" w:rsidR="00A34099" w:rsidRPr="00D3601E" w:rsidRDefault="00A34099" w:rsidP="00ED2C0F">
      <w:pPr>
        <w:pStyle w:val="Tablelegend"/>
        <w:rPr>
          <w:lang w:val="fr-FR"/>
        </w:rPr>
      </w:pPr>
      <w:r w:rsidRPr="00D3601E">
        <w:rPr>
          <w:lang w:val="fr-FR"/>
        </w:rPr>
        <w:t>Note: tous les fonds ont été convertis en CHF.</w:t>
      </w:r>
    </w:p>
    <w:p w14:paraId="008E8515" w14:textId="57A9998B" w:rsidR="00D3601E" w:rsidRPr="00D3601E" w:rsidRDefault="00D3601E" w:rsidP="00D3601E">
      <w:pPr>
        <w:pStyle w:val="Tablelegend"/>
        <w:rPr>
          <w:lang w:val="fr-FR"/>
        </w:rPr>
      </w:pPr>
      <w:r w:rsidRPr="00D3601E">
        <w:rPr>
          <w:lang w:val="fr-FR"/>
        </w:rPr>
        <w:t>(*) Fonds extérieurs d'un montant de 9 820 000 CHF liés aux projets financés par l'UE et signés par l'UIT en 2023</w:t>
      </w:r>
      <w:r>
        <w:rPr>
          <w:lang w:val="fr-FR"/>
        </w:rPr>
        <w:t>.</w:t>
      </w:r>
    </w:p>
    <w:p w14:paraId="7391EDB7" w14:textId="2BC5420B" w:rsidR="00A34099" w:rsidRPr="00A34099" w:rsidRDefault="00A34099" w:rsidP="00ED2C0F">
      <w:pPr>
        <w:spacing w:before="240"/>
        <w:rPr>
          <w:lang w:val="fr-FR"/>
        </w:rPr>
      </w:pPr>
      <w:r w:rsidRPr="00A34099">
        <w:rPr>
          <w:lang w:val="fr-FR"/>
        </w:rPr>
        <w:t>Il importe de noter que l'UIT n'étant pas une institution de financement, la possibilité de signer de nouveaux projets dépend dans une large mesure de la disponibilité de partenaires financiers désireux de soutenir les travaux de l'UIT.</w:t>
      </w:r>
    </w:p>
    <w:p w14:paraId="40597C51" w14:textId="1B74467D" w:rsidR="00A34099" w:rsidRPr="0076466C" w:rsidRDefault="00A34099" w:rsidP="00A34099">
      <w:pPr>
        <w:pStyle w:val="Heading1"/>
        <w:rPr>
          <w:lang w:val="fr-FR"/>
        </w:rPr>
      </w:pPr>
      <w:r w:rsidRPr="0076466C">
        <w:rPr>
          <w:lang w:val="fr-FR"/>
        </w:rPr>
        <w:t>4</w:t>
      </w:r>
      <w:r w:rsidRPr="0076466C">
        <w:rPr>
          <w:lang w:val="fr-FR"/>
        </w:rPr>
        <w:tab/>
      </w:r>
      <w:r w:rsidRPr="0076466C">
        <w:rPr>
          <w:lang w:val="fr-FR"/>
        </w:rPr>
        <w:t>Renforcer les pratiques en matière de gestion des projets au BDT</w:t>
      </w:r>
    </w:p>
    <w:p w14:paraId="44030C90" w14:textId="77777777" w:rsidR="00A34099" w:rsidRPr="00A34099" w:rsidRDefault="00A34099" w:rsidP="00A34099">
      <w:pPr>
        <w:rPr>
          <w:lang w:val="fr-FR"/>
        </w:rPr>
      </w:pPr>
      <w:r w:rsidRPr="00A34099">
        <w:rPr>
          <w:lang w:val="fr-FR"/>
        </w:rPr>
        <w:t>En 2024, le BDT a continué de renforcer les pratiques en matière de gestion des projets pour tous les projets de l'UIT. On trouvera dans la liste ci-dessous un résumé des activités menées en 2024 et mises en œuvre en collaboration étroite avec d'autres fonctions d'appui compétentes de l'UIT:</w:t>
      </w:r>
    </w:p>
    <w:p w14:paraId="4405C1AF" w14:textId="09B4A9B2" w:rsidR="00A34099" w:rsidRPr="0076466C" w:rsidRDefault="00A34099" w:rsidP="00A34099">
      <w:pPr>
        <w:pStyle w:val="enumlev1"/>
        <w:rPr>
          <w:lang w:val="fr-FR"/>
        </w:rPr>
      </w:pPr>
      <w:r w:rsidRPr="0076466C">
        <w:rPr>
          <w:lang w:val="fr-FR"/>
        </w:rPr>
        <w:t>–</w:t>
      </w:r>
      <w:r w:rsidRPr="0076466C">
        <w:rPr>
          <w:lang w:val="fr-FR"/>
        </w:rPr>
        <w:tab/>
      </w:r>
      <w:r w:rsidRPr="0076466C">
        <w:rPr>
          <w:b/>
          <w:bCs/>
          <w:lang w:val="fr-FR"/>
        </w:rPr>
        <w:t>Création de la nouvelle Unité de mise en œuvre des projets</w:t>
      </w:r>
      <w:r w:rsidR="00ED2C0F" w:rsidRPr="0076466C">
        <w:rPr>
          <w:b/>
          <w:bCs/>
          <w:lang w:val="fr-FR"/>
        </w:rPr>
        <w:t xml:space="preserve"> (PPI)</w:t>
      </w:r>
      <w:r w:rsidRPr="0076466C">
        <w:rPr>
          <w:b/>
          <w:bCs/>
          <w:lang w:val="fr-FR"/>
        </w:rPr>
        <w:t>:</w:t>
      </w:r>
      <w:r w:rsidRPr="0076466C">
        <w:rPr>
          <w:lang w:val="fr-FR"/>
        </w:rPr>
        <w:t xml:space="preserve"> en septembre 2024, le Directeur du BDT a mis en place une nouvelle structure au sein du Bureau visant à renforcer la mise en œuvre du mandat exposé dans le Plan d</w:t>
      </w:r>
      <w:r w:rsidR="00D9231C" w:rsidRPr="0076466C">
        <w:rPr>
          <w:lang w:val="fr-FR"/>
        </w:rPr>
        <w:t>'</w:t>
      </w:r>
      <w:r w:rsidRPr="0076466C">
        <w:rPr>
          <w:lang w:val="fr-FR"/>
        </w:rPr>
        <w:t>action de Kigali et à mettre en place le programme BDT4Impact. L'amélioration de la structure du Bureau a entraîné la création d'une nouvelle unité chargée de soutenir les phases de planification et de mise en œuvre décrites dans le Manuel du BDT sur la gestion des projets. Située dans le bureau de l</w:t>
      </w:r>
      <w:r w:rsidR="00D9231C" w:rsidRPr="0076466C">
        <w:rPr>
          <w:lang w:val="fr-FR"/>
        </w:rPr>
        <w:t>'</w:t>
      </w:r>
      <w:r w:rsidRPr="0076466C">
        <w:rPr>
          <w:lang w:val="fr-FR"/>
        </w:rPr>
        <w:t>Adjoint au Directeur, l</w:t>
      </w:r>
      <w:r w:rsidR="00D9231C" w:rsidRPr="0076466C">
        <w:rPr>
          <w:lang w:val="fr-FR"/>
        </w:rPr>
        <w:t>'</w:t>
      </w:r>
      <w:r w:rsidRPr="0076466C">
        <w:rPr>
          <w:lang w:val="fr-FR"/>
        </w:rPr>
        <w:t xml:space="preserve">Unité de mise en œuvre des projets (PPI) travaille déjà dans </w:t>
      </w:r>
      <w:r w:rsidRPr="0076466C">
        <w:rPr>
          <w:lang w:val="fr-FR"/>
        </w:rPr>
        <w:lastRenderedPageBreak/>
        <w:t>tous les domaines thématiques et avec toutes les équipes de projet pour accélérer la mise en œuvre des projets du BDT et veiller à ce qu'ils produisent les effets escomptés sur le terrain.</w:t>
      </w:r>
    </w:p>
    <w:p w14:paraId="2BE43A75" w14:textId="1BB7A043" w:rsidR="00A34099" w:rsidRPr="0076466C" w:rsidRDefault="00A34099" w:rsidP="00A34099">
      <w:pPr>
        <w:pStyle w:val="enumlev1"/>
        <w:rPr>
          <w:lang w:val="fr-FR"/>
        </w:rPr>
      </w:pPr>
      <w:r w:rsidRPr="0076466C">
        <w:rPr>
          <w:lang w:val="fr-FR"/>
        </w:rPr>
        <w:t>–</w:t>
      </w:r>
      <w:r w:rsidRPr="0076466C">
        <w:rPr>
          <w:lang w:val="fr-FR"/>
        </w:rPr>
        <w:tab/>
      </w:r>
      <w:r w:rsidRPr="0076466C">
        <w:rPr>
          <w:b/>
          <w:bCs/>
          <w:lang w:val="fr-FR"/>
        </w:rPr>
        <w:t>Renforcement de l'établissement de rapports à l'intention des partenaires:</w:t>
      </w:r>
      <w:r w:rsidRPr="0076466C">
        <w:rPr>
          <w:lang w:val="fr-FR"/>
        </w:rPr>
        <w:t xml:space="preserve"> en 2024, le BDT a mis en place une nouvelle politique visant à renforcer l</w:t>
      </w:r>
      <w:r w:rsidR="00D9231C" w:rsidRPr="0076466C">
        <w:rPr>
          <w:lang w:val="fr-FR"/>
        </w:rPr>
        <w:t>'</w:t>
      </w:r>
      <w:r w:rsidRPr="0076466C">
        <w:rPr>
          <w:lang w:val="fr-FR"/>
        </w:rPr>
        <w:t>établissement de rapports à l'intention des partenaires de financement. Dans le cadre de cette nouvelle politique, tous les partenaires de financement reçoivent désormais, tous les 6 à 12 mois, au moins un rapport rendant compte de l</w:t>
      </w:r>
      <w:r w:rsidR="00D9231C" w:rsidRPr="0076466C">
        <w:rPr>
          <w:lang w:val="fr-FR"/>
        </w:rPr>
        <w:t>'</w:t>
      </w:r>
      <w:r w:rsidRPr="0076466C">
        <w:rPr>
          <w:lang w:val="fr-FR"/>
        </w:rPr>
        <w:t>état d</w:t>
      </w:r>
      <w:r w:rsidR="00D9231C" w:rsidRPr="0076466C">
        <w:rPr>
          <w:lang w:val="fr-FR"/>
        </w:rPr>
        <w:t>'</w:t>
      </w:r>
      <w:r w:rsidRPr="0076466C">
        <w:rPr>
          <w:lang w:val="fr-FR"/>
        </w:rPr>
        <w:t>avancement de la mise en œuvre des projets qu</w:t>
      </w:r>
      <w:r w:rsidR="00D9231C" w:rsidRPr="0076466C">
        <w:rPr>
          <w:lang w:val="fr-FR"/>
        </w:rPr>
        <w:t>'</w:t>
      </w:r>
      <w:r w:rsidRPr="0076466C">
        <w:rPr>
          <w:lang w:val="fr-FR"/>
        </w:rPr>
        <w:t>ils financent. Les rapports, élaborés par les chefs de projet, avec l</w:t>
      </w:r>
      <w:r w:rsidR="00D9231C" w:rsidRPr="0076466C">
        <w:rPr>
          <w:lang w:val="fr-FR"/>
        </w:rPr>
        <w:t>'</w:t>
      </w:r>
      <w:r w:rsidRPr="0076466C">
        <w:rPr>
          <w:lang w:val="fr-FR"/>
        </w:rPr>
        <w:t>appui des parties prenantes internes de l</w:t>
      </w:r>
      <w:r w:rsidR="00D9231C" w:rsidRPr="0076466C">
        <w:rPr>
          <w:lang w:val="fr-FR"/>
        </w:rPr>
        <w:t>'</w:t>
      </w:r>
      <w:r w:rsidRPr="0076466C">
        <w:rPr>
          <w:lang w:val="fr-FR"/>
        </w:rPr>
        <w:t>UIT concernées, mettent également en évidence les problèmes et risques qui ont pu se matérialiser pendant la période considérée, ainsi que la situation financière du projet. La première série de rapports a été envoyée en juillet 2024 et la deuxième série est prévue pour le premier trimestre de 2025. Cette nouvelle mesure vise à renforcer la transparence et la responsabilisation durant la mise en œuvre des projets du BDT.</w:t>
      </w:r>
    </w:p>
    <w:p w14:paraId="6DA352D9" w14:textId="0B559839" w:rsidR="00A34099" w:rsidRPr="0076466C" w:rsidRDefault="00A34099" w:rsidP="00A34099">
      <w:pPr>
        <w:pStyle w:val="enumlev1"/>
        <w:rPr>
          <w:b/>
          <w:bCs/>
          <w:lang w:val="fr-FR"/>
        </w:rPr>
      </w:pPr>
      <w:r w:rsidRPr="0076466C">
        <w:rPr>
          <w:lang w:val="fr-FR"/>
        </w:rPr>
        <w:t>–</w:t>
      </w:r>
      <w:r w:rsidRPr="0076466C">
        <w:rPr>
          <w:lang w:val="fr-FR"/>
        </w:rPr>
        <w:tab/>
      </w:r>
      <w:r w:rsidRPr="0076466C">
        <w:rPr>
          <w:b/>
          <w:bCs/>
          <w:lang w:val="fr-FR"/>
        </w:rPr>
        <w:t>Comité directeur des projets du BDT</w:t>
      </w:r>
      <w:r w:rsidRPr="0076466C">
        <w:rPr>
          <w:lang w:val="fr-FR"/>
        </w:rPr>
        <w:t>: en 2024, le Comité directeur des projets du BDT a continué de se réunir tous les mois afin d</w:t>
      </w:r>
      <w:r w:rsidR="00D9231C" w:rsidRPr="0076466C">
        <w:rPr>
          <w:lang w:val="fr-FR"/>
        </w:rPr>
        <w:t>'</w:t>
      </w:r>
      <w:r w:rsidRPr="0076466C">
        <w:rPr>
          <w:lang w:val="fr-FR"/>
        </w:rPr>
        <w:t>établir un mécanisme de gouvernance clair concernant le portefeuille de projets. Le Comité évalue et approuve les nouvelles propositions de projets, les addenda et les clôtures, et donne des conseils, selon qu'il convient, sur les projets marqués par des problèmes de mise en œuvre. Depuis 2020, le Comité a tenu au total 37 réunions. Les décisions prises par le Comité doivent être appliquées par les gestionnaires de projet. Les décisions prises par le Comité font l'objet d'un suivi régulier par la Division de l'appui aux projets, qui rend compte de leur application au Comité.</w:t>
      </w:r>
    </w:p>
    <w:p w14:paraId="2DAE3F73" w14:textId="72DECC1B" w:rsidR="00A34099" w:rsidRPr="0076466C" w:rsidRDefault="00A34099" w:rsidP="00A34099">
      <w:pPr>
        <w:pStyle w:val="enumlev1"/>
        <w:rPr>
          <w:lang w:val="fr-FR"/>
        </w:rPr>
      </w:pPr>
      <w:r w:rsidRPr="0076466C">
        <w:rPr>
          <w:lang w:val="fr-FR"/>
        </w:rPr>
        <w:t>–</w:t>
      </w:r>
      <w:r w:rsidRPr="0076466C">
        <w:rPr>
          <w:lang w:val="fr-FR"/>
        </w:rPr>
        <w:tab/>
      </w:r>
      <w:r w:rsidRPr="0076466C">
        <w:rPr>
          <w:b/>
          <w:bCs/>
          <w:lang w:val="fr-FR"/>
        </w:rPr>
        <w:t>Séries de formations à l</w:t>
      </w:r>
      <w:r w:rsidR="00D9231C" w:rsidRPr="0076466C">
        <w:rPr>
          <w:b/>
          <w:bCs/>
          <w:lang w:val="fr-FR"/>
        </w:rPr>
        <w:t>'</w:t>
      </w:r>
      <w:r w:rsidRPr="0076466C">
        <w:rPr>
          <w:b/>
          <w:bCs/>
          <w:lang w:val="fr-FR"/>
        </w:rPr>
        <w:t>intention des chefs de projet:</w:t>
      </w:r>
      <w:r w:rsidRPr="0076466C">
        <w:rPr>
          <w:lang w:val="fr-FR"/>
        </w:rPr>
        <w:t xml:space="preserve"> en 2024, le BDT a continué d</w:t>
      </w:r>
      <w:r w:rsidR="00D9231C" w:rsidRPr="0076466C">
        <w:rPr>
          <w:lang w:val="fr-FR"/>
        </w:rPr>
        <w:t>'</w:t>
      </w:r>
      <w:r w:rsidRPr="0076466C">
        <w:rPr>
          <w:lang w:val="fr-FR"/>
        </w:rPr>
        <w:t>organiser régulièrement des sessions de formation et des sessions d</w:t>
      </w:r>
      <w:r w:rsidR="00D9231C" w:rsidRPr="0076466C">
        <w:rPr>
          <w:lang w:val="fr-FR"/>
        </w:rPr>
        <w:t>'</w:t>
      </w:r>
      <w:r w:rsidRPr="0076466C">
        <w:rPr>
          <w:lang w:val="fr-FR"/>
        </w:rPr>
        <w:t>échange d</w:t>
      </w:r>
      <w:r w:rsidR="00D9231C" w:rsidRPr="0076466C">
        <w:rPr>
          <w:lang w:val="fr-FR"/>
        </w:rPr>
        <w:t>'</w:t>
      </w:r>
      <w:r w:rsidRPr="0076466C">
        <w:rPr>
          <w:lang w:val="fr-FR"/>
        </w:rPr>
        <w:t>informations à l</w:t>
      </w:r>
      <w:r w:rsidR="00D9231C" w:rsidRPr="0076466C">
        <w:rPr>
          <w:lang w:val="fr-FR"/>
        </w:rPr>
        <w:t>'</w:t>
      </w:r>
      <w:r w:rsidRPr="0076466C">
        <w:rPr>
          <w:lang w:val="fr-FR"/>
        </w:rPr>
        <w:t>intention des responsables de projets. Ces sessions visaient à harmoniser les pratiques en matière de projets à l'échelle du BDT, à renforcer le réseau de responsables de projet et à perfectionner leurs compétences dans des domaines liés aux activités de l'UIT. Ce programme se poursuivra tout au long de l'année 2025.</w:t>
      </w:r>
    </w:p>
    <w:p w14:paraId="10C4F8EB" w14:textId="3130B5CF" w:rsidR="00A34099" w:rsidRPr="0076466C" w:rsidRDefault="00A34099" w:rsidP="00ED2C0F">
      <w:pPr>
        <w:pStyle w:val="enumlev1"/>
        <w:keepNext/>
        <w:keepLines/>
        <w:rPr>
          <w:lang w:val="fr-FR"/>
        </w:rPr>
      </w:pPr>
      <w:r w:rsidRPr="0076466C">
        <w:rPr>
          <w:lang w:val="fr-FR"/>
        </w:rPr>
        <w:t>–</w:t>
      </w:r>
      <w:r w:rsidRPr="0076466C">
        <w:rPr>
          <w:lang w:val="fr-FR"/>
        </w:rPr>
        <w:tab/>
      </w:r>
      <w:r w:rsidRPr="0076466C">
        <w:rPr>
          <w:b/>
          <w:bCs/>
          <w:lang w:val="fr-FR"/>
        </w:rPr>
        <w:t>Suivi des projets de l'UIT</w:t>
      </w:r>
      <w:r w:rsidRPr="0076466C">
        <w:rPr>
          <w:lang w:val="fr-FR"/>
        </w:rPr>
        <w:t>: tous les projets de l'UIT continuent de faire l'objet d'un suivi quotidien et de rapports à la fin de chaque trimestre. Les résultats de ces travaux sont mis à la disposition de la direction du BDT et des responsables de projets au moyen de rapports d'évaluation trimestriels, ainsi que par l'intermédiaire de tableaux de bord des contrôles internes, qui permettent de prendre des décisions fondées sur des données en ce qui concerne les projets.</w:t>
      </w:r>
    </w:p>
    <w:p w14:paraId="6F8E168D" w14:textId="434DBAF3" w:rsidR="00A34099" w:rsidRPr="0076466C" w:rsidRDefault="00A34099" w:rsidP="00A34099">
      <w:pPr>
        <w:pStyle w:val="Heading1"/>
        <w:rPr>
          <w:lang w:val="fr-FR"/>
        </w:rPr>
      </w:pPr>
      <w:r w:rsidRPr="0076466C">
        <w:rPr>
          <w:lang w:val="fr-FR"/>
        </w:rPr>
        <w:t>5</w:t>
      </w:r>
      <w:r w:rsidRPr="0076466C">
        <w:rPr>
          <w:lang w:val="fr-FR"/>
        </w:rPr>
        <w:tab/>
      </w:r>
      <w:r w:rsidRPr="0076466C">
        <w:rPr>
          <w:lang w:val="fr-FR"/>
        </w:rPr>
        <w:t>Conclusions</w:t>
      </w:r>
    </w:p>
    <w:p w14:paraId="39040E7E" w14:textId="34BB866A" w:rsidR="00A34099" w:rsidRPr="00A34099" w:rsidRDefault="00A34099" w:rsidP="00A34099">
      <w:pPr>
        <w:rPr>
          <w:lang w:val="fr-FR"/>
        </w:rPr>
      </w:pPr>
      <w:r w:rsidRPr="00A34099">
        <w:rPr>
          <w:lang w:val="fr-FR"/>
        </w:rPr>
        <w:t>L'année 2024 a été une année importante pour la progression des projets de l'UIT. Avec plus de 100 projets en cours et 37 nouveaux projets signés au cours de l</w:t>
      </w:r>
      <w:r w:rsidR="00D9231C" w:rsidRPr="0076466C">
        <w:rPr>
          <w:lang w:val="fr-FR"/>
        </w:rPr>
        <w:t>'</w:t>
      </w:r>
      <w:r w:rsidRPr="00A34099">
        <w:rPr>
          <w:lang w:val="fr-FR"/>
        </w:rPr>
        <w:t>année, les projets de l</w:t>
      </w:r>
      <w:r w:rsidR="00D9231C" w:rsidRPr="0076466C">
        <w:rPr>
          <w:lang w:val="fr-FR"/>
        </w:rPr>
        <w:t>'</w:t>
      </w:r>
      <w:r w:rsidRPr="00A34099">
        <w:rPr>
          <w:lang w:val="fr-FR"/>
        </w:rPr>
        <w:t>UIT continuent de jouer un rôle déterminant dans la mise en œuvre du Plan d</w:t>
      </w:r>
      <w:r w:rsidR="00D9231C" w:rsidRPr="0076466C">
        <w:rPr>
          <w:lang w:val="fr-FR"/>
        </w:rPr>
        <w:t>'</w:t>
      </w:r>
      <w:r w:rsidRPr="00A34099">
        <w:rPr>
          <w:lang w:val="fr-FR"/>
        </w:rPr>
        <w:t>action de Kigali et dans la fourniture d</w:t>
      </w:r>
      <w:r w:rsidR="00D9231C" w:rsidRPr="0076466C">
        <w:rPr>
          <w:lang w:val="fr-FR"/>
        </w:rPr>
        <w:t>'</w:t>
      </w:r>
      <w:r w:rsidRPr="00A34099">
        <w:rPr>
          <w:lang w:val="fr-FR"/>
        </w:rPr>
        <w:t>une assistance technique aux États Membres de l</w:t>
      </w:r>
      <w:r w:rsidR="00D9231C" w:rsidRPr="0076466C">
        <w:rPr>
          <w:lang w:val="fr-FR"/>
        </w:rPr>
        <w:t>'</w:t>
      </w:r>
      <w:r w:rsidRPr="00A34099">
        <w:rPr>
          <w:lang w:val="fr-FR"/>
        </w:rPr>
        <w:t>UIT, ainsi que dans la fourniture de nouveaux produits et services dans le domaine du développement et de la transformation numériques.</w:t>
      </w:r>
    </w:p>
    <w:p w14:paraId="6BACC792" w14:textId="19205D89" w:rsidR="00A34099" w:rsidRPr="00A34099" w:rsidRDefault="00A34099" w:rsidP="00A34099">
      <w:pPr>
        <w:rPr>
          <w:lang w:val="fr-FR"/>
        </w:rPr>
      </w:pPr>
      <w:r w:rsidRPr="00A34099">
        <w:rPr>
          <w:lang w:val="fr-FR"/>
        </w:rPr>
        <w:lastRenderedPageBreak/>
        <w:t>Ces résultats sont le fruit d</w:t>
      </w:r>
      <w:r w:rsidR="00D9231C" w:rsidRPr="0076466C">
        <w:rPr>
          <w:lang w:val="fr-FR"/>
        </w:rPr>
        <w:t>'</w:t>
      </w:r>
      <w:r w:rsidRPr="00A34099">
        <w:rPr>
          <w:lang w:val="fr-FR"/>
        </w:rPr>
        <w:t>une coordination et d</w:t>
      </w:r>
      <w:r w:rsidR="00D9231C" w:rsidRPr="0076466C">
        <w:rPr>
          <w:lang w:val="fr-FR"/>
        </w:rPr>
        <w:t>'</w:t>
      </w:r>
      <w:r w:rsidRPr="00A34099">
        <w:rPr>
          <w:lang w:val="fr-FR"/>
        </w:rPr>
        <w:t>une coopération étroites entre toutes les équipes, tant sur le terrain qu</w:t>
      </w:r>
      <w:r w:rsidR="00D9231C" w:rsidRPr="0076466C">
        <w:rPr>
          <w:lang w:val="fr-FR"/>
        </w:rPr>
        <w:t>'</w:t>
      </w:r>
      <w:r w:rsidRPr="00A34099">
        <w:rPr>
          <w:lang w:val="fr-FR"/>
        </w:rPr>
        <w:t>au siège du Bureau de développement des télécommunications, avec notamment l</w:t>
      </w:r>
      <w:r w:rsidR="00D9231C" w:rsidRPr="0076466C">
        <w:rPr>
          <w:lang w:val="fr-FR"/>
        </w:rPr>
        <w:t>'</w:t>
      </w:r>
      <w:r w:rsidRPr="00A34099">
        <w:rPr>
          <w:lang w:val="fr-FR"/>
        </w:rPr>
        <w:t>appui du Département des projets, des partenariats et des compétences numériques (PPS) du BDT</w:t>
      </w:r>
      <w:r w:rsidRPr="00A34099">
        <w:rPr>
          <w:rStyle w:val="FootnoteReference"/>
          <w:lang w:val="fr-FR"/>
        </w:rPr>
        <w:footnoteReference w:id="5"/>
      </w:r>
      <w:r w:rsidRPr="00A34099">
        <w:rPr>
          <w:lang w:val="fr-FR"/>
        </w:rPr>
        <w:t>.</w:t>
      </w:r>
    </w:p>
    <w:p w14:paraId="69B70EE0" w14:textId="36C07935" w:rsidR="00EC6FED" w:rsidRPr="0076466C" w:rsidRDefault="00A34099" w:rsidP="00A34099">
      <w:pPr>
        <w:rPr>
          <w:lang w:val="fr-FR"/>
        </w:rPr>
      </w:pPr>
      <w:r w:rsidRPr="0076466C">
        <w:rPr>
          <w:lang w:val="fr-FR"/>
        </w:rPr>
        <w:t>Alors que l</w:t>
      </w:r>
      <w:r w:rsidR="00D9231C" w:rsidRPr="0076466C">
        <w:rPr>
          <w:lang w:val="fr-FR"/>
        </w:rPr>
        <w:t>'</w:t>
      </w:r>
      <w:r w:rsidRPr="0076466C">
        <w:rPr>
          <w:lang w:val="fr-FR"/>
        </w:rPr>
        <w:t>UIT-D se prépare en vue de la CMDT-25, le GCDT est invité à donner des orientations et des conseils sur la manière de renforcer encore les pratiques du BDT en matière de projets, pour permettre aux membres de l</w:t>
      </w:r>
      <w:r w:rsidR="00D9231C" w:rsidRPr="0076466C">
        <w:rPr>
          <w:lang w:val="fr-FR"/>
        </w:rPr>
        <w:t>'</w:t>
      </w:r>
      <w:r w:rsidRPr="0076466C">
        <w:rPr>
          <w:lang w:val="fr-FR"/>
        </w:rPr>
        <w:t>UIT-D d'obtenir des résultats significatifs sur le terrain dans le cadre des projets de développement.</w:t>
      </w:r>
    </w:p>
    <w:p w14:paraId="2EC2844A" w14:textId="77777777" w:rsidR="00821996" w:rsidRPr="0076466C" w:rsidRDefault="003C58BF" w:rsidP="00A50CA0">
      <w:pPr>
        <w:tabs>
          <w:tab w:val="clear" w:pos="794"/>
          <w:tab w:val="clear" w:pos="1191"/>
          <w:tab w:val="clear" w:pos="1588"/>
          <w:tab w:val="clear" w:pos="1985"/>
        </w:tabs>
        <w:spacing w:after="120"/>
        <w:jc w:val="center"/>
        <w:rPr>
          <w:lang w:val="fr-FR"/>
        </w:rPr>
      </w:pPr>
      <w:bookmarkStart w:id="7" w:name="Proposal"/>
      <w:bookmarkEnd w:id="7"/>
      <w:r w:rsidRPr="0076466C">
        <w:rPr>
          <w:lang w:val="fr-FR"/>
        </w:rPr>
        <w:t>_____________</w:t>
      </w:r>
      <w:r w:rsidR="004122C5" w:rsidRPr="0076466C">
        <w:rPr>
          <w:lang w:val="fr-FR"/>
        </w:rPr>
        <w:t>_</w:t>
      </w:r>
      <w:r w:rsidR="00922EC1" w:rsidRPr="0076466C">
        <w:rPr>
          <w:lang w:val="fr-FR"/>
        </w:rPr>
        <w:t>_</w:t>
      </w:r>
    </w:p>
    <w:sectPr w:rsidR="00821996" w:rsidRPr="0076466C"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34099" w:rsidRPr="009C2903" w14:paraId="5C2B0E2D" w14:textId="77777777" w:rsidTr="00A34099">
      <w:tc>
        <w:tcPr>
          <w:tcW w:w="1526" w:type="dxa"/>
          <w:tcBorders>
            <w:top w:val="single" w:sz="4" w:space="0" w:color="000000" w:themeColor="text1"/>
          </w:tcBorders>
        </w:tcPr>
        <w:p w14:paraId="176205BE" w14:textId="77777777" w:rsidR="00A34099" w:rsidRPr="00BA0009" w:rsidRDefault="00A34099" w:rsidP="00A34099">
          <w:pPr>
            <w:pStyle w:val="FirstFooter"/>
            <w:tabs>
              <w:tab w:val="left" w:pos="1559"/>
              <w:tab w:val="left" w:pos="3828"/>
            </w:tabs>
            <w:rPr>
              <w:sz w:val="18"/>
              <w:szCs w:val="18"/>
            </w:rPr>
          </w:pPr>
          <w:bookmarkStart w:id="8" w:name="Email"/>
          <w:bookmarkEnd w:id="8"/>
          <w:r w:rsidRPr="00E62753">
            <w:rPr>
              <w:sz w:val="18"/>
              <w:szCs w:val="18"/>
            </w:rPr>
            <w:t>Contact:</w:t>
          </w:r>
        </w:p>
      </w:tc>
      <w:tc>
        <w:tcPr>
          <w:tcW w:w="2410" w:type="dxa"/>
          <w:tcBorders>
            <w:top w:val="single" w:sz="4" w:space="0" w:color="000000" w:themeColor="text1"/>
          </w:tcBorders>
        </w:tcPr>
        <w:p w14:paraId="26830CB6" w14:textId="77777777" w:rsidR="00A34099" w:rsidRPr="00CB110F" w:rsidRDefault="00A34099" w:rsidP="00A34099">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61F261E0" w14:textId="7A95264C" w:rsidR="00A34099" w:rsidRPr="00A34099" w:rsidRDefault="00A34099" w:rsidP="00A34099">
          <w:pPr>
            <w:pStyle w:val="FirstFooter"/>
            <w:rPr>
              <w:sz w:val="18"/>
              <w:szCs w:val="18"/>
            </w:rPr>
          </w:pPr>
          <w:r>
            <w:t>M. Jose Maria Diaz Batanero, Chef de la Division de l'appui aux projets, Bureau de développement des télécommunications</w:t>
          </w:r>
        </w:p>
      </w:tc>
    </w:tr>
    <w:tr w:rsidR="00A34099" w:rsidRPr="00CB110F" w14:paraId="298FE8EB" w14:textId="77777777" w:rsidTr="00A34099">
      <w:tc>
        <w:tcPr>
          <w:tcW w:w="1526" w:type="dxa"/>
        </w:tcPr>
        <w:p w14:paraId="7ACBC842" w14:textId="77777777" w:rsidR="00A34099" w:rsidRPr="009C2903" w:rsidRDefault="00A34099" w:rsidP="00A34099">
          <w:pPr>
            <w:pStyle w:val="FirstFooter"/>
            <w:tabs>
              <w:tab w:val="left" w:pos="1559"/>
              <w:tab w:val="left" w:pos="3828"/>
            </w:tabs>
            <w:rPr>
              <w:sz w:val="20"/>
            </w:rPr>
          </w:pPr>
        </w:p>
      </w:tc>
      <w:tc>
        <w:tcPr>
          <w:tcW w:w="2410" w:type="dxa"/>
        </w:tcPr>
        <w:p w14:paraId="76CE8C1A" w14:textId="77777777" w:rsidR="00A34099" w:rsidRPr="00CB110F" w:rsidRDefault="00A34099" w:rsidP="00A34099">
          <w:pPr>
            <w:pStyle w:val="FirstFooter"/>
            <w:tabs>
              <w:tab w:val="left" w:pos="2302"/>
            </w:tabs>
            <w:rPr>
              <w:sz w:val="18"/>
              <w:szCs w:val="18"/>
              <w:lang w:val="en-US"/>
            </w:rPr>
          </w:pPr>
          <w:r w:rsidRPr="00E62753">
            <w:rPr>
              <w:sz w:val="18"/>
              <w:szCs w:val="18"/>
              <w:lang w:val="fr-CH"/>
            </w:rPr>
            <w:t>Numéro de téléphone:</w:t>
          </w:r>
        </w:p>
      </w:tc>
      <w:tc>
        <w:tcPr>
          <w:tcW w:w="5919" w:type="dxa"/>
        </w:tcPr>
        <w:p w14:paraId="17770F61" w14:textId="46EB2CA4" w:rsidR="00A34099" w:rsidRDefault="00A34099" w:rsidP="00A34099">
          <w:pPr>
            <w:pStyle w:val="FirstFooter"/>
            <w:tabs>
              <w:tab w:val="left" w:pos="2302"/>
            </w:tabs>
            <w:rPr>
              <w:sz w:val="18"/>
              <w:szCs w:val="18"/>
              <w:lang w:val="en-US"/>
            </w:rPr>
          </w:pPr>
          <w:r>
            <w:t>+41 22 730 5495</w:t>
          </w:r>
        </w:p>
      </w:tc>
    </w:tr>
    <w:tr w:rsidR="00A34099" w:rsidRPr="00CB110F" w14:paraId="336F05F8" w14:textId="77777777" w:rsidTr="00A34099">
      <w:tc>
        <w:tcPr>
          <w:tcW w:w="1526" w:type="dxa"/>
        </w:tcPr>
        <w:p w14:paraId="10E74C07" w14:textId="77777777" w:rsidR="00A34099" w:rsidRPr="00CB110F" w:rsidRDefault="00A34099" w:rsidP="00A34099">
          <w:pPr>
            <w:pStyle w:val="FirstFooter"/>
            <w:tabs>
              <w:tab w:val="left" w:pos="1559"/>
              <w:tab w:val="left" w:pos="3828"/>
            </w:tabs>
            <w:rPr>
              <w:sz w:val="20"/>
              <w:lang w:val="en-US"/>
            </w:rPr>
          </w:pPr>
        </w:p>
      </w:tc>
      <w:tc>
        <w:tcPr>
          <w:tcW w:w="2410" w:type="dxa"/>
        </w:tcPr>
        <w:p w14:paraId="145C550E" w14:textId="77777777" w:rsidR="00A34099" w:rsidRPr="00CB110F" w:rsidRDefault="00A34099" w:rsidP="00A34099">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032989A8" w14:textId="328A583C" w:rsidR="00A34099" w:rsidRPr="00A34099" w:rsidRDefault="00A34099" w:rsidP="00A34099">
          <w:pPr>
            <w:pStyle w:val="FirstFooter"/>
            <w:tabs>
              <w:tab w:val="left" w:pos="2302"/>
            </w:tabs>
            <w:rPr>
              <w:rStyle w:val="Hyperlink"/>
              <w:sz w:val="18"/>
              <w:szCs w:val="18"/>
            </w:rPr>
          </w:pPr>
          <w:hyperlink r:id="rId1" w:history="1">
            <w:r w:rsidRPr="00A34099">
              <w:rPr>
                <w:rStyle w:val="Hyperlink"/>
                <w:sz w:val="18"/>
                <w:szCs w:val="18"/>
              </w:rPr>
              <w:t>jose.batanero</w:t>
            </w:r>
            <w:r w:rsidRPr="00A34099">
              <w:rPr>
                <w:rStyle w:val="Hyperlink"/>
                <w:sz w:val="18"/>
                <w:szCs w:val="18"/>
              </w:rPr>
              <w:t>@</w:t>
            </w:r>
            <w:r w:rsidRPr="00A34099">
              <w:rPr>
                <w:rStyle w:val="Hyperlink"/>
                <w:sz w:val="18"/>
                <w:szCs w:val="18"/>
              </w:rPr>
              <w:t>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4567DEA2" w14:textId="61FFE7B9" w:rsidR="00A34099" w:rsidRPr="0018437F" w:rsidRDefault="00A34099" w:rsidP="00A34099">
      <w:pPr>
        <w:pStyle w:val="FootnoteText"/>
        <w:spacing w:before="0"/>
        <w:rPr>
          <w:i/>
          <w:iCs/>
          <w:sz w:val="20"/>
          <w:lang w:val="fr-FR"/>
        </w:rPr>
      </w:pPr>
      <w:r w:rsidRPr="00A23E9E">
        <w:rPr>
          <w:rStyle w:val="FootnoteReference"/>
          <w:sz w:val="20"/>
          <w:lang w:val="fr-FR"/>
        </w:rPr>
        <w:footnoteRef/>
      </w:r>
      <w:r w:rsidRPr="00A23E9E">
        <w:rPr>
          <w:lang w:val="fr-FR"/>
        </w:rPr>
        <w:tab/>
      </w:r>
      <w:r w:rsidRPr="00D9231C">
        <w:rPr>
          <w:lang w:val="fr-FR"/>
        </w:rPr>
        <w:t>Les chiffres figurant dans le présent rapport correspondent au solde financier à la clôture des comptes de 2024 (solde au 31 décembre 2024).</w:t>
      </w:r>
    </w:p>
  </w:footnote>
  <w:footnote w:id="2">
    <w:p w14:paraId="3CD4B469" w14:textId="2BE2A7A3" w:rsidR="00A34099" w:rsidRPr="0018437F" w:rsidRDefault="00A34099" w:rsidP="00A34099">
      <w:pPr>
        <w:pStyle w:val="FootnoteText"/>
        <w:tabs>
          <w:tab w:val="clear" w:pos="255"/>
          <w:tab w:val="left" w:pos="0"/>
        </w:tabs>
        <w:spacing w:before="0"/>
        <w:rPr>
          <w:i/>
          <w:iCs/>
          <w:sz w:val="20"/>
          <w:lang w:val="fr-FR"/>
        </w:rPr>
      </w:pPr>
      <w:r w:rsidRPr="00A23E9E">
        <w:rPr>
          <w:rStyle w:val="FootnoteReference"/>
          <w:sz w:val="20"/>
          <w:lang w:val="fr-FR"/>
        </w:rPr>
        <w:footnoteRef/>
      </w:r>
      <w:r w:rsidR="00C030BD" w:rsidRPr="00A23E9E">
        <w:rPr>
          <w:lang w:val="fr-FR"/>
        </w:rPr>
        <w:tab/>
      </w:r>
      <w:r w:rsidRPr="00C030BD">
        <w:rPr>
          <w:lang w:val="fr-FR"/>
        </w:rPr>
        <w:t>Il convient de noter que ce chiffre n'inclut ni les addenda signés pour les projets en cours, ni les autres accords de partenariat, tels que les accords de parrainage ou les accords de contributions volontaires, qui sont indiqués dans le Document TDAG-25/INF/1.</w:t>
      </w:r>
    </w:p>
  </w:footnote>
  <w:footnote w:id="3">
    <w:p w14:paraId="4719E587" w14:textId="78E6B1F4" w:rsidR="00A34099" w:rsidRPr="0018437F" w:rsidRDefault="00A34099" w:rsidP="00A34099">
      <w:pPr>
        <w:pStyle w:val="FootnoteText"/>
        <w:spacing w:before="0"/>
        <w:rPr>
          <w:i/>
          <w:iCs/>
          <w:sz w:val="20"/>
          <w:lang w:val="fr-FR"/>
        </w:rPr>
      </w:pPr>
      <w:r w:rsidRPr="00A23E9E">
        <w:rPr>
          <w:rStyle w:val="FootnoteReference"/>
          <w:sz w:val="20"/>
          <w:lang w:val="fr-FR"/>
        </w:rPr>
        <w:footnoteRef/>
      </w:r>
      <w:r w:rsidR="00A23E9E" w:rsidRPr="00A23E9E">
        <w:rPr>
          <w:lang w:val="fr-FR"/>
        </w:rPr>
        <w:tab/>
      </w:r>
      <w:r w:rsidRPr="00A23E9E">
        <w:rPr>
          <w:lang w:val="fr-FR"/>
        </w:rPr>
        <w:t xml:space="preserve">Pour de plus amples renseignements, voir la Résolution 1418 du Conseil, disponible à l'adresse: </w:t>
      </w:r>
      <w:hyperlink r:id="rId1" w:history="1">
        <w:r w:rsidRPr="00A23E9E">
          <w:rPr>
            <w:rStyle w:val="Hyperlink"/>
            <w:lang w:val="fr-FR"/>
          </w:rPr>
          <w:t>https://www.itu.int/md/S23-CL-C-0116/</w:t>
        </w:r>
      </w:hyperlink>
      <w:r w:rsidRPr="00A23E9E">
        <w:rPr>
          <w:lang w:val="fr-FR"/>
        </w:rPr>
        <w:t>.</w:t>
      </w:r>
    </w:p>
  </w:footnote>
  <w:footnote w:id="4">
    <w:p w14:paraId="47874D86" w14:textId="7214521C" w:rsidR="00A34099" w:rsidRPr="0018437F" w:rsidRDefault="00A34099" w:rsidP="00A34099">
      <w:pPr>
        <w:pStyle w:val="FootnoteText"/>
        <w:spacing w:before="0"/>
        <w:rPr>
          <w:i/>
          <w:iCs/>
          <w:sz w:val="20"/>
          <w:lang w:val="fr-FR"/>
        </w:rPr>
      </w:pPr>
      <w:r w:rsidRPr="00A23E9E">
        <w:rPr>
          <w:rStyle w:val="FootnoteReference"/>
          <w:sz w:val="20"/>
          <w:lang w:val="fr-FR"/>
        </w:rPr>
        <w:footnoteRef/>
      </w:r>
      <w:r w:rsidR="00A23E9E" w:rsidRPr="00A23E9E">
        <w:rPr>
          <w:lang w:val="fr-FR"/>
        </w:rPr>
        <w:tab/>
      </w:r>
      <w:r w:rsidRPr="00A23E9E">
        <w:rPr>
          <w:lang w:val="fr-FR"/>
        </w:rPr>
        <w:t xml:space="preserve">Consultable à l'adresse suivante: </w:t>
      </w:r>
      <w:hyperlink r:id="rId2" w:anchor="/fr" w:history="1">
        <w:r w:rsidR="00643866" w:rsidRPr="00643866">
          <w:rPr>
            <w:rStyle w:val="Hyperlink"/>
            <w:szCs w:val="24"/>
            <w:lang w:val="fr-FR"/>
          </w:rPr>
          <w:t>https://www.itu.int/en/ITU</w:t>
        </w:r>
        <w:r w:rsidR="00643866" w:rsidRPr="00643866">
          <w:rPr>
            <w:rStyle w:val="Hyperlink"/>
            <w:szCs w:val="24"/>
            <w:lang w:val="fr-FR"/>
          </w:rPr>
          <w:t>-</w:t>
        </w:r>
        <w:r w:rsidR="00643866" w:rsidRPr="00643866">
          <w:rPr>
            <w:rStyle w:val="Hyperlink"/>
            <w:szCs w:val="24"/>
            <w:lang w:val="fr-FR"/>
          </w:rPr>
          <w:t>D/Projects</w:t>
        </w:r>
      </w:hyperlink>
      <w:r w:rsidRPr="00A23E9E">
        <w:rPr>
          <w:lang w:val="fr-FR"/>
        </w:rPr>
        <w:t>.</w:t>
      </w:r>
    </w:p>
  </w:footnote>
  <w:footnote w:id="5">
    <w:p w14:paraId="283475F2" w14:textId="7F9D8F3D" w:rsidR="00ED2C0F" w:rsidRPr="00ED2C0F" w:rsidRDefault="00A34099" w:rsidP="00A34099">
      <w:pPr>
        <w:pStyle w:val="FootnoteText"/>
        <w:tabs>
          <w:tab w:val="clear" w:pos="255"/>
          <w:tab w:val="left" w:pos="90"/>
        </w:tabs>
        <w:spacing w:before="0"/>
        <w:rPr>
          <w:lang w:val="fr-FR"/>
        </w:rPr>
      </w:pPr>
      <w:r w:rsidRPr="00ED2C0F">
        <w:rPr>
          <w:rStyle w:val="FootnoteReference"/>
          <w:sz w:val="20"/>
          <w:lang w:val="fr-FR"/>
        </w:rPr>
        <w:footnoteRef/>
      </w:r>
      <w:r w:rsidR="00ED2C0F" w:rsidRPr="00ED2C0F">
        <w:rPr>
          <w:lang w:val="fr-FR"/>
        </w:rPr>
        <w:tab/>
      </w:r>
      <w:r w:rsidRPr="00ED2C0F">
        <w:rPr>
          <w:lang w:val="fr-FR"/>
        </w:rPr>
        <w:t xml:space="preserve">De plus amples renseignements sur les partenariats et la mobilisation des ressources à l'UIT-D sont disponibles dans les </w:t>
      </w:r>
      <w:r w:rsidRPr="00643866">
        <w:rPr>
          <w:rStyle w:val="Hyperlink"/>
          <w:lang w:val="fr-FR"/>
        </w:rPr>
        <w:t>Documents </w:t>
      </w:r>
      <w:hyperlink r:id="rId3" w:history="1">
        <w:r w:rsidRPr="00ED2C0F">
          <w:rPr>
            <w:rStyle w:val="Hyperlink"/>
            <w:lang w:val="fr-FR"/>
          </w:rPr>
          <w:t>TDAG-25/9</w:t>
        </w:r>
      </w:hyperlink>
      <w:r w:rsidRPr="00ED2C0F">
        <w:rPr>
          <w:lang w:val="fr-FR"/>
        </w:rPr>
        <w:t xml:space="preserve"> et </w:t>
      </w:r>
      <w:hyperlink r:id="rId4" w:history="1">
        <w:r w:rsidRPr="00ED2C0F">
          <w:rPr>
            <w:rStyle w:val="Hyperlink"/>
            <w:lang w:val="fr-FR"/>
          </w:rPr>
          <w:t>TDAG-25/INF/3</w:t>
        </w:r>
      </w:hyperlink>
      <w:r w:rsidRPr="00ED2C0F">
        <w:rPr>
          <w:lang w:val="fr-FR"/>
        </w:rPr>
        <w:t xml:space="preserve">, ainsi que dans le </w:t>
      </w:r>
      <w:hyperlink r:id="rId5" w:history="1">
        <w:r w:rsidRPr="00ED2C0F">
          <w:rPr>
            <w:rStyle w:val="Hyperlink"/>
            <w:lang w:val="fr-FR"/>
          </w:rPr>
          <w:t>Document TDAG-24/8</w:t>
        </w:r>
      </w:hyperlink>
      <w:r w:rsidRPr="00ED2C0F">
        <w:rPr>
          <w:lang w:val="fr-FR"/>
        </w:rPr>
        <w:t xml:space="preserve">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E5E292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A34099">
      <w:rPr>
        <w:sz w:val="22"/>
        <w:szCs w:val="22"/>
        <w:lang w:val="de-CH"/>
      </w:rPr>
      <w:t>5</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2"/>
  </w:num>
  <w:num w:numId="2" w16cid:durableId="2552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2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0ED"/>
    <w:rsid w:val="00573424"/>
    <w:rsid w:val="0057402F"/>
    <w:rsid w:val="00581653"/>
    <w:rsid w:val="005849D6"/>
    <w:rsid w:val="00585367"/>
    <w:rsid w:val="005871A1"/>
    <w:rsid w:val="0058737E"/>
    <w:rsid w:val="00592518"/>
    <w:rsid w:val="00592E87"/>
    <w:rsid w:val="0059420B"/>
    <w:rsid w:val="00594C4D"/>
    <w:rsid w:val="005A2641"/>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866"/>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6466C"/>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23E9E"/>
    <w:rsid w:val="00A3158C"/>
    <w:rsid w:val="00A32DF3"/>
    <w:rsid w:val="00A33E32"/>
    <w:rsid w:val="00A34099"/>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30BD"/>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3601E"/>
    <w:rsid w:val="00D63006"/>
    <w:rsid w:val="00D64217"/>
    <w:rsid w:val="00D72301"/>
    <w:rsid w:val="00D911DE"/>
    <w:rsid w:val="00D91B97"/>
    <w:rsid w:val="00D9231C"/>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4063"/>
    <w:rsid w:val="00EC6FED"/>
    <w:rsid w:val="00EC7F3B"/>
    <w:rsid w:val="00ED2C0F"/>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semiHidden/>
    <w:unhideWhenUsed/>
    <w:rsid w:val="00A34099"/>
    <w:rPr>
      <w:sz w:val="16"/>
      <w:szCs w:val="16"/>
    </w:rPr>
  </w:style>
  <w:style w:type="paragraph" w:styleId="CommentText">
    <w:name w:val="annotation text"/>
    <w:basedOn w:val="Normal"/>
    <w:link w:val="CommentTextChar"/>
    <w:unhideWhenUsed/>
    <w:rsid w:val="00A34099"/>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A34099"/>
    <w:rPr>
      <w:rFonts w:asciiTheme="minorHAnsi" w:eastAsia="Batang" w:hAnsiTheme="minorHAnsi"/>
      <w:lang w:val="en-GB" w:eastAsia="en-US"/>
    </w:rPr>
  </w:style>
  <w:style w:type="character" w:styleId="UnresolvedMention">
    <w:name w:val="Unresolved Mention"/>
    <w:basedOn w:val="DefaultParagraphFont"/>
    <w:uiPriority w:val="99"/>
    <w:semiHidden/>
    <w:unhideWhenUsed/>
    <w:rsid w:val="00A2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TDAG32-C-0009/" TargetMode="External"/><Relationship Id="rId2" Type="http://schemas.openxmlformats.org/officeDocument/2006/relationships/hyperlink" Target="https://www.itu.int/itu-d/sites/projects/home/projects/" TargetMode="External"/><Relationship Id="rId1" Type="http://schemas.openxmlformats.org/officeDocument/2006/relationships/hyperlink" Target="https://www.itu.int/md/S23-CL-C-0116/" TargetMode="External"/><Relationship Id="rId5" Type="http://schemas.openxmlformats.org/officeDocument/2006/relationships/hyperlink" Target="https://www.itu.int/md/D22-TDAG32-C-0008/" TargetMode="External"/><Relationship Id="rId4" Type="http://schemas.openxmlformats.org/officeDocument/2006/relationships/hyperlink" Target="https://www.itu.int/md/D22-TDAG32-INF-0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5/PRJ%20database%20for%20TDAG%202025%20report%20-%20rev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5/PRJ%20database%20for%20TDAG%202025%20report%20-%20rev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year'!$A$7:$A$17</c:f>
              <c:numCache>
                <c:formatCode>0_);\(0\)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'Projects per year'!$B$7:$B$17</c:f>
              <c:numCache>
                <c:formatCode>_(* #,##0.00_);_(* \(#,##0.00\);_(* "-"??_);_(@_)</c:formatCode>
                <c:ptCount val="11"/>
                <c:pt idx="0">
                  <c:v>7674402</c:v>
                </c:pt>
                <c:pt idx="1">
                  <c:v>5289174</c:v>
                </c:pt>
                <c:pt idx="2">
                  <c:v>2767939</c:v>
                </c:pt>
                <c:pt idx="3">
                  <c:v>9730134</c:v>
                </c:pt>
                <c:pt idx="4">
                  <c:v>10721579</c:v>
                </c:pt>
                <c:pt idx="5">
                  <c:v>13612980</c:v>
                </c:pt>
                <c:pt idx="6">
                  <c:v>14901477</c:v>
                </c:pt>
                <c:pt idx="7">
                  <c:v>19315000</c:v>
                </c:pt>
                <c:pt idx="8">
                  <c:v>5342000</c:v>
                </c:pt>
                <c:pt idx="9">
                  <c:v>20965339.076000001</c:v>
                </c:pt>
                <c:pt idx="10">
                  <c:v>28656547</c:v>
                </c:pt>
              </c:numCache>
            </c:numRef>
          </c:val>
          <c:extLst>
            <c:ext xmlns:c16="http://schemas.microsoft.com/office/drawing/2014/chart" uri="{C3380CC4-5D6E-409C-BE32-E72D297353CC}">
              <c16:uniqueId val="{00000000-6CAF-4903-A5AB-DBEBC82A1D40}"/>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76-4CD0-9398-C7385069C4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76-4CD0-9398-C7385069C4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'Projects signed 2024'!$J$2:$J$3</c:f>
              <c:strCache>
                <c:ptCount val="2"/>
                <c:pt idx="0">
                  <c:v>Extra-budgetary funds</c:v>
                </c:pt>
                <c:pt idx="1">
                  <c:v>ITU funds 
(ICT-DF and RI funds)</c:v>
                </c:pt>
              </c:strCache>
            </c:strRef>
          </c:cat>
          <c:val>
            <c:numRef>
              <c:f>'Projects signed 2024'!$K$2:$K$3</c:f>
              <c:numCache>
                <c:formatCode>#,##0.0,</c:formatCode>
                <c:ptCount val="2"/>
                <c:pt idx="0">
                  <c:v>25878207</c:v>
                </c:pt>
                <c:pt idx="1">
                  <c:v>2121278</c:v>
                </c:pt>
              </c:numCache>
            </c:numRef>
          </c:val>
          <c:extLst>
            <c:ext xmlns:c16="http://schemas.microsoft.com/office/drawing/2014/chart" uri="{C3380CC4-5D6E-409C-BE32-E72D297353CC}">
              <c16:uniqueId val="{00000004-A076-4CD0-9398-C7385069C4B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623B347E-A84D-4E61-8E90-1BBFCE112005}"/>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2221</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11</cp:revision>
  <cp:lastPrinted>2014-11-04T09:22:00Z</cp:lastPrinted>
  <dcterms:created xsi:type="dcterms:W3CDTF">2025-05-08T04:57:00Z</dcterms:created>
  <dcterms:modified xsi:type="dcterms:W3CDTF">2025-05-08T07:12:00Z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