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8E7CF1" w14:paraId="5736F9B6" w14:textId="77777777" w:rsidTr="00857AC8">
        <w:trPr>
          <w:cantSplit/>
          <w:trHeight w:val="1134"/>
        </w:trPr>
        <w:tc>
          <w:tcPr>
            <w:tcW w:w="1985" w:type="dxa"/>
          </w:tcPr>
          <w:p w14:paraId="6C418AAC" w14:textId="19739AA2" w:rsidR="00526DAF" w:rsidRPr="008E7CF1" w:rsidRDefault="00526DAF" w:rsidP="00AC62B6">
            <w:pPr>
              <w:spacing w:after="40"/>
              <w:ind w:left="34"/>
              <w:jc w:val="both"/>
              <w:rPr>
                <w:b/>
                <w:bCs/>
                <w:sz w:val="32"/>
                <w:szCs w:val="32"/>
              </w:rPr>
            </w:pPr>
            <w:r w:rsidRPr="008E7CF1">
              <w:rPr>
                <w:noProof/>
                <w:sz w:val="32"/>
                <w:szCs w:val="32"/>
              </w:rPr>
              <w:drawing>
                <wp:inline distT="0" distB="0" distL="0" distR="0" wp14:anchorId="03000A14" wp14:editId="75E6CA41">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Pr="008E7CF1" w:rsidRDefault="00526DAF" w:rsidP="0022687F">
            <w:pPr>
              <w:tabs>
                <w:tab w:val="clear" w:pos="1134"/>
              </w:tabs>
              <w:spacing w:before="240" w:after="240"/>
              <w:rPr>
                <w:b/>
                <w:bCs/>
                <w:sz w:val="32"/>
                <w:szCs w:val="32"/>
              </w:rPr>
            </w:pPr>
            <w:r w:rsidRPr="008E7CF1">
              <w:rPr>
                <w:b/>
                <w:bCs/>
                <w:sz w:val="32"/>
                <w:szCs w:val="32"/>
              </w:rPr>
              <w:t>Telecommunication Development</w:t>
            </w:r>
            <w:r w:rsidRPr="008E7CF1">
              <w:rPr>
                <w:b/>
                <w:bCs/>
                <w:sz w:val="32"/>
                <w:szCs w:val="32"/>
              </w:rPr>
              <w:br/>
              <w:t>Advisory Group (TDAG)</w:t>
            </w:r>
          </w:p>
          <w:p w14:paraId="2DCF59CB" w14:textId="03463558" w:rsidR="00526DAF" w:rsidRPr="008E7CF1" w:rsidRDefault="00526DAF" w:rsidP="0022687F">
            <w:pPr>
              <w:tabs>
                <w:tab w:val="clear" w:pos="1134"/>
              </w:tabs>
              <w:spacing w:after="120"/>
              <w:rPr>
                <w:b/>
                <w:bCs/>
                <w:sz w:val="28"/>
                <w:szCs w:val="28"/>
              </w:rPr>
            </w:pPr>
            <w:r w:rsidRPr="008E7CF1">
              <w:rPr>
                <w:b/>
                <w:bCs/>
                <w:sz w:val="26"/>
                <w:szCs w:val="26"/>
              </w:rPr>
              <w:t>32nd Meeting, Geneva, Switzerland, 12-16 May 2025</w:t>
            </w:r>
          </w:p>
        </w:tc>
        <w:tc>
          <w:tcPr>
            <w:tcW w:w="1526" w:type="dxa"/>
          </w:tcPr>
          <w:p w14:paraId="06B48AA1" w14:textId="516DD633" w:rsidR="00526DAF" w:rsidRPr="008E7CF1" w:rsidRDefault="00526DAF" w:rsidP="001D78D5">
            <w:pPr>
              <w:spacing w:before="240" w:after="120"/>
              <w:jc w:val="right"/>
              <w:rPr>
                <w:rFonts w:cstheme="minorHAnsi"/>
              </w:rPr>
            </w:pPr>
            <w:bookmarkStart w:id="0" w:name="ditulogo"/>
            <w:bookmarkEnd w:id="0"/>
            <w:r w:rsidRPr="008E7CF1">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8E7CF1" w14:paraId="6DE5ABA3" w14:textId="77777777" w:rsidTr="005C3173">
        <w:trPr>
          <w:cantSplit/>
        </w:trPr>
        <w:tc>
          <w:tcPr>
            <w:tcW w:w="6663" w:type="dxa"/>
            <w:gridSpan w:val="2"/>
            <w:tcBorders>
              <w:top w:val="single" w:sz="12" w:space="0" w:color="auto"/>
            </w:tcBorders>
          </w:tcPr>
          <w:p w14:paraId="73168FEF" w14:textId="77777777" w:rsidR="00D83BF5" w:rsidRPr="008E7CF1"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8E7CF1" w:rsidRDefault="00D83BF5" w:rsidP="00403C69">
            <w:pPr>
              <w:spacing w:before="0" w:line="240" w:lineRule="atLeast"/>
              <w:rPr>
                <w:rFonts w:cstheme="minorHAnsi"/>
                <w:sz w:val="20"/>
              </w:rPr>
            </w:pPr>
          </w:p>
        </w:tc>
      </w:tr>
      <w:tr w:rsidR="005B718F" w:rsidRPr="008E7CF1" w14:paraId="02BC550A" w14:textId="77777777" w:rsidTr="005C3173">
        <w:trPr>
          <w:cantSplit/>
          <w:trHeight w:val="23"/>
        </w:trPr>
        <w:tc>
          <w:tcPr>
            <w:tcW w:w="6663" w:type="dxa"/>
            <w:gridSpan w:val="2"/>
            <w:shd w:val="clear" w:color="auto" w:fill="auto"/>
          </w:tcPr>
          <w:p w14:paraId="1EF66EAC" w14:textId="77777777" w:rsidR="005B718F" w:rsidRPr="008E7CF1"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3976B24A" w:rsidR="005B718F" w:rsidRPr="008E7CF1" w:rsidRDefault="005B718F" w:rsidP="005B718F">
            <w:pPr>
              <w:tabs>
                <w:tab w:val="left" w:pos="851"/>
              </w:tabs>
              <w:spacing w:before="0" w:line="240" w:lineRule="atLeast"/>
              <w:rPr>
                <w:rFonts w:cstheme="minorHAnsi"/>
                <w:szCs w:val="24"/>
              </w:rPr>
            </w:pPr>
            <w:r w:rsidRPr="008E7CF1">
              <w:rPr>
                <w:b/>
                <w:bCs/>
                <w:lang w:val="en-US"/>
              </w:rPr>
              <w:t xml:space="preserve">Document </w:t>
            </w:r>
            <w:bookmarkStart w:id="4" w:name="DocRef1"/>
            <w:bookmarkEnd w:id="4"/>
            <w:r w:rsidRPr="008E7CF1">
              <w:rPr>
                <w:b/>
                <w:bCs/>
                <w:lang w:val="en-US"/>
              </w:rPr>
              <w:t>TDAG-25/</w:t>
            </w:r>
            <w:bookmarkStart w:id="5" w:name="DocNo1"/>
            <w:bookmarkEnd w:id="5"/>
            <w:r w:rsidR="008E1A9A" w:rsidRPr="008E7CF1">
              <w:rPr>
                <w:b/>
                <w:bCs/>
                <w:lang w:val="en-US"/>
              </w:rPr>
              <w:t>5</w:t>
            </w:r>
            <w:r w:rsidRPr="008E7CF1">
              <w:rPr>
                <w:b/>
                <w:bCs/>
                <w:lang w:val="en-US"/>
              </w:rPr>
              <w:t>-E</w:t>
            </w:r>
          </w:p>
        </w:tc>
      </w:tr>
      <w:tr w:rsidR="005B718F" w:rsidRPr="008E7CF1" w14:paraId="55AD5FBA" w14:textId="77777777" w:rsidTr="00FE2210">
        <w:trPr>
          <w:cantSplit/>
          <w:trHeight w:val="66"/>
        </w:trPr>
        <w:tc>
          <w:tcPr>
            <w:tcW w:w="6663" w:type="dxa"/>
            <w:gridSpan w:val="2"/>
            <w:shd w:val="clear" w:color="auto" w:fill="auto"/>
          </w:tcPr>
          <w:p w14:paraId="0E170520" w14:textId="77777777" w:rsidR="005B718F" w:rsidRPr="008E7CF1"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3C5D05FB" w:rsidR="005B718F" w:rsidRPr="008E7CF1" w:rsidRDefault="00F154E2" w:rsidP="005B718F">
            <w:pPr>
              <w:spacing w:before="0" w:line="240" w:lineRule="atLeast"/>
              <w:rPr>
                <w:rFonts w:cstheme="minorHAnsi"/>
                <w:szCs w:val="24"/>
              </w:rPr>
            </w:pPr>
            <w:r w:rsidRPr="008E7CF1">
              <w:rPr>
                <w:b/>
                <w:bCs/>
                <w:szCs w:val="28"/>
              </w:rPr>
              <w:t>2</w:t>
            </w:r>
            <w:r w:rsidR="008E1A9A" w:rsidRPr="008E7CF1">
              <w:rPr>
                <w:b/>
                <w:bCs/>
                <w:szCs w:val="28"/>
              </w:rPr>
              <w:t>4</w:t>
            </w:r>
            <w:r w:rsidR="00FE2210" w:rsidRPr="008E7CF1">
              <w:rPr>
                <w:b/>
                <w:bCs/>
                <w:szCs w:val="28"/>
              </w:rPr>
              <w:t xml:space="preserve"> March </w:t>
            </w:r>
            <w:r w:rsidR="005B718F" w:rsidRPr="008E7CF1">
              <w:rPr>
                <w:b/>
                <w:bCs/>
                <w:szCs w:val="28"/>
              </w:rPr>
              <w:t>2025</w:t>
            </w:r>
          </w:p>
        </w:tc>
      </w:tr>
      <w:bookmarkEnd w:id="6"/>
      <w:bookmarkEnd w:id="7"/>
      <w:tr w:rsidR="005B718F" w:rsidRPr="008E7CF1" w14:paraId="07260C0B" w14:textId="77777777" w:rsidTr="005C3173">
        <w:trPr>
          <w:cantSplit/>
          <w:trHeight w:val="23"/>
        </w:trPr>
        <w:tc>
          <w:tcPr>
            <w:tcW w:w="6663" w:type="dxa"/>
            <w:gridSpan w:val="2"/>
            <w:shd w:val="clear" w:color="auto" w:fill="auto"/>
          </w:tcPr>
          <w:p w14:paraId="773E4FE3" w14:textId="77777777" w:rsidR="005B718F" w:rsidRPr="008E7CF1"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8E7CF1" w:rsidRDefault="005B718F" w:rsidP="005B718F">
            <w:pPr>
              <w:tabs>
                <w:tab w:val="left" w:pos="993"/>
              </w:tabs>
              <w:spacing w:before="0"/>
              <w:rPr>
                <w:rFonts w:cstheme="minorHAnsi"/>
                <w:b/>
                <w:szCs w:val="24"/>
              </w:rPr>
            </w:pPr>
            <w:r w:rsidRPr="008E7CF1">
              <w:rPr>
                <w:b/>
                <w:bCs/>
                <w:szCs w:val="24"/>
              </w:rPr>
              <w:t>Original: English</w:t>
            </w:r>
          </w:p>
        </w:tc>
      </w:tr>
      <w:tr w:rsidR="003D1814" w:rsidRPr="008E7CF1" w14:paraId="35F96F24" w14:textId="77777777" w:rsidTr="00D87035">
        <w:trPr>
          <w:cantSplit/>
          <w:trHeight w:val="23"/>
        </w:trPr>
        <w:tc>
          <w:tcPr>
            <w:tcW w:w="10031" w:type="dxa"/>
            <w:gridSpan w:val="4"/>
            <w:shd w:val="clear" w:color="auto" w:fill="auto"/>
          </w:tcPr>
          <w:p w14:paraId="59A8A61C" w14:textId="67D69124" w:rsidR="003D1814" w:rsidRPr="008E7CF1" w:rsidRDefault="00CA5366" w:rsidP="003D1814">
            <w:pPr>
              <w:pStyle w:val="Source"/>
              <w:spacing w:before="240" w:after="240"/>
            </w:pPr>
            <w:bookmarkStart w:id="8" w:name="dbluepink" w:colFirst="0" w:colLast="0"/>
            <w:bookmarkStart w:id="9" w:name="dorlang" w:colFirst="1" w:colLast="1"/>
            <w:r w:rsidRPr="008E7CF1">
              <w:t>Director, Telecommunication Development Bureau</w:t>
            </w:r>
          </w:p>
        </w:tc>
      </w:tr>
      <w:tr w:rsidR="003D1814" w:rsidRPr="008E7CF1" w14:paraId="7EDE1565" w14:textId="77777777" w:rsidTr="002B452F">
        <w:trPr>
          <w:cantSplit/>
          <w:trHeight w:val="23"/>
        </w:trPr>
        <w:tc>
          <w:tcPr>
            <w:tcW w:w="10031" w:type="dxa"/>
            <w:gridSpan w:val="4"/>
            <w:shd w:val="clear" w:color="auto" w:fill="auto"/>
            <w:vAlign w:val="center"/>
          </w:tcPr>
          <w:p w14:paraId="3D29924B" w14:textId="1BEB981A" w:rsidR="003D1814" w:rsidRPr="008E7CF1" w:rsidRDefault="005D47C5" w:rsidP="003D1814">
            <w:pPr>
              <w:pStyle w:val="Title1"/>
              <w:spacing w:before="120" w:after="120"/>
              <w:rPr>
                <w:caps w:val="0"/>
              </w:rPr>
            </w:pPr>
            <w:r w:rsidRPr="008E7CF1">
              <w:rPr>
                <w:caps w:val="0"/>
                <w:szCs w:val="28"/>
                <w:lang w:val="en-US"/>
              </w:rPr>
              <w:t>ITU-D Projects</w:t>
            </w:r>
          </w:p>
        </w:tc>
      </w:tr>
      <w:tr w:rsidR="008A75AD" w:rsidRPr="008E7CF1" w14:paraId="4FBA7816" w14:textId="77777777" w:rsidTr="002B452F">
        <w:trPr>
          <w:cantSplit/>
          <w:trHeight w:val="23"/>
        </w:trPr>
        <w:tc>
          <w:tcPr>
            <w:tcW w:w="10031" w:type="dxa"/>
            <w:gridSpan w:val="4"/>
            <w:shd w:val="clear" w:color="auto" w:fill="auto"/>
            <w:vAlign w:val="center"/>
          </w:tcPr>
          <w:p w14:paraId="0E683B60" w14:textId="77777777" w:rsidR="008A75AD" w:rsidRPr="008E7CF1" w:rsidRDefault="008A75AD" w:rsidP="00FA1D7B">
            <w:pPr>
              <w:pStyle w:val="Title1"/>
              <w:spacing w:before="120" w:after="120"/>
              <w:jc w:val="left"/>
              <w:rPr>
                <w:caps w:val="0"/>
                <w:szCs w:val="28"/>
                <w:lang w:val="en-US"/>
              </w:rPr>
            </w:pPr>
          </w:p>
        </w:tc>
      </w:tr>
      <w:tr w:rsidR="00C77589" w:rsidRPr="008E7CF1"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584302B" w14:textId="77777777" w:rsidR="007135E8" w:rsidRPr="008E7CF1" w:rsidRDefault="007135E8" w:rsidP="007135E8">
            <w:pPr>
              <w:spacing w:after="120"/>
              <w:rPr>
                <w:rFonts w:cstheme="minorHAnsi"/>
                <w:b/>
                <w:bCs/>
                <w:szCs w:val="24"/>
              </w:rPr>
            </w:pPr>
            <w:r w:rsidRPr="008E7CF1">
              <w:rPr>
                <w:rFonts w:cstheme="minorHAnsi"/>
                <w:b/>
                <w:bCs/>
                <w:szCs w:val="24"/>
              </w:rPr>
              <w:t>Summary:</w:t>
            </w:r>
          </w:p>
          <w:p w14:paraId="0B38AA9B" w14:textId="5D1CCB18" w:rsidR="007135E8" w:rsidRPr="008E7CF1" w:rsidRDefault="007135E8" w:rsidP="007135E8">
            <w:pPr>
              <w:spacing w:after="120"/>
              <w:rPr>
                <w:rFonts w:cstheme="minorHAnsi"/>
                <w:lang w:eastAsia="zh-CN"/>
              </w:rPr>
            </w:pPr>
            <w:r w:rsidRPr="008E7CF1">
              <w:rPr>
                <w:rFonts w:cstheme="minorHAnsi"/>
                <w:lang w:eastAsia="zh-CN"/>
              </w:rPr>
              <w:t xml:space="preserve">The International Telecommunication Union </w:t>
            </w:r>
            <w:r w:rsidR="008873EB" w:rsidRPr="008E7CF1">
              <w:rPr>
                <w:rFonts w:cstheme="minorHAnsi"/>
                <w:lang w:eastAsia="zh-CN"/>
              </w:rPr>
              <w:t xml:space="preserve">(ITU) </w:t>
            </w:r>
            <w:r w:rsidRPr="008E7CF1">
              <w:rPr>
                <w:rFonts w:cstheme="minorHAnsi"/>
                <w:lang w:eastAsia="zh-CN"/>
              </w:rPr>
              <w:t xml:space="preserve">has a dual responsibility as a United Nations specialized agency and as an executing agency. The Telecommunication Development Sector (ITU-D) in fulfilling the Union's dual responsibility, has the key function of implementing projects under the United Nations development system or other funding arrangements </w:t>
            </w:r>
            <w:proofErr w:type="gramStart"/>
            <w:r w:rsidRPr="008E7CF1">
              <w:rPr>
                <w:rFonts w:cstheme="minorHAnsi"/>
                <w:lang w:eastAsia="zh-CN"/>
              </w:rPr>
              <w:t>so as to</w:t>
            </w:r>
            <w:proofErr w:type="gramEnd"/>
            <w:r w:rsidRPr="008E7CF1">
              <w:rPr>
                <w:rFonts w:cstheme="minorHAnsi"/>
                <w:lang w:eastAsia="zh-CN"/>
              </w:rPr>
              <w:t xml:space="preserve"> facilitate and enhance telecommunication development by offering, organizing, and coordinating technical cooperation and assistance activities.</w:t>
            </w:r>
          </w:p>
          <w:p w14:paraId="17F5ACA4" w14:textId="6DEE1FD1" w:rsidR="007135E8" w:rsidRPr="008E7CF1" w:rsidRDefault="007135E8" w:rsidP="007135E8">
            <w:pPr>
              <w:spacing w:after="120"/>
              <w:rPr>
                <w:rFonts w:cstheme="minorHAnsi"/>
                <w:lang w:eastAsia="zh-CN"/>
              </w:rPr>
            </w:pPr>
            <w:r w:rsidRPr="008E7CF1">
              <w:rPr>
                <w:rFonts w:cstheme="minorHAnsi"/>
                <w:lang w:eastAsia="zh-CN"/>
              </w:rPr>
              <w:t xml:space="preserve">This document presents an overview of the work undertaken by the Telecommunication Development Bureau </w:t>
            </w:r>
            <w:r w:rsidR="008873EB" w:rsidRPr="008E7CF1">
              <w:rPr>
                <w:rFonts w:cstheme="minorHAnsi"/>
                <w:lang w:eastAsia="zh-CN"/>
              </w:rPr>
              <w:t xml:space="preserve">(BDT) </w:t>
            </w:r>
            <w:r w:rsidRPr="008E7CF1">
              <w:rPr>
                <w:rFonts w:cstheme="minorHAnsi"/>
                <w:lang w:eastAsia="zh-CN"/>
              </w:rPr>
              <w:t xml:space="preserve">in project </w:t>
            </w:r>
            <w:r w:rsidR="008873EB" w:rsidRPr="008E7CF1">
              <w:rPr>
                <w:rFonts w:cstheme="minorHAnsi"/>
                <w:lang w:eastAsia="zh-CN"/>
              </w:rPr>
              <w:t xml:space="preserve">design, </w:t>
            </w:r>
            <w:r w:rsidRPr="008E7CF1">
              <w:rPr>
                <w:rFonts w:cstheme="minorHAnsi"/>
                <w:lang w:eastAsia="zh-CN"/>
              </w:rPr>
              <w:t>development</w:t>
            </w:r>
            <w:r w:rsidR="008873EB" w:rsidRPr="008E7CF1">
              <w:rPr>
                <w:rFonts w:cstheme="minorHAnsi"/>
                <w:lang w:eastAsia="zh-CN"/>
              </w:rPr>
              <w:t>, and assessment</w:t>
            </w:r>
            <w:r w:rsidRPr="008E7CF1">
              <w:rPr>
                <w:rFonts w:cstheme="minorHAnsi"/>
                <w:lang w:eastAsia="zh-CN"/>
              </w:rPr>
              <w:t xml:space="preserve"> in the six ITU-D regions: Africa, Americas, Arab States, Asia</w:t>
            </w:r>
            <w:r w:rsidR="008873EB" w:rsidRPr="008E7CF1">
              <w:rPr>
                <w:rFonts w:cstheme="minorHAnsi"/>
                <w:lang w:eastAsia="zh-CN"/>
              </w:rPr>
              <w:t xml:space="preserve"> and the </w:t>
            </w:r>
            <w:r w:rsidRPr="008E7CF1">
              <w:rPr>
                <w:rFonts w:cstheme="minorHAnsi"/>
                <w:lang w:eastAsia="zh-CN"/>
              </w:rPr>
              <w:t>Pacific, Commonwealth of Independent States (CIS)</w:t>
            </w:r>
            <w:r w:rsidR="008873EB" w:rsidRPr="008E7CF1">
              <w:rPr>
                <w:rFonts w:cstheme="minorHAnsi"/>
                <w:lang w:eastAsia="zh-CN"/>
              </w:rPr>
              <w:t>,</w:t>
            </w:r>
            <w:r w:rsidRPr="008E7CF1">
              <w:rPr>
                <w:rFonts w:cstheme="minorHAnsi"/>
                <w:lang w:eastAsia="zh-CN"/>
              </w:rPr>
              <w:t xml:space="preserve"> and Europe, as well as multi-region</w:t>
            </w:r>
            <w:r w:rsidR="008873EB" w:rsidRPr="008E7CF1">
              <w:rPr>
                <w:rFonts w:cstheme="minorHAnsi"/>
                <w:lang w:eastAsia="zh-CN"/>
              </w:rPr>
              <w:t>s</w:t>
            </w:r>
            <w:r w:rsidRPr="008E7CF1">
              <w:rPr>
                <w:rFonts w:cstheme="minorHAnsi"/>
                <w:lang w:eastAsia="zh-CN"/>
              </w:rPr>
              <w:t>.</w:t>
            </w:r>
          </w:p>
          <w:p w14:paraId="46ECC91F" w14:textId="77777777" w:rsidR="007135E8" w:rsidRPr="008E7CF1" w:rsidRDefault="007135E8" w:rsidP="007135E8">
            <w:pPr>
              <w:spacing w:after="120"/>
              <w:rPr>
                <w:rFonts w:cstheme="minorHAnsi"/>
                <w:b/>
                <w:bCs/>
                <w:szCs w:val="24"/>
              </w:rPr>
            </w:pPr>
            <w:r w:rsidRPr="008E7CF1">
              <w:rPr>
                <w:rFonts w:cstheme="minorHAnsi"/>
                <w:b/>
                <w:bCs/>
              </w:rPr>
              <w:t>Action required:</w:t>
            </w:r>
          </w:p>
          <w:p w14:paraId="04EC9749" w14:textId="77777777" w:rsidR="007135E8" w:rsidRPr="008E7CF1" w:rsidRDefault="007135E8" w:rsidP="007135E8">
            <w:pPr>
              <w:spacing w:after="120"/>
              <w:rPr>
                <w:rFonts w:cstheme="minorHAnsi"/>
                <w:b/>
                <w:bCs/>
                <w:lang w:eastAsia="zh-CN"/>
              </w:rPr>
            </w:pPr>
            <w:r w:rsidRPr="008E7CF1">
              <w:rPr>
                <w:rFonts w:cstheme="minorHAnsi"/>
                <w:lang w:eastAsia="zh-CN"/>
              </w:rPr>
              <w:t>TDAG is invited to note this document and provide guidance as deemed appropriate.</w:t>
            </w:r>
          </w:p>
          <w:p w14:paraId="03748A04" w14:textId="77777777" w:rsidR="007135E8" w:rsidRPr="008E7CF1" w:rsidRDefault="007135E8" w:rsidP="007135E8">
            <w:pPr>
              <w:spacing w:after="120"/>
              <w:rPr>
                <w:rFonts w:cstheme="minorHAnsi"/>
                <w:b/>
                <w:bCs/>
                <w:szCs w:val="24"/>
              </w:rPr>
            </w:pPr>
            <w:r w:rsidRPr="008E7CF1">
              <w:rPr>
                <w:rFonts w:cstheme="minorHAnsi"/>
                <w:b/>
                <w:bCs/>
                <w:szCs w:val="24"/>
              </w:rPr>
              <w:t>References:</w:t>
            </w:r>
          </w:p>
          <w:p w14:paraId="6A9AF37B" w14:textId="3FC118A0" w:rsidR="00C77589" w:rsidRPr="008E7CF1" w:rsidRDefault="007135E8" w:rsidP="007135E8">
            <w:pPr>
              <w:spacing w:after="120"/>
            </w:pPr>
            <w:r w:rsidRPr="008E7CF1">
              <w:rPr>
                <w:rFonts w:cstheme="minorHAnsi"/>
                <w:lang w:eastAsia="zh-CN"/>
              </w:rPr>
              <w:t>Resolutions 17 (Rev. Kigali, 2022) and 52 (Rev. Dubai, 2014) of the World Telecommunication Development Conference (WTDC</w:t>
            </w:r>
            <w:r w:rsidR="008873EB" w:rsidRPr="008E7CF1">
              <w:rPr>
                <w:rFonts w:cstheme="minorHAnsi"/>
                <w:lang w:eastAsia="zh-CN"/>
              </w:rPr>
              <w:t>-22</w:t>
            </w:r>
            <w:r w:rsidRPr="008E7CF1">
              <w:rPr>
                <w:rFonts w:cstheme="minorHAnsi"/>
                <w:lang w:eastAsia="zh-CN"/>
              </w:rPr>
              <w:t>) and Resolution 157 (Rev. Bucharest, 2022) of the Plenipotentiary Conference</w:t>
            </w:r>
            <w:r w:rsidR="008873EB" w:rsidRPr="008E7CF1">
              <w:rPr>
                <w:rFonts w:cstheme="minorHAnsi"/>
                <w:lang w:eastAsia="zh-CN"/>
              </w:rPr>
              <w:t xml:space="preserve"> (PP-22)</w:t>
            </w:r>
            <w:r w:rsidRPr="008E7CF1">
              <w:rPr>
                <w:rFonts w:cstheme="minorHAnsi"/>
                <w:lang w:eastAsia="zh-CN"/>
              </w:rPr>
              <w:t>. Resolution 1418 of the ITU Council.</w:t>
            </w:r>
          </w:p>
        </w:tc>
      </w:tr>
      <w:bookmarkEnd w:id="8"/>
      <w:bookmarkEnd w:id="9"/>
    </w:tbl>
    <w:p w14:paraId="295EAF1B" w14:textId="77777777" w:rsidR="001E252D" w:rsidRPr="008E7CF1"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Pr="008E7CF1" w:rsidRDefault="00FF220A">
      <w:pPr>
        <w:tabs>
          <w:tab w:val="clear" w:pos="1134"/>
          <w:tab w:val="clear" w:pos="1871"/>
          <w:tab w:val="clear" w:pos="2268"/>
        </w:tabs>
        <w:overflowPunct/>
        <w:autoSpaceDE/>
        <w:autoSpaceDN/>
        <w:adjustRightInd/>
        <w:spacing w:before="0"/>
        <w:textAlignment w:val="auto"/>
        <w:rPr>
          <w:szCs w:val="24"/>
        </w:rPr>
      </w:pPr>
      <w:r w:rsidRPr="008E7CF1">
        <w:rPr>
          <w:szCs w:val="24"/>
        </w:rPr>
        <w:br w:type="page"/>
      </w:r>
    </w:p>
    <w:p w14:paraId="4259E2C4" w14:textId="77777777" w:rsidR="00483169" w:rsidRPr="008E7CF1" w:rsidRDefault="00483169" w:rsidP="003B78F1">
      <w:pPr>
        <w:pStyle w:val="Heading1"/>
        <w:numPr>
          <w:ilvl w:val="0"/>
          <w:numId w:val="45"/>
        </w:numPr>
        <w:spacing w:before="120" w:after="120"/>
        <w:ind w:left="283" w:hanging="283"/>
        <w:textAlignment w:val="auto"/>
        <w:rPr>
          <w:rFonts w:cstheme="minorHAnsi"/>
          <w:sz w:val="24"/>
          <w:szCs w:val="24"/>
        </w:rPr>
      </w:pPr>
      <w:r w:rsidRPr="008E7CF1">
        <w:rPr>
          <w:rFonts w:cstheme="minorHAnsi"/>
          <w:sz w:val="24"/>
          <w:szCs w:val="24"/>
        </w:rPr>
        <w:lastRenderedPageBreak/>
        <w:t>Introduction</w:t>
      </w:r>
    </w:p>
    <w:p w14:paraId="0D5D470F" w14:textId="095E2CB0" w:rsidR="00483169" w:rsidRPr="008E7CF1" w:rsidRDefault="00483169" w:rsidP="003B78F1">
      <w:pPr>
        <w:pStyle w:val="ListParagraph"/>
        <w:spacing w:after="120"/>
        <w:ind w:left="0"/>
        <w:contextualSpacing w:val="0"/>
        <w:rPr>
          <w:rFonts w:cstheme="minorHAnsi"/>
          <w:szCs w:val="24"/>
        </w:rPr>
      </w:pPr>
      <w:r w:rsidRPr="008E7CF1">
        <w:rPr>
          <w:rFonts w:cstheme="minorHAnsi"/>
          <w:szCs w:val="24"/>
        </w:rPr>
        <w:t xml:space="preserve">In accordance with </w:t>
      </w:r>
      <w:r w:rsidRPr="008E7CF1">
        <w:rPr>
          <w:rFonts w:cstheme="minorHAnsi"/>
          <w:szCs w:val="24"/>
          <w:lang w:eastAsia="zh-CN"/>
        </w:rPr>
        <w:t>Resolutions 17 (Rev. Kigali, 2022) and 52 (Rev. Dubai, 2014) of the World Telecommunication Development Conference (WTDC</w:t>
      </w:r>
      <w:r w:rsidR="008873EB" w:rsidRPr="008E7CF1">
        <w:rPr>
          <w:rFonts w:cstheme="minorHAnsi"/>
          <w:szCs w:val="24"/>
          <w:lang w:eastAsia="zh-CN"/>
        </w:rPr>
        <w:t>-22</w:t>
      </w:r>
      <w:r w:rsidRPr="008E7CF1">
        <w:rPr>
          <w:rFonts w:cstheme="minorHAnsi"/>
          <w:szCs w:val="24"/>
          <w:lang w:eastAsia="zh-CN"/>
        </w:rPr>
        <w:t xml:space="preserve">) and Resolution 157 (Rev. Bucharest, </w:t>
      </w:r>
      <w:r w:rsidR="008873EB" w:rsidRPr="008E7CF1">
        <w:rPr>
          <w:rFonts w:cstheme="minorHAnsi"/>
          <w:szCs w:val="24"/>
          <w:lang w:eastAsia="zh-CN"/>
        </w:rPr>
        <w:t>PP-22</w:t>
      </w:r>
      <w:r w:rsidRPr="008E7CF1">
        <w:rPr>
          <w:rFonts w:cstheme="minorHAnsi"/>
          <w:szCs w:val="24"/>
          <w:lang w:eastAsia="zh-CN"/>
        </w:rPr>
        <w:t>) of the Plenipotentiary Conference</w:t>
      </w:r>
      <w:r w:rsidRPr="008E7CF1">
        <w:rPr>
          <w:rFonts w:cstheme="minorHAnsi"/>
          <w:szCs w:val="24"/>
        </w:rPr>
        <w:t xml:space="preserve">, the ITU Telecommunication Development Bureau (BDT) holds the responsibility of fulfilling ITU´s mandate of implementing projects under the United Nations development system or other funding arrangements so as to facilitate and enhance telecommunication/information and communication technology </w:t>
      </w:r>
      <w:r w:rsidR="008873EB" w:rsidRPr="008E7CF1">
        <w:rPr>
          <w:rFonts w:cstheme="minorHAnsi"/>
          <w:szCs w:val="24"/>
        </w:rPr>
        <w:t xml:space="preserve">(ICT) </w:t>
      </w:r>
      <w:r w:rsidRPr="008E7CF1">
        <w:rPr>
          <w:rFonts w:cstheme="minorHAnsi"/>
          <w:szCs w:val="24"/>
        </w:rPr>
        <w:t xml:space="preserve">development by offering, organizing and coordinating technical cooperation and assistance activities. This report presents an overview of the status of the portfolio of on-going ITU projects during </w:t>
      </w:r>
      <w:r w:rsidR="00AF013C" w:rsidRPr="008E7CF1">
        <w:rPr>
          <w:rFonts w:cstheme="minorHAnsi"/>
          <w:szCs w:val="24"/>
        </w:rPr>
        <w:t>2024 (</w:t>
      </w:r>
      <w:r w:rsidR="00BF0B93" w:rsidRPr="008E7CF1">
        <w:rPr>
          <w:rFonts w:cstheme="minorHAnsi"/>
          <w:szCs w:val="24"/>
        </w:rPr>
        <w:t xml:space="preserve">implementation period </w:t>
      </w:r>
      <w:r w:rsidR="00AF013C" w:rsidRPr="008E7CF1">
        <w:rPr>
          <w:rFonts w:cstheme="minorHAnsi"/>
          <w:szCs w:val="24"/>
        </w:rPr>
        <w:t xml:space="preserve">from January to December </w:t>
      </w:r>
      <w:r w:rsidR="00BF0B93" w:rsidRPr="008E7CF1">
        <w:rPr>
          <w:rFonts w:cstheme="minorHAnsi"/>
          <w:szCs w:val="24"/>
        </w:rPr>
        <w:t>2024</w:t>
      </w:r>
      <w:r w:rsidR="00AF013C" w:rsidRPr="008E7CF1">
        <w:rPr>
          <w:rFonts w:cstheme="minorHAnsi"/>
          <w:szCs w:val="24"/>
        </w:rPr>
        <w:t>)</w:t>
      </w:r>
      <w:r w:rsidRPr="008E7CF1">
        <w:rPr>
          <w:rFonts w:cstheme="minorHAnsi"/>
          <w:szCs w:val="24"/>
        </w:rPr>
        <w:t>.</w:t>
      </w:r>
      <w:r w:rsidRPr="008E7CF1">
        <w:rPr>
          <w:rStyle w:val="FootnoteReference"/>
          <w:rFonts w:cstheme="minorHAnsi"/>
          <w:szCs w:val="18"/>
        </w:rPr>
        <w:footnoteReference w:id="2"/>
      </w:r>
    </w:p>
    <w:p w14:paraId="4E7BB35C" w14:textId="439C6680" w:rsidR="00483169" w:rsidRPr="008E7CF1" w:rsidRDefault="00483169" w:rsidP="003B78F1">
      <w:pPr>
        <w:pStyle w:val="Heading1"/>
        <w:numPr>
          <w:ilvl w:val="0"/>
          <w:numId w:val="45"/>
        </w:numPr>
        <w:spacing w:before="120" w:after="120"/>
        <w:ind w:left="357" w:hanging="357"/>
        <w:textAlignment w:val="auto"/>
        <w:rPr>
          <w:rFonts w:cstheme="minorHAnsi"/>
          <w:sz w:val="24"/>
          <w:szCs w:val="24"/>
        </w:rPr>
      </w:pPr>
      <w:r w:rsidRPr="008E7CF1">
        <w:rPr>
          <w:rFonts w:cstheme="minorHAnsi"/>
          <w:sz w:val="24"/>
          <w:szCs w:val="24"/>
        </w:rPr>
        <w:t xml:space="preserve">ITU project portfolio: </w:t>
      </w:r>
      <w:r w:rsidR="000353CC" w:rsidRPr="008E7CF1">
        <w:rPr>
          <w:rFonts w:cstheme="minorHAnsi"/>
          <w:sz w:val="24"/>
          <w:szCs w:val="24"/>
        </w:rPr>
        <w:t xml:space="preserve">Projects with </w:t>
      </w:r>
      <w:r w:rsidR="00FE3C01" w:rsidRPr="008E7CF1">
        <w:rPr>
          <w:rFonts w:cstheme="minorHAnsi"/>
          <w:sz w:val="24"/>
          <w:szCs w:val="24"/>
        </w:rPr>
        <w:t xml:space="preserve">activities </w:t>
      </w:r>
      <w:r w:rsidR="000353CC" w:rsidRPr="008E7CF1">
        <w:rPr>
          <w:rFonts w:cstheme="minorHAnsi"/>
          <w:sz w:val="24"/>
          <w:szCs w:val="24"/>
        </w:rPr>
        <w:t>in 2024</w:t>
      </w:r>
    </w:p>
    <w:p w14:paraId="7A9CB100" w14:textId="77777777" w:rsidR="00483169" w:rsidRPr="008E7CF1" w:rsidRDefault="00483169" w:rsidP="003B78F1">
      <w:pPr>
        <w:pStyle w:val="Heading1"/>
        <w:numPr>
          <w:ilvl w:val="1"/>
          <w:numId w:val="45"/>
        </w:numPr>
        <w:spacing w:before="120" w:after="120"/>
        <w:ind w:left="431" w:hanging="431"/>
        <w:textAlignment w:val="auto"/>
        <w:rPr>
          <w:rFonts w:cstheme="minorHAnsi"/>
          <w:sz w:val="24"/>
          <w:szCs w:val="24"/>
        </w:rPr>
      </w:pPr>
      <w:r w:rsidRPr="008E7CF1">
        <w:rPr>
          <w:rFonts w:cstheme="minorHAnsi"/>
          <w:sz w:val="24"/>
          <w:szCs w:val="24"/>
        </w:rPr>
        <w:t>Overview and regional distribution</w:t>
      </w:r>
    </w:p>
    <w:p w14:paraId="683F525F" w14:textId="7B8B7F55" w:rsidR="00483169" w:rsidRPr="008E7CF1" w:rsidRDefault="00483169" w:rsidP="003B78F1">
      <w:pPr>
        <w:spacing w:after="120"/>
        <w:rPr>
          <w:rFonts w:cstheme="minorHAnsi"/>
        </w:rPr>
      </w:pPr>
      <w:r w:rsidRPr="008E7CF1">
        <w:rPr>
          <w:rFonts w:cstheme="minorHAnsi"/>
        </w:rPr>
        <w:t>During 202</w:t>
      </w:r>
      <w:r w:rsidR="00210073" w:rsidRPr="008E7CF1">
        <w:rPr>
          <w:rFonts w:cstheme="minorHAnsi"/>
        </w:rPr>
        <w:t>4</w:t>
      </w:r>
      <w:r w:rsidRPr="008E7CF1">
        <w:rPr>
          <w:rFonts w:cstheme="minorHAnsi"/>
        </w:rPr>
        <w:t>, BDT implement</w:t>
      </w:r>
      <w:r w:rsidR="00F23887" w:rsidRPr="008E7CF1">
        <w:rPr>
          <w:rFonts w:cstheme="minorHAnsi"/>
        </w:rPr>
        <w:t xml:space="preserve">ed a total of 105 </w:t>
      </w:r>
      <w:r w:rsidRPr="008E7CF1">
        <w:rPr>
          <w:rFonts w:cstheme="minorHAnsi"/>
        </w:rPr>
        <w:t>projects, valued at CHF </w:t>
      </w:r>
      <w:r w:rsidR="00F23887" w:rsidRPr="008E7CF1">
        <w:rPr>
          <w:rFonts w:cstheme="minorHAnsi"/>
        </w:rPr>
        <w:t>9</w:t>
      </w:r>
      <w:r w:rsidR="003543A1" w:rsidRPr="008E7CF1">
        <w:rPr>
          <w:rFonts w:cstheme="minorHAnsi"/>
        </w:rPr>
        <w:t>0</w:t>
      </w:r>
      <w:r w:rsidR="00F23887" w:rsidRPr="008E7CF1">
        <w:rPr>
          <w:rFonts w:cstheme="minorHAnsi"/>
        </w:rPr>
        <w:t>.</w:t>
      </w:r>
      <w:r w:rsidR="003543A1" w:rsidRPr="008E7CF1">
        <w:rPr>
          <w:rFonts w:cstheme="minorHAnsi"/>
        </w:rPr>
        <w:t>4</w:t>
      </w:r>
      <w:r w:rsidRPr="008E7CF1">
        <w:rPr>
          <w:rFonts w:cstheme="minorHAnsi"/>
        </w:rPr>
        <w:t xml:space="preserve"> million. Figure 1 presents the overall distribution of this portfolio by region and the overview of (1) the funds mobilized to support the implementation of these projects, (2) the seed funding allocated by ITU from </w:t>
      </w:r>
      <w:r w:rsidR="007D63AC" w:rsidRPr="008E7CF1">
        <w:rPr>
          <w:rFonts w:cstheme="minorHAnsi"/>
        </w:rPr>
        <w:t xml:space="preserve">the </w:t>
      </w:r>
      <w:r w:rsidRPr="008E7CF1">
        <w:rPr>
          <w:rFonts w:cstheme="minorHAnsi"/>
        </w:rPr>
        <w:t xml:space="preserve">ICT Development Fund (ICT-DF). </w:t>
      </w:r>
    </w:p>
    <w:p w14:paraId="6047ECA3" w14:textId="77777777" w:rsidR="00483169" w:rsidRPr="008E7CF1" w:rsidRDefault="00483169" w:rsidP="003B78F1">
      <w:pPr>
        <w:keepNext/>
        <w:spacing w:after="120"/>
        <w:jc w:val="center"/>
        <w:rPr>
          <w:rFonts w:cstheme="minorHAnsi"/>
          <w:b/>
          <w:szCs w:val="24"/>
        </w:rPr>
      </w:pPr>
      <w:r w:rsidRPr="008E7CF1">
        <w:rPr>
          <w:rFonts w:cstheme="minorHAnsi"/>
          <w:b/>
          <w:szCs w:val="24"/>
        </w:rPr>
        <w:t>Figure 1 – Overview of on-going ITU projects by region (figures in k CHF)</w:t>
      </w:r>
    </w:p>
    <w:tbl>
      <w:tblPr>
        <w:tblW w:w="61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85"/>
        <w:gridCol w:w="1170"/>
        <w:gridCol w:w="1449"/>
        <w:gridCol w:w="1169"/>
        <w:gridCol w:w="1343"/>
      </w:tblGrid>
      <w:tr w:rsidR="00B5682D" w:rsidRPr="008E7CF1" w14:paraId="1B1C222E" w14:textId="77777777" w:rsidTr="00B5682D">
        <w:trPr>
          <w:trHeight w:val="852"/>
          <w:jc w:val="center"/>
        </w:trPr>
        <w:tc>
          <w:tcPr>
            <w:tcW w:w="985" w:type="dxa"/>
            <w:shd w:val="clear" w:color="auto" w:fill="8DB3E2" w:themeFill="text2" w:themeFillTint="66"/>
            <w:noWrap/>
            <w:vAlign w:val="center"/>
            <w:hideMark/>
          </w:tcPr>
          <w:p w14:paraId="424E1928" w14:textId="77777777" w:rsidR="00B5682D" w:rsidRPr="008E7CF1" w:rsidRDefault="00B5682D" w:rsidP="003B78F1">
            <w:pPr>
              <w:keepNext/>
              <w:spacing w:before="40" w:after="40"/>
              <w:jc w:val="center"/>
              <w:rPr>
                <w:rFonts w:eastAsiaTheme="minorEastAsia" w:cstheme="minorHAnsi"/>
                <w:b/>
                <w:bCs/>
                <w:sz w:val="20"/>
                <w:lang w:eastAsia="zh-CN"/>
              </w:rPr>
            </w:pPr>
            <w:r w:rsidRPr="008E7CF1">
              <w:rPr>
                <w:rFonts w:eastAsiaTheme="minorEastAsia" w:cstheme="minorHAnsi"/>
                <w:b/>
                <w:bCs/>
                <w:sz w:val="20"/>
                <w:lang w:eastAsia="zh-CN"/>
              </w:rPr>
              <w:t>Region</w:t>
            </w:r>
          </w:p>
        </w:tc>
        <w:tc>
          <w:tcPr>
            <w:tcW w:w="1170" w:type="dxa"/>
            <w:shd w:val="clear" w:color="auto" w:fill="8DB3E2" w:themeFill="text2" w:themeFillTint="66"/>
            <w:noWrap/>
            <w:vAlign w:val="center"/>
            <w:hideMark/>
          </w:tcPr>
          <w:p w14:paraId="4927FB9B" w14:textId="77777777" w:rsidR="00B5682D" w:rsidRPr="008E7CF1" w:rsidRDefault="00B5682D" w:rsidP="003B78F1">
            <w:pPr>
              <w:keepNext/>
              <w:spacing w:before="40" w:after="40"/>
              <w:jc w:val="center"/>
              <w:rPr>
                <w:rFonts w:eastAsiaTheme="minorEastAsia" w:cstheme="minorHAnsi"/>
                <w:b/>
                <w:bCs/>
                <w:sz w:val="20"/>
                <w:lang w:eastAsia="zh-CN"/>
              </w:rPr>
            </w:pPr>
            <w:r w:rsidRPr="008E7CF1">
              <w:rPr>
                <w:rFonts w:eastAsiaTheme="minorEastAsia" w:cstheme="minorHAnsi"/>
                <w:b/>
                <w:bCs/>
                <w:sz w:val="20"/>
                <w:lang w:eastAsia="zh-CN"/>
              </w:rPr>
              <w:t>Number of Projects</w:t>
            </w:r>
          </w:p>
        </w:tc>
        <w:tc>
          <w:tcPr>
            <w:tcW w:w="1449" w:type="dxa"/>
            <w:shd w:val="clear" w:color="auto" w:fill="8DB3E2" w:themeFill="text2" w:themeFillTint="66"/>
            <w:noWrap/>
            <w:vAlign w:val="center"/>
            <w:hideMark/>
          </w:tcPr>
          <w:p w14:paraId="1DEC4E9D" w14:textId="77777777" w:rsidR="00B5682D" w:rsidRPr="008E7CF1" w:rsidRDefault="00B5682D" w:rsidP="003B78F1">
            <w:pPr>
              <w:keepNext/>
              <w:spacing w:before="40" w:after="40"/>
              <w:jc w:val="center"/>
              <w:rPr>
                <w:rFonts w:eastAsiaTheme="minorEastAsia" w:cstheme="minorHAnsi"/>
                <w:b/>
                <w:bCs/>
                <w:sz w:val="20"/>
                <w:lang w:eastAsia="zh-CN"/>
              </w:rPr>
            </w:pPr>
            <w:r w:rsidRPr="008E7CF1">
              <w:rPr>
                <w:rFonts w:eastAsiaTheme="minorEastAsia" w:cstheme="minorHAnsi"/>
                <w:b/>
                <w:bCs/>
                <w:sz w:val="20"/>
                <w:lang w:eastAsia="zh-CN"/>
              </w:rPr>
              <w:t xml:space="preserve">Funding from partners </w:t>
            </w:r>
          </w:p>
        </w:tc>
        <w:tc>
          <w:tcPr>
            <w:tcW w:w="1169" w:type="dxa"/>
            <w:shd w:val="clear" w:color="auto" w:fill="8DB3E2" w:themeFill="text2" w:themeFillTint="66"/>
            <w:noWrap/>
            <w:vAlign w:val="center"/>
          </w:tcPr>
          <w:p w14:paraId="0D90A6B1" w14:textId="4B045A56" w:rsidR="00B5682D" w:rsidRPr="008E7CF1" w:rsidRDefault="00B5682D" w:rsidP="003B78F1">
            <w:pPr>
              <w:keepNext/>
              <w:spacing w:before="40" w:after="40"/>
              <w:jc w:val="center"/>
              <w:rPr>
                <w:rFonts w:eastAsiaTheme="minorEastAsia" w:cstheme="minorHAnsi"/>
                <w:b/>
                <w:bCs/>
                <w:sz w:val="20"/>
                <w:lang w:eastAsia="zh-CN"/>
              </w:rPr>
            </w:pPr>
            <w:r w:rsidRPr="008E7CF1">
              <w:rPr>
                <w:rFonts w:eastAsiaTheme="minorEastAsia" w:cstheme="minorHAnsi"/>
                <w:b/>
                <w:bCs/>
                <w:sz w:val="20"/>
                <w:lang w:eastAsia="zh-CN"/>
              </w:rPr>
              <w:t xml:space="preserve">ITU funds </w:t>
            </w:r>
          </w:p>
        </w:tc>
        <w:tc>
          <w:tcPr>
            <w:tcW w:w="1343" w:type="dxa"/>
            <w:shd w:val="clear" w:color="auto" w:fill="8DB3E2" w:themeFill="text2" w:themeFillTint="66"/>
            <w:noWrap/>
            <w:vAlign w:val="center"/>
            <w:hideMark/>
          </w:tcPr>
          <w:p w14:paraId="192E2A5E" w14:textId="77777777" w:rsidR="00B5682D" w:rsidRPr="008E7CF1" w:rsidRDefault="00B5682D" w:rsidP="003B78F1">
            <w:pPr>
              <w:keepNext/>
              <w:spacing w:before="40" w:after="40"/>
              <w:jc w:val="center"/>
              <w:rPr>
                <w:rFonts w:eastAsiaTheme="minorEastAsia" w:cstheme="minorHAnsi"/>
                <w:b/>
                <w:bCs/>
                <w:sz w:val="20"/>
                <w:lang w:eastAsia="zh-CN"/>
              </w:rPr>
            </w:pPr>
            <w:r w:rsidRPr="008E7CF1">
              <w:rPr>
                <w:rFonts w:eastAsiaTheme="minorEastAsia" w:cstheme="minorHAnsi"/>
                <w:b/>
                <w:bCs/>
                <w:sz w:val="20"/>
                <w:lang w:eastAsia="zh-CN"/>
              </w:rPr>
              <w:t>Total project funding</w:t>
            </w:r>
          </w:p>
        </w:tc>
      </w:tr>
      <w:tr w:rsidR="003543A1" w:rsidRPr="008E7CF1" w14:paraId="7AD93331" w14:textId="77777777" w:rsidTr="00482DD2">
        <w:trPr>
          <w:trHeight w:val="54"/>
          <w:jc w:val="center"/>
        </w:trPr>
        <w:tc>
          <w:tcPr>
            <w:tcW w:w="985" w:type="dxa"/>
            <w:hideMark/>
          </w:tcPr>
          <w:p w14:paraId="21580F60" w14:textId="77777777" w:rsidR="003543A1" w:rsidRPr="008E7CF1" w:rsidRDefault="003543A1" w:rsidP="003543A1">
            <w:pPr>
              <w:spacing w:before="40" w:after="40"/>
              <w:rPr>
                <w:rFonts w:cstheme="minorHAnsi"/>
                <w:sz w:val="20"/>
                <w:lang w:eastAsia="zh-CN"/>
              </w:rPr>
            </w:pPr>
            <w:r w:rsidRPr="008E7CF1">
              <w:rPr>
                <w:rFonts w:cstheme="minorHAnsi"/>
                <w:sz w:val="20"/>
                <w:lang w:eastAsia="zh-CN"/>
              </w:rPr>
              <w:t xml:space="preserve">AFR </w:t>
            </w:r>
          </w:p>
        </w:tc>
        <w:tc>
          <w:tcPr>
            <w:tcW w:w="1170" w:type="dxa"/>
            <w:noWrap/>
            <w:vAlign w:val="bottom"/>
            <w:hideMark/>
          </w:tcPr>
          <w:p w14:paraId="4A528ABD" w14:textId="60C174AF" w:rsidR="003543A1" w:rsidRPr="008E7CF1" w:rsidRDefault="003543A1" w:rsidP="003543A1">
            <w:pPr>
              <w:spacing w:before="40" w:after="40"/>
              <w:jc w:val="center"/>
              <w:rPr>
                <w:rFonts w:eastAsiaTheme="minorEastAsia" w:cstheme="minorHAnsi"/>
                <w:sz w:val="20"/>
                <w:lang w:eastAsia="zh-CN"/>
              </w:rPr>
            </w:pPr>
            <w:r w:rsidRPr="008E7CF1">
              <w:rPr>
                <w:rFonts w:eastAsiaTheme="minorEastAsia" w:cstheme="minorHAnsi"/>
                <w:sz w:val="20"/>
                <w:lang w:eastAsia="zh-CN"/>
              </w:rPr>
              <w:t>17</w:t>
            </w:r>
          </w:p>
        </w:tc>
        <w:tc>
          <w:tcPr>
            <w:tcW w:w="1449" w:type="dxa"/>
            <w:vAlign w:val="bottom"/>
            <w:hideMark/>
          </w:tcPr>
          <w:p w14:paraId="5BA140F9" w14:textId="1BDF4CBA"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26,548.5</w:t>
            </w:r>
          </w:p>
        </w:tc>
        <w:tc>
          <w:tcPr>
            <w:tcW w:w="1169" w:type="dxa"/>
            <w:vAlign w:val="bottom"/>
            <w:hideMark/>
          </w:tcPr>
          <w:p w14:paraId="54467D8D" w14:textId="78E561D7"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1,516.8</w:t>
            </w:r>
          </w:p>
        </w:tc>
        <w:tc>
          <w:tcPr>
            <w:tcW w:w="1343" w:type="dxa"/>
            <w:shd w:val="clear" w:color="auto" w:fill="DBE5F1" w:themeFill="accent1" w:themeFillTint="33"/>
            <w:hideMark/>
          </w:tcPr>
          <w:p w14:paraId="7CFC6C71" w14:textId="331C66F2"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28,065.3</w:t>
            </w:r>
          </w:p>
        </w:tc>
      </w:tr>
      <w:tr w:rsidR="003543A1" w:rsidRPr="008E7CF1" w14:paraId="5A333D2A" w14:textId="77777777" w:rsidTr="00482DD2">
        <w:trPr>
          <w:trHeight w:val="54"/>
          <w:jc w:val="center"/>
        </w:trPr>
        <w:tc>
          <w:tcPr>
            <w:tcW w:w="985" w:type="dxa"/>
            <w:hideMark/>
          </w:tcPr>
          <w:p w14:paraId="798DE0A6" w14:textId="77777777" w:rsidR="003543A1" w:rsidRPr="008E7CF1" w:rsidRDefault="003543A1" w:rsidP="003543A1">
            <w:pPr>
              <w:spacing w:before="40" w:after="40"/>
              <w:rPr>
                <w:rFonts w:cstheme="minorHAnsi"/>
                <w:sz w:val="20"/>
                <w:lang w:eastAsia="zh-CN"/>
              </w:rPr>
            </w:pPr>
            <w:r w:rsidRPr="008E7CF1">
              <w:rPr>
                <w:rFonts w:cstheme="minorHAnsi"/>
                <w:sz w:val="20"/>
                <w:lang w:eastAsia="zh-CN"/>
              </w:rPr>
              <w:t xml:space="preserve">AMS </w:t>
            </w:r>
          </w:p>
        </w:tc>
        <w:tc>
          <w:tcPr>
            <w:tcW w:w="1170" w:type="dxa"/>
            <w:noWrap/>
            <w:vAlign w:val="bottom"/>
            <w:hideMark/>
          </w:tcPr>
          <w:p w14:paraId="52F03844" w14:textId="518F14B4" w:rsidR="003543A1" w:rsidRPr="008E7CF1" w:rsidRDefault="003543A1" w:rsidP="003543A1">
            <w:pPr>
              <w:spacing w:before="40" w:after="40"/>
              <w:jc w:val="center"/>
              <w:rPr>
                <w:rFonts w:eastAsiaTheme="minorEastAsia" w:cstheme="minorHAnsi"/>
                <w:sz w:val="20"/>
                <w:lang w:eastAsia="zh-CN"/>
              </w:rPr>
            </w:pPr>
            <w:r w:rsidRPr="008E7CF1">
              <w:rPr>
                <w:rFonts w:eastAsiaTheme="minorEastAsia" w:cstheme="minorHAnsi"/>
                <w:sz w:val="20"/>
                <w:lang w:eastAsia="zh-CN"/>
              </w:rPr>
              <w:t>19</w:t>
            </w:r>
          </w:p>
        </w:tc>
        <w:tc>
          <w:tcPr>
            <w:tcW w:w="1449" w:type="dxa"/>
            <w:vAlign w:val="bottom"/>
            <w:hideMark/>
          </w:tcPr>
          <w:p w14:paraId="64AB5B32" w14:textId="7BAEC4EF"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12,600.3</w:t>
            </w:r>
          </w:p>
        </w:tc>
        <w:tc>
          <w:tcPr>
            <w:tcW w:w="1169" w:type="dxa"/>
            <w:vAlign w:val="bottom"/>
            <w:hideMark/>
          </w:tcPr>
          <w:p w14:paraId="1CD68CD8" w14:textId="51F14773"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335.5</w:t>
            </w:r>
          </w:p>
        </w:tc>
        <w:tc>
          <w:tcPr>
            <w:tcW w:w="1343" w:type="dxa"/>
            <w:shd w:val="clear" w:color="auto" w:fill="DBE5F1" w:themeFill="accent1" w:themeFillTint="33"/>
            <w:hideMark/>
          </w:tcPr>
          <w:p w14:paraId="2BDD0C72" w14:textId="75F55ECB"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12,935.8</w:t>
            </w:r>
          </w:p>
        </w:tc>
      </w:tr>
      <w:tr w:rsidR="003543A1" w:rsidRPr="008E7CF1" w14:paraId="084892D8" w14:textId="77777777" w:rsidTr="00482DD2">
        <w:trPr>
          <w:trHeight w:val="300"/>
          <w:jc w:val="center"/>
        </w:trPr>
        <w:tc>
          <w:tcPr>
            <w:tcW w:w="985" w:type="dxa"/>
            <w:hideMark/>
          </w:tcPr>
          <w:p w14:paraId="7ABE6698" w14:textId="77777777" w:rsidR="003543A1" w:rsidRPr="008E7CF1" w:rsidRDefault="003543A1" w:rsidP="003543A1">
            <w:pPr>
              <w:spacing w:before="40" w:after="40"/>
              <w:rPr>
                <w:rFonts w:cstheme="minorHAnsi"/>
                <w:sz w:val="20"/>
                <w:lang w:eastAsia="zh-CN"/>
              </w:rPr>
            </w:pPr>
            <w:r w:rsidRPr="008E7CF1">
              <w:rPr>
                <w:rFonts w:cstheme="minorHAnsi"/>
                <w:sz w:val="20"/>
                <w:lang w:eastAsia="zh-CN"/>
              </w:rPr>
              <w:t xml:space="preserve">ARB </w:t>
            </w:r>
          </w:p>
        </w:tc>
        <w:tc>
          <w:tcPr>
            <w:tcW w:w="1170" w:type="dxa"/>
            <w:vAlign w:val="bottom"/>
            <w:hideMark/>
          </w:tcPr>
          <w:p w14:paraId="7572DC76" w14:textId="30585B57" w:rsidR="003543A1" w:rsidRPr="008E7CF1" w:rsidRDefault="003543A1" w:rsidP="003543A1">
            <w:pPr>
              <w:spacing w:before="40" w:after="40"/>
              <w:jc w:val="center"/>
              <w:rPr>
                <w:rFonts w:eastAsiaTheme="minorEastAsia" w:cstheme="minorHAnsi"/>
                <w:sz w:val="20"/>
                <w:lang w:eastAsia="zh-CN"/>
              </w:rPr>
            </w:pPr>
            <w:r w:rsidRPr="008E7CF1">
              <w:rPr>
                <w:rFonts w:eastAsiaTheme="minorEastAsia" w:cstheme="minorHAnsi"/>
                <w:sz w:val="20"/>
                <w:lang w:eastAsia="zh-CN"/>
              </w:rPr>
              <w:t>5</w:t>
            </w:r>
          </w:p>
        </w:tc>
        <w:tc>
          <w:tcPr>
            <w:tcW w:w="1449" w:type="dxa"/>
            <w:vAlign w:val="bottom"/>
            <w:hideMark/>
          </w:tcPr>
          <w:p w14:paraId="528095D3" w14:textId="5FEE3AC9"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2,989.6</w:t>
            </w:r>
          </w:p>
        </w:tc>
        <w:tc>
          <w:tcPr>
            <w:tcW w:w="1169" w:type="dxa"/>
            <w:vAlign w:val="bottom"/>
            <w:hideMark/>
          </w:tcPr>
          <w:p w14:paraId="2A009C57" w14:textId="5D92F8FE"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664.5</w:t>
            </w:r>
          </w:p>
        </w:tc>
        <w:tc>
          <w:tcPr>
            <w:tcW w:w="1343" w:type="dxa"/>
            <w:shd w:val="clear" w:color="auto" w:fill="DBE5F1" w:themeFill="accent1" w:themeFillTint="33"/>
            <w:hideMark/>
          </w:tcPr>
          <w:p w14:paraId="1B14CEA7" w14:textId="53477931"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3,654.1</w:t>
            </w:r>
          </w:p>
        </w:tc>
      </w:tr>
      <w:tr w:rsidR="003543A1" w:rsidRPr="008E7CF1" w14:paraId="7A13BCAB" w14:textId="77777777" w:rsidTr="00482DD2">
        <w:trPr>
          <w:trHeight w:val="54"/>
          <w:jc w:val="center"/>
        </w:trPr>
        <w:tc>
          <w:tcPr>
            <w:tcW w:w="985" w:type="dxa"/>
            <w:vAlign w:val="center"/>
            <w:hideMark/>
          </w:tcPr>
          <w:p w14:paraId="63362875" w14:textId="77777777" w:rsidR="003543A1" w:rsidRPr="008E7CF1" w:rsidRDefault="003543A1" w:rsidP="003543A1">
            <w:pPr>
              <w:spacing w:before="40" w:after="40"/>
              <w:rPr>
                <w:rFonts w:cstheme="minorHAnsi"/>
                <w:sz w:val="20"/>
                <w:lang w:eastAsia="zh-CN"/>
              </w:rPr>
            </w:pPr>
            <w:r w:rsidRPr="008E7CF1">
              <w:rPr>
                <w:rFonts w:cstheme="minorHAnsi"/>
                <w:sz w:val="20"/>
                <w:lang w:eastAsia="zh-CN"/>
              </w:rPr>
              <w:t>ASP</w:t>
            </w:r>
          </w:p>
        </w:tc>
        <w:tc>
          <w:tcPr>
            <w:tcW w:w="1170" w:type="dxa"/>
            <w:noWrap/>
            <w:vAlign w:val="bottom"/>
            <w:hideMark/>
          </w:tcPr>
          <w:p w14:paraId="2FBAEEFD" w14:textId="48D21B48" w:rsidR="003543A1" w:rsidRPr="008E7CF1" w:rsidRDefault="003543A1" w:rsidP="003543A1">
            <w:pPr>
              <w:spacing w:before="40" w:after="40"/>
              <w:jc w:val="center"/>
              <w:rPr>
                <w:rFonts w:eastAsiaTheme="minorEastAsia" w:cstheme="minorHAnsi"/>
                <w:sz w:val="20"/>
                <w:lang w:eastAsia="zh-CN"/>
              </w:rPr>
            </w:pPr>
            <w:r w:rsidRPr="008E7CF1">
              <w:rPr>
                <w:rFonts w:eastAsiaTheme="minorEastAsia" w:cstheme="minorHAnsi"/>
                <w:sz w:val="20"/>
                <w:lang w:eastAsia="zh-CN"/>
              </w:rPr>
              <w:t>15</w:t>
            </w:r>
          </w:p>
        </w:tc>
        <w:tc>
          <w:tcPr>
            <w:tcW w:w="1449" w:type="dxa"/>
            <w:vAlign w:val="bottom"/>
            <w:hideMark/>
          </w:tcPr>
          <w:p w14:paraId="316F3BA0" w14:textId="66A1DE22"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6,667.2</w:t>
            </w:r>
          </w:p>
        </w:tc>
        <w:tc>
          <w:tcPr>
            <w:tcW w:w="1169" w:type="dxa"/>
            <w:vAlign w:val="bottom"/>
          </w:tcPr>
          <w:p w14:paraId="134F2931" w14:textId="0C6FC838"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655.6</w:t>
            </w:r>
          </w:p>
        </w:tc>
        <w:tc>
          <w:tcPr>
            <w:tcW w:w="1343" w:type="dxa"/>
            <w:shd w:val="clear" w:color="auto" w:fill="DBE5F1" w:themeFill="accent1" w:themeFillTint="33"/>
            <w:hideMark/>
          </w:tcPr>
          <w:p w14:paraId="1E2B316C" w14:textId="60004A11"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7,322.9</w:t>
            </w:r>
          </w:p>
        </w:tc>
      </w:tr>
      <w:tr w:rsidR="003543A1" w:rsidRPr="008E7CF1" w14:paraId="73C4EB66" w14:textId="77777777" w:rsidTr="00482DD2">
        <w:trPr>
          <w:trHeight w:val="54"/>
          <w:jc w:val="center"/>
        </w:trPr>
        <w:tc>
          <w:tcPr>
            <w:tcW w:w="985" w:type="dxa"/>
            <w:hideMark/>
          </w:tcPr>
          <w:p w14:paraId="6239F46A" w14:textId="77777777" w:rsidR="003543A1" w:rsidRPr="008E7CF1" w:rsidRDefault="003543A1" w:rsidP="003543A1">
            <w:pPr>
              <w:spacing w:before="40" w:after="40"/>
              <w:rPr>
                <w:rFonts w:cstheme="minorHAnsi"/>
                <w:sz w:val="20"/>
                <w:lang w:eastAsia="zh-CN"/>
              </w:rPr>
            </w:pPr>
            <w:r w:rsidRPr="008E7CF1">
              <w:rPr>
                <w:rFonts w:cstheme="minorHAnsi"/>
                <w:sz w:val="20"/>
                <w:lang w:eastAsia="zh-CN"/>
              </w:rPr>
              <w:t xml:space="preserve">CIS </w:t>
            </w:r>
          </w:p>
        </w:tc>
        <w:tc>
          <w:tcPr>
            <w:tcW w:w="1170" w:type="dxa"/>
            <w:vAlign w:val="bottom"/>
            <w:hideMark/>
          </w:tcPr>
          <w:p w14:paraId="64626FEE" w14:textId="6242E73E" w:rsidR="003543A1" w:rsidRPr="008E7CF1" w:rsidRDefault="003543A1" w:rsidP="003543A1">
            <w:pPr>
              <w:spacing w:before="40" w:after="40"/>
              <w:jc w:val="center"/>
              <w:rPr>
                <w:rFonts w:eastAsiaTheme="minorEastAsia" w:cstheme="minorHAnsi"/>
                <w:sz w:val="20"/>
                <w:lang w:eastAsia="zh-CN"/>
              </w:rPr>
            </w:pPr>
            <w:r w:rsidRPr="008E7CF1">
              <w:rPr>
                <w:rFonts w:eastAsiaTheme="minorEastAsia" w:cstheme="minorHAnsi"/>
                <w:sz w:val="20"/>
                <w:lang w:eastAsia="zh-CN"/>
              </w:rPr>
              <w:t>4</w:t>
            </w:r>
          </w:p>
        </w:tc>
        <w:tc>
          <w:tcPr>
            <w:tcW w:w="1449" w:type="dxa"/>
            <w:vAlign w:val="bottom"/>
            <w:hideMark/>
          </w:tcPr>
          <w:p w14:paraId="2F6CED1B" w14:textId="1F98D412"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342.0</w:t>
            </w:r>
          </w:p>
        </w:tc>
        <w:tc>
          <w:tcPr>
            <w:tcW w:w="1169" w:type="dxa"/>
            <w:vAlign w:val="bottom"/>
          </w:tcPr>
          <w:p w14:paraId="00D0F104" w14:textId="178037E2"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532.2</w:t>
            </w:r>
          </w:p>
        </w:tc>
        <w:tc>
          <w:tcPr>
            <w:tcW w:w="1343" w:type="dxa"/>
            <w:shd w:val="clear" w:color="auto" w:fill="DBE5F1" w:themeFill="accent1" w:themeFillTint="33"/>
            <w:hideMark/>
          </w:tcPr>
          <w:p w14:paraId="1BB7C31D" w14:textId="07BC3B13"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874.1</w:t>
            </w:r>
          </w:p>
        </w:tc>
      </w:tr>
      <w:tr w:rsidR="003543A1" w:rsidRPr="008E7CF1" w14:paraId="7F4CE6D9" w14:textId="77777777" w:rsidTr="00482DD2">
        <w:trPr>
          <w:trHeight w:val="54"/>
          <w:jc w:val="center"/>
        </w:trPr>
        <w:tc>
          <w:tcPr>
            <w:tcW w:w="985" w:type="dxa"/>
            <w:vAlign w:val="bottom"/>
            <w:hideMark/>
          </w:tcPr>
          <w:p w14:paraId="6487AD46" w14:textId="77777777" w:rsidR="003543A1" w:rsidRPr="008E7CF1" w:rsidRDefault="003543A1" w:rsidP="003543A1">
            <w:pPr>
              <w:spacing w:before="40" w:after="40"/>
              <w:rPr>
                <w:rFonts w:cstheme="minorHAnsi"/>
                <w:sz w:val="20"/>
                <w:lang w:eastAsia="zh-CN"/>
              </w:rPr>
            </w:pPr>
            <w:r w:rsidRPr="008E7CF1">
              <w:rPr>
                <w:rFonts w:cstheme="minorHAnsi"/>
                <w:sz w:val="20"/>
                <w:lang w:eastAsia="zh-CN"/>
              </w:rPr>
              <w:t>EUR</w:t>
            </w:r>
          </w:p>
        </w:tc>
        <w:tc>
          <w:tcPr>
            <w:tcW w:w="1170" w:type="dxa"/>
            <w:vAlign w:val="bottom"/>
            <w:hideMark/>
          </w:tcPr>
          <w:p w14:paraId="440F5522" w14:textId="36E49762" w:rsidR="003543A1" w:rsidRPr="008E7CF1" w:rsidRDefault="003543A1" w:rsidP="003543A1">
            <w:pPr>
              <w:spacing w:before="40" w:after="40"/>
              <w:jc w:val="center"/>
              <w:rPr>
                <w:rFonts w:eastAsiaTheme="minorEastAsia" w:cstheme="minorHAnsi"/>
                <w:sz w:val="20"/>
                <w:lang w:eastAsia="zh-CN"/>
              </w:rPr>
            </w:pPr>
            <w:r w:rsidRPr="008E7CF1">
              <w:rPr>
                <w:rFonts w:eastAsiaTheme="minorEastAsia" w:cstheme="minorHAnsi"/>
                <w:sz w:val="20"/>
                <w:lang w:eastAsia="zh-CN"/>
              </w:rPr>
              <w:t>4</w:t>
            </w:r>
          </w:p>
        </w:tc>
        <w:tc>
          <w:tcPr>
            <w:tcW w:w="1449" w:type="dxa"/>
            <w:vAlign w:val="bottom"/>
            <w:hideMark/>
          </w:tcPr>
          <w:p w14:paraId="1B41D91D" w14:textId="0DB553E5"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4,034.6</w:t>
            </w:r>
          </w:p>
        </w:tc>
        <w:tc>
          <w:tcPr>
            <w:tcW w:w="1169" w:type="dxa"/>
            <w:vAlign w:val="bottom"/>
          </w:tcPr>
          <w:p w14:paraId="4832E641" w14:textId="2CEC9EF0"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44.2</w:t>
            </w:r>
          </w:p>
        </w:tc>
        <w:tc>
          <w:tcPr>
            <w:tcW w:w="1343" w:type="dxa"/>
            <w:shd w:val="clear" w:color="auto" w:fill="DBE5F1" w:themeFill="accent1" w:themeFillTint="33"/>
            <w:hideMark/>
          </w:tcPr>
          <w:p w14:paraId="2D646394" w14:textId="4DEE0964"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4,078.8</w:t>
            </w:r>
          </w:p>
        </w:tc>
      </w:tr>
      <w:tr w:rsidR="003543A1" w:rsidRPr="008E7CF1" w14:paraId="07C27FB4" w14:textId="77777777" w:rsidTr="00482DD2">
        <w:trPr>
          <w:trHeight w:val="54"/>
          <w:jc w:val="center"/>
        </w:trPr>
        <w:tc>
          <w:tcPr>
            <w:tcW w:w="985" w:type="dxa"/>
            <w:hideMark/>
          </w:tcPr>
          <w:p w14:paraId="44411AFA" w14:textId="77777777" w:rsidR="003543A1" w:rsidRPr="008E7CF1" w:rsidRDefault="003543A1" w:rsidP="003543A1">
            <w:pPr>
              <w:spacing w:before="40" w:after="40"/>
              <w:rPr>
                <w:rFonts w:cstheme="minorHAnsi"/>
                <w:sz w:val="20"/>
                <w:lang w:eastAsia="zh-CN"/>
              </w:rPr>
            </w:pPr>
            <w:r w:rsidRPr="008E7CF1">
              <w:rPr>
                <w:rFonts w:cstheme="minorHAnsi"/>
                <w:sz w:val="20"/>
                <w:lang w:eastAsia="zh-CN"/>
              </w:rPr>
              <w:t xml:space="preserve">MUL </w:t>
            </w:r>
            <w:bookmarkStart w:id="10" w:name="_Hlk161739046"/>
            <w:r w:rsidRPr="008E7CF1">
              <w:rPr>
                <w:rFonts w:cstheme="minorHAnsi"/>
                <w:sz w:val="20"/>
                <w:lang w:eastAsia="zh-CN"/>
              </w:rPr>
              <w:t>(*)</w:t>
            </w:r>
            <w:bookmarkEnd w:id="10"/>
          </w:p>
        </w:tc>
        <w:tc>
          <w:tcPr>
            <w:tcW w:w="1170" w:type="dxa"/>
            <w:noWrap/>
            <w:vAlign w:val="bottom"/>
            <w:hideMark/>
          </w:tcPr>
          <w:p w14:paraId="10B4C450" w14:textId="070F3B37" w:rsidR="003543A1" w:rsidRPr="008E7CF1" w:rsidRDefault="003543A1" w:rsidP="003543A1">
            <w:pPr>
              <w:spacing w:before="40" w:after="40"/>
              <w:jc w:val="center"/>
              <w:rPr>
                <w:rFonts w:eastAsiaTheme="minorEastAsia" w:cstheme="minorHAnsi"/>
                <w:sz w:val="20"/>
                <w:lang w:eastAsia="zh-CN"/>
              </w:rPr>
            </w:pPr>
            <w:r w:rsidRPr="008E7CF1">
              <w:rPr>
                <w:rFonts w:eastAsiaTheme="minorEastAsia" w:cstheme="minorHAnsi"/>
                <w:sz w:val="20"/>
                <w:lang w:eastAsia="zh-CN"/>
              </w:rPr>
              <w:t>41</w:t>
            </w:r>
          </w:p>
        </w:tc>
        <w:tc>
          <w:tcPr>
            <w:tcW w:w="1449" w:type="dxa"/>
            <w:vAlign w:val="bottom"/>
            <w:hideMark/>
          </w:tcPr>
          <w:p w14:paraId="01DBDC3A" w14:textId="5AD667C1"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26,852.4</w:t>
            </w:r>
          </w:p>
        </w:tc>
        <w:tc>
          <w:tcPr>
            <w:tcW w:w="1169" w:type="dxa"/>
            <w:vAlign w:val="bottom"/>
            <w:hideMark/>
          </w:tcPr>
          <w:p w14:paraId="6A9C4228" w14:textId="0F27884B"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6,676.5</w:t>
            </w:r>
          </w:p>
        </w:tc>
        <w:tc>
          <w:tcPr>
            <w:tcW w:w="1343" w:type="dxa"/>
            <w:shd w:val="clear" w:color="auto" w:fill="DBE5F1" w:themeFill="accent1" w:themeFillTint="33"/>
            <w:hideMark/>
          </w:tcPr>
          <w:p w14:paraId="11ABD2CB" w14:textId="3CB42D4E" w:rsidR="003543A1" w:rsidRPr="008E7CF1" w:rsidRDefault="003543A1" w:rsidP="003543A1">
            <w:pPr>
              <w:spacing w:before="40" w:after="40"/>
              <w:jc w:val="right"/>
              <w:rPr>
                <w:rFonts w:eastAsiaTheme="minorEastAsia" w:cstheme="minorHAnsi"/>
                <w:sz w:val="20"/>
                <w:lang w:eastAsia="zh-CN"/>
              </w:rPr>
            </w:pPr>
            <w:r w:rsidRPr="008E7CF1">
              <w:rPr>
                <w:rFonts w:eastAsiaTheme="minorEastAsia" w:cstheme="minorHAnsi"/>
                <w:sz w:val="20"/>
                <w:lang w:eastAsia="zh-CN"/>
              </w:rPr>
              <w:t>33,528.9</w:t>
            </w:r>
          </w:p>
        </w:tc>
      </w:tr>
      <w:tr w:rsidR="003543A1" w:rsidRPr="008E7CF1" w14:paraId="2F3A0B04" w14:textId="77777777" w:rsidTr="00482DD2">
        <w:trPr>
          <w:trHeight w:val="54"/>
          <w:jc w:val="center"/>
        </w:trPr>
        <w:tc>
          <w:tcPr>
            <w:tcW w:w="985" w:type="dxa"/>
            <w:shd w:val="clear" w:color="auto" w:fill="DBE5F1" w:themeFill="accent1" w:themeFillTint="33"/>
            <w:noWrap/>
            <w:vAlign w:val="center"/>
            <w:hideMark/>
          </w:tcPr>
          <w:p w14:paraId="4BA9DA95" w14:textId="77777777" w:rsidR="003543A1" w:rsidRPr="008E7CF1" w:rsidRDefault="003543A1" w:rsidP="003543A1">
            <w:pPr>
              <w:spacing w:before="40" w:after="40"/>
              <w:rPr>
                <w:rFonts w:cstheme="minorHAnsi"/>
                <w:b/>
                <w:bCs/>
                <w:sz w:val="20"/>
                <w:lang w:eastAsia="zh-CN"/>
              </w:rPr>
            </w:pPr>
            <w:r w:rsidRPr="008E7CF1">
              <w:rPr>
                <w:rFonts w:cstheme="minorHAnsi"/>
                <w:b/>
                <w:bCs/>
                <w:sz w:val="20"/>
                <w:lang w:eastAsia="zh-CN"/>
              </w:rPr>
              <w:t>Total</w:t>
            </w:r>
          </w:p>
        </w:tc>
        <w:tc>
          <w:tcPr>
            <w:tcW w:w="1170" w:type="dxa"/>
            <w:shd w:val="clear" w:color="auto" w:fill="DBE5F1" w:themeFill="accent1" w:themeFillTint="33"/>
            <w:noWrap/>
            <w:vAlign w:val="bottom"/>
            <w:hideMark/>
          </w:tcPr>
          <w:p w14:paraId="4E3356D3" w14:textId="53A5B4CF" w:rsidR="003543A1" w:rsidRPr="008E7CF1" w:rsidRDefault="003543A1" w:rsidP="003543A1">
            <w:pPr>
              <w:spacing w:before="40" w:after="40"/>
              <w:jc w:val="center"/>
              <w:rPr>
                <w:rFonts w:eastAsiaTheme="minorEastAsia" w:cstheme="minorHAnsi"/>
                <w:b/>
                <w:bCs/>
                <w:sz w:val="20"/>
                <w:lang w:eastAsia="zh-CN"/>
              </w:rPr>
            </w:pPr>
            <w:r w:rsidRPr="008E7CF1">
              <w:rPr>
                <w:rFonts w:eastAsiaTheme="minorEastAsia" w:cstheme="minorHAnsi"/>
                <w:b/>
                <w:bCs/>
                <w:sz w:val="20"/>
                <w:lang w:eastAsia="zh-CN"/>
              </w:rPr>
              <w:t>105</w:t>
            </w:r>
          </w:p>
        </w:tc>
        <w:tc>
          <w:tcPr>
            <w:tcW w:w="1449" w:type="dxa"/>
            <w:shd w:val="clear" w:color="auto" w:fill="DBE5F1" w:themeFill="accent1" w:themeFillTint="33"/>
            <w:noWrap/>
            <w:vAlign w:val="bottom"/>
            <w:hideMark/>
          </w:tcPr>
          <w:p w14:paraId="2296CE8C" w14:textId="4DBA6C6D" w:rsidR="003543A1" w:rsidRPr="008E7CF1" w:rsidRDefault="003543A1" w:rsidP="003543A1">
            <w:pPr>
              <w:spacing w:before="40" w:after="40"/>
              <w:jc w:val="right"/>
              <w:rPr>
                <w:rFonts w:eastAsiaTheme="minorEastAsia" w:cstheme="minorHAnsi"/>
                <w:b/>
                <w:bCs/>
                <w:sz w:val="20"/>
                <w:lang w:eastAsia="zh-CN"/>
              </w:rPr>
            </w:pPr>
            <w:r w:rsidRPr="008E7CF1">
              <w:rPr>
                <w:rFonts w:eastAsiaTheme="minorEastAsia" w:cstheme="minorHAnsi"/>
                <w:b/>
                <w:bCs/>
                <w:sz w:val="20"/>
                <w:lang w:eastAsia="zh-CN"/>
              </w:rPr>
              <w:t>80,034.7</w:t>
            </w:r>
          </w:p>
        </w:tc>
        <w:tc>
          <w:tcPr>
            <w:tcW w:w="1169" w:type="dxa"/>
            <w:shd w:val="clear" w:color="auto" w:fill="DBE5F1" w:themeFill="accent1" w:themeFillTint="33"/>
            <w:noWrap/>
            <w:vAlign w:val="bottom"/>
            <w:hideMark/>
          </w:tcPr>
          <w:p w14:paraId="0E7E87EF" w14:textId="0E70BCEF" w:rsidR="003543A1" w:rsidRPr="008E7CF1" w:rsidRDefault="003543A1" w:rsidP="003543A1">
            <w:pPr>
              <w:spacing w:before="40" w:after="40"/>
              <w:jc w:val="right"/>
              <w:rPr>
                <w:rFonts w:eastAsiaTheme="minorEastAsia" w:cstheme="minorHAnsi"/>
                <w:b/>
                <w:bCs/>
                <w:sz w:val="20"/>
                <w:lang w:eastAsia="zh-CN"/>
              </w:rPr>
            </w:pPr>
            <w:r w:rsidRPr="008E7CF1">
              <w:rPr>
                <w:rFonts w:eastAsiaTheme="minorEastAsia" w:cstheme="minorHAnsi"/>
                <w:b/>
                <w:bCs/>
                <w:sz w:val="20"/>
                <w:lang w:eastAsia="zh-CN"/>
              </w:rPr>
              <w:t>10,425.3</w:t>
            </w:r>
          </w:p>
        </w:tc>
        <w:tc>
          <w:tcPr>
            <w:tcW w:w="1343" w:type="dxa"/>
            <w:shd w:val="clear" w:color="auto" w:fill="DBE5F1" w:themeFill="accent1" w:themeFillTint="33"/>
            <w:noWrap/>
            <w:hideMark/>
          </w:tcPr>
          <w:p w14:paraId="363BCD26" w14:textId="5AB0F56E" w:rsidR="003543A1" w:rsidRPr="008E7CF1" w:rsidRDefault="003543A1" w:rsidP="003543A1">
            <w:pPr>
              <w:spacing w:before="40" w:after="40"/>
              <w:jc w:val="right"/>
              <w:rPr>
                <w:rFonts w:eastAsiaTheme="minorEastAsia" w:cstheme="minorHAnsi"/>
                <w:b/>
                <w:bCs/>
                <w:sz w:val="20"/>
                <w:lang w:eastAsia="zh-CN"/>
              </w:rPr>
            </w:pPr>
            <w:r w:rsidRPr="008E7CF1">
              <w:rPr>
                <w:rFonts w:eastAsiaTheme="minorEastAsia" w:cstheme="minorHAnsi"/>
                <w:b/>
                <w:bCs/>
                <w:sz w:val="20"/>
                <w:lang w:eastAsia="zh-CN"/>
              </w:rPr>
              <w:t>90,460.0</w:t>
            </w:r>
          </w:p>
        </w:tc>
      </w:tr>
    </w:tbl>
    <w:p w14:paraId="60C5549E" w14:textId="77777777" w:rsidR="00483169" w:rsidRPr="008E7CF1" w:rsidRDefault="00483169" w:rsidP="003B78F1">
      <w:pPr>
        <w:tabs>
          <w:tab w:val="clear" w:pos="1871"/>
          <w:tab w:val="left" w:pos="1701"/>
        </w:tabs>
        <w:spacing w:after="120"/>
        <w:rPr>
          <w:rFonts w:cstheme="minorHAnsi"/>
          <w:sz w:val="18"/>
          <w:szCs w:val="18"/>
        </w:rPr>
      </w:pPr>
      <w:r w:rsidRPr="008E7CF1">
        <w:rPr>
          <w:rFonts w:cstheme="minorHAnsi"/>
          <w:sz w:val="18"/>
          <w:szCs w:val="18"/>
        </w:rPr>
        <w:tab/>
      </w:r>
      <w:r w:rsidRPr="008E7CF1">
        <w:rPr>
          <w:rFonts w:cstheme="minorHAnsi"/>
          <w:sz w:val="18"/>
          <w:szCs w:val="18"/>
        </w:rPr>
        <w:tab/>
        <w:t>(*) Multi-regional projects benefiting all regions</w:t>
      </w:r>
    </w:p>
    <w:p w14:paraId="0D4C2C22" w14:textId="77777777" w:rsidR="00483169" w:rsidRPr="008E7CF1" w:rsidRDefault="00483169" w:rsidP="003B78F1">
      <w:pPr>
        <w:pStyle w:val="Heading1"/>
        <w:numPr>
          <w:ilvl w:val="1"/>
          <w:numId w:val="45"/>
        </w:numPr>
        <w:spacing w:before="120" w:after="120"/>
        <w:ind w:left="431" w:hanging="431"/>
        <w:textAlignment w:val="auto"/>
        <w:rPr>
          <w:rFonts w:cstheme="minorHAnsi"/>
          <w:sz w:val="24"/>
          <w:szCs w:val="24"/>
        </w:rPr>
      </w:pPr>
      <w:r w:rsidRPr="008E7CF1">
        <w:rPr>
          <w:rFonts w:cstheme="minorHAnsi"/>
          <w:sz w:val="24"/>
          <w:szCs w:val="24"/>
        </w:rPr>
        <w:t xml:space="preserve">Projects signed during the reporting period </w:t>
      </w:r>
    </w:p>
    <w:p w14:paraId="3E45DC0F" w14:textId="7C13ADB1" w:rsidR="00483169" w:rsidRPr="008E7CF1" w:rsidRDefault="00483169" w:rsidP="003B78F1">
      <w:pPr>
        <w:pStyle w:val="ListParagraph"/>
        <w:spacing w:after="120"/>
        <w:ind w:left="-100"/>
        <w:contextualSpacing w:val="0"/>
        <w:rPr>
          <w:rFonts w:cstheme="minorHAnsi"/>
        </w:rPr>
      </w:pPr>
      <w:r w:rsidRPr="008E7CF1">
        <w:rPr>
          <w:rFonts w:cstheme="minorHAnsi"/>
        </w:rPr>
        <w:t>In 202</w:t>
      </w:r>
      <w:r w:rsidR="007D63AC" w:rsidRPr="008E7CF1">
        <w:rPr>
          <w:rFonts w:cstheme="minorHAnsi"/>
        </w:rPr>
        <w:t>4</w:t>
      </w:r>
      <w:r w:rsidR="008873EB" w:rsidRPr="008E7CF1">
        <w:rPr>
          <w:rFonts w:cstheme="minorHAnsi"/>
        </w:rPr>
        <w:t>,</w:t>
      </w:r>
      <w:r w:rsidRPr="008E7CF1">
        <w:rPr>
          <w:rFonts w:cstheme="minorHAnsi"/>
        </w:rPr>
        <w:t xml:space="preserve"> </w:t>
      </w:r>
      <w:r w:rsidR="008873EB" w:rsidRPr="008E7CF1">
        <w:rPr>
          <w:rFonts w:cstheme="minorHAnsi"/>
        </w:rPr>
        <w:t>BDT</w:t>
      </w:r>
      <w:r w:rsidRPr="008E7CF1">
        <w:rPr>
          <w:rFonts w:cstheme="minorHAnsi"/>
        </w:rPr>
        <w:t xml:space="preserve"> signed a total of </w:t>
      </w:r>
      <w:r w:rsidR="001B7756" w:rsidRPr="008E7CF1">
        <w:rPr>
          <w:rFonts w:cstheme="minorHAnsi"/>
        </w:rPr>
        <w:t>37</w:t>
      </w:r>
      <w:r w:rsidR="007D63AC" w:rsidRPr="008E7CF1">
        <w:rPr>
          <w:rFonts w:cstheme="minorHAnsi"/>
        </w:rPr>
        <w:t xml:space="preserve"> </w:t>
      </w:r>
      <w:r w:rsidRPr="008E7CF1">
        <w:rPr>
          <w:rFonts w:cstheme="minorHAnsi"/>
        </w:rPr>
        <w:t xml:space="preserve">new projects valued at CHF </w:t>
      </w:r>
      <w:r w:rsidR="00734236" w:rsidRPr="008E7CF1">
        <w:rPr>
          <w:rFonts w:cstheme="minorHAnsi"/>
        </w:rPr>
        <w:t>28.6</w:t>
      </w:r>
      <w:r w:rsidR="007D63AC" w:rsidRPr="008E7CF1">
        <w:rPr>
          <w:rFonts w:cstheme="minorHAnsi"/>
        </w:rPr>
        <w:t xml:space="preserve"> </w:t>
      </w:r>
      <w:r w:rsidRPr="008E7CF1">
        <w:rPr>
          <w:rFonts w:cstheme="minorHAnsi"/>
        </w:rPr>
        <w:t>million</w:t>
      </w:r>
      <w:r w:rsidRPr="008E7CF1">
        <w:rPr>
          <w:rStyle w:val="FootnoteReference"/>
          <w:rFonts w:cstheme="minorHAnsi"/>
        </w:rPr>
        <w:footnoteReference w:id="3"/>
      </w:r>
      <w:r w:rsidRPr="008E7CF1">
        <w:rPr>
          <w:rFonts w:cstheme="minorHAnsi"/>
        </w:rPr>
        <w:t xml:space="preserve">. These figures </w:t>
      </w:r>
      <w:r w:rsidR="00E42180" w:rsidRPr="008E7CF1">
        <w:rPr>
          <w:rFonts w:cstheme="minorHAnsi"/>
        </w:rPr>
        <w:t xml:space="preserve">represent </w:t>
      </w:r>
      <w:r w:rsidR="00BF43CD" w:rsidRPr="008E7CF1">
        <w:rPr>
          <w:rFonts w:cstheme="minorHAnsi"/>
        </w:rPr>
        <w:t xml:space="preserve">the highest </w:t>
      </w:r>
      <w:r w:rsidR="000A66C4" w:rsidRPr="008E7CF1">
        <w:rPr>
          <w:rFonts w:cstheme="minorHAnsi"/>
        </w:rPr>
        <w:t xml:space="preserve">level of funds raised in projects in the last 10 years, confirming the </w:t>
      </w:r>
      <w:r w:rsidRPr="008E7CF1">
        <w:rPr>
          <w:rFonts w:cstheme="minorHAnsi"/>
        </w:rPr>
        <w:t xml:space="preserve">positive trend </w:t>
      </w:r>
      <w:r w:rsidR="000A66C4" w:rsidRPr="008E7CF1">
        <w:rPr>
          <w:rFonts w:cstheme="minorHAnsi"/>
        </w:rPr>
        <w:t>of the</w:t>
      </w:r>
      <w:r w:rsidR="005B5716" w:rsidRPr="008E7CF1">
        <w:rPr>
          <w:rFonts w:cstheme="minorHAnsi"/>
        </w:rPr>
        <w:t xml:space="preserve"> </w:t>
      </w:r>
      <w:r w:rsidR="0090337C" w:rsidRPr="008E7CF1">
        <w:rPr>
          <w:rFonts w:cstheme="minorHAnsi"/>
        </w:rPr>
        <w:t>efforts</w:t>
      </w:r>
      <w:r w:rsidR="005B5716" w:rsidRPr="008E7CF1">
        <w:rPr>
          <w:rFonts w:cstheme="minorHAnsi"/>
        </w:rPr>
        <w:t xml:space="preserve"> made by BDT to mobilize extra-budgetary funds </w:t>
      </w:r>
      <w:r w:rsidRPr="008E7CF1">
        <w:rPr>
          <w:rFonts w:cstheme="minorHAnsi"/>
        </w:rPr>
        <w:t>in support of projects (see figure 2). The list of related agreements is available in Document INF/</w:t>
      </w:r>
      <w:r w:rsidR="00390F7E" w:rsidRPr="008E7CF1">
        <w:rPr>
          <w:rFonts w:cstheme="minorHAnsi"/>
        </w:rPr>
        <w:t>1</w:t>
      </w:r>
      <w:r w:rsidRPr="008E7CF1">
        <w:rPr>
          <w:rFonts w:cstheme="minorHAnsi"/>
        </w:rPr>
        <w:t xml:space="preserve">. </w:t>
      </w:r>
    </w:p>
    <w:p w14:paraId="1917FEC6" w14:textId="77777777" w:rsidR="00483169" w:rsidRPr="008E7CF1" w:rsidRDefault="00483169" w:rsidP="003B78F1">
      <w:pPr>
        <w:overflowPunct/>
        <w:autoSpaceDE/>
        <w:autoSpaceDN/>
        <w:adjustRightInd/>
        <w:spacing w:after="120"/>
        <w:textAlignment w:val="auto"/>
        <w:rPr>
          <w:rFonts w:cstheme="minorHAnsi"/>
        </w:rPr>
      </w:pPr>
      <w:r w:rsidRPr="008E7CF1">
        <w:rPr>
          <w:rFonts w:cstheme="minorHAnsi"/>
        </w:rPr>
        <w:br w:type="page"/>
      </w:r>
    </w:p>
    <w:p w14:paraId="4895A4CE" w14:textId="35EBF8F3" w:rsidR="00483169" w:rsidRPr="008E7CF1" w:rsidRDefault="00483169" w:rsidP="00483169">
      <w:pPr>
        <w:keepNext/>
        <w:spacing w:after="120"/>
        <w:jc w:val="center"/>
        <w:rPr>
          <w:rFonts w:cstheme="minorHAnsi"/>
          <w:b/>
          <w:szCs w:val="24"/>
        </w:rPr>
      </w:pPr>
      <w:r w:rsidRPr="008E7CF1">
        <w:rPr>
          <w:rFonts w:cstheme="minorHAnsi"/>
          <w:b/>
          <w:szCs w:val="24"/>
        </w:rPr>
        <w:lastRenderedPageBreak/>
        <w:t>Figure 2 – New projects signed by ITU (201</w:t>
      </w:r>
      <w:r w:rsidR="00E42180" w:rsidRPr="008E7CF1">
        <w:rPr>
          <w:rFonts w:cstheme="minorHAnsi"/>
          <w:b/>
          <w:szCs w:val="24"/>
        </w:rPr>
        <w:t>4</w:t>
      </w:r>
      <w:r w:rsidRPr="008E7CF1">
        <w:rPr>
          <w:rFonts w:cstheme="minorHAnsi"/>
          <w:b/>
          <w:szCs w:val="24"/>
        </w:rPr>
        <w:t>-202</w:t>
      </w:r>
      <w:r w:rsidR="00E42180" w:rsidRPr="008E7CF1">
        <w:rPr>
          <w:rFonts w:cstheme="minorHAnsi"/>
          <w:b/>
          <w:szCs w:val="24"/>
        </w:rPr>
        <w:t>4</w:t>
      </w:r>
      <w:r w:rsidRPr="008E7CF1">
        <w:rPr>
          <w:rFonts w:cstheme="minorHAnsi"/>
          <w:b/>
          <w:szCs w:val="24"/>
        </w:rPr>
        <w:t>)</w:t>
      </w:r>
    </w:p>
    <w:p w14:paraId="2FE0597D" w14:textId="0284C17D" w:rsidR="00483169" w:rsidRPr="008E7CF1" w:rsidRDefault="001F6060" w:rsidP="00483169">
      <w:pPr>
        <w:spacing w:after="120"/>
        <w:rPr>
          <w:rFonts w:cstheme="minorHAnsi"/>
        </w:rPr>
      </w:pPr>
      <w:r w:rsidRPr="008E7CF1">
        <w:rPr>
          <w:noProof/>
        </w:rPr>
        <w:drawing>
          <wp:inline distT="0" distB="0" distL="0" distR="0" wp14:anchorId="39FF890A" wp14:editId="4C6FFE44">
            <wp:extent cx="6120765" cy="2385060"/>
            <wp:effectExtent l="0" t="0" r="0" b="0"/>
            <wp:docPr id="710073757" name="Chart 1">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D5E468" w14:textId="13F28DA0" w:rsidR="00483169" w:rsidRPr="008E7CF1" w:rsidRDefault="00483169" w:rsidP="00483169">
      <w:pPr>
        <w:spacing w:after="120"/>
        <w:rPr>
          <w:rFonts w:cstheme="minorHAnsi"/>
          <w:szCs w:val="24"/>
        </w:rPr>
      </w:pPr>
      <w:r w:rsidRPr="008E7CF1">
        <w:rPr>
          <w:rFonts w:cstheme="minorHAnsi"/>
        </w:rPr>
        <w:t>These new projects are multi-regional, regional, and national in nature</w:t>
      </w:r>
      <w:r w:rsidR="00A37E16" w:rsidRPr="008E7CF1">
        <w:rPr>
          <w:rFonts w:cstheme="minorHAnsi"/>
        </w:rPr>
        <w:t>, and cover the full range of ITU-D priorities defined in the WTDC-22 Kigali Action Plan</w:t>
      </w:r>
      <w:r w:rsidR="008873EB" w:rsidRPr="008E7CF1">
        <w:rPr>
          <w:rFonts w:cstheme="minorHAnsi"/>
        </w:rPr>
        <w:t xml:space="preserve"> (KAP)</w:t>
      </w:r>
      <w:r w:rsidRPr="008E7CF1">
        <w:rPr>
          <w:rFonts w:cstheme="minorHAnsi"/>
        </w:rPr>
        <w:t>. With regards to source of funds, 9</w:t>
      </w:r>
      <w:r w:rsidR="005838F4" w:rsidRPr="008E7CF1">
        <w:rPr>
          <w:rFonts w:cstheme="minorHAnsi"/>
        </w:rPr>
        <w:t>2</w:t>
      </w:r>
      <w:r w:rsidRPr="008E7CF1">
        <w:rPr>
          <w:rFonts w:cstheme="minorHAnsi"/>
        </w:rPr>
        <w:t>% of the fund</w:t>
      </w:r>
      <w:r w:rsidR="00703D44" w:rsidRPr="008E7CF1">
        <w:rPr>
          <w:rFonts w:cstheme="minorHAnsi"/>
        </w:rPr>
        <w:t>s for</w:t>
      </w:r>
      <w:r w:rsidRPr="008E7CF1">
        <w:rPr>
          <w:rFonts w:cstheme="minorHAnsi"/>
        </w:rPr>
        <w:t xml:space="preserve"> the new projects come from the extrabudgetary funds mobilized by BDT from third parties, </w:t>
      </w:r>
      <w:r w:rsidRPr="008E7CF1">
        <w:rPr>
          <w:rFonts w:cstheme="minorHAnsi"/>
          <w:szCs w:val="24"/>
        </w:rPr>
        <w:t xml:space="preserve">while the remaining </w:t>
      </w:r>
      <w:r w:rsidR="005838F4" w:rsidRPr="008E7CF1">
        <w:rPr>
          <w:rFonts w:cstheme="minorHAnsi"/>
          <w:szCs w:val="24"/>
        </w:rPr>
        <w:t>8</w:t>
      </w:r>
      <w:r w:rsidRPr="008E7CF1">
        <w:rPr>
          <w:rFonts w:cstheme="minorHAnsi"/>
          <w:szCs w:val="24"/>
        </w:rPr>
        <w:t xml:space="preserve">% </w:t>
      </w:r>
      <w:r w:rsidR="00703D44" w:rsidRPr="008E7CF1">
        <w:rPr>
          <w:rFonts w:cstheme="minorHAnsi"/>
          <w:szCs w:val="24"/>
        </w:rPr>
        <w:t xml:space="preserve">is </w:t>
      </w:r>
      <w:r w:rsidRPr="008E7CF1">
        <w:rPr>
          <w:rFonts w:cstheme="minorHAnsi"/>
          <w:szCs w:val="24"/>
        </w:rPr>
        <w:t>result from the allocation of seed</w:t>
      </w:r>
      <w:r w:rsidR="00703D44" w:rsidRPr="008E7CF1">
        <w:rPr>
          <w:rFonts w:cstheme="minorHAnsi"/>
          <w:szCs w:val="24"/>
        </w:rPr>
        <w:t>-</w:t>
      </w:r>
      <w:r w:rsidRPr="008E7CF1">
        <w:rPr>
          <w:rFonts w:cstheme="minorHAnsi"/>
          <w:szCs w:val="24"/>
        </w:rPr>
        <w:t>fund</w:t>
      </w:r>
      <w:r w:rsidR="00703D44" w:rsidRPr="008E7CF1">
        <w:rPr>
          <w:rFonts w:cstheme="minorHAnsi"/>
          <w:szCs w:val="24"/>
        </w:rPr>
        <w:t>s</w:t>
      </w:r>
      <w:r w:rsidRPr="008E7CF1">
        <w:rPr>
          <w:rFonts w:cstheme="minorHAnsi"/>
          <w:szCs w:val="24"/>
        </w:rPr>
        <w:t xml:space="preserve"> from ITU. Figure </w:t>
      </w:r>
      <w:r w:rsidR="00A37E16" w:rsidRPr="008E7CF1">
        <w:rPr>
          <w:rFonts w:cstheme="minorHAnsi"/>
          <w:szCs w:val="24"/>
        </w:rPr>
        <w:t xml:space="preserve">3 </w:t>
      </w:r>
      <w:r w:rsidRPr="008E7CF1">
        <w:rPr>
          <w:rFonts w:cstheme="minorHAnsi"/>
          <w:szCs w:val="24"/>
        </w:rPr>
        <w:t xml:space="preserve">provides a graph showing percentages of extra-budgetary funds and ITU funds contributing to project budgets. </w:t>
      </w:r>
    </w:p>
    <w:p w14:paraId="44A83502" w14:textId="5670EE9B" w:rsidR="00483169" w:rsidRPr="008E7CF1" w:rsidRDefault="00483169" w:rsidP="00483169">
      <w:pPr>
        <w:keepNext/>
        <w:spacing w:after="120"/>
        <w:jc w:val="center"/>
        <w:rPr>
          <w:rFonts w:cstheme="minorHAnsi"/>
          <w:b/>
          <w:szCs w:val="24"/>
        </w:rPr>
      </w:pPr>
      <w:r w:rsidRPr="008E7CF1">
        <w:rPr>
          <w:rFonts w:cstheme="minorHAnsi"/>
          <w:b/>
          <w:szCs w:val="24"/>
        </w:rPr>
        <w:t>Figure 3 – Funding sources for ITU Projects (new projects signed in 202</w:t>
      </w:r>
      <w:r w:rsidR="00A37E16" w:rsidRPr="008E7CF1">
        <w:rPr>
          <w:rFonts w:cstheme="minorHAnsi"/>
          <w:b/>
          <w:szCs w:val="24"/>
        </w:rPr>
        <w:t>4</w:t>
      </w:r>
      <w:r w:rsidRPr="008E7CF1">
        <w:rPr>
          <w:rFonts w:cstheme="minorHAnsi"/>
          <w:b/>
          <w:szCs w:val="24"/>
        </w:rPr>
        <w:t>)</w:t>
      </w:r>
    </w:p>
    <w:p w14:paraId="040675A8" w14:textId="36C6FBE1" w:rsidR="00483169" w:rsidRPr="008E7CF1" w:rsidRDefault="00483169" w:rsidP="00483169">
      <w:pPr>
        <w:keepNext/>
        <w:keepLines/>
        <w:widowControl w:val="0"/>
        <w:spacing w:after="120"/>
        <w:jc w:val="center"/>
        <w:rPr>
          <w:rFonts w:cstheme="minorHAnsi"/>
        </w:rPr>
      </w:pPr>
      <w:r w:rsidRPr="008E7CF1">
        <w:rPr>
          <w:rFonts w:cstheme="minorHAnsi"/>
          <w:noProof/>
          <w:color w:val="FF0000"/>
        </w:rPr>
        <w:t xml:space="preserve"> </w:t>
      </w:r>
      <w:r w:rsidR="00A37E16" w:rsidRPr="008E7CF1">
        <w:rPr>
          <w:noProof/>
        </w:rPr>
        <w:drawing>
          <wp:inline distT="0" distB="0" distL="0" distR="0" wp14:anchorId="0AB9C9F2" wp14:editId="705433F5">
            <wp:extent cx="4561840" cy="2218414"/>
            <wp:effectExtent l="0" t="0" r="0" b="0"/>
            <wp:docPr id="847802697" name="Chart 1">
              <a:extLst xmlns:a="http://schemas.openxmlformats.org/drawingml/2006/main">
                <a:ext uri="{FF2B5EF4-FFF2-40B4-BE49-F238E27FC236}">
                  <a16:creationId xmlns:a16="http://schemas.microsoft.com/office/drawing/2014/main" id="{7C87DC3D-E7EF-9DBA-F6F2-C4E742E59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DC5F0A" w14:textId="77777777" w:rsidR="00483169" w:rsidRPr="008E7CF1" w:rsidRDefault="00483169" w:rsidP="00483169">
      <w:pPr>
        <w:pStyle w:val="Heading1"/>
        <w:numPr>
          <w:ilvl w:val="0"/>
          <w:numId w:val="45"/>
        </w:numPr>
        <w:spacing w:before="120" w:after="120"/>
        <w:ind w:left="357" w:hanging="357"/>
        <w:textAlignment w:val="auto"/>
        <w:rPr>
          <w:rFonts w:cstheme="minorHAnsi"/>
          <w:sz w:val="24"/>
          <w:szCs w:val="24"/>
        </w:rPr>
      </w:pPr>
      <w:r w:rsidRPr="008E7CF1">
        <w:rPr>
          <w:rFonts w:cstheme="minorHAnsi"/>
          <w:sz w:val="24"/>
          <w:szCs w:val="24"/>
        </w:rPr>
        <w:t xml:space="preserve">Status update on the allocation of funding in support of the WTDC-22 Regional Initiatives </w:t>
      </w:r>
    </w:p>
    <w:p w14:paraId="2B49281E" w14:textId="77777777" w:rsidR="00F93A57" w:rsidRPr="008E7CF1" w:rsidRDefault="00483169" w:rsidP="00483169">
      <w:pPr>
        <w:widowControl w:val="0"/>
        <w:spacing w:after="120"/>
        <w:rPr>
          <w:rFonts w:cstheme="minorHAnsi"/>
        </w:rPr>
      </w:pPr>
      <w:r w:rsidRPr="008E7CF1">
        <w:rPr>
          <w:rFonts w:cstheme="minorHAnsi"/>
        </w:rPr>
        <w:t>At the 2023 Session of the ITU Council, ITU membership approved the transfer of CHF 3 million from the Exhibition Working Capital Fund (EWCF) to the Capital Account of the Information and Communication Technologies Development Fund (ICT-DF)</w:t>
      </w:r>
      <w:r w:rsidRPr="008E7CF1">
        <w:rPr>
          <w:rStyle w:val="FootnoteReference"/>
          <w:rFonts w:cstheme="minorHAnsi"/>
          <w:szCs w:val="18"/>
        </w:rPr>
        <w:t xml:space="preserve"> </w:t>
      </w:r>
      <w:r w:rsidRPr="008E7CF1">
        <w:rPr>
          <w:rFonts w:cstheme="minorHAnsi"/>
        </w:rPr>
        <w:t>for the purpose of providing seed money for the financing of Regional Initiatives</w:t>
      </w:r>
      <w:r w:rsidRPr="008E7CF1">
        <w:rPr>
          <w:rStyle w:val="FootnoteReference"/>
          <w:rFonts w:cstheme="minorHAnsi"/>
          <w:szCs w:val="18"/>
        </w:rPr>
        <w:footnoteReference w:id="4"/>
      </w:r>
      <w:r w:rsidRPr="008E7CF1">
        <w:rPr>
          <w:rFonts w:cstheme="minorHAnsi"/>
        </w:rPr>
        <w:t xml:space="preserve">. </w:t>
      </w:r>
    </w:p>
    <w:p w14:paraId="7FC46F8C" w14:textId="42441BC8" w:rsidR="00483169" w:rsidRPr="008E7CF1" w:rsidRDefault="0016030D" w:rsidP="00483169">
      <w:pPr>
        <w:widowControl w:val="0"/>
        <w:spacing w:after="120"/>
        <w:rPr>
          <w:rFonts w:cstheme="minorBidi"/>
        </w:rPr>
      </w:pPr>
      <w:r w:rsidRPr="008E7CF1">
        <w:rPr>
          <w:rFonts w:cstheme="minorBidi"/>
        </w:rPr>
        <w:t>During 2024</w:t>
      </w:r>
      <w:r w:rsidR="00703D44" w:rsidRPr="008E7CF1">
        <w:rPr>
          <w:rFonts w:cstheme="minorBidi"/>
        </w:rPr>
        <w:t>,</w:t>
      </w:r>
      <w:r w:rsidRPr="008E7CF1">
        <w:rPr>
          <w:rFonts w:cstheme="minorBidi"/>
        </w:rPr>
        <w:t xml:space="preserve"> these funds were </w:t>
      </w:r>
      <w:r w:rsidR="00505054" w:rsidRPr="008E7CF1">
        <w:rPr>
          <w:rFonts w:cstheme="minorBidi"/>
        </w:rPr>
        <w:t xml:space="preserve">used to support </w:t>
      </w:r>
      <w:r w:rsidRPr="008E7CF1">
        <w:rPr>
          <w:rFonts w:cstheme="minorBidi"/>
        </w:rPr>
        <w:t xml:space="preserve">a total </w:t>
      </w:r>
      <w:r w:rsidR="00483169" w:rsidRPr="008E7CF1">
        <w:rPr>
          <w:rFonts w:cstheme="minorBidi"/>
        </w:rPr>
        <w:t xml:space="preserve">of </w:t>
      </w:r>
      <w:r w:rsidR="004E5D10" w:rsidRPr="008E7CF1">
        <w:rPr>
          <w:rFonts w:cstheme="minorBidi"/>
        </w:rPr>
        <w:t>1</w:t>
      </w:r>
      <w:r w:rsidR="00881E49" w:rsidRPr="008E7CF1">
        <w:rPr>
          <w:rFonts w:cstheme="minorBidi"/>
        </w:rPr>
        <w:t>3</w:t>
      </w:r>
      <w:r w:rsidR="00483169" w:rsidRPr="008E7CF1">
        <w:rPr>
          <w:rFonts w:cstheme="minorBidi"/>
        </w:rPr>
        <w:t xml:space="preserve"> projects valued at CHF</w:t>
      </w:r>
      <w:r w:rsidR="008732BC" w:rsidRPr="008E7CF1">
        <w:rPr>
          <w:rFonts w:cstheme="minorBidi"/>
        </w:rPr>
        <w:t xml:space="preserve"> 2</w:t>
      </w:r>
      <w:r w:rsidR="0028434A">
        <w:rPr>
          <w:rFonts w:cstheme="minorBidi"/>
        </w:rPr>
        <w:t>3</w:t>
      </w:r>
      <w:r w:rsidR="00483169" w:rsidRPr="008E7CF1">
        <w:rPr>
          <w:rFonts w:cstheme="minorBidi"/>
        </w:rPr>
        <w:t>.</w:t>
      </w:r>
      <w:r w:rsidR="0028434A">
        <w:rPr>
          <w:rFonts w:cstheme="minorBidi"/>
        </w:rPr>
        <w:t>4</w:t>
      </w:r>
      <w:r w:rsidR="00483169" w:rsidRPr="008E7CF1">
        <w:rPr>
          <w:rFonts w:cstheme="minorBidi"/>
        </w:rPr>
        <w:t xml:space="preserve"> million (considering only the cash contributions made by partners), utilizing CHF </w:t>
      </w:r>
      <w:r w:rsidR="00F93A57" w:rsidRPr="008E7CF1">
        <w:rPr>
          <w:rFonts w:cstheme="minorBidi"/>
        </w:rPr>
        <w:t>3.</w:t>
      </w:r>
      <w:r w:rsidR="008732BC" w:rsidRPr="008E7CF1">
        <w:rPr>
          <w:rFonts w:cstheme="minorBidi"/>
        </w:rPr>
        <w:t>4</w:t>
      </w:r>
      <w:r w:rsidR="00483169" w:rsidRPr="008E7CF1">
        <w:rPr>
          <w:rFonts w:cstheme="minorBidi"/>
        </w:rPr>
        <w:t xml:space="preserve"> million</w:t>
      </w:r>
      <w:r w:rsidR="00F93A57" w:rsidRPr="008E7CF1">
        <w:rPr>
          <w:rFonts w:cstheme="minorBidi"/>
        </w:rPr>
        <w:t xml:space="preserve"> from the ICT-DF (see Figure </w:t>
      </w:r>
      <w:r w:rsidR="008732BC" w:rsidRPr="008E7CF1">
        <w:rPr>
          <w:rFonts w:cstheme="minorBidi"/>
        </w:rPr>
        <w:t>4</w:t>
      </w:r>
      <w:r w:rsidR="00F93A57" w:rsidRPr="008E7CF1">
        <w:rPr>
          <w:rFonts w:cstheme="minorBidi"/>
        </w:rPr>
        <w:t>).</w:t>
      </w:r>
      <w:r w:rsidR="008F7AFE" w:rsidRPr="008E7CF1">
        <w:rPr>
          <w:rFonts w:cstheme="minorBidi"/>
        </w:rPr>
        <w:t xml:space="preserve"> Further details about each project </w:t>
      </w:r>
      <w:r w:rsidR="00483169" w:rsidRPr="008E7CF1">
        <w:rPr>
          <w:rFonts w:cstheme="minorBidi"/>
        </w:rPr>
        <w:t>are available at ITU’s projects portal</w:t>
      </w:r>
      <w:r w:rsidR="00483169" w:rsidRPr="008E7CF1">
        <w:rPr>
          <w:rStyle w:val="FootnoteReference"/>
          <w:rFonts w:cstheme="minorHAnsi"/>
          <w:szCs w:val="18"/>
        </w:rPr>
        <w:footnoteReference w:id="5"/>
      </w:r>
      <w:r w:rsidR="00483169" w:rsidRPr="008E7CF1">
        <w:rPr>
          <w:rFonts w:cstheme="minorBidi"/>
        </w:rPr>
        <w:t xml:space="preserve">. </w:t>
      </w:r>
    </w:p>
    <w:p w14:paraId="2DF85C73" w14:textId="65B4CED4" w:rsidR="00483169" w:rsidRPr="008E7CF1" w:rsidRDefault="00483169" w:rsidP="00483169">
      <w:pPr>
        <w:keepNext/>
        <w:spacing w:after="120"/>
        <w:jc w:val="center"/>
        <w:rPr>
          <w:rFonts w:cstheme="minorHAnsi"/>
          <w:b/>
          <w:szCs w:val="24"/>
        </w:rPr>
      </w:pPr>
      <w:r w:rsidRPr="008E7CF1">
        <w:rPr>
          <w:rFonts w:cstheme="minorHAnsi"/>
          <w:b/>
          <w:szCs w:val="24"/>
        </w:rPr>
        <w:lastRenderedPageBreak/>
        <w:t xml:space="preserve">Figure 4 – </w:t>
      </w:r>
      <w:r w:rsidR="0096148E" w:rsidRPr="008E7CF1">
        <w:rPr>
          <w:rFonts w:cstheme="minorHAnsi"/>
          <w:b/>
          <w:szCs w:val="24"/>
        </w:rPr>
        <w:t xml:space="preserve">New ICT-DF projects signed during </w:t>
      </w:r>
      <w:r w:rsidRPr="008E7CF1">
        <w:rPr>
          <w:rFonts w:cstheme="minorHAnsi"/>
          <w:b/>
          <w:szCs w:val="24"/>
        </w:rPr>
        <w:t>202</w:t>
      </w:r>
      <w:r w:rsidR="008F7AFE" w:rsidRPr="008E7CF1">
        <w:rPr>
          <w:rFonts w:cstheme="minorHAnsi"/>
          <w:b/>
          <w:szCs w:val="24"/>
        </w:rPr>
        <w:t>4</w:t>
      </w:r>
      <w:r w:rsidRPr="008E7CF1">
        <w:rPr>
          <w:rFonts w:cstheme="minorHAnsi"/>
          <w:b/>
          <w:szCs w:val="24"/>
        </w:rPr>
        <w:t xml:space="preserve"> (figures in </w:t>
      </w:r>
      <w:r w:rsidR="00703D44" w:rsidRPr="008E7CF1">
        <w:rPr>
          <w:rFonts w:cstheme="minorHAnsi"/>
          <w:b/>
          <w:szCs w:val="24"/>
        </w:rPr>
        <w:t>K</w:t>
      </w:r>
      <w:r w:rsidR="004C2751" w:rsidRPr="008E7CF1">
        <w:rPr>
          <w:rFonts w:cstheme="minorHAnsi"/>
          <w:b/>
          <w:szCs w:val="24"/>
        </w:rPr>
        <w:t xml:space="preserve"> </w:t>
      </w:r>
      <w:r w:rsidRPr="008E7CF1">
        <w:rPr>
          <w:rFonts w:cstheme="minorHAnsi"/>
          <w:b/>
          <w:szCs w:val="24"/>
        </w:rPr>
        <w:t>CHF)</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22"/>
        <w:gridCol w:w="2565"/>
        <w:gridCol w:w="780"/>
        <w:gridCol w:w="1324"/>
        <w:gridCol w:w="1067"/>
        <w:gridCol w:w="948"/>
        <w:gridCol w:w="1223"/>
        <w:gridCol w:w="1856"/>
      </w:tblGrid>
      <w:tr w:rsidR="00FD276E" w:rsidRPr="008E7CF1" w14:paraId="757E79D8" w14:textId="77777777" w:rsidTr="002F7D96">
        <w:trPr>
          <w:trHeight w:val="371"/>
          <w:tblHeader/>
          <w:jc w:val="center"/>
        </w:trPr>
        <w:tc>
          <w:tcPr>
            <w:tcW w:w="1122" w:type="dxa"/>
            <w:shd w:val="clear" w:color="auto" w:fill="BFBFBF" w:themeFill="background1" w:themeFillShade="BF"/>
            <w:noWrap/>
            <w:vAlign w:val="center"/>
            <w:hideMark/>
          </w:tcPr>
          <w:p w14:paraId="2BFF74BB" w14:textId="77777777" w:rsidR="00FD276E" w:rsidRPr="008E7CF1" w:rsidRDefault="00FD276E" w:rsidP="00770DF5">
            <w:pPr>
              <w:spacing w:before="60" w:after="60"/>
              <w:jc w:val="center"/>
              <w:rPr>
                <w:rFonts w:cstheme="minorHAnsi"/>
                <w:b/>
                <w:bCs/>
                <w:sz w:val="18"/>
                <w:szCs w:val="18"/>
              </w:rPr>
            </w:pPr>
            <w:r w:rsidRPr="008E7CF1">
              <w:rPr>
                <w:rFonts w:cstheme="minorHAnsi"/>
                <w:b/>
                <w:bCs/>
                <w:sz w:val="18"/>
                <w:szCs w:val="18"/>
              </w:rPr>
              <w:t>Project ID</w:t>
            </w:r>
          </w:p>
        </w:tc>
        <w:tc>
          <w:tcPr>
            <w:tcW w:w="2565" w:type="dxa"/>
            <w:shd w:val="clear" w:color="auto" w:fill="BFBFBF" w:themeFill="background1" w:themeFillShade="BF"/>
            <w:noWrap/>
            <w:vAlign w:val="center"/>
            <w:hideMark/>
          </w:tcPr>
          <w:p w14:paraId="022DF252" w14:textId="77777777" w:rsidR="00FD276E" w:rsidRPr="008E7CF1" w:rsidRDefault="00FD276E" w:rsidP="00770DF5">
            <w:pPr>
              <w:spacing w:before="60" w:after="60"/>
              <w:jc w:val="center"/>
              <w:rPr>
                <w:rFonts w:cstheme="minorHAnsi"/>
                <w:b/>
                <w:bCs/>
                <w:sz w:val="18"/>
                <w:szCs w:val="18"/>
              </w:rPr>
            </w:pPr>
            <w:r w:rsidRPr="008E7CF1">
              <w:rPr>
                <w:rFonts w:cstheme="minorHAnsi"/>
                <w:b/>
                <w:bCs/>
                <w:sz w:val="18"/>
                <w:szCs w:val="18"/>
              </w:rPr>
              <w:t>Project Title</w:t>
            </w:r>
          </w:p>
        </w:tc>
        <w:tc>
          <w:tcPr>
            <w:tcW w:w="780" w:type="dxa"/>
            <w:shd w:val="clear" w:color="auto" w:fill="BFBFBF" w:themeFill="background1" w:themeFillShade="BF"/>
            <w:noWrap/>
            <w:vAlign w:val="center"/>
            <w:hideMark/>
          </w:tcPr>
          <w:p w14:paraId="37B5D2BC" w14:textId="77777777" w:rsidR="00FD276E" w:rsidRPr="008E7CF1" w:rsidRDefault="00FD276E" w:rsidP="00770DF5">
            <w:pPr>
              <w:spacing w:before="60" w:after="60"/>
              <w:jc w:val="center"/>
              <w:rPr>
                <w:rFonts w:cstheme="minorHAnsi"/>
                <w:b/>
                <w:bCs/>
                <w:sz w:val="18"/>
                <w:szCs w:val="18"/>
              </w:rPr>
            </w:pPr>
            <w:r w:rsidRPr="008E7CF1">
              <w:rPr>
                <w:rFonts w:cstheme="minorHAnsi"/>
                <w:b/>
                <w:bCs/>
                <w:sz w:val="18"/>
                <w:szCs w:val="18"/>
              </w:rPr>
              <w:t>Region</w:t>
            </w:r>
          </w:p>
        </w:tc>
        <w:tc>
          <w:tcPr>
            <w:tcW w:w="1324" w:type="dxa"/>
            <w:shd w:val="clear" w:color="auto" w:fill="BFBFBF" w:themeFill="background1" w:themeFillShade="BF"/>
            <w:noWrap/>
            <w:vAlign w:val="center"/>
            <w:hideMark/>
          </w:tcPr>
          <w:p w14:paraId="556250D0" w14:textId="77777777" w:rsidR="00FD276E" w:rsidRPr="008E7CF1" w:rsidRDefault="00FD276E" w:rsidP="00770DF5">
            <w:pPr>
              <w:spacing w:before="60" w:after="60"/>
              <w:jc w:val="center"/>
              <w:rPr>
                <w:rFonts w:cstheme="minorHAnsi"/>
                <w:b/>
                <w:bCs/>
                <w:sz w:val="18"/>
                <w:szCs w:val="18"/>
              </w:rPr>
            </w:pPr>
            <w:r w:rsidRPr="008E7CF1">
              <w:rPr>
                <w:rFonts w:cstheme="minorHAnsi"/>
                <w:b/>
                <w:bCs/>
                <w:sz w:val="18"/>
                <w:szCs w:val="18"/>
              </w:rPr>
              <w:t>Regional Initiative</w:t>
            </w:r>
          </w:p>
        </w:tc>
        <w:tc>
          <w:tcPr>
            <w:tcW w:w="1067" w:type="dxa"/>
            <w:shd w:val="clear" w:color="auto" w:fill="BFBFBF" w:themeFill="background1" w:themeFillShade="BF"/>
            <w:noWrap/>
            <w:vAlign w:val="center"/>
            <w:hideMark/>
          </w:tcPr>
          <w:p w14:paraId="37C3163A" w14:textId="77777777" w:rsidR="00FD276E" w:rsidRPr="008E7CF1" w:rsidRDefault="00FD276E" w:rsidP="00770DF5">
            <w:pPr>
              <w:spacing w:before="60" w:after="60"/>
              <w:jc w:val="center"/>
              <w:rPr>
                <w:rFonts w:cstheme="minorHAnsi"/>
                <w:b/>
                <w:bCs/>
                <w:sz w:val="18"/>
                <w:szCs w:val="18"/>
              </w:rPr>
            </w:pPr>
            <w:r w:rsidRPr="008E7CF1">
              <w:rPr>
                <w:rFonts w:cstheme="minorHAnsi"/>
                <w:b/>
                <w:bCs/>
                <w:sz w:val="18"/>
                <w:szCs w:val="18"/>
              </w:rPr>
              <w:t>External Funds</w:t>
            </w:r>
          </w:p>
        </w:tc>
        <w:tc>
          <w:tcPr>
            <w:tcW w:w="948" w:type="dxa"/>
            <w:shd w:val="clear" w:color="auto" w:fill="BFBFBF" w:themeFill="background1" w:themeFillShade="BF"/>
            <w:noWrap/>
            <w:vAlign w:val="center"/>
            <w:hideMark/>
          </w:tcPr>
          <w:p w14:paraId="523880AB" w14:textId="77777777" w:rsidR="00FD276E" w:rsidRPr="008E7CF1" w:rsidRDefault="00FD276E" w:rsidP="00770DF5">
            <w:pPr>
              <w:spacing w:before="60" w:after="60"/>
              <w:jc w:val="center"/>
              <w:rPr>
                <w:rFonts w:cstheme="minorHAnsi"/>
                <w:b/>
                <w:bCs/>
                <w:sz w:val="18"/>
                <w:szCs w:val="18"/>
              </w:rPr>
            </w:pPr>
            <w:r w:rsidRPr="008E7CF1">
              <w:rPr>
                <w:rFonts w:cstheme="minorHAnsi"/>
                <w:b/>
                <w:bCs/>
                <w:sz w:val="18"/>
                <w:szCs w:val="18"/>
              </w:rPr>
              <w:t>ITU Funds</w:t>
            </w:r>
          </w:p>
        </w:tc>
        <w:tc>
          <w:tcPr>
            <w:tcW w:w="1223" w:type="dxa"/>
            <w:shd w:val="clear" w:color="auto" w:fill="BFBFBF" w:themeFill="background1" w:themeFillShade="BF"/>
            <w:noWrap/>
            <w:vAlign w:val="center"/>
            <w:hideMark/>
          </w:tcPr>
          <w:p w14:paraId="5CACF28A" w14:textId="77777777" w:rsidR="00FD276E" w:rsidRPr="008E7CF1" w:rsidRDefault="00FD276E" w:rsidP="00770DF5">
            <w:pPr>
              <w:spacing w:before="60" w:after="60"/>
              <w:jc w:val="center"/>
              <w:rPr>
                <w:rFonts w:cstheme="minorHAnsi"/>
                <w:b/>
                <w:bCs/>
                <w:sz w:val="18"/>
                <w:szCs w:val="18"/>
              </w:rPr>
            </w:pPr>
            <w:r w:rsidRPr="008E7CF1">
              <w:rPr>
                <w:rFonts w:cstheme="minorHAnsi"/>
                <w:b/>
                <w:bCs/>
                <w:sz w:val="18"/>
                <w:szCs w:val="18"/>
              </w:rPr>
              <w:t>Total funds</w:t>
            </w:r>
          </w:p>
        </w:tc>
        <w:tc>
          <w:tcPr>
            <w:tcW w:w="1856" w:type="dxa"/>
            <w:shd w:val="clear" w:color="auto" w:fill="BFBFBF" w:themeFill="background1" w:themeFillShade="BF"/>
            <w:noWrap/>
            <w:vAlign w:val="center"/>
            <w:hideMark/>
          </w:tcPr>
          <w:p w14:paraId="71E190D7" w14:textId="7A756241" w:rsidR="00FD276E" w:rsidRPr="008E7CF1" w:rsidRDefault="00FD276E" w:rsidP="00770DF5">
            <w:pPr>
              <w:spacing w:before="60" w:after="60"/>
              <w:jc w:val="center"/>
              <w:rPr>
                <w:rFonts w:cstheme="minorHAnsi"/>
                <w:b/>
                <w:bCs/>
                <w:sz w:val="18"/>
                <w:szCs w:val="18"/>
              </w:rPr>
            </w:pPr>
            <w:r w:rsidRPr="008E7CF1">
              <w:rPr>
                <w:rFonts w:cstheme="minorHAnsi"/>
                <w:b/>
                <w:bCs/>
                <w:sz w:val="18"/>
                <w:szCs w:val="18"/>
              </w:rPr>
              <w:t>Partner</w:t>
            </w:r>
          </w:p>
        </w:tc>
      </w:tr>
      <w:tr w:rsidR="00B37358" w:rsidRPr="008E7CF1" w14:paraId="4E8F1C17" w14:textId="77777777" w:rsidTr="00B37358">
        <w:trPr>
          <w:trHeight w:val="371"/>
          <w:jc w:val="center"/>
        </w:trPr>
        <w:tc>
          <w:tcPr>
            <w:tcW w:w="1122" w:type="dxa"/>
            <w:noWrap/>
            <w:vAlign w:val="center"/>
          </w:tcPr>
          <w:p w14:paraId="1015497C" w14:textId="12C4C1AE" w:rsidR="00B37358" w:rsidRPr="008E7CF1" w:rsidRDefault="00B37358" w:rsidP="00B37358">
            <w:pPr>
              <w:spacing w:before="60" w:after="60"/>
              <w:jc w:val="center"/>
              <w:rPr>
                <w:rFonts w:cstheme="minorHAnsi"/>
                <w:sz w:val="18"/>
                <w:szCs w:val="18"/>
              </w:rPr>
            </w:pPr>
            <w:r w:rsidRPr="008E7CF1">
              <w:rPr>
                <w:rFonts w:cstheme="minorHAnsi"/>
                <w:sz w:val="18"/>
                <w:szCs w:val="18"/>
              </w:rPr>
              <w:t>7GLO24139</w:t>
            </w:r>
          </w:p>
        </w:tc>
        <w:tc>
          <w:tcPr>
            <w:tcW w:w="2565" w:type="dxa"/>
            <w:noWrap/>
            <w:vAlign w:val="center"/>
          </w:tcPr>
          <w:p w14:paraId="1BB0D0D2" w14:textId="2146E975" w:rsidR="00B37358" w:rsidRPr="008E7CF1" w:rsidRDefault="00B37358" w:rsidP="00B37358">
            <w:pPr>
              <w:spacing w:before="60" w:after="60"/>
              <w:jc w:val="center"/>
              <w:rPr>
                <w:rFonts w:cstheme="minorHAnsi"/>
                <w:sz w:val="18"/>
                <w:szCs w:val="18"/>
              </w:rPr>
            </w:pPr>
            <w:r w:rsidRPr="008E7CF1">
              <w:rPr>
                <w:rFonts w:cstheme="minorHAnsi"/>
                <w:sz w:val="18"/>
                <w:szCs w:val="18"/>
              </w:rPr>
              <w:t>Strengthening the capacity for the implementation of EC Funded projects</w:t>
            </w:r>
          </w:p>
        </w:tc>
        <w:tc>
          <w:tcPr>
            <w:tcW w:w="780" w:type="dxa"/>
            <w:noWrap/>
            <w:vAlign w:val="center"/>
          </w:tcPr>
          <w:p w14:paraId="6947D9A9" w14:textId="24A92D35" w:rsidR="00B37358" w:rsidRPr="008E7CF1" w:rsidRDefault="00B37358" w:rsidP="00B37358">
            <w:pPr>
              <w:spacing w:before="60" w:after="60"/>
              <w:jc w:val="center"/>
              <w:rPr>
                <w:rFonts w:cstheme="minorHAnsi"/>
                <w:sz w:val="18"/>
                <w:szCs w:val="18"/>
              </w:rPr>
            </w:pPr>
            <w:r w:rsidRPr="008E7CF1">
              <w:rPr>
                <w:rFonts w:cstheme="minorHAnsi"/>
                <w:sz w:val="18"/>
                <w:szCs w:val="18"/>
              </w:rPr>
              <w:t>MUL</w:t>
            </w:r>
          </w:p>
        </w:tc>
        <w:tc>
          <w:tcPr>
            <w:tcW w:w="1324" w:type="dxa"/>
            <w:noWrap/>
            <w:vAlign w:val="center"/>
          </w:tcPr>
          <w:p w14:paraId="04760C47" w14:textId="1C9F0E8E" w:rsidR="00B37358" w:rsidRPr="008E7CF1" w:rsidRDefault="00B37358" w:rsidP="00B37358">
            <w:pPr>
              <w:spacing w:before="60" w:after="60"/>
              <w:jc w:val="center"/>
              <w:rPr>
                <w:rFonts w:cstheme="minorHAnsi"/>
                <w:sz w:val="18"/>
                <w:szCs w:val="18"/>
              </w:rPr>
            </w:pPr>
            <w:r w:rsidRPr="008E7CF1">
              <w:rPr>
                <w:rFonts w:cstheme="minorHAnsi"/>
                <w:sz w:val="18"/>
                <w:szCs w:val="18"/>
              </w:rPr>
              <w:t>Multiple</w:t>
            </w:r>
          </w:p>
        </w:tc>
        <w:tc>
          <w:tcPr>
            <w:tcW w:w="1067" w:type="dxa"/>
            <w:noWrap/>
            <w:vAlign w:val="center"/>
          </w:tcPr>
          <w:p w14:paraId="3FC1B824" w14:textId="4BB18932" w:rsidR="00B37358" w:rsidRPr="008E7CF1" w:rsidRDefault="00B37358" w:rsidP="00B37358">
            <w:pPr>
              <w:spacing w:before="60" w:after="60"/>
              <w:jc w:val="right"/>
              <w:rPr>
                <w:rFonts w:cstheme="minorHAnsi"/>
                <w:sz w:val="18"/>
                <w:szCs w:val="18"/>
              </w:rPr>
            </w:pPr>
            <w:r w:rsidRPr="008E7CF1">
              <w:rPr>
                <w:rFonts w:cstheme="minorHAnsi"/>
                <w:sz w:val="18"/>
                <w:szCs w:val="18"/>
              </w:rPr>
              <w:t>(*)</w:t>
            </w:r>
          </w:p>
        </w:tc>
        <w:tc>
          <w:tcPr>
            <w:tcW w:w="948" w:type="dxa"/>
            <w:noWrap/>
            <w:vAlign w:val="center"/>
          </w:tcPr>
          <w:p w14:paraId="05C20756" w14:textId="21753CD0" w:rsidR="00B37358" w:rsidRPr="008E7CF1" w:rsidRDefault="00B37358" w:rsidP="00B37358">
            <w:pPr>
              <w:spacing w:before="60" w:after="60"/>
              <w:jc w:val="right"/>
              <w:rPr>
                <w:rFonts w:cstheme="minorHAnsi"/>
                <w:sz w:val="18"/>
                <w:szCs w:val="18"/>
              </w:rPr>
            </w:pPr>
            <w:r w:rsidRPr="008E7CF1">
              <w:rPr>
                <w:rFonts w:cstheme="minorHAnsi"/>
                <w:sz w:val="18"/>
                <w:szCs w:val="18"/>
              </w:rPr>
              <w:t>840</w:t>
            </w:r>
          </w:p>
        </w:tc>
        <w:tc>
          <w:tcPr>
            <w:tcW w:w="1223" w:type="dxa"/>
            <w:noWrap/>
            <w:vAlign w:val="center"/>
          </w:tcPr>
          <w:p w14:paraId="7FA021F0" w14:textId="1598577A" w:rsidR="00B37358" w:rsidRPr="008E7CF1" w:rsidRDefault="00B37358" w:rsidP="00B37358">
            <w:pPr>
              <w:spacing w:before="60" w:after="60"/>
              <w:jc w:val="right"/>
              <w:rPr>
                <w:rFonts w:cstheme="minorHAnsi"/>
                <w:sz w:val="18"/>
                <w:szCs w:val="18"/>
              </w:rPr>
            </w:pPr>
            <w:r w:rsidRPr="008E7CF1">
              <w:rPr>
                <w:rFonts w:cstheme="minorHAnsi"/>
                <w:sz w:val="18"/>
                <w:szCs w:val="18"/>
              </w:rPr>
              <w:t>840</w:t>
            </w:r>
          </w:p>
        </w:tc>
        <w:tc>
          <w:tcPr>
            <w:tcW w:w="1856" w:type="dxa"/>
            <w:noWrap/>
            <w:vAlign w:val="center"/>
          </w:tcPr>
          <w:p w14:paraId="3D430121" w14:textId="146C1054" w:rsidR="00B37358" w:rsidRPr="008E7CF1" w:rsidRDefault="00B37358" w:rsidP="00B37358">
            <w:pPr>
              <w:spacing w:before="60" w:after="60"/>
              <w:jc w:val="center"/>
              <w:rPr>
                <w:rFonts w:cstheme="minorHAnsi"/>
                <w:sz w:val="18"/>
                <w:szCs w:val="18"/>
              </w:rPr>
            </w:pPr>
            <w:r w:rsidRPr="008E7CF1">
              <w:rPr>
                <w:rFonts w:cstheme="minorHAnsi"/>
                <w:sz w:val="18"/>
                <w:szCs w:val="18"/>
              </w:rPr>
              <w:t>European Commission</w:t>
            </w:r>
          </w:p>
        </w:tc>
      </w:tr>
      <w:tr w:rsidR="00B37358" w:rsidRPr="008E7CF1" w14:paraId="4E695B72" w14:textId="77777777" w:rsidTr="00B37358">
        <w:trPr>
          <w:trHeight w:val="371"/>
          <w:jc w:val="center"/>
        </w:trPr>
        <w:tc>
          <w:tcPr>
            <w:tcW w:w="1122" w:type="dxa"/>
            <w:noWrap/>
            <w:vAlign w:val="center"/>
          </w:tcPr>
          <w:p w14:paraId="633574AC" w14:textId="10BB2E13" w:rsidR="00B37358" w:rsidRPr="008E7CF1" w:rsidRDefault="00B37358" w:rsidP="00B37358">
            <w:pPr>
              <w:spacing w:before="60" w:after="60"/>
              <w:jc w:val="center"/>
              <w:rPr>
                <w:rFonts w:cstheme="minorHAnsi"/>
                <w:sz w:val="18"/>
                <w:szCs w:val="18"/>
              </w:rPr>
            </w:pPr>
            <w:r w:rsidRPr="008E7CF1">
              <w:rPr>
                <w:rFonts w:cstheme="minorHAnsi"/>
                <w:sz w:val="18"/>
                <w:szCs w:val="18"/>
              </w:rPr>
              <w:t>7GLO24144</w:t>
            </w:r>
          </w:p>
        </w:tc>
        <w:tc>
          <w:tcPr>
            <w:tcW w:w="2565" w:type="dxa"/>
            <w:noWrap/>
            <w:vAlign w:val="center"/>
          </w:tcPr>
          <w:p w14:paraId="14C9CDEB" w14:textId="77E35448" w:rsidR="00B37358" w:rsidRPr="008E7CF1" w:rsidRDefault="00B37358" w:rsidP="00B37358">
            <w:pPr>
              <w:spacing w:before="60" w:after="60"/>
              <w:jc w:val="center"/>
              <w:rPr>
                <w:rFonts w:cstheme="minorHAnsi"/>
                <w:sz w:val="18"/>
                <w:szCs w:val="18"/>
              </w:rPr>
            </w:pPr>
            <w:r w:rsidRPr="008E7CF1">
              <w:rPr>
                <w:rFonts w:cstheme="minorHAnsi"/>
                <w:sz w:val="18"/>
                <w:szCs w:val="18"/>
              </w:rPr>
              <w:t>Early Warnings for All – ITU funds to support to the implementation of the initiative</w:t>
            </w:r>
          </w:p>
        </w:tc>
        <w:tc>
          <w:tcPr>
            <w:tcW w:w="780" w:type="dxa"/>
            <w:noWrap/>
            <w:vAlign w:val="center"/>
          </w:tcPr>
          <w:p w14:paraId="1CED6546" w14:textId="7658858A" w:rsidR="00B37358" w:rsidRPr="008E7CF1" w:rsidRDefault="00B37358" w:rsidP="00B37358">
            <w:pPr>
              <w:spacing w:before="60" w:after="60"/>
              <w:jc w:val="center"/>
              <w:rPr>
                <w:rFonts w:cstheme="minorHAnsi"/>
                <w:sz w:val="18"/>
                <w:szCs w:val="18"/>
              </w:rPr>
            </w:pPr>
            <w:r w:rsidRPr="008E7CF1">
              <w:rPr>
                <w:rFonts w:cstheme="minorHAnsi"/>
                <w:sz w:val="18"/>
                <w:szCs w:val="18"/>
              </w:rPr>
              <w:t>MUL</w:t>
            </w:r>
          </w:p>
        </w:tc>
        <w:tc>
          <w:tcPr>
            <w:tcW w:w="1324" w:type="dxa"/>
            <w:noWrap/>
            <w:vAlign w:val="center"/>
          </w:tcPr>
          <w:p w14:paraId="5A52EB0C" w14:textId="2E63666F" w:rsidR="00B37358" w:rsidRPr="008E7CF1" w:rsidRDefault="00B37358" w:rsidP="00B37358">
            <w:pPr>
              <w:spacing w:before="60" w:after="60"/>
              <w:jc w:val="center"/>
              <w:rPr>
                <w:rFonts w:cstheme="minorHAnsi"/>
                <w:sz w:val="18"/>
                <w:szCs w:val="18"/>
              </w:rPr>
            </w:pPr>
            <w:r w:rsidRPr="008E7CF1">
              <w:rPr>
                <w:rFonts w:cstheme="minorHAnsi"/>
                <w:sz w:val="18"/>
                <w:szCs w:val="18"/>
              </w:rPr>
              <w:t>Multiple</w:t>
            </w:r>
          </w:p>
        </w:tc>
        <w:tc>
          <w:tcPr>
            <w:tcW w:w="1067" w:type="dxa"/>
            <w:noWrap/>
            <w:vAlign w:val="center"/>
          </w:tcPr>
          <w:p w14:paraId="3A10032D" w14:textId="669C89B9" w:rsidR="00B37358" w:rsidRPr="008E7CF1" w:rsidRDefault="00B37358" w:rsidP="00B37358">
            <w:pPr>
              <w:spacing w:before="60" w:after="60"/>
              <w:jc w:val="right"/>
              <w:rPr>
                <w:rFonts w:cstheme="minorHAnsi"/>
                <w:sz w:val="18"/>
                <w:szCs w:val="18"/>
              </w:rPr>
            </w:pPr>
            <w:r w:rsidRPr="008E7CF1">
              <w:rPr>
                <w:rFonts w:cstheme="minorHAnsi"/>
                <w:sz w:val="18"/>
                <w:szCs w:val="18"/>
              </w:rPr>
              <w:t>1,577</w:t>
            </w:r>
          </w:p>
        </w:tc>
        <w:tc>
          <w:tcPr>
            <w:tcW w:w="948" w:type="dxa"/>
            <w:noWrap/>
            <w:vAlign w:val="center"/>
          </w:tcPr>
          <w:p w14:paraId="1356AAB2" w14:textId="5D75D34C" w:rsidR="00B37358" w:rsidRPr="008E7CF1" w:rsidRDefault="00B37358" w:rsidP="00B37358">
            <w:pPr>
              <w:spacing w:before="60" w:after="60"/>
              <w:jc w:val="right"/>
              <w:rPr>
                <w:rFonts w:cstheme="minorHAnsi"/>
                <w:sz w:val="18"/>
                <w:szCs w:val="18"/>
              </w:rPr>
            </w:pPr>
            <w:r w:rsidRPr="008E7CF1">
              <w:rPr>
                <w:rFonts w:cstheme="minorHAnsi"/>
                <w:sz w:val="18"/>
                <w:szCs w:val="18"/>
              </w:rPr>
              <w:t>528</w:t>
            </w:r>
          </w:p>
        </w:tc>
        <w:tc>
          <w:tcPr>
            <w:tcW w:w="1223" w:type="dxa"/>
            <w:noWrap/>
            <w:vAlign w:val="center"/>
          </w:tcPr>
          <w:p w14:paraId="7EDF1DDE" w14:textId="5A79FC76" w:rsidR="00B37358" w:rsidRPr="008E7CF1" w:rsidRDefault="00B37358" w:rsidP="00B37358">
            <w:pPr>
              <w:spacing w:before="60" w:after="60"/>
              <w:jc w:val="right"/>
              <w:rPr>
                <w:rFonts w:cstheme="minorHAnsi"/>
                <w:sz w:val="18"/>
                <w:szCs w:val="18"/>
              </w:rPr>
            </w:pPr>
            <w:r w:rsidRPr="008E7CF1">
              <w:rPr>
                <w:rFonts w:cstheme="minorHAnsi"/>
                <w:sz w:val="18"/>
                <w:szCs w:val="18"/>
              </w:rPr>
              <w:t>2,105</w:t>
            </w:r>
          </w:p>
        </w:tc>
        <w:tc>
          <w:tcPr>
            <w:tcW w:w="1856" w:type="dxa"/>
            <w:noWrap/>
            <w:vAlign w:val="center"/>
          </w:tcPr>
          <w:p w14:paraId="5089B81F" w14:textId="669941E4" w:rsidR="00B37358" w:rsidRPr="008E7CF1" w:rsidRDefault="00B37358" w:rsidP="00B37358">
            <w:pPr>
              <w:spacing w:before="60" w:after="60"/>
              <w:jc w:val="center"/>
              <w:rPr>
                <w:rFonts w:cstheme="minorHAnsi"/>
                <w:sz w:val="18"/>
                <w:szCs w:val="18"/>
              </w:rPr>
            </w:pPr>
            <w:r w:rsidRPr="008E7CF1">
              <w:rPr>
                <w:rFonts w:cstheme="minorHAnsi"/>
                <w:sz w:val="18"/>
                <w:szCs w:val="18"/>
              </w:rPr>
              <w:t>UNDRR, WMO</w:t>
            </w:r>
          </w:p>
        </w:tc>
      </w:tr>
      <w:tr w:rsidR="00B37358" w:rsidRPr="008E7CF1" w14:paraId="05507778" w14:textId="77777777" w:rsidTr="00B37358">
        <w:trPr>
          <w:trHeight w:val="371"/>
          <w:jc w:val="center"/>
        </w:trPr>
        <w:tc>
          <w:tcPr>
            <w:tcW w:w="1122" w:type="dxa"/>
            <w:noWrap/>
            <w:vAlign w:val="center"/>
          </w:tcPr>
          <w:p w14:paraId="3AE60A9E" w14:textId="2081A544" w:rsidR="00B37358" w:rsidRPr="008E7CF1" w:rsidRDefault="00B37358" w:rsidP="00B37358">
            <w:pPr>
              <w:spacing w:before="60" w:after="60"/>
              <w:jc w:val="center"/>
              <w:rPr>
                <w:rFonts w:cstheme="minorHAnsi"/>
                <w:sz w:val="18"/>
                <w:szCs w:val="18"/>
              </w:rPr>
            </w:pPr>
            <w:r w:rsidRPr="008E7CF1">
              <w:rPr>
                <w:rFonts w:cstheme="minorHAnsi"/>
                <w:sz w:val="18"/>
                <w:szCs w:val="18"/>
              </w:rPr>
              <w:t>7RAS24074</w:t>
            </w:r>
          </w:p>
        </w:tc>
        <w:tc>
          <w:tcPr>
            <w:tcW w:w="2565" w:type="dxa"/>
            <w:noWrap/>
            <w:vAlign w:val="center"/>
          </w:tcPr>
          <w:p w14:paraId="26321FF3" w14:textId="28ADE896" w:rsidR="00B37358" w:rsidRPr="008E7CF1" w:rsidRDefault="00B37358" w:rsidP="00B37358">
            <w:pPr>
              <w:spacing w:before="60" w:after="60"/>
              <w:jc w:val="center"/>
              <w:rPr>
                <w:rFonts w:cstheme="minorHAnsi"/>
                <w:sz w:val="18"/>
                <w:szCs w:val="18"/>
              </w:rPr>
            </w:pPr>
            <w:r w:rsidRPr="008E7CF1">
              <w:rPr>
                <w:rFonts w:cstheme="minorHAnsi"/>
                <w:sz w:val="18"/>
                <w:szCs w:val="18"/>
              </w:rPr>
              <w:t>Enhancing Resilient ICT Infrastructure in Asia and the Pacific (second phase)</w:t>
            </w:r>
          </w:p>
        </w:tc>
        <w:tc>
          <w:tcPr>
            <w:tcW w:w="780" w:type="dxa"/>
            <w:noWrap/>
            <w:vAlign w:val="center"/>
          </w:tcPr>
          <w:p w14:paraId="6C006ADE" w14:textId="32C095E3" w:rsidR="00B37358" w:rsidRPr="008E7CF1" w:rsidRDefault="00B37358" w:rsidP="00B37358">
            <w:pPr>
              <w:spacing w:before="60" w:after="60"/>
              <w:jc w:val="center"/>
              <w:rPr>
                <w:rFonts w:cstheme="minorHAnsi"/>
                <w:sz w:val="18"/>
                <w:szCs w:val="18"/>
              </w:rPr>
            </w:pPr>
            <w:r w:rsidRPr="008E7CF1">
              <w:rPr>
                <w:rFonts w:cstheme="minorHAnsi"/>
                <w:sz w:val="18"/>
                <w:szCs w:val="18"/>
              </w:rPr>
              <w:t>ASP</w:t>
            </w:r>
          </w:p>
        </w:tc>
        <w:tc>
          <w:tcPr>
            <w:tcW w:w="1324" w:type="dxa"/>
            <w:noWrap/>
            <w:vAlign w:val="center"/>
          </w:tcPr>
          <w:p w14:paraId="6710AC53" w14:textId="214305AD" w:rsidR="00B37358" w:rsidRPr="008E7CF1" w:rsidRDefault="00B37358" w:rsidP="00B37358">
            <w:pPr>
              <w:spacing w:before="60" w:after="60"/>
              <w:jc w:val="center"/>
              <w:rPr>
                <w:rFonts w:cstheme="minorHAnsi"/>
                <w:sz w:val="18"/>
                <w:szCs w:val="18"/>
              </w:rPr>
            </w:pPr>
            <w:r w:rsidRPr="008E7CF1">
              <w:rPr>
                <w:rFonts w:cstheme="minorHAnsi"/>
                <w:sz w:val="18"/>
                <w:szCs w:val="18"/>
              </w:rPr>
              <w:t>ASP5 - Secure and resilient ICTs</w:t>
            </w:r>
          </w:p>
        </w:tc>
        <w:tc>
          <w:tcPr>
            <w:tcW w:w="1067" w:type="dxa"/>
            <w:noWrap/>
            <w:vAlign w:val="center"/>
          </w:tcPr>
          <w:p w14:paraId="05AFD8BA" w14:textId="1BC923D7" w:rsidR="00B37358" w:rsidRPr="008E7CF1" w:rsidRDefault="00B37358" w:rsidP="00B37358">
            <w:pPr>
              <w:spacing w:before="60" w:after="60"/>
              <w:jc w:val="right"/>
              <w:rPr>
                <w:rFonts w:cstheme="minorHAnsi"/>
                <w:sz w:val="18"/>
                <w:szCs w:val="18"/>
              </w:rPr>
            </w:pPr>
            <w:r w:rsidRPr="008E7CF1">
              <w:rPr>
                <w:rFonts w:cstheme="minorHAnsi"/>
                <w:sz w:val="18"/>
                <w:szCs w:val="18"/>
              </w:rPr>
              <w:t>132</w:t>
            </w:r>
          </w:p>
        </w:tc>
        <w:tc>
          <w:tcPr>
            <w:tcW w:w="948" w:type="dxa"/>
            <w:noWrap/>
            <w:vAlign w:val="center"/>
          </w:tcPr>
          <w:p w14:paraId="461A129D" w14:textId="1447A6B7" w:rsidR="00B37358" w:rsidRPr="008E7CF1" w:rsidRDefault="00B37358" w:rsidP="00B37358">
            <w:pPr>
              <w:spacing w:before="60" w:after="60"/>
              <w:jc w:val="right"/>
              <w:rPr>
                <w:rFonts w:cstheme="minorHAnsi"/>
                <w:sz w:val="18"/>
                <w:szCs w:val="18"/>
              </w:rPr>
            </w:pPr>
            <w:r w:rsidRPr="008E7CF1">
              <w:rPr>
                <w:rFonts w:cstheme="minorHAnsi"/>
                <w:sz w:val="18"/>
                <w:szCs w:val="18"/>
              </w:rPr>
              <w:t>33</w:t>
            </w:r>
          </w:p>
        </w:tc>
        <w:tc>
          <w:tcPr>
            <w:tcW w:w="1223" w:type="dxa"/>
            <w:noWrap/>
            <w:vAlign w:val="center"/>
          </w:tcPr>
          <w:p w14:paraId="7148EFF7" w14:textId="1A0897DA" w:rsidR="00B37358" w:rsidRPr="008E7CF1" w:rsidRDefault="00B37358" w:rsidP="00B37358">
            <w:pPr>
              <w:spacing w:before="60" w:after="60"/>
              <w:jc w:val="right"/>
              <w:rPr>
                <w:rFonts w:cstheme="minorHAnsi"/>
                <w:sz w:val="18"/>
                <w:szCs w:val="18"/>
              </w:rPr>
            </w:pPr>
            <w:r w:rsidRPr="008E7CF1">
              <w:rPr>
                <w:rFonts w:cstheme="minorHAnsi"/>
                <w:sz w:val="18"/>
                <w:szCs w:val="18"/>
              </w:rPr>
              <w:t>165</w:t>
            </w:r>
          </w:p>
        </w:tc>
        <w:tc>
          <w:tcPr>
            <w:tcW w:w="1856" w:type="dxa"/>
            <w:noWrap/>
            <w:vAlign w:val="center"/>
          </w:tcPr>
          <w:p w14:paraId="162ADC41" w14:textId="3AD7CF44" w:rsidR="00B37358" w:rsidRPr="008E7CF1" w:rsidRDefault="00B37358" w:rsidP="00B37358">
            <w:pPr>
              <w:spacing w:before="60" w:after="60"/>
              <w:jc w:val="center"/>
              <w:rPr>
                <w:rFonts w:cstheme="minorHAnsi"/>
                <w:sz w:val="18"/>
                <w:szCs w:val="18"/>
              </w:rPr>
            </w:pPr>
            <w:r w:rsidRPr="008E7CF1">
              <w:rPr>
                <w:rFonts w:cstheme="minorHAnsi"/>
                <w:sz w:val="18"/>
                <w:szCs w:val="18"/>
              </w:rPr>
              <w:t>MIC Japan</w:t>
            </w:r>
          </w:p>
        </w:tc>
      </w:tr>
      <w:tr w:rsidR="00B37358" w:rsidRPr="008E7CF1" w14:paraId="372F3847" w14:textId="77777777" w:rsidTr="00B37358">
        <w:trPr>
          <w:trHeight w:val="371"/>
          <w:jc w:val="center"/>
        </w:trPr>
        <w:tc>
          <w:tcPr>
            <w:tcW w:w="1122" w:type="dxa"/>
            <w:noWrap/>
            <w:vAlign w:val="center"/>
          </w:tcPr>
          <w:p w14:paraId="7B03DF80" w14:textId="04372F76" w:rsidR="00B37358" w:rsidRPr="008E7CF1" w:rsidRDefault="00B37358" w:rsidP="00B37358">
            <w:pPr>
              <w:spacing w:before="60" w:after="60"/>
              <w:jc w:val="center"/>
              <w:rPr>
                <w:rFonts w:cstheme="minorHAnsi"/>
                <w:sz w:val="18"/>
                <w:szCs w:val="18"/>
              </w:rPr>
            </w:pPr>
            <w:r w:rsidRPr="008E7CF1">
              <w:rPr>
                <w:rFonts w:cstheme="minorHAnsi"/>
                <w:sz w:val="18"/>
                <w:szCs w:val="18"/>
              </w:rPr>
              <w:t>7RAS24075</w:t>
            </w:r>
          </w:p>
        </w:tc>
        <w:tc>
          <w:tcPr>
            <w:tcW w:w="2565" w:type="dxa"/>
            <w:noWrap/>
            <w:vAlign w:val="center"/>
          </w:tcPr>
          <w:p w14:paraId="5EA23872" w14:textId="5424677B" w:rsidR="00B37358" w:rsidRPr="008E7CF1" w:rsidRDefault="00B37358" w:rsidP="00B37358">
            <w:pPr>
              <w:spacing w:before="60" w:after="60"/>
              <w:jc w:val="center"/>
              <w:rPr>
                <w:rFonts w:cstheme="minorHAnsi"/>
                <w:sz w:val="18"/>
                <w:szCs w:val="18"/>
              </w:rPr>
            </w:pPr>
            <w:r w:rsidRPr="008E7CF1">
              <w:rPr>
                <w:rFonts w:cstheme="minorHAnsi"/>
                <w:sz w:val="18"/>
                <w:szCs w:val="18"/>
              </w:rPr>
              <w:t>Creating a Circular Economy for Electronics and Electricals in Thailand and Mongolia</w:t>
            </w:r>
          </w:p>
        </w:tc>
        <w:tc>
          <w:tcPr>
            <w:tcW w:w="780" w:type="dxa"/>
            <w:noWrap/>
            <w:vAlign w:val="center"/>
          </w:tcPr>
          <w:p w14:paraId="105C4C80" w14:textId="13A2BA92" w:rsidR="00B37358" w:rsidRPr="008E7CF1" w:rsidRDefault="00B37358" w:rsidP="00B37358">
            <w:pPr>
              <w:spacing w:before="60" w:after="60"/>
              <w:jc w:val="center"/>
              <w:rPr>
                <w:rFonts w:cstheme="minorHAnsi"/>
                <w:sz w:val="18"/>
                <w:szCs w:val="18"/>
              </w:rPr>
            </w:pPr>
            <w:r w:rsidRPr="008E7CF1">
              <w:rPr>
                <w:rFonts w:cstheme="minorHAnsi"/>
                <w:sz w:val="18"/>
                <w:szCs w:val="18"/>
              </w:rPr>
              <w:t>ASP</w:t>
            </w:r>
          </w:p>
        </w:tc>
        <w:tc>
          <w:tcPr>
            <w:tcW w:w="1324" w:type="dxa"/>
            <w:noWrap/>
            <w:vAlign w:val="center"/>
          </w:tcPr>
          <w:p w14:paraId="3FEF913C" w14:textId="64DC2131" w:rsidR="00B37358" w:rsidRPr="008E7CF1" w:rsidRDefault="00B37358" w:rsidP="00B37358">
            <w:pPr>
              <w:spacing w:before="60" w:after="60"/>
              <w:jc w:val="center"/>
              <w:rPr>
                <w:rFonts w:cstheme="minorHAnsi"/>
                <w:sz w:val="18"/>
                <w:szCs w:val="18"/>
              </w:rPr>
            </w:pPr>
            <w:r w:rsidRPr="008E7CF1">
              <w:rPr>
                <w:rFonts w:cstheme="minorHAnsi"/>
                <w:sz w:val="18"/>
                <w:szCs w:val="18"/>
              </w:rPr>
              <w:t>ASP2 - Digital economy and inclusive digital societies</w:t>
            </w:r>
          </w:p>
        </w:tc>
        <w:tc>
          <w:tcPr>
            <w:tcW w:w="1067" w:type="dxa"/>
            <w:noWrap/>
            <w:vAlign w:val="center"/>
          </w:tcPr>
          <w:p w14:paraId="64A37041" w14:textId="26CC98CC" w:rsidR="00B37358" w:rsidRPr="008E7CF1" w:rsidRDefault="00B37358" w:rsidP="00B37358">
            <w:pPr>
              <w:spacing w:before="60" w:after="60"/>
              <w:jc w:val="right"/>
              <w:rPr>
                <w:rFonts w:cstheme="minorHAnsi"/>
                <w:sz w:val="18"/>
                <w:szCs w:val="18"/>
              </w:rPr>
            </w:pPr>
            <w:r w:rsidRPr="008E7CF1">
              <w:rPr>
                <w:rFonts w:cstheme="minorHAnsi"/>
                <w:sz w:val="18"/>
                <w:szCs w:val="18"/>
              </w:rPr>
              <w:t>225</w:t>
            </w:r>
          </w:p>
        </w:tc>
        <w:tc>
          <w:tcPr>
            <w:tcW w:w="948" w:type="dxa"/>
            <w:noWrap/>
            <w:vAlign w:val="center"/>
          </w:tcPr>
          <w:p w14:paraId="6D165610" w14:textId="54BA89B6" w:rsidR="00B37358" w:rsidRPr="008E7CF1" w:rsidRDefault="00B37358" w:rsidP="00B37358">
            <w:pPr>
              <w:spacing w:before="60" w:after="60"/>
              <w:jc w:val="right"/>
              <w:rPr>
                <w:rFonts w:cstheme="minorHAnsi"/>
                <w:sz w:val="18"/>
                <w:szCs w:val="18"/>
              </w:rPr>
            </w:pPr>
            <w:r w:rsidRPr="008E7CF1">
              <w:rPr>
                <w:rFonts w:cstheme="minorHAnsi"/>
                <w:sz w:val="18"/>
                <w:szCs w:val="18"/>
              </w:rPr>
              <w:t>53</w:t>
            </w:r>
          </w:p>
        </w:tc>
        <w:tc>
          <w:tcPr>
            <w:tcW w:w="1223" w:type="dxa"/>
            <w:noWrap/>
            <w:vAlign w:val="center"/>
          </w:tcPr>
          <w:p w14:paraId="0CF08599" w14:textId="615E23A8" w:rsidR="00B37358" w:rsidRPr="008E7CF1" w:rsidRDefault="00B37358" w:rsidP="00B37358">
            <w:pPr>
              <w:spacing w:before="60" w:after="60"/>
              <w:jc w:val="right"/>
              <w:rPr>
                <w:rFonts w:cstheme="minorHAnsi"/>
                <w:sz w:val="18"/>
                <w:szCs w:val="18"/>
              </w:rPr>
            </w:pPr>
            <w:r w:rsidRPr="008E7CF1">
              <w:rPr>
                <w:rFonts w:cstheme="minorHAnsi"/>
                <w:sz w:val="18"/>
                <w:szCs w:val="18"/>
              </w:rPr>
              <w:t>278</w:t>
            </w:r>
          </w:p>
        </w:tc>
        <w:tc>
          <w:tcPr>
            <w:tcW w:w="1856" w:type="dxa"/>
            <w:noWrap/>
            <w:vAlign w:val="center"/>
          </w:tcPr>
          <w:p w14:paraId="0241F3B6" w14:textId="2A488E19" w:rsidR="00B37358" w:rsidRPr="008E7CF1" w:rsidRDefault="00094894" w:rsidP="00B37358">
            <w:pPr>
              <w:spacing w:before="60" w:after="60"/>
              <w:jc w:val="center"/>
              <w:rPr>
                <w:rFonts w:cstheme="minorHAnsi"/>
                <w:sz w:val="18"/>
                <w:szCs w:val="18"/>
              </w:rPr>
            </w:pPr>
            <w:r>
              <w:rPr>
                <w:rFonts w:cstheme="minorHAnsi"/>
                <w:sz w:val="18"/>
                <w:szCs w:val="18"/>
              </w:rPr>
              <w:t>DITRDCA</w:t>
            </w:r>
            <w:r w:rsidR="00B37358" w:rsidRPr="008E7CF1">
              <w:rPr>
                <w:rFonts w:cstheme="minorHAnsi"/>
                <w:sz w:val="18"/>
                <w:szCs w:val="18"/>
              </w:rPr>
              <w:t xml:space="preserve"> Australia</w:t>
            </w:r>
          </w:p>
        </w:tc>
      </w:tr>
      <w:tr w:rsidR="00B37358" w:rsidRPr="008E7CF1" w14:paraId="3691D585" w14:textId="77777777" w:rsidTr="00B37358">
        <w:trPr>
          <w:trHeight w:val="371"/>
          <w:jc w:val="center"/>
        </w:trPr>
        <w:tc>
          <w:tcPr>
            <w:tcW w:w="1122" w:type="dxa"/>
            <w:noWrap/>
            <w:vAlign w:val="center"/>
          </w:tcPr>
          <w:p w14:paraId="298EC740" w14:textId="7B096092" w:rsidR="00B37358" w:rsidRPr="008E7CF1" w:rsidRDefault="00B37358" w:rsidP="00B37358">
            <w:pPr>
              <w:spacing w:before="60" w:after="60"/>
              <w:jc w:val="center"/>
              <w:rPr>
                <w:rFonts w:cstheme="minorHAnsi"/>
                <w:sz w:val="18"/>
                <w:szCs w:val="18"/>
              </w:rPr>
            </w:pPr>
            <w:r w:rsidRPr="008E7CF1">
              <w:rPr>
                <w:rFonts w:cstheme="minorHAnsi"/>
                <w:sz w:val="18"/>
                <w:szCs w:val="18"/>
              </w:rPr>
              <w:t>9RAF24107</w:t>
            </w:r>
          </w:p>
        </w:tc>
        <w:tc>
          <w:tcPr>
            <w:tcW w:w="2565" w:type="dxa"/>
            <w:noWrap/>
            <w:vAlign w:val="center"/>
          </w:tcPr>
          <w:p w14:paraId="657EA95B" w14:textId="31CACB6F" w:rsidR="00B37358" w:rsidRPr="008E7CF1" w:rsidRDefault="00B37358" w:rsidP="00B37358">
            <w:pPr>
              <w:spacing w:before="60" w:after="60"/>
              <w:jc w:val="center"/>
              <w:rPr>
                <w:rFonts w:cstheme="minorHAnsi"/>
                <w:sz w:val="18"/>
                <w:szCs w:val="18"/>
              </w:rPr>
            </w:pPr>
            <w:r w:rsidRPr="008E7CF1">
              <w:rPr>
                <w:rFonts w:cstheme="minorHAnsi"/>
                <w:sz w:val="18"/>
                <w:szCs w:val="18"/>
              </w:rPr>
              <w:t>EU Support to Africa's National Broadband Mapping Systems (</w:t>
            </w:r>
            <w:proofErr w:type="spellStart"/>
            <w:r w:rsidRPr="008E7CF1">
              <w:rPr>
                <w:rFonts w:cstheme="minorHAnsi"/>
                <w:sz w:val="18"/>
                <w:szCs w:val="18"/>
              </w:rPr>
              <w:t>AfricaBBMaps</w:t>
            </w:r>
            <w:proofErr w:type="spellEnd"/>
            <w:r w:rsidRPr="008E7CF1">
              <w:rPr>
                <w:rFonts w:cstheme="minorHAnsi"/>
                <w:sz w:val="18"/>
                <w:szCs w:val="18"/>
              </w:rPr>
              <w:t>)</w:t>
            </w:r>
          </w:p>
        </w:tc>
        <w:tc>
          <w:tcPr>
            <w:tcW w:w="780" w:type="dxa"/>
            <w:noWrap/>
            <w:vAlign w:val="center"/>
          </w:tcPr>
          <w:p w14:paraId="4733F05C" w14:textId="4BEB27AE" w:rsidR="00B37358" w:rsidRPr="008E7CF1" w:rsidRDefault="00B37358" w:rsidP="00B37358">
            <w:pPr>
              <w:spacing w:before="60" w:after="60"/>
              <w:jc w:val="center"/>
              <w:rPr>
                <w:rFonts w:cstheme="minorHAnsi"/>
                <w:sz w:val="18"/>
                <w:szCs w:val="18"/>
              </w:rPr>
            </w:pPr>
            <w:r w:rsidRPr="008E7CF1">
              <w:rPr>
                <w:rFonts w:cstheme="minorHAnsi"/>
                <w:sz w:val="18"/>
                <w:szCs w:val="18"/>
              </w:rPr>
              <w:t>AFR</w:t>
            </w:r>
          </w:p>
        </w:tc>
        <w:tc>
          <w:tcPr>
            <w:tcW w:w="1324" w:type="dxa"/>
            <w:noWrap/>
            <w:vAlign w:val="center"/>
          </w:tcPr>
          <w:p w14:paraId="2E98CD45" w14:textId="175E2D8F" w:rsidR="00B37358" w:rsidRPr="008E7CF1" w:rsidRDefault="00B37358" w:rsidP="00B37358">
            <w:pPr>
              <w:spacing w:before="60" w:after="60"/>
              <w:jc w:val="center"/>
              <w:rPr>
                <w:rFonts w:cstheme="minorHAnsi"/>
                <w:sz w:val="18"/>
                <w:szCs w:val="18"/>
              </w:rPr>
            </w:pPr>
            <w:r w:rsidRPr="008E7CF1">
              <w:rPr>
                <w:rFonts w:cstheme="minorHAnsi"/>
                <w:sz w:val="18"/>
                <w:szCs w:val="18"/>
              </w:rPr>
              <w:t>AFR2 - Infrastructure and connectivity</w:t>
            </w:r>
          </w:p>
        </w:tc>
        <w:tc>
          <w:tcPr>
            <w:tcW w:w="1067" w:type="dxa"/>
            <w:noWrap/>
            <w:vAlign w:val="center"/>
          </w:tcPr>
          <w:p w14:paraId="37078D5C" w14:textId="312C3170" w:rsidR="00B37358" w:rsidRPr="008E7CF1" w:rsidRDefault="00B37358" w:rsidP="00B37358">
            <w:pPr>
              <w:spacing w:before="60" w:after="60"/>
              <w:jc w:val="right"/>
              <w:rPr>
                <w:rFonts w:cstheme="minorHAnsi"/>
                <w:sz w:val="18"/>
                <w:szCs w:val="18"/>
              </w:rPr>
            </w:pPr>
            <w:r w:rsidRPr="008E7CF1">
              <w:rPr>
                <w:rFonts w:cstheme="minorHAnsi"/>
                <w:sz w:val="18"/>
                <w:szCs w:val="18"/>
              </w:rPr>
              <w:t>16,500</w:t>
            </w:r>
          </w:p>
        </w:tc>
        <w:tc>
          <w:tcPr>
            <w:tcW w:w="948" w:type="dxa"/>
            <w:noWrap/>
            <w:vAlign w:val="center"/>
          </w:tcPr>
          <w:p w14:paraId="37C6CC3A" w14:textId="237A7A9E" w:rsidR="00B37358" w:rsidRPr="008E7CF1" w:rsidRDefault="00B37358" w:rsidP="00B37358">
            <w:pPr>
              <w:spacing w:before="60" w:after="60"/>
              <w:jc w:val="right"/>
              <w:rPr>
                <w:rFonts w:cstheme="minorHAnsi"/>
                <w:sz w:val="18"/>
                <w:szCs w:val="18"/>
              </w:rPr>
            </w:pPr>
            <w:r w:rsidRPr="008E7CF1">
              <w:rPr>
                <w:rFonts w:cstheme="minorHAnsi"/>
                <w:sz w:val="18"/>
                <w:szCs w:val="18"/>
              </w:rPr>
              <w:t>970</w:t>
            </w:r>
          </w:p>
        </w:tc>
        <w:tc>
          <w:tcPr>
            <w:tcW w:w="1223" w:type="dxa"/>
            <w:noWrap/>
            <w:vAlign w:val="center"/>
          </w:tcPr>
          <w:p w14:paraId="6095A3B0" w14:textId="2CC9B710" w:rsidR="00B37358" w:rsidRPr="008E7CF1" w:rsidRDefault="00B37358" w:rsidP="00B37358">
            <w:pPr>
              <w:spacing w:before="60" w:after="60"/>
              <w:jc w:val="right"/>
              <w:rPr>
                <w:rFonts w:cstheme="minorHAnsi"/>
                <w:sz w:val="18"/>
                <w:szCs w:val="18"/>
              </w:rPr>
            </w:pPr>
            <w:r w:rsidRPr="008E7CF1">
              <w:rPr>
                <w:rFonts w:cstheme="minorHAnsi"/>
                <w:sz w:val="18"/>
                <w:szCs w:val="18"/>
              </w:rPr>
              <w:t>17,470</w:t>
            </w:r>
          </w:p>
        </w:tc>
        <w:tc>
          <w:tcPr>
            <w:tcW w:w="1856" w:type="dxa"/>
            <w:noWrap/>
            <w:vAlign w:val="center"/>
          </w:tcPr>
          <w:p w14:paraId="67B56FE0" w14:textId="699FA722" w:rsidR="00B37358" w:rsidRPr="008E7CF1" w:rsidRDefault="00B37358" w:rsidP="00B37358">
            <w:pPr>
              <w:spacing w:before="60" w:after="60"/>
              <w:jc w:val="center"/>
              <w:rPr>
                <w:rFonts w:cstheme="minorHAnsi"/>
                <w:sz w:val="18"/>
                <w:szCs w:val="18"/>
              </w:rPr>
            </w:pPr>
            <w:r w:rsidRPr="008E7CF1">
              <w:rPr>
                <w:rFonts w:cstheme="minorHAnsi"/>
                <w:sz w:val="18"/>
                <w:szCs w:val="18"/>
              </w:rPr>
              <w:t>European Commission</w:t>
            </w:r>
          </w:p>
        </w:tc>
      </w:tr>
      <w:tr w:rsidR="00B37358" w:rsidRPr="008E7CF1" w14:paraId="00DB4563" w14:textId="77777777" w:rsidTr="00B37358">
        <w:trPr>
          <w:trHeight w:val="371"/>
          <w:jc w:val="center"/>
        </w:trPr>
        <w:tc>
          <w:tcPr>
            <w:tcW w:w="1122" w:type="dxa"/>
            <w:noWrap/>
            <w:vAlign w:val="center"/>
          </w:tcPr>
          <w:p w14:paraId="13B90D6F" w14:textId="2CDBA79B" w:rsidR="00B37358" w:rsidRPr="008E7CF1" w:rsidRDefault="00B37358" w:rsidP="00B37358">
            <w:pPr>
              <w:spacing w:before="60" w:after="60"/>
              <w:jc w:val="center"/>
              <w:rPr>
                <w:rFonts w:cstheme="minorHAnsi"/>
                <w:sz w:val="18"/>
                <w:szCs w:val="18"/>
              </w:rPr>
            </w:pPr>
            <w:r w:rsidRPr="008E7CF1">
              <w:rPr>
                <w:rFonts w:cstheme="minorHAnsi"/>
                <w:sz w:val="18"/>
                <w:szCs w:val="18"/>
              </w:rPr>
              <w:t>9RAS24077</w:t>
            </w:r>
          </w:p>
        </w:tc>
        <w:tc>
          <w:tcPr>
            <w:tcW w:w="2565" w:type="dxa"/>
            <w:noWrap/>
            <w:vAlign w:val="center"/>
          </w:tcPr>
          <w:p w14:paraId="3D45250E" w14:textId="5B6EFE77" w:rsidR="00B37358" w:rsidRPr="008E7CF1" w:rsidRDefault="00B37358" w:rsidP="00B37358">
            <w:pPr>
              <w:spacing w:before="60" w:after="60"/>
              <w:jc w:val="center"/>
              <w:rPr>
                <w:rFonts w:cstheme="minorHAnsi"/>
                <w:sz w:val="18"/>
                <w:szCs w:val="18"/>
              </w:rPr>
            </w:pPr>
            <w:r w:rsidRPr="008E7CF1">
              <w:rPr>
                <w:rFonts w:cstheme="minorHAnsi"/>
                <w:sz w:val="18"/>
                <w:szCs w:val="18"/>
              </w:rPr>
              <w:t>Strengthening Asia-Pacific Engagement in ITU Conferences (SAPEIC).</w:t>
            </w:r>
          </w:p>
        </w:tc>
        <w:tc>
          <w:tcPr>
            <w:tcW w:w="780" w:type="dxa"/>
            <w:noWrap/>
            <w:vAlign w:val="center"/>
          </w:tcPr>
          <w:p w14:paraId="20AB59BD" w14:textId="4E1AA426" w:rsidR="00B37358" w:rsidRPr="008E7CF1" w:rsidRDefault="00B37358" w:rsidP="00B37358">
            <w:pPr>
              <w:spacing w:before="60" w:after="60"/>
              <w:jc w:val="center"/>
              <w:rPr>
                <w:rFonts w:cstheme="minorHAnsi"/>
                <w:sz w:val="18"/>
                <w:szCs w:val="18"/>
              </w:rPr>
            </w:pPr>
            <w:r w:rsidRPr="008E7CF1">
              <w:rPr>
                <w:rFonts w:cstheme="minorHAnsi"/>
                <w:sz w:val="18"/>
                <w:szCs w:val="18"/>
              </w:rPr>
              <w:t>ASP</w:t>
            </w:r>
          </w:p>
        </w:tc>
        <w:tc>
          <w:tcPr>
            <w:tcW w:w="1324" w:type="dxa"/>
            <w:noWrap/>
            <w:vAlign w:val="center"/>
          </w:tcPr>
          <w:p w14:paraId="689E5E5B" w14:textId="3C035085" w:rsidR="00B37358" w:rsidRPr="008E7CF1" w:rsidRDefault="00B37358" w:rsidP="00B37358">
            <w:pPr>
              <w:spacing w:before="60" w:after="60"/>
              <w:jc w:val="center"/>
              <w:rPr>
                <w:rFonts w:cstheme="minorHAnsi"/>
                <w:sz w:val="18"/>
                <w:szCs w:val="18"/>
              </w:rPr>
            </w:pPr>
            <w:r w:rsidRPr="008E7CF1">
              <w:rPr>
                <w:rFonts w:cstheme="minorHAnsi"/>
                <w:sz w:val="18"/>
                <w:szCs w:val="18"/>
              </w:rPr>
              <w:t>Multiple</w:t>
            </w:r>
          </w:p>
        </w:tc>
        <w:tc>
          <w:tcPr>
            <w:tcW w:w="1067" w:type="dxa"/>
            <w:noWrap/>
            <w:vAlign w:val="center"/>
          </w:tcPr>
          <w:p w14:paraId="1E96B9D4" w14:textId="50F2FC72" w:rsidR="00B37358" w:rsidRPr="008E7CF1" w:rsidRDefault="00B37358" w:rsidP="00B37358">
            <w:pPr>
              <w:spacing w:before="60" w:after="60"/>
              <w:jc w:val="right"/>
              <w:rPr>
                <w:rFonts w:cstheme="minorHAnsi"/>
                <w:sz w:val="18"/>
                <w:szCs w:val="18"/>
              </w:rPr>
            </w:pPr>
            <w:r w:rsidRPr="008E7CF1">
              <w:rPr>
                <w:rFonts w:cstheme="minorHAnsi"/>
                <w:sz w:val="18"/>
                <w:szCs w:val="18"/>
              </w:rPr>
              <w:t>305</w:t>
            </w:r>
          </w:p>
        </w:tc>
        <w:tc>
          <w:tcPr>
            <w:tcW w:w="948" w:type="dxa"/>
            <w:noWrap/>
            <w:vAlign w:val="center"/>
          </w:tcPr>
          <w:p w14:paraId="1763BBA8" w14:textId="5D6C7C79" w:rsidR="00B37358" w:rsidRPr="008E7CF1" w:rsidRDefault="00B37358" w:rsidP="00B37358">
            <w:pPr>
              <w:spacing w:before="60" w:after="60"/>
              <w:jc w:val="right"/>
              <w:rPr>
                <w:rFonts w:cstheme="minorHAnsi"/>
                <w:sz w:val="18"/>
                <w:szCs w:val="18"/>
              </w:rPr>
            </w:pPr>
            <w:r w:rsidRPr="008E7CF1">
              <w:rPr>
                <w:rFonts w:cstheme="minorHAnsi"/>
                <w:sz w:val="18"/>
                <w:szCs w:val="18"/>
              </w:rPr>
              <w:t>58</w:t>
            </w:r>
          </w:p>
        </w:tc>
        <w:tc>
          <w:tcPr>
            <w:tcW w:w="1223" w:type="dxa"/>
            <w:noWrap/>
            <w:vAlign w:val="center"/>
          </w:tcPr>
          <w:p w14:paraId="6822D400" w14:textId="0730CEB6" w:rsidR="00B37358" w:rsidRPr="008E7CF1" w:rsidRDefault="00B37358" w:rsidP="00B37358">
            <w:pPr>
              <w:spacing w:before="60" w:after="60"/>
              <w:jc w:val="right"/>
              <w:rPr>
                <w:rFonts w:cstheme="minorHAnsi"/>
                <w:sz w:val="18"/>
                <w:szCs w:val="18"/>
              </w:rPr>
            </w:pPr>
            <w:r w:rsidRPr="008E7CF1">
              <w:rPr>
                <w:rFonts w:cstheme="minorHAnsi"/>
                <w:sz w:val="18"/>
                <w:szCs w:val="18"/>
              </w:rPr>
              <w:t>363</w:t>
            </w:r>
          </w:p>
        </w:tc>
        <w:tc>
          <w:tcPr>
            <w:tcW w:w="1856" w:type="dxa"/>
            <w:noWrap/>
            <w:vAlign w:val="center"/>
          </w:tcPr>
          <w:p w14:paraId="1B2BF824" w14:textId="17C69CC3" w:rsidR="00B37358" w:rsidRPr="008E7CF1" w:rsidRDefault="00094894" w:rsidP="00B37358">
            <w:pPr>
              <w:spacing w:before="60" w:after="60"/>
              <w:jc w:val="center"/>
              <w:rPr>
                <w:rFonts w:cstheme="minorHAnsi"/>
                <w:sz w:val="18"/>
                <w:szCs w:val="18"/>
              </w:rPr>
            </w:pPr>
            <w:r>
              <w:rPr>
                <w:rFonts w:cstheme="minorHAnsi"/>
                <w:sz w:val="18"/>
                <w:szCs w:val="18"/>
              </w:rPr>
              <w:t>DITRDCA</w:t>
            </w:r>
            <w:r w:rsidR="00B37358" w:rsidRPr="008E7CF1">
              <w:rPr>
                <w:rFonts w:cstheme="minorHAnsi"/>
                <w:sz w:val="18"/>
                <w:szCs w:val="18"/>
              </w:rPr>
              <w:t xml:space="preserve"> Australia</w:t>
            </w:r>
          </w:p>
        </w:tc>
      </w:tr>
      <w:tr w:rsidR="00B37358" w:rsidRPr="008E7CF1" w14:paraId="6B6E1841" w14:textId="77777777" w:rsidTr="00B37358">
        <w:trPr>
          <w:trHeight w:val="371"/>
          <w:jc w:val="center"/>
        </w:trPr>
        <w:tc>
          <w:tcPr>
            <w:tcW w:w="1122" w:type="dxa"/>
            <w:noWrap/>
            <w:vAlign w:val="center"/>
          </w:tcPr>
          <w:p w14:paraId="0E5479EC" w14:textId="5B254754" w:rsidR="00B37358" w:rsidRPr="008E7CF1" w:rsidRDefault="00B37358" w:rsidP="00B37358">
            <w:pPr>
              <w:spacing w:before="60" w:after="60"/>
              <w:jc w:val="center"/>
              <w:rPr>
                <w:rFonts w:cstheme="minorHAnsi"/>
                <w:sz w:val="18"/>
                <w:szCs w:val="18"/>
              </w:rPr>
            </w:pPr>
            <w:r w:rsidRPr="008E7CF1">
              <w:rPr>
                <w:rFonts w:cstheme="minorHAnsi"/>
                <w:sz w:val="18"/>
                <w:szCs w:val="18"/>
              </w:rPr>
              <w:t>7CIS25001</w:t>
            </w:r>
          </w:p>
        </w:tc>
        <w:tc>
          <w:tcPr>
            <w:tcW w:w="2565" w:type="dxa"/>
            <w:noWrap/>
            <w:vAlign w:val="center"/>
          </w:tcPr>
          <w:p w14:paraId="59D60AB4" w14:textId="402E4D1D" w:rsidR="00B37358" w:rsidRPr="008E7CF1" w:rsidRDefault="00B37358" w:rsidP="00B37358">
            <w:pPr>
              <w:spacing w:before="60" w:after="60"/>
              <w:jc w:val="center"/>
              <w:rPr>
                <w:rFonts w:cstheme="minorHAnsi"/>
                <w:sz w:val="18"/>
                <w:szCs w:val="18"/>
              </w:rPr>
            </w:pPr>
            <w:r w:rsidRPr="008E7CF1">
              <w:rPr>
                <w:rFonts w:cstheme="minorHAnsi"/>
                <w:sz w:val="18"/>
                <w:szCs w:val="18"/>
              </w:rPr>
              <w:t>Digital Government Cooperation in the Central Asia and Caucasus Countries</w:t>
            </w:r>
          </w:p>
        </w:tc>
        <w:tc>
          <w:tcPr>
            <w:tcW w:w="780" w:type="dxa"/>
            <w:noWrap/>
            <w:vAlign w:val="center"/>
          </w:tcPr>
          <w:p w14:paraId="03658F89" w14:textId="4B512514" w:rsidR="00B37358" w:rsidRPr="008E7CF1" w:rsidRDefault="00B37358" w:rsidP="00B37358">
            <w:pPr>
              <w:spacing w:before="60" w:after="60"/>
              <w:jc w:val="center"/>
              <w:rPr>
                <w:rFonts w:cstheme="minorHAnsi"/>
                <w:sz w:val="18"/>
                <w:szCs w:val="18"/>
              </w:rPr>
            </w:pPr>
            <w:r w:rsidRPr="008E7CF1">
              <w:rPr>
                <w:rFonts w:cstheme="minorHAnsi"/>
                <w:sz w:val="18"/>
                <w:szCs w:val="18"/>
              </w:rPr>
              <w:t>CIS</w:t>
            </w:r>
          </w:p>
        </w:tc>
        <w:tc>
          <w:tcPr>
            <w:tcW w:w="1324" w:type="dxa"/>
            <w:noWrap/>
            <w:vAlign w:val="center"/>
          </w:tcPr>
          <w:p w14:paraId="6A401CB6" w14:textId="03085E6A" w:rsidR="00B37358" w:rsidRPr="008E7CF1" w:rsidRDefault="00B37358" w:rsidP="00B37358">
            <w:pPr>
              <w:spacing w:before="60" w:after="60"/>
              <w:jc w:val="center"/>
              <w:rPr>
                <w:rFonts w:cstheme="minorHAnsi"/>
                <w:sz w:val="18"/>
                <w:szCs w:val="18"/>
              </w:rPr>
            </w:pPr>
            <w:r w:rsidRPr="008E7CF1">
              <w:rPr>
                <w:rFonts w:cstheme="minorHAnsi"/>
                <w:sz w:val="18"/>
                <w:szCs w:val="18"/>
              </w:rPr>
              <w:t>CIS3 - Enabling regulatory environment</w:t>
            </w:r>
          </w:p>
        </w:tc>
        <w:tc>
          <w:tcPr>
            <w:tcW w:w="1067" w:type="dxa"/>
            <w:noWrap/>
            <w:vAlign w:val="center"/>
          </w:tcPr>
          <w:p w14:paraId="389A56D2" w14:textId="490674DF" w:rsidR="00B37358" w:rsidRPr="008E7CF1" w:rsidRDefault="00B37358" w:rsidP="00B37358">
            <w:pPr>
              <w:spacing w:before="60" w:after="60"/>
              <w:jc w:val="right"/>
              <w:rPr>
                <w:rFonts w:cstheme="minorHAnsi"/>
                <w:sz w:val="18"/>
                <w:szCs w:val="18"/>
              </w:rPr>
            </w:pPr>
            <w:r w:rsidRPr="008E7CF1">
              <w:rPr>
                <w:rFonts w:cstheme="minorHAnsi"/>
                <w:sz w:val="18"/>
                <w:szCs w:val="18"/>
              </w:rPr>
              <w:t>88</w:t>
            </w:r>
          </w:p>
        </w:tc>
        <w:tc>
          <w:tcPr>
            <w:tcW w:w="948" w:type="dxa"/>
            <w:noWrap/>
            <w:vAlign w:val="center"/>
          </w:tcPr>
          <w:p w14:paraId="140194ED" w14:textId="7E05CDA8" w:rsidR="00B37358" w:rsidRPr="008E7CF1" w:rsidRDefault="00B37358" w:rsidP="00B37358">
            <w:pPr>
              <w:spacing w:before="60" w:after="60"/>
              <w:jc w:val="right"/>
              <w:rPr>
                <w:rFonts w:cstheme="minorHAnsi"/>
                <w:sz w:val="18"/>
                <w:szCs w:val="18"/>
              </w:rPr>
            </w:pPr>
            <w:r w:rsidRPr="008E7CF1">
              <w:rPr>
                <w:rFonts w:cstheme="minorHAnsi"/>
                <w:sz w:val="18"/>
                <w:szCs w:val="18"/>
              </w:rPr>
              <w:t>88</w:t>
            </w:r>
          </w:p>
        </w:tc>
        <w:tc>
          <w:tcPr>
            <w:tcW w:w="1223" w:type="dxa"/>
            <w:noWrap/>
            <w:vAlign w:val="center"/>
          </w:tcPr>
          <w:p w14:paraId="1BBB0B63" w14:textId="52384A25" w:rsidR="00B37358" w:rsidRPr="008E7CF1" w:rsidRDefault="00B37358" w:rsidP="00B37358">
            <w:pPr>
              <w:spacing w:before="60" w:after="60"/>
              <w:jc w:val="right"/>
              <w:rPr>
                <w:rFonts w:cstheme="minorHAnsi"/>
                <w:sz w:val="18"/>
                <w:szCs w:val="18"/>
              </w:rPr>
            </w:pPr>
            <w:r w:rsidRPr="008E7CF1">
              <w:rPr>
                <w:rFonts w:cstheme="minorHAnsi"/>
                <w:sz w:val="18"/>
                <w:szCs w:val="18"/>
              </w:rPr>
              <w:t>176</w:t>
            </w:r>
          </w:p>
        </w:tc>
        <w:tc>
          <w:tcPr>
            <w:tcW w:w="1856" w:type="dxa"/>
            <w:noWrap/>
            <w:vAlign w:val="center"/>
          </w:tcPr>
          <w:p w14:paraId="1D15E139" w14:textId="4CC69DF8" w:rsidR="00B37358" w:rsidRPr="008E7CF1" w:rsidRDefault="00B37358" w:rsidP="00B37358">
            <w:pPr>
              <w:spacing w:before="60" w:after="60"/>
              <w:jc w:val="center"/>
              <w:rPr>
                <w:rFonts w:cstheme="minorHAnsi"/>
                <w:sz w:val="18"/>
                <w:szCs w:val="18"/>
              </w:rPr>
            </w:pPr>
            <w:r w:rsidRPr="008E7CF1">
              <w:rPr>
                <w:rFonts w:cstheme="minorHAnsi"/>
                <w:sz w:val="18"/>
                <w:szCs w:val="18"/>
              </w:rPr>
              <w:t>Ministry of Digital Development, Innovation and Aerospace Industry (MDDIAI) and the National Information Technologies JSC (NITEC) of Kazakhstan</w:t>
            </w:r>
          </w:p>
        </w:tc>
      </w:tr>
      <w:tr w:rsidR="00B37358" w:rsidRPr="008E7CF1" w14:paraId="3B324261" w14:textId="77777777" w:rsidTr="00B37358">
        <w:trPr>
          <w:trHeight w:val="371"/>
          <w:jc w:val="center"/>
        </w:trPr>
        <w:tc>
          <w:tcPr>
            <w:tcW w:w="1122" w:type="dxa"/>
            <w:noWrap/>
            <w:vAlign w:val="center"/>
          </w:tcPr>
          <w:p w14:paraId="38D5002E" w14:textId="7AA71D30" w:rsidR="00B37358" w:rsidRPr="008E7CF1" w:rsidRDefault="00B37358" w:rsidP="00B37358">
            <w:pPr>
              <w:spacing w:before="60" w:after="60"/>
              <w:jc w:val="center"/>
              <w:rPr>
                <w:rFonts w:cstheme="minorHAnsi"/>
                <w:sz w:val="18"/>
                <w:szCs w:val="18"/>
              </w:rPr>
            </w:pPr>
            <w:r w:rsidRPr="008E7CF1">
              <w:rPr>
                <w:rFonts w:cstheme="minorHAnsi"/>
                <w:sz w:val="18"/>
                <w:szCs w:val="18"/>
              </w:rPr>
              <w:t>7GLO24142</w:t>
            </w:r>
          </w:p>
        </w:tc>
        <w:tc>
          <w:tcPr>
            <w:tcW w:w="2565" w:type="dxa"/>
            <w:noWrap/>
            <w:vAlign w:val="center"/>
          </w:tcPr>
          <w:p w14:paraId="5E74BBDA" w14:textId="2F9E9E00" w:rsidR="00B37358" w:rsidRPr="008E7CF1" w:rsidRDefault="00B37358" w:rsidP="00B37358">
            <w:pPr>
              <w:spacing w:before="60" w:after="60"/>
              <w:jc w:val="center"/>
              <w:rPr>
                <w:rFonts w:cstheme="minorHAnsi"/>
                <w:sz w:val="18"/>
                <w:szCs w:val="18"/>
              </w:rPr>
            </w:pPr>
            <w:r w:rsidRPr="008E7CF1">
              <w:rPr>
                <w:rFonts w:cstheme="minorHAnsi"/>
                <w:sz w:val="18"/>
                <w:szCs w:val="18"/>
              </w:rPr>
              <w:t>Partnership for Strengthening Cybersecurity</w:t>
            </w:r>
          </w:p>
        </w:tc>
        <w:tc>
          <w:tcPr>
            <w:tcW w:w="780" w:type="dxa"/>
            <w:noWrap/>
            <w:vAlign w:val="center"/>
          </w:tcPr>
          <w:p w14:paraId="3F577D8D" w14:textId="428AE9E0" w:rsidR="00B37358" w:rsidRPr="008E7CF1" w:rsidRDefault="00B37358" w:rsidP="00B37358">
            <w:pPr>
              <w:spacing w:before="60" w:after="60"/>
              <w:jc w:val="center"/>
              <w:rPr>
                <w:rFonts w:cstheme="minorHAnsi"/>
                <w:sz w:val="18"/>
                <w:szCs w:val="18"/>
              </w:rPr>
            </w:pPr>
            <w:r w:rsidRPr="008E7CF1">
              <w:rPr>
                <w:rFonts w:cstheme="minorHAnsi"/>
                <w:sz w:val="18"/>
                <w:szCs w:val="18"/>
              </w:rPr>
              <w:t>AFR</w:t>
            </w:r>
          </w:p>
        </w:tc>
        <w:tc>
          <w:tcPr>
            <w:tcW w:w="1324" w:type="dxa"/>
            <w:noWrap/>
            <w:vAlign w:val="center"/>
          </w:tcPr>
          <w:p w14:paraId="1A785E85" w14:textId="663B1036" w:rsidR="00B37358" w:rsidRPr="008E7CF1" w:rsidRDefault="00B37358" w:rsidP="00B37358">
            <w:pPr>
              <w:spacing w:before="60" w:after="60"/>
              <w:jc w:val="center"/>
              <w:rPr>
                <w:rFonts w:cstheme="minorHAnsi"/>
                <w:sz w:val="18"/>
                <w:szCs w:val="18"/>
              </w:rPr>
            </w:pPr>
            <w:r w:rsidRPr="008E7CF1">
              <w:rPr>
                <w:rFonts w:cstheme="minorHAnsi"/>
                <w:sz w:val="18"/>
                <w:szCs w:val="18"/>
              </w:rPr>
              <w:t>AFR3 - Trust, safety and security</w:t>
            </w:r>
          </w:p>
        </w:tc>
        <w:tc>
          <w:tcPr>
            <w:tcW w:w="1067" w:type="dxa"/>
            <w:noWrap/>
            <w:vAlign w:val="center"/>
          </w:tcPr>
          <w:p w14:paraId="16CED50F" w14:textId="7EEBC313" w:rsidR="00B37358" w:rsidRPr="008E7CF1" w:rsidRDefault="00B37358" w:rsidP="00B37358">
            <w:pPr>
              <w:spacing w:before="60" w:after="60"/>
              <w:jc w:val="right"/>
              <w:rPr>
                <w:rFonts w:cstheme="minorHAnsi"/>
                <w:sz w:val="18"/>
                <w:szCs w:val="18"/>
              </w:rPr>
            </w:pPr>
            <w:r w:rsidRPr="008E7CF1">
              <w:rPr>
                <w:rFonts w:cstheme="minorHAnsi"/>
                <w:sz w:val="18"/>
                <w:szCs w:val="18"/>
              </w:rPr>
              <w:t>397</w:t>
            </w:r>
          </w:p>
        </w:tc>
        <w:tc>
          <w:tcPr>
            <w:tcW w:w="948" w:type="dxa"/>
            <w:noWrap/>
            <w:vAlign w:val="center"/>
          </w:tcPr>
          <w:p w14:paraId="17D05188" w14:textId="7C60F608" w:rsidR="00B37358" w:rsidRPr="008E7CF1" w:rsidRDefault="00B37358" w:rsidP="00B37358">
            <w:pPr>
              <w:spacing w:before="60" w:after="60"/>
              <w:jc w:val="right"/>
              <w:rPr>
                <w:rFonts w:cstheme="minorHAnsi"/>
                <w:sz w:val="18"/>
                <w:szCs w:val="18"/>
              </w:rPr>
            </w:pPr>
            <w:r w:rsidRPr="008E7CF1">
              <w:rPr>
                <w:rFonts w:cstheme="minorHAnsi"/>
                <w:sz w:val="18"/>
                <w:szCs w:val="18"/>
              </w:rPr>
              <w:t>166</w:t>
            </w:r>
          </w:p>
        </w:tc>
        <w:tc>
          <w:tcPr>
            <w:tcW w:w="1223" w:type="dxa"/>
            <w:noWrap/>
            <w:vAlign w:val="center"/>
          </w:tcPr>
          <w:p w14:paraId="2DD480E9" w14:textId="54763AE1" w:rsidR="00B37358" w:rsidRPr="008E7CF1" w:rsidRDefault="00B37358" w:rsidP="00B37358">
            <w:pPr>
              <w:spacing w:before="60" w:after="60"/>
              <w:jc w:val="right"/>
              <w:rPr>
                <w:rFonts w:cstheme="minorHAnsi"/>
                <w:sz w:val="18"/>
                <w:szCs w:val="18"/>
              </w:rPr>
            </w:pPr>
            <w:r w:rsidRPr="008E7CF1">
              <w:rPr>
                <w:rFonts w:cstheme="minorHAnsi"/>
                <w:sz w:val="18"/>
                <w:szCs w:val="18"/>
              </w:rPr>
              <w:t>563</w:t>
            </w:r>
          </w:p>
        </w:tc>
        <w:tc>
          <w:tcPr>
            <w:tcW w:w="1856" w:type="dxa"/>
            <w:noWrap/>
            <w:vAlign w:val="center"/>
          </w:tcPr>
          <w:p w14:paraId="6D9D00BD" w14:textId="61C6D45E" w:rsidR="00B37358" w:rsidRPr="008E7CF1" w:rsidRDefault="00B37358" w:rsidP="00B37358">
            <w:pPr>
              <w:spacing w:before="60" w:after="60"/>
              <w:jc w:val="center"/>
              <w:rPr>
                <w:rFonts w:cstheme="minorHAnsi"/>
                <w:sz w:val="18"/>
                <w:szCs w:val="18"/>
              </w:rPr>
            </w:pPr>
            <w:r w:rsidRPr="008E7CF1">
              <w:rPr>
                <w:rFonts w:cstheme="minorHAnsi"/>
                <w:sz w:val="18"/>
                <w:szCs w:val="18"/>
              </w:rPr>
              <w:t>GIZ</w:t>
            </w:r>
          </w:p>
        </w:tc>
      </w:tr>
      <w:tr w:rsidR="00B37358" w:rsidRPr="008E7CF1" w14:paraId="5EA5D14A" w14:textId="77777777" w:rsidTr="00B37358">
        <w:trPr>
          <w:trHeight w:val="371"/>
          <w:jc w:val="center"/>
        </w:trPr>
        <w:tc>
          <w:tcPr>
            <w:tcW w:w="1122" w:type="dxa"/>
            <w:noWrap/>
            <w:vAlign w:val="center"/>
          </w:tcPr>
          <w:p w14:paraId="2EDF3A46" w14:textId="23CE09CB" w:rsidR="00B37358" w:rsidRPr="008E7CF1" w:rsidRDefault="00B37358" w:rsidP="00B37358">
            <w:pPr>
              <w:spacing w:before="60" w:after="60"/>
              <w:jc w:val="center"/>
              <w:rPr>
                <w:rFonts w:cstheme="minorHAnsi"/>
                <w:sz w:val="18"/>
                <w:szCs w:val="18"/>
              </w:rPr>
            </w:pPr>
            <w:r w:rsidRPr="008E7CF1">
              <w:rPr>
                <w:rFonts w:cstheme="minorHAnsi"/>
                <w:sz w:val="18"/>
                <w:szCs w:val="18"/>
              </w:rPr>
              <w:t>7GLO24146</w:t>
            </w:r>
          </w:p>
        </w:tc>
        <w:tc>
          <w:tcPr>
            <w:tcW w:w="2565" w:type="dxa"/>
            <w:noWrap/>
            <w:vAlign w:val="center"/>
          </w:tcPr>
          <w:p w14:paraId="44CB521E" w14:textId="325A7CF3" w:rsidR="00B37358" w:rsidRPr="008E7CF1" w:rsidRDefault="00B37358" w:rsidP="00B37358">
            <w:pPr>
              <w:spacing w:before="60" w:after="60"/>
              <w:jc w:val="center"/>
              <w:rPr>
                <w:rFonts w:cstheme="minorHAnsi"/>
                <w:sz w:val="18"/>
                <w:szCs w:val="18"/>
              </w:rPr>
            </w:pPr>
            <w:r w:rsidRPr="008E7CF1">
              <w:rPr>
                <w:rFonts w:cstheme="minorHAnsi"/>
                <w:sz w:val="18"/>
                <w:szCs w:val="18"/>
              </w:rPr>
              <w:t>Cyber for Good (Phase 2)</w:t>
            </w:r>
          </w:p>
        </w:tc>
        <w:tc>
          <w:tcPr>
            <w:tcW w:w="780" w:type="dxa"/>
            <w:noWrap/>
            <w:vAlign w:val="center"/>
          </w:tcPr>
          <w:p w14:paraId="471A15B3" w14:textId="547845B3" w:rsidR="00B37358" w:rsidRPr="008E7CF1" w:rsidRDefault="00B37358" w:rsidP="00B37358">
            <w:pPr>
              <w:spacing w:before="60" w:after="60"/>
              <w:jc w:val="center"/>
              <w:rPr>
                <w:rFonts w:cstheme="minorHAnsi"/>
                <w:sz w:val="18"/>
                <w:szCs w:val="18"/>
              </w:rPr>
            </w:pPr>
            <w:r w:rsidRPr="008E7CF1">
              <w:rPr>
                <w:rFonts w:cstheme="minorHAnsi"/>
                <w:sz w:val="18"/>
                <w:szCs w:val="18"/>
              </w:rPr>
              <w:t>MULTI</w:t>
            </w:r>
          </w:p>
        </w:tc>
        <w:tc>
          <w:tcPr>
            <w:tcW w:w="1324" w:type="dxa"/>
            <w:noWrap/>
            <w:vAlign w:val="center"/>
          </w:tcPr>
          <w:p w14:paraId="4EBF54D6" w14:textId="120522D9" w:rsidR="00B37358" w:rsidRPr="008E7CF1" w:rsidRDefault="00B37358" w:rsidP="00B37358">
            <w:pPr>
              <w:spacing w:before="60" w:after="60"/>
              <w:jc w:val="center"/>
              <w:rPr>
                <w:rFonts w:cstheme="minorHAnsi"/>
                <w:sz w:val="18"/>
                <w:szCs w:val="18"/>
              </w:rPr>
            </w:pPr>
            <w:r w:rsidRPr="008E7CF1">
              <w:rPr>
                <w:rFonts w:cstheme="minorHAnsi"/>
                <w:sz w:val="18"/>
                <w:szCs w:val="18"/>
              </w:rPr>
              <w:t>Multiple</w:t>
            </w:r>
          </w:p>
        </w:tc>
        <w:tc>
          <w:tcPr>
            <w:tcW w:w="1067" w:type="dxa"/>
            <w:noWrap/>
            <w:vAlign w:val="center"/>
          </w:tcPr>
          <w:p w14:paraId="1D26634C" w14:textId="441F579A" w:rsidR="00B37358" w:rsidRPr="008E7CF1" w:rsidRDefault="00B37358" w:rsidP="00B37358">
            <w:pPr>
              <w:spacing w:before="60" w:after="60"/>
              <w:jc w:val="right"/>
              <w:rPr>
                <w:rFonts w:cstheme="minorHAnsi"/>
                <w:sz w:val="18"/>
                <w:szCs w:val="18"/>
              </w:rPr>
            </w:pPr>
            <w:r w:rsidRPr="008E7CF1">
              <w:rPr>
                <w:rFonts w:cstheme="minorHAnsi"/>
                <w:sz w:val="18"/>
                <w:szCs w:val="18"/>
              </w:rPr>
              <w:t>132</w:t>
            </w:r>
          </w:p>
        </w:tc>
        <w:tc>
          <w:tcPr>
            <w:tcW w:w="948" w:type="dxa"/>
            <w:noWrap/>
            <w:vAlign w:val="center"/>
          </w:tcPr>
          <w:p w14:paraId="64BC0E02" w14:textId="54FA3BAA" w:rsidR="00B37358" w:rsidRPr="008E7CF1" w:rsidRDefault="00B37358" w:rsidP="00B37358">
            <w:pPr>
              <w:spacing w:before="60" w:after="60"/>
              <w:jc w:val="right"/>
              <w:rPr>
                <w:rFonts w:cstheme="minorHAnsi"/>
                <w:sz w:val="18"/>
                <w:szCs w:val="18"/>
              </w:rPr>
            </w:pPr>
            <w:r w:rsidRPr="008E7CF1">
              <w:rPr>
                <w:rFonts w:cstheme="minorHAnsi"/>
                <w:sz w:val="18"/>
                <w:szCs w:val="18"/>
              </w:rPr>
              <w:t>132</w:t>
            </w:r>
          </w:p>
        </w:tc>
        <w:tc>
          <w:tcPr>
            <w:tcW w:w="1223" w:type="dxa"/>
            <w:noWrap/>
            <w:vAlign w:val="center"/>
          </w:tcPr>
          <w:p w14:paraId="1D7253CC" w14:textId="260CC654" w:rsidR="00B37358" w:rsidRPr="008E7CF1" w:rsidRDefault="00B37358" w:rsidP="00B37358">
            <w:pPr>
              <w:spacing w:before="60" w:after="60"/>
              <w:jc w:val="right"/>
              <w:rPr>
                <w:rFonts w:cstheme="minorHAnsi"/>
                <w:sz w:val="18"/>
                <w:szCs w:val="18"/>
              </w:rPr>
            </w:pPr>
            <w:r w:rsidRPr="008E7CF1">
              <w:rPr>
                <w:rFonts w:cstheme="minorHAnsi"/>
                <w:sz w:val="18"/>
                <w:szCs w:val="18"/>
              </w:rPr>
              <w:t>264</w:t>
            </w:r>
          </w:p>
        </w:tc>
        <w:tc>
          <w:tcPr>
            <w:tcW w:w="1856" w:type="dxa"/>
            <w:noWrap/>
            <w:vAlign w:val="center"/>
          </w:tcPr>
          <w:p w14:paraId="59B061D3" w14:textId="4E434F99" w:rsidR="00B37358" w:rsidRPr="008E7CF1" w:rsidRDefault="00B37358" w:rsidP="00B37358">
            <w:pPr>
              <w:spacing w:before="60" w:after="60"/>
              <w:jc w:val="center"/>
              <w:rPr>
                <w:rFonts w:cstheme="minorHAnsi"/>
                <w:sz w:val="18"/>
                <w:szCs w:val="18"/>
              </w:rPr>
            </w:pPr>
            <w:r w:rsidRPr="008E7CF1">
              <w:rPr>
                <w:rFonts w:cstheme="minorHAnsi"/>
                <w:sz w:val="18"/>
                <w:szCs w:val="18"/>
              </w:rPr>
              <w:t>MSIT Korea</w:t>
            </w:r>
          </w:p>
        </w:tc>
      </w:tr>
      <w:tr w:rsidR="00B37358" w:rsidRPr="008E7CF1" w14:paraId="4C81DBAE" w14:textId="77777777" w:rsidTr="00B37358">
        <w:trPr>
          <w:trHeight w:val="371"/>
          <w:jc w:val="center"/>
        </w:trPr>
        <w:tc>
          <w:tcPr>
            <w:tcW w:w="1122" w:type="dxa"/>
            <w:noWrap/>
            <w:vAlign w:val="center"/>
          </w:tcPr>
          <w:p w14:paraId="3AB3FD56" w14:textId="07516DC3" w:rsidR="00B37358" w:rsidRPr="008E7CF1" w:rsidRDefault="00B37358" w:rsidP="00B37358">
            <w:pPr>
              <w:spacing w:before="60" w:after="60"/>
              <w:jc w:val="center"/>
              <w:rPr>
                <w:rFonts w:cstheme="minorHAnsi"/>
                <w:sz w:val="18"/>
                <w:szCs w:val="18"/>
              </w:rPr>
            </w:pPr>
            <w:r w:rsidRPr="008E7CF1">
              <w:rPr>
                <w:rFonts w:cstheme="minorHAnsi"/>
                <w:sz w:val="18"/>
                <w:szCs w:val="18"/>
              </w:rPr>
              <w:t>7MNE24002</w:t>
            </w:r>
          </w:p>
        </w:tc>
        <w:tc>
          <w:tcPr>
            <w:tcW w:w="2565" w:type="dxa"/>
            <w:noWrap/>
            <w:vAlign w:val="center"/>
          </w:tcPr>
          <w:p w14:paraId="260AB080" w14:textId="41E01971" w:rsidR="00B37358" w:rsidRPr="008E7CF1" w:rsidRDefault="00B37358" w:rsidP="00B37358">
            <w:pPr>
              <w:spacing w:before="60" w:after="60"/>
              <w:jc w:val="center"/>
              <w:rPr>
                <w:rFonts w:cstheme="minorHAnsi"/>
                <w:sz w:val="18"/>
                <w:szCs w:val="18"/>
              </w:rPr>
            </w:pPr>
            <w:r w:rsidRPr="008E7CF1">
              <w:rPr>
                <w:rFonts w:cstheme="minorHAnsi"/>
                <w:sz w:val="18"/>
                <w:szCs w:val="18"/>
              </w:rPr>
              <w:t>Digital transformation of local self-governments in Montenegro</w:t>
            </w:r>
          </w:p>
        </w:tc>
        <w:tc>
          <w:tcPr>
            <w:tcW w:w="780" w:type="dxa"/>
            <w:noWrap/>
            <w:vAlign w:val="center"/>
          </w:tcPr>
          <w:p w14:paraId="0321D354" w14:textId="62478026" w:rsidR="00B37358" w:rsidRPr="008E7CF1" w:rsidRDefault="00B37358" w:rsidP="00B37358">
            <w:pPr>
              <w:spacing w:before="60" w:after="60"/>
              <w:jc w:val="center"/>
              <w:rPr>
                <w:rFonts w:cstheme="minorHAnsi"/>
                <w:sz w:val="18"/>
                <w:szCs w:val="18"/>
              </w:rPr>
            </w:pPr>
            <w:r w:rsidRPr="008E7CF1">
              <w:rPr>
                <w:rFonts w:cstheme="minorHAnsi"/>
                <w:sz w:val="18"/>
                <w:szCs w:val="18"/>
              </w:rPr>
              <w:t>EUR</w:t>
            </w:r>
          </w:p>
        </w:tc>
        <w:tc>
          <w:tcPr>
            <w:tcW w:w="1324" w:type="dxa"/>
            <w:noWrap/>
            <w:vAlign w:val="center"/>
          </w:tcPr>
          <w:p w14:paraId="43B4F32A" w14:textId="6C0C0D71" w:rsidR="00B37358" w:rsidRPr="008E7CF1" w:rsidRDefault="00B37358" w:rsidP="00B37358">
            <w:pPr>
              <w:spacing w:before="60" w:after="60"/>
              <w:jc w:val="center"/>
              <w:rPr>
                <w:rFonts w:cstheme="minorHAnsi"/>
                <w:sz w:val="18"/>
                <w:szCs w:val="18"/>
              </w:rPr>
            </w:pPr>
            <w:r w:rsidRPr="008E7CF1">
              <w:rPr>
                <w:rFonts w:cstheme="minorHAnsi"/>
                <w:sz w:val="18"/>
                <w:szCs w:val="18"/>
              </w:rPr>
              <w:t>EUR2 - Digital transformation</w:t>
            </w:r>
          </w:p>
        </w:tc>
        <w:tc>
          <w:tcPr>
            <w:tcW w:w="1067" w:type="dxa"/>
            <w:noWrap/>
            <w:vAlign w:val="center"/>
          </w:tcPr>
          <w:p w14:paraId="0FE16E33" w14:textId="3F817983" w:rsidR="00B37358" w:rsidRPr="008E7CF1" w:rsidRDefault="00B37358" w:rsidP="00B37358">
            <w:pPr>
              <w:spacing w:before="60" w:after="60"/>
              <w:jc w:val="right"/>
              <w:rPr>
                <w:rFonts w:cstheme="minorHAnsi"/>
                <w:sz w:val="18"/>
                <w:szCs w:val="18"/>
              </w:rPr>
            </w:pPr>
            <w:r w:rsidRPr="008E7CF1">
              <w:rPr>
                <w:rFonts w:cstheme="minorHAnsi"/>
                <w:sz w:val="18"/>
                <w:szCs w:val="18"/>
              </w:rPr>
              <w:t>97</w:t>
            </w:r>
          </w:p>
        </w:tc>
        <w:tc>
          <w:tcPr>
            <w:tcW w:w="948" w:type="dxa"/>
            <w:noWrap/>
            <w:vAlign w:val="center"/>
          </w:tcPr>
          <w:p w14:paraId="564D6022" w14:textId="7F999B1E" w:rsidR="00B37358" w:rsidRPr="008E7CF1" w:rsidRDefault="00B37358" w:rsidP="00B37358">
            <w:pPr>
              <w:spacing w:before="60" w:after="60"/>
              <w:jc w:val="right"/>
              <w:rPr>
                <w:rFonts w:cstheme="minorHAnsi"/>
                <w:sz w:val="18"/>
                <w:szCs w:val="18"/>
              </w:rPr>
            </w:pPr>
            <w:r w:rsidRPr="008E7CF1">
              <w:rPr>
                <w:rFonts w:cstheme="minorHAnsi"/>
                <w:sz w:val="18"/>
                <w:szCs w:val="18"/>
              </w:rPr>
              <w:t>48</w:t>
            </w:r>
          </w:p>
        </w:tc>
        <w:tc>
          <w:tcPr>
            <w:tcW w:w="1223" w:type="dxa"/>
            <w:noWrap/>
            <w:vAlign w:val="center"/>
          </w:tcPr>
          <w:p w14:paraId="716DEEBC" w14:textId="4252EF98" w:rsidR="00B37358" w:rsidRPr="008E7CF1" w:rsidRDefault="00B37358" w:rsidP="00B37358">
            <w:pPr>
              <w:spacing w:before="60" w:after="60"/>
              <w:jc w:val="right"/>
              <w:rPr>
                <w:rFonts w:cstheme="minorHAnsi"/>
                <w:sz w:val="18"/>
                <w:szCs w:val="18"/>
              </w:rPr>
            </w:pPr>
            <w:r w:rsidRPr="008E7CF1">
              <w:rPr>
                <w:rFonts w:cstheme="minorHAnsi"/>
                <w:sz w:val="18"/>
                <w:szCs w:val="18"/>
              </w:rPr>
              <w:t>145</w:t>
            </w:r>
          </w:p>
        </w:tc>
        <w:tc>
          <w:tcPr>
            <w:tcW w:w="1856" w:type="dxa"/>
            <w:noWrap/>
            <w:vAlign w:val="center"/>
          </w:tcPr>
          <w:p w14:paraId="5F975AC3" w14:textId="5C64CEFE" w:rsidR="00B37358" w:rsidRPr="008E7CF1" w:rsidRDefault="00B37358" w:rsidP="00B37358">
            <w:pPr>
              <w:spacing w:before="60" w:after="60"/>
              <w:jc w:val="center"/>
              <w:rPr>
                <w:rFonts w:cstheme="minorHAnsi"/>
                <w:sz w:val="18"/>
                <w:szCs w:val="18"/>
              </w:rPr>
            </w:pPr>
            <w:r w:rsidRPr="008E7CF1">
              <w:rPr>
                <w:rFonts w:cstheme="minorHAnsi"/>
                <w:sz w:val="18"/>
                <w:szCs w:val="18"/>
              </w:rPr>
              <w:t>Government Montenegro and SDG Acceleration Funds</w:t>
            </w:r>
          </w:p>
        </w:tc>
      </w:tr>
      <w:tr w:rsidR="00B37358" w:rsidRPr="008E7CF1" w14:paraId="7C07954D" w14:textId="77777777" w:rsidTr="00B37358">
        <w:trPr>
          <w:trHeight w:val="371"/>
          <w:jc w:val="center"/>
        </w:trPr>
        <w:tc>
          <w:tcPr>
            <w:tcW w:w="1122" w:type="dxa"/>
            <w:noWrap/>
            <w:vAlign w:val="center"/>
          </w:tcPr>
          <w:p w14:paraId="24EE91B2" w14:textId="0FF0ED14" w:rsidR="00B37358" w:rsidRPr="008E7CF1" w:rsidRDefault="00B37358" w:rsidP="00B37358">
            <w:pPr>
              <w:spacing w:before="60" w:after="60"/>
              <w:jc w:val="center"/>
              <w:rPr>
                <w:rFonts w:cstheme="minorHAnsi"/>
                <w:sz w:val="18"/>
                <w:szCs w:val="18"/>
              </w:rPr>
            </w:pPr>
            <w:r w:rsidRPr="008E7CF1">
              <w:rPr>
                <w:rFonts w:cstheme="minorHAnsi"/>
                <w:sz w:val="18"/>
                <w:szCs w:val="18"/>
              </w:rPr>
              <w:t>7RAF24106</w:t>
            </w:r>
          </w:p>
        </w:tc>
        <w:tc>
          <w:tcPr>
            <w:tcW w:w="2565" w:type="dxa"/>
            <w:noWrap/>
            <w:vAlign w:val="center"/>
          </w:tcPr>
          <w:p w14:paraId="6F58275D" w14:textId="237C791F" w:rsidR="00B37358" w:rsidRPr="008E7CF1" w:rsidRDefault="00B37358" w:rsidP="00B37358">
            <w:pPr>
              <w:spacing w:before="60" w:after="60"/>
              <w:jc w:val="center"/>
              <w:rPr>
                <w:rFonts w:cstheme="minorHAnsi"/>
                <w:sz w:val="18"/>
                <w:szCs w:val="18"/>
              </w:rPr>
            </w:pPr>
            <w:r w:rsidRPr="008E7CF1">
              <w:rPr>
                <w:rFonts w:cstheme="minorHAnsi"/>
                <w:sz w:val="18"/>
                <w:szCs w:val="18"/>
              </w:rPr>
              <w:t xml:space="preserve">Cyber resilience for Digital Development in the Least Developed Countries </w:t>
            </w:r>
          </w:p>
        </w:tc>
        <w:tc>
          <w:tcPr>
            <w:tcW w:w="780" w:type="dxa"/>
            <w:noWrap/>
            <w:vAlign w:val="center"/>
          </w:tcPr>
          <w:p w14:paraId="23EB027D" w14:textId="54F9AADA" w:rsidR="00B37358" w:rsidRPr="008E7CF1" w:rsidRDefault="00B37358" w:rsidP="00B37358">
            <w:pPr>
              <w:spacing w:before="60" w:after="60"/>
              <w:jc w:val="center"/>
              <w:rPr>
                <w:rFonts w:cstheme="minorHAnsi"/>
                <w:sz w:val="18"/>
                <w:szCs w:val="18"/>
              </w:rPr>
            </w:pPr>
            <w:r w:rsidRPr="008E7CF1">
              <w:rPr>
                <w:rFonts w:cstheme="minorHAnsi"/>
                <w:sz w:val="18"/>
                <w:szCs w:val="18"/>
              </w:rPr>
              <w:t>MULTI</w:t>
            </w:r>
          </w:p>
        </w:tc>
        <w:tc>
          <w:tcPr>
            <w:tcW w:w="1324" w:type="dxa"/>
            <w:noWrap/>
            <w:vAlign w:val="center"/>
          </w:tcPr>
          <w:p w14:paraId="09CB37E0" w14:textId="7FA42A9C" w:rsidR="00B37358" w:rsidRPr="008E7CF1" w:rsidRDefault="00B37358" w:rsidP="00B37358">
            <w:pPr>
              <w:spacing w:before="60" w:after="60"/>
              <w:jc w:val="center"/>
              <w:rPr>
                <w:rFonts w:cstheme="minorHAnsi"/>
                <w:sz w:val="18"/>
                <w:szCs w:val="18"/>
              </w:rPr>
            </w:pPr>
            <w:r w:rsidRPr="008E7CF1">
              <w:rPr>
                <w:rFonts w:cstheme="minorHAnsi"/>
                <w:sz w:val="18"/>
                <w:szCs w:val="18"/>
              </w:rPr>
              <w:t>Multiple</w:t>
            </w:r>
          </w:p>
        </w:tc>
        <w:tc>
          <w:tcPr>
            <w:tcW w:w="1067" w:type="dxa"/>
            <w:noWrap/>
            <w:vAlign w:val="center"/>
          </w:tcPr>
          <w:p w14:paraId="542B4445" w14:textId="5DFEA610" w:rsidR="00B37358" w:rsidRPr="008E7CF1" w:rsidRDefault="00B37358" w:rsidP="00B37358">
            <w:pPr>
              <w:spacing w:before="60" w:after="60"/>
              <w:jc w:val="right"/>
              <w:rPr>
                <w:rFonts w:cstheme="minorHAnsi"/>
                <w:sz w:val="18"/>
                <w:szCs w:val="18"/>
              </w:rPr>
            </w:pPr>
            <w:r w:rsidRPr="008E7CF1">
              <w:rPr>
                <w:rFonts w:cstheme="minorHAnsi"/>
                <w:sz w:val="18"/>
                <w:szCs w:val="18"/>
              </w:rPr>
              <w:t>97</w:t>
            </w:r>
          </w:p>
        </w:tc>
        <w:tc>
          <w:tcPr>
            <w:tcW w:w="948" w:type="dxa"/>
            <w:noWrap/>
            <w:vAlign w:val="center"/>
          </w:tcPr>
          <w:p w14:paraId="1AE6F83D" w14:textId="5AE14455" w:rsidR="00B37358" w:rsidRPr="008E7CF1" w:rsidRDefault="00B37358" w:rsidP="00B37358">
            <w:pPr>
              <w:spacing w:before="60" w:after="60"/>
              <w:jc w:val="right"/>
              <w:rPr>
                <w:rFonts w:cstheme="minorHAnsi"/>
                <w:sz w:val="18"/>
                <w:szCs w:val="18"/>
              </w:rPr>
            </w:pPr>
            <w:r w:rsidRPr="008E7CF1">
              <w:rPr>
                <w:rFonts w:cstheme="minorHAnsi"/>
                <w:sz w:val="18"/>
                <w:szCs w:val="18"/>
              </w:rPr>
              <w:t>50</w:t>
            </w:r>
          </w:p>
        </w:tc>
        <w:tc>
          <w:tcPr>
            <w:tcW w:w="1223" w:type="dxa"/>
            <w:noWrap/>
            <w:vAlign w:val="center"/>
          </w:tcPr>
          <w:p w14:paraId="29CE0897" w14:textId="28372A95" w:rsidR="00B37358" w:rsidRPr="008E7CF1" w:rsidRDefault="00B37358" w:rsidP="00B37358">
            <w:pPr>
              <w:spacing w:before="60" w:after="60"/>
              <w:jc w:val="right"/>
              <w:rPr>
                <w:rFonts w:cstheme="minorHAnsi"/>
                <w:sz w:val="18"/>
                <w:szCs w:val="18"/>
              </w:rPr>
            </w:pPr>
            <w:r w:rsidRPr="008E7CF1">
              <w:rPr>
                <w:rFonts w:cstheme="minorHAnsi"/>
                <w:sz w:val="18"/>
                <w:szCs w:val="18"/>
              </w:rPr>
              <w:t>147</w:t>
            </w:r>
          </w:p>
        </w:tc>
        <w:tc>
          <w:tcPr>
            <w:tcW w:w="1856" w:type="dxa"/>
            <w:noWrap/>
            <w:vAlign w:val="center"/>
          </w:tcPr>
          <w:p w14:paraId="1DA5C873" w14:textId="70E48811" w:rsidR="00B37358" w:rsidRPr="008E7CF1" w:rsidRDefault="00B37358" w:rsidP="00B37358">
            <w:pPr>
              <w:spacing w:before="60" w:after="60"/>
              <w:jc w:val="center"/>
              <w:rPr>
                <w:rFonts w:cstheme="minorHAnsi"/>
                <w:sz w:val="18"/>
                <w:szCs w:val="18"/>
              </w:rPr>
            </w:pPr>
            <w:r w:rsidRPr="008E7CF1">
              <w:rPr>
                <w:rFonts w:cstheme="minorHAnsi"/>
                <w:sz w:val="18"/>
                <w:szCs w:val="18"/>
              </w:rPr>
              <w:t>Czech Republic</w:t>
            </w:r>
          </w:p>
        </w:tc>
      </w:tr>
      <w:tr w:rsidR="00B37358" w:rsidRPr="008E7CF1" w14:paraId="4AB59076" w14:textId="77777777" w:rsidTr="00B37358">
        <w:trPr>
          <w:trHeight w:val="371"/>
          <w:jc w:val="center"/>
        </w:trPr>
        <w:tc>
          <w:tcPr>
            <w:tcW w:w="1122" w:type="dxa"/>
            <w:noWrap/>
            <w:vAlign w:val="center"/>
          </w:tcPr>
          <w:p w14:paraId="0F57E090" w14:textId="0A44ECE4" w:rsidR="00B37358" w:rsidRPr="008E7CF1" w:rsidRDefault="00B37358" w:rsidP="00B37358">
            <w:pPr>
              <w:spacing w:before="60" w:after="60"/>
              <w:jc w:val="center"/>
              <w:rPr>
                <w:rFonts w:cstheme="minorHAnsi"/>
                <w:sz w:val="18"/>
                <w:szCs w:val="18"/>
              </w:rPr>
            </w:pPr>
            <w:r w:rsidRPr="008E7CF1">
              <w:rPr>
                <w:rFonts w:cstheme="minorHAnsi"/>
                <w:sz w:val="18"/>
                <w:szCs w:val="18"/>
              </w:rPr>
              <w:t>7RAS24076</w:t>
            </w:r>
          </w:p>
        </w:tc>
        <w:tc>
          <w:tcPr>
            <w:tcW w:w="2565" w:type="dxa"/>
            <w:noWrap/>
            <w:vAlign w:val="center"/>
          </w:tcPr>
          <w:p w14:paraId="394EAD09" w14:textId="7E1FCE4C" w:rsidR="00B37358" w:rsidRPr="008E7CF1" w:rsidRDefault="00B37358" w:rsidP="00B37358">
            <w:pPr>
              <w:spacing w:before="60" w:after="60"/>
              <w:jc w:val="center"/>
              <w:rPr>
                <w:rFonts w:cstheme="minorHAnsi"/>
                <w:sz w:val="18"/>
                <w:szCs w:val="18"/>
              </w:rPr>
            </w:pPr>
            <w:r w:rsidRPr="008E7CF1">
              <w:rPr>
                <w:rFonts w:cstheme="minorHAnsi"/>
                <w:sz w:val="18"/>
                <w:szCs w:val="18"/>
              </w:rPr>
              <w:t>Feasibility study: Addressing the special telecommunications/ICT needs of the Pacific Small Island Developing States (PSIDS)</w:t>
            </w:r>
          </w:p>
        </w:tc>
        <w:tc>
          <w:tcPr>
            <w:tcW w:w="780" w:type="dxa"/>
            <w:noWrap/>
            <w:vAlign w:val="center"/>
          </w:tcPr>
          <w:p w14:paraId="1A50F901" w14:textId="74448CD6" w:rsidR="00B37358" w:rsidRPr="008E7CF1" w:rsidRDefault="00B37358" w:rsidP="00B37358">
            <w:pPr>
              <w:spacing w:before="60" w:after="60"/>
              <w:jc w:val="center"/>
              <w:rPr>
                <w:rFonts w:cstheme="minorHAnsi"/>
                <w:sz w:val="18"/>
                <w:szCs w:val="18"/>
              </w:rPr>
            </w:pPr>
            <w:r w:rsidRPr="008E7CF1">
              <w:rPr>
                <w:rFonts w:cstheme="minorHAnsi"/>
                <w:sz w:val="18"/>
                <w:szCs w:val="18"/>
              </w:rPr>
              <w:t>ASP</w:t>
            </w:r>
          </w:p>
        </w:tc>
        <w:tc>
          <w:tcPr>
            <w:tcW w:w="1324" w:type="dxa"/>
            <w:noWrap/>
            <w:vAlign w:val="center"/>
          </w:tcPr>
          <w:p w14:paraId="2F6D60D3" w14:textId="04DBDF1D" w:rsidR="00B37358" w:rsidRPr="008E7CF1" w:rsidRDefault="00B37358" w:rsidP="00B37358">
            <w:pPr>
              <w:spacing w:before="60" w:after="60"/>
              <w:jc w:val="center"/>
              <w:rPr>
                <w:rFonts w:cstheme="minorHAnsi"/>
                <w:sz w:val="18"/>
                <w:szCs w:val="18"/>
              </w:rPr>
            </w:pPr>
            <w:r w:rsidRPr="008E7CF1">
              <w:rPr>
                <w:rFonts w:cstheme="minorHAnsi"/>
                <w:sz w:val="18"/>
                <w:szCs w:val="18"/>
              </w:rPr>
              <w:t>ASP1 - Special needs LDCs, SIDS, LLDCs</w:t>
            </w:r>
          </w:p>
        </w:tc>
        <w:tc>
          <w:tcPr>
            <w:tcW w:w="1067" w:type="dxa"/>
            <w:noWrap/>
            <w:vAlign w:val="center"/>
          </w:tcPr>
          <w:p w14:paraId="122840BE" w14:textId="51BD1CFE" w:rsidR="00B37358" w:rsidRPr="008E7CF1" w:rsidRDefault="00B37358" w:rsidP="00B37358">
            <w:pPr>
              <w:spacing w:before="60" w:after="60"/>
              <w:jc w:val="right"/>
              <w:rPr>
                <w:rFonts w:cstheme="minorHAnsi"/>
                <w:sz w:val="18"/>
                <w:szCs w:val="18"/>
              </w:rPr>
            </w:pPr>
            <w:r w:rsidRPr="008E7CF1">
              <w:rPr>
                <w:rFonts w:cstheme="minorHAnsi"/>
                <w:sz w:val="18"/>
                <w:szCs w:val="18"/>
              </w:rPr>
              <w:t>502</w:t>
            </w:r>
          </w:p>
        </w:tc>
        <w:tc>
          <w:tcPr>
            <w:tcW w:w="948" w:type="dxa"/>
            <w:noWrap/>
            <w:vAlign w:val="center"/>
          </w:tcPr>
          <w:p w14:paraId="2D487471" w14:textId="3953B524" w:rsidR="00B37358" w:rsidRPr="008E7CF1" w:rsidRDefault="00B37358" w:rsidP="00B37358">
            <w:pPr>
              <w:spacing w:before="60" w:after="60"/>
              <w:jc w:val="right"/>
              <w:rPr>
                <w:rFonts w:cstheme="minorHAnsi"/>
                <w:sz w:val="18"/>
                <w:szCs w:val="18"/>
              </w:rPr>
            </w:pPr>
            <w:r w:rsidRPr="008E7CF1">
              <w:rPr>
                <w:rFonts w:cstheme="minorHAnsi"/>
                <w:sz w:val="18"/>
                <w:szCs w:val="18"/>
              </w:rPr>
              <w:t>166</w:t>
            </w:r>
          </w:p>
        </w:tc>
        <w:tc>
          <w:tcPr>
            <w:tcW w:w="1223" w:type="dxa"/>
            <w:noWrap/>
            <w:vAlign w:val="center"/>
          </w:tcPr>
          <w:p w14:paraId="4FA7EE76" w14:textId="7ED1FDE3" w:rsidR="00B37358" w:rsidRPr="008E7CF1" w:rsidRDefault="00B37358" w:rsidP="00B37358">
            <w:pPr>
              <w:spacing w:before="60" w:after="60"/>
              <w:jc w:val="right"/>
              <w:rPr>
                <w:rFonts w:cstheme="minorHAnsi"/>
                <w:sz w:val="18"/>
                <w:szCs w:val="18"/>
              </w:rPr>
            </w:pPr>
            <w:r w:rsidRPr="008E7CF1">
              <w:rPr>
                <w:rFonts w:cstheme="minorHAnsi"/>
                <w:sz w:val="18"/>
                <w:szCs w:val="18"/>
              </w:rPr>
              <w:t>668</w:t>
            </w:r>
          </w:p>
        </w:tc>
        <w:tc>
          <w:tcPr>
            <w:tcW w:w="1856" w:type="dxa"/>
            <w:noWrap/>
            <w:vAlign w:val="center"/>
          </w:tcPr>
          <w:p w14:paraId="18748F99" w14:textId="62446F6C" w:rsidR="00B37358" w:rsidRPr="008E7CF1" w:rsidRDefault="00094894" w:rsidP="00B37358">
            <w:pPr>
              <w:spacing w:before="60" w:after="60"/>
              <w:jc w:val="center"/>
              <w:rPr>
                <w:rFonts w:cstheme="minorHAnsi"/>
                <w:sz w:val="18"/>
                <w:szCs w:val="18"/>
              </w:rPr>
            </w:pPr>
            <w:r>
              <w:rPr>
                <w:rFonts w:cstheme="minorHAnsi"/>
                <w:sz w:val="18"/>
                <w:szCs w:val="18"/>
              </w:rPr>
              <w:t>DITRDCA</w:t>
            </w:r>
            <w:r w:rsidR="00B37358" w:rsidRPr="008E7CF1">
              <w:rPr>
                <w:rFonts w:cstheme="minorHAnsi"/>
                <w:sz w:val="18"/>
                <w:szCs w:val="18"/>
              </w:rPr>
              <w:t xml:space="preserve"> Australia</w:t>
            </w:r>
          </w:p>
        </w:tc>
      </w:tr>
      <w:tr w:rsidR="00B37358" w:rsidRPr="008E7CF1" w14:paraId="52D3BE1E" w14:textId="77777777" w:rsidTr="00B37358">
        <w:trPr>
          <w:trHeight w:val="371"/>
          <w:jc w:val="center"/>
        </w:trPr>
        <w:tc>
          <w:tcPr>
            <w:tcW w:w="1122" w:type="dxa"/>
            <w:noWrap/>
            <w:vAlign w:val="center"/>
          </w:tcPr>
          <w:p w14:paraId="7701A54D" w14:textId="222685A3" w:rsidR="00B37358" w:rsidRPr="008E7CF1" w:rsidRDefault="00B37358" w:rsidP="00B37358">
            <w:pPr>
              <w:spacing w:before="60" w:after="60"/>
              <w:jc w:val="center"/>
              <w:rPr>
                <w:rFonts w:cstheme="minorHAnsi"/>
                <w:sz w:val="18"/>
                <w:szCs w:val="18"/>
              </w:rPr>
            </w:pPr>
            <w:r w:rsidRPr="008E7CF1">
              <w:rPr>
                <w:rFonts w:cstheme="minorHAnsi"/>
                <w:sz w:val="18"/>
                <w:szCs w:val="18"/>
              </w:rPr>
              <w:t>9GLO23134</w:t>
            </w:r>
          </w:p>
        </w:tc>
        <w:tc>
          <w:tcPr>
            <w:tcW w:w="2565" w:type="dxa"/>
            <w:noWrap/>
            <w:vAlign w:val="center"/>
          </w:tcPr>
          <w:p w14:paraId="152F7FF9" w14:textId="29AFCF3C" w:rsidR="00B37358" w:rsidRPr="008E7CF1" w:rsidRDefault="00B37358" w:rsidP="00B37358">
            <w:pPr>
              <w:spacing w:before="60" w:after="60"/>
              <w:jc w:val="center"/>
              <w:rPr>
                <w:rFonts w:cstheme="minorHAnsi"/>
                <w:sz w:val="18"/>
                <w:szCs w:val="18"/>
              </w:rPr>
            </w:pPr>
            <w:r w:rsidRPr="008E7CF1">
              <w:rPr>
                <w:rFonts w:cstheme="minorHAnsi"/>
                <w:sz w:val="18"/>
                <w:szCs w:val="18"/>
              </w:rPr>
              <w:t>Assistance to encourage the use of innovative technologies for building a digital shared prosperity society</w:t>
            </w:r>
          </w:p>
        </w:tc>
        <w:tc>
          <w:tcPr>
            <w:tcW w:w="780" w:type="dxa"/>
            <w:noWrap/>
            <w:vAlign w:val="center"/>
          </w:tcPr>
          <w:p w14:paraId="5A4D425B" w14:textId="7A59D0DA" w:rsidR="00B37358" w:rsidRPr="008E7CF1" w:rsidRDefault="00B37358" w:rsidP="00B37358">
            <w:pPr>
              <w:spacing w:before="60" w:after="60"/>
              <w:jc w:val="center"/>
              <w:rPr>
                <w:rFonts w:cstheme="minorHAnsi"/>
                <w:sz w:val="18"/>
                <w:szCs w:val="18"/>
              </w:rPr>
            </w:pPr>
            <w:r w:rsidRPr="008E7CF1">
              <w:rPr>
                <w:rFonts w:cstheme="minorHAnsi"/>
                <w:sz w:val="18"/>
                <w:szCs w:val="18"/>
              </w:rPr>
              <w:t>MULTI</w:t>
            </w:r>
          </w:p>
        </w:tc>
        <w:tc>
          <w:tcPr>
            <w:tcW w:w="1324" w:type="dxa"/>
            <w:noWrap/>
            <w:vAlign w:val="center"/>
          </w:tcPr>
          <w:p w14:paraId="60F78129" w14:textId="1BEB9B63" w:rsidR="00B37358" w:rsidRPr="008E7CF1" w:rsidRDefault="00B37358" w:rsidP="00B37358">
            <w:pPr>
              <w:spacing w:before="60" w:after="60"/>
              <w:jc w:val="center"/>
              <w:rPr>
                <w:rFonts w:cstheme="minorHAnsi"/>
                <w:sz w:val="18"/>
                <w:szCs w:val="18"/>
              </w:rPr>
            </w:pPr>
            <w:r w:rsidRPr="008E7CF1">
              <w:rPr>
                <w:rFonts w:cstheme="minorHAnsi"/>
                <w:sz w:val="18"/>
                <w:szCs w:val="18"/>
              </w:rPr>
              <w:t>Multiple</w:t>
            </w:r>
          </w:p>
        </w:tc>
        <w:tc>
          <w:tcPr>
            <w:tcW w:w="1067" w:type="dxa"/>
            <w:noWrap/>
            <w:vAlign w:val="center"/>
          </w:tcPr>
          <w:p w14:paraId="1222F583" w14:textId="52679748" w:rsidR="00B37358" w:rsidRPr="008E7CF1" w:rsidRDefault="00B37358" w:rsidP="00B37358">
            <w:pPr>
              <w:spacing w:before="60" w:after="60"/>
              <w:jc w:val="right"/>
              <w:rPr>
                <w:rFonts w:cstheme="minorHAnsi"/>
                <w:sz w:val="18"/>
                <w:szCs w:val="18"/>
              </w:rPr>
            </w:pPr>
            <w:r w:rsidRPr="008E7CF1">
              <w:rPr>
                <w:rFonts w:cstheme="minorHAnsi"/>
                <w:sz w:val="18"/>
                <w:szCs w:val="18"/>
              </w:rPr>
              <w:t>199</w:t>
            </w:r>
          </w:p>
        </w:tc>
        <w:tc>
          <w:tcPr>
            <w:tcW w:w="948" w:type="dxa"/>
            <w:noWrap/>
            <w:vAlign w:val="center"/>
          </w:tcPr>
          <w:p w14:paraId="6231607B" w14:textId="4E91CE5D" w:rsidR="00B37358" w:rsidRPr="008E7CF1" w:rsidRDefault="00B37358" w:rsidP="00B37358">
            <w:pPr>
              <w:spacing w:before="60" w:after="60"/>
              <w:jc w:val="right"/>
              <w:rPr>
                <w:rFonts w:cstheme="minorHAnsi"/>
                <w:sz w:val="18"/>
                <w:szCs w:val="18"/>
              </w:rPr>
            </w:pPr>
            <w:r w:rsidRPr="008E7CF1">
              <w:rPr>
                <w:rFonts w:cstheme="minorHAnsi"/>
                <w:sz w:val="18"/>
                <w:szCs w:val="18"/>
              </w:rPr>
              <w:t>74</w:t>
            </w:r>
          </w:p>
        </w:tc>
        <w:tc>
          <w:tcPr>
            <w:tcW w:w="1223" w:type="dxa"/>
            <w:noWrap/>
            <w:vAlign w:val="center"/>
          </w:tcPr>
          <w:p w14:paraId="1B4F29E0" w14:textId="77E73088" w:rsidR="00B37358" w:rsidRPr="008E7CF1" w:rsidRDefault="00B37358" w:rsidP="00B37358">
            <w:pPr>
              <w:spacing w:before="60" w:after="60"/>
              <w:jc w:val="right"/>
              <w:rPr>
                <w:rFonts w:cstheme="minorHAnsi"/>
                <w:sz w:val="18"/>
                <w:szCs w:val="18"/>
              </w:rPr>
            </w:pPr>
            <w:r w:rsidRPr="008E7CF1">
              <w:rPr>
                <w:rFonts w:cstheme="minorHAnsi"/>
                <w:sz w:val="18"/>
                <w:szCs w:val="18"/>
              </w:rPr>
              <w:t>273</w:t>
            </w:r>
          </w:p>
        </w:tc>
        <w:tc>
          <w:tcPr>
            <w:tcW w:w="1856" w:type="dxa"/>
            <w:noWrap/>
            <w:vAlign w:val="center"/>
          </w:tcPr>
          <w:p w14:paraId="47062C06" w14:textId="1BB437CF" w:rsidR="00B37358" w:rsidRPr="008E7CF1" w:rsidRDefault="00B37358" w:rsidP="00B37358">
            <w:pPr>
              <w:spacing w:before="60" w:after="60"/>
              <w:jc w:val="center"/>
              <w:rPr>
                <w:rFonts w:cstheme="minorHAnsi"/>
                <w:sz w:val="18"/>
                <w:szCs w:val="18"/>
              </w:rPr>
            </w:pPr>
            <w:r w:rsidRPr="008E7CF1">
              <w:rPr>
                <w:rFonts w:cstheme="minorHAnsi"/>
                <w:sz w:val="18"/>
                <w:szCs w:val="18"/>
              </w:rPr>
              <w:t>MSIT Korea</w:t>
            </w:r>
          </w:p>
        </w:tc>
      </w:tr>
      <w:tr w:rsidR="00B37358" w:rsidRPr="008E7CF1" w14:paraId="2A46E242" w14:textId="77777777" w:rsidTr="00B37358">
        <w:trPr>
          <w:trHeight w:val="371"/>
          <w:jc w:val="center"/>
        </w:trPr>
        <w:tc>
          <w:tcPr>
            <w:tcW w:w="1122" w:type="dxa"/>
            <w:shd w:val="clear" w:color="auto" w:fill="BFBFBF" w:themeFill="background1" w:themeFillShade="BF"/>
            <w:noWrap/>
            <w:vAlign w:val="center"/>
          </w:tcPr>
          <w:p w14:paraId="328C01A8" w14:textId="77777777" w:rsidR="00B37358" w:rsidRPr="008E7CF1" w:rsidRDefault="00B37358" w:rsidP="00B37358">
            <w:pPr>
              <w:spacing w:before="60" w:after="60"/>
              <w:jc w:val="center"/>
              <w:rPr>
                <w:rFonts w:cstheme="minorHAnsi"/>
                <w:b/>
                <w:bCs/>
                <w:sz w:val="18"/>
                <w:szCs w:val="18"/>
              </w:rPr>
            </w:pPr>
          </w:p>
        </w:tc>
        <w:tc>
          <w:tcPr>
            <w:tcW w:w="2565" w:type="dxa"/>
            <w:shd w:val="clear" w:color="auto" w:fill="BFBFBF" w:themeFill="background1" w:themeFillShade="BF"/>
            <w:noWrap/>
            <w:vAlign w:val="center"/>
          </w:tcPr>
          <w:p w14:paraId="40285EA0" w14:textId="77BE0504" w:rsidR="00B37358" w:rsidRPr="008E7CF1" w:rsidRDefault="00B37358" w:rsidP="00B37358">
            <w:pPr>
              <w:spacing w:before="60" w:after="60"/>
              <w:jc w:val="center"/>
              <w:rPr>
                <w:rFonts w:cstheme="minorHAnsi"/>
                <w:b/>
                <w:bCs/>
                <w:sz w:val="18"/>
                <w:szCs w:val="18"/>
              </w:rPr>
            </w:pPr>
            <w:r w:rsidRPr="008E7CF1">
              <w:rPr>
                <w:rFonts w:cstheme="minorHAnsi"/>
                <w:b/>
                <w:bCs/>
                <w:sz w:val="18"/>
                <w:szCs w:val="18"/>
              </w:rPr>
              <w:t>Total</w:t>
            </w:r>
          </w:p>
        </w:tc>
        <w:tc>
          <w:tcPr>
            <w:tcW w:w="780" w:type="dxa"/>
            <w:shd w:val="clear" w:color="auto" w:fill="BFBFBF" w:themeFill="background1" w:themeFillShade="BF"/>
            <w:noWrap/>
            <w:vAlign w:val="center"/>
          </w:tcPr>
          <w:p w14:paraId="67C2FCBC" w14:textId="77777777" w:rsidR="00B37358" w:rsidRPr="008E7CF1" w:rsidRDefault="00B37358" w:rsidP="00B37358">
            <w:pPr>
              <w:spacing w:before="60" w:after="60"/>
              <w:jc w:val="center"/>
              <w:rPr>
                <w:rFonts w:cstheme="minorHAnsi"/>
                <w:b/>
                <w:bCs/>
                <w:sz w:val="18"/>
                <w:szCs w:val="18"/>
              </w:rPr>
            </w:pPr>
          </w:p>
        </w:tc>
        <w:tc>
          <w:tcPr>
            <w:tcW w:w="1324" w:type="dxa"/>
            <w:shd w:val="clear" w:color="auto" w:fill="BFBFBF" w:themeFill="background1" w:themeFillShade="BF"/>
            <w:noWrap/>
            <w:vAlign w:val="center"/>
          </w:tcPr>
          <w:p w14:paraId="3E66A59E" w14:textId="77777777" w:rsidR="00B37358" w:rsidRPr="008E7CF1" w:rsidRDefault="00B37358" w:rsidP="00B37358">
            <w:pPr>
              <w:spacing w:before="60" w:after="60"/>
              <w:jc w:val="center"/>
              <w:rPr>
                <w:rFonts w:cstheme="minorHAnsi"/>
                <w:b/>
                <w:bCs/>
                <w:sz w:val="18"/>
                <w:szCs w:val="18"/>
              </w:rPr>
            </w:pPr>
          </w:p>
        </w:tc>
        <w:tc>
          <w:tcPr>
            <w:tcW w:w="1067" w:type="dxa"/>
            <w:shd w:val="clear" w:color="auto" w:fill="BFBFBF" w:themeFill="background1" w:themeFillShade="BF"/>
            <w:noWrap/>
            <w:vAlign w:val="center"/>
          </w:tcPr>
          <w:p w14:paraId="02EC78C4" w14:textId="0CC4A940" w:rsidR="00B37358" w:rsidRPr="008E7CF1" w:rsidRDefault="00B37358" w:rsidP="00B37358">
            <w:pPr>
              <w:spacing w:before="60" w:after="60"/>
              <w:jc w:val="right"/>
              <w:rPr>
                <w:rFonts w:cstheme="minorHAnsi"/>
                <w:b/>
                <w:bCs/>
                <w:sz w:val="18"/>
                <w:szCs w:val="18"/>
              </w:rPr>
            </w:pPr>
            <w:r w:rsidRPr="008E7CF1">
              <w:rPr>
                <w:rFonts w:cstheme="minorHAnsi"/>
                <w:b/>
                <w:bCs/>
                <w:sz w:val="18"/>
                <w:szCs w:val="18"/>
              </w:rPr>
              <w:t>20,251</w:t>
            </w:r>
          </w:p>
        </w:tc>
        <w:tc>
          <w:tcPr>
            <w:tcW w:w="948" w:type="dxa"/>
            <w:shd w:val="clear" w:color="auto" w:fill="BFBFBF" w:themeFill="background1" w:themeFillShade="BF"/>
            <w:noWrap/>
            <w:vAlign w:val="center"/>
          </w:tcPr>
          <w:p w14:paraId="44E1ACED" w14:textId="1159AE00" w:rsidR="00B37358" w:rsidRPr="008E7CF1" w:rsidRDefault="00B37358" w:rsidP="00B37358">
            <w:pPr>
              <w:spacing w:before="60" w:after="60"/>
              <w:jc w:val="right"/>
              <w:rPr>
                <w:rFonts w:cstheme="minorHAnsi"/>
                <w:b/>
                <w:bCs/>
                <w:sz w:val="18"/>
                <w:szCs w:val="18"/>
              </w:rPr>
            </w:pPr>
            <w:r w:rsidRPr="008E7CF1">
              <w:rPr>
                <w:rFonts w:cstheme="minorHAnsi"/>
                <w:b/>
                <w:bCs/>
                <w:sz w:val="18"/>
                <w:szCs w:val="18"/>
              </w:rPr>
              <w:t>3,206</w:t>
            </w:r>
          </w:p>
        </w:tc>
        <w:tc>
          <w:tcPr>
            <w:tcW w:w="1223" w:type="dxa"/>
            <w:shd w:val="clear" w:color="auto" w:fill="BFBFBF" w:themeFill="background1" w:themeFillShade="BF"/>
            <w:noWrap/>
            <w:vAlign w:val="center"/>
          </w:tcPr>
          <w:p w14:paraId="20B3E302" w14:textId="7B249CD9" w:rsidR="00B37358" w:rsidRPr="008E7CF1" w:rsidRDefault="00B37358" w:rsidP="00B37358">
            <w:pPr>
              <w:spacing w:before="60" w:after="60"/>
              <w:jc w:val="right"/>
              <w:rPr>
                <w:rFonts w:cstheme="minorHAnsi"/>
                <w:b/>
                <w:bCs/>
                <w:sz w:val="18"/>
                <w:szCs w:val="18"/>
              </w:rPr>
            </w:pPr>
            <w:r w:rsidRPr="008E7CF1">
              <w:rPr>
                <w:rFonts w:cstheme="minorHAnsi"/>
                <w:b/>
                <w:bCs/>
                <w:sz w:val="18"/>
                <w:szCs w:val="18"/>
              </w:rPr>
              <w:t>23,457</w:t>
            </w:r>
          </w:p>
        </w:tc>
        <w:tc>
          <w:tcPr>
            <w:tcW w:w="1856" w:type="dxa"/>
            <w:shd w:val="clear" w:color="auto" w:fill="BFBFBF" w:themeFill="background1" w:themeFillShade="BF"/>
            <w:noWrap/>
            <w:vAlign w:val="center"/>
          </w:tcPr>
          <w:p w14:paraId="37BB5F61" w14:textId="77777777" w:rsidR="00B37358" w:rsidRPr="008E7CF1" w:rsidRDefault="00B37358" w:rsidP="00B37358">
            <w:pPr>
              <w:spacing w:before="60" w:after="60"/>
              <w:jc w:val="center"/>
              <w:rPr>
                <w:rFonts w:cstheme="minorHAnsi"/>
                <w:b/>
                <w:bCs/>
                <w:sz w:val="18"/>
                <w:szCs w:val="18"/>
              </w:rPr>
            </w:pPr>
          </w:p>
        </w:tc>
      </w:tr>
    </w:tbl>
    <w:p w14:paraId="239EEC69" w14:textId="77777777" w:rsidR="00840919" w:rsidRPr="008E7CF1" w:rsidRDefault="00483169" w:rsidP="00483169">
      <w:pPr>
        <w:spacing w:before="60" w:after="60"/>
        <w:rPr>
          <w:rFonts w:cstheme="minorHAnsi"/>
          <w:sz w:val="16"/>
          <w:szCs w:val="16"/>
        </w:rPr>
      </w:pPr>
      <w:r w:rsidRPr="008E7CF1">
        <w:rPr>
          <w:rFonts w:cstheme="minorHAnsi"/>
          <w:sz w:val="16"/>
          <w:szCs w:val="16"/>
        </w:rPr>
        <w:t>Note: All funds converted to CHF</w:t>
      </w:r>
      <w:r w:rsidR="001D4072" w:rsidRPr="008E7CF1">
        <w:rPr>
          <w:rFonts w:cstheme="minorHAnsi"/>
          <w:sz w:val="16"/>
          <w:szCs w:val="16"/>
        </w:rPr>
        <w:tab/>
      </w:r>
    </w:p>
    <w:p w14:paraId="073970BB" w14:textId="078EA5E0" w:rsidR="00483169" w:rsidRPr="008E7CF1" w:rsidRDefault="001D4072" w:rsidP="00483169">
      <w:pPr>
        <w:spacing w:before="60" w:after="60"/>
        <w:rPr>
          <w:rFonts w:cstheme="minorHAnsi"/>
          <w:sz w:val="16"/>
          <w:szCs w:val="16"/>
        </w:rPr>
      </w:pPr>
      <w:bookmarkStart w:id="11" w:name="_Hlk195625115"/>
      <w:r w:rsidRPr="008E7CF1">
        <w:rPr>
          <w:rFonts w:cstheme="minorHAnsi"/>
          <w:sz w:val="16"/>
          <w:szCs w:val="16"/>
        </w:rPr>
        <w:t>(*)</w:t>
      </w:r>
      <w:r w:rsidR="00EB6F6F" w:rsidRPr="008E7CF1">
        <w:rPr>
          <w:rFonts w:cstheme="minorHAnsi"/>
          <w:sz w:val="16"/>
          <w:szCs w:val="16"/>
        </w:rPr>
        <w:t xml:space="preserve"> External fund</w:t>
      </w:r>
      <w:r w:rsidR="00840919" w:rsidRPr="008E7CF1">
        <w:rPr>
          <w:rFonts w:cstheme="minorHAnsi"/>
          <w:sz w:val="16"/>
          <w:szCs w:val="16"/>
        </w:rPr>
        <w:t>s</w:t>
      </w:r>
      <w:r w:rsidR="00EB6F6F" w:rsidRPr="008E7CF1">
        <w:rPr>
          <w:rFonts w:cstheme="minorHAnsi"/>
          <w:sz w:val="16"/>
          <w:szCs w:val="16"/>
        </w:rPr>
        <w:t xml:space="preserve"> </w:t>
      </w:r>
      <w:r w:rsidR="005B7C9D" w:rsidRPr="008E7CF1">
        <w:rPr>
          <w:rFonts w:cstheme="minorHAnsi"/>
          <w:sz w:val="16"/>
          <w:szCs w:val="16"/>
        </w:rPr>
        <w:t xml:space="preserve">of </w:t>
      </w:r>
      <w:r w:rsidR="001E5464" w:rsidRPr="008E7CF1">
        <w:rPr>
          <w:rFonts w:cstheme="minorHAnsi"/>
          <w:sz w:val="16"/>
          <w:szCs w:val="16"/>
        </w:rPr>
        <w:t>9</w:t>
      </w:r>
      <w:r w:rsidR="005B7C9D" w:rsidRPr="008E7CF1">
        <w:rPr>
          <w:rFonts w:cstheme="minorHAnsi"/>
          <w:sz w:val="16"/>
          <w:szCs w:val="16"/>
        </w:rPr>
        <w:t>,820 k CHF</w:t>
      </w:r>
      <w:r w:rsidR="00840919" w:rsidRPr="008E7CF1">
        <w:rPr>
          <w:rFonts w:cstheme="minorHAnsi"/>
          <w:sz w:val="16"/>
          <w:szCs w:val="16"/>
        </w:rPr>
        <w:t xml:space="preserve"> linked with the EU funded projects signed </w:t>
      </w:r>
      <w:r w:rsidR="00AB5B7E" w:rsidRPr="008E7CF1">
        <w:rPr>
          <w:rFonts w:cstheme="minorHAnsi"/>
          <w:sz w:val="16"/>
          <w:szCs w:val="16"/>
        </w:rPr>
        <w:t xml:space="preserve">by ITU </w:t>
      </w:r>
      <w:r w:rsidR="00840919" w:rsidRPr="008E7CF1">
        <w:rPr>
          <w:rFonts w:cstheme="minorHAnsi"/>
          <w:sz w:val="16"/>
          <w:szCs w:val="16"/>
        </w:rPr>
        <w:t>in 2023</w:t>
      </w:r>
    </w:p>
    <w:bookmarkEnd w:id="11"/>
    <w:p w14:paraId="41A66E34" w14:textId="0638ABCB" w:rsidR="00483169" w:rsidRPr="008E7CF1" w:rsidRDefault="00483169" w:rsidP="00483169">
      <w:pPr>
        <w:widowControl w:val="0"/>
        <w:spacing w:after="120"/>
        <w:rPr>
          <w:rFonts w:cstheme="minorHAnsi"/>
        </w:rPr>
      </w:pPr>
      <w:r w:rsidRPr="008E7CF1">
        <w:rPr>
          <w:rFonts w:cstheme="minorHAnsi"/>
        </w:rPr>
        <w:lastRenderedPageBreak/>
        <w:t>It is important to note that since ITU is not a funding institution, the feasibility of signing new projects depends greatly on the availability of funding partners willing to support ITU’s work</w:t>
      </w:r>
      <w:r w:rsidR="00981938" w:rsidRPr="008E7CF1">
        <w:rPr>
          <w:rFonts w:cstheme="minorHAnsi"/>
        </w:rPr>
        <w:t>.</w:t>
      </w:r>
      <w:r w:rsidRPr="008E7CF1">
        <w:rPr>
          <w:rFonts w:cstheme="minorHAnsi"/>
        </w:rPr>
        <w:t xml:space="preserve"> </w:t>
      </w:r>
    </w:p>
    <w:p w14:paraId="28DEAA8B" w14:textId="77777777" w:rsidR="00483169" w:rsidRPr="008E7CF1" w:rsidRDefault="00483169" w:rsidP="00483169">
      <w:pPr>
        <w:pStyle w:val="Heading1"/>
        <w:numPr>
          <w:ilvl w:val="0"/>
          <w:numId w:val="45"/>
        </w:numPr>
        <w:spacing w:before="120" w:after="120"/>
        <w:ind w:left="357" w:hanging="357"/>
        <w:textAlignment w:val="auto"/>
        <w:rPr>
          <w:rFonts w:cstheme="minorHAnsi"/>
          <w:sz w:val="24"/>
          <w:szCs w:val="24"/>
        </w:rPr>
      </w:pPr>
      <w:r w:rsidRPr="008E7CF1">
        <w:rPr>
          <w:rFonts w:cstheme="minorHAnsi"/>
          <w:sz w:val="24"/>
          <w:szCs w:val="24"/>
        </w:rPr>
        <w:t>Reinforcing project management practices in the BDT</w:t>
      </w:r>
    </w:p>
    <w:p w14:paraId="01414E52" w14:textId="2F10F721" w:rsidR="00483169" w:rsidRPr="008E7CF1" w:rsidRDefault="00483169" w:rsidP="00483169">
      <w:pPr>
        <w:pStyle w:val="ListParagraph"/>
        <w:widowControl w:val="0"/>
        <w:spacing w:after="120"/>
        <w:ind w:left="0"/>
        <w:contextualSpacing w:val="0"/>
        <w:rPr>
          <w:rFonts w:cstheme="minorHAnsi"/>
        </w:rPr>
      </w:pPr>
      <w:r w:rsidRPr="008E7CF1">
        <w:rPr>
          <w:rFonts w:cstheme="minorHAnsi"/>
        </w:rPr>
        <w:t>BDT has continued during 202</w:t>
      </w:r>
      <w:r w:rsidR="00B120DD" w:rsidRPr="008E7CF1">
        <w:rPr>
          <w:rFonts w:cstheme="minorHAnsi"/>
        </w:rPr>
        <w:t>4</w:t>
      </w:r>
      <w:r w:rsidRPr="008E7CF1">
        <w:rPr>
          <w:rFonts w:cstheme="minorHAnsi"/>
        </w:rPr>
        <w:t xml:space="preserve"> to strengthen project management practices across all ITU projects. The following list summarizes the activities conducted during the year, and which were implemented in close collaboration with other relevant ITU support functions:</w:t>
      </w:r>
    </w:p>
    <w:p w14:paraId="72B71B0B" w14:textId="7A510EBB" w:rsidR="00B120DD" w:rsidRPr="008E7CF1" w:rsidRDefault="00B120DD" w:rsidP="002D7630">
      <w:pPr>
        <w:pStyle w:val="ListParagraph"/>
        <w:numPr>
          <w:ilvl w:val="0"/>
          <w:numId w:val="46"/>
        </w:numPr>
        <w:tabs>
          <w:tab w:val="clear" w:pos="1134"/>
          <w:tab w:val="clear" w:pos="1871"/>
          <w:tab w:val="clear" w:pos="2268"/>
        </w:tabs>
        <w:overflowPunct/>
        <w:autoSpaceDE/>
        <w:autoSpaceDN/>
        <w:adjustRightInd/>
        <w:spacing w:before="60" w:after="60"/>
        <w:ind w:left="720"/>
        <w:contextualSpacing w:val="0"/>
        <w:textAlignment w:val="auto"/>
        <w:rPr>
          <w:rFonts w:cstheme="minorHAnsi"/>
        </w:rPr>
      </w:pPr>
      <w:r w:rsidRPr="008E7CF1">
        <w:rPr>
          <w:rFonts w:cstheme="minorHAnsi"/>
          <w:b/>
          <w:bCs/>
        </w:rPr>
        <w:t>Establishment of the new Project Implementation Unit (PPI)</w:t>
      </w:r>
      <w:r w:rsidRPr="008E7CF1">
        <w:rPr>
          <w:rFonts w:cstheme="minorHAnsi"/>
        </w:rPr>
        <w:t xml:space="preserve">. In September 2024, BDT </w:t>
      </w:r>
      <w:r w:rsidR="00703D44" w:rsidRPr="008E7CF1">
        <w:rPr>
          <w:rFonts w:cstheme="minorHAnsi"/>
        </w:rPr>
        <w:t>D</w:t>
      </w:r>
      <w:r w:rsidRPr="008E7CF1">
        <w:rPr>
          <w:rFonts w:cstheme="minorHAnsi"/>
        </w:rPr>
        <w:t xml:space="preserve">irector introduced a new structure </w:t>
      </w:r>
      <w:r w:rsidR="00FC2469" w:rsidRPr="008E7CF1">
        <w:rPr>
          <w:rFonts w:cstheme="minorHAnsi"/>
        </w:rPr>
        <w:t xml:space="preserve">in the Bureau aimed at reinforcing the implementation of the mandate of the Kigali Action Plan </w:t>
      </w:r>
      <w:r w:rsidR="00703D44" w:rsidRPr="008E7CF1">
        <w:rPr>
          <w:rFonts w:cstheme="minorHAnsi"/>
        </w:rPr>
        <w:t xml:space="preserve">(KAP) </w:t>
      </w:r>
      <w:r w:rsidR="00FC2469" w:rsidRPr="008E7CF1">
        <w:rPr>
          <w:rFonts w:cstheme="minorHAnsi"/>
        </w:rPr>
        <w:t xml:space="preserve">and building a BDT4Impact. </w:t>
      </w:r>
      <w:r w:rsidR="00401F3E" w:rsidRPr="008E7CF1">
        <w:rPr>
          <w:rFonts w:cstheme="minorHAnsi"/>
        </w:rPr>
        <w:t>The refined structure of the Bureau introduced a new unit aimed at strengthening the planning and implementation phase</w:t>
      </w:r>
      <w:r w:rsidR="002803F2" w:rsidRPr="008E7CF1">
        <w:rPr>
          <w:rFonts w:cstheme="minorHAnsi"/>
        </w:rPr>
        <w:t>s</w:t>
      </w:r>
      <w:r w:rsidR="00401F3E" w:rsidRPr="008E7CF1">
        <w:rPr>
          <w:rFonts w:cstheme="minorHAnsi"/>
        </w:rPr>
        <w:t xml:space="preserve"> </w:t>
      </w:r>
      <w:r w:rsidR="002803F2" w:rsidRPr="008E7CF1">
        <w:rPr>
          <w:rFonts w:cstheme="minorHAnsi"/>
        </w:rPr>
        <w:t xml:space="preserve">included in the BDT Project Management Manual. Hosted in the office of the Deputy to the Director, the Project Implementation Unit (PPI) is already working across all </w:t>
      </w:r>
      <w:r w:rsidR="00703D44" w:rsidRPr="008E7CF1">
        <w:rPr>
          <w:rFonts w:cstheme="minorHAnsi"/>
        </w:rPr>
        <w:t xml:space="preserve">the </w:t>
      </w:r>
      <w:r w:rsidR="002803F2" w:rsidRPr="008E7CF1">
        <w:rPr>
          <w:rFonts w:cstheme="minorHAnsi"/>
        </w:rPr>
        <w:t xml:space="preserve">thematic areas </w:t>
      </w:r>
      <w:r w:rsidR="0069548C" w:rsidRPr="008E7CF1">
        <w:rPr>
          <w:rFonts w:cstheme="minorHAnsi"/>
        </w:rPr>
        <w:t xml:space="preserve">and project teams to accelerate implementation and ensure that BDT projects achieve the expected impact on the ground. </w:t>
      </w:r>
    </w:p>
    <w:p w14:paraId="5A4F9D82" w14:textId="6021D727" w:rsidR="00B120DD" w:rsidRPr="008E7CF1" w:rsidRDefault="00B120DD" w:rsidP="002D7630">
      <w:pPr>
        <w:pStyle w:val="ListParagraph"/>
        <w:numPr>
          <w:ilvl w:val="0"/>
          <w:numId w:val="46"/>
        </w:numPr>
        <w:tabs>
          <w:tab w:val="clear" w:pos="1134"/>
          <w:tab w:val="clear" w:pos="1871"/>
          <w:tab w:val="clear" w:pos="2268"/>
        </w:tabs>
        <w:overflowPunct/>
        <w:autoSpaceDE/>
        <w:autoSpaceDN/>
        <w:adjustRightInd/>
        <w:spacing w:before="60" w:after="60"/>
        <w:ind w:left="720"/>
        <w:contextualSpacing w:val="0"/>
        <w:textAlignment w:val="auto"/>
        <w:rPr>
          <w:rFonts w:cstheme="minorHAnsi"/>
        </w:rPr>
      </w:pPr>
      <w:r w:rsidRPr="008E7CF1">
        <w:rPr>
          <w:rFonts w:cstheme="minorHAnsi"/>
          <w:b/>
          <w:bCs/>
        </w:rPr>
        <w:t>Strengthening reporting to partners.</w:t>
      </w:r>
      <w:r w:rsidRPr="008E7CF1">
        <w:rPr>
          <w:rFonts w:cstheme="minorHAnsi"/>
        </w:rPr>
        <w:t xml:space="preserve"> </w:t>
      </w:r>
      <w:r w:rsidR="007F6ADE" w:rsidRPr="008E7CF1">
        <w:rPr>
          <w:rFonts w:cstheme="minorHAnsi"/>
        </w:rPr>
        <w:t>In 2024</w:t>
      </w:r>
      <w:r w:rsidRPr="008E7CF1">
        <w:rPr>
          <w:rFonts w:cstheme="minorHAnsi"/>
        </w:rPr>
        <w:t xml:space="preserve">, BDT introduced a new policy </w:t>
      </w:r>
      <w:r w:rsidR="0058472D" w:rsidRPr="008E7CF1">
        <w:rPr>
          <w:rFonts w:cstheme="minorHAnsi"/>
        </w:rPr>
        <w:t xml:space="preserve">to strengthen reporting to funding partners. As part of the new policy, all funding </w:t>
      </w:r>
      <w:r w:rsidR="00052FA9" w:rsidRPr="008E7CF1">
        <w:rPr>
          <w:rFonts w:cstheme="minorHAnsi"/>
        </w:rPr>
        <w:t xml:space="preserve">partners </w:t>
      </w:r>
      <w:r w:rsidR="0058472D" w:rsidRPr="008E7CF1">
        <w:rPr>
          <w:rFonts w:cstheme="minorHAnsi"/>
        </w:rPr>
        <w:t xml:space="preserve">are now receiving </w:t>
      </w:r>
      <w:r w:rsidR="00052FA9" w:rsidRPr="008E7CF1">
        <w:rPr>
          <w:rFonts w:cstheme="minorHAnsi"/>
        </w:rPr>
        <w:t xml:space="preserve">every 6-12 months at least one report presenting </w:t>
      </w:r>
      <w:r w:rsidRPr="008E7CF1">
        <w:rPr>
          <w:rFonts w:cstheme="minorHAnsi"/>
        </w:rPr>
        <w:t xml:space="preserve">the </w:t>
      </w:r>
      <w:r w:rsidR="00052FA9" w:rsidRPr="008E7CF1">
        <w:rPr>
          <w:rFonts w:cstheme="minorHAnsi"/>
        </w:rPr>
        <w:t xml:space="preserve">implementation </w:t>
      </w:r>
      <w:r w:rsidRPr="008E7CF1">
        <w:rPr>
          <w:rFonts w:cstheme="minorHAnsi"/>
        </w:rPr>
        <w:t xml:space="preserve">status </w:t>
      </w:r>
      <w:r w:rsidR="00052FA9" w:rsidRPr="008E7CF1">
        <w:rPr>
          <w:rFonts w:cstheme="minorHAnsi"/>
        </w:rPr>
        <w:t xml:space="preserve">of the projects they </w:t>
      </w:r>
      <w:r w:rsidR="004B37D0" w:rsidRPr="008E7CF1">
        <w:rPr>
          <w:rFonts w:cstheme="minorHAnsi"/>
        </w:rPr>
        <w:t xml:space="preserve">fund. The reports, prepared by project managers, with support from relevant ITU internal stakeholders, also highlight any challenges and risks that may have materialized during the reporting period, as well as </w:t>
      </w:r>
      <w:r w:rsidR="00DE5487" w:rsidRPr="008E7CF1">
        <w:rPr>
          <w:rFonts w:cstheme="minorHAnsi"/>
        </w:rPr>
        <w:t>the financial status of the project. The first batch of these reports was sent in July 2024, and the second batch during the first quarter of 2025.</w:t>
      </w:r>
      <w:r w:rsidRPr="008E7CF1">
        <w:rPr>
          <w:rFonts w:cstheme="minorHAnsi"/>
        </w:rPr>
        <w:t xml:space="preserve"> The </w:t>
      </w:r>
      <w:r w:rsidR="00DE5487" w:rsidRPr="008E7CF1">
        <w:rPr>
          <w:rFonts w:cstheme="minorHAnsi"/>
        </w:rPr>
        <w:t xml:space="preserve">new </w:t>
      </w:r>
      <w:r w:rsidR="0090337C" w:rsidRPr="008E7CF1">
        <w:rPr>
          <w:rFonts w:cstheme="minorHAnsi"/>
        </w:rPr>
        <w:t>measure</w:t>
      </w:r>
      <w:r w:rsidR="00DE5487" w:rsidRPr="008E7CF1">
        <w:rPr>
          <w:rFonts w:cstheme="minorHAnsi"/>
        </w:rPr>
        <w:t xml:space="preserve"> is aimed at strengthening </w:t>
      </w:r>
      <w:r w:rsidRPr="008E7CF1">
        <w:rPr>
          <w:rFonts w:cstheme="minorHAnsi"/>
        </w:rPr>
        <w:t>transparency and accountability</w:t>
      </w:r>
      <w:r w:rsidR="00DE5487" w:rsidRPr="008E7CF1">
        <w:rPr>
          <w:rFonts w:cstheme="minorHAnsi"/>
        </w:rPr>
        <w:t xml:space="preserve"> in the implementation of BDT projects</w:t>
      </w:r>
      <w:r w:rsidRPr="008E7CF1">
        <w:rPr>
          <w:rFonts w:cstheme="minorHAnsi"/>
        </w:rPr>
        <w:t>.</w:t>
      </w:r>
    </w:p>
    <w:p w14:paraId="41665FA1" w14:textId="4F374157" w:rsidR="00483169" w:rsidRPr="008E7CF1" w:rsidRDefault="75152FB7" w:rsidP="42751244">
      <w:pPr>
        <w:pStyle w:val="ListParagraph"/>
        <w:numPr>
          <w:ilvl w:val="0"/>
          <w:numId w:val="46"/>
        </w:numPr>
        <w:spacing w:before="60" w:after="60"/>
        <w:ind w:left="714" w:hanging="357"/>
        <w:contextualSpacing w:val="0"/>
        <w:textAlignment w:val="auto"/>
        <w:rPr>
          <w:rFonts w:cstheme="minorBidi"/>
          <w:b/>
          <w:bCs/>
        </w:rPr>
      </w:pPr>
      <w:r w:rsidRPr="008E7CF1">
        <w:rPr>
          <w:rFonts w:cstheme="minorBidi"/>
          <w:b/>
          <w:bCs/>
        </w:rPr>
        <w:t>Operation of the BDT Projects Board</w:t>
      </w:r>
      <w:r w:rsidRPr="008E7CF1">
        <w:rPr>
          <w:rFonts w:cstheme="minorBidi"/>
        </w:rPr>
        <w:t xml:space="preserve">: The BDT Projects Board has continued to meet </w:t>
      </w:r>
      <w:r w:rsidR="1A219BA5" w:rsidRPr="008E7CF1">
        <w:rPr>
          <w:rFonts w:cstheme="minorBidi"/>
        </w:rPr>
        <w:t>monthly</w:t>
      </w:r>
      <w:r w:rsidRPr="008E7CF1">
        <w:rPr>
          <w:rFonts w:cstheme="minorBidi"/>
        </w:rPr>
        <w:t xml:space="preserve"> during 202</w:t>
      </w:r>
      <w:r w:rsidR="2D0ACB74" w:rsidRPr="008E7CF1">
        <w:rPr>
          <w:rFonts w:cstheme="minorBidi"/>
        </w:rPr>
        <w:t>4</w:t>
      </w:r>
      <w:r w:rsidRPr="008E7CF1">
        <w:rPr>
          <w:rFonts w:cstheme="minorBidi"/>
        </w:rPr>
        <w:t xml:space="preserve"> to </w:t>
      </w:r>
      <w:r w:rsidR="5DCBF95E" w:rsidRPr="008E7CF1">
        <w:rPr>
          <w:rFonts w:cstheme="minorBidi"/>
        </w:rPr>
        <w:t xml:space="preserve">provide a clear governance mechanism at the portfolio level. The Board </w:t>
      </w:r>
      <w:r w:rsidRPr="008E7CF1">
        <w:rPr>
          <w:rFonts w:cstheme="minorBidi"/>
        </w:rPr>
        <w:t xml:space="preserve">assess </w:t>
      </w:r>
      <w:r w:rsidR="5DCBF95E" w:rsidRPr="008E7CF1">
        <w:rPr>
          <w:rFonts w:cstheme="minorBidi"/>
        </w:rPr>
        <w:t>and approves new project proposals, addenda and closures, and provides guidance as appropriate to projects facing any implementation issues. To date</w:t>
      </w:r>
      <w:r w:rsidR="7D6E9459" w:rsidRPr="008E7CF1">
        <w:rPr>
          <w:rFonts w:cstheme="minorBidi"/>
        </w:rPr>
        <w:t>,</w:t>
      </w:r>
      <w:r w:rsidR="5DCBF95E" w:rsidRPr="008E7CF1">
        <w:rPr>
          <w:rFonts w:cstheme="minorBidi"/>
        </w:rPr>
        <w:t xml:space="preserve"> the Board has </w:t>
      </w:r>
      <w:r w:rsidR="20FD9712" w:rsidRPr="008E7CF1">
        <w:rPr>
          <w:rFonts w:cstheme="minorBidi"/>
        </w:rPr>
        <w:t xml:space="preserve">held </w:t>
      </w:r>
      <w:r w:rsidR="5DCBF95E" w:rsidRPr="008E7CF1">
        <w:rPr>
          <w:rFonts w:cstheme="minorBidi"/>
        </w:rPr>
        <w:t xml:space="preserve">a total of 37 </w:t>
      </w:r>
      <w:r w:rsidR="20FD9712" w:rsidRPr="008E7CF1">
        <w:rPr>
          <w:rFonts w:cstheme="minorBidi"/>
        </w:rPr>
        <w:t>meetings since 2020</w:t>
      </w:r>
      <w:r w:rsidR="3D064D5B" w:rsidRPr="008E7CF1">
        <w:rPr>
          <w:rFonts w:cstheme="minorBidi"/>
        </w:rPr>
        <w:t xml:space="preserve">. The decisions made by the Board </w:t>
      </w:r>
      <w:r w:rsidR="55BCACFD" w:rsidRPr="008E7CF1">
        <w:rPr>
          <w:rFonts w:cstheme="minorBidi"/>
        </w:rPr>
        <w:t xml:space="preserve">have mandatory compliance status by project managers. </w:t>
      </w:r>
      <w:r w:rsidRPr="008E7CF1">
        <w:rPr>
          <w:rFonts w:cstheme="minorBidi"/>
        </w:rPr>
        <w:t>The decisions from the Board are regularly followed up by the Project Support Division and reported back to the Projects Board.</w:t>
      </w:r>
    </w:p>
    <w:p w14:paraId="41C36CB0" w14:textId="60DF06EB" w:rsidR="00483169" w:rsidRPr="008E7CF1" w:rsidRDefault="75152FB7" w:rsidP="066DA0FB">
      <w:pPr>
        <w:pStyle w:val="ListParagraph"/>
        <w:numPr>
          <w:ilvl w:val="0"/>
          <w:numId w:val="46"/>
        </w:numPr>
        <w:spacing w:before="60" w:after="60"/>
        <w:ind w:left="714" w:hanging="357"/>
        <w:contextualSpacing w:val="0"/>
        <w:textAlignment w:val="auto"/>
        <w:rPr>
          <w:rFonts w:cstheme="minorBidi"/>
          <w:b/>
          <w:bCs/>
        </w:rPr>
      </w:pPr>
      <w:r w:rsidRPr="008E7CF1">
        <w:rPr>
          <w:rFonts w:cstheme="minorBidi"/>
          <w:b/>
          <w:bCs/>
        </w:rPr>
        <w:t>Series of trainings for project managers.</w:t>
      </w:r>
      <w:r w:rsidRPr="008E7CF1">
        <w:rPr>
          <w:rFonts w:cstheme="minorBidi"/>
          <w:b/>
          <w:bCs/>
          <w:i/>
          <w:iCs/>
        </w:rPr>
        <w:t xml:space="preserve"> </w:t>
      </w:r>
      <w:r w:rsidRPr="008E7CF1">
        <w:rPr>
          <w:rFonts w:cstheme="minorBidi"/>
        </w:rPr>
        <w:t>During 202</w:t>
      </w:r>
      <w:r w:rsidR="502EBA88" w:rsidRPr="008E7CF1">
        <w:rPr>
          <w:rFonts w:cstheme="minorBidi"/>
        </w:rPr>
        <w:t>4</w:t>
      </w:r>
      <w:r w:rsidR="7D6E9459" w:rsidRPr="008E7CF1">
        <w:rPr>
          <w:rFonts w:cstheme="minorBidi"/>
        </w:rPr>
        <w:t>,</w:t>
      </w:r>
      <w:r w:rsidRPr="008E7CF1">
        <w:rPr>
          <w:rFonts w:cstheme="minorBidi"/>
          <w:b/>
          <w:bCs/>
        </w:rPr>
        <w:t xml:space="preserve"> </w:t>
      </w:r>
      <w:r w:rsidRPr="008E7CF1">
        <w:rPr>
          <w:rFonts w:cstheme="minorBidi"/>
        </w:rPr>
        <w:t xml:space="preserve">BDT </w:t>
      </w:r>
      <w:r w:rsidR="502EBA88" w:rsidRPr="008E7CF1">
        <w:rPr>
          <w:rFonts w:cstheme="minorBidi"/>
        </w:rPr>
        <w:t xml:space="preserve">has continued to organize </w:t>
      </w:r>
      <w:r w:rsidRPr="008E7CF1">
        <w:rPr>
          <w:rFonts w:cstheme="minorBidi"/>
        </w:rPr>
        <w:t>regular training sessions and information exchange sessions for project managers. These sessions have been aimed at harmonizing project practices across BDT, reinforc</w:t>
      </w:r>
      <w:r w:rsidR="7D6E9459" w:rsidRPr="008E7CF1">
        <w:rPr>
          <w:rFonts w:cstheme="minorBidi"/>
        </w:rPr>
        <w:t>ing</w:t>
      </w:r>
      <w:r w:rsidRPr="008E7CF1">
        <w:rPr>
          <w:rFonts w:cstheme="minorBidi"/>
        </w:rPr>
        <w:t xml:space="preserve"> the community of project managers</w:t>
      </w:r>
      <w:r w:rsidR="7D6E9459" w:rsidRPr="008E7CF1">
        <w:rPr>
          <w:rFonts w:cstheme="minorBidi"/>
        </w:rPr>
        <w:t>,</w:t>
      </w:r>
      <w:r w:rsidRPr="008E7CF1">
        <w:rPr>
          <w:rFonts w:cstheme="minorBidi"/>
        </w:rPr>
        <w:t xml:space="preserve"> and further develop</w:t>
      </w:r>
      <w:r w:rsidR="7D6E9459" w:rsidRPr="008E7CF1">
        <w:rPr>
          <w:rFonts w:cstheme="minorBidi"/>
        </w:rPr>
        <w:t>ing</w:t>
      </w:r>
      <w:r w:rsidRPr="008E7CF1">
        <w:rPr>
          <w:rFonts w:cstheme="minorBidi"/>
        </w:rPr>
        <w:t xml:space="preserve"> the skills from project managers on areas related with ITU’s work. This programme will continue throughout 202</w:t>
      </w:r>
      <w:r w:rsidR="2F1E0E68" w:rsidRPr="008E7CF1">
        <w:rPr>
          <w:rFonts w:cstheme="minorBidi"/>
        </w:rPr>
        <w:t>5</w:t>
      </w:r>
      <w:r w:rsidRPr="008E7CF1">
        <w:rPr>
          <w:rFonts w:cstheme="minorBidi"/>
        </w:rPr>
        <w:t xml:space="preserve">. </w:t>
      </w:r>
    </w:p>
    <w:p w14:paraId="012D799A" w14:textId="26D2C5F9" w:rsidR="00483169" w:rsidRPr="008E7CF1" w:rsidRDefault="75152FB7" w:rsidP="42751244">
      <w:pPr>
        <w:pStyle w:val="ListParagraph"/>
        <w:numPr>
          <w:ilvl w:val="0"/>
          <w:numId w:val="46"/>
        </w:numPr>
        <w:spacing w:before="60" w:after="60"/>
        <w:ind w:left="714" w:hanging="357"/>
        <w:contextualSpacing w:val="0"/>
        <w:textAlignment w:val="auto"/>
        <w:rPr>
          <w:rFonts w:cstheme="minorBidi"/>
        </w:rPr>
      </w:pPr>
      <w:r w:rsidRPr="008E7CF1">
        <w:rPr>
          <w:rFonts w:cstheme="minorBidi"/>
          <w:b/>
          <w:bCs/>
        </w:rPr>
        <w:t>Monitoring of ITU Projects</w:t>
      </w:r>
      <w:r w:rsidRPr="008E7CF1">
        <w:rPr>
          <w:rFonts w:cstheme="minorBidi"/>
        </w:rPr>
        <w:t>:</w:t>
      </w:r>
      <w:r w:rsidRPr="008E7CF1">
        <w:rPr>
          <w:rFonts w:cstheme="minorBidi"/>
          <w:b/>
          <w:bCs/>
        </w:rPr>
        <w:t xml:space="preserve"> </w:t>
      </w:r>
      <w:r w:rsidRPr="008E7CF1">
        <w:rPr>
          <w:rFonts w:cstheme="minorBidi"/>
        </w:rPr>
        <w:t>All</w:t>
      </w:r>
      <w:r w:rsidRPr="008E7CF1">
        <w:rPr>
          <w:rFonts w:cstheme="minorBidi"/>
          <w:b/>
          <w:bCs/>
        </w:rPr>
        <w:t xml:space="preserve"> </w:t>
      </w:r>
      <w:r w:rsidRPr="008E7CF1">
        <w:rPr>
          <w:rFonts w:cstheme="minorBidi"/>
        </w:rPr>
        <w:t xml:space="preserve">ITU projects continue to be monitored on a day-by-day basis and reported at the end of each quarter. The result of this work is made available to BDT Management and Project Managers via Quarterly Assessment reports, as well as </w:t>
      </w:r>
      <w:r w:rsidR="76A8FBC4" w:rsidRPr="008E7CF1">
        <w:rPr>
          <w:rFonts w:cstheme="minorBidi"/>
        </w:rPr>
        <w:t>using</w:t>
      </w:r>
      <w:r w:rsidRPr="008E7CF1">
        <w:rPr>
          <w:rFonts w:cstheme="minorBidi"/>
        </w:rPr>
        <w:t xml:space="preserve"> internal management dashboards</w:t>
      </w:r>
      <w:r w:rsidR="7D6E9459" w:rsidRPr="008E7CF1">
        <w:rPr>
          <w:rFonts w:cstheme="minorBidi"/>
        </w:rPr>
        <w:t>,</w:t>
      </w:r>
      <w:r w:rsidRPr="008E7CF1">
        <w:rPr>
          <w:rFonts w:cstheme="minorBidi"/>
        </w:rPr>
        <w:t xml:space="preserve"> which enable data-driven decision making in relation to projects. </w:t>
      </w:r>
    </w:p>
    <w:p w14:paraId="6F4D064A" w14:textId="77777777" w:rsidR="00483169" w:rsidRPr="008E7CF1" w:rsidRDefault="00483169" w:rsidP="00483169">
      <w:pPr>
        <w:pStyle w:val="Heading1"/>
        <w:numPr>
          <w:ilvl w:val="0"/>
          <w:numId w:val="45"/>
        </w:numPr>
        <w:spacing w:before="120" w:after="120"/>
        <w:ind w:left="357" w:hanging="357"/>
        <w:textAlignment w:val="auto"/>
        <w:rPr>
          <w:rFonts w:cstheme="minorHAnsi"/>
          <w:sz w:val="24"/>
          <w:szCs w:val="24"/>
        </w:rPr>
      </w:pPr>
      <w:r w:rsidRPr="008E7CF1">
        <w:rPr>
          <w:rFonts w:cstheme="minorHAnsi"/>
          <w:sz w:val="24"/>
          <w:szCs w:val="24"/>
        </w:rPr>
        <w:t>Conclusions</w:t>
      </w:r>
    </w:p>
    <w:p w14:paraId="78F73B31" w14:textId="1016D145" w:rsidR="00483169" w:rsidRPr="008E7CF1" w:rsidRDefault="00983765" w:rsidP="00544A0A">
      <w:pPr>
        <w:spacing w:after="120"/>
        <w:rPr>
          <w:rFonts w:cstheme="minorHAnsi"/>
        </w:rPr>
      </w:pPr>
      <w:r w:rsidRPr="008E7CF1">
        <w:rPr>
          <w:rFonts w:cstheme="minorHAnsi"/>
        </w:rPr>
        <w:t xml:space="preserve">2024 has been an important year in the </w:t>
      </w:r>
      <w:r w:rsidR="00703D44" w:rsidRPr="008E7CF1">
        <w:rPr>
          <w:rFonts w:cstheme="minorHAnsi"/>
        </w:rPr>
        <w:t xml:space="preserve">progress </w:t>
      </w:r>
      <w:r w:rsidRPr="008E7CF1">
        <w:rPr>
          <w:rFonts w:cstheme="minorHAnsi"/>
        </w:rPr>
        <w:t xml:space="preserve">of ITU projects. With activities in over 100 on-going projects and </w:t>
      </w:r>
      <w:r w:rsidR="001962B9" w:rsidRPr="008E7CF1">
        <w:rPr>
          <w:rFonts w:cstheme="minorHAnsi"/>
        </w:rPr>
        <w:t xml:space="preserve">37 new projects signed during the year, </w:t>
      </w:r>
      <w:r w:rsidRPr="008E7CF1">
        <w:rPr>
          <w:rFonts w:cstheme="minorHAnsi"/>
        </w:rPr>
        <w:t xml:space="preserve">ITU projects continue to </w:t>
      </w:r>
      <w:r w:rsidR="00B02384" w:rsidRPr="008E7CF1">
        <w:rPr>
          <w:rFonts w:cstheme="minorHAnsi"/>
        </w:rPr>
        <w:t xml:space="preserve">play an </w:t>
      </w:r>
      <w:r w:rsidRPr="008E7CF1">
        <w:rPr>
          <w:rFonts w:cstheme="minorHAnsi"/>
        </w:rPr>
        <w:t xml:space="preserve">instrumental role in </w:t>
      </w:r>
      <w:r w:rsidR="001962B9" w:rsidRPr="008E7CF1">
        <w:rPr>
          <w:rFonts w:cstheme="minorHAnsi"/>
        </w:rPr>
        <w:t xml:space="preserve">the implementation of the </w:t>
      </w:r>
      <w:r w:rsidRPr="008E7CF1">
        <w:rPr>
          <w:rFonts w:cstheme="minorHAnsi"/>
        </w:rPr>
        <w:t>Kigali Action Plan</w:t>
      </w:r>
      <w:r w:rsidR="00AA2CAB" w:rsidRPr="008E7CF1">
        <w:rPr>
          <w:rFonts w:cstheme="minorHAnsi"/>
        </w:rPr>
        <w:t xml:space="preserve"> and</w:t>
      </w:r>
      <w:r w:rsidR="00544A0A" w:rsidRPr="008E7CF1">
        <w:rPr>
          <w:rFonts w:cstheme="minorHAnsi"/>
        </w:rPr>
        <w:t xml:space="preserve"> </w:t>
      </w:r>
      <w:r w:rsidRPr="008E7CF1">
        <w:rPr>
          <w:rFonts w:cstheme="minorHAnsi"/>
        </w:rPr>
        <w:t xml:space="preserve">the provision of technical </w:t>
      </w:r>
      <w:r w:rsidRPr="008E7CF1">
        <w:rPr>
          <w:rFonts w:cstheme="minorHAnsi"/>
        </w:rPr>
        <w:lastRenderedPageBreak/>
        <w:t>assistance to ITU Member States</w:t>
      </w:r>
      <w:r w:rsidR="00544A0A" w:rsidRPr="008E7CF1">
        <w:rPr>
          <w:rFonts w:cstheme="minorHAnsi"/>
        </w:rPr>
        <w:t xml:space="preserve"> as well as to </w:t>
      </w:r>
      <w:r w:rsidR="00483169" w:rsidRPr="008E7CF1">
        <w:rPr>
          <w:rFonts w:cstheme="minorHAnsi"/>
        </w:rPr>
        <w:t xml:space="preserve">deliver new products and services </w:t>
      </w:r>
      <w:proofErr w:type="gramStart"/>
      <w:r w:rsidR="00483169" w:rsidRPr="008E7CF1">
        <w:rPr>
          <w:rFonts w:cstheme="minorHAnsi"/>
        </w:rPr>
        <w:t>in the area of</w:t>
      </w:r>
      <w:proofErr w:type="gramEnd"/>
      <w:r w:rsidR="00483169" w:rsidRPr="008E7CF1">
        <w:rPr>
          <w:rFonts w:cstheme="minorHAnsi"/>
        </w:rPr>
        <w:t xml:space="preserve"> digital development</w:t>
      </w:r>
      <w:r w:rsidR="00AA2CAB" w:rsidRPr="008E7CF1">
        <w:rPr>
          <w:rFonts w:cstheme="minorHAnsi"/>
        </w:rPr>
        <w:t xml:space="preserve"> and transformation</w:t>
      </w:r>
      <w:r w:rsidR="00483169" w:rsidRPr="008E7CF1">
        <w:rPr>
          <w:rFonts w:cstheme="minorHAnsi"/>
        </w:rPr>
        <w:t xml:space="preserve">. </w:t>
      </w:r>
    </w:p>
    <w:p w14:paraId="3FA6BFCF" w14:textId="58F66CC3" w:rsidR="00483169" w:rsidRPr="008E7CF1" w:rsidRDefault="6AAC3E9C" w:rsidP="066DA0FB">
      <w:pPr>
        <w:spacing w:after="120"/>
        <w:rPr>
          <w:rFonts w:cstheme="minorBidi"/>
        </w:rPr>
      </w:pPr>
      <w:r w:rsidRPr="008E7CF1">
        <w:rPr>
          <w:rFonts w:cstheme="minorBidi"/>
        </w:rPr>
        <w:t xml:space="preserve">These </w:t>
      </w:r>
      <w:r w:rsidR="58C14231" w:rsidRPr="008E7CF1">
        <w:rPr>
          <w:rFonts w:cstheme="minorBidi"/>
        </w:rPr>
        <w:t>achievement</w:t>
      </w:r>
      <w:r w:rsidRPr="008E7CF1">
        <w:rPr>
          <w:rFonts w:cstheme="minorBidi"/>
        </w:rPr>
        <w:t xml:space="preserve">s are the </w:t>
      </w:r>
      <w:r w:rsidR="58C14231" w:rsidRPr="008E7CF1">
        <w:rPr>
          <w:rFonts w:cstheme="minorBidi"/>
        </w:rPr>
        <w:t xml:space="preserve">result of the </w:t>
      </w:r>
      <w:r w:rsidR="316089E8" w:rsidRPr="008E7CF1">
        <w:rPr>
          <w:rFonts w:cstheme="minorBidi"/>
        </w:rPr>
        <w:t xml:space="preserve">close </w:t>
      </w:r>
      <w:r w:rsidR="58C14231" w:rsidRPr="008E7CF1">
        <w:rPr>
          <w:rFonts w:cstheme="minorBidi"/>
        </w:rPr>
        <w:t xml:space="preserve">coordination </w:t>
      </w:r>
      <w:r w:rsidR="316089E8" w:rsidRPr="008E7CF1">
        <w:rPr>
          <w:rFonts w:cstheme="minorBidi"/>
        </w:rPr>
        <w:t xml:space="preserve">and cooperation </w:t>
      </w:r>
      <w:r w:rsidR="58C14231" w:rsidRPr="008E7CF1">
        <w:rPr>
          <w:rFonts w:cstheme="minorBidi"/>
        </w:rPr>
        <w:t>among</w:t>
      </w:r>
      <w:r w:rsidRPr="008E7CF1">
        <w:rPr>
          <w:rFonts w:cstheme="minorBidi"/>
        </w:rPr>
        <w:t xml:space="preserve">st all the </w:t>
      </w:r>
      <w:r w:rsidR="6B16E65D" w:rsidRPr="008E7CF1">
        <w:rPr>
          <w:rFonts w:cstheme="minorBidi"/>
        </w:rPr>
        <w:t xml:space="preserve">teams in </w:t>
      </w:r>
      <w:r w:rsidR="316089E8" w:rsidRPr="008E7CF1">
        <w:rPr>
          <w:rFonts w:cstheme="minorBidi"/>
        </w:rPr>
        <w:t xml:space="preserve">both the fields and headquarters of </w:t>
      </w:r>
      <w:r w:rsidR="6B16E65D" w:rsidRPr="008E7CF1">
        <w:rPr>
          <w:rFonts w:cstheme="minorBidi"/>
        </w:rPr>
        <w:t xml:space="preserve">the </w:t>
      </w:r>
      <w:r w:rsidR="5AAE969B" w:rsidRPr="008E7CF1">
        <w:rPr>
          <w:rFonts w:cstheme="minorBidi"/>
        </w:rPr>
        <w:t>Telecommunication</w:t>
      </w:r>
      <w:r w:rsidR="6B16E65D" w:rsidRPr="008E7CF1">
        <w:rPr>
          <w:rFonts w:cstheme="minorBidi"/>
        </w:rPr>
        <w:t xml:space="preserve"> Development Bureau, </w:t>
      </w:r>
      <w:r w:rsidR="316089E8" w:rsidRPr="008E7CF1">
        <w:rPr>
          <w:rFonts w:cstheme="minorBidi"/>
        </w:rPr>
        <w:t xml:space="preserve">particularly </w:t>
      </w:r>
      <w:r w:rsidR="6B16E65D" w:rsidRPr="008E7CF1">
        <w:rPr>
          <w:rFonts w:cstheme="minorBidi"/>
        </w:rPr>
        <w:t xml:space="preserve">with the support from the Projects, Partnerships and Digital Skills </w:t>
      </w:r>
      <w:r w:rsidR="316089E8" w:rsidRPr="008E7CF1">
        <w:rPr>
          <w:rFonts w:cstheme="minorBidi"/>
        </w:rPr>
        <w:t xml:space="preserve">(PPS) </w:t>
      </w:r>
      <w:r w:rsidR="6B16E65D" w:rsidRPr="008E7CF1">
        <w:rPr>
          <w:rFonts w:cstheme="minorBidi"/>
        </w:rPr>
        <w:t xml:space="preserve">Department of the </w:t>
      </w:r>
      <w:r w:rsidR="58C14231" w:rsidRPr="008E7CF1">
        <w:rPr>
          <w:rFonts w:cstheme="minorBidi"/>
        </w:rPr>
        <w:t>BDT.</w:t>
      </w:r>
      <w:r w:rsidR="00483169" w:rsidRPr="008E7CF1">
        <w:rPr>
          <w:rStyle w:val="FootnoteReference"/>
          <w:rFonts w:cstheme="minorBidi"/>
        </w:rPr>
        <w:footnoteReference w:id="6"/>
      </w:r>
      <w:r w:rsidR="58C14231" w:rsidRPr="008E7CF1">
        <w:rPr>
          <w:rFonts w:cstheme="minorBidi"/>
        </w:rPr>
        <w:t xml:space="preserve"> </w:t>
      </w:r>
    </w:p>
    <w:p w14:paraId="23633D32" w14:textId="46C0725E" w:rsidR="00483169" w:rsidRPr="008E7CF1" w:rsidRDefault="00A32E72" w:rsidP="00483169">
      <w:pPr>
        <w:spacing w:after="120"/>
        <w:rPr>
          <w:rFonts w:cstheme="minorHAnsi"/>
        </w:rPr>
      </w:pPr>
      <w:r w:rsidRPr="008E7CF1">
        <w:rPr>
          <w:rFonts w:cstheme="minorHAnsi"/>
        </w:rPr>
        <w:t xml:space="preserve">As ITU-D prepares for WTDC-25, </w:t>
      </w:r>
      <w:r w:rsidR="00483169" w:rsidRPr="008E7CF1">
        <w:rPr>
          <w:rFonts w:cstheme="minorHAnsi"/>
        </w:rPr>
        <w:t>TDAG is invited to continue providing guidance and advice on how to continue strengthening project practices in the BDT</w:t>
      </w:r>
      <w:r w:rsidR="00AA2CAB" w:rsidRPr="008E7CF1">
        <w:rPr>
          <w:rFonts w:cstheme="minorHAnsi"/>
        </w:rPr>
        <w:t xml:space="preserve"> for meaningful impacts on the ground in the ITU-D membership through the development projects.</w:t>
      </w:r>
      <w:r w:rsidR="00483169" w:rsidRPr="008E7CF1">
        <w:rPr>
          <w:rFonts w:cstheme="minorHAnsi"/>
        </w:rPr>
        <w:t xml:space="preserve"> </w:t>
      </w:r>
    </w:p>
    <w:p w14:paraId="1DC30005" w14:textId="73CDED86" w:rsidR="00D83BF5" w:rsidRPr="0084734D" w:rsidRDefault="00D83BF5" w:rsidP="00A7027A">
      <w:pPr>
        <w:jc w:val="center"/>
        <w:rPr>
          <w:szCs w:val="24"/>
        </w:rPr>
      </w:pPr>
      <w:r w:rsidRPr="008E7CF1">
        <w:rPr>
          <w:szCs w:val="24"/>
        </w:rPr>
        <w:t>_______________</w:t>
      </w:r>
    </w:p>
    <w:sectPr w:rsidR="00D83BF5" w:rsidRPr="0084734D" w:rsidSect="0081159E">
      <w:head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5047" w14:textId="77777777" w:rsidR="00755E50" w:rsidRDefault="00755E50">
      <w:r>
        <w:separator/>
      </w:r>
    </w:p>
    <w:p w14:paraId="605CA48F" w14:textId="77777777" w:rsidR="00755E50" w:rsidRDefault="00755E50"/>
  </w:endnote>
  <w:endnote w:type="continuationSeparator" w:id="0">
    <w:p w14:paraId="791BCD7B" w14:textId="77777777" w:rsidR="00755E50" w:rsidRDefault="00755E50">
      <w:r>
        <w:continuationSeparator/>
      </w:r>
    </w:p>
    <w:p w14:paraId="3AA6D7B4" w14:textId="77777777" w:rsidR="00755E50" w:rsidRDefault="00755E50"/>
  </w:endnote>
  <w:endnote w:type="continuationNotice" w:id="1">
    <w:p w14:paraId="0209BC99" w14:textId="77777777" w:rsidR="00755E50" w:rsidRDefault="00755E50">
      <w:pPr>
        <w:spacing w:before="0"/>
      </w:pPr>
    </w:p>
    <w:p w14:paraId="4A94D920" w14:textId="77777777" w:rsidR="00755E50" w:rsidRDefault="00755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FE2210" w:rsidRPr="004D495C" w14:paraId="65E77649" w14:textId="77777777" w:rsidTr="003447A8">
      <w:tc>
        <w:tcPr>
          <w:tcW w:w="1526" w:type="dxa"/>
          <w:tcBorders>
            <w:top w:val="single" w:sz="4" w:space="0" w:color="000000"/>
          </w:tcBorders>
          <w:shd w:val="clear" w:color="auto" w:fill="auto"/>
        </w:tcPr>
        <w:p w14:paraId="6D3E3B87" w14:textId="77777777" w:rsidR="00FE2210" w:rsidRPr="004D495C" w:rsidRDefault="00FE2210" w:rsidP="003B78F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7E88D5" w14:textId="2FB9157D" w:rsidR="00FE2210" w:rsidRPr="004D495C" w:rsidRDefault="00FE2210" w:rsidP="003B78F1">
          <w:pPr>
            <w:pStyle w:val="FirstFooter"/>
            <w:tabs>
              <w:tab w:val="left" w:pos="2302"/>
            </w:tabs>
            <w:ind w:left="2302" w:hanging="2302"/>
            <w:rPr>
              <w:sz w:val="18"/>
              <w:szCs w:val="18"/>
              <w:lang w:val="en-US"/>
            </w:rPr>
          </w:pPr>
          <w:r w:rsidRPr="00AF1FCA">
            <w:rPr>
              <w:sz w:val="18"/>
              <w:szCs w:val="18"/>
            </w:rPr>
            <w:t>Name/Organization/Entity:</w:t>
          </w:r>
        </w:p>
      </w:tc>
      <w:tc>
        <w:tcPr>
          <w:tcW w:w="5987" w:type="dxa"/>
          <w:tcBorders>
            <w:top w:val="single" w:sz="4" w:space="0" w:color="000000"/>
          </w:tcBorders>
        </w:tcPr>
        <w:p w14:paraId="1C53FE51" w14:textId="6A7A1BB9" w:rsidR="00FE2210" w:rsidRPr="00927A83" w:rsidRDefault="00FE2210" w:rsidP="003B78F1">
          <w:pPr>
            <w:pStyle w:val="FirstFooter"/>
            <w:tabs>
              <w:tab w:val="left" w:pos="2302"/>
            </w:tabs>
            <w:rPr>
              <w:sz w:val="18"/>
              <w:szCs w:val="18"/>
              <w:lang w:val="en-US"/>
            </w:rPr>
          </w:pPr>
          <w:r w:rsidRPr="00AF1FCA">
            <w:rPr>
              <w:sz w:val="18"/>
              <w:szCs w:val="18"/>
            </w:rPr>
            <w:t xml:space="preserve">Mr Jose Maria Diaz </w:t>
          </w:r>
          <w:proofErr w:type="spellStart"/>
          <w:r w:rsidRPr="00AF1FCA">
            <w:rPr>
              <w:sz w:val="18"/>
              <w:szCs w:val="18"/>
            </w:rPr>
            <w:t>Batanero</w:t>
          </w:r>
          <w:proofErr w:type="spellEnd"/>
          <w:r w:rsidRPr="00AF1FCA">
            <w:rPr>
              <w:sz w:val="18"/>
              <w:szCs w:val="18"/>
            </w:rPr>
            <w:t>, Head, Project Support Division, Telecommunication Development Bureau</w:t>
          </w:r>
        </w:p>
      </w:tc>
      <w:bookmarkStart w:id="12" w:name="OrgName"/>
      <w:bookmarkEnd w:id="12"/>
    </w:tr>
    <w:tr w:rsidR="00FE2210" w:rsidRPr="004D495C" w14:paraId="1CC09AE7" w14:textId="77777777" w:rsidTr="003447A8">
      <w:tc>
        <w:tcPr>
          <w:tcW w:w="1526" w:type="dxa"/>
          <w:shd w:val="clear" w:color="auto" w:fill="auto"/>
        </w:tcPr>
        <w:p w14:paraId="7BB1BEC2" w14:textId="77777777" w:rsidR="00FE2210" w:rsidRPr="004D495C" w:rsidRDefault="00FE2210" w:rsidP="003B78F1">
          <w:pPr>
            <w:pStyle w:val="FirstFooter"/>
            <w:tabs>
              <w:tab w:val="left" w:pos="1559"/>
              <w:tab w:val="left" w:pos="3828"/>
            </w:tabs>
            <w:rPr>
              <w:sz w:val="20"/>
              <w:lang w:val="en-US"/>
            </w:rPr>
          </w:pPr>
        </w:p>
      </w:tc>
      <w:tc>
        <w:tcPr>
          <w:tcW w:w="2410" w:type="dxa"/>
          <w:shd w:val="clear" w:color="auto" w:fill="auto"/>
        </w:tcPr>
        <w:p w14:paraId="6CF01C6C" w14:textId="6637F7D4" w:rsidR="00FE2210" w:rsidRPr="004D495C" w:rsidRDefault="00FE2210" w:rsidP="003B78F1">
          <w:pPr>
            <w:pStyle w:val="FirstFooter"/>
            <w:tabs>
              <w:tab w:val="left" w:pos="2302"/>
            </w:tabs>
            <w:rPr>
              <w:sz w:val="18"/>
              <w:szCs w:val="18"/>
              <w:lang w:val="en-US"/>
            </w:rPr>
          </w:pPr>
          <w:r w:rsidRPr="00AF1FCA">
            <w:rPr>
              <w:sz w:val="18"/>
              <w:szCs w:val="18"/>
            </w:rPr>
            <w:t>Phone number:</w:t>
          </w:r>
        </w:p>
      </w:tc>
      <w:tc>
        <w:tcPr>
          <w:tcW w:w="5987" w:type="dxa"/>
        </w:tcPr>
        <w:p w14:paraId="527F567E" w14:textId="0C2B6313" w:rsidR="00FE2210" w:rsidRPr="00D8064E" w:rsidRDefault="00FE2210" w:rsidP="003B78F1">
          <w:pPr>
            <w:pStyle w:val="FirstFooter"/>
            <w:tabs>
              <w:tab w:val="left" w:pos="2302"/>
            </w:tabs>
            <w:rPr>
              <w:sz w:val="18"/>
              <w:szCs w:val="18"/>
              <w:lang w:val="en-US"/>
            </w:rPr>
          </w:pPr>
          <w:r w:rsidRPr="00AF1FCA">
            <w:rPr>
              <w:sz w:val="18"/>
              <w:szCs w:val="18"/>
            </w:rPr>
            <w:t>+41 22 730 5495</w:t>
          </w:r>
        </w:p>
      </w:tc>
      <w:bookmarkStart w:id="13" w:name="PhoneNo"/>
      <w:bookmarkEnd w:id="13"/>
    </w:tr>
    <w:tr w:rsidR="00FE2210" w:rsidRPr="004D495C" w14:paraId="34A468D3" w14:textId="77777777" w:rsidTr="003447A8">
      <w:tc>
        <w:tcPr>
          <w:tcW w:w="1526" w:type="dxa"/>
          <w:shd w:val="clear" w:color="auto" w:fill="auto"/>
        </w:tcPr>
        <w:p w14:paraId="2403414C" w14:textId="77777777" w:rsidR="00FE2210" w:rsidRPr="004D495C" w:rsidRDefault="00FE2210" w:rsidP="003B78F1">
          <w:pPr>
            <w:pStyle w:val="FirstFooter"/>
            <w:tabs>
              <w:tab w:val="left" w:pos="1559"/>
              <w:tab w:val="left" w:pos="3828"/>
            </w:tabs>
            <w:rPr>
              <w:sz w:val="20"/>
              <w:lang w:val="en-US"/>
            </w:rPr>
          </w:pPr>
        </w:p>
      </w:tc>
      <w:tc>
        <w:tcPr>
          <w:tcW w:w="2410" w:type="dxa"/>
          <w:shd w:val="clear" w:color="auto" w:fill="auto"/>
        </w:tcPr>
        <w:p w14:paraId="2BECCEFC" w14:textId="326EA960" w:rsidR="00FE2210" w:rsidRPr="004D495C" w:rsidRDefault="00FE2210" w:rsidP="003B78F1">
          <w:pPr>
            <w:pStyle w:val="FirstFooter"/>
            <w:tabs>
              <w:tab w:val="left" w:pos="2302"/>
            </w:tabs>
            <w:rPr>
              <w:sz w:val="18"/>
              <w:szCs w:val="18"/>
              <w:lang w:val="en-US"/>
            </w:rPr>
          </w:pPr>
          <w:r w:rsidRPr="00AF1FCA">
            <w:rPr>
              <w:sz w:val="18"/>
              <w:szCs w:val="18"/>
            </w:rPr>
            <w:t>E-mail:</w:t>
          </w:r>
        </w:p>
      </w:tc>
      <w:tc>
        <w:tcPr>
          <w:tcW w:w="5987" w:type="dxa"/>
        </w:tcPr>
        <w:p w14:paraId="36CD733D" w14:textId="5A649DD1" w:rsidR="00FE2210" w:rsidRDefault="00FE2210" w:rsidP="003B78F1">
          <w:pPr>
            <w:pStyle w:val="FirstFooter"/>
            <w:tabs>
              <w:tab w:val="left" w:pos="2302"/>
            </w:tabs>
          </w:pPr>
          <w:hyperlink r:id="rId1" w:history="1">
            <w:r w:rsidRPr="00AF1FCA">
              <w:rPr>
                <w:rStyle w:val="Hyperlink"/>
                <w:sz w:val="18"/>
                <w:szCs w:val="22"/>
              </w:rPr>
              <w:t>jose.batanero@itu.int</w:t>
            </w:r>
          </w:hyperlink>
          <w:r w:rsidRPr="00AF1FCA">
            <w:rPr>
              <w:sz w:val="18"/>
              <w:szCs w:val="22"/>
            </w:rPr>
            <w:t xml:space="preserve"> </w:t>
          </w:r>
        </w:p>
      </w:tc>
      <w:bookmarkStart w:id="14" w:name="Email"/>
      <w:bookmarkEnd w:id="14"/>
    </w:tr>
  </w:tbl>
  <w:p w14:paraId="3FF320CD" w14:textId="77777777" w:rsidR="003447A8" w:rsidRDefault="003447A8" w:rsidP="003B78F1">
    <w:pPr>
      <w:pStyle w:val="Footer"/>
      <w:spacing w:before="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4F840" w14:textId="77777777" w:rsidR="00755E50" w:rsidRPr="0054377E" w:rsidRDefault="00755E50" w:rsidP="0054377E">
      <w:pPr>
        <w:spacing w:before="0"/>
      </w:pPr>
      <w:r w:rsidRPr="0054377E">
        <w:rPr>
          <w:b/>
        </w:rPr>
        <w:t>_______________</w:t>
      </w:r>
    </w:p>
  </w:footnote>
  <w:footnote w:type="continuationSeparator" w:id="0">
    <w:p w14:paraId="1186E507" w14:textId="77777777" w:rsidR="00755E50" w:rsidRDefault="00755E50" w:rsidP="0054377E">
      <w:pPr>
        <w:spacing w:before="0"/>
      </w:pPr>
      <w:r>
        <w:continuationSeparator/>
      </w:r>
    </w:p>
    <w:p w14:paraId="7F0CE70D" w14:textId="77777777" w:rsidR="00755E50" w:rsidRDefault="00755E50"/>
  </w:footnote>
  <w:footnote w:type="continuationNotice" w:id="1">
    <w:p w14:paraId="4614776B" w14:textId="77777777" w:rsidR="00755E50" w:rsidRDefault="00755E50">
      <w:pPr>
        <w:spacing w:before="0"/>
      </w:pPr>
    </w:p>
    <w:p w14:paraId="1A360D9A" w14:textId="77777777" w:rsidR="00755E50" w:rsidRDefault="00755E50"/>
  </w:footnote>
  <w:footnote w:id="2">
    <w:p w14:paraId="3535CA33" w14:textId="7FFF374F" w:rsidR="00483169" w:rsidRPr="003B78F1" w:rsidRDefault="00483169" w:rsidP="00483169">
      <w:pPr>
        <w:pStyle w:val="FootnoteText"/>
        <w:spacing w:before="0"/>
        <w:rPr>
          <w:i/>
          <w:iCs/>
          <w:sz w:val="20"/>
        </w:rPr>
      </w:pPr>
      <w:r w:rsidRPr="003B78F1">
        <w:rPr>
          <w:rStyle w:val="FootnoteReference"/>
          <w:i/>
          <w:iCs/>
          <w:sz w:val="20"/>
        </w:rPr>
        <w:footnoteRef/>
      </w:r>
      <w:r w:rsidRPr="003B78F1">
        <w:rPr>
          <w:i/>
          <w:iCs/>
          <w:sz w:val="20"/>
        </w:rPr>
        <w:t xml:space="preserve"> The figures provided in this document correspond to the financial balance at the 202</w:t>
      </w:r>
      <w:r w:rsidR="00BF0B93" w:rsidRPr="003B78F1">
        <w:rPr>
          <w:i/>
          <w:iCs/>
          <w:sz w:val="20"/>
        </w:rPr>
        <w:t>4</w:t>
      </w:r>
      <w:r w:rsidRPr="003B78F1">
        <w:rPr>
          <w:i/>
          <w:iCs/>
          <w:sz w:val="20"/>
        </w:rPr>
        <w:t xml:space="preserve"> closure of accounts (balance as of 31 December 202</w:t>
      </w:r>
      <w:r w:rsidR="00BF0B93" w:rsidRPr="003B78F1">
        <w:rPr>
          <w:i/>
          <w:iCs/>
          <w:sz w:val="20"/>
        </w:rPr>
        <w:t>4</w:t>
      </w:r>
      <w:r w:rsidRPr="003B78F1">
        <w:rPr>
          <w:i/>
          <w:iCs/>
          <w:sz w:val="20"/>
        </w:rPr>
        <w:t>).</w:t>
      </w:r>
    </w:p>
  </w:footnote>
  <w:footnote w:id="3">
    <w:p w14:paraId="6B9AD0A1" w14:textId="5A81F078" w:rsidR="00483169" w:rsidRPr="003B78F1" w:rsidRDefault="00483169" w:rsidP="00483169">
      <w:pPr>
        <w:pStyle w:val="FootnoteText"/>
        <w:tabs>
          <w:tab w:val="clear" w:pos="255"/>
          <w:tab w:val="left" w:pos="0"/>
        </w:tabs>
        <w:spacing w:before="0"/>
        <w:rPr>
          <w:i/>
          <w:iCs/>
          <w:sz w:val="20"/>
        </w:rPr>
      </w:pPr>
      <w:r w:rsidRPr="003B78F1">
        <w:rPr>
          <w:rStyle w:val="FootnoteReference"/>
          <w:sz w:val="20"/>
        </w:rPr>
        <w:footnoteRef/>
      </w:r>
      <w:r w:rsidRPr="003B78F1">
        <w:rPr>
          <w:sz w:val="20"/>
        </w:rPr>
        <w:t xml:space="preserve"> </w:t>
      </w:r>
      <w:r w:rsidRPr="003B78F1">
        <w:rPr>
          <w:i/>
          <w:iCs/>
          <w:sz w:val="20"/>
        </w:rPr>
        <w:t xml:space="preserve">Note that this figure does not include </w:t>
      </w:r>
      <w:r w:rsidR="00734236" w:rsidRPr="003B78F1">
        <w:rPr>
          <w:i/>
          <w:iCs/>
          <w:sz w:val="20"/>
        </w:rPr>
        <w:t xml:space="preserve">addenda signed for ongoing projects, as well as </w:t>
      </w:r>
      <w:r w:rsidRPr="003B78F1">
        <w:rPr>
          <w:i/>
          <w:iCs/>
          <w:sz w:val="20"/>
        </w:rPr>
        <w:t>other partnership agreements such as sponsorship agreements or voluntary contributions agreements, which are reported in document TDAG-2</w:t>
      </w:r>
      <w:r w:rsidR="00BE6BBA" w:rsidRPr="003B78F1">
        <w:rPr>
          <w:i/>
          <w:iCs/>
          <w:sz w:val="20"/>
        </w:rPr>
        <w:t>5</w:t>
      </w:r>
      <w:r w:rsidRPr="003B78F1">
        <w:rPr>
          <w:i/>
          <w:iCs/>
          <w:sz w:val="20"/>
        </w:rPr>
        <w:t>/</w:t>
      </w:r>
      <w:r w:rsidR="00390F7E" w:rsidRPr="003B78F1">
        <w:rPr>
          <w:i/>
          <w:iCs/>
          <w:sz w:val="20"/>
        </w:rPr>
        <w:t>INF/1</w:t>
      </w:r>
      <w:r w:rsidRPr="003B78F1">
        <w:rPr>
          <w:i/>
          <w:iCs/>
          <w:sz w:val="20"/>
        </w:rPr>
        <w:t>.</w:t>
      </w:r>
    </w:p>
  </w:footnote>
  <w:footnote w:id="4">
    <w:p w14:paraId="2D42A2FB" w14:textId="77777777" w:rsidR="00483169" w:rsidRPr="003B78F1" w:rsidRDefault="00483169" w:rsidP="00483169">
      <w:pPr>
        <w:pStyle w:val="FootnoteText"/>
        <w:spacing w:before="0"/>
        <w:rPr>
          <w:i/>
          <w:iCs/>
          <w:sz w:val="20"/>
        </w:rPr>
      </w:pPr>
      <w:r w:rsidRPr="003B78F1">
        <w:rPr>
          <w:rStyle w:val="FootnoteReference"/>
          <w:i/>
          <w:iCs/>
          <w:sz w:val="20"/>
        </w:rPr>
        <w:footnoteRef/>
      </w:r>
      <w:r w:rsidRPr="003B78F1">
        <w:rPr>
          <w:i/>
          <w:iCs/>
          <w:sz w:val="20"/>
        </w:rPr>
        <w:t xml:space="preserve"> For further information see Resolution 1418, available at </w:t>
      </w:r>
      <w:hyperlink r:id="rId1" w:history="1">
        <w:r w:rsidRPr="003B78F1">
          <w:rPr>
            <w:rStyle w:val="Hyperlink"/>
            <w:i/>
            <w:iCs/>
            <w:sz w:val="20"/>
          </w:rPr>
          <w:t>https://www.itu.int/md/S23-CL-C-0116/</w:t>
        </w:r>
      </w:hyperlink>
    </w:p>
  </w:footnote>
  <w:footnote w:id="5">
    <w:p w14:paraId="70733FA3" w14:textId="77777777" w:rsidR="00483169" w:rsidRPr="003B78F1" w:rsidRDefault="00483169" w:rsidP="00483169">
      <w:pPr>
        <w:pStyle w:val="FootnoteText"/>
        <w:spacing w:before="0"/>
        <w:rPr>
          <w:i/>
          <w:iCs/>
          <w:sz w:val="20"/>
        </w:rPr>
      </w:pPr>
      <w:r w:rsidRPr="003B78F1">
        <w:rPr>
          <w:rStyle w:val="FootnoteReference"/>
          <w:i/>
          <w:iCs/>
          <w:sz w:val="20"/>
        </w:rPr>
        <w:footnoteRef/>
      </w:r>
      <w:r w:rsidRPr="003B78F1">
        <w:rPr>
          <w:i/>
          <w:iCs/>
          <w:sz w:val="20"/>
        </w:rPr>
        <w:t xml:space="preserve"> Available at </w:t>
      </w:r>
      <w:hyperlink r:id="rId2" w:history="1">
        <w:r w:rsidRPr="003B78F1">
          <w:rPr>
            <w:rStyle w:val="Hyperlink"/>
            <w:i/>
            <w:iCs/>
            <w:sz w:val="20"/>
          </w:rPr>
          <w:t>https://www.itu.int/en/ITU-D/Projects</w:t>
        </w:r>
      </w:hyperlink>
    </w:p>
  </w:footnote>
  <w:footnote w:id="6">
    <w:p w14:paraId="64DAA219" w14:textId="3E943A03" w:rsidR="00483169" w:rsidRPr="003B78F1" w:rsidRDefault="00483169" w:rsidP="00483169">
      <w:pPr>
        <w:pStyle w:val="FootnoteText"/>
        <w:tabs>
          <w:tab w:val="clear" w:pos="255"/>
          <w:tab w:val="left" w:pos="90"/>
        </w:tabs>
        <w:spacing w:before="0"/>
        <w:rPr>
          <w:rFonts w:cstheme="minorHAnsi"/>
          <w:i/>
          <w:iCs/>
          <w:sz w:val="20"/>
        </w:rPr>
      </w:pPr>
      <w:r w:rsidRPr="003B78F1">
        <w:rPr>
          <w:rStyle w:val="FootnoteReference"/>
          <w:i/>
          <w:iCs/>
          <w:sz w:val="20"/>
        </w:rPr>
        <w:footnoteRef/>
      </w:r>
      <w:r w:rsidRPr="003B78F1">
        <w:rPr>
          <w:i/>
          <w:iCs/>
          <w:sz w:val="20"/>
        </w:rPr>
        <w:t xml:space="preserve"> </w:t>
      </w:r>
      <w:r w:rsidRPr="003B78F1">
        <w:rPr>
          <w:rFonts w:cstheme="minorHAnsi"/>
          <w:i/>
          <w:iCs/>
          <w:sz w:val="20"/>
        </w:rPr>
        <w:t xml:space="preserve">More information about ITU-D partnerships and resource mobilization is available in documents </w:t>
      </w:r>
      <w:hyperlink r:id="rId3" w:history="1">
        <w:r w:rsidRPr="003B78F1">
          <w:rPr>
            <w:rStyle w:val="Hyperlink"/>
            <w:rFonts w:cstheme="minorHAnsi"/>
            <w:i/>
            <w:iCs/>
            <w:sz w:val="20"/>
          </w:rPr>
          <w:t>TDAG-2</w:t>
        </w:r>
        <w:r w:rsidR="001F248D" w:rsidRPr="003B78F1">
          <w:rPr>
            <w:rStyle w:val="Hyperlink"/>
            <w:rFonts w:cstheme="minorHAnsi"/>
            <w:i/>
            <w:iCs/>
            <w:sz w:val="20"/>
          </w:rPr>
          <w:t>5</w:t>
        </w:r>
        <w:r w:rsidRPr="003B78F1">
          <w:rPr>
            <w:rStyle w:val="Hyperlink"/>
            <w:rFonts w:cstheme="minorHAnsi"/>
            <w:i/>
            <w:iCs/>
            <w:sz w:val="20"/>
          </w:rPr>
          <w:t>/</w:t>
        </w:r>
        <w:r w:rsidR="00166AC1" w:rsidRPr="003B78F1">
          <w:rPr>
            <w:rStyle w:val="Hyperlink"/>
            <w:rFonts w:cstheme="minorHAnsi"/>
            <w:i/>
            <w:iCs/>
            <w:sz w:val="20"/>
          </w:rPr>
          <w:t>9</w:t>
        </w:r>
        <w:r w:rsidRPr="003B78F1">
          <w:rPr>
            <w:rStyle w:val="Hyperlink"/>
            <w:rFonts w:cstheme="minorHAnsi"/>
            <w:i/>
            <w:iCs/>
            <w:sz w:val="20"/>
          </w:rPr>
          <w:t>-E </w:t>
        </w:r>
      </w:hyperlink>
      <w:r w:rsidRPr="003B78F1">
        <w:rPr>
          <w:rFonts w:cstheme="minorHAnsi"/>
          <w:i/>
          <w:iCs/>
          <w:sz w:val="20"/>
        </w:rPr>
        <w:t xml:space="preserve">and Document </w:t>
      </w:r>
      <w:hyperlink r:id="rId4" w:history="1">
        <w:r w:rsidR="008537CA" w:rsidRPr="003B78F1">
          <w:rPr>
            <w:rStyle w:val="Hyperlink"/>
            <w:rFonts w:cstheme="minorHAnsi"/>
            <w:i/>
            <w:iCs/>
            <w:sz w:val="20"/>
          </w:rPr>
          <w:t>TDAG-25/</w:t>
        </w:r>
        <w:r w:rsidRPr="003B78F1">
          <w:rPr>
            <w:rStyle w:val="Hyperlink"/>
            <w:rFonts w:cstheme="minorHAnsi"/>
            <w:i/>
            <w:iCs/>
            <w:sz w:val="20"/>
          </w:rPr>
          <w:t>INF/</w:t>
        </w:r>
        <w:r w:rsidR="00D157F7" w:rsidRPr="003B78F1">
          <w:rPr>
            <w:rStyle w:val="Hyperlink"/>
            <w:rFonts w:cstheme="minorHAnsi"/>
            <w:i/>
            <w:iCs/>
            <w:sz w:val="20"/>
          </w:rPr>
          <w:t>3</w:t>
        </w:r>
      </w:hyperlink>
      <w:r w:rsidRPr="003B78F1">
        <w:rPr>
          <w:rFonts w:cstheme="minorHAnsi"/>
          <w:i/>
          <w:iCs/>
          <w:sz w:val="20"/>
        </w:rPr>
        <w:t xml:space="preserve">, and </w:t>
      </w:r>
      <w:hyperlink r:id="rId5" w:history="1">
        <w:r w:rsidRPr="003B78F1">
          <w:rPr>
            <w:rStyle w:val="Hyperlink"/>
            <w:rFonts w:cstheme="minorHAnsi"/>
            <w:i/>
            <w:iCs/>
            <w:sz w:val="20"/>
          </w:rPr>
          <w:t>TDAG-2</w:t>
        </w:r>
        <w:r w:rsidR="001F248D" w:rsidRPr="003B78F1">
          <w:rPr>
            <w:rStyle w:val="Hyperlink"/>
            <w:rFonts w:cstheme="minorHAnsi"/>
            <w:i/>
            <w:iCs/>
            <w:sz w:val="20"/>
          </w:rPr>
          <w:t>5</w:t>
        </w:r>
        <w:r w:rsidRPr="003B78F1">
          <w:rPr>
            <w:rStyle w:val="Hyperlink"/>
            <w:rFonts w:cstheme="minorHAnsi"/>
            <w:i/>
            <w:iCs/>
            <w:sz w:val="20"/>
          </w:rPr>
          <w:t>/8-E</w:t>
        </w:r>
      </w:hyperlink>
      <w:r w:rsidRPr="003B78F1">
        <w:rPr>
          <w:rFonts w:cstheme="minorHAnsi"/>
          <w:i/>
          <w:iCs/>
          <w:sz w:val="20"/>
        </w:rPr>
        <w:t xml:space="preserve"> on ITU-D Sector Members, Associates, and Academia.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1383120A"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370476">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658A7"/>
    <w:multiLevelType w:val="hybridMultilevel"/>
    <w:tmpl w:val="A652166A"/>
    <w:lvl w:ilvl="0" w:tplc="B80E9A42">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2"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2"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40"/>
  </w:num>
  <w:num w:numId="4" w16cid:durableId="1830174465">
    <w:abstractNumId w:val="3"/>
  </w:num>
  <w:num w:numId="5" w16cid:durableId="1479105461">
    <w:abstractNumId w:val="32"/>
  </w:num>
  <w:num w:numId="6" w16cid:durableId="869954702">
    <w:abstractNumId w:val="38"/>
  </w:num>
  <w:num w:numId="7" w16cid:durableId="444734477">
    <w:abstractNumId w:val="4"/>
  </w:num>
  <w:num w:numId="8" w16cid:durableId="362947223">
    <w:abstractNumId w:val="14"/>
  </w:num>
  <w:num w:numId="9" w16cid:durableId="458111764">
    <w:abstractNumId w:val="6"/>
  </w:num>
  <w:num w:numId="10" w16cid:durableId="1195534353">
    <w:abstractNumId w:val="13"/>
  </w:num>
  <w:num w:numId="11" w16cid:durableId="1826580952">
    <w:abstractNumId w:val="30"/>
  </w:num>
  <w:num w:numId="12" w16cid:durableId="1514690498">
    <w:abstractNumId w:val="37"/>
  </w:num>
  <w:num w:numId="13" w16cid:durableId="1235118698">
    <w:abstractNumId w:val="2"/>
  </w:num>
  <w:num w:numId="14" w16cid:durableId="509291828">
    <w:abstractNumId w:val="5"/>
  </w:num>
  <w:num w:numId="15" w16cid:durableId="383218916">
    <w:abstractNumId w:val="12"/>
  </w:num>
  <w:num w:numId="16" w16cid:durableId="1227569663">
    <w:abstractNumId w:val="9"/>
  </w:num>
  <w:num w:numId="17" w16cid:durableId="810974550">
    <w:abstractNumId w:val="43"/>
  </w:num>
  <w:num w:numId="18" w16cid:durableId="1354573477">
    <w:abstractNumId w:val="35"/>
  </w:num>
  <w:num w:numId="19" w16cid:durableId="435754545">
    <w:abstractNumId w:val="18"/>
  </w:num>
  <w:num w:numId="20" w16cid:durableId="1066875134">
    <w:abstractNumId w:val="29"/>
  </w:num>
  <w:num w:numId="21" w16cid:durableId="1689939216">
    <w:abstractNumId w:val="28"/>
  </w:num>
  <w:num w:numId="22" w16cid:durableId="1257783837">
    <w:abstractNumId w:val="44"/>
  </w:num>
  <w:num w:numId="23" w16cid:durableId="970285242">
    <w:abstractNumId w:val="24"/>
  </w:num>
  <w:num w:numId="24" w16cid:durableId="1876889861">
    <w:abstractNumId w:val="17"/>
  </w:num>
  <w:num w:numId="25" w16cid:durableId="138228398">
    <w:abstractNumId w:val="20"/>
  </w:num>
  <w:num w:numId="26" w16cid:durableId="1871145006">
    <w:abstractNumId w:val="22"/>
  </w:num>
  <w:num w:numId="27" w16cid:durableId="1946108508">
    <w:abstractNumId w:val="25"/>
  </w:num>
  <w:num w:numId="28" w16cid:durableId="1629045729">
    <w:abstractNumId w:val="11"/>
  </w:num>
  <w:num w:numId="29" w16cid:durableId="2010906637">
    <w:abstractNumId w:val="26"/>
  </w:num>
  <w:num w:numId="30" w16cid:durableId="290525213">
    <w:abstractNumId w:val="42"/>
  </w:num>
  <w:num w:numId="31" w16cid:durableId="191966975">
    <w:abstractNumId w:val="27"/>
  </w:num>
  <w:num w:numId="32" w16cid:durableId="2014406757">
    <w:abstractNumId w:val="33"/>
  </w:num>
  <w:num w:numId="33" w16cid:durableId="648558829">
    <w:abstractNumId w:val="19"/>
  </w:num>
  <w:num w:numId="34" w16cid:durableId="2071807613">
    <w:abstractNumId w:val="10"/>
  </w:num>
  <w:num w:numId="35" w16cid:durableId="271744889">
    <w:abstractNumId w:val="36"/>
  </w:num>
  <w:num w:numId="36" w16cid:durableId="1457527817">
    <w:abstractNumId w:val="23"/>
  </w:num>
  <w:num w:numId="37" w16cid:durableId="10661010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4"/>
  </w:num>
  <w:num w:numId="39" w16cid:durableId="359361948">
    <w:abstractNumId w:val="39"/>
  </w:num>
  <w:num w:numId="40" w16cid:durableId="1037706265">
    <w:abstractNumId w:val="8"/>
  </w:num>
  <w:num w:numId="41" w16cid:durableId="447436251">
    <w:abstractNumId w:val="45"/>
  </w:num>
  <w:num w:numId="42" w16cid:durableId="655766109">
    <w:abstractNumId w:val="16"/>
  </w:num>
  <w:num w:numId="43" w16cid:durableId="577523632">
    <w:abstractNumId w:val="15"/>
  </w:num>
  <w:num w:numId="44" w16cid:durableId="1138063662">
    <w:abstractNumId w:val="41"/>
  </w:num>
  <w:num w:numId="45" w16cid:durableId="25525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42778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50B0"/>
    <w:rsid w:val="00015E52"/>
    <w:rsid w:val="00022A29"/>
    <w:rsid w:val="00025926"/>
    <w:rsid w:val="00025965"/>
    <w:rsid w:val="000353CC"/>
    <w:rsid w:val="000355FD"/>
    <w:rsid w:val="0003589F"/>
    <w:rsid w:val="0005184F"/>
    <w:rsid w:val="000518B8"/>
    <w:rsid w:val="00051E39"/>
    <w:rsid w:val="00052FA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4894"/>
    <w:rsid w:val="0009581F"/>
    <w:rsid w:val="00095901"/>
    <w:rsid w:val="00097074"/>
    <w:rsid w:val="000A3B54"/>
    <w:rsid w:val="000A59AE"/>
    <w:rsid w:val="000A66C4"/>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2FDF"/>
    <w:rsid w:val="00123B68"/>
    <w:rsid w:val="00124AF4"/>
    <w:rsid w:val="00124CAA"/>
    <w:rsid w:val="001254BE"/>
    <w:rsid w:val="00125E69"/>
    <w:rsid w:val="00126F2E"/>
    <w:rsid w:val="00127FC6"/>
    <w:rsid w:val="001424DC"/>
    <w:rsid w:val="00143A87"/>
    <w:rsid w:val="00144E69"/>
    <w:rsid w:val="00146F6F"/>
    <w:rsid w:val="0014714E"/>
    <w:rsid w:val="00147DA1"/>
    <w:rsid w:val="00152957"/>
    <w:rsid w:val="0016030D"/>
    <w:rsid w:val="001655E8"/>
    <w:rsid w:val="00166196"/>
    <w:rsid w:val="001664A7"/>
    <w:rsid w:val="00166AC1"/>
    <w:rsid w:val="00167327"/>
    <w:rsid w:val="00167A9D"/>
    <w:rsid w:val="00170C5A"/>
    <w:rsid w:val="0017171C"/>
    <w:rsid w:val="00171758"/>
    <w:rsid w:val="0017500F"/>
    <w:rsid w:val="00176173"/>
    <w:rsid w:val="00176991"/>
    <w:rsid w:val="00180444"/>
    <w:rsid w:val="001832B9"/>
    <w:rsid w:val="00185737"/>
    <w:rsid w:val="00187BD9"/>
    <w:rsid w:val="0019060A"/>
    <w:rsid w:val="00190B55"/>
    <w:rsid w:val="00191F5C"/>
    <w:rsid w:val="00192FA9"/>
    <w:rsid w:val="00194CFB"/>
    <w:rsid w:val="001962B9"/>
    <w:rsid w:val="001A1FFD"/>
    <w:rsid w:val="001A3858"/>
    <w:rsid w:val="001A4BD2"/>
    <w:rsid w:val="001B2ED3"/>
    <w:rsid w:val="001B643A"/>
    <w:rsid w:val="001B6675"/>
    <w:rsid w:val="001B7030"/>
    <w:rsid w:val="001B7756"/>
    <w:rsid w:val="001B7EA3"/>
    <w:rsid w:val="001C3B5F"/>
    <w:rsid w:val="001C61EA"/>
    <w:rsid w:val="001D058F"/>
    <w:rsid w:val="001D2025"/>
    <w:rsid w:val="001D3FD0"/>
    <w:rsid w:val="001D4072"/>
    <w:rsid w:val="001D520B"/>
    <w:rsid w:val="001D78D5"/>
    <w:rsid w:val="001D7F1E"/>
    <w:rsid w:val="001E0384"/>
    <w:rsid w:val="001E24AF"/>
    <w:rsid w:val="001E252D"/>
    <w:rsid w:val="001E43DC"/>
    <w:rsid w:val="001E5464"/>
    <w:rsid w:val="001F223B"/>
    <w:rsid w:val="001F248D"/>
    <w:rsid w:val="001F6060"/>
    <w:rsid w:val="002009EA"/>
    <w:rsid w:val="00200C9C"/>
    <w:rsid w:val="00202CA0"/>
    <w:rsid w:val="00207A5D"/>
    <w:rsid w:val="00210073"/>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03F2"/>
    <w:rsid w:val="00281562"/>
    <w:rsid w:val="00283F74"/>
    <w:rsid w:val="0028434A"/>
    <w:rsid w:val="00286C1D"/>
    <w:rsid w:val="00286C4C"/>
    <w:rsid w:val="00294BF6"/>
    <w:rsid w:val="00294D5A"/>
    <w:rsid w:val="002955DA"/>
    <w:rsid w:val="00295A71"/>
    <w:rsid w:val="00296313"/>
    <w:rsid w:val="00296DA0"/>
    <w:rsid w:val="00297006"/>
    <w:rsid w:val="002A0A7A"/>
    <w:rsid w:val="002A0D8C"/>
    <w:rsid w:val="002A27F8"/>
    <w:rsid w:val="002A2CF7"/>
    <w:rsid w:val="002A51DF"/>
    <w:rsid w:val="002A684E"/>
    <w:rsid w:val="002B074A"/>
    <w:rsid w:val="002B10D5"/>
    <w:rsid w:val="002B1F95"/>
    <w:rsid w:val="002B3296"/>
    <w:rsid w:val="002B3C84"/>
    <w:rsid w:val="002B5490"/>
    <w:rsid w:val="002C12ED"/>
    <w:rsid w:val="002C2B03"/>
    <w:rsid w:val="002C49BA"/>
    <w:rsid w:val="002C4B75"/>
    <w:rsid w:val="002C6B70"/>
    <w:rsid w:val="002C73F6"/>
    <w:rsid w:val="002C7D5E"/>
    <w:rsid w:val="002D58BE"/>
    <w:rsid w:val="002D5CE8"/>
    <w:rsid w:val="002D7630"/>
    <w:rsid w:val="002E4D1D"/>
    <w:rsid w:val="002E51E0"/>
    <w:rsid w:val="002E5411"/>
    <w:rsid w:val="002E7A84"/>
    <w:rsid w:val="002F1BD0"/>
    <w:rsid w:val="002F25F6"/>
    <w:rsid w:val="002F6880"/>
    <w:rsid w:val="002F7D96"/>
    <w:rsid w:val="003013EE"/>
    <w:rsid w:val="00304031"/>
    <w:rsid w:val="00311808"/>
    <w:rsid w:val="00311851"/>
    <w:rsid w:val="00311CD5"/>
    <w:rsid w:val="00316725"/>
    <w:rsid w:val="00316A69"/>
    <w:rsid w:val="003231C6"/>
    <w:rsid w:val="00323E49"/>
    <w:rsid w:val="003247A5"/>
    <w:rsid w:val="00325939"/>
    <w:rsid w:val="003273BC"/>
    <w:rsid w:val="00331F05"/>
    <w:rsid w:val="00335759"/>
    <w:rsid w:val="00337750"/>
    <w:rsid w:val="00341AC4"/>
    <w:rsid w:val="0034384D"/>
    <w:rsid w:val="003447A8"/>
    <w:rsid w:val="003447F5"/>
    <w:rsid w:val="00345D42"/>
    <w:rsid w:val="00346224"/>
    <w:rsid w:val="0034636C"/>
    <w:rsid w:val="0035089A"/>
    <w:rsid w:val="003511BC"/>
    <w:rsid w:val="003543A1"/>
    <w:rsid w:val="00356083"/>
    <w:rsid w:val="003572D4"/>
    <w:rsid w:val="00361609"/>
    <w:rsid w:val="00364098"/>
    <w:rsid w:val="00366978"/>
    <w:rsid w:val="0037003F"/>
    <w:rsid w:val="00370476"/>
    <w:rsid w:val="00372BCF"/>
    <w:rsid w:val="00373365"/>
    <w:rsid w:val="00377BD3"/>
    <w:rsid w:val="003807EA"/>
    <w:rsid w:val="003829D8"/>
    <w:rsid w:val="0038304D"/>
    <w:rsid w:val="00384088"/>
    <w:rsid w:val="0038489B"/>
    <w:rsid w:val="00385BE9"/>
    <w:rsid w:val="00390F7E"/>
    <w:rsid w:val="0039169B"/>
    <w:rsid w:val="00392277"/>
    <w:rsid w:val="00394B65"/>
    <w:rsid w:val="00394B90"/>
    <w:rsid w:val="003968CC"/>
    <w:rsid w:val="003A03FF"/>
    <w:rsid w:val="003A04F5"/>
    <w:rsid w:val="003A22FC"/>
    <w:rsid w:val="003A260A"/>
    <w:rsid w:val="003A5137"/>
    <w:rsid w:val="003A6BAC"/>
    <w:rsid w:val="003A6BED"/>
    <w:rsid w:val="003A7F8C"/>
    <w:rsid w:val="003B08DA"/>
    <w:rsid w:val="003B11F9"/>
    <w:rsid w:val="003B2B56"/>
    <w:rsid w:val="003B3CAC"/>
    <w:rsid w:val="003B532E"/>
    <w:rsid w:val="003B6306"/>
    <w:rsid w:val="003B6602"/>
    <w:rsid w:val="003B6F14"/>
    <w:rsid w:val="003B6F60"/>
    <w:rsid w:val="003B78F1"/>
    <w:rsid w:val="003C1870"/>
    <w:rsid w:val="003C6021"/>
    <w:rsid w:val="003C6136"/>
    <w:rsid w:val="003D0F8B"/>
    <w:rsid w:val="003D1814"/>
    <w:rsid w:val="003D39F2"/>
    <w:rsid w:val="003D5A63"/>
    <w:rsid w:val="003D6425"/>
    <w:rsid w:val="003D66A7"/>
    <w:rsid w:val="003D7DE0"/>
    <w:rsid w:val="003D7EE8"/>
    <w:rsid w:val="003E4B53"/>
    <w:rsid w:val="003F0A6C"/>
    <w:rsid w:val="003F0F49"/>
    <w:rsid w:val="003F1363"/>
    <w:rsid w:val="00401F3E"/>
    <w:rsid w:val="00402D2B"/>
    <w:rsid w:val="00403C69"/>
    <w:rsid w:val="00405EC2"/>
    <w:rsid w:val="00406278"/>
    <w:rsid w:val="00406297"/>
    <w:rsid w:val="0041195F"/>
    <w:rsid w:val="00412C81"/>
    <w:rsid w:val="004131D4"/>
    <w:rsid w:val="0041348E"/>
    <w:rsid w:val="00414895"/>
    <w:rsid w:val="004208C6"/>
    <w:rsid w:val="00421605"/>
    <w:rsid w:val="004269E6"/>
    <w:rsid w:val="004324B9"/>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3424"/>
    <w:rsid w:val="004552B4"/>
    <w:rsid w:val="00460CF8"/>
    <w:rsid w:val="00462253"/>
    <w:rsid w:val="00462CB2"/>
    <w:rsid w:val="004631CC"/>
    <w:rsid w:val="00467DB2"/>
    <w:rsid w:val="00471904"/>
    <w:rsid w:val="00472FC1"/>
    <w:rsid w:val="004755BA"/>
    <w:rsid w:val="004765FF"/>
    <w:rsid w:val="00481E58"/>
    <w:rsid w:val="00483169"/>
    <w:rsid w:val="00483F59"/>
    <w:rsid w:val="0048520E"/>
    <w:rsid w:val="00486163"/>
    <w:rsid w:val="00490EA1"/>
    <w:rsid w:val="00492075"/>
    <w:rsid w:val="00492875"/>
    <w:rsid w:val="0049304E"/>
    <w:rsid w:val="00494BD0"/>
    <w:rsid w:val="00495290"/>
    <w:rsid w:val="004969AD"/>
    <w:rsid w:val="00496E2A"/>
    <w:rsid w:val="00496F0C"/>
    <w:rsid w:val="004A0244"/>
    <w:rsid w:val="004A3FF4"/>
    <w:rsid w:val="004A7674"/>
    <w:rsid w:val="004A783D"/>
    <w:rsid w:val="004B13CB"/>
    <w:rsid w:val="004B2466"/>
    <w:rsid w:val="004B37D0"/>
    <w:rsid w:val="004B3C6F"/>
    <w:rsid w:val="004B4FDF"/>
    <w:rsid w:val="004B4FF2"/>
    <w:rsid w:val="004B716F"/>
    <w:rsid w:val="004B7C16"/>
    <w:rsid w:val="004B7E77"/>
    <w:rsid w:val="004C2751"/>
    <w:rsid w:val="004C3355"/>
    <w:rsid w:val="004C4A8B"/>
    <w:rsid w:val="004D04E2"/>
    <w:rsid w:val="004D4243"/>
    <w:rsid w:val="004D5D5C"/>
    <w:rsid w:val="004D5EF0"/>
    <w:rsid w:val="004D752D"/>
    <w:rsid w:val="004D7763"/>
    <w:rsid w:val="004E0767"/>
    <w:rsid w:val="004E0FCF"/>
    <w:rsid w:val="004E27DE"/>
    <w:rsid w:val="004E2F10"/>
    <w:rsid w:val="004E3276"/>
    <w:rsid w:val="004E4F74"/>
    <w:rsid w:val="004E5959"/>
    <w:rsid w:val="004E5D10"/>
    <w:rsid w:val="004E704A"/>
    <w:rsid w:val="004F051F"/>
    <w:rsid w:val="004F273F"/>
    <w:rsid w:val="004F3D95"/>
    <w:rsid w:val="004F660E"/>
    <w:rsid w:val="004F7270"/>
    <w:rsid w:val="005004A4"/>
    <w:rsid w:val="0050139F"/>
    <w:rsid w:val="00505054"/>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3CBA"/>
    <w:rsid w:val="00534631"/>
    <w:rsid w:val="005358BC"/>
    <w:rsid w:val="00536513"/>
    <w:rsid w:val="00536DB4"/>
    <w:rsid w:val="00541D24"/>
    <w:rsid w:val="00543159"/>
    <w:rsid w:val="0054377E"/>
    <w:rsid w:val="0054450F"/>
    <w:rsid w:val="00544A0A"/>
    <w:rsid w:val="00547CC3"/>
    <w:rsid w:val="0055140B"/>
    <w:rsid w:val="00552F9E"/>
    <w:rsid w:val="00554C4F"/>
    <w:rsid w:val="00561D72"/>
    <w:rsid w:val="00564F36"/>
    <w:rsid w:val="00566EEB"/>
    <w:rsid w:val="00570FA3"/>
    <w:rsid w:val="00571767"/>
    <w:rsid w:val="00574318"/>
    <w:rsid w:val="00575A45"/>
    <w:rsid w:val="00576FB4"/>
    <w:rsid w:val="00581664"/>
    <w:rsid w:val="005838F4"/>
    <w:rsid w:val="0058472D"/>
    <w:rsid w:val="00585238"/>
    <w:rsid w:val="005855FC"/>
    <w:rsid w:val="0058677D"/>
    <w:rsid w:val="00586EB9"/>
    <w:rsid w:val="00592321"/>
    <w:rsid w:val="005933B2"/>
    <w:rsid w:val="00593B87"/>
    <w:rsid w:val="005964AB"/>
    <w:rsid w:val="005A2BEB"/>
    <w:rsid w:val="005A3485"/>
    <w:rsid w:val="005A5E0C"/>
    <w:rsid w:val="005A6739"/>
    <w:rsid w:val="005B0278"/>
    <w:rsid w:val="005B1BC0"/>
    <w:rsid w:val="005B25C3"/>
    <w:rsid w:val="005B2DD6"/>
    <w:rsid w:val="005B41B7"/>
    <w:rsid w:val="005B44F5"/>
    <w:rsid w:val="005B5716"/>
    <w:rsid w:val="005B6D88"/>
    <w:rsid w:val="005B718F"/>
    <w:rsid w:val="005B7C9D"/>
    <w:rsid w:val="005C099A"/>
    <w:rsid w:val="005C116F"/>
    <w:rsid w:val="005C13B5"/>
    <w:rsid w:val="005C26D1"/>
    <w:rsid w:val="005C3173"/>
    <w:rsid w:val="005C31A5"/>
    <w:rsid w:val="005C3248"/>
    <w:rsid w:val="005C3F17"/>
    <w:rsid w:val="005C4740"/>
    <w:rsid w:val="005D0392"/>
    <w:rsid w:val="005D0BEA"/>
    <w:rsid w:val="005D47C5"/>
    <w:rsid w:val="005D4916"/>
    <w:rsid w:val="005E0641"/>
    <w:rsid w:val="005E0D2B"/>
    <w:rsid w:val="005E10C9"/>
    <w:rsid w:val="005E1C5C"/>
    <w:rsid w:val="005E61DD"/>
    <w:rsid w:val="005E6321"/>
    <w:rsid w:val="005F5413"/>
    <w:rsid w:val="00600B9C"/>
    <w:rsid w:val="006023DF"/>
    <w:rsid w:val="0060693B"/>
    <w:rsid w:val="006117C6"/>
    <w:rsid w:val="00611CD2"/>
    <w:rsid w:val="00615AB9"/>
    <w:rsid w:val="00617602"/>
    <w:rsid w:val="00620ECD"/>
    <w:rsid w:val="00621FDD"/>
    <w:rsid w:val="00622B63"/>
    <w:rsid w:val="00624A81"/>
    <w:rsid w:val="0062575B"/>
    <w:rsid w:val="00625985"/>
    <w:rsid w:val="0062697F"/>
    <w:rsid w:val="006270C9"/>
    <w:rsid w:val="00627881"/>
    <w:rsid w:val="00631713"/>
    <w:rsid w:val="00633A6A"/>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80225"/>
    <w:rsid w:val="00682C6F"/>
    <w:rsid w:val="00684E0C"/>
    <w:rsid w:val="00685313"/>
    <w:rsid w:val="00690B44"/>
    <w:rsid w:val="006912F3"/>
    <w:rsid w:val="0069548C"/>
    <w:rsid w:val="00696E7A"/>
    <w:rsid w:val="00697A14"/>
    <w:rsid w:val="006A0D14"/>
    <w:rsid w:val="006A47E5"/>
    <w:rsid w:val="006A6E9B"/>
    <w:rsid w:val="006A747C"/>
    <w:rsid w:val="006B1038"/>
    <w:rsid w:val="006B502E"/>
    <w:rsid w:val="006B5AA9"/>
    <w:rsid w:val="006B73C2"/>
    <w:rsid w:val="006B7C2A"/>
    <w:rsid w:val="006C03CD"/>
    <w:rsid w:val="006C23DA"/>
    <w:rsid w:val="006C250D"/>
    <w:rsid w:val="006C7898"/>
    <w:rsid w:val="006C7CA9"/>
    <w:rsid w:val="006D0E43"/>
    <w:rsid w:val="006D2DD5"/>
    <w:rsid w:val="006D4843"/>
    <w:rsid w:val="006D6130"/>
    <w:rsid w:val="006D6DDA"/>
    <w:rsid w:val="006E099C"/>
    <w:rsid w:val="006E3D45"/>
    <w:rsid w:val="006E64F1"/>
    <w:rsid w:val="006E7629"/>
    <w:rsid w:val="006F0C99"/>
    <w:rsid w:val="006F1889"/>
    <w:rsid w:val="006F7874"/>
    <w:rsid w:val="006F7BD3"/>
    <w:rsid w:val="007034D9"/>
    <w:rsid w:val="00703D44"/>
    <w:rsid w:val="00705932"/>
    <w:rsid w:val="00712149"/>
    <w:rsid w:val="007135E8"/>
    <w:rsid w:val="007149F9"/>
    <w:rsid w:val="0071531C"/>
    <w:rsid w:val="0071541F"/>
    <w:rsid w:val="007167D5"/>
    <w:rsid w:val="00720DD1"/>
    <w:rsid w:val="0072473C"/>
    <w:rsid w:val="007265FE"/>
    <w:rsid w:val="00730009"/>
    <w:rsid w:val="00730AD1"/>
    <w:rsid w:val="00733A30"/>
    <w:rsid w:val="00734236"/>
    <w:rsid w:val="007372E2"/>
    <w:rsid w:val="007379E5"/>
    <w:rsid w:val="00741C35"/>
    <w:rsid w:val="00743072"/>
    <w:rsid w:val="00745AEE"/>
    <w:rsid w:val="00747028"/>
    <w:rsid w:val="007479EA"/>
    <w:rsid w:val="00747A98"/>
    <w:rsid w:val="00750F10"/>
    <w:rsid w:val="0075242F"/>
    <w:rsid w:val="00755E50"/>
    <w:rsid w:val="00756ADC"/>
    <w:rsid w:val="00757342"/>
    <w:rsid w:val="00761CEF"/>
    <w:rsid w:val="007654FE"/>
    <w:rsid w:val="00765BA5"/>
    <w:rsid w:val="007664D4"/>
    <w:rsid w:val="00770D7E"/>
    <w:rsid w:val="00770DF5"/>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2360"/>
    <w:rsid w:val="007C5A7B"/>
    <w:rsid w:val="007C7F78"/>
    <w:rsid w:val="007D06F0"/>
    <w:rsid w:val="007D35D0"/>
    <w:rsid w:val="007D3C25"/>
    <w:rsid w:val="007D45E3"/>
    <w:rsid w:val="007D5320"/>
    <w:rsid w:val="007D63AC"/>
    <w:rsid w:val="007D714B"/>
    <w:rsid w:val="007E065B"/>
    <w:rsid w:val="007E0A1D"/>
    <w:rsid w:val="007E28A9"/>
    <w:rsid w:val="007E713F"/>
    <w:rsid w:val="007E7819"/>
    <w:rsid w:val="007E799D"/>
    <w:rsid w:val="007F236E"/>
    <w:rsid w:val="007F2668"/>
    <w:rsid w:val="007F26E3"/>
    <w:rsid w:val="007F535C"/>
    <w:rsid w:val="007F54EB"/>
    <w:rsid w:val="007F6ADE"/>
    <w:rsid w:val="007F735C"/>
    <w:rsid w:val="007F73B2"/>
    <w:rsid w:val="00800972"/>
    <w:rsid w:val="00804475"/>
    <w:rsid w:val="0081159E"/>
    <w:rsid w:val="00811633"/>
    <w:rsid w:val="00814C00"/>
    <w:rsid w:val="00821CEF"/>
    <w:rsid w:val="00823BDC"/>
    <w:rsid w:val="00832828"/>
    <w:rsid w:val="00833049"/>
    <w:rsid w:val="008334AF"/>
    <w:rsid w:val="0083645A"/>
    <w:rsid w:val="0083797D"/>
    <w:rsid w:val="00837AB9"/>
    <w:rsid w:val="00840919"/>
    <w:rsid w:val="00840B0F"/>
    <w:rsid w:val="00840FD0"/>
    <w:rsid w:val="0084590A"/>
    <w:rsid w:val="00845C0D"/>
    <w:rsid w:val="00850559"/>
    <w:rsid w:val="008529D3"/>
    <w:rsid w:val="008537CA"/>
    <w:rsid w:val="008543FE"/>
    <w:rsid w:val="00854840"/>
    <w:rsid w:val="00854B10"/>
    <w:rsid w:val="0085555B"/>
    <w:rsid w:val="00855FDC"/>
    <w:rsid w:val="00856A1B"/>
    <w:rsid w:val="00857AC8"/>
    <w:rsid w:val="00860F8A"/>
    <w:rsid w:val="0086299C"/>
    <w:rsid w:val="00863578"/>
    <w:rsid w:val="00863FC4"/>
    <w:rsid w:val="00867B8E"/>
    <w:rsid w:val="008711AE"/>
    <w:rsid w:val="00872FC8"/>
    <w:rsid w:val="008732BC"/>
    <w:rsid w:val="00874817"/>
    <w:rsid w:val="00877397"/>
    <w:rsid w:val="00877D80"/>
    <w:rsid w:val="008801D3"/>
    <w:rsid w:val="00880325"/>
    <w:rsid w:val="008806F3"/>
    <w:rsid w:val="00881DBB"/>
    <w:rsid w:val="00881E49"/>
    <w:rsid w:val="00882996"/>
    <w:rsid w:val="00883866"/>
    <w:rsid w:val="008845D0"/>
    <w:rsid w:val="008873EB"/>
    <w:rsid w:val="00890411"/>
    <w:rsid w:val="0089151A"/>
    <w:rsid w:val="00893B2C"/>
    <w:rsid w:val="00894F96"/>
    <w:rsid w:val="008A0BFE"/>
    <w:rsid w:val="008A2753"/>
    <w:rsid w:val="008A3933"/>
    <w:rsid w:val="008A7165"/>
    <w:rsid w:val="008A75AD"/>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1A9A"/>
    <w:rsid w:val="008E33DA"/>
    <w:rsid w:val="008E34A5"/>
    <w:rsid w:val="008E6B36"/>
    <w:rsid w:val="008E7CF1"/>
    <w:rsid w:val="008E7DF8"/>
    <w:rsid w:val="008F04EE"/>
    <w:rsid w:val="008F238A"/>
    <w:rsid w:val="008F3284"/>
    <w:rsid w:val="008F36FB"/>
    <w:rsid w:val="008F7AFE"/>
    <w:rsid w:val="009006A0"/>
    <w:rsid w:val="00900E22"/>
    <w:rsid w:val="009023DF"/>
    <w:rsid w:val="0090293E"/>
    <w:rsid w:val="0090337C"/>
    <w:rsid w:val="0091016B"/>
    <w:rsid w:val="00910408"/>
    <w:rsid w:val="00910B26"/>
    <w:rsid w:val="00912004"/>
    <w:rsid w:val="009238B9"/>
    <w:rsid w:val="00926D8F"/>
    <w:rsid w:val="009274B4"/>
    <w:rsid w:val="00934743"/>
    <w:rsid w:val="00934EA2"/>
    <w:rsid w:val="009373C9"/>
    <w:rsid w:val="00941B98"/>
    <w:rsid w:val="00942FC1"/>
    <w:rsid w:val="00943545"/>
    <w:rsid w:val="0094430A"/>
    <w:rsid w:val="00944A5C"/>
    <w:rsid w:val="00944A99"/>
    <w:rsid w:val="00951816"/>
    <w:rsid w:val="00952A66"/>
    <w:rsid w:val="00953C32"/>
    <w:rsid w:val="0096148E"/>
    <w:rsid w:val="00964C68"/>
    <w:rsid w:val="009737F9"/>
    <w:rsid w:val="00980AD1"/>
    <w:rsid w:val="00980AD6"/>
    <w:rsid w:val="00981938"/>
    <w:rsid w:val="009828A4"/>
    <w:rsid w:val="00983765"/>
    <w:rsid w:val="00985001"/>
    <w:rsid w:val="00986EBB"/>
    <w:rsid w:val="009907F3"/>
    <w:rsid w:val="00990A55"/>
    <w:rsid w:val="00992F9A"/>
    <w:rsid w:val="00993D96"/>
    <w:rsid w:val="009944BE"/>
    <w:rsid w:val="00996913"/>
    <w:rsid w:val="00996ACA"/>
    <w:rsid w:val="00997678"/>
    <w:rsid w:val="009A04EC"/>
    <w:rsid w:val="009A0759"/>
    <w:rsid w:val="009A234F"/>
    <w:rsid w:val="009A291A"/>
    <w:rsid w:val="009B28F2"/>
    <w:rsid w:val="009B5126"/>
    <w:rsid w:val="009B71C3"/>
    <w:rsid w:val="009B75FF"/>
    <w:rsid w:val="009C39A2"/>
    <w:rsid w:val="009C4D44"/>
    <w:rsid w:val="009C56E5"/>
    <w:rsid w:val="009C6F7B"/>
    <w:rsid w:val="009D3343"/>
    <w:rsid w:val="009D3429"/>
    <w:rsid w:val="009E29F3"/>
    <w:rsid w:val="009E3F7C"/>
    <w:rsid w:val="009E5FC8"/>
    <w:rsid w:val="009E687A"/>
    <w:rsid w:val="009E72E7"/>
    <w:rsid w:val="009F1542"/>
    <w:rsid w:val="009F2691"/>
    <w:rsid w:val="009F4165"/>
    <w:rsid w:val="009F5041"/>
    <w:rsid w:val="009F7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6786"/>
    <w:rsid w:val="00A26D76"/>
    <w:rsid w:val="00A27146"/>
    <w:rsid w:val="00A30305"/>
    <w:rsid w:val="00A31315"/>
    <w:rsid w:val="00A31D2D"/>
    <w:rsid w:val="00A32267"/>
    <w:rsid w:val="00A32291"/>
    <w:rsid w:val="00A32E72"/>
    <w:rsid w:val="00A33D45"/>
    <w:rsid w:val="00A34772"/>
    <w:rsid w:val="00A35D6D"/>
    <w:rsid w:val="00A37E16"/>
    <w:rsid w:val="00A4049B"/>
    <w:rsid w:val="00A4176C"/>
    <w:rsid w:val="00A43642"/>
    <w:rsid w:val="00A44D51"/>
    <w:rsid w:val="00A451DD"/>
    <w:rsid w:val="00A4600A"/>
    <w:rsid w:val="00A50DFF"/>
    <w:rsid w:val="00A524E6"/>
    <w:rsid w:val="00A538A6"/>
    <w:rsid w:val="00A54C25"/>
    <w:rsid w:val="00A56C71"/>
    <w:rsid w:val="00A612BB"/>
    <w:rsid w:val="00A62F73"/>
    <w:rsid w:val="00A6724B"/>
    <w:rsid w:val="00A67FB8"/>
    <w:rsid w:val="00A7027A"/>
    <w:rsid w:val="00A710E7"/>
    <w:rsid w:val="00A7140C"/>
    <w:rsid w:val="00A7372E"/>
    <w:rsid w:val="00A74739"/>
    <w:rsid w:val="00A76372"/>
    <w:rsid w:val="00A76BD5"/>
    <w:rsid w:val="00A80D65"/>
    <w:rsid w:val="00A81102"/>
    <w:rsid w:val="00A81F59"/>
    <w:rsid w:val="00A83E00"/>
    <w:rsid w:val="00A853F5"/>
    <w:rsid w:val="00A9323C"/>
    <w:rsid w:val="00A93364"/>
    <w:rsid w:val="00A93B85"/>
    <w:rsid w:val="00A96F7D"/>
    <w:rsid w:val="00AA0550"/>
    <w:rsid w:val="00AA05FD"/>
    <w:rsid w:val="00AA0B18"/>
    <w:rsid w:val="00AA2CAB"/>
    <w:rsid w:val="00AA4774"/>
    <w:rsid w:val="00AA666F"/>
    <w:rsid w:val="00AA7A11"/>
    <w:rsid w:val="00AB15BE"/>
    <w:rsid w:val="00AB4006"/>
    <w:rsid w:val="00AB4927"/>
    <w:rsid w:val="00AB4EF9"/>
    <w:rsid w:val="00AB5B7E"/>
    <w:rsid w:val="00AC007A"/>
    <w:rsid w:val="00AC034F"/>
    <w:rsid w:val="00AC1A8E"/>
    <w:rsid w:val="00AC4C17"/>
    <w:rsid w:val="00AC4DB5"/>
    <w:rsid w:val="00AC5848"/>
    <w:rsid w:val="00AC62B6"/>
    <w:rsid w:val="00AD0AEB"/>
    <w:rsid w:val="00AD3775"/>
    <w:rsid w:val="00AD4C7B"/>
    <w:rsid w:val="00AF013C"/>
    <w:rsid w:val="00AF17A2"/>
    <w:rsid w:val="00AF2081"/>
    <w:rsid w:val="00AF2664"/>
    <w:rsid w:val="00AF57EF"/>
    <w:rsid w:val="00B004E5"/>
    <w:rsid w:val="00B02384"/>
    <w:rsid w:val="00B053F3"/>
    <w:rsid w:val="00B10A09"/>
    <w:rsid w:val="00B120DD"/>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37358"/>
    <w:rsid w:val="00B4012B"/>
    <w:rsid w:val="00B41367"/>
    <w:rsid w:val="00B423AE"/>
    <w:rsid w:val="00B43D73"/>
    <w:rsid w:val="00B44083"/>
    <w:rsid w:val="00B441B1"/>
    <w:rsid w:val="00B45C98"/>
    <w:rsid w:val="00B50520"/>
    <w:rsid w:val="00B5544A"/>
    <w:rsid w:val="00B5682D"/>
    <w:rsid w:val="00B639E9"/>
    <w:rsid w:val="00B6598C"/>
    <w:rsid w:val="00B66EBD"/>
    <w:rsid w:val="00B66F17"/>
    <w:rsid w:val="00B71863"/>
    <w:rsid w:val="00B7345F"/>
    <w:rsid w:val="00B817CD"/>
    <w:rsid w:val="00B81D00"/>
    <w:rsid w:val="00B825BC"/>
    <w:rsid w:val="00B830CC"/>
    <w:rsid w:val="00B850F8"/>
    <w:rsid w:val="00B85C33"/>
    <w:rsid w:val="00B86916"/>
    <w:rsid w:val="00B87DA1"/>
    <w:rsid w:val="00B9105F"/>
    <w:rsid w:val="00B911B2"/>
    <w:rsid w:val="00B917E9"/>
    <w:rsid w:val="00B92195"/>
    <w:rsid w:val="00B92520"/>
    <w:rsid w:val="00B951D0"/>
    <w:rsid w:val="00B95DA2"/>
    <w:rsid w:val="00B97C6E"/>
    <w:rsid w:val="00BA231A"/>
    <w:rsid w:val="00BA2D00"/>
    <w:rsid w:val="00BA2FE8"/>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4025"/>
    <w:rsid w:val="00BE6BBA"/>
    <w:rsid w:val="00BE7042"/>
    <w:rsid w:val="00BE7870"/>
    <w:rsid w:val="00BF095D"/>
    <w:rsid w:val="00BF0B93"/>
    <w:rsid w:val="00BF3618"/>
    <w:rsid w:val="00BF43CD"/>
    <w:rsid w:val="00BF4F16"/>
    <w:rsid w:val="00BF65C9"/>
    <w:rsid w:val="00C0018F"/>
    <w:rsid w:val="00C02828"/>
    <w:rsid w:val="00C03779"/>
    <w:rsid w:val="00C04873"/>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4718"/>
    <w:rsid w:val="00C75E0E"/>
    <w:rsid w:val="00C75FF8"/>
    <w:rsid w:val="00C76A69"/>
    <w:rsid w:val="00C76A6C"/>
    <w:rsid w:val="00C77589"/>
    <w:rsid w:val="00C80652"/>
    <w:rsid w:val="00C80A64"/>
    <w:rsid w:val="00C854D5"/>
    <w:rsid w:val="00C87447"/>
    <w:rsid w:val="00C90579"/>
    <w:rsid w:val="00C976EE"/>
    <w:rsid w:val="00C97C68"/>
    <w:rsid w:val="00CA0E90"/>
    <w:rsid w:val="00CA18A2"/>
    <w:rsid w:val="00CA1A47"/>
    <w:rsid w:val="00CA36C5"/>
    <w:rsid w:val="00CA48CF"/>
    <w:rsid w:val="00CA5366"/>
    <w:rsid w:val="00CB1404"/>
    <w:rsid w:val="00CB1D84"/>
    <w:rsid w:val="00CB3537"/>
    <w:rsid w:val="00CB40E5"/>
    <w:rsid w:val="00CB615D"/>
    <w:rsid w:val="00CB6664"/>
    <w:rsid w:val="00CC247A"/>
    <w:rsid w:val="00CC41F3"/>
    <w:rsid w:val="00CC41F6"/>
    <w:rsid w:val="00CC4AC5"/>
    <w:rsid w:val="00CD2733"/>
    <w:rsid w:val="00CD2A68"/>
    <w:rsid w:val="00CD2BC1"/>
    <w:rsid w:val="00CD3139"/>
    <w:rsid w:val="00CD4117"/>
    <w:rsid w:val="00CD5FA6"/>
    <w:rsid w:val="00CD7BC2"/>
    <w:rsid w:val="00CD7EC4"/>
    <w:rsid w:val="00CE5ACA"/>
    <w:rsid w:val="00CE5E47"/>
    <w:rsid w:val="00CE7A25"/>
    <w:rsid w:val="00CF020F"/>
    <w:rsid w:val="00CF269A"/>
    <w:rsid w:val="00CF298C"/>
    <w:rsid w:val="00CF2A29"/>
    <w:rsid w:val="00CF2B5B"/>
    <w:rsid w:val="00CF33C0"/>
    <w:rsid w:val="00CF4A84"/>
    <w:rsid w:val="00D00E2A"/>
    <w:rsid w:val="00D0723D"/>
    <w:rsid w:val="00D10D23"/>
    <w:rsid w:val="00D12A27"/>
    <w:rsid w:val="00D14CE0"/>
    <w:rsid w:val="00D157F7"/>
    <w:rsid w:val="00D20138"/>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5CF3"/>
    <w:rsid w:val="00D67A2E"/>
    <w:rsid w:val="00D71278"/>
    <w:rsid w:val="00D724BE"/>
    <w:rsid w:val="00D73CFE"/>
    <w:rsid w:val="00D74898"/>
    <w:rsid w:val="00D750B4"/>
    <w:rsid w:val="00D75941"/>
    <w:rsid w:val="00D75EB3"/>
    <w:rsid w:val="00D801ED"/>
    <w:rsid w:val="00D82A9C"/>
    <w:rsid w:val="00D83BF5"/>
    <w:rsid w:val="00D8609B"/>
    <w:rsid w:val="00D86208"/>
    <w:rsid w:val="00D864B0"/>
    <w:rsid w:val="00D87035"/>
    <w:rsid w:val="00D87E9C"/>
    <w:rsid w:val="00D9181D"/>
    <w:rsid w:val="00D91F0E"/>
    <w:rsid w:val="00D925C2"/>
    <w:rsid w:val="00D936BC"/>
    <w:rsid w:val="00D95534"/>
    <w:rsid w:val="00D9621A"/>
    <w:rsid w:val="00D96530"/>
    <w:rsid w:val="00D96B4B"/>
    <w:rsid w:val="00DA19AA"/>
    <w:rsid w:val="00DA2345"/>
    <w:rsid w:val="00DA273A"/>
    <w:rsid w:val="00DA3AC1"/>
    <w:rsid w:val="00DA3AC4"/>
    <w:rsid w:val="00DA453A"/>
    <w:rsid w:val="00DA561A"/>
    <w:rsid w:val="00DA5C6F"/>
    <w:rsid w:val="00DA6B46"/>
    <w:rsid w:val="00DA7078"/>
    <w:rsid w:val="00DB1086"/>
    <w:rsid w:val="00DB2FB8"/>
    <w:rsid w:val="00DB4598"/>
    <w:rsid w:val="00DB4E0A"/>
    <w:rsid w:val="00DB5996"/>
    <w:rsid w:val="00DB71F7"/>
    <w:rsid w:val="00DB750F"/>
    <w:rsid w:val="00DC19DC"/>
    <w:rsid w:val="00DC2A65"/>
    <w:rsid w:val="00DC3758"/>
    <w:rsid w:val="00DC3FC1"/>
    <w:rsid w:val="00DC574F"/>
    <w:rsid w:val="00DC6EEA"/>
    <w:rsid w:val="00DD08B4"/>
    <w:rsid w:val="00DD2EA1"/>
    <w:rsid w:val="00DD44AF"/>
    <w:rsid w:val="00DD603D"/>
    <w:rsid w:val="00DE2AC3"/>
    <w:rsid w:val="00DE434C"/>
    <w:rsid w:val="00DE5487"/>
    <w:rsid w:val="00DE5692"/>
    <w:rsid w:val="00DE5E67"/>
    <w:rsid w:val="00DE7766"/>
    <w:rsid w:val="00DE79F1"/>
    <w:rsid w:val="00DF02A0"/>
    <w:rsid w:val="00DF1E46"/>
    <w:rsid w:val="00DF21DF"/>
    <w:rsid w:val="00DF2B98"/>
    <w:rsid w:val="00DF2D60"/>
    <w:rsid w:val="00DF6F8E"/>
    <w:rsid w:val="00DF7F7E"/>
    <w:rsid w:val="00E02014"/>
    <w:rsid w:val="00E03C94"/>
    <w:rsid w:val="00E03CF8"/>
    <w:rsid w:val="00E05ED3"/>
    <w:rsid w:val="00E06AEA"/>
    <w:rsid w:val="00E07105"/>
    <w:rsid w:val="00E11115"/>
    <w:rsid w:val="00E12074"/>
    <w:rsid w:val="00E1307C"/>
    <w:rsid w:val="00E14CAE"/>
    <w:rsid w:val="00E17BAD"/>
    <w:rsid w:val="00E21B22"/>
    <w:rsid w:val="00E239BD"/>
    <w:rsid w:val="00E241C9"/>
    <w:rsid w:val="00E26226"/>
    <w:rsid w:val="00E31B77"/>
    <w:rsid w:val="00E36E67"/>
    <w:rsid w:val="00E378D8"/>
    <w:rsid w:val="00E4021C"/>
    <w:rsid w:val="00E4059F"/>
    <w:rsid w:val="00E407FC"/>
    <w:rsid w:val="00E4165C"/>
    <w:rsid w:val="00E42180"/>
    <w:rsid w:val="00E422AC"/>
    <w:rsid w:val="00E425D0"/>
    <w:rsid w:val="00E45D05"/>
    <w:rsid w:val="00E528F8"/>
    <w:rsid w:val="00E5442B"/>
    <w:rsid w:val="00E55816"/>
    <w:rsid w:val="00E55AEF"/>
    <w:rsid w:val="00E61442"/>
    <w:rsid w:val="00E64B4B"/>
    <w:rsid w:val="00E66A93"/>
    <w:rsid w:val="00E71B64"/>
    <w:rsid w:val="00E77337"/>
    <w:rsid w:val="00E81961"/>
    <w:rsid w:val="00E82877"/>
    <w:rsid w:val="00E83BBB"/>
    <w:rsid w:val="00E84088"/>
    <w:rsid w:val="00E87875"/>
    <w:rsid w:val="00E90BE9"/>
    <w:rsid w:val="00E976C1"/>
    <w:rsid w:val="00EA025D"/>
    <w:rsid w:val="00EA07F0"/>
    <w:rsid w:val="00EA12E5"/>
    <w:rsid w:val="00EA2136"/>
    <w:rsid w:val="00EA36A2"/>
    <w:rsid w:val="00EA3D99"/>
    <w:rsid w:val="00EA66A4"/>
    <w:rsid w:val="00EB00F7"/>
    <w:rsid w:val="00EB0E5E"/>
    <w:rsid w:val="00EB2238"/>
    <w:rsid w:val="00EB4C45"/>
    <w:rsid w:val="00EB6F6F"/>
    <w:rsid w:val="00EC00DF"/>
    <w:rsid w:val="00EC0FC2"/>
    <w:rsid w:val="00EC3585"/>
    <w:rsid w:val="00EC6B65"/>
    <w:rsid w:val="00ED29AB"/>
    <w:rsid w:val="00ED335C"/>
    <w:rsid w:val="00ED44A8"/>
    <w:rsid w:val="00ED5AAF"/>
    <w:rsid w:val="00EE24FB"/>
    <w:rsid w:val="00EE3198"/>
    <w:rsid w:val="00EE4646"/>
    <w:rsid w:val="00EE67EC"/>
    <w:rsid w:val="00EF33D5"/>
    <w:rsid w:val="00EF481F"/>
    <w:rsid w:val="00F000EA"/>
    <w:rsid w:val="00F02766"/>
    <w:rsid w:val="00F03D3B"/>
    <w:rsid w:val="00F03EB7"/>
    <w:rsid w:val="00F04067"/>
    <w:rsid w:val="00F0520E"/>
    <w:rsid w:val="00F05BD4"/>
    <w:rsid w:val="00F07F46"/>
    <w:rsid w:val="00F11A98"/>
    <w:rsid w:val="00F13242"/>
    <w:rsid w:val="00F1463E"/>
    <w:rsid w:val="00F15368"/>
    <w:rsid w:val="00F154E2"/>
    <w:rsid w:val="00F15E05"/>
    <w:rsid w:val="00F16F35"/>
    <w:rsid w:val="00F20CA2"/>
    <w:rsid w:val="00F21A1D"/>
    <w:rsid w:val="00F21D10"/>
    <w:rsid w:val="00F23887"/>
    <w:rsid w:val="00F25E6D"/>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77406"/>
    <w:rsid w:val="00F808C6"/>
    <w:rsid w:val="00F83F60"/>
    <w:rsid w:val="00F8476E"/>
    <w:rsid w:val="00F848EE"/>
    <w:rsid w:val="00F84DF8"/>
    <w:rsid w:val="00F91898"/>
    <w:rsid w:val="00F93A57"/>
    <w:rsid w:val="00F94FEF"/>
    <w:rsid w:val="00F971FB"/>
    <w:rsid w:val="00FA1D7B"/>
    <w:rsid w:val="00FA4CD4"/>
    <w:rsid w:val="00FA579C"/>
    <w:rsid w:val="00FA668B"/>
    <w:rsid w:val="00FB20E0"/>
    <w:rsid w:val="00FB34B9"/>
    <w:rsid w:val="00FC0BEF"/>
    <w:rsid w:val="00FC2469"/>
    <w:rsid w:val="00FC24DA"/>
    <w:rsid w:val="00FC4678"/>
    <w:rsid w:val="00FC54A5"/>
    <w:rsid w:val="00FC6545"/>
    <w:rsid w:val="00FD0183"/>
    <w:rsid w:val="00FD037B"/>
    <w:rsid w:val="00FD2546"/>
    <w:rsid w:val="00FD276E"/>
    <w:rsid w:val="00FD37D7"/>
    <w:rsid w:val="00FD3A5B"/>
    <w:rsid w:val="00FD772E"/>
    <w:rsid w:val="00FE2210"/>
    <w:rsid w:val="00FE3346"/>
    <w:rsid w:val="00FE3926"/>
    <w:rsid w:val="00FE399E"/>
    <w:rsid w:val="00FE3C01"/>
    <w:rsid w:val="00FE43D6"/>
    <w:rsid w:val="00FE48BE"/>
    <w:rsid w:val="00FE7205"/>
    <w:rsid w:val="00FE78C7"/>
    <w:rsid w:val="00FF21ED"/>
    <w:rsid w:val="00FF220A"/>
    <w:rsid w:val="00FF2A26"/>
    <w:rsid w:val="00FF3D55"/>
    <w:rsid w:val="00FF43AC"/>
    <w:rsid w:val="00FF50AB"/>
    <w:rsid w:val="00FF5A40"/>
    <w:rsid w:val="00FF7C84"/>
    <w:rsid w:val="019718E5"/>
    <w:rsid w:val="066DA0FB"/>
    <w:rsid w:val="07FEA8AA"/>
    <w:rsid w:val="085BCD11"/>
    <w:rsid w:val="159C1884"/>
    <w:rsid w:val="1A219BA5"/>
    <w:rsid w:val="20FD9712"/>
    <w:rsid w:val="26F1B6C2"/>
    <w:rsid w:val="2D0ACB74"/>
    <w:rsid w:val="2F1E0E68"/>
    <w:rsid w:val="316089E8"/>
    <w:rsid w:val="3D064D5B"/>
    <w:rsid w:val="3DD9B7D0"/>
    <w:rsid w:val="42751244"/>
    <w:rsid w:val="4D66EF89"/>
    <w:rsid w:val="502EBA88"/>
    <w:rsid w:val="521A46AB"/>
    <w:rsid w:val="54DA6E04"/>
    <w:rsid w:val="55BCACFD"/>
    <w:rsid w:val="582C3DD8"/>
    <w:rsid w:val="58C14231"/>
    <w:rsid w:val="5AAE969B"/>
    <w:rsid w:val="5CED5681"/>
    <w:rsid w:val="5DCBF95E"/>
    <w:rsid w:val="6AAC3E9C"/>
    <w:rsid w:val="6B16E65D"/>
    <w:rsid w:val="75152FB7"/>
    <w:rsid w:val="76A8FBC4"/>
    <w:rsid w:val="7D6E94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Listenabsatz Standard"/>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Listenabsatz Standard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22-TDAG32-C-0009/" TargetMode="External"/><Relationship Id="rId2" Type="http://schemas.openxmlformats.org/officeDocument/2006/relationships/hyperlink" Target="https://www.itu.int/en/ITU-D/Projects" TargetMode="External"/><Relationship Id="rId1" Type="http://schemas.openxmlformats.org/officeDocument/2006/relationships/hyperlink" Target="https://www.itu.int/md/S23-CL-C-0116/" TargetMode="External"/><Relationship Id="rId5" Type="http://schemas.openxmlformats.org/officeDocument/2006/relationships/hyperlink" Target="https://www.itu.int/md/D22-TDAG32-C-0008/" TargetMode="External"/><Relationship Id="rId4" Type="http://schemas.openxmlformats.org/officeDocument/2006/relationships/hyperlink" Target="https://www.itu.int/md/D22-TDAG32-INF-000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5/PRJ%20database%20for%20TDAG%202025%20report%20-%20rev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5/PRJ%20database%20for%20TDAG%202025%20report%20-%20rev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project funding signed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'Projects per year'!$A$7:$A$17</c:f>
              <c:numCache>
                <c:formatCode>0_);\(0\)</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'Projects per year'!$B$7:$B$17</c:f>
              <c:numCache>
                <c:formatCode>_(* #,##0.00_);_(* \(#,##0.00\);_(* "-"??_);_(@_)</c:formatCode>
                <c:ptCount val="11"/>
                <c:pt idx="0">
                  <c:v>7674402</c:v>
                </c:pt>
                <c:pt idx="1">
                  <c:v>5289174</c:v>
                </c:pt>
                <c:pt idx="2">
                  <c:v>2767939</c:v>
                </c:pt>
                <c:pt idx="3">
                  <c:v>9730134</c:v>
                </c:pt>
                <c:pt idx="4">
                  <c:v>10721579</c:v>
                </c:pt>
                <c:pt idx="5">
                  <c:v>13612980</c:v>
                </c:pt>
                <c:pt idx="6">
                  <c:v>14901477</c:v>
                </c:pt>
                <c:pt idx="7">
                  <c:v>19315000</c:v>
                </c:pt>
                <c:pt idx="8">
                  <c:v>5342000</c:v>
                </c:pt>
                <c:pt idx="9">
                  <c:v>20965339.076000001</c:v>
                </c:pt>
                <c:pt idx="10">
                  <c:v>28656547</c:v>
                </c:pt>
              </c:numCache>
            </c:numRef>
          </c:val>
          <c:extLst>
            <c:ext xmlns:c16="http://schemas.microsoft.com/office/drawing/2014/chart" uri="{C3380CC4-5D6E-409C-BE32-E72D297353CC}">
              <c16:uniqueId val="{00000000-03EF-459C-88CA-D75F798ED50C}"/>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E8-4072-A0EF-B9C94EB99CC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E8-4072-A0EF-B9C94EB99C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'Projects signed 2024'!$J$2:$J$3</c:f>
              <c:strCache>
                <c:ptCount val="2"/>
                <c:pt idx="0">
                  <c:v>Extra-budgetary funds</c:v>
                </c:pt>
                <c:pt idx="1">
                  <c:v>ITU funds 
(ICT-DF and RI funds)</c:v>
                </c:pt>
              </c:strCache>
            </c:strRef>
          </c:cat>
          <c:val>
            <c:numRef>
              <c:f>'Projects signed 2024'!$K$2:$K$3</c:f>
              <c:numCache>
                <c:formatCode>#,##0.0,</c:formatCode>
                <c:ptCount val="2"/>
                <c:pt idx="0">
                  <c:v>25878207</c:v>
                </c:pt>
                <c:pt idx="1">
                  <c:v>2121278</c:v>
                </c:pt>
              </c:numCache>
            </c:numRef>
          </c:val>
          <c:extLst>
            <c:ext xmlns:c16="http://schemas.microsoft.com/office/drawing/2014/chart" uri="{C3380CC4-5D6E-409C-BE32-E72D297353CC}">
              <c16:uniqueId val="{00000004-73E8-4072-A0EF-B9C94EB99CC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AD6F93D-BA80-4400-AF67-DC07C7093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d4ea696a-cca3-460b-a983-57ac2621983a"/>
    <ds:schemaRef ds:uri="29399490-13b9-4c73-b71e-403b715b75a7"/>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1716</Words>
  <Characters>9786</Characters>
  <Application>Microsoft Office Word</Application>
  <DocSecurity>0</DocSecurity>
  <Lines>81</Lines>
  <Paragraphs>22</Paragraphs>
  <ScaleCrop>false</ScaleCrop>
  <Manager>General Secretariat - Pool</Manager>
  <Company/>
  <LinksUpToDate>false</LinksUpToDate>
  <CharactersWithSpaces>11480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54</cp:revision>
  <cp:lastPrinted>2025-03-20T08:27:00Z</cp:lastPrinted>
  <dcterms:created xsi:type="dcterms:W3CDTF">2025-03-20T08:26:00Z</dcterms:created>
  <dcterms:modified xsi:type="dcterms:W3CDTF">2025-05-07T14:04:00Z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