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4FCC5429" w14:textId="77777777" w:rsidTr="00AD1E92">
        <w:trPr>
          <w:cantSplit/>
          <w:trHeight w:val="1310"/>
          <w:jc w:val="center"/>
        </w:trPr>
        <w:tc>
          <w:tcPr>
            <w:tcW w:w="1699" w:type="dxa"/>
            <w:tcBorders>
              <w:bottom w:val="single" w:sz="12" w:space="0" w:color="auto"/>
            </w:tcBorders>
            <w:vAlign w:val="center"/>
          </w:tcPr>
          <w:p w14:paraId="041A6832"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70B89B2C" wp14:editId="09A2EC9F">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41BE830"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DA723E1"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50185045"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48798153" wp14:editId="786329B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6B44465" w14:textId="77777777" w:rsidTr="00AD1E92">
        <w:trPr>
          <w:cantSplit/>
          <w:jc w:val="center"/>
        </w:trPr>
        <w:tc>
          <w:tcPr>
            <w:tcW w:w="6660" w:type="dxa"/>
            <w:gridSpan w:val="2"/>
            <w:tcBorders>
              <w:top w:val="single" w:sz="12" w:space="0" w:color="auto"/>
            </w:tcBorders>
          </w:tcPr>
          <w:p w14:paraId="6CC594B7"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72E718EE" w14:textId="77777777" w:rsidR="00CA08BA" w:rsidRPr="00C85CB5" w:rsidRDefault="00CA08BA" w:rsidP="00B93B7B">
            <w:pPr>
              <w:spacing w:before="20" w:after="20" w:line="300" w:lineRule="exact"/>
              <w:rPr>
                <w:b/>
                <w:bCs/>
                <w:highlight w:val="yellow"/>
                <w:rtl/>
                <w:lang w:bidi="ar-EG"/>
              </w:rPr>
            </w:pPr>
          </w:p>
        </w:tc>
      </w:tr>
      <w:tr w:rsidR="00783A69" w:rsidRPr="00783A69" w14:paraId="08BDD10C" w14:textId="77777777" w:rsidTr="00AD1E92">
        <w:trPr>
          <w:cantSplit/>
          <w:jc w:val="center"/>
        </w:trPr>
        <w:tc>
          <w:tcPr>
            <w:tcW w:w="6660" w:type="dxa"/>
            <w:gridSpan w:val="2"/>
          </w:tcPr>
          <w:p w14:paraId="6CB099C0" w14:textId="77777777" w:rsidR="00783A69" w:rsidRPr="00783A69" w:rsidRDefault="00783A69" w:rsidP="00B93B7B">
            <w:pPr>
              <w:spacing w:before="20" w:after="20" w:line="300" w:lineRule="exact"/>
              <w:rPr>
                <w:b/>
                <w:bCs/>
                <w:rtl/>
                <w:lang w:bidi="ar-EG"/>
              </w:rPr>
            </w:pPr>
          </w:p>
        </w:tc>
        <w:tc>
          <w:tcPr>
            <w:tcW w:w="2979" w:type="dxa"/>
            <w:gridSpan w:val="2"/>
          </w:tcPr>
          <w:p w14:paraId="4E074A65" w14:textId="4985450B" w:rsidR="00783A69" w:rsidRPr="00153471" w:rsidRDefault="00783A69" w:rsidP="009A775A">
            <w:pPr>
              <w:spacing w:before="20" w:after="20" w:line="300" w:lineRule="exact"/>
              <w:rPr>
                <w:b/>
                <w:bCs/>
                <w:rtl/>
                <w:lang w:bidi="ar-SY"/>
              </w:rPr>
            </w:pPr>
            <w:r w:rsidRPr="00153471">
              <w:rPr>
                <w:rFonts w:hint="cs"/>
                <w:b/>
                <w:bCs/>
                <w:rtl/>
                <w:lang w:bidi="ar-EG"/>
              </w:rPr>
              <w:t xml:space="preserve">الوثيقة </w:t>
            </w:r>
            <w:r w:rsidR="009A775A" w:rsidRPr="009A775A">
              <w:rPr>
                <w:b/>
                <w:bCs/>
                <w:rtl/>
              </w:rPr>
              <w:t>TDAG-25/5-A</w:t>
            </w:r>
          </w:p>
        </w:tc>
      </w:tr>
      <w:tr w:rsidR="00783A69" w:rsidRPr="00783A69" w14:paraId="502C6FD5" w14:textId="77777777" w:rsidTr="00AD1E92">
        <w:trPr>
          <w:cantSplit/>
          <w:jc w:val="center"/>
        </w:trPr>
        <w:tc>
          <w:tcPr>
            <w:tcW w:w="6660" w:type="dxa"/>
            <w:gridSpan w:val="2"/>
          </w:tcPr>
          <w:p w14:paraId="7509705B" w14:textId="77777777" w:rsidR="00783A69" w:rsidRPr="00783A69" w:rsidRDefault="00783A69" w:rsidP="00B93B7B">
            <w:pPr>
              <w:spacing w:before="20" w:after="20" w:line="300" w:lineRule="exact"/>
              <w:rPr>
                <w:b/>
                <w:bCs/>
              </w:rPr>
            </w:pPr>
          </w:p>
        </w:tc>
        <w:tc>
          <w:tcPr>
            <w:tcW w:w="2979" w:type="dxa"/>
            <w:gridSpan w:val="2"/>
          </w:tcPr>
          <w:p w14:paraId="06283957" w14:textId="67C85BAE" w:rsidR="00783A69" w:rsidRPr="00C85CB5" w:rsidRDefault="009A775A" w:rsidP="009A775A">
            <w:pPr>
              <w:spacing w:before="20" w:after="20" w:line="300" w:lineRule="exact"/>
              <w:rPr>
                <w:b/>
                <w:bCs/>
                <w:highlight w:val="yellow"/>
                <w:rtl/>
              </w:rPr>
            </w:pPr>
            <w:r w:rsidRPr="009A775A">
              <w:rPr>
                <w:b/>
                <w:bCs/>
                <w:rtl/>
                <w:lang w:val="en-GB"/>
              </w:rPr>
              <w:t>24 مارس 2025</w:t>
            </w:r>
          </w:p>
        </w:tc>
      </w:tr>
      <w:tr w:rsidR="00783A69" w:rsidRPr="00783A69" w14:paraId="408977ED" w14:textId="77777777" w:rsidTr="00AD1E92">
        <w:trPr>
          <w:cantSplit/>
          <w:jc w:val="center"/>
        </w:trPr>
        <w:tc>
          <w:tcPr>
            <w:tcW w:w="6660" w:type="dxa"/>
            <w:gridSpan w:val="2"/>
          </w:tcPr>
          <w:p w14:paraId="53CB252E" w14:textId="77777777" w:rsidR="00783A69" w:rsidRPr="00783A69" w:rsidRDefault="00783A69" w:rsidP="00B93B7B">
            <w:pPr>
              <w:spacing w:before="20" w:after="20" w:line="300" w:lineRule="exact"/>
              <w:rPr>
                <w:b/>
                <w:bCs/>
                <w:lang w:bidi="ar-EG"/>
              </w:rPr>
            </w:pPr>
          </w:p>
        </w:tc>
        <w:tc>
          <w:tcPr>
            <w:tcW w:w="2979" w:type="dxa"/>
            <w:gridSpan w:val="2"/>
          </w:tcPr>
          <w:p w14:paraId="335E37A5"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D932741" w14:textId="77777777" w:rsidTr="00EE5CF2">
        <w:trPr>
          <w:cantSplit/>
          <w:jc w:val="center"/>
        </w:trPr>
        <w:tc>
          <w:tcPr>
            <w:tcW w:w="9639" w:type="dxa"/>
            <w:gridSpan w:val="4"/>
          </w:tcPr>
          <w:p w14:paraId="74CAA7C5" w14:textId="3972E6EF" w:rsidR="00783A69" w:rsidRPr="00783A69" w:rsidRDefault="009A775A" w:rsidP="00585921">
            <w:pPr>
              <w:pStyle w:val="Source"/>
            </w:pPr>
            <w:r w:rsidRPr="009A775A">
              <w:rPr>
                <w:rtl/>
              </w:rPr>
              <w:t>مدير مكتب تنمية الاتصالات</w:t>
            </w:r>
          </w:p>
        </w:tc>
      </w:tr>
      <w:tr w:rsidR="00783A69" w:rsidRPr="00783A69" w14:paraId="4073C070" w14:textId="77777777" w:rsidTr="00EE5CF2">
        <w:trPr>
          <w:cantSplit/>
          <w:jc w:val="center"/>
        </w:trPr>
        <w:tc>
          <w:tcPr>
            <w:tcW w:w="9639" w:type="dxa"/>
            <w:gridSpan w:val="4"/>
          </w:tcPr>
          <w:p w14:paraId="3155B7AA" w14:textId="4EB48C81" w:rsidR="00783A69" w:rsidRPr="00783A69" w:rsidRDefault="009A775A" w:rsidP="00585921">
            <w:pPr>
              <w:pStyle w:val="Title1"/>
              <w:rPr>
                <w:lang w:bidi="ar-EG"/>
              </w:rPr>
            </w:pPr>
            <w:r w:rsidRPr="009A775A">
              <w:rPr>
                <w:rtl/>
              </w:rPr>
              <w:t>مشاريع قطاع تنمية الاتصالات بالاتحاد الدولي للاتصالات</w:t>
            </w:r>
          </w:p>
        </w:tc>
      </w:tr>
    </w:tbl>
    <w:p w14:paraId="33AA4DB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0ACC22F0"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27738AA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985B682" w14:textId="428957C7" w:rsidR="009A775A" w:rsidRDefault="009A775A" w:rsidP="009A775A">
            <w:pPr>
              <w:rPr>
                <w:lang w:val="en-GB"/>
              </w:rPr>
            </w:pPr>
            <w:r w:rsidRPr="009A775A">
              <w:rPr>
                <w:rtl/>
                <w:lang w:val="en-GB"/>
              </w:rPr>
              <w:t xml:space="preserve">تقع على عاتق الاتحاد الدولي للاتصالات </w:t>
            </w:r>
            <w:r w:rsidR="00526EE0">
              <w:t>(</w:t>
            </w:r>
            <w:r w:rsidRPr="009A775A">
              <w:rPr>
                <w:lang w:bidi="ar-EG"/>
              </w:rPr>
              <w:t>ITU</w:t>
            </w:r>
            <w:r w:rsidR="00526EE0">
              <w:rPr>
                <w:lang w:bidi="ar-EG"/>
              </w:rPr>
              <w:t>)</w:t>
            </w:r>
            <w:r w:rsidRPr="009A775A">
              <w:rPr>
                <w:rtl/>
                <w:lang w:val="en-GB"/>
              </w:rPr>
              <w:t xml:space="preserve"> مسؤولية مزدوجة بصفته وكالة متخصصة من وكالات الأمم المتحدة ووكالة منفِّذة. وينفذ قطاع تنمية الاتصالات بالاتحاد (</w:t>
            </w:r>
            <w:r w:rsidRPr="009A775A">
              <w:rPr>
                <w:lang w:bidi="ar-EG"/>
              </w:rPr>
              <w:t>ITU-D</w:t>
            </w:r>
            <w:r w:rsidRPr="009A775A">
              <w:rPr>
                <w:rtl/>
                <w:lang w:val="en-GB"/>
              </w:rPr>
              <w:t xml:space="preserve">)، إذ يضطلع بهذه المسؤولية المزدوجة، مشاريع في إطار منظومة الأمم المتحدة الإنمائية أو بموجب اتفاقات تمويل أخرى، بوصفها وظيفته الرئيسية، لتيسير وتعزيز تنمية الاتصالات بما يقدمه وينظمه وينسقه من أنشطة للتعاون التقني </w:t>
            </w:r>
            <w:r w:rsidRPr="009A775A">
              <w:rPr>
                <w:rtl/>
                <w:lang w:val="en-GB"/>
              </w:rPr>
              <w:t>وأنشطة للمساعدة التقنية.</w:t>
            </w:r>
          </w:p>
          <w:p w14:paraId="29F93E98" w14:textId="7069657C" w:rsidR="00585921" w:rsidRPr="009A775A" w:rsidRDefault="00585921" w:rsidP="009A775A">
            <w:pPr>
              <w:rPr>
                <w:lang w:val="ar-SA" w:bidi="ar-EG"/>
              </w:rPr>
            </w:pPr>
            <w:r w:rsidRPr="005A6AAE">
              <w:rPr>
                <w:color w:val="000000"/>
                <w:sz w:val="20"/>
                <w:szCs w:val="20"/>
                <w:rtl/>
              </w:rPr>
              <w:t xml:space="preserve">وتقدم هذه الوثيقة لمحة عامة عن الأعمال التي يضطلع بها مكتب تنمية الاتصالات </w:t>
            </w:r>
            <w:r w:rsidRPr="005A6AAE">
              <w:rPr>
                <w:color w:val="000000"/>
                <w:sz w:val="20"/>
                <w:szCs w:val="20"/>
              </w:rPr>
              <w:t>BDT</w:t>
            </w:r>
            <w:r w:rsidR="00D57737">
              <w:rPr>
                <w:color w:val="000000"/>
                <w:sz w:val="20"/>
                <w:szCs w:val="20"/>
              </w:rPr>
              <w:t>)</w:t>
            </w:r>
            <w:r w:rsidRPr="005A6AAE">
              <w:rPr>
                <w:color w:val="000000"/>
                <w:sz w:val="20"/>
                <w:szCs w:val="20"/>
                <w:rtl/>
              </w:rPr>
              <w:t xml:space="preserve">) في مجال تصميم المشاريع وتطويرها وتقييمها في مناطق عمل قطاع تنمية الاتصالات الست، وهي: منطقة إفريقيا، ومنطقة </w:t>
            </w:r>
            <w:proofErr w:type="spellStart"/>
            <w:r w:rsidRPr="005A6AAE">
              <w:rPr>
                <w:color w:val="000000"/>
                <w:sz w:val="20"/>
                <w:szCs w:val="20"/>
                <w:rtl/>
              </w:rPr>
              <w:t>الأمريكتين</w:t>
            </w:r>
            <w:proofErr w:type="spellEnd"/>
            <w:r w:rsidRPr="005A6AAE">
              <w:rPr>
                <w:color w:val="000000"/>
                <w:sz w:val="20"/>
                <w:szCs w:val="20"/>
                <w:rtl/>
              </w:rPr>
              <w:t>، ومنطقة الدول العربية، ومنطقة آسيا والمحيط الهادئ، ومنطقة كومنولث الدول المستقلة (</w:t>
            </w:r>
            <w:r w:rsidRPr="005A6AAE">
              <w:rPr>
                <w:color w:val="000000"/>
                <w:sz w:val="20"/>
                <w:szCs w:val="20"/>
              </w:rPr>
              <w:t>CIS</w:t>
            </w:r>
            <w:r w:rsidRPr="005A6AAE">
              <w:rPr>
                <w:color w:val="000000"/>
                <w:sz w:val="20"/>
                <w:szCs w:val="20"/>
                <w:rtl/>
              </w:rPr>
              <w:t>)، ومنطقة أوروبا، وكذلك في مناطق متعددة.</w:t>
            </w:r>
          </w:p>
          <w:p w14:paraId="69E087DE"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65C92F54" w14:textId="4A4A9FA2" w:rsidR="004F0F62" w:rsidRPr="004F0F62" w:rsidRDefault="004F0F62" w:rsidP="004F0F62">
            <w:pPr>
              <w:rPr>
                <w:color w:val="000000"/>
                <w:rtl/>
                <w:lang w:bidi="ar-EG"/>
              </w:rPr>
            </w:pPr>
            <w:r w:rsidRPr="004F0F62">
              <w:rPr>
                <w:rFonts w:hint="cs"/>
                <w:color w:val="000000"/>
                <w:rtl/>
                <w:lang w:bidi="ar-EG"/>
              </w:rPr>
              <w:t>ي</w:t>
            </w:r>
            <w:r w:rsidR="00526EE0">
              <w:rPr>
                <w:rFonts w:hint="cs"/>
                <w:color w:val="000000"/>
                <w:rtl/>
                <w:lang w:val="en-GB"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7229A7FE"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431EAC7D" w14:textId="74086E72" w:rsidR="00783A69" w:rsidRPr="00526EE0" w:rsidRDefault="009A775A" w:rsidP="006B266A">
            <w:pPr>
              <w:spacing w:after="120"/>
              <w:rPr>
                <w:spacing w:val="2"/>
                <w:rtl/>
              </w:rPr>
            </w:pPr>
            <w:r w:rsidRPr="00526EE0">
              <w:rPr>
                <w:color w:val="000000"/>
                <w:spacing w:val="2"/>
                <w:sz w:val="20"/>
                <w:szCs w:val="20"/>
                <w:rtl/>
              </w:rPr>
              <w:t>القرار 17 (المراجَع في كيغالي، 2022) والقرار 52 (المراجَع في دبي، 2014) للمؤتمر العالمي لتنمية الاتصالات (WTDC-22)</w:t>
            </w:r>
            <w:r w:rsidR="007838FA">
              <w:rPr>
                <w:rFonts w:hint="cs"/>
                <w:color w:val="000000"/>
                <w:spacing w:val="2"/>
                <w:sz w:val="20"/>
                <w:szCs w:val="20"/>
                <w:rtl/>
              </w:rPr>
              <w:t>؛</w:t>
            </w:r>
            <w:r w:rsidRPr="00526EE0">
              <w:rPr>
                <w:color w:val="000000"/>
                <w:spacing w:val="2"/>
                <w:sz w:val="20"/>
                <w:szCs w:val="20"/>
                <w:rtl/>
              </w:rPr>
              <w:t xml:space="preserve"> والقرار</w:t>
            </w:r>
            <w:r w:rsidR="00526EE0">
              <w:rPr>
                <w:rFonts w:hint="cs"/>
                <w:color w:val="000000"/>
                <w:spacing w:val="2"/>
                <w:sz w:val="20"/>
                <w:szCs w:val="20"/>
                <w:rtl/>
              </w:rPr>
              <w:t> </w:t>
            </w:r>
            <w:r w:rsidRPr="00526EE0">
              <w:rPr>
                <w:color w:val="000000"/>
                <w:spacing w:val="2"/>
                <w:sz w:val="20"/>
                <w:szCs w:val="20"/>
                <w:rtl/>
              </w:rPr>
              <w:t>157 (المراجَع في بوخارست، 2022) لمؤتمر المندوبين المفوضين (PP-22)</w:t>
            </w:r>
            <w:r w:rsidR="007838FA">
              <w:rPr>
                <w:rFonts w:hint="cs"/>
                <w:color w:val="000000"/>
                <w:spacing w:val="2"/>
                <w:sz w:val="20"/>
                <w:szCs w:val="20"/>
                <w:rtl/>
              </w:rPr>
              <w:t>؛</w:t>
            </w:r>
            <w:r w:rsidRPr="00526EE0">
              <w:rPr>
                <w:color w:val="000000"/>
                <w:spacing w:val="2"/>
                <w:sz w:val="20"/>
                <w:szCs w:val="20"/>
                <w:rtl/>
              </w:rPr>
              <w:t xml:space="preserve"> </w:t>
            </w:r>
            <w:r w:rsidR="007838FA">
              <w:rPr>
                <w:rFonts w:hint="cs"/>
                <w:color w:val="000000"/>
                <w:spacing w:val="2"/>
                <w:sz w:val="20"/>
                <w:szCs w:val="20"/>
                <w:rtl/>
              </w:rPr>
              <w:t>و</w:t>
            </w:r>
            <w:r w:rsidRPr="00526EE0">
              <w:rPr>
                <w:color w:val="000000"/>
                <w:spacing w:val="2"/>
                <w:sz w:val="20"/>
                <w:szCs w:val="20"/>
                <w:rtl/>
              </w:rPr>
              <w:t>القرار 1418 لمجلس الاتحاد.</w:t>
            </w:r>
          </w:p>
        </w:tc>
      </w:tr>
    </w:tbl>
    <w:p w14:paraId="5464F766" w14:textId="77777777" w:rsidR="00882A17" w:rsidRDefault="00882A17">
      <w:pPr>
        <w:tabs>
          <w:tab w:val="clear" w:pos="794"/>
        </w:tabs>
        <w:bidi w:val="0"/>
        <w:spacing w:before="0" w:after="160" w:line="259" w:lineRule="auto"/>
        <w:jc w:val="left"/>
        <w:rPr>
          <w:lang w:bidi="ar-EG"/>
        </w:rPr>
      </w:pPr>
      <w:r>
        <w:rPr>
          <w:rtl/>
          <w:lang w:bidi="ar-EG"/>
        </w:rPr>
        <w:br w:type="page"/>
      </w:r>
    </w:p>
    <w:p w14:paraId="0C0D1428" w14:textId="309B8DD2" w:rsidR="009A775A" w:rsidRPr="00526EE0" w:rsidRDefault="00526EE0" w:rsidP="00526EE0">
      <w:pPr>
        <w:pStyle w:val="Heading1"/>
        <w:rPr>
          <w:lang w:val="ar-SA" w:bidi="ar-EG"/>
        </w:rPr>
      </w:pPr>
      <w:r>
        <w:rPr>
          <w:rFonts w:hint="cs"/>
          <w:rtl/>
        </w:rPr>
        <w:lastRenderedPageBreak/>
        <w:t>1</w:t>
      </w:r>
      <w:r>
        <w:rPr>
          <w:rtl/>
        </w:rPr>
        <w:tab/>
      </w:r>
      <w:r w:rsidR="009A775A" w:rsidRPr="00526EE0">
        <w:rPr>
          <w:rtl/>
        </w:rPr>
        <w:t>مقدمة</w:t>
      </w:r>
    </w:p>
    <w:p w14:paraId="6CCAE8F8" w14:textId="73B86DF9" w:rsidR="009A775A" w:rsidRPr="009A775A" w:rsidRDefault="009A775A" w:rsidP="007838FA">
      <w:pPr>
        <w:rPr>
          <w:lang w:val="ar-SA" w:bidi="ar-EG"/>
        </w:rPr>
      </w:pPr>
      <w:r w:rsidRPr="009A775A">
        <w:rPr>
          <w:rtl/>
        </w:rPr>
        <w:t>وفقاً لأحكام كل من القرار 17 (المراجَع في كيغالي، 2022) والقرار 52 (المراجَع في دبي، 2014) للمؤتمر العالمي لتنمية الاتصالات</w:t>
      </w:r>
      <w:r w:rsidR="007838FA">
        <w:rPr>
          <w:rFonts w:hint="cs"/>
          <w:rtl/>
        </w:rPr>
        <w:t> </w:t>
      </w:r>
      <w:r w:rsidRPr="009A775A">
        <w:rPr>
          <w:rtl/>
        </w:rPr>
        <w:t>(WTDC-22) والقرار 157 (المراجَع في بوخارست، 2022) لمؤتمر المندوبين المفوضين (PP-22)، يتولى مكتب تنمية الاتصالات (</w:t>
      </w:r>
      <w:r w:rsidRPr="009A775A">
        <w:rPr>
          <w:lang w:bidi="ar-EG"/>
        </w:rPr>
        <w:t>BDT</w:t>
      </w:r>
      <w:r w:rsidRPr="009A775A">
        <w:rPr>
          <w:rtl/>
        </w:rPr>
        <w:t>) بالاتحاد الدولي للاتصالات مسؤولية الوفاء بولاية الاتحاد المتعلقة بتنفيذ مشاريع في إطار منظومة الأمم المتحدة الإنمائية، أو بموجب اتفاقات تمويل أخرى، لتيسير وتعزيز تنمية الاتصالات/تكنولوجيا المعلومات والاتصالات (</w:t>
      </w:r>
      <w:r w:rsidRPr="009A775A">
        <w:rPr>
          <w:lang w:bidi="ar-EG"/>
        </w:rPr>
        <w:t>ICT</w:t>
      </w:r>
      <w:r w:rsidRPr="009A775A">
        <w:rPr>
          <w:rtl/>
        </w:rPr>
        <w:t>) بما يقدمه المكتب وينظمه وينسقه من أنشطة للتعاون التقني وأنشطة للمساعدة التقنية. ويقدم هذا التقرير لمحة عامة عن حالة حافظة مشاريع الاتحاد الجارية في عام 2024 (فترة التنفيذ من يناير إلى ديسمبر 2024).</w:t>
      </w:r>
      <w:r w:rsidR="00526EE0">
        <w:rPr>
          <w:rStyle w:val="FootnoteReference"/>
          <w:rtl/>
        </w:rPr>
        <w:footnoteReference w:id="1"/>
      </w:r>
    </w:p>
    <w:p w14:paraId="3F5852E7" w14:textId="3CE8E5C4" w:rsidR="009A775A" w:rsidRPr="0016016A" w:rsidRDefault="0016016A" w:rsidP="0016016A">
      <w:pPr>
        <w:pStyle w:val="Heading1"/>
      </w:pPr>
      <w:r>
        <w:rPr>
          <w:rFonts w:hint="cs"/>
          <w:rtl/>
        </w:rPr>
        <w:t>2</w:t>
      </w:r>
      <w:r>
        <w:rPr>
          <w:rtl/>
        </w:rPr>
        <w:tab/>
      </w:r>
      <w:r w:rsidR="009A775A" w:rsidRPr="0016016A">
        <w:rPr>
          <w:rtl/>
        </w:rPr>
        <w:t>حافظة مشاريع الاتحاد: المشاريع والأنشطة ذات الصلة في عام 2024</w:t>
      </w:r>
    </w:p>
    <w:p w14:paraId="3A713578" w14:textId="3A4D115A" w:rsidR="009A775A" w:rsidRPr="009A775A" w:rsidRDefault="00526EE0" w:rsidP="00526EE0">
      <w:pPr>
        <w:pStyle w:val="Heading2"/>
        <w:rPr>
          <w:lang w:val="ar-SA" w:bidi="ar-EG"/>
        </w:rPr>
      </w:pPr>
      <w:r>
        <w:t>1.2</w:t>
      </w:r>
      <w:r>
        <w:tab/>
      </w:r>
      <w:r w:rsidR="009A775A" w:rsidRPr="009A775A">
        <w:rPr>
          <w:rtl/>
        </w:rPr>
        <w:t>لمحة عامة والتوزيع الإقليمي</w:t>
      </w:r>
    </w:p>
    <w:p w14:paraId="241D165C" w14:textId="6B578528" w:rsidR="009A775A" w:rsidRPr="009A775A" w:rsidRDefault="009A775A" w:rsidP="009A775A">
      <w:pPr>
        <w:rPr>
          <w:lang w:val="ar-SA" w:bidi="ar-EG"/>
        </w:rPr>
      </w:pPr>
      <w:r w:rsidRPr="009A775A">
        <w:rPr>
          <w:rtl/>
        </w:rPr>
        <w:t>خلال عام 2024، نفّذ مكتب تنمية الاتصالات ما مجموعه 105 مشاريع، بقيمة 90,4 مليون فرنك سويسري. ويعرض الشكل</w:t>
      </w:r>
      <w:r w:rsidR="0016016A">
        <w:rPr>
          <w:rFonts w:hint="cs"/>
          <w:rtl/>
        </w:rPr>
        <w:t> </w:t>
      </w:r>
      <w:r w:rsidRPr="009A775A">
        <w:rPr>
          <w:rtl/>
        </w:rPr>
        <w:t>1 التوزيع العام لهذه الحافظة بحسب المنطقة مع لمحة عامة عن (1) الأموال التي حشدها الاتحاد لدعم تنفيذ هذه المشاريع، (2)</w:t>
      </w:r>
      <w:r w:rsidR="0016016A">
        <w:rPr>
          <w:rFonts w:hint="cs"/>
          <w:rtl/>
        </w:rPr>
        <w:t> </w:t>
      </w:r>
      <w:r w:rsidRPr="009A775A">
        <w:rPr>
          <w:rtl/>
        </w:rPr>
        <w:t>التمويل الأولي الذي خصصه الاتحاد من صندوق تنمية تكنولوجيا المعلومات والاتصالات (</w:t>
      </w:r>
      <w:r w:rsidRPr="009A775A">
        <w:rPr>
          <w:lang w:bidi="ar-EG"/>
        </w:rPr>
        <w:t>ICT-DF</w:t>
      </w:r>
      <w:r w:rsidRPr="009A775A">
        <w:rPr>
          <w:rtl/>
        </w:rPr>
        <w:t>).</w:t>
      </w:r>
    </w:p>
    <w:p w14:paraId="0AEF9221" w14:textId="2ECB6E51" w:rsidR="009A775A" w:rsidRDefault="009A775A" w:rsidP="0016016A">
      <w:pPr>
        <w:pStyle w:val="Figuretitle"/>
        <w:rPr>
          <w:rtl/>
        </w:rPr>
      </w:pPr>
      <w:r w:rsidRPr="00526EE0">
        <w:rPr>
          <w:rtl/>
        </w:rPr>
        <w:t>الشكل 1 – لمحة عامة عن مشاريع الاتحاد الجاري تنفيذها، بحسب المنطقة (الأرقام بآلاف الفرنكات السويسرية)</w:t>
      </w:r>
    </w:p>
    <w:p w14:paraId="27A77CE0" w14:textId="53FE640E" w:rsidR="007838FA" w:rsidRDefault="007838FA" w:rsidP="001621F1">
      <w:pPr>
        <w:pStyle w:val="Figure"/>
        <w:rPr>
          <w:b w:val="0"/>
          <w:bCs w:val="0"/>
          <w:sz w:val="18"/>
          <w:szCs w:val="18"/>
          <w:rtl/>
          <w:lang w:bidi="ar-EG"/>
        </w:rPr>
      </w:pPr>
      <w:r>
        <w:rPr>
          <w:b w:val="0"/>
          <w:bCs w:val="0"/>
          <w:sz w:val="18"/>
          <w:szCs w:val="18"/>
          <w:lang w:bidi="ar-EG"/>
        </w:rPr>
        <w:drawing>
          <wp:inline distT="0" distB="0" distL="0" distR="0" wp14:anchorId="14CA8F2A" wp14:editId="0F6FE3C2">
            <wp:extent cx="4394035" cy="168226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9916" cy="1688342"/>
                    </a:xfrm>
                    <a:prstGeom prst="rect">
                      <a:avLst/>
                    </a:prstGeom>
                    <a:noFill/>
                  </pic:spPr>
                </pic:pic>
              </a:graphicData>
            </a:graphic>
          </wp:inline>
        </w:drawing>
      </w:r>
    </w:p>
    <w:p w14:paraId="4D53F43D" w14:textId="385B7515" w:rsidR="001621F1" w:rsidRDefault="001621F1" w:rsidP="007838FA">
      <w:pPr>
        <w:pStyle w:val="Figure"/>
        <w:tabs>
          <w:tab w:val="clear" w:pos="794"/>
        </w:tabs>
        <w:ind w:left="1275" w:firstLine="56"/>
        <w:jc w:val="both"/>
        <w:rPr>
          <w:sz w:val="18"/>
          <w:szCs w:val="18"/>
          <w:rtl/>
        </w:rPr>
      </w:pPr>
      <w:r w:rsidRPr="001621F1">
        <w:rPr>
          <w:b w:val="0"/>
          <w:bCs w:val="0"/>
          <w:sz w:val="18"/>
          <w:szCs w:val="18"/>
          <w:lang w:bidi="ar-EG"/>
        </w:rPr>
        <w:t>*)</w:t>
      </w:r>
      <w:r w:rsidRPr="001621F1">
        <w:rPr>
          <w:b w:val="0"/>
          <w:bCs w:val="0"/>
          <w:sz w:val="18"/>
          <w:szCs w:val="18"/>
          <w:rtl/>
        </w:rPr>
        <w:t>) مشاريع متعددة المناطق تعود بالنفع على جميع المناطق</w:t>
      </w:r>
    </w:p>
    <w:p w14:paraId="3C238F5B" w14:textId="666653C7" w:rsidR="009A775A" w:rsidRPr="009A775A" w:rsidRDefault="00AC3873" w:rsidP="00AC3873">
      <w:pPr>
        <w:pStyle w:val="Heading2"/>
        <w:rPr>
          <w:lang w:val="ar-SA" w:bidi="ar-EG"/>
        </w:rPr>
      </w:pPr>
      <w:r>
        <w:t>2.2</w:t>
      </w:r>
      <w:r>
        <w:tab/>
      </w:r>
      <w:r w:rsidR="009A775A" w:rsidRPr="009A775A">
        <w:rPr>
          <w:rtl/>
        </w:rPr>
        <w:t xml:space="preserve">المشاريع الموقَّعة خلال الفترة المشمولة بالتقرير </w:t>
      </w:r>
    </w:p>
    <w:p w14:paraId="3B3F6841" w14:textId="7E2806E9" w:rsidR="009A775A" w:rsidRPr="009A775A" w:rsidRDefault="009A775A" w:rsidP="009A775A">
      <w:pPr>
        <w:rPr>
          <w:lang w:val="ar-SA" w:bidi="ar-EG"/>
        </w:rPr>
      </w:pPr>
      <w:r w:rsidRPr="009A775A">
        <w:rPr>
          <w:rtl/>
        </w:rPr>
        <w:t>في عام 2024، وقّع مكتب تنمية الاتصالات ما مجموعه 37 مشروعاً جديداً بقيمة 28,6 مليون فرنك سويسري</w:t>
      </w:r>
      <w:r w:rsidR="00AC3873">
        <w:rPr>
          <w:rStyle w:val="FootnoteReference"/>
          <w:rtl/>
        </w:rPr>
        <w:footnoteReference w:id="2"/>
      </w:r>
      <w:r w:rsidRPr="009A775A">
        <w:rPr>
          <w:rtl/>
        </w:rPr>
        <w:t>. وتمثل هذه الأرقام أعلى مستوى للأموال المجمعة في المشاريع خلال السنوات العشر الماضية، ما يؤكد الاتجاه الإيجابي للجهود التي يبذلها مكتب تنمية الاتصالات لتعبئة أموال من خارج الميزانية لدعم المشاريع (انظر الشكل 2). وترد قائمة الاتفاقات ذات الصلة في</w:t>
      </w:r>
      <w:r w:rsidR="003B140E">
        <w:rPr>
          <w:rFonts w:hint="cs"/>
          <w:rtl/>
        </w:rPr>
        <w:t> </w:t>
      </w:r>
      <w:r w:rsidRPr="009A775A">
        <w:rPr>
          <w:rtl/>
        </w:rPr>
        <w:t xml:space="preserve">وثيقة </w:t>
      </w:r>
      <w:r w:rsidR="007838FA">
        <w:rPr>
          <w:rFonts w:hint="cs"/>
          <w:rtl/>
        </w:rPr>
        <w:t xml:space="preserve">المعلومات </w:t>
      </w:r>
      <w:r w:rsidRPr="009A775A">
        <w:rPr>
          <w:rtl/>
        </w:rPr>
        <w:t>INF/1.</w:t>
      </w:r>
    </w:p>
    <w:p w14:paraId="3ACC059D" w14:textId="77777777" w:rsidR="009A775A" w:rsidRPr="00AC3873" w:rsidRDefault="009A775A" w:rsidP="003B140E">
      <w:pPr>
        <w:pStyle w:val="Figuretitle"/>
        <w:rPr>
          <w:lang w:val="ar-SA" w:bidi="ar-EG"/>
        </w:rPr>
      </w:pPr>
      <w:r w:rsidRPr="00AC3873">
        <w:rPr>
          <w:rtl/>
        </w:rPr>
        <w:lastRenderedPageBreak/>
        <w:t>الشكل 2 – المشاريع الجديدة التي وقعها الاتحاد (2014-2024)</w:t>
      </w:r>
    </w:p>
    <w:p w14:paraId="40002669" w14:textId="0B978CCB" w:rsidR="009A775A" w:rsidRPr="009A775A" w:rsidRDefault="00BB1D28" w:rsidP="00206FB6">
      <w:pPr>
        <w:pStyle w:val="Figure"/>
        <w:rPr>
          <w:lang w:bidi="ar-EG"/>
        </w:rPr>
      </w:pPr>
      <w:r>
        <w:rPr>
          <w:lang w:bidi="ar-EG"/>
        </w:rPr>
        <w:drawing>
          <wp:inline distT="0" distB="0" distL="0" distR="0" wp14:anchorId="4D2ADD58" wp14:editId="45077AEC">
            <wp:extent cx="5811520" cy="2272696"/>
            <wp:effectExtent l="0" t="0" r="0" b="0"/>
            <wp:docPr id="1348347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1371" cy="2280459"/>
                    </a:xfrm>
                    <a:prstGeom prst="rect">
                      <a:avLst/>
                    </a:prstGeom>
                    <a:noFill/>
                  </pic:spPr>
                </pic:pic>
              </a:graphicData>
            </a:graphic>
          </wp:inline>
        </w:drawing>
      </w:r>
    </w:p>
    <w:p w14:paraId="2A6D6F1E" w14:textId="31F37754" w:rsidR="009A775A" w:rsidRPr="009A775A" w:rsidRDefault="009A775A" w:rsidP="009A775A">
      <w:pPr>
        <w:rPr>
          <w:lang w:val="ar-SA" w:bidi="ar-EG"/>
        </w:rPr>
      </w:pPr>
      <w:r w:rsidRPr="009A775A">
        <w:rPr>
          <w:rtl/>
        </w:rPr>
        <w:t xml:space="preserve">وهذه المشاريع الجديدة ذات طبيعة متعددة المناطق وإقليمية ووطنية، وتغطي النطاق الكامل لأولويات قطاع تنمية الاتصالات المحددة في خطة عمل كيغالي </w:t>
      </w:r>
      <w:r w:rsidR="00AE1F9C">
        <w:t>(</w:t>
      </w:r>
      <w:r w:rsidRPr="009A775A">
        <w:rPr>
          <w:lang w:bidi="ar-EG"/>
        </w:rPr>
        <w:t>KAP</w:t>
      </w:r>
      <w:r w:rsidR="00AE1F9C">
        <w:t>)</w:t>
      </w:r>
      <w:r w:rsidRPr="009A775A">
        <w:rPr>
          <w:rtl/>
        </w:rPr>
        <w:t xml:space="preserve"> للمؤتمر WTDC-22. وفيما يتعلق بمصادر التمويل، فإن </w:t>
      </w:r>
      <w:r w:rsidR="00AE1F9C" w:rsidRPr="009A775A">
        <w:rPr>
          <w:lang w:bidi="ar-EG"/>
        </w:rPr>
        <w:t>%</w:t>
      </w:r>
      <w:r w:rsidRPr="009A775A">
        <w:rPr>
          <w:lang w:bidi="ar-EG"/>
        </w:rPr>
        <w:t>92</w:t>
      </w:r>
      <w:r w:rsidRPr="009A775A">
        <w:rPr>
          <w:rtl/>
        </w:rPr>
        <w:t xml:space="preserve"> من الأموال المخصصة للمشاريع الجديدة مصدرها الأموال من خارج الميزانية التي يحشدها مكتب تنمية الاتصالات من أطراف ثالثة، في حين أن نسبة </w:t>
      </w:r>
      <w:r w:rsidR="00AE1F9C" w:rsidRPr="009A775A">
        <w:rPr>
          <w:lang w:bidi="ar-EG"/>
        </w:rPr>
        <w:t>%</w:t>
      </w:r>
      <w:r w:rsidRPr="009A775A">
        <w:rPr>
          <w:lang w:bidi="ar-EG"/>
        </w:rPr>
        <w:t>8</w:t>
      </w:r>
      <w:r w:rsidRPr="009A775A">
        <w:rPr>
          <w:rtl/>
        </w:rPr>
        <w:t xml:space="preserve"> المتبقية ناتجة عن تخصيص تمويل أولي من الاتحاد. ويقدم الشكل 3 رسماً بيانياً يوضح النسب المئوية للأموال من خارج الميزانية وأموال الاتحاد المساهِمة في ميزانيات المشاريع.</w:t>
      </w:r>
    </w:p>
    <w:p w14:paraId="434CA4B2" w14:textId="77777777" w:rsidR="009A775A" w:rsidRPr="00EF349D" w:rsidRDefault="009A775A" w:rsidP="00EF349D">
      <w:pPr>
        <w:pStyle w:val="Figuretitle"/>
      </w:pPr>
      <w:r w:rsidRPr="00EF349D">
        <w:rPr>
          <w:rtl/>
        </w:rPr>
        <w:t>الشكل 3 – مصادر تمويل مشاريع الاتحاد (المشاريع الجديدة الموقَّعة في عام 2024)</w:t>
      </w:r>
    </w:p>
    <w:p w14:paraId="52544849" w14:textId="2F211AA9" w:rsidR="00EF349D" w:rsidRDefault="007838FA" w:rsidP="00206FB6">
      <w:pPr>
        <w:pStyle w:val="Figure"/>
        <w:rPr>
          <w:rtl/>
        </w:rPr>
      </w:pPr>
      <w:r>
        <w:drawing>
          <wp:inline distT="0" distB="0" distL="0" distR="0" wp14:anchorId="30A5E909" wp14:editId="680F5447">
            <wp:extent cx="4664075" cy="22129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4075" cy="2212975"/>
                    </a:xfrm>
                    <a:prstGeom prst="rect">
                      <a:avLst/>
                    </a:prstGeom>
                    <a:noFill/>
                  </pic:spPr>
                </pic:pic>
              </a:graphicData>
            </a:graphic>
          </wp:inline>
        </w:drawing>
      </w:r>
    </w:p>
    <w:p w14:paraId="09A597AB" w14:textId="01D7A87E" w:rsidR="009A775A" w:rsidRPr="009A775A" w:rsidRDefault="009A775A" w:rsidP="00AE1F9C">
      <w:pPr>
        <w:pStyle w:val="Heading1"/>
        <w:rPr>
          <w:lang w:val="ar-SA" w:bidi="ar-EG"/>
        </w:rPr>
      </w:pPr>
      <w:r w:rsidRPr="009A775A">
        <w:rPr>
          <w:rtl/>
        </w:rPr>
        <w:t>3</w:t>
      </w:r>
      <w:r w:rsidRPr="009A775A">
        <w:rPr>
          <w:rtl/>
        </w:rPr>
        <w:tab/>
        <w:t>مستجدات حالة توزيع التمويل لدعم المبادرات الإقليمية للمؤتمر WTDC-22</w:t>
      </w:r>
    </w:p>
    <w:p w14:paraId="30B81F63" w14:textId="0A28DAED" w:rsidR="009A775A" w:rsidRPr="009A775A" w:rsidRDefault="009A775A" w:rsidP="009A775A">
      <w:pPr>
        <w:rPr>
          <w:lang w:val="ar-SA" w:bidi="ar-EG"/>
        </w:rPr>
      </w:pPr>
      <w:r w:rsidRPr="009A775A">
        <w:rPr>
          <w:rtl/>
        </w:rPr>
        <w:t xml:space="preserve">وافق أعضاء الاتحاد، في دورة مجلسه لعام 2023، على تحويل مبلغ 3 ملايين فرنك سويسري من صندوق رأس المال العامل للمعارض </w:t>
      </w:r>
      <w:r w:rsidR="00AE1F9C">
        <w:t>(</w:t>
      </w:r>
      <w:r w:rsidRPr="009A775A">
        <w:rPr>
          <w:lang w:bidi="ar-EG"/>
        </w:rPr>
        <w:t>EWCF</w:t>
      </w:r>
      <w:r w:rsidR="00AE1F9C">
        <w:t>)</w:t>
      </w:r>
      <w:r w:rsidRPr="009A775A">
        <w:rPr>
          <w:rtl/>
        </w:rPr>
        <w:t xml:space="preserve"> إلى الحساب الرأسمالي لصندوق تنمية تكنولوجيا المعلومات والاتصالات (</w:t>
      </w:r>
      <w:r w:rsidRPr="009A775A">
        <w:rPr>
          <w:lang w:bidi="ar-EG"/>
        </w:rPr>
        <w:t>ICT-DF</w:t>
      </w:r>
      <w:r w:rsidRPr="009A775A">
        <w:rPr>
          <w:rtl/>
        </w:rPr>
        <w:t>) بغرض تقديم أموال أولية لتمويل المبادرات الإقليمية</w:t>
      </w:r>
      <w:r w:rsidR="00AE1F9C">
        <w:rPr>
          <w:rStyle w:val="FootnoteReference"/>
          <w:rtl/>
        </w:rPr>
        <w:footnoteReference w:id="3"/>
      </w:r>
      <w:r w:rsidRPr="009A775A">
        <w:rPr>
          <w:rtl/>
        </w:rPr>
        <w:t>.</w:t>
      </w:r>
    </w:p>
    <w:p w14:paraId="2298EF82" w14:textId="7804BB45" w:rsidR="009A775A" w:rsidRPr="009A775A" w:rsidRDefault="009A775A" w:rsidP="009A775A">
      <w:pPr>
        <w:rPr>
          <w:rtl/>
          <w:lang w:val="ar-SA" w:bidi="ar-EG"/>
        </w:rPr>
      </w:pPr>
      <w:r w:rsidRPr="009A775A">
        <w:rPr>
          <w:rtl/>
        </w:rPr>
        <w:t>وفي عام 2024، استُخدمت هذه الأموال لدعم ما مجموعه 13 مشروعاً بقيمة 23,4 مليون فرنك سويسري (لا تؤخذ في الاعتبار سوى المساهمات النقدية المقدمة من الشركاء)، مع استخدام 3,4 مليون فرنك سويسري من صندوق تنمية تكنولوجيا المعلومات والاتصالات (انظر الشكل 4). ويمكن الاطلاع على مزيد من التفاصيل بشأن كل مشروع في بوابة مشاريع الاتحاد</w:t>
      </w:r>
      <w:r w:rsidR="00AE1F9C">
        <w:rPr>
          <w:rStyle w:val="FootnoteReference"/>
          <w:rtl/>
        </w:rPr>
        <w:footnoteReference w:id="4"/>
      </w:r>
      <w:r w:rsidR="00AE1F9C">
        <w:rPr>
          <w:rFonts w:hint="cs"/>
          <w:rtl/>
        </w:rPr>
        <w:t>.</w:t>
      </w:r>
    </w:p>
    <w:p w14:paraId="60292032" w14:textId="1DDE1021" w:rsidR="009A775A" w:rsidRDefault="009A775A" w:rsidP="001621F1">
      <w:pPr>
        <w:pStyle w:val="Figuretitle"/>
        <w:rPr>
          <w:rtl/>
        </w:rPr>
      </w:pPr>
      <w:r w:rsidRPr="005C24D8">
        <w:rPr>
          <w:rtl/>
        </w:rPr>
        <w:lastRenderedPageBreak/>
        <w:t>الشكل 4 - المشاريع الجديدة لصندوق تنمية تكنولوجيا المعلومات والاتصالات الموقَعة في عام 2024</w:t>
      </w:r>
      <w:r w:rsidR="005C24D8">
        <w:br/>
      </w:r>
      <w:r w:rsidRPr="005C24D8">
        <w:rPr>
          <w:rtl/>
        </w:rPr>
        <w:t>(الأرقام بآلاف الفرنكات السويسرية)</w:t>
      </w:r>
    </w:p>
    <w:p w14:paraId="1BB557E3" w14:textId="10797EF7" w:rsidR="001A3672" w:rsidRPr="008033F1" w:rsidRDefault="00716BF8" w:rsidP="00206FB6">
      <w:pPr>
        <w:pStyle w:val="Figure"/>
      </w:pPr>
      <w:r>
        <w:drawing>
          <wp:inline distT="0" distB="0" distL="0" distR="0" wp14:anchorId="2008756A" wp14:editId="3FB364FA">
            <wp:extent cx="6099173" cy="64828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a:extLst>
                        <a:ext uri="{28A0092B-C50C-407E-A947-70E740481C1C}">
                          <a14:useLocalDpi xmlns:a14="http://schemas.microsoft.com/office/drawing/2010/main" val="0"/>
                        </a:ext>
                      </a:extLst>
                    </a:blip>
                    <a:srcRect l="8237" t="7585" r="8152" b="29572"/>
                    <a:stretch/>
                  </pic:blipFill>
                  <pic:spPr bwMode="auto">
                    <a:xfrm>
                      <a:off x="0" y="0"/>
                      <a:ext cx="6111811" cy="6496295"/>
                    </a:xfrm>
                    <a:prstGeom prst="rect">
                      <a:avLst/>
                    </a:prstGeom>
                    <a:ln>
                      <a:noFill/>
                    </a:ln>
                    <a:extLst>
                      <a:ext uri="{53640926-AAD7-44D8-BBD7-CCE9431645EC}">
                        <a14:shadowObscured xmlns:a14="http://schemas.microsoft.com/office/drawing/2010/main"/>
                      </a:ext>
                    </a:extLst>
                  </pic:spPr>
                </pic:pic>
              </a:graphicData>
            </a:graphic>
          </wp:inline>
        </w:drawing>
      </w:r>
    </w:p>
    <w:p w14:paraId="0D6E77F8" w14:textId="262B5E5A" w:rsidR="00716BF8" w:rsidRDefault="00716BF8" w:rsidP="00716BF8">
      <w:pPr>
        <w:rPr>
          <w:rFonts w:eastAsiaTheme="majorEastAsia"/>
          <w:noProof/>
          <w:sz w:val="26"/>
          <w:szCs w:val="26"/>
          <w:rtl/>
        </w:rPr>
      </w:pPr>
      <w:r>
        <w:rPr>
          <w:rtl/>
        </w:rPr>
        <w:br w:type="page"/>
      </w:r>
      <w:r>
        <w:rPr>
          <w:rFonts w:eastAsiaTheme="majorEastAsia"/>
          <w:noProof/>
          <w:sz w:val="26"/>
          <w:szCs w:val="26"/>
          <w:rtl/>
          <w:lang w:val="ar-SA"/>
        </w:rPr>
        <w:lastRenderedPageBreak/>
        <w:drawing>
          <wp:inline distT="0" distB="0" distL="0" distR="0" wp14:anchorId="68CF78A3" wp14:editId="0C906337">
            <wp:extent cx="6060312" cy="487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a:extLst>
                        <a:ext uri="{28A0092B-C50C-407E-A947-70E740481C1C}">
                          <a14:useLocalDpi xmlns:a14="http://schemas.microsoft.com/office/drawing/2010/main" val="0"/>
                        </a:ext>
                      </a:extLst>
                    </a:blip>
                    <a:srcRect l="8716" t="9752" r="7486" b="42563"/>
                    <a:stretch/>
                  </pic:blipFill>
                  <pic:spPr bwMode="auto">
                    <a:xfrm>
                      <a:off x="0" y="0"/>
                      <a:ext cx="6070878" cy="4885302"/>
                    </a:xfrm>
                    <a:prstGeom prst="rect">
                      <a:avLst/>
                    </a:prstGeom>
                    <a:ln>
                      <a:noFill/>
                    </a:ln>
                    <a:extLst>
                      <a:ext uri="{53640926-AAD7-44D8-BBD7-CCE9431645EC}">
                        <a14:shadowObscured xmlns:a14="http://schemas.microsoft.com/office/drawing/2010/main"/>
                      </a:ext>
                    </a:extLst>
                  </pic:spPr>
                </pic:pic>
              </a:graphicData>
            </a:graphic>
          </wp:inline>
        </w:drawing>
      </w:r>
    </w:p>
    <w:p w14:paraId="22B21B48" w14:textId="61FD1738" w:rsidR="009A775A" w:rsidRPr="00716BF8" w:rsidRDefault="009A775A" w:rsidP="00F34BBE">
      <w:pPr>
        <w:pStyle w:val="Note"/>
        <w:rPr>
          <w:sz w:val="18"/>
          <w:szCs w:val="18"/>
        </w:rPr>
      </w:pPr>
      <w:r w:rsidRPr="00716BF8">
        <w:rPr>
          <w:sz w:val="18"/>
          <w:szCs w:val="18"/>
          <w:rtl/>
        </w:rPr>
        <w:t>ملاحظة: حُولت جميع الأموال إلى قيمتها بالفرنك السويسري</w:t>
      </w:r>
    </w:p>
    <w:p w14:paraId="25CD5F11" w14:textId="6280EBF6" w:rsidR="009A775A" w:rsidRPr="00716BF8" w:rsidRDefault="001A3672" w:rsidP="00F34BBE">
      <w:pPr>
        <w:pStyle w:val="Note"/>
        <w:rPr>
          <w:sz w:val="18"/>
          <w:szCs w:val="18"/>
        </w:rPr>
      </w:pPr>
      <w:bookmarkStart w:id="1" w:name="_Hlk195625115"/>
      <w:r w:rsidRPr="00716BF8">
        <w:rPr>
          <w:sz w:val="18"/>
          <w:szCs w:val="18"/>
        </w:rPr>
        <w:t>(</w:t>
      </w:r>
      <w:r w:rsidR="009A775A" w:rsidRPr="00716BF8">
        <w:rPr>
          <w:sz w:val="18"/>
          <w:szCs w:val="18"/>
        </w:rPr>
        <w:t>*</w:t>
      </w:r>
      <w:r w:rsidRPr="00716BF8">
        <w:rPr>
          <w:sz w:val="18"/>
          <w:szCs w:val="18"/>
        </w:rPr>
        <w:t>)</w:t>
      </w:r>
      <w:r w:rsidR="009A775A" w:rsidRPr="00716BF8">
        <w:rPr>
          <w:sz w:val="18"/>
          <w:szCs w:val="18"/>
          <w:rtl/>
        </w:rPr>
        <w:t xml:space="preserve"> أموال خارجية بقيمة 820</w:t>
      </w:r>
      <w:r w:rsidR="008033F1" w:rsidRPr="00716BF8">
        <w:rPr>
          <w:sz w:val="18"/>
          <w:szCs w:val="18"/>
        </w:rPr>
        <w:t>,</w:t>
      </w:r>
      <w:r w:rsidR="009A775A" w:rsidRPr="00716BF8">
        <w:rPr>
          <w:sz w:val="18"/>
          <w:szCs w:val="18"/>
          <w:rtl/>
        </w:rPr>
        <w:t>9 ألف فرنك سويسري مرتبطة بالمشاريع الممولة من الاتحاد الأوروبي الموقَّعة من الاتحاد الدولي للاتصالات في عام 2023</w:t>
      </w:r>
    </w:p>
    <w:bookmarkEnd w:id="1"/>
    <w:p w14:paraId="52C4D4B5" w14:textId="44DFF816" w:rsidR="009A775A" w:rsidRPr="009A775A" w:rsidRDefault="009A775A" w:rsidP="00716BF8">
      <w:pPr>
        <w:spacing w:before="240"/>
        <w:rPr>
          <w:lang w:val="ar-SA" w:bidi="ar-EG"/>
        </w:rPr>
      </w:pPr>
      <w:r w:rsidRPr="009A775A">
        <w:rPr>
          <w:rtl/>
        </w:rPr>
        <w:t>ويجدر بالذكر أن الاتحاد ليس مؤسسة تمويل، ومن ثم فإن جدوى توقيع مشاريع جديدة تعتمد إلى حد كبير على توفر شركاء التمويل الراغبين في دعم عمل الاتحاد.</w:t>
      </w:r>
    </w:p>
    <w:p w14:paraId="6421132C" w14:textId="77777777" w:rsidR="009A775A" w:rsidRPr="009A775A" w:rsidRDefault="009A775A" w:rsidP="001A3672">
      <w:pPr>
        <w:pStyle w:val="Heading1"/>
        <w:rPr>
          <w:lang w:val="ar-SA" w:bidi="ar-EG"/>
        </w:rPr>
      </w:pPr>
      <w:r w:rsidRPr="00760089">
        <w:rPr>
          <w:rtl/>
        </w:rPr>
        <w:t>4</w:t>
      </w:r>
      <w:r w:rsidRPr="00760089">
        <w:rPr>
          <w:rtl/>
        </w:rPr>
        <w:tab/>
        <w:t>تعزيز ممارسات إدارة المشاريع في مكتب تنمية الاتصالات</w:t>
      </w:r>
    </w:p>
    <w:p w14:paraId="63E95CA5" w14:textId="77777777" w:rsidR="009A775A" w:rsidRPr="009A775A" w:rsidRDefault="009A775A" w:rsidP="009A775A">
      <w:pPr>
        <w:rPr>
          <w:lang w:val="ar-SA" w:bidi="ar-EG"/>
        </w:rPr>
      </w:pPr>
      <w:r w:rsidRPr="009A775A">
        <w:rPr>
          <w:rtl/>
        </w:rPr>
        <w:t>واصل مكتب تنمية الاتصالات في عام 2024 توطيد ممارسات إدارة المشاريع في جميع مشاريع الاتحاد. وتلخص القائمة التالية الأنشطة التي اضطُلع بها خلال العام والتي نُفِّذت بالتعاون الوثيق مع وظائف الدعم الأخرى ذات الصلة في الاتحاد:</w:t>
      </w:r>
    </w:p>
    <w:p w14:paraId="0A9401BB" w14:textId="69469DEB" w:rsidR="009A775A" w:rsidRPr="009A775A" w:rsidRDefault="001A3672" w:rsidP="001A3672">
      <w:pPr>
        <w:pStyle w:val="enumlev1"/>
        <w:rPr>
          <w:lang w:val="ar-SA" w:bidi="ar-EG"/>
        </w:rPr>
      </w:pPr>
      <w:r w:rsidRPr="001A3672">
        <w:rPr>
          <w:b/>
          <w:bCs/>
          <w:rtl/>
        </w:rPr>
        <w:t>-</w:t>
      </w:r>
      <w:r>
        <w:rPr>
          <w:b/>
          <w:bCs/>
          <w:rtl/>
        </w:rPr>
        <w:tab/>
      </w:r>
      <w:r w:rsidR="009A775A" w:rsidRPr="001A3672">
        <w:rPr>
          <w:b/>
          <w:bCs/>
          <w:spacing w:val="-6"/>
          <w:rtl/>
        </w:rPr>
        <w:t xml:space="preserve">إنشاء وحدة تنفيذ المشاريع </w:t>
      </w:r>
      <w:r w:rsidRPr="001A3672">
        <w:rPr>
          <w:b/>
          <w:bCs/>
          <w:spacing w:val="-6"/>
        </w:rPr>
        <w:t>(</w:t>
      </w:r>
      <w:r w:rsidR="009A775A" w:rsidRPr="001A3672">
        <w:rPr>
          <w:b/>
          <w:bCs/>
          <w:spacing w:val="-6"/>
          <w:lang w:bidi="ar-EG"/>
        </w:rPr>
        <w:t>PPI</w:t>
      </w:r>
      <w:r w:rsidRPr="001A3672">
        <w:rPr>
          <w:b/>
          <w:bCs/>
          <w:spacing w:val="-6"/>
        </w:rPr>
        <w:t>)</w:t>
      </w:r>
      <w:r w:rsidR="009A775A" w:rsidRPr="001A3672">
        <w:rPr>
          <w:b/>
          <w:bCs/>
          <w:spacing w:val="-6"/>
          <w:rtl/>
        </w:rPr>
        <w:t xml:space="preserve"> الجديدة</w:t>
      </w:r>
      <w:r w:rsidR="009A775A" w:rsidRPr="001A3672">
        <w:rPr>
          <w:spacing w:val="-6"/>
          <w:rtl/>
        </w:rPr>
        <w:t>. في سبتمبر 2024، أدخل مدير مكتب تنمية الاتصالات هيكلاً جديداً في المكتب يهدف إلى تعزيز تنفيذ ولاية خطة عمل كيغالي (</w:t>
      </w:r>
      <w:r w:rsidR="009A775A" w:rsidRPr="001A3672">
        <w:rPr>
          <w:spacing w:val="-6"/>
          <w:lang w:bidi="ar-EG"/>
        </w:rPr>
        <w:t>KAP</w:t>
      </w:r>
      <w:r w:rsidR="009A775A" w:rsidRPr="001A3672">
        <w:rPr>
          <w:spacing w:val="-6"/>
          <w:rtl/>
        </w:rPr>
        <w:t>) وبناء مكتب لتنمية الاتصالات قادر على إحداث التأثير (BDT4Impact). وأدخل الهيكل المنقح للمكتب وحدة جديدة تهدف إلى تعزيز مرحلتي التخطيط والتنفيذ الواردتين في دليل مكتب تنمية الاتصالات لإدارة المشاريع. وتعمل وحدة تنفيذ المشاريع (</w:t>
      </w:r>
      <w:r w:rsidR="009A775A" w:rsidRPr="001A3672">
        <w:rPr>
          <w:spacing w:val="-6"/>
          <w:lang w:bidi="ar-EG"/>
        </w:rPr>
        <w:t>PPI</w:t>
      </w:r>
      <w:r w:rsidR="009A775A" w:rsidRPr="001A3672">
        <w:rPr>
          <w:spacing w:val="-6"/>
          <w:rtl/>
        </w:rPr>
        <w:t>)، التابعة لمكتب نائب المدير، بالفعل في جميع المجالات المحورية وأفرقة المشاريع لتسريع تنفيذ مشاريع مكتب تنمية الاتصالات وضمان إحداثها للتأثير المتوقع على أرض الواقع.</w:t>
      </w:r>
    </w:p>
    <w:p w14:paraId="6B1329F7" w14:textId="6902F15B" w:rsidR="009A775A" w:rsidRPr="00716BF8" w:rsidRDefault="001A3672" w:rsidP="00716BF8">
      <w:pPr>
        <w:pStyle w:val="enumlev1"/>
      </w:pPr>
      <w:r>
        <w:rPr>
          <w:b/>
          <w:bCs/>
        </w:rPr>
        <w:t>-</w:t>
      </w:r>
      <w:r>
        <w:rPr>
          <w:b/>
          <w:bCs/>
        </w:rPr>
        <w:tab/>
      </w:r>
      <w:r w:rsidR="009A775A" w:rsidRPr="009A775A">
        <w:rPr>
          <w:b/>
          <w:bCs/>
          <w:rtl/>
        </w:rPr>
        <w:t>تعزيز عملية تقديم التقارير إلى الشركاء.</w:t>
      </w:r>
      <w:r w:rsidR="009A775A" w:rsidRPr="009A775A">
        <w:rPr>
          <w:rtl/>
        </w:rPr>
        <w:t xml:space="preserve"> في عام 2024، أدخل مكتب تنمية الاتصالات سياسة جديدة لتعزيز عملية تقديم التقارير إلى شركاء التمويل. وفي إطار السياسة الجديدة، يتلقى جميع شركاء التمويل الآن كل فترة من 6 أشهر إلى 12 شهراً تقريراً واحداً على الأقل يعرض حالة تنفيذ المشاريع التي يمولونها. وتسلط التقارير، التي يعدها مديرو المشاريع بدعم من أصحاب المصلحة الداخليين ذوي الصلة في الاتحاد، الضوء أيضاً على أي تحديات ومخاطر يمكن أن تكون قد ظهرت خلال الفترة المشمولة بالتقرير، وعلى الوضع المالي للمشروع. وقد أُرسلت المجموعة الأولى من هذه التقارير في يوليو 2024، وأرسلت المجموعة الثانية في الربع الأول من عام 2025. ويهدف التدبير الجديد إلى تعزيز الشفافية والمساءلة في تنفيذ مشاريع مكتب تنمية الاتصالات.</w:t>
      </w:r>
    </w:p>
    <w:p w14:paraId="593DCA10" w14:textId="30F5E149" w:rsidR="009A775A" w:rsidRPr="009A775A" w:rsidRDefault="001A3672" w:rsidP="001A3672">
      <w:pPr>
        <w:pStyle w:val="enumlev1"/>
        <w:rPr>
          <w:b/>
          <w:lang w:val="ar-SA" w:bidi="ar-EG"/>
        </w:rPr>
      </w:pPr>
      <w:r>
        <w:rPr>
          <w:b/>
          <w:bCs/>
        </w:rPr>
        <w:lastRenderedPageBreak/>
        <w:t>-</w:t>
      </w:r>
      <w:r>
        <w:rPr>
          <w:b/>
          <w:bCs/>
        </w:rPr>
        <w:tab/>
      </w:r>
      <w:r w:rsidR="009A775A" w:rsidRPr="001A3672">
        <w:rPr>
          <w:b/>
          <w:bCs/>
          <w:spacing w:val="-2"/>
          <w:rtl/>
        </w:rPr>
        <w:t>عمل لجنة مشاريع مكتب تنمية الاتصالات</w:t>
      </w:r>
      <w:r w:rsidR="009A775A" w:rsidRPr="001A3672">
        <w:rPr>
          <w:bCs/>
          <w:spacing w:val="-2"/>
          <w:rtl/>
        </w:rPr>
        <w:t xml:space="preserve">: </w:t>
      </w:r>
      <w:r w:rsidR="009A775A" w:rsidRPr="001A3672">
        <w:rPr>
          <w:b/>
          <w:spacing w:val="-2"/>
          <w:rtl/>
        </w:rPr>
        <w:t>استمرت لجنة مشاريع مكتب تنمية الاتصالات في الاجتماع شهرياً خلال عام 2024 لتوفير آلية إدارية واضحة على مستوى حافظة المشاريع. وتقوم اللجنة بتقييم مقترحات المشاريع الجديدة والإضافات وعمليات الإقفال والموافقة عليها، وتقدم التوجيه حسب الاقتضاء للمشاريع التي تواجه أي مشاكل في التنفيذ. وحتى الآن، عقدت اللجنة ما مجموعه 37 اجتماعاً منذ عام 2020. والقرارات التي تتخذها اللجنة تُلزم مديري المشاريع بالامتثال لها. وتواظب شعبة دعم المشاريع على متابعة القرارات الصادرة عن اللجنة وإبلاغ لجنة المشاريع بها.</w:t>
      </w:r>
    </w:p>
    <w:p w14:paraId="327D9FDB" w14:textId="215B9C08" w:rsidR="009A775A" w:rsidRPr="009A775A" w:rsidRDefault="001A3672" w:rsidP="001A3672">
      <w:pPr>
        <w:pStyle w:val="enumlev1"/>
        <w:rPr>
          <w:b/>
          <w:lang w:val="ar-SA" w:bidi="ar-EG"/>
        </w:rPr>
      </w:pPr>
      <w:r>
        <w:rPr>
          <w:b/>
          <w:bCs/>
        </w:rPr>
        <w:t>-</w:t>
      </w:r>
      <w:r>
        <w:rPr>
          <w:b/>
          <w:bCs/>
        </w:rPr>
        <w:tab/>
      </w:r>
      <w:r w:rsidR="009A775A" w:rsidRPr="009A775A">
        <w:rPr>
          <w:b/>
          <w:bCs/>
          <w:rtl/>
        </w:rPr>
        <w:t>سلسلة الدورات التدريبية لمديري المشاريع.</w:t>
      </w:r>
      <w:r w:rsidR="009A775A" w:rsidRPr="009A775A">
        <w:rPr>
          <w:bCs/>
          <w:rtl/>
        </w:rPr>
        <w:t xml:space="preserve"> </w:t>
      </w:r>
      <w:r w:rsidR="009A775A" w:rsidRPr="009A775A">
        <w:rPr>
          <w:b/>
          <w:rtl/>
        </w:rPr>
        <w:t>في عام 2024، استمر مكتب تنمية الاتصالات في تنظيم دورات تدريبية منتظمة وجلسات لتبادل المعلومات لمديري المشاريع. وتهدف هذه الجلسات إلى تنسيق ممارسات المشاريع على نطاق مكتب تنمية الاتصالات، وتعزيز مجتمع مديري المشاريع، ومواصلة تطوير مهارات مديري المشاريع في المجالات المتعلقة بعمل الاتحاد. وسيستمر هذا البرنامج طوال عام 2025.</w:t>
      </w:r>
    </w:p>
    <w:p w14:paraId="186A5872" w14:textId="520EEFEF" w:rsidR="009A775A" w:rsidRPr="009A775A" w:rsidRDefault="009E0718" w:rsidP="001A3672">
      <w:pPr>
        <w:pStyle w:val="enumlev1"/>
        <w:rPr>
          <w:lang w:val="ar-SA" w:bidi="ar-EG"/>
        </w:rPr>
      </w:pPr>
      <w:r>
        <w:rPr>
          <w:b/>
          <w:bCs/>
        </w:rPr>
        <w:t>-</w:t>
      </w:r>
      <w:r>
        <w:rPr>
          <w:b/>
          <w:bCs/>
        </w:rPr>
        <w:tab/>
      </w:r>
      <w:r w:rsidR="009A775A" w:rsidRPr="009A775A">
        <w:rPr>
          <w:b/>
          <w:bCs/>
          <w:rtl/>
        </w:rPr>
        <w:t>مراقبة مشاريع الاتحاد</w:t>
      </w:r>
      <w:r w:rsidR="009A775A" w:rsidRPr="009A775A">
        <w:rPr>
          <w:rtl/>
        </w:rPr>
        <w:t>: تستمر مراقبة جميع مشاريع الاتحاد على أساس يومي وتقدَّم تقارير بشأنها في نهاية كل ربع سنة. وتتاح نتيجة هذا العمل إلى إدارة مكتب تنمية الاتصالات ومديري مشاريعه من خلال تقارير التقييم الربع سنوية، وباستخدام لوحات معلومات الإدارة الداخلية، ما يمكّن من اتخاذ قرارات قائمة على البيانات فيما يتعلق بالمشاريع.</w:t>
      </w:r>
    </w:p>
    <w:p w14:paraId="42CFD69F" w14:textId="77777777" w:rsidR="009A775A" w:rsidRPr="009A775A" w:rsidRDefault="009A775A" w:rsidP="009E0718">
      <w:pPr>
        <w:pStyle w:val="Heading1"/>
        <w:rPr>
          <w:lang w:val="ar-SA" w:bidi="ar-EG"/>
        </w:rPr>
      </w:pPr>
      <w:r w:rsidRPr="009A775A">
        <w:rPr>
          <w:rtl/>
        </w:rPr>
        <w:t>5</w:t>
      </w:r>
      <w:r w:rsidRPr="009A775A">
        <w:rPr>
          <w:rtl/>
        </w:rPr>
        <w:tab/>
        <w:t>الاستنتاجات</w:t>
      </w:r>
    </w:p>
    <w:p w14:paraId="3A6956FF" w14:textId="67BE9926" w:rsidR="009A775A" w:rsidRPr="009A775A" w:rsidRDefault="009A775A" w:rsidP="009A775A">
      <w:pPr>
        <w:rPr>
          <w:lang w:val="ar-SA" w:bidi="ar-EG"/>
        </w:rPr>
      </w:pPr>
      <w:r w:rsidRPr="009A775A">
        <w:rPr>
          <w:rtl/>
        </w:rPr>
        <w:t xml:space="preserve">لقد كان عام 2024 مهماً من حيث التقدم في تنفيذ مشاريع الاتحاد. ومن خلال الأنشطة </w:t>
      </w:r>
      <w:proofErr w:type="spellStart"/>
      <w:r w:rsidRPr="009A775A">
        <w:rPr>
          <w:rtl/>
        </w:rPr>
        <w:t>المضطلع</w:t>
      </w:r>
      <w:proofErr w:type="spellEnd"/>
      <w:r w:rsidRPr="009A775A">
        <w:rPr>
          <w:rtl/>
        </w:rPr>
        <w:t xml:space="preserve"> بها في أكثر من 100 مشروع جارٍ تنفيذها و37 مشروعاً جديداً تم توقيعها خلال العام، تستمر مشاريع الاتحاد في أداء دور أساسي في تنفيذ خطة عمل كيغالي وتقديم المساعدة التقنية إلى الدول الأعضاء في الاتحاد، فضلاً عن تقديم منتجات وخدمات جديدة في مجال التنمية الرقمية والتحول الرقمي.</w:t>
      </w:r>
    </w:p>
    <w:p w14:paraId="763B482E" w14:textId="7DB79237" w:rsidR="009A775A" w:rsidRPr="009A775A" w:rsidRDefault="009A775A" w:rsidP="009A775A">
      <w:pPr>
        <w:rPr>
          <w:lang w:val="ar-SA" w:bidi="ar-EG"/>
        </w:rPr>
      </w:pPr>
      <w:r w:rsidRPr="009A775A">
        <w:rPr>
          <w:rtl/>
        </w:rPr>
        <w:t>وهذه الإنجازات هي ثمرة التنسيق والتعاون الوثيقين بين جميع الأفرقة سواء في الميدان أو في مقر مكتب تنمية الاتصالات، ولا</w:t>
      </w:r>
      <w:r w:rsidR="003C222E">
        <w:rPr>
          <w:rFonts w:hint="cs"/>
          <w:rtl/>
        </w:rPr>
        <w:t> </w:t>
      </w:r>
      <w:r w:rsidRPr="009A775A">
        <w:rPr>
          <w:rtl/>
        </w:rPr>
        <w:t xml:space="preserve">سيما بدعم من إدارة المشاريع والشراكات والمهارات الرقمية </w:t>
      </w:r>
      <w:r w:rsidR="009E0718">
        <w:t>(</w:t>
      </w:r>
      <w:r w:rsidRPr="009A775A">
        <w:rPr>
          <w:lang w:bidi="ar-EG"/>
        </w:rPr>
        <w:t>PPS</w:t>
      </w:r>
      <w:r w:rsidR="009E0718">
        <w:t>)</w:t>
      </w:r>
      <w:r w:rsidRPr="009A775A">
        <w:rPr>
          <w:rtl/>
        </w:rPr>
        <w:t xml:space="preserve"> التابعة لمكتب تنمية الاتصالات.</w:t>
      </w:r>
      <w:r w:rsidR="009E0718">
        <w:rPr>
          <w:rStyle w:val="FootnoteReference"/>
          <w:rtl/>
        </w:rPr>
        <w:footnoteReference w:id="5"/>
      </w:r>
    </w:p>
    <w:p w14:paraId="5B4CFADB" w14:textId="75111C2B" w:rsidR="009A775A" w:rsidRPr="009A775A" w:rsidRDefault="009A775A" w:rsidP="009A775A">
      <w:pPr>
        <w:rPr>
          <w:lang w:val="ar-SA" w:bidi="ar-EG"/>
        </w:rPr>
      </w:pPr>
      <w:r w:rsidRPr="009A775A">
        <w:rPr>
          <w:rtl/>
        </w:rPr>
        <w:t>وفي الوقت الذي يضطلع فيه قطاع تنمية الاتصالات بالأعمال التحضيرية للمؤتمر العالمي لتنمية الاتصالات لعام 2025، يُدعى الفريق الاستشاري لتنمية الاتصالات إلى مواصلة تقديم التوجيه والمشورة بشأن كيفية مواصلة تعزيز الممارسات المتعلقة بالمشاريع في مكتب تنمية الاتصالات من أجل إحداث تأثيرات هادفة على أرض الواقع في أعضاء قطاع تنمية الاتصالات من خلال المشاريع الإنمائية.</w:t>
      </w:r>
    </w:p>
    <w:p w14:paraId="7025AF07" w14:textId="673FD5B8"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EB5A" w14:textId="77777777" w:rsidR="0037093A" w:rsidRDefault="0037093A" w:rsidP="006C3242">
      <w:pPr>
        <w:spacing w:before="0" w:line="240" w:lineRule="auto"/>
      </w:pPr>
      <w:r>
        <w:separator/>
      </w:r>
    </w:p>
  </w:endnote>
  <w:endnote w:type="continuationSeparator" w:id="0">
    <w:p w14:paraId="00D46B34" w14:textId="77777777" w:rsidR="0037093A" w:rsidRDefault="0037093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5DE7A472" w14:textId="77777777" w:rsidTr="00031158">
      <w:tc>
        <w:tcPr>
          <w:tcW w:w="991" w:type="dxa"/>
          <w:tcBorders>
            <w:top w:val="single" w:sz="4" w:space="0" w:color="auto"/>
            <w:left w:val="nil"/>
            <w:bottom w:val="nil"/>
            <w:right w:val="nil"/>
          </w:tcBorders>
          <w:shd w:val="clear" w:color="auto" w:fill="FFFFFF" w:themeFill="background1"/>
          <w:hideMark/>
        </w:tcPr>
        <w:p w14:paraId="1CCF985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313880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F579477" w14:textId="1F98F265" w:rsidR="00AD1E92" w:rsidRPr="00AD1E92" w:rsidRDefault="009A775A" w:rsidP="009A775A">
          <w:pPr>
            <w:spacing w:before="60" w:after="40" w:line="260" w:lineRule="exact"/>
            <w:rPr>
              <w:position w:val="2"/>
              <w:sz w:val="18"/>
              <w:szCs w:val="18"/>
              <w:lang w:val="en-GB"/>
            </w:rPr>
          </w:pPr>
          <w:r w:rsidRPr="009A775A">
            <w:rPr>
              <w:position w:val="2"/>
              <w:sz w:val="18"/>
              <w:szCs w:val="18"/>
              <w:rtl/>
              <w:lang w:val="fr-FR"/>
            </w:rPr>
            <w:t xml:space="preserve">السيد Jose </w:t>
          </w:r>
          <w:proofErr w:type="spellStart"/>
          <w:r w:rsidRPr="009A775A">
            <w:rPr>
              <w:position w:val="2"/>
              <w:sz w:val="18"/>
              <w:szCs w:val="18"/>
              <w:rtl/>
              <w:lang w:val="fr-FR"/>
            </w:rPr>
            <w:t>Maria</w:t>
          </w:r>
          <w:proofErr w:type="spellEnd"/>
          <w:r w:rsidRPr="009A775A">
            <w:rPr>
              <w:position w:val="2"/>
              <w:sz w:val="18"/>
              <w:szCs w:val="18"/>
              <w:rtl/>
              <w:lang w:val="fr-FR"/>
            </w:rPr>
            <w:t xml:space="preserve"> </w:t>
          </w:r>
          <w:proofErr w:type="spellStart"/>
          <w:r w:rsidRPr="009A775A">
            <w:rPr>
              <w:position w:val="2"/>
              <w:sz w:val="18"/>
              <w:szCs w:val="18"/>
              <w:rtl/>
              <w:lang w:val="fr-FR"/>
            </w:rPr>
            <w:t>Diaz</w:t>
          </w:r>
          <w:proofErr w:type="spellEnd"/>
          <w:r w:rsidRPr="009A775A">
            <w:rPr>
              <w:position w:val="2"/>
              <w:sz w:val="18"/>
              <w:szCs w:val="18"/>
              <w:rtl/>
              <w:lang w:val="fr-FR"/>
            </w:rPr>
            <w:t xml:space="preserve"> </w:t>
          </w:r>
          <w:proofErr w:type="spellStart"/>
          <w:r w:rsidRPr="009A775A">
            <w:rPr>
              <w:position w:val="2"/>
              <w:sz w:val="18"/>
              <w:szCs w:val="18"/>
              <w:rtl/>
              <w:lang w:val="fr-FR"/>
            </w:rPr>
            <w:t>Batanero</w:t>
          </w:r>
          <w:proofErr w:type="spellEnd"/>
          <w:r w:rsidRPr="009A775A">
            <w:rPr>
              <w:position w:val="2"/>
              <w:sz w:val="18"/>
              <w:szCs w:val="18"/>
              <w:rtl/>
              <w:lang w:val="fr-FR"/>
            </w:rPr>
            <w:t>، رئيس شعبة دعم المشاريع، مكتب تنمية الاتصالات</w:t>
          </w:r>
        </w:p>
      </w:tc>
    </w:tr>
    <w:tr w:rsidR="00AD1E92" w:rsidRPr="00AD1E92" w14:paraId="1B7886F8" w14:textId="77777777" w:rsidTr="00031158">
      <w:tc>
        <w:tcPr>
          <w:tcW w:w="991" w:type="dxa"/>
        </w:tcPr>
        <w:p w14:paraId="1A9C9623"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043885B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076DD45C" w14:textId="7E6C8E18" w:rsidR="00AD1E92" w:rsidRPr="00AD1E92" w:rsidRDefault="00526EE0" w:rsidP="00526EE0">
          <w:pPr>
            <w:spacing w:before="60" w:after="40" w:line="260" w:lineRule="exact"/>
            <w:rPr>
              <w:position w:val="2"/>
              <w:sz w:val="18"/>
              <w:szCs w:val="18"/>
              <w:lang w:val="en-GB"/>
            </w:rPr>
          </w:pPr>
          <w:r w:rsidRPr="00526EE0">
            <w:rPr>
              <w:position w:val="2"/>
              <w:sz w:val="18"/>
              <w:szCs w:val="18"/>
              <w:lang w:val="en-GB" w:bidi="ar-EG"/>
            </w:rPr>
            <w:t>+41 22 730 5495</w:t>
          </w:r>
        </w:p>
      </w:tc>
    </w:tr>
    <w:tr w:rsidR="00AD1E92" w:rsidRPr="00AD1E92" w14:paraId="423BF92D" w14:textId="77777777" w:rsidTr="00031158">
      <w:tc>
        <w:tcPr>
          <w:tcW w:w="991" w:type="dxa"/>
        </w:tcPr>
        <w:p w14:paraId="79DE9EBF"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C7D109A"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14F2D0AB" w14:textId="0BBBF5CB" w:rsidR="00AD1E92" w:rsidRPr="00AD1E92" w:rsidRDefault="00716BF8" w:rsidP="00526EE0">
          <w:pPr>
            <w:spacing w:before="60" w:after="40" w:line="260" w:lineRule="exact"/>
            <w:rPr>
              <w:position w:val="2"/>
              <w:sz w:val="18"/>
              <w:szCs w:val="18"/>
              <w:rtl/>
              <w:lang w:val="fr-FR" w:bidi="ar-EG"/>
            </w:rPr>
          </w:pPr>
          <w:hyperlink r:id="rId1" w:history="1">
            <w:r w:rsidR="00526EE0" w:rsidRPr="00526EE0">
              <w:rPr>
                <w:rStyle w:val="Hyperlink"/>
                <w:position w:val="2"/>
                <w:sz w:val="18"/>
                <w:szCs w:val="18"/>
                <w:lang w:val="en-GB" w:bidi="ar-EG"/>
              </w:rPr>
              <w:t>jose.batanero@itu.int</w:t>
            </w:r>
          </w:hyperlink>
          <w:hyperlink r:id="rId2" w:history="1"/>
        </w:p>
      </w:tc>
    </w:tr>
  </w:tbl>
  <w:p w14:paraId="11D31103"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9485" w14:textId="77777777" w:rsidR="0037093A" w:rsidRDefault="0037093A" w:rsidP="006C3242">
      <w:pPr>
        <w:spacing w:before="0" w:line="240" w:lineRule="auto"/>
      </w:pPr>
      <w:r>
        <w:separator/>
      </w:r>
    </w:p>
  </w:footnote>
  <w:footnote w:type="continuationSeparator" w:id="0">
    <w:p w14:paraId="47E27321" w14:textId="77777777" w:rsidR="0037093A" w:rsidRDefault="0037093A" w:rsidP="006C3242">
      <w:pPr>
        <w:spacing w:before="0" w:line="240" w:lineRule="auto"/>
      </w:pPr>
      <w:r>
        <w:continuationSeparator/>
      </w:r>
    </w:p>
  </w:footnote>
  <w:footnote w:id="1">
    <w:p w14:paraId="7EBD2596" w14:textId="6B681038" w:rsidR="00526EE0" w:rsidRDefault="00526EE0" w:rsidP="00EF349D">
      <w:pPr>
        <w:pStyle w:val="FootnoteText"/>
      </w:pPr>
      <w:r>
        <w:rPr>
          <w:rStyle w:val="FootnoteReference"/>
        </w:rPr>
        <w:footnoteRef/>
      </w:r>
      <w:r>
        <w:rPr>
          <w:rtl/>
        </w:rPr>
        <w:tab/>
      </w:r>
      <w:r w:rsidRPr="009E0718">
        <w:rPr>
          <w:rtl/>
        </w:rPr>
        <w:t>تتوافق الأرقام الواردة في هذه الوثيقة مع الرصيد المالي عند إقفال حسابات 2024 (الرصيد في 31 ديسمبر 2024).</w:t>
      </w:r>
    </w:p>
  </w:footnote>
  <w:footnote w:id="2">
    <w:p w14:paraId="033604D2" w14:textId="45FE23AF" w:rsidR="00AC3873" w:rsidRPr="009E0718" w:rsidRDefault="00AC3873" w:rsidP="00EF349D">
      <w:pPr>
        <w:pStyle w:val="FootnoteText"/>
      </w:pPr>
      <w:r>
        <w:rPr>
          <w:rStyle w:val="FootnoteReference"/>
        </w:rPr>
        <w:footnoteRef/>
      </w:r>
      <w:r>
        <w:tab/>
      </w:r>
      <w:r w:rsidRPr="009E0718">
        <w:rPr>
          <w:rtl/>
        </w:rPr>
        <w:t xml:space="preserve">علماً بأن هذا الرقم لا يشمل الإضافات الموقَّعة بشأن المشاريع الجاري تنفيذها، وكذلك اتفاقات الشراكة الأخرى مثل اتفاقات الرعاية أو اتفاقات المساهمات الطوعية، التي يرد تقرير عنها في وثيقة </w:t>
      </w:r>
      <w:r w:rsidR="007838FA">
        <w:rPr>
          <w:rFonts w:hint="cs"/>
          <w:rtl/>
        </w:rPr>
        <w:t xml:space="preserve">المعلومات </w:t>
      </w:r>
      <w:r w:rsidRPr="009E0718">
        <w:rPr>
          <w:rtl/>
        </w:rPr>
        <w:t>TDAG-25/INF/1.</w:t>
      </w:r>
    </w:p>
  </w:footnote>
  <w:footnote w:id="3">
    <w:p w14:paraId="00A21CF0" w14:textId="1306BF49" w:rsidR="00AE1F9C" w:rsidRDefault="00AE1F9C" w:rsidP="00EF349D">
      <w:pPr>
        <w:pStyle w:val="FootnoteText"/>
      </w:pPr>
      <w:r>
        <w:rPr>
          <w:rStyle w:val="FootnoteReference"/>
        </w:rPr>
        <w:footnoteRef/>
      </w:r>
      <w:r>
        <w:tab/>
      </w:r>
      <w:r w:rsidRPr="009E0718">
        <w:rPr>
          <w:rtl/>
        </w:rPr>
        <w:t>للاطلاع على مزيد من المعلومات، انظر القرار 1418، المتاح عبر الرابط التالي</w:t>
      </w:r>
      <w:r w:rsidRPr="009E0718">
        <w:t>:</w:t>
      </w:r>
      <w:r w:rsidRPr="009E0718">
        <w:rPr>
          <w:rtl/>
        </w:rPr>
        <w:t xml:space="preserve"> </w:t>
      </w:r>
      <w:hyperlink r:id="rId1" w:history="1">
        <w:r w:rsidR="00EF349D" w:rsidRPr="00EF349D">
          <w:rPr>
            <w:rStyle w:val="Hyperlink"/>
          </w:rPr>
          <w:t>https://www.itu.int/md/S23-CL-C-0116/</w:t>
        </w:r>
      </w:hyperlink>
    </w:p>
  </w:footnote>
  <w:footnote w:id="4">
    <w:p w14:paraId="73C4C6FA" w14:textId="4B13C204" w:rsidR="00AE1F9C" w:rsidRPr="00EF349D" w:rsidRDefault="00AE1F9C" w:rsidP="00EF349D">
      <w:pPr>
        <w:pStyle w:val="FootnoteText"/>
        <w:rPr>
          <w:rFonts w:hint="cs"/>
          <w:rtl/>
          <w:lang w:bidi="ar-EG"/>
        </w:rPr>
      </w:pPr>
      <w:r w:rsidRPr="00EF349D">
        <w:rPr>
          <w:rStyle w:val="FootnoteReference"/>
          <w:i w:val="0"/>
          <w:iCs w:val="0"/>
        </w:rPr>
        <w:footnoteRef/>
      </w:r>
      <w:r w:rsidRPr="00EF349D">
        <w:rPr>
          <w:rtl/>
        </w:rPr>
        <w:tab/>
        <w:t>متاحة عبر الرابط</w:t>
      </w:r>
      <w:r w:rsidRPr="00EF349D">
        <w:t>:</w:t>
      </w:r>
      <w:r w:rsidRPr="00EF349D">
        <w:rPr>
          <w:rtl/>
        </w:rPr>
        <w:t xml:space="preserve"> </w:t>
      </w:r>
      <w:hyperlink r:id="rId2" w:anchor="/ar" w:history="1">
        <w:r w:rsidR="007838FA">
          <w:rPr>
            <w:rStyle w:val="Hyperlink"/>
          </w:rPr>
          <w:t>https://www.itu.int/ar/ITU-D/Projects</w:t>
        </w:r>
      </w:hyperlink>
    </w:p>
  </w:footnote>
  <w:footnote w:id="5">
    <w:p w14:paraId="1F4D8A54" w14:textId="6C4DBC4F" w:rsidR="009E0718" w:rsidRDefault="009E0718" w:rsidP="00EF349D">
      <w:pPr>
        <w:pStyle w:val="FootnoteText"/>
      </w:pPr>
      <w:r>
        <w:rPr>
          <w:rStyle w:val="FootnoteReference"/>
        </w:rPr>
        <w:footnoteRef/>
      </w:r>
      <w:r>
        <w:tab/>
      </w:r>
      <w:r w:rsidRPr="009E0718">
        <w:rPr>
          <w:rtl/>
        </w:rPr>
        <w:t xml:space="preserve">يتاح المزيد من المعلومات عن شراكات قطاع تنمية الاتصالات وأنشطته لتعبئة الموارد في الوثيقتين </w:t>
      </w:r>
      <w:hyperlink r:id="rId3" w:history="1">
        <w:r w:rsidRPr="009E0718">
          <w:rPr>
            <w:rStyle w:val="Hyperlink"/>
            <w:rtl/>
          </w:rPr>
          <w:t>TDAG-25/9</w:t>
        </w:r>
      </w:hyperlink>
      <w:r w:rsidRPr="009E0718">
        <w:rPr>
          <w:rtl/>
        </w:rPr>
        <w:t xml:space="preserve"> و</w:t>
      </w:r>
      <w:hyperlink r:id="rId4" w:history="1">
        <w:r w:rsidRPr="009E0718">
          <w:rPr>
            <w:rStyle w:val="Hyperlink"/>
            <w:rtl/>
          </w:rPr>
          <w:t>TDAG-25/INF/3</w:t>
        </w:r>
      </w:hyperlink>
      <w:r w:rsidRPr="009E0718">
        <w:rPr>
          <w:rtl/>
        </w:rPr>
        <w:t>، والوثيقة</w:t>
      </w:r>
      <w:r w:rsidR="003C222E">
        <w:rPr>
          <w:rFonts w:hint="cs"/>
          <w:rtl/>
        </w:rPr>
        <w:t> </w:t>
      </w:r>
      <w:hyperlink r:id="rId5" w:history="1">
        <w:r w:rsidRPr="009E0718">
          <w:rPr>
            <w:rStyle w:val="Hyperlink"/>
            <w:rtl/>
          </w:rPr>
          <w:t>TDAG-25/8</w:t>
        </w:r>
      </w:hyperlink>
      <w:r w:rsidRPr="009E0718">
        <w:rPr>
          <w:rtl/>
        </w:rPr>
        <w:t xml:space="preserve"> بشأن أعضاء قطاع تنمية الاتصالات والمنتسبين إليه والهيئات الأكاديمية المنضمة إليه.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717F372" w14:textId="365E8D0C"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2" w:name="DocNo2"/>
        <w:bookmarkEnd w:id="2"/>
        <w:r w:rsidR="006B266A">
          <w:rPr>
            <w:sz w:val="20"/>
            <w:szCs w:val="20"/>
            <w:lang w:val="es-ES_tradnl"/>
          </w:rPr>
          <w:t>5</w:t>
        </w:r>
        <w:r w:rsidR="004F0F62" w:rsidRPr="004F0F62">
          <w:rPr>
            <w:sz w:val="20"/>
            <w:szCs w:val="20"/>
            <w:lang w:val="es-ES_tradnl"/>
          </w:rPr>
          <w:t>/</w:t>
        </w:r>
        <w:r w:rsidR="00C849DD">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E582D"/>
    <w:multiLevelType w:val="hybridMultilevel"/>
    <w:tmpl w:val="05000E40"/>
    <w:lvl w:ilvl="0" w:tplc="5BC06E7C">
      <w:start w:val="457"/>
      <w:numFmt w:val="bullet"/>
      <w:lvlText w:val="-"/>
      <w:lvlJc w:val="left"/>
      <w:pPr>
        <w:ind w:left="720" w:hanging="360"/>
      </w:pPr>
      <w:rPr>
        <w:rFonts w:ascii="Dubai" w:eastAsiaTheme="minorEastAsia" w:hAnsi="Dubai" w:cs="Duba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D5E31"/>
    <w:multiLevelType w:val="multilevel"/>
    <w:tmpl w:val="44CE1EE8"/>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574AE8"/>
    <w:multiLevelType w:val="hybridMultilevel"/>
    <w:tmpl w:val="B9B266DE"/>
    <w:lvl w:ilvl="0" w:tplc="9CF83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5" w15:restartNumberingAfterBreak="0">
    <w:nsid w:val="6C455204"/>
    <w:multiLevelType w:val="hybridMultilevel"/>
    <w:tmpl w:val="3DE00C5C"/>
    <w:lvl w:ilvl="0" w:tplc="D070FC1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2"/>
  </w:num>
  <w:num w:numId="12" w16cid:durableId="25525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277892">
    <w:abstractNumId w:val="14"/>
    <w:lvlOverride w:ilvl="0">
      <w:lvl w:ilvl="0" w:tplc="B80E9A42">
        <w:start w:val="1"/>
        <w:numFmt w:val="bullet"/>
        <w:lvlText w:val=""/>
        <w:lvlJc w:val="left"/>
        <w:pPr>
          <w:ind w:left="717" w:hanging="360"/>
        </w:pPr>
        <w:rPr>
          <w:rFonts w:ascii="Symbol" w:hAnsi="Symbol" w:hint="default"/>
        </w:rPr>
      </w:lvl>
    </w:lvlOverride>
  </w:num>
  <w:num w:numId="14" w16cid:durableId="201526561">
    <w:abstractNumId w:val="13"/>
  </w:num>
  <w:num w:numId="15" w16cid:durableId="1060861678">
    <w:abstractNumId w:val="15"/>
  </w:num>
  <w:num w:numId="16" w16cid:durableId="1644044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A"/>
    <w:rsid w:val="00026D7C"/>
    <w:rsid w:val="0006468A"/>
    <w:rsid w:val="00076483"/>
    <w:rsid w:val="00090574"/>
    <w:rsid w:val="000C1C0E"/>
    <w:rsid w:val="000C548A"/>
    <w:rsid w:val="000C583C"/>
    <w:rsid w:val="00153471"/>
    <w:rsid w:val="0016016A"/>
    <w:rsid w:val="001621F1"/>
    <w:rsid w:val="0019128D"/>
    <w:rsid w:val="001A3672"/>
    <w:rsid w:val="001C0169"/>
    <w:rsid w:val="001D1D50"/>
    <w:rsid w:val="001D6745"/>
    <w:rsid w:val="001E446E"/>
    <w:rsid w:val="00206FB6"/>
    <w:rsid w:val="0021016E"/>
    <w:rsid w:val="002105DF"/>
    <w:rsid w:val="002154EE"/>
    <w:rsid w:val="002276D2"/>
    <w:rsid w:val="0023283D"/>
    <w:rsid w:val="0026373E"/>
    <w:rsid w:val="00271C43"/>
    <w:rsid w:val="00290728"/>
    <w:rsid w:val="002978F4"/>
    <w:rsid w:val="002B028D"/>
    <w:rsid w:val="002D695E"/>
    <w:rsid w:val="002E6541"/>
    <w:rsid w:val="00317741"/>
    <w:rsid w:val="00334924"/>
    <w:rsid w:val="003409BC"/>
    <w:rsid w:val="00352462"/>
    <w:rsid w:val="00357185"/>
    <w:rsid w:val="0037093A"/>
    <w:rsid w:val="00383829"/>
    <w:rsid w:val="003971E3"/>
    <w:rsid w:val="003B140E"/>
    <w:rsid w:val="003C222E"/>
    <w:rsid w:val="003C4402"/>
    <w:rsid w:val="003F4B29"/>
    <w:rsid w:val="004200BD"/>
    <w:rsid w:val="0042686F"/>
    <w:rsid w:val="004317D8"/>
    <w:rsid w:val="00434183"/>
    <w:rsid w:val="00437550"/>
    <w:rsid w:val="00443869"/>
    <w:rsid w:val="00447F32"/>
    <w:rsid w:val="00457D22"/>
    <w:rsid w:val="004A0B7B"/>
    <w:rsid w:val="004E11DC"/>
    <w:rsid w:val="004E2A5B"/>
    <w:rsid w:val="004F0F62"/>
    <w:rsid w:val="004F3C48"/>
    <w:rsid w:val="00506E94"/>
    <w:rsid w:val="00525DDD"/>
    <w:rsid w:val="00526EE0"/>
    <w:rsid w:val="005409AC"/>
    <w:rsid w:val="0054492D"/>
    <w:rsid w:val="0055516A"/>
    <w:rsid w:val="0058491B"/>
    <w:rsid w:val="00585921"/>
    <w:rsid w:val="005874F2"/>
    <w:rsid w:val="00592EA5"/>
    <w:rsid w:val="005A3170"/>
    <w:rsid w:val="005B2C89"/>
    <w:rsid w:val="005C0C76"/>
    <w:rsid w:val="005C24D8"/>
    <w:rsid w:val="005D610E"/>
    <w:rsid w:val="005D63D6"/>
    <w:rsid w:val="005E1E6D"/>
    <w:rsid w:val="006128FC"/>
    <w:rsid w:val="00677396"/>
    <w:rsid w:val="0069200F"/>
    <w:rsid w:val="006A5FEC"/>
    <w:rsid w:val="006A65CB"/>
    <w:rsid w:val="006B266A"/>
    <w:rsid w:val="006C3242"/>
    <w:rsid w:val="006C7CC0"/>
    <w:rsid w:val="006E4285"/>
    <w:rsid w:val="006F14ED"/>
    <w:rsid w:val="006F63F7"/>
    <w:rsid w:val="007025C7"/>
    <w:rsid w:val="00706D7A"/>
    <w:rsid w:val="00716BF8"/>
    <w:rsid w:val="00722F0D"/>
    <w:rsid w:val="0074420E"/>
    <w:rsid w:val="0074742E"/>
    <w:rsid w:val="00747A70"/>
    <w:rsid w:val="00760089"/>
    <w:rsid w:val="007838FA"/>
    <w:rsid w:val="00783A69"/>
    <w:rsid w:val="00783E26"/>
    <w:rsid w:val="007A1D77"/>
    <w:rsid w:val="007B4FA0"/>
    <w:rsid w:val="007C3BC7"/>
    <w:rsid w:val="007C3BCD"/>
    <w:rsid w:val="007D345C"/>
    <w:rsid w:val="007D4ACF"/>
    <w:rsid w:val="007F0787"/>
    <w:rsid w:val="008033F1"/>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A775A"/>
    <w:rsid w:val="009D313F"/>
    <w:rsid w:val="009E0718"/>
    <w:rsid w:val="00A15396"/>
    <w:rsid w:val="00A24359"/>
    <w:rsid w:val="00A47A5A"/>
    <w:rsid w:val="00A6683B"/>
    <w:rsid w:val="00A97F94"/>
    <w:rsid w:val="00AA7EA2"/>
    <w:rsid w:val="00AC3873"/>
    <w:rsid w:val="00AD1E92"/>
    <w:rsid w:val="00AE1F9C"/>
    <w:rsid w:val="00B03099"/>
    <w:rsid w:val="00B05BC8"/>
    <w:rsid w:val="00B319BC"/>
    <w:rsid w:val="00B64B47"/>
    <w:rsid w:val="00B93B7B"/>
    <w:rsid w:val="00BB1D28"/>
    <w:rsid w:val="00BC4B48"/>
    <w:rsid w:val="00BE15A3"/>
    <w:rsid w:val="00C002DE"/>
    <w:rsid w:val="00C53BF8"/>
    <w:rsid w:val="00C56B5F"/>
    <w:rsid w:val="00C66157"/>
    <w:rsid w:val="00C674FE"/>
    <w:rsid w:val="00C67501"/>
    <w:rsid w:val="00C75633"/>
    <w:rsid w:val="00C849DD"/>
    <w:rsid w:val="00C85CB5"/>
    <w:rsid w:val="00CA08BA"/>
    <w:rsid w:val="00CE2EE1"/>
    <w:rsid w:val="00CE3349"/>
    <w:rsid w:val="00CE36E5"/>
    <w:rsid w:val="00CF27F5"/>
    <w:rsid w:val="00CF3FFD"/>
    <w:rsid w:val="00CF4342"/>
    <w:rsid w:val="00D10CCF"/>
    <w:rsid w:val="00D57737"/>
    <w:rsid w:val="00D77D0F"/>
    <w:rsid w:val="00D8311F"/>
    <w:rsid w:val="00D84440"/>
    <w:rsid w:val="00DA1CF0"/>
    <w:rsid w:val="00DC1E02"/>
    <w:rsid w:val="00DC24B4"/>
    <w:rsid w:val="00DC5FB0"/>
    <w:rsid w:val="00DF16DC"/>
    <w:rsid w:val="00E43176"/>
    <w:rsid w:val="00E45211"/>
    <w:rsid w:val="00E473C5"/>
    <w:rsid w:val="00E92863"/>
    <w:rsid w:val="00EB796D"/>
    <w:rsid w:val="00EE5CF2"/>
    <w:rsid w:val="00EF349D"/>
    <w:rsid w:val="00F058DC"/>
    <w:rsid w:val="00F24FC4"/>
    <w:rsid w:val="00F2676C"/>
    <w:rsid w:val="00F34BBE"/>
    <w:rsid w:val="00F43D01"/>
    <w:rsid w:val="00F77022"/>
    <w:rsid w:val="00F84366"/>
    <w:rsid w:val="00F85089"/>
    <w:rsid w:val="00F91B10"/>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7FB4AB5"/>
  <w15:chartTrackingRefBased/>
  <w15:docId w15:val="{2EE6E2F1-BB59-4306-9F27-EE796EF2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EF349D"/>
    <w:pPr>
      <w:tabs>
        <w:tab w:val="clear" w:pos="794"/>
        <w:tab w:val="left" w:pos="283"/>
      </w:tabs>
      <w:spacing w:before="60" w:line="168" w:lineRule="auto"/>
    </w:pPr>
    <w:rPr>
      <w:i/>
      <w:iCs/>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EF349D"/>
    <w:rPr>
      <w:rFonts w:ascii="Dubai" w:hAnsi="Dubai" w:cs="Dubai"/>
      <w:i/>
      <w:iCs/>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26EE0"/>
    <w:rPr>
      <w:color w:val="605E5C"/>
      <w:shd w:val="clear" w:color="auto" w:fill="E1DFDD"/>
    </w:rPr>
  </w:style>
  <w:style w:type="paragraph" w:styleId="Revision">
    <w:name w:val="Revision"/>
    <w:hidden/>
    <w:uiPriority w:val="99"/>
    <w:semiHidden/>
    <w:rsid w:val="00585921"/>
    <w:pPr>
      <w:spacing w:after="0" w:line="240" w:lineRule="auto"/>
    </w:pPr>
    <w:rPr>
      <w:rFonts w:ascii="Dubai" w:hAnsi="Dubai" w:cs="Dubai"/>
    </w:rPr>
  </w:style>
  <w:style w:type="paragraph" w:customStyle="1" w:styleId="Figure">
    <w:name w:val="Figure"/>
    <w:basedOn w:val="Heading1"/>
    <w:qFormat/>
    <w:rsid w:val="00206FB6"/>
    <w:pPr>
      <w:spacing w:before="120" w:after="120" w:line="240" w:lineRule="auto"/>
      <w:jc w:val="center"/>
    </w:pPr>
    <w:rPr>
      <w:noProof/>
    </w:rPr>
  </w:style>
  <w:style w:type="character" w:styleId="FollowedHyperlink">
    <w:name w:val="FollowedHyperlink"/>
    <w:basedOn w:val="DefaultParagraphFont"/>
    <w:uiPriority w:val="99"/>
    <w:semiHidden/>
    <w:unhideWhenUsed/>
    <w:rsid w:val="00EF349D"/>
    <w:rPr>
      <w:color w:val="954F72" w:themeColor="followedHyperlink"/>
      <w:u w:val="single"/>
    </w:rPr>
  </w:style>
  <w:style w:type="paragraph" w:customStyle="1" w:styleId="Not">
    <w:name w:val="Not'"/>
    <w:basedOn w:val="Figurelegend"/>
    <w:qFormat/>
    <w:rsid w:val="00F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D22-TDAG32-C-0009/" TargetMode="External"/><Relationship Id="rId2" Type="http://schemas.openxmlformats.org/officeDocument/2006/relationships/hyperlink" Target="https://www.itu.int/itu-d/sites/projects/home/projects/" TargetMode="External"/><Relationship Id="rId1" Type="http://schemas.openxmlformats.org/officeDocument/2006/relationships/hyperlink" Target="https://www.itu.int/md/S23-CL-C-0116/" TargetMode="External"/><Relationship Id="rId5" Type="http://schemas.openxmlformats.org/officeDocument/2006/relationships/hyperlink" Target="https://www.itu.int/md/D22-TDAG32-C-0008/" TargetMode="External"/><Relationship Id="rId4" Type="http://schemas.openxmlformats.org/officeDocument/2006/relationships/hyperlink" Target="https://www.itu.int/md/D22-TDAG32-INF-0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321F9890-5467-4A2D-92B0-1E6E2F5F7F4D}"/>
</file>

<file path=customXml/itemProps3.xml><?xml version="1.0" encoding="utf-8"?>
<ds:datastoreItem xmlns:ds="http://schemas.openxmlformats.org/officeDocument/2006/customXml" ds:itemID="{F0275D64-9EF8-4DBB-8964-3CB9177985A8}"/>
</file>

<file path=customXml/itemProps4.xml><?xml version="1.0" encoding="utf-8"?>
<ds:datastoreItem xmlns:ds="http://schemas.openxmlformats.org/officeDocument/2006/customXml" ds:itemID="{89539AB5-A86C-42B7-A7FA-FD0719ECDD1C}"/>
</file>

<file path=docProps/app.xml><?xml version="1.0" encoding="utf-8"?>
<Properties xmlns="http://schemas.openxmlformats.org/officeDocument/2006/extended-properties" xmlns:vt="http://schemas.openxmlformats.org/officeDocument/2006/docPropsVTypes">
  <Template>PA_TDAG-25.dotx</Template>
  <TotalTime>0</TotalTime>
  <Pages>6</Pages>
  <Words>1248</Words>
  <Characters>7292</Characters>
  <Application>Microsoft Office Word</Application>
  <DocSecurity>0</DocSecurity>
  <Lines>729</Lines>
  <Paragraphs>426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GE</cp:lastModifiedBy>
  <cp:revision>2</cp:revision>
  <dcterms:created xsi:type="dcterms:W3CDTF">2025-05-08T15:56:00Z</dcterms:created>
  <dcterms:modified xsi:type="dcterms:W3CDTF">2025-05-08T15:56:00Z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