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8F7EAF" w14:paraId="260D8EEF" w14:textId="77777777" w:rsidTr="000D6EAB">
        <w:trPr>
          <w:cantSplit/>
          <w:trHeight w:val="1276"/>
        </w:trPr>
        <w:tc>
          <w:tcPr>
            <w:tcW w:w="1985" w:type="dxa"/>
          </w:tcPr>
          <w:p w14:paraId="7C9FA5CC" w14:textId="77777777" w:rsidR="00AE1244" w:rsidRPr="008F7EAF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8F7EAF">
              <w:rPr>
                <w:b/>
                <w:bCs/>
                <w:sz w:val="30"/>
                <w:szCs w:val="30"/>
              </w:rPr>
              <w:drawing>
                <wp:inline distT="0" distB="0" distL="0" distR="0" wp14:anchorId="66EA4D18" wp14:editId="201E900A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13A882F1" w14:textId="77777777" w:rsidR="008E1A73" w:rsidRPr="008F7EAF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8F7EAF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8F7EAF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42B40688" w14:textId="77777777" w:rsidR="00AE1244" w:rsidRPr="008F7EAF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8F7EAF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F6B64FA" w14:textId="77777777" w:rsidR="00AE1244" w:rsidRPr="008F7EAF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F7EAF">
              <w:rPr>
                <w:lang w:eastAsia="fr-FR"/>
              </w:rPr>
              <w:drawing>
                <wp:inline distT="0" distB="0" distL="0" distR="0" wp14:anchorId="22859D2F" wp14:editId="7AEBDFD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8F7EAF" w14:paraId="23EDA02D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1311E91" w14:textId="77777777" w:rsidR="00D83BF5" w:rsidRPr="008F7EAF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046EA647" w14:textId="77777777" w:rsidR="00D83BF5" w:rsidRPr="008F7EAF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8F7EAF" w14:paraId="4689103C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E26A288" w14:textId="77777777" w:rsidR="00D87035" w:rsidRPr="008F7EAF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5B36207C" w14:textId="74041B1A" w:rsidR="00D87035" w:rsidRPr="008F7EAF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8F7EAF">
              <w:rPr>
                <w:b/>
                <w:bCs/>
                <w:szCs w:val="22"/>
              </w:rPr>
              <w:t>Документ</w:t>
            </w:r>
            <w:r w:rsidR="00D87035" w:rsidRPr="008F7EAF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D87035" w:rsidRPr="008F7EAF">
              <w:rPr>
                <w:b/>
                <w:bCs/>
                <w:szCs w:val="22"/>
              </w:rPr>
              <w:t>TDAG-</w:t>
            </w:r>
            <w:r w:rsidR="00523934" w:rsidRPr="008F7EAF">
              <w:rPr>
                <w:b/>
                <w:bCs/>
                <w:szCs w:val="22"/>
              </w:rPr>
              <w:t>2</w:t>
            </w:r>
            <w:r w:rsidR="0081159E" w:rsidRPr="008F7EAF">
              <w:rPr>
                <w:b/>
                <w:bCs/>
                <w:szCs w:val="22"/>
              </w:rPr>
              <w:t>5</w:t>
            </w:r>
            <w:r w:rsidR="00D87035" w:rsidRPr="008F7EAF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C81A3D" w:rsidRPr="008F7EAF">
              <w:rPr>
                <w:b/>
                <w:bCs/>
                <w:szCs w:val="22"/>
              </w:rPr>
              <w:t>4</w:t>
            </w:r>
            <w:r w:rsidR="00D87035" w:rsidRPr="008F7EAF">
              <w:rPr>
                <w:b/>
                <w:bCs/>
                <w:szCs w:val="22"/>
              </w:rPr>
              <w:t>-</w:t>
            </w:r>
            <w:r w:rsidRPr="008F7EAF">
              <w:rPr>
                <w:b/>
                <w:bCs/>
                <w:szCs w:val="22"/>
              </w:rPr>
              <w:t>R</w:t>
            </w:r>
          </w:p>
        </w:tc>
      </w:tr>
      <w:tr w:rsidR="00D87035" w:rsidRPr="008F7EAF" w14:paraId="6EF281AE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340A9D0" w14:textId="77777777" w:rsidR="00D87035" w:rsidRPr="008F7EAF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32BF4623" w14:textId="225EAC6D" w:rsidR="00D87035" w:rsidRPr="008F7EAF" w:rsidRDefault="00C81A3D" w:rsidP="00CE66E4">
            <w:pPr>
              <w:spacing w:before="0"/>
              <w:rPr>
                <w:rFonts w:cstheme="minorHAnsi"/>
                <w:szCs w:val="22"/>
              </w:rPr>
            </w:pPr>
            <w:r w:rsidRPr="008F7EAF">
              <w:rPr>
                <w:b/>
                <w:bCs/>
                <w:szCs w:val="22"/>
              </w:rPr>
              <w:t>3 апреля 2025 года</w:t>
            </w:r>
          </w:p>
        </w:tc>
      </w:tr>
      <w:bookmarkEnd w:id="6"/>
      <w:bookmarkEnd w:id="7"/>
      <w:tr w:rsidR="00D87035" w:rsidRPr="008F7EAF" w14:paraId="32B54F11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865EFA9" w14:textId="77777777" w:rsidR="00D87035" w:rsidRPr="008F7EAF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9A8258D" w14:textId="77777777" w:rsidR="00D87035" w:rsidRPr="008F7EAF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8F7EAF">
              <w:rPr>
                <w:b/>
                <w:bCs/>
                <w:szCs w:val="22"/>
              </w:rPr>
              <w:t>Оригинал</w:t>
            </w:r>
            <w:r w:rsidR="00D87035" w:rsidRPr="008F7EAF">
              <w:rPr>
                <w:b/>
                <w:bCs/>
                <w:szCs w:val="22"/>
              </w:rPr>
              <w:t xml:space="preserve">: </w:t>
            </w:r>
            <w:r w:rsidRPr="008F7EAF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8F7EAF" w14:paraId="528C21C0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0A70588" w14:textId="7EF821B8" w:rsidR="00D83BF5" w:rsidRPr="008F7EAF" w:rsidRDefault="00C81A3D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8F7EAF">
              <w:t>Директор Бюро развития электросвязи</w:t>
            </w:r>
          </w:p>
        </w:tc>
      </w:tr>
      <w:tr w:rsidR="00D83BF5" w:rsidRPr="008F7EAF" w14:paraId="09CC23B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4F79997" w14:textId="63A411C4" w:rsidR="00D83BF5" w:rsidRPr="008F7EAF" w:rsidRDefault="00C81A3D" w:rsidP="006774C6">
            <w:pPr>
              <w:pStyle w:val="Title1"/>
              <w:rPr>
                <w:caps/>
              </w:rPr>
            </w:pPr>
            <w:r w:rsidRPr="008F7EAF">
              <w:t>Оперативный план МСЭ-D на 2025 год</w:t>
            </w:r>
          </w:p>
        </w:tc>
      </w:tr>
      <w:tr w:rsidR="00D83BF5" w:rsidRPr="008F7EAF" w14:paraId="61E1BA70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826ECE" w14:textId="77777777" w:rsidR="00D83BF5" w:rsidRPr="008F7EAF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8F7EAF" w14:paraId="1A77F187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4038" w14:textId="77777777" w:rsidR="005E032D" w:rsidRPr="008F7EAF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8F7EAF">
              <w:rPr>
                <w:szCs w:val="22"/>
                <w:lang w:val="ru-RU"/>
              </w:rPr>
              <w:t>Резюме</w:t>
            </w:r>
          </w:p>
          <w:p w14:paraId="351E17FC" w14:textId="77777777" w:rsidR="00C81A3D" w:rsidRPr="008F7EAF" w:rsidRDefault="00C81A3D" w:rsidP="00C81A3D">
            <w:pPr>
              <w:spacing w:after="120"/>
              <w:rPr>
                <w:rFonts w:cstheme="minorHAnsi"/>
              </w:rPr>
            </w:pPr>
            <w:r w:rsidRPr="008F7EAF">
              <w:t>В настоящем документе представлен обзор деятельности, осуществляемой в настоящее время в соответствии с Оперативным планом МСЭ-D на 2025 год, как на региональном, так и на глобальном уровне в соответствии с приоритетами и средствами достижения целей МСЭ-D.</w:t>
            </w:r>
          </w:p>
          <w:p w14:paraId="233E5C8B" w14:textId="5E8AE7E6" w:rsidR="001E252D" w:rsidRPr="008F7EAF" w:rsidRDefault="00C81A3D" w:rsidP="00C81A3D">
            <w:pPr>
              <w:rPr>
                <w:szCs w:val="22"/>
              </w:rPr>
            </w:pPr>
            <w:r w:rsidRPr="008F7EAF">
              <w:t>В документе излагается распределение средств по каждому региону МСЭ-D и по многим регионам, а также по каждому приоритету и средству достижения целей МСЭ-D.</w:t>
            </w:r>
          </w:p>
          <w:p w14:paraId="2A70FCD1" w14:textId="77777777" w:rsidR="005E032D" w:rsidRPr="008F7EAF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8F7EAF">
              <w:rPr>
                <w:szCs w:val="22"/>
                <w:lang w:val="ru-RU"/>
              </w:rPr>
              <w:t>Необходимые действия</w:t>
            </w:r>
          </w:p>
          <w:p w14:paraId="4B9F99DE" w14:textId="405F3C88" w:rsidR="001E252D" w:rsidRPr="008F7EAF" w:rsidRDefault="00C81A3D" w:rsidP="00EB4AE6">
            <w:pPr>
              <w:rPr>
                <w:szCs w:val="22"/>
              </w:rPr>
            </w:pPr>
            <w:r w:rsidRPr="008F7EAF">
              <w:t>КГРЭ предлагается принять настоящий документ к сведению и, в случае необходимости, предоставить руководящие указания.</w:t>
            </w:r>
          </w:p>
          <w:p w14:paraId="44DEBF7A" w14:textId="77777777" w:rsidR="001E252D" w:rsidRPr="008F7EAF" w:rsidRDefault="004A3CDF" w:rsidP="00EB4AE6">
            <w:pPr>
              <w:rPr>
                <w:b/>
                <w:bCs/>
                <w:szCs w:val="22"/>
              </w:rPr>
            </w:pPr>
            <w:r w:rsidRPr="008F7EAF">
              <w:rPr>
                <w:b/>
                <w:bCs/>
                <w:szCs w:val="22"/>
              </w:rPr>
              <w:t>Справочные материалы</w:t>
            </w:r>
          </w:p>
          <w:p w14:paraId="7F5F134B" w14:textId="77777777" w:rsidR="00C81A3D" w:rsidRPr="008F7EAF" w:rsidRDefault="00C81A3D" w:rsidP="00C81A3D">
            <w:pPr>
              <w:spacing w:after="120"/>
              <w:jc w:val="both"/>
            </w:pPr>
            <w:r w:rsidRPr="008F7EAF">
              <w:t>Кигалийский план действий ВКРЭ-22</w:t>
            </w:r>
          </w:p>
          <w:p w14:paraId="30647F64" w14:textId="7D741011" w:rsidR="001E252D" w:rsidRPr="008F7EAF" w:rsidRDefault="00C81A3D" w:rsidP="00C81A3D">
            <w:pPr>
              <w:spacing w:after="120"/>
            </w:pPr>
            <w:r w:rsidRPr="008F7EAF">
              <w:t>Документ TDAG-31/12 − Оперативный план МСЭ-D на 2024 год</w:t>
            </w:r>
          </w:p>
        </w:tc>
      </w:tr>
      <w:bookmarkEnd w:id="8"/>
      <w:bookmarkEnd w:id="9"/>
    </w:tbl>
    <w:p w14:paraId="0679857D" w14:textId="77777777" w:rsidR="001E252D" w:rsidRPr="008F7EAF" w:rsidRDefault="001E252D" w:rsidP="00CE66E4"/>
    <w:p w14:paraId="7F02BDC9" w14:textId="77777777" w:rsidR="00075C63" w:rsidRPr="008F7EAF" w:rsidRDefault="00075C63" w:rsidP="00CE66E4">
      <w:pPr>
        <w:rPr>
          <w:szCs w:val="24"/>
        </w:rPr>
      </w:pPr>
      <w:r w:rsidRPr="008F7EAF">
        <w:rPr>
          <w:szCs w:val="24"/>
        </w:rPr>
        <w:br w:type="page"/>
      </w:r>
    </w:p>
    <w:p w14:paraId="5E4C9B32" w14:textId="77777777" w:rsidR="00C81A3D" w:rsidRPr="008F7EAF" w:rsidRDefault="00C81A3D" w:rsidP="00C81A3D">
      <w:pPr>
        <w:pStyle w:val="Heading1"/>
        <w:ind w:left="0" w:firstLine="0"/>
      </w:pPr>
      <w:r w:rsidRPr="008F7EAF">
        <w:lastRenderedPageBreak/>
        <w:t>1</w:t>
      </w:r>
      <w:r w:rsidRPr="008F7EAF">
        <w:tab/>
        <w:t>Введение</w:t>
      </w:r>
    </w:p>
    <w:p w14:paraId="3BEAC86C" w14:textId="77777777" w:rsidR="00C81A3D" w:rsidRPr="008F7EAF" w:rsidRDefault="00C81A3D" w:rsidP="00C81A3D">
      <w:r w:rsidRPr="008F7EAF">
        <w:t>Оперативный план (ОП) МСЭ-D на 2025 год соответствует структуре Стратегического плана Союза на 2024−2027 годы. Структура соответствует Кигалийскому плану действий (КПД), поскольку в ней определяются приоритеты и средства достижения целей МСЭ-D, и соответствующие им конечные результаты, продукты и услуги, а также показатели деятельности для измерения уровня их достижения, достигаемые при выполнении видов деятельности Сектора.</w:t>
      </w:r>
    </w:p>
    <w:p w14:paraId="3917A95B" w14:textId="77777777" w:rsidR="00C81A3D" w:rsidRPr="008F7EAF" w:rsidRDefault="00C81A3D" w:rsidP="00C81A3D">
      <w:r w:rsidRPr="008F7EAF">
        <w:t>Процесс планирования ОП-25 соответствует тем же принципам, что и процесс планирования ОП-24. Он включает определение основы для планирования деятельности и обеспечивает согласование с КПД и общую согласованность. В отношении видов деятельности, предложенной в рамках ОП-25, были проведены подробные консультации с Государствами-Членами; эти виды деятельности согласованы с приоритетами каждого региона.</w:t>
      </w:r>
    </w:p>
    <w:p w14:paraId="5BC8E4E5" w14:textId="77777777" w:rsidR="00C81A3D" w:rsidRPr="008F7EAF" w:rsidRDefault="00C81A3D" w:rsidP="00C81A3D">
      <w:pPr>
        <w:pStyle w:val="Heading1"/>
      </w:pPr>
      <w:r w:rsidRPr="008F7EAF">
        <w:t>2</w:t>
      </w:r>
      <w:r w:rsidRPr="008F7EAF">
        <w:tab/>
        <w:t>Распределение средств по регионам-бенефициарам</w:t>
      </w:r>
    </w:p>
    <w:p w14:paraId="4502010E" w14:textId="081AB950" w:rsidR="00C81A3D" w:rsidRPr="008F7EAF" w:rsidRDefault="00C81A3D" w:rsidP="00C81A3D">
      <w:r w:rsidRPr="008F7EAF">
        <w:t>В настоящее время во всем мире и в регионах осуществляется в общей сложности сто тридцать пять (135) видов деятельности. По аналогии с ОП-24, немногим более половины бюджета ОП-25 (57 процентов) было направлено на достижение результатов деятельности глобального характера и на мероприятия, ориентированные сразу на несколько регионов, что, как ожидается, обеспечит широкое воздействие и повысит оперативную эффективность. Примерно 7 процентов бюджетных средств были равномерно распределены по намеченным результатам деятельности в интересах всех шести регионов МСЭ.</w:t>
      </w:r>
    </w:p>
    <w:p w14:paraId="78EF4415" w14:textId="77777777" w:rsidR="00C81A3D" w:rsidRPr="008F7EAF" w:rsidRDefault="00C81A3D" w:rsidP="00C81A3D">
      <w:pPr>
        <w:rPr>
          <w:szCs w:val="24"/>
        </w:rPr>
      </w:pPr>
      <w:r w:rsidRPr="008F7EAF">
        <w:t>В сотрудничестве с Бюро радиосвязи и Бюро стандартизации, а также Генеральным секретариатом продолжается поиск синергии между намеченными результатами деятельности регионального уровня, а также между региональными и глобальными инициативами для более эффективного выполнения плана. Кроме того, дальнейшему усилению воздействия выполнения КПД в регионах и на глобальном уровне будут способствовать партнерские отношения с национальными, региональными и глобальными организациями и проектами, выполняемыми БРЭ.</w:t>
      </w:r>
    </w:p>
    <w:p w14:paraId="0E13DD35" w14:textId="77777777" w:rsidR="00C81A3D" w:rsidRPr="008F7EAF" w:rsidRDefault="00C81A3D" w:rsidP="008F7EAF">
      <w:pPr>
        <w:pStyle w:val="FigureNo"/>
        <w:keepNext w:val="0"/>
        <w:keepLines w:val="0"/>
        <w:spacing w:before="360"/>
      </w:pPr>
      <w:r w:rsidRPr="008F7EAF">
        <w:t>Рисунок 1</w:t>
      </w:r>
    </w:p>
    <w:p w14:paraId="2B19EC3C" w14:textId="77777777" w:rsidR="00C81A3D" w:rsidRPr="008F7EAF" w:rsidRDefault="00C81A3D" w:rsidP="008F7EAF">
      <w:pPr>
        <w:pStyle w:val="Figuretitle"/>
        <w:keepNext w:val="0"/>
        <w:keepLines w:val="0"/>
      </w:pPr>
      <w:r w:rsidRPr="008F7EAF">
        <w:t>Обзор распределения средств ОП-25 по регионам-бенефициарам</w:t>
      </w:r>
    </w:p>
    <w:p w14:paraId="7641A80B" w14:textId="3B3051F4" w:rsidR="00DC2276" w:rsidRPr="008F7EAF" w:rsidRDefault="00DC2276" w:rsidP="00757A3F">
      <w:pPr>
        <w:spacing w:before="0"/>
        <w:jc w:val="center"/>
      </w:pPr>
      <w:r w:rsidRPr="008F7EAF">
        <w:drawing>
          <wp:inline distT="0" distB="0" distL="0" distR="0" wp14:anchorId="47C4DD2D" wp14:editId="10ED2207">
            <wp:extent cx="6120765" cy="3237025"/>
            <wp:effectExtent l="0" t="0" r="13335" b="1905"/>
            <wp:docPr id="6846697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ACF8E96-3162-8812-4B47-C397194319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93B432" w14:textId="77777777" w:rsidR="00C81A3D" w:rsidRPr="008F7EAF" w:rsidRDefault="00C81A3D" w:rsidP="00C81A3D">
      <w:pPr>
        <w:pStyle w:val="FigureNo"/>
      </w:pPr>
      <w:r w:rsidRPr="008F7EAF">
        <w:lastRenderedPageBreak/>
        <w:t>Рисунок 2</w:t>
      </w:r>
    </w:p>
    <w:p w14:paraId="5774CDFC" w14:textId="77777777" w:rsidR="00C81A3D" w:rsidRPr="008F7EAF" w:rsidRDefault="00C81A3D" w:rsidP="00757A3F">
      <w:pPr>
        <w:pStyle w:val="Figuretitle"/>
      </w:pPr>
      <w:r w:rsidRPr="008F7EAF">
        <w:t xml:space="preserve">Обзор средств ОП-25, выделенных в рамках приоритетов </w:t>
      </w:r>
      <w:r w:rsidRPr="008F7EAF">
        <w:br/>
        <w:t>и средств достижения целей МСЭ-D (в шв. фр.)</w:t>
      </w:r>
    </w:p>
    <w:tbl>
      <w:tblPr>
        <w:tblStyle w:val="GridTable4-Accent1"/>
        <w:tblW w:w="9640" w:type="dxa"/>
        <w:tblLayout w:type="fixed"/>
        <w:tblLook w:val="04A0" w:firstRow="1" w:lastRow="0" w:firstColumn="1" w:lastColumn="0" w:noHBand="0" w:noVBand="1"/>
      </w:tblPr>
      <w:tblGrid>
        <w:gridCol w:w="6374"/>
        <w:gridCol w:w="1843"/>
        <w:gridCol w:w="1423"/>
      </w:tblGrid>
      <w:tr w:rsidR="00C81A3D" w:rsidRPr="008F7EAF" w14:paraId="4DB01B13" w14:textId="77777777" w:rsidTr="0032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noWrap/>
            <w:vAlign w:val="center"/>
            <w:hideMark/>
          </w:tcPr>
          <w:p w14:paraId="370F24FF" w14:textId="77777777" w:rsidR="00C81A3D" w:rsidRPr="008F7EAF" w:rsidRDefault="00C81A3D" w:rsidP="0032537F">
            <w:pPr>
              <w:pStyle w:val="Tablehead"/>
              <w:jc w:val="left"/>
              <w:rPr>
                <w:rFonts w:cs="Calibri"/>
                <w:b/>
                <w:bCs w:val="0"/>
                <w:color w:val="FFFFFF"/>
                <w:sz w:val="22"/>
                <w:szCs w:val="22"/>
              </w:rPr>
            </w:pPr>
            <w:r w:rsidRPr="008F7EAF">
              <w:rPr>
                <w:b/>
                <w:bCs w:val="0"/>
              </w:rPr>
              <w:t>Приоритеты и средства достижения целей МСЭ-D</w:t>
            </w:r>
          </w:p>
        </w:tc>
        <w:tc>
          <w:tcPr>
            <w:tcW w:w="1843" w:type="dxa"/>
            <w:vAlign w:val="center"/>
            <w:hideMark/>
          </w:tcPr>
          <w:p w14:paraId="5B0B2C6B" w14:textId="77777777" w:rsidR="00C81A3D" w:rsidRPr="008F7EAF" w:rsidRDefault="00C81A3D" w:rsidP="0032537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 w:val="0"/>
                <w:color w:val="FFFFFF"/>
                <w:sz w:val="22"/>
                <w:szCs w:val="22"/>
              </w:rPr>
            </w:pPr>
            <w:r w:rsidRPr="008F7EAF">
              <w:rPr>
                <w:b/>
                <w:bCs w:val="0"/>
              </w:rPr>
              <w:t>Бюджет на 2025 г.</w:t>
            </w:r>
            <w:r w:rsidRPr="008F7EAF">
              <w:rPr>
                <w:b/>
                <w:bCs w:val="0"/>
              </w:rPr>
              <w:br/>
              <w:t>(шв. фр.)</w:t>
            </w:r>
          </w:p>
        </w:tc>
        <w:tc>
          <w:tcPr>
            <w:tcW w:w="1423" w:type="dxa"/>
            <w:vAlign w:val="center"/>
            <w:hideMark/>
          </w:tcPr>
          <w:p w14:paraId="56B3E048" w14:textId="77777777" w:rsidR="00C81A3D" w:rsidRPr="008F7EAF" w:rsidRDefault="00C81A3D" w:rsidP="0032537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 w:val="0"/>
                <w:color w:val="FFFFFF"/>
                <w:sz w:val="22"/>
                <w:szCs w:val="22"/>
              </w:rPr>
            </w:pPr>
            <w:r w:rsidRPr="008F7EAF">
              <w:rPr>
                <w:b/>
                <w:bCs w:val="0"/>
              </w:rPr>
              <w:t>Доля бюджета</w:t>
            </w:r>
          </w:p>
        </w:tc>
      </w:tr>
      <w:tr w:rsidR="00C81A3D" w:rsidRPr="008F7EAF" w14:paraId="3F89287A" w14:textId="77777777" w:rsidTr="00044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780B7779" w14:textId="77777777" w:rsidR="00C81A3D" w:rsidRPr="008F7EAF" w:rsidRDefault="00C81A3D" w:rsidP="0032537F">
            <w:pPr>
              <w:pStyle w:val="Tabletext"/>
              <w:rPr>
                <w:rFonts w:cs="Calibri"/>
                <w:color w:val="000000"/>
                <w:sz w:val="22"/>
                <w:szCs w:val="22"/>
              </w:rPr>
            </w:pPr>
            <w:r w:rsidRPr="008F7EAF">
              <w:t>E5 − Развитие людских ресурсов и организационные инновации</w:t>
            </w:r>
          </w:p>
        </w:tc>
        <w:tc>
          <w:tcPr>
            <w:tcW w:w="1843" w:type="dxa"/>
            <w:noWrap/>
            <w:hideMark/>
          </w:tcPr>
          <w:p w14:paraId="6AF35969" w14:textId="77777777" w:rsidR="00C81A3D" w:rsidRPr="008F7EAF" w:rsidRDefault="00C81A3D" w:rsidP="00044A09">
            <w:pPr>
              <w:pStyle w:val="Tabletext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250 000</w:t>
            </w:r>
          </w:p>
        </w:tc>
        <w:tc>
          <w:tcPr>
            <w:tcW w:w="1423" w:type="dxa"/>
            <w:noWrap/>
            <w:hideMark/>
          </w:tcPr>
          <w:p w14:paraId="14BA061C" w14:textId="77777777" w:rsidR="00C81A3D" w:rsidRPr="008F7EAF" w:rsidRDefault="00C81A3D" w:rsidP="00044A09">
            <w:pPr>
              <w:pStyle w:val="Tabletext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6,3%</w:t>
            </w:r>
          </w:p>
        </w:tc>
      </w:tr>
      <w:tr w:rsidR="00C81A3D" w:rsidRPr="008F7EAF" w14:paraId="308F03CE" w14:textId="77777777" w:rsidTr="00044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0BE2B507" w14:textId="7EC4FF22" w:rsidR="00C81A3D" w:rsidRPr="008F7EAF" w:rsidRDefault="00C81A3D" w:rsidP="0032537F">
            <w:pPr>
              <w:pStyle w:val="Tabletext"/>
              <w:rPr>
                <w:rFonts w:cs="Calibri"/>
                <w:color w:val="000000"/>
                <w:sz w:val="22"/>
                <w:szCs w:val="22"/>
              </w:rPr>
            </w:pPr>
            <w:r w:rsidRPr="008F7EAF">
              <w:t>E4 − Приверженность экологической устойчивости</w:t>
            </w:r>
          </w:p>
        </w:tc>
        <w:tc>
          <w:tcPr>
            <w:tcW w:w="1843" w:type="dxa"/>
            <w:noWrap/>
            <w:hideMark/>
          </w:tcPr>
          <w:p w14:paraId="134785D1" w14:textId="77777777" w:rsidR="00C81A3D" w:rsidRPr="008F7EAF" w:rsidRDefault="00C81A3D" w:rsidP="00044A09">
            <w:pPr>
              <w:pStyle w:val="Tabletext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120 500</w:t>
            </w:r>
          </w:p>
        </w:tc>
        <w:tc>
          <w:tcPr>
            <w:tcW w:w="1423" w:type="dxa"/>
            <w:noWrap/>
            <w:hideMark/>
          </w:tcPr>
          <w:p w14:paraId="39E56636" w14:textId="77777777" w:rsidR="00C81A3D" w:rsidRPr="008F7EAF" w:rsidRDefault="00C81A3D" w:rsidP="00044A09">
            <w:pPr>
              <w:pStyle w:val="Tabletext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3,1%</w:t>
            </w:r>
          </w:p>
        </w:tc>
      </w:tr>
      <w:tr w:rsidR="00C81A3D" w:rsidRPr="008F7EAF" w14:paraId="6F6E9B7D" w14:textId="77777777" w:rsidTr="00044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7991B5AC" w14:textId="77777777" w:rsidR="00C81A3D" w:rsidRPr="008F7EAF" w:rsidRDefault="00C81A3D" w:rsidP="0032537F">
            <w:pPr>
              <w:pStyle w:val="Tabletext"/>
              <w:rPr>
                <w:rFonts w:cs="Calibri"/>
                <w:color w:val="000000"/>
                <w:sz w:val="22"/>
                <w:szCs w:val="22"/>
              </w:rPr>
            </w:pPr>
            <w:r w:rsidRPr="008F7EAF">
              <w:t>E3 − Разнообразие и интеграция</w:t>
            </w:r>
          </w:p>
        </w:tc>
        <w:tc>
          <w:tcPr>
            <w:tcW w:w="1843" w:type="dxa"/>
            <w:noWrap/>
            <w:hideMark/>
          </w:tcPr>
          <w:p w14:paraId="65F37E65" w14:textId="77777777" w:rsidR="00C81A3D" w:rsidRPr="008F7EAF" w:rsidRDefault="00C81A3D" w:rsidP="00044A09">
            <w:pPr>
              <w:pStyle w:val="Tabletext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341 410</w:t>
            </w:r>
          </w:p>
        </w:tc>
        <w:tc>
          <w:tcPr>
            <w:tcW w:w="1423" w:type="dxa"/>
            <w:noWrap/>
            <w:hideMark/>
          </w:tcPr>
          <w:p w14:paraId="4944CCB8" w14:textId="77777777" w:rsidR="00C81A3D" w:rsidRPr="008F7EAF" w:rsidRDefault="00C81A3D" w:rsidP="00044A09">
            <w:pPr>
              <w:pStyle w:val="Tabletext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8,7%</w:t>
            </w:r>
          </w:p>
        </w:tc>
      </w:tr>
      <w:tr w:rsidR="00C81A3D" w:rsidRPr="008F7EAF" w14:paraId="55E9ED9E" w14:textId="77777777" w:rsidTr="00044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014FF2CA" w14:textId="77777777" w:rsidR="00C81A3D" w:rsidRPr="008F7EAF" w:rsidRDefault="00C81A3D" w:rsidP="0032537F">
            <w:pPr>
              <w:pStyle w:val="Tabletext"/>
              <w:rPr>
                <w:rFonts w:cs="Calibri"/>
                <w:color w:val="000000"/>
                <w:sz w:val="22"/>
                <w:szCs w:val="22"/>
              </w:rPr>
            </w:pPr>
            <w:r w:rsidRPr="008F7EAF">
              <w:t>E2 − Региональное присутствие</w:t>
            </w:r>
          </w:p>
        </w:tc>
        <w:tc>
          <w:tcPr>
            <w:tcW w:w="1843" w:type="dxa"/>
            <w:noWrap/>
            <w:hideMark/>
          </w:tcPr>
          <w:p w14:paraId="7321E3E8" w14:textId="77777777" w:rsidR="00C81A3D" w:rsidRPr="008F7EAF" w:rsidRDefault="00C81A3D" w:rsidP="00044A09">
            <w:pPr>
              <w:pStyle w:val="Tabletext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111 900</w:t>
            </w:r>
          </w:p>
        </w:tc>
        <w:tc>
          <w:tcPr>
            <w:tcW w:w="1423" w:type="dxa"/>
            <w:noWrap/>
            <w:hideMark/>
          </w:tcPr>
          <w:p w14:paraId="763121C8" w14:textId="77777777" w:rsidR="00C81A3D" w:rsidRPr="008F7EAF" w:rsidRDefault="00C81A3D" w:rsidP="00044A09">
            <w:pPr>
              <w:pStyle w:val="Tabletext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2,8%</w:t>
            </w:r>
          </w:p>
        </w:tc>
      </w:tr>
      <w:tr w:rsidR="00C81A3D" w:rsidRPr="008F7EAF" w14:paraId="59F150EB" w14:textId="77777777" w:rsidTr="00044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0A4D98E6" w14:textId="77777777" w:rsidR="00C81A3D" w:rsidRPr="008F7EAF" w:rsidRDefault="00C81A3D" w:rsidP="0032537F">
            <w:pPr>
              <w:pStyle w:val="Tabletext"/>
              <w:rPr>
                <w:rFonts w:cs="Calibri"/>
                <w:color w:val="000000"/>
                <w:sz w:val="22"/>
                <w:szCs w:val="22"/>
              </w:rPr>
            </w:pPr>
            <w:r w:rsidRPr="008F7EAF">
              <w:t>E1 − Ориентация на интересы членов</w:t>
            </w:r>
          </w:p>
        </w:tc>
        <w:tc>
          <w:tcPr>
            <w:tcW w:w="1843" w:type="dxa"/>
            <w:noWrap/>
            <w:hideMark/>
          </w:tcPr>
          <w:p w14:paraId="5DEF6281" w14:textId="77777777" w:rsidR="00C81A3D" w:rsidRPr="008F7EAF" w:rsidRDefault="00C81A3D" w:rsidP="00044A09">
            <w:pPr>
              <w:pStyle w:val="Tabletext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14 500</w:t>
            </w:r>
          </w:p>
        </w:tc>
        <w:tc>
          <w:tcPr>
            <w:tcW w:w="1423" w:type="dxa"/>
            <w:noWrap/>
            <w:hideMark/>
          </w:tcPr>
          <w:p w14:paraId="43A2DC7C" w14:textId="77777777" w:rsidR="00C81A3D" w:rsidRPr="008F7EAF" w:rsidRDefault="00C81A3D" w:rsidP="00044A09">
            <w:pPr>
              <w:pStyle w:val="Tabletext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0,4%</w:t>
            </w:r>
          </w:p>
        </w:tc>
      </w:tr>
      <w:tr w:rsidR="00C81A3D" w:rsidRPr="008F7EAF" w14:paraId="4E40F2F2" w14:textId="77777777" w:rsidTr="00044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19BA3957" w14:textId="77777777" w:rsidR="00C81A3D" w:rsidRPr="008F7EAF" w:rsidRDefault="00C81A3D" w:rsidP="0032537F">
            <w:pPr>
              <w:pStyle w:val="Tabletext"/>
              <w:rPr>
                <w:rFonts w:cs="Calibri"/>
                <w:color w:val="000000"/>
                <w:sz w:val="22"/>
                <w:szCs w:val="22"/>
              </w:rPr>
            </w:pPr>
            <w:r w:rsidRPr="008F7EAF">
              <w:t>P5/E6/E7 − Мобилизации ресурсов, партнерские отношения и международное сотрудничество</w:t>
            </w:r>
          </w:p>
        </w:tc>
        <w:tc>
          <w:tcPr>
            <w:tcW w:w="1843" w:type="dxa"/>
            <w:noWrap/>
            <w:hideMark/>
          </w:tcPr>
          <w:p w14:paraId="18367CA6" w14:textId="77777777" w:rsidR="00C81A3D" w:rsidRPr="008F7EAF" w:rsidRDefault="00C81A3D" w:rsidP="00044A09">
            <w:pPr>
              <w:pStyle w:val="Tabletext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651 500</w:t>
            </w:r>
          </w:p>
        </w:tc>
        <w:tc>
          <w:tcPr>
            <w:tcW w:w="1423" w:type="dxa"/>
            <w:noWrap/>
            <w:hideMark/>
          </w:tcPr>
          <w:p w14:paraId="7D58AF10" w14:textId="77777777" w:rsidR="00C81A3D" w:rsidRPr="008F7EAF" w:rsidRDefault="00C81A3D" w:rsidP="00044A09">
            <w:pPr>
              <w:pStyle w:val="Tabletext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16,5%</w:t>
            </w:r>
          </w:p>
        </w:tc>
      </w:tr>
      <w:tr w:rsidR="00C81A3D" w:rsidRPr="008F7EAF" w14:paraId="17C4B27C" w14:textId="77777777" w:rsidTr="00044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2CB50AC0" w14:textId="697669C8" w:rsidR="00C81A3D" w:rsidRPr="008F7EAF" w:rsidRDefault="00C81A3D" w:rsidP="0032537F">
            <w:pPr>
              <w:pStyle w:val="Tabletext"/>
              <w:rPr>
                <w:rFonts w:cs="Calibri"/>
                <w:color w:val="000000"/>
                <w:sz w:val="22"/>
                <w:szCs w:val="22"/>
              </w:rPr>
            </w:pPr>
            <w:r w:rsidRPr="008F7EAF">
              <w:t>P4 − Инклюзивная и защищенная электросвязь/ИКТ для устойчивого</w:t>
            </w:r>
            <w:r w:rsidR="00E9192E" w:rsidRPr="008F7EAF">
              <w:t> </w:t>
            </w:r>
            <w:r w:rsidRPr="008F7EAF">
              <w:t>развития</w:t>
            </w:r>
          </w:p>
        </w:tc>
        <w:tc>
          <w:tcPr>
            <w:tcW w:w="1843" w:type="dxa"/>
            <w:noWrap/>
            <w:hideMark/>
          </w:tcPr>
          <w:p w14:paraId="386A439D" w14:textId="77777777" w:rsidR="00C81A3D" w:rsidRPr="008F7EAF" w:rsidRDefault="00C81A3D" w:rsidP="00044A09">
            <w:pPr>
              <w:pStyle w:val="Tabletext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476 350</w:t>
            </w:r>
          </w:p>
        </w:tc>
        <w:tc>
          <w:tcPr>
            <w:tcW w:w="1423" w:type="dxa"/>
            <w:noWrap/>
            <w:hideMark/>
          </w:tcPr>
          <w:p w14:paraId="5FB0AC09" w14:textId="77777777" w:rsidR="00C81A3D" w:rsidRPr="008F7EAF" w:rsidRDefault="00C81A3D" w:rsidP="00044A09">
            <w:pPr>
              <w:pStyle w:val="Tabletext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12,1%</w:t>
            </w:r>
          </w:p>
        </w:tc>
      </w:tr>
      <w:tr w:rsidR="00C81A3D" w:rsidRPr="008F7EAF" w14:paraId="662723E7" w14:textId="77777777" w:rsidTr="00044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6FFFF105" w14:textId="77777777" w:rsidR="00C81A3D" w:rsidRPr="008F7EAF" w:rsidRDefault="00C81A3D" w:rsidP="0032537F">
            <w:pPr>
              <w:pStyle w:val="Tabletext"/>
              <w:rPr>
                <w:rFonts w:cs="Calibri"/>
                <w:color w:val="000000"/>
                <w:sz w:val="22"/>
                <w:szCs w:val="22"/>
              </w:rPr>
            </w:pPr>
            <w:r w:rsidRPr="008F7EAF">
              <w:t>P3 − Благоприятная политическая и регуляторная среда</w:t>
            </w:r>
          </w:p>
        </w:tc>
        <w:tc>
          <w:tcPr>
            <w:tcW w:w="1843" w:type="dxa"/>
            <w:noWrap/>
            <w:hideMark/>
          </w:tcPr>
          <w:p w14:paraId="48CE52F0" w14:textId="77777777" w:rsidR="00C81A3D" w:rsidRPr="008F7EAF" w:rsidRDefault="00C81A3D" w:rsidP="00044A09">
            <w:pPr>
              <w:pStyle w:val="Tabletext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987 400</w:t>
            </w:r>
          </w:p>
        </w:tc>
        <w:tc>
          <w:tcPr>
            <w:tcW w:w="1423" w:type="dxa"/>
            <w:noWrap/>
            <w:hideMark/>
          </w:tcPr>
          <w:p w14:paraId="2E50A06C" w14:textId="77777777" w:rsidR="00C81A3D" w:rsidRPr="008F7EAF" w:rsidRDefault="00C81A3D" w:rsidP="00044A09">
            <w:pPr>
              <w:pStyle w:val="Tabletext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25,0%</w:t>
            </w:r>
          </w:p>
        </w:tc>
      </w:tr>
      <w:tr w:rsidR="00C81A3D" w:rsidRPr="008F7EAF" w14:paraId="72596FBF" w14:textId="77777777" w:rsidTr="00044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06993880" w14:textId="77777777" w:rsidR="00C81A3D" w:rsidRPr="008F7EAF" w:rsidRDefault="00C81A3D" w:rsidP="0032537F">
            <w:pPr>
              <w:pStyle w:val="Tabletext"/>
              <w:rPr>
                <w:rFonts w:cs="Calibri"/>
                <w:color w:val="000000"/>
                <w:sz w:val="22"/>
                <w:szCs w:val="22"/>
              </w:rPr>
            </w:pPr>
            <w:r w:rsidRPr="008F7EAF">
              <w:t>P2 − Цифровая трансформация</w:t>
            </w:r>
          </w:p>
        </w:tc>
        <w:tc>
          <w:tcPr>
            <w:tcW w:w="1843" w:type="dxa"/>
            <w:noWrap/>
            <w:hideMark/>
          </w:tcPr>
          <w:p w14:paraId="3F194956" w14:textId="77777777" w:rsidR="00C81A3D" w:rsidRPr="008F7EAF" w:rsidRDefault="00C81A3D" w:rsidP="00044A09">
            <w:pPr>
              <w:pStyle w:val="Tabletext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424 740</w:t>
            </w:r>
          </w:p>
        </w:tc>
        <w:tc>
          <w:tcPr>
            <w:tcW w:w="1423" w:type="dxa"/>
            <w:noWrap/>
            <w:hideMark/>
          </w:tcPr>
          <w:p w14:paraId="481F42FB" w14:textId="77777777" w:rsidR="00C81A3D" w:rsidRPr="008F7EAF" w:rsidRDefault="00C81A3D" w:rsidP="00044A09">
            <w:pPr>
              <w:pStyle w:val="Tabletext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10,8%</w:t>
            </w:r>
          </w:p>
        </w:tc>
      </w:tr>
      <w:tr w:rsidR="00C81A3D" w:rsidRPr="008F7EAF" w14:paraId="292DFB16" w14:textId="77777777" w:rsidTr="00044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hideMark/>
          </w:tcPr>
          <w:p w14:paraId="6C20E70C" w14:textId="2968BECD" w:rsidR="00C81A3D" w:rsidRPr="008F7EAF" w:rsidRDefault="00C81A3D" w:rsidP="0032537F">
            <w:pPr>
              <w:pStyle w:val="Tabletext"/>
              <w:rPr>
                <w:rFonts w:cs="Calibri"/>
                <w:color w:val="000000"/>
                <w:sz w:val="22"/>
                <w:szCs w:val="22"/>
              </w:rPr>
            </w:pPr>
            <w:r w:rsidRPr="008F7EAF">
              <w:t>P1 − Возможность установления приемлемых в ценовом отношении</w:t>
            </w:r>
            <w:r w:rsidR="00E9192E" w:rsidRPr="008F7EAF">
              <w:t> </w:t>
            </w:r>
            <w:r w:rsidRPr="008F7EAF">
              <w:t>соединений</w:t>
            </w:r>
          </w:p>
        </w:tc>
        <w:tc>
          <w:tcPr>
            <w:tcW w:w="1843" w:type="dxa"/>
            <w:noWrap/>
            <w:hideMark/>
          </w:tcPr>
          <w:p w14:paraId="454CB085" w14:textId="77777777" w:rsidR="00C81A3D" w:rsidRPr="008F7EAF" w:rsidRDefault="00C81A3D" w:rsidP="00044A09">
            <w:pPr>
              <w:pStyle w:val="Tabletext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569 700</w:t>
            </w:r>
          </w:p>
        </w:tc>
        <w:tc>
          <w:tcPr>
            <w:tcW w:w="1423" w:type="dxa"/>
            <w:noWrap/>
            <w:hideMark/>
          </w:tcPr>
          <w:p w14:paraId="2A1CAD38" w14:textId="77777777" w:rsidR="00C81A3D" w:rsidRPr="008F7EAF" w:rsidRDefault="00C81A3D" w:rsidP="00044A09">
            <w:pPr>
              <w:pStyle w:val="Tabletext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8F7EAF">
              <w:rPr>
                <w:rFonts w:cs="Calibri"/>
                <w:color w:val="000000"/>
                <w:lang w:eastAsia="en-GB"/>
              </w:rPr>
              <w:t>14,4%</w:t>
            </w:r>
          </w:p>
        </w:tc>
      </w:tr>
    </w:tbl>
    <w:p w14:paraId="6406483E" w14:textId="77777777" w:rsidR="00C81A3D" w:rsidRPr="008F7EAF" w:rsidRDefault="00C81A3D" w:rsidP="00C81A3D">
      <w:pPr>
        <w:pStyle w:val="Heading1"/>
        <w:ind w:left="0" w:firstLine="0"/>
      </w:pPr>
      <w:r w:rsidRPr="008F7EAF">
        <w:t>3</w:t>
      </w:r>
      <w:r w:rsidRPr="008F7EAF">
        <w:tab/>
        <w:t>Заключение</w:t>
      </w:r>
    </w:p>
    <w:p w14:paraId="600E56C7" w14:textId="77777777" w:rsidR="00C81A3D" w:rsidRPr="008F7EAF" w:rsidRDefault="00C81A3D" w:rsidP="00C81A3D">
      <w:pPr>
        <w:rPr>
          <w:rFonts w:cstheme="minorHAnsi"/>
        </w:rPr>
      </w:pPr>
      <w:r w:rsidRPr="008F7EAF">
        <w:t>КГРЭ предлагается принять к сведению настоящий документ и предоставить руководящие указания и рекомендации по тому, как именно продолжать оказывать воздействие на глобальном уровне и в различных регионах, обеспечивая при этом согласование с конечными результатами, установленными в Кигалийском плане действий.</w:t>
      </w:r>
    </w:p>
    <w:p w14:paraId="20513851" w14:textId="77777777" w:rsidR="00CE66E4" w:rsidRPr="008F7EAF" w:rsidRDefault="00CE66E4" w:rsidP="00E9192E">
      <w:pPr>
        <w:spacing w:before="720"/>
        <w:jc w:val="center"/>
      </w:pPr>
      <w:r w:rsidRPr="008F7EAF">
        <w:t>______________</w:t>
      </w:r>
    </w:p>
    <w:sectPr w:rsidR="00CE66E4" w:rsidRPr="008F7EAF" w:rsidSect="00CE66E4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6C41" w14:textId="77777777" w:rsidR="00C81A3D" w:rsidRDefault="00C81A3D">
      <w:r>
        <w:separator/>
      </w:r>
    </w:p>
    <w:p w14:paraId="4512D57A" w14:textId="77777777" w:rsidR="00C81A3D" w:rsidRDefault="00C81A3D"/>
  </w:endnote>
  <w:endnote w:type="continuationSeparator" w:id="0">
    <w:p w14:paraId="20B26201" w14:textId="77777777" w:rsidR="00C81A3D" w:rsidRDefault="00C81A3D">
      <w:r>
        <w:continuationSeparator/>
      </w:r>
    </w:p>
    <w:p w14:paraId="76667256" w14:textId="77777777" w:rsidR="00C81A3D" w:rsidRDefault="00C81A3D"/>
  </w:endnote>
  <w:endnote w:type="continuationNotice" w:id="1">
    <w:p w14:paraId="72B3F604" w14:textId="77777777" w:rsidR="00C81A3D" w:rsidRDefault="00C81A3D">
      <w:pPr>
        <w:spacing w:before="0"/>
      </w:pPr>
    </w:p>
    <w:p w14:paraId="7CF1F27B" w14:textId="77777777" w:rsidR="00C81A3D" w:rsidRDefault="00C81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31FA7E53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51CF2AA7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13A42DE6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1C81933E" w14:textId="4FFBC0A7" w:rsidR="00F723AC" w:rsidRPr="00C81A3D" w:rsidRDefault="00C81A3D" w:rsidP="00F723AC">
          <w:pPr>
            <w:pStyle w:val="FirstFooter"/>
            <w:rPr>
              <w:sz w:val="18"/>
              <w:szCs w:val="18"/>
            </w:rPr>
          </w:pPr>
          <w:r w:rsidRPr="000A4E39">
            <w:rPr>
              <w:sz w:val="18"/>
              <w:szCs w:val="18"/>
            </w:rPr>
            <w:t>г-жа Арчана Гулати (</w:t>
          </w:r>
          <w:r w:rsidRPr="000A4E39">
            <w:rPr>
              <w:sz w:val="18"/>
              <w:szCs w:val="18"/>
              <w:lang w:val="en-US"/>
            </w:rPr>
            <w:t>Ms</w:t>
          </w:r>
          <w:r w:rsidRPr="000A4E39">
            <w:rPr>
              <w:sz w:val="18"/>
              <w:szCs w:val="18"/>
            </w:rPr>
            <w:t xml:space="preserve"> </w:t>
          </w:r>
          <w:r w:rsidRPr="000A4E39">
            <w:rPr>
              <w:sz w:val="18"/>
              <w:szCs w:val="18"/>
              <w:lang w:val="en-US"/>
            </w:rPr>
            <w:t>Archana</w:t>
          </w:r>
          <w:r w:rsidRPr="000A4E39">
            <w:rPr>
              <w:sz w:val="18"/>
              <w:szCs w:val="18"/>
            </w:rPr>
            <w:t xml:space="preserve"> </w:t>
          </w:r>
          <w:r w:rsidRPr="000A4E39">
            <w:rPr>
              <w:sz w:val="18"/>
              <w:szCs w:val="18"/>
              <w:lang w:val="en-US"/>
            </w:rPr>
            <w:t>Gulati</w:t>
          </w:r>
          <w:r w:rsidRPr="000A4E39">
            <w:rPr>
              <w:sz w:val="18"/>
              <w:szCs w:val="18"/>
            </w:rPr>
            <w:t xml:space="preserve">), </w:t>
          </w:r>
          <w:r w:rsidR="00396331">
            <w:rPr>
              <w:sz w:val="18"/>
              <w:szCs w:val="18"/>
              <w:lang w:val="en-US"/>
            </w:rPr>
            <w:br/>
          </w:r>
          <w:r w:rsidRPr="000A4E39">
            <w:rPr>
              <w:sz w:val="18"/>
              <w:szCs w:val="18"/>
            </w:rPr>
            <w:t>заместитель Директора Бюро развития электросвязи</w:t>
          </w:r>
        </w:p>
      </w:tc>
      <w:bookmarkStart w:id="10" w:name="OrgName"/>
      <w:bookmarkEnd w:id="10"/>
    </w:tr>
    <w:tr w:rsidR="00F723AC" w:rsidRPr="00365AB0" w14:paraId="0CC2FE4B" w14:textId="77777777" w:rsidTr="005539C3">
      <w:trPr>
        <w:trHeight w:val="165"/>
      </w:trPr>
      <w:tc>
        <w:tcPr>
          <w:tcW w:w="1526" w:type="dxa"/>
        </w:tcPr>
        <w:p w14:paraId="71CD16F5" w14:textId="77777777" w:rsidR="00F723AC" w:rsidRPr="00C81A3D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3F6A8EB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08BB1937" w14:textId="195F1BA9" w:rsidR="00F723AC" w:rsidRPr="00365AB0" w:rsidRDefault="00C81A3D" w:rsidP="00F723AC">
          <w:pPr>
            <w:pStyle w:val="FirstFooter"/>
            <w:rPr>
              <w:sz w:val="18"/>
              <w:szCs w:val="18"/>
            </w:rPr>
          </w:pPr>
          <w:r w:rsidRPr="000A4E39">
            <w:rPr>
              <w:sz w:val="18"/>
              <w:szCs w:val="18"/>
            </w:rPr>
            <w:t>н. д.</w:t>
          </w:r>
        </w:p>
      </w:tc>
      <w:bookmarkStart w:id="11" w:name="PhoneNo"/>
      <w:bookmarkEnd w:id="11"/>
    </w:tr>
    <w:tr w:rsidR="00F723AC" w:rsidRPr="00365AB0" w14:paraId="31C9F413" w14:textId="77777777" w:rsidTr="005539C3">
      <w:tc>
        <w:tcPr>
          <w:tcW w:w="1526" w:type="dxa"/>
        </w:tcPr>
        <w:p w14:paraId="2FA23646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7D08E9A7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59F89DC8" w14:textId="4CD7EBAC" w:rsidR="00F723AC" w:rsidRPr="00365AB0" w:rsidRDefault="00C81A3D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0A4E39">
              <w:rPr>
                <w:rStyle w:val="Hyperlink"/>
                <w:sz w:val="18"/>
                <w:szCs w:val="18"/>
              </w:rPr>
              <w:t>archana.gulati@itu.int</w:t>
            </w:r>
          </w:hyperlink>
        </w:p>
      </w:tc>
      <w:bookmarkStart w:id="12" w:name="Email"/>
      <w:bookmarkEnd w:id="12"/>
    </w:tr>
  </w:tbl>
  <w:p w14:paraId="2BA53E64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8584F" w14:textId="77777777" w:rsidR="00C81A3D" w:rsidRPr="0054377E" w:rsidRDefault="00C81A3D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08595B27" w14:textId="77777777" w:rsidR="00C81A3D" w:rsidRDefault="00C81A3D" w:rsidP="0054377E">
      <w:pPr>
        <w:spacing w:before="0"/>
      </w:pPr>
      <w:r>
        <w:continuationSeparator/>
      </w:r>
    </w:p>
    <w:p w14:paraId="670A8CA1" w14:textId="77777777" w:rsidR="00C81A3D" w:rsidRDefault="00C81A3D"/>
  </w:footnote>
  <w:footnote w:type="continuationNotice" w:id="1">
    <w:p w14:paraId="1DFF6FDF" w14:textId="77777777" w:rsidR="00C81A3D" w:rsidRDefault="00C81A3D">
      <w:pPr>
        <w:spacing w:before="0"/>
      </w:pPr>
    </w:p>
    <w:p w14:paraId="6B7392E7" w14:textId="77777777" w:rsidR="00C81A3D" w:rsidRDefault="00C81A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14B1" w14:textId="6910873A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C81A3D">
      <w:rPr>
        <w:sz w:val="20"/>
        <w:lang w:val="es-ES_tradnl"/>
      </w:rPr>
      <w:t>4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1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2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0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3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44A09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15EF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331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0FF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57A3F"/>
    <w:rsid w:val="007606A7"/>
    <w:rsid w:val="00761CEF"/>
    <w:rsid w:val="00764D39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85097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8F7EAF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4DAB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1A3D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276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192E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526E4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57A3F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757A3F"/>
    <w:pPr>
      <w:keepNext/>
      <w:keepLines/>
      <w:spacing w:before="0" w:after="24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table" w:styleId="GridTable4-Accent1">
    <w:name w:val="Grid Table 4 Accent 1"/>
    <w:basedOn w:val="TableNormal"/>
    <w:uiPriority w:val="49"/>
    <w:rsid w:val="00C81A3D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ahmad_al-abadi_itu_int1/Documents/Microsoft%20Teams%20Chat%20Files/Budget%20OP23%20and%20OP24%20Priorities%20and%20Enablers%20Charts%20UPDATED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Calibri" panose="020F0502020204030204" pitchFamily="34" charset="0"/>
              </a:defRPr>
            </a:pPr>
            <a:r>
              <a:rPr lang="ru-RU" sz="1000" b="1" i="0" u="none" strike="noStrike" kern="1200" spc="0" baseline="0">
                <a:solidFill>
                  <a:sysClr val="windowText" lastClr="000000"/>
                </a:solidFill>
              </a:rPr>
              <a:t>Выделенный бюджет ОП-25 в разбивке по регионам</a:t>
            </a:r>
            <a:endParaRPr lang="en-US" sz="1000" b="1" i="0" u="none" strike="noStrike" kern="1200" spc="0" baseline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2369981530086513"/>
          <c:y val="1.327629808487005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Calibri" panose="020F050202020403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06376408831249"/>
          <c:y val="0.2374227481112795"/>
          <c:w val="0.3666610301163335"/>
          <c:h val="0.68866829097648841"/>
        </c:manualLayout>
      </c:layout>
      <c:pieChart>
        <c:varyColors val="1"/>
        <c:ser>
          <c:idx val="0"/>
          <c:order val="0"/>
          <c:tx>
            <c:strRef>
              <c:f>'[Budget OP23 and OP24 Priorities and Enablers Charts UPDATED 1.xlsx]Budget by Region OP24'!$C$1</c:f>
              <c:strCache>
                <c:ptCount val="1"/>
                <c:pt idx="0">
                  <c:v> Budget % </c:v>
                </c:pt>
              </c:strCache>
            </c:strRef>
          </c:tx>
          <c:spPr>
            <a:ln w="1270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tx2">
                  <a:lumMod val="75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52-44CD-8862-E9807A35AD5E}"/>
              </c:ext>
            </c:extLst>
          </c:dPt>
          <c:dPt>
            <c:idx val="1"/>
            <c:bubble3D val="0"/>
            <c:spPr>
              <a:solidFill>
                <a:schemeClr val="bg1">
                  <a:lumMod val="65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52-44CD-8862-E9807A35AD5E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52-44CD-8862-E9807A35AD5E}"/>
              </c:ext>
            </c:extLst>
          </c:dPt>
          <c:dPt>
            <c:idx val="3"/>
            <c:bubble3D val="0"/>
            <c:spPr>
              <a:solidFill>
                <a:schemeClr val="accent1">
                  <a:lumMod val="75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152-44CD-8862-E9807A35AD5E}"/>
              </c:ext>
            </c:extLst>
          </c:dPt>
          <c:dPt>
            <c:idx val="4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152-44CD-8862-E9807A35AD5E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152-44CD-8862-E9807A35AD5E}"/>
              </c:ext>
            </c:extLst>
          </c:dPt>
          <c:dPt>
            <c:idx val="6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152-44CD-8862-E9807A35AD5E}"/>
              </c:ext>
            </c:extLst>
          </c:dPt>
          <c:dLbls>
            <c:dLbl>
              <c:idx val="0"/>
              <c:layout>
                <c:manualLayout>
                  <c:x val="3.9448500310010265E-2"/>
                  <c:y val="-4.331194501281289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Calibri" panose="020F0502020204030204" pitchFamily="34" charset="0"/>
                        <a:ea typeface="Calibri" panose="020F0502020204030204" pitchFamily="34" charset="0"/>
                        <a:cs typeface="Calibri" panose="020F0502020204030204" pitchFamily="34" charset="0"/>
                      </a:defRPr>
                    </a:pPr>
                    <a:r>
                      <a:rPr lang="ru-RU" altLang="zh-CN" baseline="0"/>
                      <a:t>Африка</a:t>
                    </a:r>
                  </a:p>
                  <a:p>
                    <a:pPr>
                      <a:defRPr sz="1000" b="1">
                        <a:solidFill>
                          <a:sysClr val="windowText" lastClr="000000"/>
                        </a:solidFill>
                        <a:latin typeface="Calibri" panose="020F0502020204030204" pitchFamily="34" charset="0"/>
                        <a:ea typeface="Calibri" panose="020F0502020204030204" pitchFamily="34" charset="0"/>
                        <a:cs typeface="Calibri" panose="020F0502020204030204" pitchFamily="34" charset="0"/>
                      </a:defRPr>
                    </a:pPr>
                    <a:r>
                      <a:rPr lang="ru-RU" altLang="zh-CN" baseline="0"/>
                      <a:t>7%</a:t>
                    </a:r>
                  </a:p>
                  <a:p>
                    <a:pPr>
                      <a:defRPr sz="1000" b="1">
                        <a:solidFill>
                          <a:sysClr val="windowText" lastClr="000000"/>
                        </a:solidFill>
                        <a:latin typeface="Calibri" panose="020F0502020204030204" pitchFamily="34" charset="0"/>
                        <a:ea typeface="Calibri" panose="020F0502020204030204" pitchFamily="34" charset="0"/>
                        <a:cs typeface="Calibri" panose="020F0502020204030204" pitchFamily="34" charset="0"/>
                      </a:defRPr>
                    </a:pPr>
                    <a:endParaRPr lang="ru-RU" altLang="zh-CN" baseline="0"/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Calibri" panose="020F0502020204030204" pitchFamily="34" charset="0"/>
                      <a:ea typeface="Calibri" panose="020F0502020204030204" pitchFamily="34" charset="0"/>
                      <a:cs typeface="Calibri" panose="020F050202020403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218154103286104E-2"/>
                      <c:h val="0.1240535192076858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B152-44CD-8862-E9807A35AD5E}"/>
                </c:ext>
              </c:extLst>
            </c:dLbl>
            <c:dLbl>
              <c:idx val="1"/>
              <c:layout>
                <c:manualLayout>
                  <c:x val="6.4102771467292E-2"/>
                  <c:y val="-3.7274228094831873E-3"/>
                </c:manualLayout>
              </c:layout>
              <c:tx>
                <c:rich>
                  <a:bodyPr/>
                  <a:lstStyle/>
                  <a:p>
                    <a:r>
                      <a:rPr lang="ru-RU" altLang="zh-CN" baseline="0"/>
                      <a:t>Северная и Южная Америка</a:t>
                    </a:r>
                  </a:p>
                  <a:p>
                    <a:r>
                      <a:rPr lang="ru-RU" altLang="zh-CN" baseline="0"/>
                      <a:t> 7%</a:t>
                    </a:r>
                  </a:p>
                  <a:p>
                    <a:endParaRPr lang="ru-RU" altLang="zh-CN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152-44CD-8862-E9807A35AD5E}"/>
                </c:ext>
              </c:extLst>
            </c:dLbl>
            <c:dLbl>
              <c:idx val="2"/>
              <c:layout>
                <c:manualLayout>
                  <c:x val="1.939955920229929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altLang="zh-CN" baseline="0"/>
                      <a:t>Арабские государства</a:t>
                    </a:r>
                  </a:p>
                  <a:p>
                    <a:r>
                      <a:rPr lang="ru-RU" altLang="zh-CN" baseline="0"/>
                      <a:t>7%</a:t>
                    </a:r>
                  </a:p>
                  <a:p>
                    <a:endParaRPr lang="ru-RU" altLang="zh-CN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152-44CD-8862-E9807A35AD5E}"/>
                </c:ext>
              </c:extLst>
            </c:dLbl>
            <c:dLbl>
              <c:idx val="3"/>
              <c:layout>
                <c:manualLayout>
                  <c:x val="2.32794710427591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altLang="zh-CN" baseline="0"/>
                      <a:t>Азиатско-Тихоокеанский регион</a:t>
                    </a:r>
                  </a:p>
                  <a:p>
                    <a:r>
                      <a:rPr lang="ru-RU" altLang="zh-CN" baseline="0"/>
                      <a:t>7%</a:t>
                    </a:r>
                  </a:p>
                  <a:p>
                    <a:endParaRPr lang="ru-RU" altLang="zh-CN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152-44CD-8862-E9807A35AD5E}"/>
                </c:ext>
              </c:extLst>
            </c:dLbl>
            <c:dLbl>
              <c:idx val="4"/>
              <c:layout>
                <c:manualLayout>
                  <c:x val="1.7299430284204061E-2"/>
                  <c:y val="5.2362849534046225E-3"/>
                </c:manualLayout>
              </c:layout>
              <c:tx>
                <c:rich>
                  <a:bodyPr/>
                  <a:lstStyle/>
                  <a:p>
                    <a:r>
                      <a:rPr lang="ru-RU" altLang="zh-CN" baseline="0"/>
                      <a:t>Страны СНГ</a:t>
                    </a:r>
                  </a:p>
                  <a:p>
                    <a:r>
                      <a:rPr lang="ru-RU" altLang="zh-CN" baseline="0"/>
                      <a:t>7%</a:t>
                    </a:r>
                  </a:p>
                  <a:p>
                    <a:endParaRPr lang="ru-RU" altLang="zh-CN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152-44CD-8862-E9807A35AD5E}"/>
                </c:ext>
              </c:extLst>
            </c:dLbl>
            <c:dLbl>
              <c:idx val="5"/>
              <c:layout>
                <c:manualLayout>
                  <c:x val="4.7417275454947214E-2"/>
                  <c:y val="-2.158132234647832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Calibri" panose="020F0502020204030204" pitchFamily="34" charset="0"/>
                        <a:ea typeface="Calibri" panose="020F0502020204030204" pitchFamily="34" charset="0"/>
                        <a:cs typeface="Calibri" panose="020F0502020204030204" pitchFamily="34" charset="0"/>
                      </a:defRPr>
                    </a:pPr>
                    <a:r>
                      <a:rPr lang="ru-RU" altLang="zh-CN" baseline="0"/>
                      <a:t>Европа</a:t>
                    </a:r>
                  </a:p>
                  <a:p>
                    <a:pPr>
                      <a:defRPr sz="1000" b="1">
                        <a:solidFill>
                          <a:sysClr val="windowText" lastClr="000000"/>
                        </a:solidFill>
                        <a:latin typeface="Calibri" panose="020F0502020204030204" pitchFamily="34" charset="0"/>
                        <a:ea typeface="Calibri" panose="020F0502020204030204" pitchFamily="34" charset="0"/>
                        <a:cs typeface="Calibri" panose="020F0502020204030204" pitchFamily="34" charset="0"/>
                      </a:defRPr>
                    </a:pPr>
                    <a:r>
                      <a:rPr lang="ru-RU" altLang="zh-CN" baseline="0"/>
                      <a:t>7%</a:t>
                    </a:r>
                  </a:p>
                  <a:p>
                    <a:pPr>
                      <a:defRPr sz="1000" b="1">
                        <a:solidFill>
                          <a:sysClr val="windowText" lastClr="000000"/>
                        </a:solidFill>
                        <a:latin typeface="Calibri" panose="020F0502020204030204" pitchFamily="34" charset="0"/>
                        <a:ea typeface="Calibri" panose="020F0502020204030204" pitchFamily="34" charset="0"/>
                        <a:cs typeface="Calibri" panose="020F0502020204030204" pitchFamily="34" charset="0"/>
                      </a:defRPr>
                    </a:pPr>
                    <a:endParaRPr lang="ru-RU" altLang="zh-CN" baseline="0"/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Calibri" panose="020F0502020204030204" pitchFamily="34" charset="0"/>
                      <a:ea typeface="Calibri" panose="020F0502020204030204" pitchFamily="34" charset="0"/>
                      <a:cs typeface="Calibri" panose="020F050202020403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439464674758789E-2"/>
                      <c:h val="0.1122818888368794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B152-44CD-8862-E9807A35AD5E}"/>
                </c:ext>
              </c:extLst>
            </c:dLbl>
            <c:dLbl>
              <c:idx val="6"/>
              <c:layout>
                <c:manualLayout>
                  <c:x val="-3.1320839796986168E-2"/>
                  <c:y val="-0.1035764437626580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Calibri" panose="020F0502020204030204" pitchFamily="34" charset="0"/>
                        <a:ea typeface="Calibri" panose="020F0502020204030204" pitchFamily="34" charset="0"/>
                        <a:cs typeface="Calibri" panose="020F0502020204030204" pitchFamily="34" charset="0"/>
                      </a:defRPr>
                    </a:pPr>
                    <a:r>
                      <a:rPr lang="ru-RU" sz="1000"/>
                      <a:t>Весь мир или несколько регионов</a:t>
                    </a:r>
                    <a:br>
                      <a:rPr lang="ru-RU" sz="1000"/>
                    </a:br>
                    <a:r>
                      <a:rPr lang="ru-RU" sz="1000"/>
                      <a:t>57%</a:t>
                    </a:r>
                    <a:endParaRPr lang="ru-RU" altLang="zh-CN" baseline="0"/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Calibri" panose="020F0502020204030204" pitchFamily="34" charset="0"/>
                      <a:ea typeface="Calibri" panose="020F0502020204030204" pitchFamily="34" charset="0"/>
                      <a:cs typeface="Calibri" panose="020F050202020403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595393713040768"/>
                      <c:h val="0.20565038257798704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D-B152-44CD-8862-E9807A35AD5E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Calibri" panose="020F0502020204030204" pitchFamily="34" charset="0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'[Budget OP23 and OP24 Priorities and Enablers Charts UPDATED 1.xlsx]Budget by Region OP24'!$A$2:$A$8</c:f>
              <c:strCache>
                <c:ptCount val="7"/>
                <c:pt idx="0">
                  <c:v>Arab States</c:v>
                </c:pt>
                <c:pt idx="1">
                  <c:v>Africa</c:v>
                </c:pt>
                <c:pt idx="2">
                  <c:v>Americas</c:v>
                </c:pt>
                <c:pt idx="3">
                  <c:v>Europe</c:v>
                </c:pt>
                <c:pt idx="4">
                  <c:v>Asia &amp; Pacific</c:v>
                </c:pt>
                <c:pt idx="5">
                  <c:v>CIS countries</c:v>
                </c:pt>
                <c:pt idx="6">
                  <c:v>World or Multi-Regional</c:v>
                </c:pt>
              </c:strCache>
            </c:strRef>
          </c:cat>
          <c:val>
            <c:numRef>
              <c:f>'[Budget OP23 and OP24 Priorities and Enablers Charts UPDATED 1.xlsx]Budget by Region OP24'!$C$2:$C$8</c:f>
              <c:numCache>
                <c:formatCode>0%</c:formatCode>
                <c:ptCount val="7"/>
                <c:pt idx="0">
                  <c:v>7.3999999999999996E-2</c:v>
                </c:pt>
                <c:pt idx="1">
                  <c:v>7.3999999999999996E-2</c:v>
                </c:pt>
                <c:pt idx="2">
                  <c:v>7.3999999999999996E-2</c:v>
                </c:pt>
                <c:pt idx="3">
                  <c:v>7.8E-2</c:v>
                </c:pt>
                <c:pt idx="4">
                  <c:v>7.8E-2</c:v>
                </c:pt>
                <c:pt idx="5">
                  <c:v>8.2000000000000003E-2</c:v>
                </c:pt>
                <c:pt idx="6">
                  <c:v>0.53700000000000003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152-44CD-8862-E9807A35AD5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12700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A5997-9ACC-4F8F-8E6B-C9464EC6AE46}"/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4157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SV</cp:lastModifiedBy>
  <cp:revision>8</cp:revision>
  <cp:lastPrinted>2019-01-16T07:57:00Z</cp:lastPrinted>
  <dcterms:created xsi:type="dcterms:W3CDTF">2025-04-10T14:01:00Z</dcterms:created>
  <dcterms:modified xsi:type="dcterms:W3CDTF">2025-04-10T14:29:00Z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