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DD3ED8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DD3ED8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DD3ED8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33FC2336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DD3ED8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DD3ED8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DD3ED8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DD3ED8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DD3ED8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DD3ED8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DD3ED8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DD3ED8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DD3ED8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DD3ED8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DD3ED8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DD3ED8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456BE89" w:rsidR="00D87035" w:rsidRPr="00DD3ED8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DD3ED8">
              <w:rPr>
                <w:b/>
                <w:bCs/>
                <w:szCs w:val="22"/>
              </w:rPr>
              <w:t>Документ</w:t>
            </w:r>
            <w:r w:rsidR="00D87035" w:rsidRPr="00DD3ED8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DD3ED8">
              <w:rPr>
                <w:b/>
                <w:bCs/>
                <w:szCs w:val="22"/>
              </w:rPr>
              <w:t>TDAG-</w:t>
            </w:r>
            <w:r w:rsidR="00523934" w:rsidRPr="00DD3ED8">
              <w:rPr>
                <w:b/>
                <w:bCs/>
                <w:szCs w:val="22"/>
              </w:rPr>
              <w:t>2</w:t>
            </w:r>
            <w:r w:rsidR="0081159E" w:rsidRPr="00DD3ED8">
              <w:rPr>
                <w:b/>
                <w:bCs/>
                <w:szCs w:val="22"/>
              </w:rPr>
              <w:t>5</w:t>
            </w:r>
            <w:r w:rsidR="00D87035" w:rsidRPr="00DD3ED8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6721A7" w:rsidRPr="00DD3ED8">
              <w:rPr>
                <w:b/>
                <w:bCs/>
                <w:szCs w:val="22"/>
              </w:rPr>
              <w:t>3</w:t>
            </w:r>
            <w:r w:rsidR="00D87035" w:rsidRPr="00DD3ED8">
              <w:rPr>
                <w:b/>
                <w:bCs/>
                <w:szCs w:val="22"/>
              </w:rPr>
              <w:t>-</w:t>
            </w:r>
            <w:r w:rsidRPr="00DD3ED8">
              <w:rPr>
                <w:b/>
                <w:bCs/>
                <w:szCs w:val="22"/>
              </w:rPr>
              <w:t>R</w:t>
            </w:r>
          </w:p>
        </w:tc>
      </w:tr>
      <w:tr w:rsidR="00D87035" w:rsidRPr="00DD3ED8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DD3ED8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1C45B2C6" w:rsidR="00D87035" w:rsidRPr="00DD3ED8" w:rsidRDefault="006721A7" w:rsidP="00CE66E4">
            <w:pPr>
              <w:spacing w:before="0"/>
              <w:rPr>
                <w:rFonts w:cstheme="minorHAnsi"/>
                <w:szCs w:val="22"/>
              </w:rPr>
            </w:pPr>
            <w:r w:rsidRPr="00DD3ED8">
              <w:rPr>
                <w:b/>
                <w:bCs/>
                <w:szCs w:val="22"/>
              </w:rPr>
              <w:t>7 апреля</w:t>
            </w:r>
            <w:r w:rsidR="0081159E" w:rsidRPr="00DD3ED8">
              <w:rPr>
                <w:b/>
                <w:bCs/>
                <w:szCs w:val="22"/>
              </w:rPr>
              <w:t xml:space="preserve"> </w:t>
            </w:r>
            <w:r w:rsidR="002955DA" w:rsidRPr="00DD3ED8">
              <w:rPr>
                <w:b/>
                <w:bCs/>
                <w:szCs w:val="22"/>
              </w:rPr>
              <w:t>2025</w:t>
            </w:r>
            <w:r w:rsidR="005E032D" w:rsidRPr="00DD3ED8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DD3ED8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DD3ED8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DD3ED8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DD3ED8">
              <w:rPr>
                <w:b/>
                <w:bCs/>
                <w:szCs w:val="22"/>
              </w:rPr>
              <w:t>Оригинал</w:t>
            </w:r>
            <w:r w:rsidR="00D87035" w:rsidRPr="00DD3ED8">
              <w:rPr>
                <w:b/>
                <w:bCs/>
                <w:szCs w:val="22"/>
              </w:rPr>
              <w:t xml:space="preserve">: </w:t>
            </w:r>
            <w:r w:rsidRPr="00DD3ED8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DD3ED8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56992760" w:rsidR="00D83BF5" w:rsidRPr="00DD3ED8" w:rsidRDefault="006721A7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DD3ED8">
              <w:rPr>
                <w:bCs/>
              </w:rPr>
              <w:t>Директор Бюро развития электросвязи</w:t>
            </w:r>
          </w:p>
        </w:tc>
      </w:tr>
      <w:tr w:rsidR="00D83BF5" w:rsidRPr="00DD3ED8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31D2830B" w:rsidR="00D83BF5" w:rsidRPr="00DD3ED8" w:rsidRDefault="006721A7" w:rsidP="006774C6">
            <w:pPr>
              <w:pStyle w:val="Title1"/>
              <w:rPr>
                <w:caps/>
              </w:rPr>
            </w:pPr>
            <w:r w:rsidRPr="00DD3ED8">
              <w:t>Отчет о региональных инициативах: осуществление и сопоставление проектов с РИ</w:t>
            </w:r>
          </w:p>
        </w:tc>
      </w:tr>
      <w:tr w:rsidR="00D83BF5" w:rsidRPr="00DD3ED8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DD3ED8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DD3ED8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DD3ED8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DD3ED8">
              <w:rPr>
                <w:szCs w:val="22"/>
                <w:lang w:val="ru-RU"/>
              </w:rPr>
              <w:t>Резюме</w:t>
            </w:r>
          </w:p>
          <w:p w14:paraId="4F70BA09" w14:textId="39FAC307" w:rsidR="001E252D" w:rsidRPr="00DD3ED8" w:rsidRDefault="006721A7" w:rsidP="006721A7">
            <w:pPr>
              <w:spacing w:after="120"/>
              <w:rPr>
                <w:rFonts w:cstheme="minorBidi"/>
              </w:rPr>
            </w:pPr>
            <w:r w:rsidRPr="00DD3ED8">
              <w:rPr>
                <w:color w:val="000000"/>
              </w:rPr>
              <w:t>В настоящем документе содержится отчет о реализации региональных инициатив ВКРЭ-22. Особое внимание в нем уделено вкладу БРЭ в решение приоритетных задач в области электросвязи/ИКТ в каждом из регионов посредством выполнения</w:t>
            </w:r>
            <w:r w:rsidR="006521CF" w:rsidRPr="00DD3ED8">
              <w:rPr>
                <w:color w:val="000000"/>
              </w:rPr>
              <w:t xml:space="preserve"> Оперативного плана</w:t>
            </w:r>
            <w:r w:rsidRPr="00DD3ED8">
              <w:rPr>
                <w:color w:val="000000"/>
              </w:rPr>
              <w:t xml:space="preserve"> </w:t>
            </w:r>
            <w:r w:rsidR="006521CF" w:rsidRPr="00DD3ED8">
              <w:rPr>
                <w:color w:val="000000"/>
              </w:rPr>
              <w:t>(</w:t>
            </w:r>
            <w:r w:rsidR="003C7C65" w:rsidRPr="00DD3ED8">
              <w:rPr>
                <w:color w:val="000000"/>
              </w:rPr>
              <w:t>ОП</w:t>
            </w:r>
            <w:r w:rsidR="006521CF" w:rsidRPr="00DD3ED8">
              <w:rPr>
                <w:color w:val="000000"/>
              </w:rPr>
              <w:t>)</w:t>
            </w:r>
            <w:r w:rsidR="003C7C65" w:rsidRPr="00DD3ED8">
              <w:rPr>
                <w:color w:val="000000"/>
              </w:rPr>
              <w:t xml:space="preserve"> </w:t>
            </w:r>
            <w:r w:rsidRPr="00DD3ED8">
              <w:rPr>
                <w:color w:val="000000"/>
              </w:rPr>
              <w:t xml:space="preserve">и </w:t>
            </w:r>
            <w:r w:rsidR="003C7C65" w:rsidRPr="00DD3ED8">
              <w:rPr>
                <w:color w:val="000000"/>
              </w:rPr>
              <w:t xml:space="preserve">проектов </w:t>
            </w:r>
            <w:r w:rsidRPr="00DD3ED8">
              <w:rPr>
                <w:color w:val="000000"/>
              </w:rPr>
              <w:t>МСЭ.</w:t>
            </w:r>
          </w:p>
          <w:p w14:paraId="404BE8A6" w14:textId="77777777" w:rsidR="005E032D" w:rsidRPr="00DD3ED8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DD3ED8">
              <w:rPr>
                <w:szCs w:val="22"/>
                <w:lang w:val="ru-RU"/>
              </w:rPr>
              <w:t>Необходимые действия</w:t>
            </w:r>
          </w:p>
          <w:p w14:paraId="6BDE7AFA" w14:textId="171727AB" w:rsidR="001E252D" w:rsidRPr="00DD3ED8" w:rsidRDefault="004D3C01" w:rsidP="00EB4AE6">
            <w:pPr>
              <w:rPr>
                <w:szCs w:val="22"/>
              </w:rPr>
            </w:pPr>
            <w:r w:rsidRPr="00DD3ED8">
              <w:rPr>
                <w:szCs w:val="22"/>
              </w:rPr>
              <w:t>КГРЭ предлагается принять настоящий документ к сведению и дать руководящие указания</w:t>
            </w:r>
            <w:r w:rsidR="006B7CC5" w:rsidRPr="00DD3ED8">
              <w:rPr>
                <w:szCs w:val="22"/>
              </w:rPr>
              <w:t>, если это будет сочтено целесообразным</w:t>
            </w:r>
            <w:r w:rsidR="003F1363" w:rsidRPr="00DD3ED8">
              <w:rPr>
                <w:szCs w:val="22"/>
              </w:rPr>
              <w:t>.</w:t>
            </w:r>
          </w:p>
          <w:p w14:paraId="5120B5FD" w14:textId="41E15B9D" w:rsidR="001E252D" w:rsidRPr="00DD3ED8" w:rsidRDefault="004A3CDF" w:rsidP="00EB4AE6">
            <w:pPr>
              <w:rPr>
                <w:b/>
                <w:bCs/>
                <w:szCs w:val="22"/>
              </w:rPr>
            </w:pPr>
            <w:r w:rsidRPr="00DD3ED8">
              <w:rPr>
                <w:b/>
                <w:bCs/>
                <w:szCs w:val="22"/>
              </w:rPr>
              <w:t>Справочные материалы</w:t>
            </w:r>
          </w:p>
          <w:p w14:paraId="175C5730" w14:textId="77777777" w:rsidR="006721A7" w:rsidRPr="00DD3ED8" w:rsidRDefault="006721A7">
            <w:pPr>
              <w:numPr>
                <w:ilvl w:val="0"/>
                <w:numId w:val="1"/>
              </w:numPr>
              <w:spacing w:after="120"/>
            </w:pPr>
            <w:r w:rsidRPr="00DD3ED8">
              <w:t>Отчет ВКРЭ-22 – Региональные инициативы</w:t>
            </w:r>
          </w:p>
          <w:p w14:paraId="4C899917" w14:textId="77777777" w:rsidR="006721A7" w:rsidRPr="00DD3ED8" w:rsidRDefault="006721A7">
            <w:pPr>
              <w:numPr>
                <w:ilvl w:val="0"/>
                <w:numId w:val="1"/>
              </w:numPr>
              <w:spacing w:after="120"/>
            </w:pPr>
            <w:r w:rsidRPr="00DD3ED8">
              <w:t>Документ TDAG-32/5 – Проекты МСЭ-D</w:t>
            </w:r>
          </w:p>
          <w:p w14:paraId="55C2DA3A" w14:textId="77777777" w:rsidR="006721A7" w:rsidRPr="00DD3ED8" w:rsidRDefault="006721A7">
            <w:pPr>
              <w:numPr>
                <w:ilvl w:val="0"/>
                <w:numId w:val="1"/>
              </w:numPr>
              <w:spacing w:after="120"/>
            </w:pPr>
            <w:r w:rsidRPr="00DD3ED8">
              <w:t>Документ TDAG-31/2 – Выполнение Кигалийского плана действий</w:t>
            </w:r>
          </w:p>
          <w:p w14:paraId="6EF29DC6" w14:textId="3ACB10E9" w:rsidR="001E252D" w:rsidRPr="00DD3ED8" w:rsidRDefault="006721A7" w:rsidP="006721A7">
            <w:pPr>
              <w:spacing w:after="120"/>
            </w:pPr>
            <w:r w:rsidRPr="00DD3ED8">
              <w:t xml:space="preserve">Документ TDAG-25/INF/4 – Сопоставление проектов с </w:t>
            </w:r>
            <w:r w:rsidR="006521CF" w:rsidRPr="00DD3ED8">
              <w:t>региональными инициативами</w:t>
            </w:r>
          </w:p>
        </w:tc>
      </w:tr>
      <w:bookmarkEnd w:id="8"/>
      <w:bookmarkEnd w:id="9"/>
    </w:tbl>
    <w:p w14:paraId="30707726" w14:textId="77777777" w:rsidR="00075C63" w:rsidRPr="00DD3ED8" w:rsidRDefault="00075C63" w:rsidP="00CE66E4">
      <w:pPr>
        <w:rPr>
          <w:szCs w:val="24"/>
        </w:rPr>
      </w:pPr>
      <w:r w:rsidRPr="00DD3ED8">
        <w:rPr>
          <w:szCs w:val="24"/>
        </w:rPr>
        <w:br w:type="page"/>
      </w:r>
    </w:p>
    <w:p w14:paraId="68494E2F" w14:textId="77777777" w:rsidR="006721A7" w:rsidRPr="00DD3ED8" w:rsidRDefault="006721A7" w:rsidP="00CB21A7">
      <w:pPr>
        <w:pStyle w:val="Headingbblue"/>
      </w:pPr>
      <w:r w:rsidRPr="00DD3ED8">
        <w:lastRenderedPageBreak/>
        <w:t>Введение</w:t>
      </w:r>
    </w:p>
    <w:p w14:paraId="5F494F5E" w14:textId="1AF45E97" w:rsidR="006721A7" w:rsidRPr="00DD3ED8" w:rsidRDefault="006721A7" w:rsidP="006721A7">
      <w:r w:rsidRPr="00DD3ED8">
        <w:t>Региональные инициативы, утвержденные на Всемирной конференции по развитию электросвязи (ВКРЭ-22), которая состоялась в Кигали</w:t>
      </w:r>
      <w:r w:rsidR="002F7A6B" w:rsidRPr="00DD3ED8">
        <w:t xml:space="preserve"> (</w:t>
      </w:r>
      <w:r w:rsidRPr="00DD3ED8">
        <w:t>Руанда</w:t>
      </w:r>
      <w:r w:rsidR="002F7A6B" w:rsidRPr="00DD3ED8">
        <w:t>)</w:t>
      </w:r>
      <w:r w:rsidRPr="00DD3ED8">
        <w:t xml:space="preserve"> с 6 по 16 июня 2022 года, направлены на решение конкретных приоритетных задач в области электросвязи/ИКТ посредством партнерств и мобилизации ресурсов для выполнения проектов</w:t>
      </w:r>
      <w:r w:rsidRPr="00DD3ED8">
        <w:rPr>
          <w:rStyle w:val="FootnoteReference"/>
        </w:rPr>
        <w:footnoteReference w:id="2"/>
      </w:r>
      <w:r w:rsidRPr="00DD3ED8">
        <w:t xml:space="preserve">. </w:t>
      </w:r>
    </w:p>
    <w:p w14:paraId="1A76B160" w14:textId="59127B30" w:rsidR="006721A7" w:rsidRPr="00DD3ED8" w:rsidRDefault="006721A7" w:rsidP="006721A7">
      <w:r w:rsidRPr="00DD3ED8">
        <w:t xml:space="preserve">После ВКРЭ-22 Бюро развития электросвязи (БРЭ) в сотрудничестве с соответствующими партнерами разработало и осуществило целый ряд проектов, посредством которых был внесен вклад в осуществление региональных инициатив ВКРЭ-22. Эти проекты </w:t>
      </w:r>
      <w:r w:rsidR="00642CBE" w:rsidRPr="00DD3ED8">
        <w:t>сыграли свою роль в</w:t>
      </w:r>
      <w:r w:rsidRPr="00DD3ED8">
        <w:t xml:space="preserve"> разработк</w:t>
      </w:r>
      <w:r w:rsidR="00642CBE" w:rsidRPr="00DD3ED8">
        <w:t>е</w:t>
      </w:r>
      <w:r w:rsidRPr="00DD3ED8">
        <w:t xml:space="preserve"> </w:t>
      </w:r>
      <w:r w:rsidR="00642CBE" w:rsidRPr="00DD3ED8">
        <w:t>целого ряда</w:t>
      </w:r>
      <w:r w:rsidRPr="00DD3ED8">
        <w:t xml:space="preserve"> продуктов и услуг в соответствии с приоритетами и средствами достижения целей МСЭ</w:t>
      </w:r>
      <w:r w:rsidR="00B15C6B" w:rsidRPr="00B15C6B">
        <w:noBreakHyphen/>
      </w:r>
      <w:r w:rsidRPr="00DD3ED8">
        <w:t>D, определенными в Кигалийском плане действий, а также в Стратегическом плане МСЭ для каждого из шести регионов МСЭ.</w:t>
      </w:r>
    </w:p>
    <w:p w14:paraId="567F7CC0" w14:textId="73D4F232" w:rsidR="006721A7" w:rsidRPr="00DD3ED8" w:rsidRDefault="006721A7" w:rsidP="006721A7">
      <w:r w:rsidRPr="00DD3ED8">
        <w:t xml:space="preserve">В следующих разделах описаны реализованные мероприятия, а также соответствующие продукты и услуги, </w:t>
      </w:r>
      <w:r w:rsidR="00642CBE" w:rsidRPr="00DD3ED8">
        <w:t>разработанные</w:t>
      </w:r>
      <w:r w:rsidRPr="00DD3ED8">
        <w:t xml:space="preserve"> в каждом из регионов в рамках ОП и проектов. Проекты, реализованные и/или осуществляемые в рамках каждой из утвержденных на ВКРЭ-22 региональных инициатив на период 2023–2025 годов, перечислены в документе </w:t>
      </w:r>
      <w:hyperlink r:id="rId13" w:history="1">
        <w:r w:rsidR="00B15C6B" w:rsidRPr="00B15008">
          <w:rPr>
            <w:rStyle w:val="Hyperlink"/>
            <w:rFonts w:cstheme="minorHAnsi"/>
          </w:rPr>
          <w:t>TDAG-25/INF/4</w:t>
        </w:r>
      </w:hyperlink>
      <w:r w:rsidRPr="00DD3ED8">
        <w:t xml:space="preserve">. </w:t>
      </w:r>
    </w:p>
    <w:p w14:paraId="35973979" w14:textId="2F637285" w:rsidR="006721A7" w:rsidRPr="00DD3ED8" w:rsidRDefault="00CB21A7" w:rsidP="00CB21A7">
      <w:pPr>
        <w:pStyle w:val="Headingbblue"/>
      </w:pPr>
      <w:r w:rsidRPr="00DD3ED8">
        <w:t>АФРИКА</w:t>
      </w:r>
    </w:p>
    <w:p w14:paraId="0584B11A" w14:textId="0FB5EDCA" w:rsidR="006721A7" w:rsidRPr="00245BE6" w:rsidRDefault="006721A7" w:rsidP="006721A7">
      <w:pPr>
        <w:rPr>
          <w:b/>
          <w:bCs/>
        </w:rPr>
      </w:pPr>
      <w:r w:rsidRPr="00DD3ED8">
        <w:rPr>
          <w:b/>
          <w:bCs/>
        </w:rPr>
        <w:t>Региональное отделение МСЭ для Африки продолжает реализовывать различные инициативы и проекты в регионе, в основном оказывая поддержку Государствам-Членам в целях стимулирования цифровой трансформации и ускорения перехода к цифровой экономике, улучшения реагирования на инциденты</w:t>
      </w:r>
      <w:r w:rsidR="00642CBE" w:rsidRPr="00DD3ED8">
        <w:rPr>
          <w:b/>
          <w:bCs/>
        </w:rPr>
        <w:t xml:space="preserve"> в области</w:t>
      </w:r>
      <w:r w:rsidRPr="00DD3ED8">
        <w:rPr>
          <w:b/>
          <w:bCs/>
        </w:rPr>
        <w:t xml:space="preserve"> кибербезопасност</w:t>
      </w:r>
      <w:r w:rsidR="00642CBE" w:rsidRPr="00DD3ED8">
        <w:rPr>
          <w:b/>
          <w:bCs/>
        </w:rPr>
        <w:t>и</w:t>
      </w:r>
      <w:r w:rsidRPr="00DD3ED8">
        <w:rPr>
          <w:b/>
          <w:bCs/>
        </w:rPr>
        <w:t>,</w:t>
      </w:r>
      <w:r w:rsidR="00642CBE" w:rsidRPr="00DD3ED8">
        <w:rPr>
          <w:b/>
          <w:bCs/>
        </w:rPr>
        <w:t xml:space="preserve"> а также</w:t>
      </w:r>
      <w:r w:rsidRPr="00DD3ED8">
        <w:rPr>
          <w:b/>
          <w:bCs/>
        </w:rPr>
        <w:t xml:space="preserve"> содействия охвату цифровыми технологиями и реальной возможности установления соединений.</w:t>
      </w:r>
      <w:r w:rsidRPr="00DD3ED8">
        <w:t xml:space="preserve"> </w:t>
      </w:r>
      <w:r w:rsidRPr="00DD3ED8">
        <w:rPr>
          <w:b/>
          <w:bCs/>
        </w:rPr>
        <w:t>Эти усилия согласуются с четырьмя региональными инициативами, изложенными в Кигалийском плане действий (КПД).</w:t>
      </w:r>
      <w:r w:rsidRPr="00DD3ED8">
        <w:t xml:space="preserve"> </w:t>
      </w:r>
      <w:r w:rsidRPr="00DD3ED8">
        <w:rPr>
          <w:b/>
          <w:bCs/>
        </w:rPr>
        <w:t xml:space="preserve">Ниже </w:t>
      </w:r>
      <w:r w:rsidR="007C30E0" w:rsidRPr="00DD3ED8">
        <w:rPr>
          <w:b/>
          <w:bCs/>
        </w:rPr>
        <w:t>приведены</w:t>
      </w:r>
      <w:r w:rsidRPr="00DD3ED8">
        <w:rPr>
          <w:b/>
          <w:bCs/>
        </w:rPr>
        <w:t xml:space="preserve"> </w:t>
      </w:r>
      <w:r w:rsidR="00642CBE" w:rsidRPr="00DD3ED8">
        <w:rPr>
          <w:b/>
          <w:bCs/>
        </w:rPr>
        <w:t>ключевые итоги деятельности</w:t>
      </w:r>
      <w:r w:rsidRPr="00DD3ED8">
        <w:rPr>
          <w:b/>
          <w:bCs/>
        </w:rPr>
        <w:t xml:space="preserve"> и достижения в рамках каждой из региональных инициатив</w:t>
      </w:r>
      <w:r w:rsidR="00245BE6" w:rsidRPr="00245BE6">
        <w:rPr>
          <w:b/>
          <w:bCs/>
        </w:rPr>
        <w:t>.</w:t>
      </w:r>
    </w:p>
    <w:p w14:paraId="4E8AD343" w14:textId="02133994" w:rsidR="006721A7" w:rsidRPr="00DD3ED8" w:rsidRDefault="00DD3ED8" w:rsidP="00DD3ED8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Партнерства</w:t>
      </w:r>
      <w:proofErr w:type="gramStart"/>
      <w:r w:rsidR="006721A7" w:rsidRPr="00DD3ED8">
        <w:t>: При</w:t>
      </w:r>
      <w:proofErr w:type="gramEnd"/>
      <w:r w:rsidR="006721A7" w:rsidRPr="00DD3ED8">
        <w:t xml:space="preserve"> поддержке Комиссии Африканского союза МСЭ </w:t>
      </w:r>
      <w:r w:rsidR="00642CBE" w:rsidRPr="00DD3ED8">
        <w:t>принимал</w:t>
      </w:r>
      <w:r w:rsidR="006721A7" w:rsidRPr="00DD3ED8">
        <w:t xml:space="preserve"> участие в работе Африканского комитета экспертов по цифровой идентификации (</w:t>
      </w:r>
      <w:proofErr w:type="spellStart"/>
      <w:r w:rsidR="006721A7" w:rsidRPr="00DD3ED8">
        <w:t>ACED</w:t>
      </w:r>
      <w:proofErr w:type="spellEnd"/>
      <w:r w:rsidR="006721A7" w:rsidRPr="00DD3ED8">
        <w:t xml:space="preserve">), целью которого является обеспечение каждого жителя Африки цифровым удостоверением личности для содействия развитию электронного правительства, обеспечения доступа к государственным услугам и повышения общего благополучия граждан. В рамках того же направления работы МСЭ сотрудничает с ICANN, </w:t>
      </w:r>
      <w:proofErr w:type="spellStart"/>
      <w:r w:rsidR="006721A7" w:rsidRPr="00DD3ED8">
        <w:t>AfriNIC</w:t>
      </w:r>
      <w:proofErr w:type="spellEnd"/>
      <w:r w:rsidR="006721A7" w:rsidRPr="00DD3ED8">
        <w:t xml:space="preserve">, </w:t>
      </w:r>
      <w:proofErr w:type="spellStart"/>
      <w:r w:rsidR="006721A7" w:rsidRPr="00DD3ED8">
        <w:t>AfTLD</w:t>
      </w:r>
      <w:proofErr w:type="spellEnd"/>
      <w:r w:rsidR="006721A7" w:rsidRPr="00DD3ED8">
        <w:t xml:space="preserve"> и другими региональными заинтересованными сторонами в рамках коалиции за цифровую Африку (</w:t>
      </w:r>
      <w:proofErr w:type="spellStart"/>
      <w:r w:rsidR="006721A7" w:rsidRPr="00DD3ED8">
        <w:t>CDA</w:t>
      </w:r>
      <w:proofErr w:type="spellEnd"/>
      <w:r w:rsidR="006721A7" w:rsidRPr="00DD3ED8">
        <w:t xml:space="preserve">), цель которой </w:t>
      </w:r>
      <w:r w:rsidR="00642CBE" w:rsidRPr="00DD3ED8">
        <w:t>—</w:t>
      </w:r>
      <w:r w:rsidR="006721A7" w:rsidRPr="00DD3ED8">
        <w:t xml:space="preserve"> ускорить цифровую трансформацию Африки, с тем чтобы население могло </w:t>
      </w:r>
      <w:r w:rsidR="00642CBE" w:rsidRPr="00DD3ED8">
        <w:t>пользоваться</w:t>
      </w:r>
      <w:r w:rsidR="006721A7" w:rsidRPr="00DD3ED8">
        <w:t xml:space="preserve"> всеми преимуществами цифровой экономики. В рамках разнообразных инициатив БРЭ продолжает тесное сотрудничество с региональными организациями, включая Панафриканский союз электросвязи (</w:t>
      </w:r>
      <w:proofErr w:type="spellStart"/>
      <w:r w:rsidR="006721A7" w:rsidRPr="00DD3ED8">
        <w:t>ПАСЭ</w:t>
      </w:r>
      <w:proofErr w:type="spellEnd"/>
      <w:r w:rsidR="006721A7" w:rsidRPr="00DD3ED8">
        <w:t>), Комиссию Африканского союза (</w:t>
      </w:r>
      <w:proofErr w:type="spellStart"/>
      <w:r w:rsidR="006721A7" w:rsidRPr="00DD3ED8">
        <w:t>AUC</w:t>
      </w:r>
      <w:proofErr w:type="spellEnd"/>
      <w:r w:rsidR="006721A7" w:rsidRPr="00DD3ED8">
        <w:t>), секретариат "Умная Африка" (</w:t>
      </w:r>
      <w:proofErr w:type="spellStart"/>
      <w:r w:rsidR="006721A7" w:rsidRPr="00DD3ED8">
        <w:t>SAS</w:t>
      </w:r>
      <w:proofErr w:type="spellEnd"/>
      <w:r w:rsidR="006721A7" w:rsidRPr="00DD3ED8">
        <w:t>), региональные экономические сообщества (</w:t>
      </w:r>
      <w:proofErr w:type="spellStart"/>
      <w:r w:rsidR="006721A7" w:rsidRPr="00DD3ED8">
        <w:t>REC</w:t>
      </w:r>
      <w:proofErr w:type="spellEnd"/>
      <w:r w:rsidR="006721A7" w:rsidRPr="00DD3ED8">
        <w:t>) и региональные ассоциации регуляторных органов (</w:t>
      </w:r>
      <w:proofErr w:type="spellStart"/>
      <w:r w:rsidR="006721A7" w:rsidRPr="00DD3ED8">
        <w:t>RA</w:t>
      </w:r>
      <w:proofErr w:type="spellEnd"/>
      <w:r w:rsidR="006721A7" w:rsidRPr="00DD3ED8">
        <w:t>). К этим инициативам относится разработка Плана действий для Африки в рамках инициативы "Раннее предупреждение для всех" (</w:t>
      </w:r>
      <w:proofErr w:type="spellStart"/>
      <w:r w:rsidR="006721A7" w:rsidRPr="00DD3ED8">
        <w:t>EW4ALL</w:t>
      </w:r>
      <w:proofErr w:type="spellEnd"/>
      <w:r w:rsidR="006721A7" w:rsidRPr="00DD3ED8">
        <w:t>) или</w:t>
      </w:r>
      <w:r w:rsidR="00642CBE" w:rsidRPr="00DD3ED8">
        <w:t>, к примеру,</w:t>
      </w:r>
      <w:r w:rsidR="006721A7" w:rsidRPr="00DD3ED8">
        <w:t xml:space="preserve"> разработка модели Национального плана электросвязи в чрезвычайных ситуациях для региона Сообщества по вопросам развития юга Африки (САДК), </w:t>
      </w:r>
      <w:r w:rsidR="00C94DFD" w:rsidRPr="00DD3ED8">
        <w:t>имеющая целью</w:t>
      </w:r>
      <w:r w:rsidR="006721A7" w:rsidRPr="00DD3ED8">
        <w:t xml:space="preserve"> создание эффективных линий электросвязи в случае чрезвычайных ситуаций. </w:t>
      </w:r>
    </w:p>
    <w:p w14:paraId="3ED7A09C" w14:textId="010807B5" w:rsidR="006721A7" w:rsidRPr="00DD3ED8" w:rsidRDefault="00DD3ED8" w:rsidP="00DD3ED8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Укрепление сотрудничества с учреждениями ООН</w:t>
      </w:r>
      <w:r w:rsidR="006721A7" w:rsidRPr="00DD3ED8">
        <w:t>: БРЭ продолжает принимать активное участие в работе национальных рамочных программ ООН по сотрудничеству в области устойчивого развития (РПООНСУР) в регионе и вносить</w:t>
      </w:r>
      <w:r w:rsidR="00C94DFD" w:rsidRPr="00DD3ED8">
        <w:t xml:space="preserve"> в нее</w:t>
      </w:r>
      <w:r w:rsidR="006721A7" w:rsidRPr="00DD3ED8">
        <w:t xml:space="preserve"> свой вклад. Так, БРЭ содействовало проведению оценки РПООНСУР на 2020–2025 годы для Эфиопии и </w:t>
      </w:r>
      <w:r w:rsidR="006721A7" w:rsidRPr="00DD3ED8">
        <w:lastRenderedPageBreak/>
        <w:t xml:space="preserve">разработке РПООНСУР на 2025–2030 годы, </w:t>
      </w:r>
      <w:r w:rsidR="00C94DFD" w:rsidRPr="00DD3ED8">
        <w:t>уделив</w:t>
      </w:r>
      <w:r w:rsidR="006721A7" w:rsidRPr="00DD3ED8">
        <w:t xml:space="preserve"> должное внимание вопросам установления цифровых соединений как одному из шести направлений, которые могут ускорить и многократно усилить прогресс в достижении всех ЦУР</w:t>
      </w:r>
      <w:r w:rsidR="006721A7" w:rsidRPr="00935D6E">
        <w:rPr>
          <w:rStyle w:val="FootnoteReference"/>
        </w:rPr>
        <w:footnoteReference w:id="3"/>
      </w:r>
      <w:r w:rsidR="006721A7" w:rsidRPr="00DD3ED8">
        <w:t xml:space="preserve">. БРЭ приняло участие также в обзоре Системы показателей гендерного равенства СГООН </w:t>
      </w:r>
      <w:proofErr w:type="spellStart"/>
      <w:r w:rsidR="006721A7" w:rsidRPr="00DD3ED8">
        <w:t>SWAP</w:t>
      </w:r>
      <w:proofErr w:type="spellEnd"/>
      <w:r w:rsidR="006721A7" w:rsidRPr="00DD3ED8">
        <w:t xml:space="preserve"> (страновой группы ООН по достижению цели обеспечения гендерного равенства, поставленной в Общесистемном плане действий) для Эфиопии и внесло вклад в разработку новых целевых показателей на </w:t>
      </w:r>
      <w:proofErr w:type="gramStart"/>
      <w:r w:rsidR="006721A7" w:rsidRPr="00DD3ED8">
        <w:t>2024−2025</w:t>
      </w:r>
      <w:proofErr w:type="gramEnd"/>
      <w:r w:rsidR="006721A7" w:rsidRPr="00DD3ED8">
        <w:t xml:space="preserve"> годы</w:t>
      </w:r>
      <w:r w:rsidR="00AB5790" w:rsidRPr="00DD3ED8">
        <w:t>.</w:t>
      </w:r>
      <w:r w:rsidR="006721A7" w:rsidRPr="00DD3ED8">
        <w:t xml:space="preserve"> </w:t>
      </w:r>
      <w:r w:rsidR="00AB5790" w:rsidRPr="00DD3ED8">
        <w:t xml:space="preserve">Совместно с ПРООН </w:t>
      </w:r>
      <w:r w:rsidR="006721A7" w:rsidRPr="00DD3ED8">
        <w:t xml:space="preserve">БРЭ руководит программой "Путь к цифровой трансформации", которая направлена на подготовку заявки в Фонд ЦУР от имени СГООН в Сенегале. Помимо этого, МСЭ совместно с другими родственными учреждениями ООН (ПРООН, </w:t>
      </w:r>
      <w:proofErr w:type="spellStart"/>
      <w:r w:rsidR="006721A7" w:rsidRPr="00DD3ED8">
        <w:t>ЮНОПС</w:t>
      </w:r>
      <w:proofErr w:type="spellEnd"/>
      <w:r w:rsidR="006721A7" w:rsidRPr="00DD3ED8">
        <w:t xml:space="preserve">, структура "ООН-женщины") разработал стратегическую записку по цифровой трансформации для СГООН в Сенегале, цель которой </w:t>
      </w:r>
      <w:r w:rsidR="00AB5790" w:rsidRPr="00DD3ED8">
        <w:t>—</w:t>
      </w:r>
      <w:r w:rsidR="006721A7" w:rsidRPr="00DD3ED8">
        <w:t xml:space="preserve"> мобилизовать ресурсы, чтобы помочь стране ускорить реализацию программы цифровой трансформации для достижения ЦУР ООН в срок, т.</w:t>
      </w:r>
      <w:r w:rsidR="00B15C6B">
        <w:rPr>
          <w:lang w:val="en-GB"/>
        </w:rPr>
        <w:t> </w:t>
      </w:r>
      <w:r w:rsidR="006721A7" w:rsidRPr="00DD3ED8">
        <w:t xml:space="preserve">е. к 2030 году. </w:t>
      </w:r>
    </w:p>
    <w:p w14:paraId="71395065" w14:textId="73226A3A" w:rsidR="006721A7" w:rsidRPr="00DD3ED8" w:rsidRDefault="00DD3ED8" w:rsidP="00DD3ED8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Работа по региональным приоритетам</w:t>
      </w:r>
      <w:r w:rsidR="006721A7" w:rsidRPr="00DD3ED8">
        <w:t xml:space="preserve">: БРЭ продолжает оказывать техническую помощь и укреплять потенциал для поддержки </w:t>
      </w:r>
      <w:r w:rsidR="00AB5790" w:rsidRPr="00DD3ED8">
        <w:t>обеспечения реальной возможности установления соединений</w:t>
      </w:r>
      <w:r w:rsidR="006721A7" w:rsidRPr="00DD3ED8">
        <w:t xml:space="preserve"> и процесса цифровой трансформации как на национальном, так и на региональном уровне в соответствии с региональными инициативами </w:t>
      </w:r>
      <w:r w:rsidR="00AB5790" w:rsidRPr="00DD3ED8">
        <w:t xml:space="preserve">для </w:t>
      </w:r>
      <w:r w:rsidR="006721A7" w:rsidRPr="00DD3ED8">
        <w:t>Африки.</w:t>
      </w:r>
    </w:p>
    <w:p w14:paraId="3ECE16B9" w14:textId="7C3C09EB" w:rsidR="006721A7" w:rsidRPr="00DD3ED8" w:rsidRDefault="006721A7" w:rsidP="00CB21A7">
      <w:pPr>
        <w:pStyle w:val="Headingbblue"/>
      </w:pPr>
      <w:proofErr w:type="spellStart"/>
      <w:r w:rsidRPr="00DD3ED8">
        <w:t>AFR1</w:t>
      </w:r>
      <w:proofErr w:type="spellEnd"/>
      <w:r w:rsidRPr="00DD3ED8">
        <w:t xml:space="preserve">: </w:t>
      </w:r>
      <w:r w:rsidR="00293ECB" w:rsidRPr="00DD3ED8">
        <w:t>Поддержка цифровой трансформации для обеспечения скорейшего перехода к цифровой экономике одновременно с ускорением внедрения инноваций в Африке</w:t>
      </w:r>
    </w:p>
    <w:p w14:paraId="034A7D92" w14:textId="0A522D6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в сотрудничестве с Министерством иностранных дел и по делам Содружества и развития Соединенного Королевства (FCDO) провел</w:t>
      </w:r>
      <w:r w:rsidR="00AB5790" w:rsidRPr="00DD3ED8">
        <w:t>о</w:t>
      </w:r>
      <w:r w:rsidR="006721A7" w:rsidRPr="00DD3ED8">
        <w:t xml:space="preserve"> в рамках проекта "Содействие принятию благоприятной политики и регулирования (НРС)" исследование эксплуатационных затрат на развитие инфраструктуры электросвязи и возможности установления соединений</w:t>
      </w:r>
      <w:r w:rsidR="00AB5790" w:rsidRPr="00DD3ED8">
        <w:t xml:space="preserve"> в Нигерии</w:t>
      </w:r>
      <w:r w:rsidR="006721A7" w:rsidRPr="00DD3ED8">
        <w:t>. В рамках проведенной МСЭ серии исследований конкретных ситуаций по совместному регулированию был подготовлен отчет "Исследование в области совместного регулирования: ускорение цифровой трансформации Нигерии", который был затем представлен во время национального мероприятия по теме "Стимулирование цифровой трансформации Нигерии посредством совместного регулирования: путь к регулированию пятого поколения".</w:t>
      </w:r>
    </w:p>
    <w:p w14:paraId="5BBFECA8" w14:textId="34F2D2E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Южно-Африканской Республике в рамках проекта МСЭ-FCDO "Содействие принятию благоприятной политики и регулирования (НРС)" была оказана поддержка в подготовке странового обзора по теме совместного цифрового регулирования "Цифровая трансформация и совместное регулирование в Южно-Африканской Республике". В</w:t>
      </w:r>
      <w:r w:rsidR="00B15C6B">
        <w:rPr>
          <w:lang w:val="en-GB"/>
        </w:rPr>
        <w:t> </w:t>
      </w:r>
      <w:r w:rsidR="006721A7" w:rsidRPr="00DD3ED8">
        <w:t xml:space="preserve">рамках проекта была оказана поддержка </w:t>
      </w:r>
      <w:r w:rsidR="00AB5790" w:rsidRPr="00DD3ED8">
        <w:t xml:space="preserve">в </w:t>
      </w:r>
      <w:r w:rsidR="006721A7" w:rsidRPr="00DD3ED8">
        <w:t>исследовани</w:t>
      </w:r>
      <w:r w:rsidR="00AB5790" w:rsidRPr="00DD3ED8">
        <w:t>и</w:t>
      </w:r>
      <w:r w:rsidR="006721A7" w:rsidRPr="00DD3ED8">
        <w:t xml:space="preserve"> моделей обеспечения надежной возможности установления соединений и развития цифровых навыков среди молодежи, не получающей образования и не занятой трудовой деятельностью или профессиональной подготовкой (</w:t>
      </w:r>
      <w:proofErr w:type="spellStart"/>
      <w:r w:rsidR="006721A7" w:rsidRPr="00DD3ED8">
        <w:t>YNEET</w:t>
      </w:r>
      <w:proofErr w:type="spellEnd"/>
      <w:r w:rsidR="006721A7" w:rsidRPr="00DD3ED8">
        <w:t>), в сельских и поселковых районах по всей стране.</w:t>
      </w:r>
    </w:p>
    <w:p w14:paraId="6CE6BFB9" w14:textId="462BD5B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сотрудничестве с Министерством юстиции Эфиопии БРЭ организовало проведение учебного курса по созданию потенциала для судебного сектора Эфиопии. Курс способствовал укреплению потенциала в стимулировании использования и </w:t>
      </w:r>
      <w:r w:rsidR="00AB5790" w:rsidRPr="00DD3ED8">
        <w:t>внедрения</w:t>
      </w:r>
      <w:r w:rsidR="006721A7" w:rsidRPr="00DD3ED8">
        <w:t xml:space="preserve"> появляющихся технологий в судебном секторе и содействии цифровой трансформации в Эфиопии. </w:t>
      </w:r>
    </w:p>
    <w:p w14:paraId="6B56131E" w14:textId="1AB3CB5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в сотрудничестве с Министерством цифровой экономики Кабо-Верде оказал</w:t>
      </w:r>
      <w:r w:rsidR="00AB5790" w:rsidRPr="00DD3ED8">
        <w:t>о</w:t>
      </w:r>
      <w:r w:rsidR="006721A7" w:rsidRPr="00DD3ED8">
        <w:t xml:space="preserve"> техническую помощь путем проведения первоначальной оценки инициативы "Умный </w:t>
      </w:r>
      <w:r w:rsidR="006721A7" w:rsidRPr="00DD3ED8">
        <w:lastRenderedPageBreak/>
        <w:t xml:space="preserve">остров". Благодаря оценке </w:t>
      </w:r>
      <w:r w:rsidR="004B2A11" w:rsidRPr="00DD3ED8">
        <w:t xml:space="preserve">Республика </w:t>
      </w:r>
      <w:r w:rsidR="006721A7" w:rsidRPr="00DD3ED8">
        <w:t xml:space="preserve">Кабо-Верде смогла выявить приоритетные цифровые услуги для </w:t>
      </w:r>
      <w:r w:rsidR="004B2A11" w:rsidRPr="00DD3ED8">
        <w:t>поддержки</w:t>
      </w:r>
      <w:r w:rsidR="006721A7" w:rsidRPr="00DD3ED8">
        <w:t xml:space="preserve"> цифровой трансформации в сельских сообществах и расширения масштабов этой инициативы.</w:t>
      </w:r>
    </w:p>
    <w:p w14:paraId="602849ED" w14:textId="7E8BAE7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рамках инициативы "Альянс инноваций и предпринимательства для целей цифрового развития" БРЭ в сотрудничестве с Регуляторным органом Малави в области электросвязи (</w:t>
      </w:r>
      <w:proofErr w:type="spellStart"/>
      <w:r w:rsidR="006721A7" w:rsidRPr="00DD3ED8">
        <w:t>MACRA</w:t>
      </w:r>
      <w:proofErr w:type="spellEnd"/>
      <w:r w:rsidR="006721A7" w:rsidRPr="00DD3ED8">
        <w:t>) организовало семинар-практикум на тему "Утверждение конфигурации Центр</w:t>
      </w:r>
      <w:r w:rsidR="004B2A11" w:rsidRPr="00DD3ED8">
        <w:t xml:space="preserve">а </w:t>
      </w:r>
      <w:r w:rsidR="006721A7" w:rsidRPr="00DD3ED8">
        <w:t>ускорения [цифровой трансформации] и</w:t>
      </w:r>
      <w:r w:rsidR="004B2A11" w:rsidRPr="00DD3ED8">
        <w:t xml:space="preserve"> спектра</w:t>
      </w:r>
      <w:r w:rsidR="006721A7" w:rsidRPr="00DD3ED8">
        <w:t xml:space="preserve"> </w:t>
      </w:r>
      <w:r w:rsidR="004B2A11" w:rsidRPr="00DD3ED8">
        <w:t>услуг</w:t>
      </w:r>
      <w:r w:rsidR="006721A7" w:rsidRPr="00DD3ED8">
        <w:t xml:space="preserve"> развития экосистемных инициатив в интересах комплексной цифровой трансформации". </w:t>
      </w:r>
      <w:r w:rsidR="004B2A11" w:rsidRPr="00DD3ED8">
        <w:t>Совместно с заинтересованными сторонами, вовлеченными в экосистему, б</w:t>
      </w:r>
      <w:r w:rsidR="006721A7" w:rsidRPr="00DD3ED8">
        <w:t>ыл разработан и рассмотрен проект Центра: были определены стратегические рамки проекта, включая концепцию и цель деятельности, модель предоставления услуг, бизнес-стратегию, структуру людских ресурсов, партнерства, принципы мобилизации ресурсов и структуру управления.</w:t>
      </w:r>
    </w:p>
    <w:p w14:paraId="04A8F5D3" w14:textId="4FB1662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4B2A11" w:rsidRPr="00DD3ED8">
        <w:t>В</w:t>
      </w:r>
      <w:r w:rsidR="006721A7" w:rsidRPr="00DD3ED8">
        <w:t xml:space="preserve"> сотрудничестве с Национальным управлением связи Южного Судана </w:t>
      </w:r>
      <w:r w:rsidR="004B2A11" w:rsidRPr="00DD3ED8">
        <w:t xml:space="preserve">БРЭ </w:t>
      </w:r>
      <w:r w:rsidR="006721A7" w:rsidRPr="00DD3ED8">
        <w:t>предоставило техническую помощь в разработке национальной стратегии цифровой трансформации и продолжило оказывать поддержку в проведении общенациональной оценки цифровых навыков.</w:t>
      </w:r>
    </w:p>
    <w:p w14:paraId="60EB4244" w14:textId="63A9768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многолетнего совместного проекта цифровой трансформации, осуществляемого правительством Уганды и МСЭ при финансовой поддержке китайского Фонда глобального развития и сотрудничества Юг-Юг, оказывается поддержка реализации концепции "Цифровая Уганда" </w:t>
      </w:r>
      <w:r w:rsidR="004B2A11" w:rsidRPr="00DD3ED8">
        <w:t>— оказывается</w:t>
      </w:r>
      <w:r w:rsidR="006721A7" w:rsidRPr="00DD3ED8">
        <w:t xml:space="preserve"> содействи</w:t>
      </w:r>
      <w:r w:rsidR="004B2A11" w:rsidRPr="00DD3ED8">
        <w:t>е</w:t>
      </w:r>
      <w:r w:rsidR="006721A7" w:rsidRPr="00DD3ED8">
        <w:t xml:space="preserve"> в разработке направленных на будущее политических мер и развити</w:t>
      </w:r>
      <w:r w:rsidR="004B2A11" w:rsidRPr="00DD3ED8">
        <w:t>и</w:t>
      </w:r>
      <w:r w:rsidR="006721A7" w:rsidRPr="00DD3ED8">
        <w:t xml:space="preserve"> потенциала. В рамках проекта БРЭ принял</w:t>
      </w:r>
      <w:r w:rsidR="004B2A11" w:rsidRPr="00DD3ED8">
        <w:t>о</w:t>
      </w:r>
      <w:r w:rsidR="006721A7" w:rsidRPr="00DD3ED8">
        <w:t xml:space="preserve"> адресные меры в области цифровой трансформации по семи приоритетным направлениям цифрового развития (включая обеспечение возможности установления соединений "последней мили", руководящие указания по созданию "зеленых" центров обработки данных, большие данные, 5G и появляющиеся технологии, такие как ИИ, местное производство оборудования ИКТ и другие). Благодаря проведению сертифицированных учебных курсов и подготовке инструкторов в рамках проекта удалось обучить и сделать более уверенными пользователями более 5000 сотрудников государственных органов, повысив их уровень технических цифровых навыков, что имело целью поддержать цифровую трансформацию и расширение использования услуг электронного правительства и ИКТ. </w:t>
      </w:r>
      <w:r w:rsidR="004B2A11" w:rsidRPr="00DD3ED8">
        <w:t>В рамках п</w:t>
      </w:r>
      <w:r w:rsidR="006721A7" w:rsidRPr="00DD3ED8">
        <w:t>рактически</w:t>
      </w:r>
      <w:r w:rsidR="004B2A11" w:rsidRPr="00DD3ED8">
        <w:t>х</w:t>
      </w:r>
      <w:r w:rsidR="006721A7" w:rsidRPr="00DD3ED8">
        <w:t xml:space="preserve"> </w:t>
      </w:r>
      <w:r w:rsidR="004B2A11" w:rsidRPr="00DD3ED8">
        <w:t>экспериментальных</w:t>
      </w:r>
      <w:r w:rsidR="006721A7" w:rsidRPr="00DD3ED8">
        <w:t xml:space="preserve"> проект</w:t>
      </w:r>
      <w:r w:rsidR="004B2A11" w:rsidRPr="00DD3ED8">
        <w:t>ов</w:t>
      </w:r>
      <w:r w:rsidR="006721A7" w:rsidRPr="00DD3ED8">
        <w:t xml:space="preserve"> </w:t>
      </w:r>
      <w:r w:rsidR="004B2A11" w:rsidRPr="00DD3ED8">
        <w:t>удалось</w:t>
      </w:r>
      <w:r w:rsidR="006721A7" w:rsidRPr="00DD3ED8">
        <w:t xml:space="preserve"> реализовать рекомендации, которые могут быть представлены для привлечения инвестиций и масштабирования.</w:t>
      </w:r>
    </w:p>
    <w:p w14:paraId="3C5A27C2" w14:textId="7735235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Учебный курс по цифровому регулированию для Африканского региона</w:t>
      </w:r>
      <w:r w:rsidR="006721A7" w:rsidRPr="00DD3ED8">
        <w:t>: БРЭ в сотрудничестве с Саудовской Аравией, Исламским банком развития и FCDO организовал</w:t>
      </w:r>
      <w:r w:rsidR="00F23CFB" w:rsidRPr="00DD3ED8">
        <w:t>о</w:t>
      </w:r>
      <w:r w:rsidR="006721A7" w:rsidRPr="00DD3ED8">
        <w:t xml:space="preserve"> учебный курс по цифровому регулированию для Африки. Этот учебный курс, проведенный при финансовой поддержке Комиссии по связи Нигерии (</w:t>
      </w:r>
      <w:proofErr w:type="spellStart"/>
      <w:r w:rsidR="006721A7" w:rsidRPr="00DD3ED8">
        <w:t>NCC</w:t>
      </w:r>
      <w:proofErr w:type="spellEnd"/>
      <w:r w:rsidR="006721A7" w:rsidRPr="00DD3ED8">
        <w:t>), помог участникам лучше понять процесс развития цифрового регулирования, а также важность совместного управления, гибких регуляторных подходов, механизмов финансирования универсального обслуживания и стратегий обеспечения доступа для всех группа населения. В результате этого курса 44 участника из 15 стран (Буркина-Фасо, Габона, Гамбии, Ганы, Камеруна, Коморских Островов, ДРК, Кот-д'Ивуара, Королевства Лесото, Либерии, Нигерии, Сенегала, Судана, Сьерра-Леоне</w:t>
      </w:r>
      <w:r w:rsidR="00F23CFB" w:rsidRPr="00DD3ED8">
        <w:t xml:space="preserve"> и </w:t>
      </w:r>
      <w:r w:rsidR="006721A7" w:rsidRPr="00DD3ED8">
        <w:t>Того) приобрели передовые знания и навыки в области цифровой политики и регулирования.</w:t>
      </w:r>
    </w:p>
    <w:p w14:paraId="69B41D62" w14:textId="4C9A661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Учет гендерных аспектов в политике в области цифровых технологий</w:t>
      </w:r>
      <w:proofErr w:type="gramStart"/>
      <w:r w:rsidR="006721A7" w:rsidRPr="00DD3ED8">
        <w:t xml:space="preserve">: </w:t>
      </w:r>
      <w:r w:rsidR="00F23CFB" w:rsidRPr="00DD3ED8">
        <w:t>Б</w:t>
      </w:r>
      <w:r w:rsidR="006721A7" w:rsidRPr="00DD3ED8">
        <w:t>ыл</w:t>
      </w:r>
      <w:proofErr w:type="gramEnd"/>
      <w:r w:rsidR="006721A7" w:rsidRPr="00DD3ED8">
        <w:t xml:space="preserve"> организован двухдневный семинар-практикум, посвященный тому, как политика в области цифровых технологий и гендерная проблематика пересекаются между собой в работе соответствующих отраслевых министерств и ведомств. В ходе </w:t>
      </w:r>
      <w:r w:rsidR="00F23CFB" w:rsidRPr="00DD3ED8">
        <w:t>мероприятия</w:t>
      </w:r>
      <w:r w:rsidR="006721A7" w:rsidRPr="00DD3ED8">
        <w:t xml:space="preserve"> были рассмотрены способы принимать во внимание гендерные аспекты в политике в области цифровых технологий. При этом особое внимание было уделено доступу к цифровым </w:t>
      </w:r>
      <w:r w:rsidR="006721A7" w:rsidRPr="00DD3ED8">
        <w:lastRenderedPageBreak/>
        <w:t>технологиям, цифровым навыкам, инфраструктуре и цифровым услугам, которые могут содействовать занятости молодежи. Семинар-практикум был рассчитан на лиц, ответственных за разработку политики (руководителей среднего звена), особенно на представителей министерства, отвечающего за ИКТ, регуляторного органа в сфере ИКТ и других соответствующих учреждений, таких как Министерство торговли, Министерство образования, Министерство финансов, Министерство по делам молодежи и гендерным вопросам, Центральный банк, а также Национальная статистическая служба.</w:t>
      </w:r>
    </w:p>
    <w:p w14:paraId="3DD8259F" w14:textId="5A4BB9A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рамках осуществляемого при поддержке компании Qualcomm проекта по развитию цифровых навыков с целью охватить цифровыми технологиями девушек и молодеж</w:t>
      </w:r>
      <w:r w:rsidR="00F23CFB" w:rsidRPr="00DD3ED8">
        <w:t>ь</w:t>
      </w:r>
      <w:r w:rsidR="006721A7" w:rsidRPr="00DD3ED8">
        <w:t xml:space="preserve"> Африки ведется разработка нового технического контента, который будет использоваться </w:t>
      </w:r>
      <w:r w:rsidR="00F23CFB" w:rsidRPr="00DD3ED8">
        <w:t>на</w:t>
      </w:r>
      <w:r w:rsidR="006721A7" w:rsidRPr="00DD3ED8">
        <w:t xml:space="preserve"> различных учебных платформах, включая </w:t>
      </w:r>
      <w:r w:rsidR="00F23CFB" w:rsidRPr="00DD3ED8">
        <w:t>раздел</w:t>
      </w:r>
      <w:r w:rsidR="006721A7" w:rsidRPr="00DD3ED8">
        <w:t xml:space="preserve"> Академии МСЭ, посвященн</w:t>
      </w:r>
      <w:r w:rsidR="00F23CFB" w:rsidRPr="00DD3ED8">
        <w:t>ый</w:t>
      </w:r>
      <w:r w:rsidR="006721A7" w:rsidRPr="00DD3ED8">
        <w:t xml:space="preserve"> молодежи, и мероприятия "Девушки могут программировать" </w:t>
      </w:r>
      <w:r w:rsidR="003C7C65" w:rsidRPr="00DD3ED8">
        <w:t xml:space="preserve">(“Girls </w:t>
      </w:r>
      <w:proofErr w:type="spellStart"/>
      <w:r w:rsidR="003C7C65" w:rsidRPr="00DD3ED8">
        <w:t>Can</w:t>
      </w:r>
      <w:proofErr w:type="spellEnd"/>
      <w:r w:rsidR="003C7C65" w:rsidRPr="00DD3ED8">
        <w:t xml:space="preserve"> Code”) </w:t>
      </w:r>
      <w:r w:rsidR="006721A7" w:rsidRPr="00DD3ED8">
        <w:t xml:space="preserve">в Африканском регионе. </w:t>
      </w:r>
    </w:p>
    <w:p w14:paraId="2828299E" w14:textId="261E1D14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2024 году </w:t>
      </w:r>
      <w:r w:rsidR="00F23CFB" w:rsidRPr="00DD3ED8">
        <w:t>была активизирована деятельность Коалиции ООН, занимающейся конкретными проблемами и возможностями (</w:t>
      </w:r>
      <w:proofErr w:type="spellStart"/>
      <w:r w:rsidR="00F23CFB" w:rsidRPr="00DD3ED8">
        <w:t>OIBC</w:t>
      </w:r>
      <w:proofErr w:type="spellEnd"/>
      <w:r w:rsidR="00F23CFB" w:rsidRPr="00DD3ED8">
        <w:t xml:space="preserve"> 3) на Африканском континенте </w:t>
      </w:r>
      <w:r w:rsidR="004B49CE" w:rsidRPr="00DD3ED8">
        <w:t xml:space="preserve">и специализирующейся на вопросах </w:t>
      </w:r>
      <w:r w:rsidR="00F23CFB" w:rsidRPr="00DD3ED8">
        <w:t xml:space="preserve">инноваций, цифровизации, молодежи и трансформации образования. </w:t>
      </w:r>
      <w:r w:rsidR="004B49CE" w:rsidRPr="00DD3ED8">
        <w:t>Цель заключается в том, чтобы</w:t>
      </w:r>
      <w:r w:rsidR="006721A7" w:rsidRPr="00DD3ED8">
        <w:t xml:space="preserve"> более эффективно удовлетворя</w:t>
      </w:r>
      <w:r w:rsidR="004B49CE" w:rsidRPr="00DD3ED8">
        <w:t>ть</w:t>
      </w:r>
      <w:r w:rsidR="006721A7" w:rsidRPr="00DD3ED8">
        <w:t xml:space="preserve"> потребност</w:t>
      </w:r>
      <w:r w:rsidR="004B49CE" w:rsidRPr="00DD3ED8">
        <w:t>и</w:t>
      </w:r>
      <w:r w:rsidR="006721A7" w:rsidRPr="00DD3ED8">
        <w:t xml:space="preserve"> Государств-Членов</w:t>
      </w:r>
      <w:r w:rsidR="004B49CE" w:rsidRPr="00DD3ED8">
        <w:t>, действуя сообща и на основе упорядоченного экспертного опыта всех входящих в Коалицию учреждений.</w:t>
      </w:r>
    </w:p>
    <w:p w14:paraId="27D1589C" w14:textId="6C4E40D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качестве вклада в эту региональную инициативу БРЭ организовало </w:t>
      </w:r>
      <w:r w:rsidR="004B49CE" w:rsidRPr="00DD3ED8">
        <w:t xml:space="preserve">по всему региону </w:t>
      </w:r>
      <w:r w:rsidR="006721A7" w:rsidRPr="00DD3ED8">
        <w:t xml:space="preserve">празднование дня "Девушки в ИКТ", в </w:t>
      </w:r>
      <w:r w:rsidR="004B49CE" w:rsidRPr="00DD3ED8">
        <w:t>том числе</w:t>
      </w:r>
      <w:r w:rsidR="006721A7" w:rsidRPr="00DD3ED8">
        <w:t xml:space="preserve"> праздничные мероприятия на национальном уровне </w:t>
      </w:r>
      <w:r w:rsidR="004B49CE" w:rsidRPr="00DD3ED8">
        <w:t xml:space="preserve">— </w:t>
      </w:r>
      <w:r w:rsidR="006721A7" w:rsidRPr="00DD3ED8">
        <w:t>в Зимбабве, Сенегале, Танзании, Уганде, Эфиопии и других странах. Праздничные мероприятия включали в себя обмен опытом и информацией об управленческих вакансиях в секторе ИКТ и за его пределами, а также учебные мероприятия, направленные на развитие и укрепление цифровых навыков среди девушек.</w:t>
      </w:r>
    </w:p>
    <w:p w14:paraId="254113B8" w14:textId="77777777" w:rsidR="006721A7" w:rsidRPr="00DD3ED8" w:rsidRDefault="006721A7" w:rsidP="00CB21A7">
      <w:pPr>
        <w:pStyle w:val="Headingbblue"/>
      </w:pPr>
      <w:proofErr w:type="spellStart"/>
      <w:r w:rsidRPr="00DD3ED8">
        <w:t>AFR2</w:t>
      </w:r>
      <w:proofErr w:type="spellEnd"/>
      <w:r w:rsidRPr="00DD3ED8">
        <w:t>: Внедрение и расширение инфраструктуры широкополосной связи, возможностей установления соединений и появляющихся технологий</w:t>
      </w:r>
    </w:p>
    <w:p w14:paraId="4C9E326A" w14:textId="78A37F6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4B49CE" w:rsidRPr="00DD3ED8">
        <w:t>В течение отчетного</w:t>
      </w:r>
      <w:r w:rsidR="006721A7" w:rsidRPr="00DD3ED8">
        <w:t xml:space="preserve"> период</w:t>
      </w:r>
      <w:r w:rsidR="004B49CE" w:rsidRPr="00DD3ED8">
        <w:t>а</w:t>
      </w:r>
      <w:r w:rsidR="006721A7" w:rsidRPr="00DD3ED8">
        <w:t xml:space="preserve"> БРЭ осуществило проект "Рейтинговое тестирование ИКТ в Центральной Африке". Проект был реализован при финансовой поддержке Европейской комиссии и Фонда развития ИКТ МСЭ и охватил следующие страны: Анголу, Бурунди, Габон, Экваториальную Гвинею, Камерун, Демократическую Республику Конго, Конго (Республику), Руанду, Сан-Томе и Принсипи, Центральноафриканскую Республику</w:t>
      </w:r>
      <w:r w:rsidR="004B49CE" w:rsidRPr="00DD3ED8">
        <w:t xml:space="preserve"> и </w:t>
      </w:r>
      <w:r w:rsidR="006721A7" w:rsidRPr="00DD3ED8">
        <w:t>Чад. Полученные данные будут использованы при разработке рекомендаций и программ по созданию потенциала, адаптированных к потребностям и приоритетам стран.</w:t>
      </w:r>
    </w:p>
    <w:p w14:paraId="6C00EBAA" w14:textId="335AD3D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2024 году в сотрудничестве с Бюро радиосвязи МСЭ в Аддис-Абебе, Эфиопия, БРЭ провело семинар-практикум по национальным таблицам распределения частот (</w:t>
      </w:r>
      <w:proofErr w:type="spellStart"/>
      <w:r w:rsidR="006721A7" w:rsidRPr="00DD3ED8">
        <w:t>NTFA</w:t>
      </w:r>
      <w:proofErr w:type="spellEnd"/>
      <w:r w:rsidR="006721A7" w:rsidRPr="00DD3ED8">
        <w:t xml:space="preserve">) для Африки, в ходе которого </w:t>
      </w:r>
      <w:proofErr w:type="spellStart"/>
      <w:r w:rsidR="006721A7" w:rsidRPr="00DD3ED8">
        <w:t>NTFA</w:t>
      </w:r>
      <w:proofErr w:type="spellEnd"/>
      <w:r w:rsidR="006721A7" w:rsidRPr="00DD3ED8">
        <w:t xml:space="preserve"> были обновлены и приведены в соответствие с результатами ВКР-23.</w:t>
      </w:r>
    </w:p>
    <w:p w14:paraId="7A5DCCD2" w14:textId="3E7E38C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рамках сотрудничества МСЭ и ООН в области цифровой инфраструктуры общего пользования БРЭ руководило разработкой концептуального проекта по развитию инфраструктуры общего пользования в Африке и внесло свой вклад в эту работу. Эта инициатива, возглавляемая МСЭ, Канцелярией Специального советника ООН по Африке, Канцелярией Посланника Генерального секретаря ООН по технологиям, Экономической комиссией ООН для Африки и Комиссией Африканского союза, направлена на поддержку Африканского союза и его государств-членов.</w:t>
      </w:r>
    </w:p>
    <w:p w14:paraId="7B877C10" w14:textId="0B54D0F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в сотрудничестве с Панафриканским союзом электросвязи (</w:t>
      </w:r>
      <w:proofErr w:type="spellStart"/>
      <w:r w:rsidR="006721A7" w:rsidRPr="00DD3ED8">
        <w:t>ПАСЭ</w:t>
      </w:r>
      <w:proofErr w:type="spellEnd"/>
      <w:r w:rsidR="006721A7" w:rsidRPr="00DD3ED8">
        <w:t>) провело вебинар по инициативе "Раннее предупреждение для всех" (</w:t>
      </w:r>
      <w:proofErr w:type="spellStart"/>
      <w:r w:rsidR="006721A7" w:rsidRPr="00DD3ED8">
        <w:t>EW4ALL</w:t>
      </w:r>
      <w:proofErr w:type="spellEnd"/>
      <w:r w:rsidR="006721A7" w:rsidRPr="00DD3ED8">
        <w:t xml:space="preserve">), благодаря которому Государства-Члены стали лучше осведомлены об </w:t>
      </w:r>
      <w:proofErr w:type="spellStart"/>
      <w:r w:rsidR="006721A7" w:rsidRPr="00DD3ED8">
        <w:t>EW4All</w:t>
      </w:r>
      <w:proofErr w:type="spellEnd"/>
      <w:r w:rsidR="006721A7" w:rsidRPr="00DD3ED8">
        <w:t xml:space="preserve"> и углубили свое понимание</w:t>
      </w:r>
      <w:r w:rsidR="004B49CE" w:rsidRPr="00DD3ED8">
        <w:t xml:space="preserve"> </w:t>
      </w:r>
      <w:r w:rsidR="006721A7" w:rsidRPr="00DD3ED8">
        <w:lastRenderedPageBreak/>
        <w:t>направления 3</w:t>
      </w:r>
      <w:r w:rsidR="004B49CE" w:rsidRPr="00DD3ED8">
        <w:t xml:space="preserve"> этой инициативы</w:t>
      </w:r>
      <w:r w:rsidR="006721A7" w:rsidRPr="00DD3ED8">
        <w:t xml:space="preserve">. Кроме того, в ходе вебинара участники получили знания и навыки, необходимые для успешного внедрения систем раннего </w:t>
      </w:r>
      <w:r w:rsidR="007C30E0" w:rsidRPr="00DD3ED8">
        <w:t>предупреждения</w:t>
      </w:r>
      <w:r w:rsidR="006721A7" w:rsidRPr="00DD3ED8">
        <w:t xml:space="preserve">. </w:t>
      </w:r>
    </w:p>
    <w:p w14:paraId="17AF61AF" w14:textId="4FE1165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сотрудничестве с национальными координаторами был проведен анализ пробелов по направлению 3, который помог разработать </w:t>
      </w:r>
      <w:r w:rsidR="004B49CE" w:rsidRPr="00DD3ED8">
        <w:t xml:space="preserve">национальные дорожные карты </w:t>
      </w:r>
      <w:r w:rsidR="006721A7" w:rsidRPr="00DD3ED8">
        <w:t xml:space="preserve">в ходе семинаров-практикумов, прошедших </w:t>
      </w:r>
      <w:r w:rsidR="004B49CE" w:rsidRPr="00DD3ED8">
        <w:t xml:space="preserve">в июле и августе </w:t>
      </w:r>
      <w:r w:rsidR="006721A7" w:rsidRPr="00DD3ED8">
        <w:t>в Либерии, на Сейшельских Островах, в Мозамбике и Южно-Африканской Республике. БРЭ в сотрудничестве с САДК провел</w:t>
      </w:r>
      <w:r w:rsidR="004B49CE" w:rsidRPr="00DD3ED8">
        <w:t>о</w:t>
      </w:r>
      <w:r w:rsidR="006721A7" w:rsidRPr="00DD3ED8">
        <w:t xml:space="preserve"> семинар-практикум на тему "Модель NETP САДК: реализация и осведомленность об инициативе </w:t>
      </w:r>
      <w:proofErr w:type="spellStart"/>
      <w:r w:rsidR="006721A7" w:rsidRPr="00DD3ED8">
        <w:t>EW4ALL</w:t>
      </w:r>
      <w:proofErr w:type="spellEnd"/>
      <w:r w:rsidR="006721A7" w:rsidRPr="00DD3ED8">
        <w:t xml:space="preserve">". </w:t>
      </w:r>
      <w:r w:rsidR="00927C12" w:rsidRPr="00DD3ED8">
        <w:t xml:space="preserve">Для Ботсваны, Гамбии, Гвинеи-Бисау, Замбии, Кабо-Верде, Малави и Сейшельских Островов были разработаны национальные планы электросвязи в чрезвычайных ситуациях (NETP), </w:t>
      </w:r>
      <w:r w:rsidR="006721A7" w:rsidRPr="00DD3ED8">
        <w:t>призванные укрепить потенциал Государств-Членов в обеспечени</w:t>
      </w:r>
      <w:r w:rsidR="00927C12" w:rsidRPr="00DD3ED8">
        <w:t>и</w:t>
      </w:r>
      <w:r w:rsidR="006721A7" w:rsidRPr="00DD3ED8">
        <w:t xml:space="preserve"> готовности электросвязи к чрезвычайным ситуациям. </w:t>
      </w:r>
    </w:p>
    <w:p w14:paraId="3E433165" w14:textId="350CD6D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ноябре 2024 года </w:t>
      </w:r>
      <w:r w:rsidR="00927C12" w:rsidRPr="00DD3ED8">
        <w:t xml:space="preserve">в рамках мероприятий по укреплению потенциала </w:t>
      </w:r>
      <w:r w:rsidR="006721A7" w:rsidRPr="00DD3ED8">
        <w:t>БРЭ организовал</w:t>
      </w:r>
      <w:r w:rsidR="00927C12" w:rsidRPr="00DD3ED8">
        <w:t>о</w:t>
      </w:r>
      <w:r w:rsidR="006721A7" w:rsidRPr="00DD3ED8">
        <w:t xml:space="preserve"> </w:t>
      </w:r>
      <w:r w:rsidR="00927C12" w:rsidRPr="00DD3ED8">
        <w:t xml:space="preserve">для стран Западной Африки </w:t>
      </w:r>
      <w:r w:rsidR="006721A7" w:rsidRPr="00DD3ED8">
        <w:t>онлайновый семинар-практикум, посвященный ситуационному анализу NETP. В результате этого учебного мероприятия участники получили знания и навыки, необходимые для работы с электросвязью в чрезвычайных ситуациях, и углубили понимание NETP. В качестве целевых заинтересованных сторон для участия в семинаре-практикуме были приглашены представители министерств электросвязи/ИКТ, регуляторных органов, министерств внутренних дел, пожарных команд, обществ Красного Креста и т.</w:t>
      </w:r>
      <w:r w:rsidR="00B15C6B">
        <w:t> </w:t>
      </w:r>
      <w:r w:rsidR="006721A7" w:rsidRPr="00DD3ED8">
        <w:t>д.</w:t>
      </w:r>
    </w:p>
    <w:p w14:paraId="32CAB9B9" w14:textId="2D7CE5C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в партнерстве с АСЭ организовало семинар-практикум по спутниковым ресурсам для государств-членов АСЭ в Найроби</w:t>
      </w:r>
      <w:r w:rsidR="002F7A6B" w:rsidRPr="00DD3ED8">
        <w:t xml:space="preserve"> (</w:t>
      </w:r>
      <w:r w:rsidR="006721A7" w:rsidRPr="00DD3ED8">
        <w:t>Кения</w:t>
      </w:r>
      <w:r w:rsidR="002F7A6B" w:rsidRPr="00DD3ED8">
        <w:t>)</w:t>
      </w:r>
      <w:r w:rsidR="006721A7" w:rsidRPr="00DD3ED8">
        <w:t>.</w:t>
      </w:r>
    </w:p>
    <w:p w14:paraId="2643B35E" w14:textId="2B87C36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МСЭ приступил к осуществлению проекта "Африканские системы картирования широкополосной связи", нацеленного на оказание странам помощи в создании и совершенствовании систем картирования инфраструктуры в интересах стимулирования инвестиций и цифровой трансформации в Африке. Проект, бюджет которого составляет 15</w:t>
      </w:r>
      <w:r w:rsidR="00927C12" w:rsidRPr="00DD3ED8">
        <w:t> </w:t>
      </w:r>
      <w:proofErr w:type="gramStart"/>
      <w:r w:rsidR="006721A7" w:rsidRPr="00DD3ED8">
        <w:t>млн</w:t>
      </w:r>
      <w:r w:rsidR="00927C12" w:rsidRPr="00DD3ED8">
        <w:t>.</w:t>
      </w:r>
      <w:proofErr w:type="gramEnd"/>
      <w:r w:rsidR="006721A7" w:rsidRPr="00DD3ED8">
        <w:t xml:space="preserve"> евро и рассчитан на четыре года, на первоначальном этапе охватит 11 стран: Бенин, Ботсвану, Бурунди, Замбию, Зимбабве, Кению, Кот-д'Ивуар, Малави, Нигерию, Уганду и Эфиопию. О начале реализации проекта было объявлено во время Глобального симпозиума по регуляторным вопросам, который </w:t>
      </w:r>
      <w:r w:rsidR="00927C12" w:rsidRPr="00DD3ED8">
        <w:t>состоялся</w:t>
      </w:r>
      <w:r w:rsidR="006721A7" w:rsidRPr="00DD3ED8">
        <w:t xml:space="preserve"> в Уганде 1–4 июля 2024 года. 30 января 2025 года 11 стран-бенефициаров провели первое виртуальное собрание, на котором обсуждались основные задачи проекта. 26–27 марта 2025</w:t>
      </w:r>
      <w:r w:rsidR="002F7A6B" w:rsidRPr="00DD3ED8">
        <w:t> </w:t>
      </w:r>
      <w:r w:rsidR="006721A7" w:rsidRPr="00DD3ED8">
        <w:t xml:space="preserve">года состоялось стартовое собрание, которое было посвящено реализации предусмотренных проектом мероприятий. На нем было рассмотрено текущее состояние картирования инфраструктуры </w:t>
      </w:r>
      <w:r w:rsidR="00927C12" w:rsidRPr="00DD3ED8">
        <w:t xml:space="preserve">в </w:t>
      </w:r>
      <w:r w:rsidR="006721A7" w:rsidRPr="00DD3ED8">
        <w:t>стран</w:t>
      </w:r>
      <w:r w:rsidR="00927C12" w:rsidRPr="00DD3ED8">
        <w:t>ах</w:t>
      </w:r>
      <w:r w:rsidR="006721A7" w:rsidRPr="00DD3ED8">
        <w:t>-бенефициар</w:t>
      </w:r>
      <w:r w:rsidR="00927C12" w:rsidRPr="00DD3ED8">
        <w:t>ах</w:t>
      </w:r>
      <w:r w:rsidR="006721A7" w:rsidRPr="00DD3ED8">
        <w:t xml:space="preserve"> и определены дальнейшие шаги для каждой из них. </w:t>
      </w:r>
    </w:p>
    <w:p w14:paraId="0E44E9BA" w14:textId="12613F6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рамках проекта "Инициатива в области политики и регулирования для цифровой Африки" (PRIDA) МСЭ проводил обширные технические исследования, организовывал семинары-практикумы по созданию потенциала и оказывал Государствам-Членам техническую помощь. К числу основных достижений за рассматриваемый период относятся подписанное 46</w:t>
      </w:r>
      <w:r w:rsidR="00927C12" w:rsidRPr="00DD3ED8">
        <w:t> </w:t>
      </w:r>
      <w:r w:rsidR="006721A7" w:rsidRPr="00DD3ED8">
        <w:t xml:space="preserve">странами соглашение по согласованному методу расчета для Африки (HCM4A) и завершение разработки </w:t>
      </w:r>
      <w:r w:rsidR="00927C12" w:rsidRPr="00DD3ED8">
        <w:t xml:space="preserve">в рамках HCM4A </w:t>
      </w:r>
      <w:r w:rsidR="006721A7" w:rsidRPr="00DD3ED8">
        <w:t xml:space="preserve">программного обеспечения и </w:t>
      </w:r>
      <w:r w:rsidR="00927C12" w:rsidRPr="00DD3ED8">
        <w:t>программы обучения</w:t>
      </w:r>
      <w:r w:rsidR="006721A7" w:rsidRPr="00DD3ED8">
        <w:t xml:space="preserve">. </w:t>
      </w:r>
    </w:p>
    <w:p w14:paraId="04C7507A" w14:textId="77777777" w:rsidR="006721A7" w:rsidRPr="00DD3ED8" w:rsidRDefault="006721A7" w:rsidP="00CB21A7">
      <w:pPr>
        <w:pStyle w:val="Headingbblue"/>
      </w:pPr>
      <w:proofErr w:type="spellStart"/>
      <w:r w:rsidRPr="00DD3ED8">
        <w:t>AFR3</w:t>
      </w:r>
      <w:proofErr w:type="spellEnd"/>
      <w:r w:rsidRPr="00DD3ED8">
        <w:t>: Укрепление доверия, безопасности и защищенности при использовании электросвязи/информационно-коммуникационных технологий и защита личных данных</w:t>
      </w:r>
    </w:p>
    <w:p w14:paraId="6D670BDE" w14:textId="1E4D7A7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провело оценку национального уровня готовности для Группы реагирования на компьютерные инциденты (CIRT) Сейшельских Островов.</w:t>
      </w:r>
    </w:p>
    <w:p w14:paraId="253F42A7" w14:textId="1D5FACE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БРЭ оказало содействие в проведении кабинетных учений для экосистемы кибербезопасности Лесото. Мероприятие способствовало формированию у ключевых </w:t>
      </w:r>
      <w:r w:rsidR="006721A7" w:rsidRPr="00DD3ED8">
        <w:lastRenderedPageBreak/>
        <w:t>заинтересованных сторон на национальном уровне стратегического подхода к управлению кибербезопасностью, а также выполнению задач Национальной стратегии кибербезопасности Лесото.</w:t>
      </w:r>
    </w:p>
    <w:p w14:paraId="06ECD604" w14:textId="7A79D27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E711E5" w:rsidRPr="00DD3ED8">
        <w:t>В</w:t>
      </w:r>
      <w:r w:rsidR="006721A7" w:rsidRPr="00DD3ED8">
        <w:t xml:space="preserve"> сотрудничестве с Управлением по кибербезопасности Ганы </w:t>
      </w:r>
      <w:r w:rsidR="00E711E5" w:rsidRPr="00DD3ED8">
        <w:t xml:space="preserve">БРЭ </w:t>
      </w:r>
      <w:r w:rsidR="006721A7" w:rsidRPr="00DD3ED8">
        <w:t>организовало в Аккре региональн</w:t>
      </w:r>
      <w:r w:rsidR="00E711E5" w:rsidRPr="00DD3ED8">
        <w:t>ое</w:t>
      </w:r>
      <w:r w:rsidR="006721A7" w:rsidRPr="00DD3ED8">
        <w:t xml:space="preserve"> "</w:t>
      </w:r>
      <w:r w:rsidR="00E711E5" w:rsidRPr="00DD3ED8">
        <w:rPr>
          <w:rFonts w:asciiTheme="minorHAnsi" w:hAnsiTheme="minorHAnsi" w:cstheme="minorHAnsi"/>
          <w:color w:val="000000"/>
          <w:szCs w:val="22"/>
          <w:shd w:val="clear" w:color="auto" w:fill="FFFFFF"/>
        </w:rPr>
        <w:t>Тренировочное занятие по кибербезопасности</w:t>
      </w:r>
      <w:r w:rsidR="00E711E5" w:rsidRPr="00DD3ED8">
        <w:t xml:space="preserve"> </w:t>
      </w:r>
      <w:r w:rsidR="006721A7" w:rsidRPr="00DD3ED8">
        <w:t xml:space="preserve">для Африки". Мероприятие было нацелено на укрепление потенциала участвующих команд в области коммуникации и реагирования на инциденты, а также налаживание сотрудничества для борьбы с киберугрозами. Более 150 </w:t>
      </w:r>
      <w:r w:rsidR="00063D18" w:rsidRPr="00DD3ED8">
        <w:t>участников</w:t>
      </w:r>
      <w:r w:rsidR="006721A7" w:rsidRPr="00DD3ED8">
        <w:t xml:space="preserve"> из 29 африканских стран </w:t>
      </w:r>
      <w:r w:rsidR="00063D18" w:rsidRPr="00DD3ED8">
        <w:t xml:space="preserve">присоединились к </w:t>
      </w:r>
      <w:r w:rsidR="006721A7" w:rsidRPr="00DD3ED8">
        <w:t>однодневно</w:t>
      </w:r>
      <w:r w:rsidR="00063D18" w:rsidRPr="00DD3ED8">
        <w:t>й сессии</w:t>
      </w:r>
      <w:r w:rsidR="006721A7" w:rsidRPr="00DD3ED8">
        <w:t xml:space="preserve">, </w:t>
      </w:r>
      <w:r w:rsidR="00063D18" w:rsidRPr="00DD3ED8">
        <w:t>организованной для</w:t>
      </w:r>
      <w:r w:rsidR="006721A7" w:rsidRPr="00DD3ED8">
        <w:t xml:space="preserve"> обмен</w:t>
      </w:r>
      <w:r w:rsidR="00063D18" w:rsidRPr="00DD3ED8">
        <w:t>а</w:t>
      </w:r>
      <w:r w:rsidR="006721A7" w:rsidRPr="00DD3ED8">
        <w:t xml:space="preserve"> опытом и передовой практикой.</w:t>
      </w:r>
    </w:p>
    <w:p w14:paraId="46DB06A8" w14:textId="7A434F14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2024 году Лаборатория безопасности цифровых финансовых услуг (</w:t>
      </w:r>
      <w:proofErr w:type="spellStart"/>
      <w:r w:rsidR="006721A7" w:rsidRPr="00DD3ED8">
        <w:t>ЦФУ</w:t>
      </w:r>
      <w:proofErr w:type="spellEnd"/>
      <w:r w:rsidR="006721A7" w:rsidRPr="00DD3ED8">
        <w:t>) МСЭ в сотрудничестве с ключевыми заинтересованными сторонами организовала в Лесото, Малави и Эфиопии практикумы по безопасности цифровых финансовых услуг (</w:t>
      </w:r>
      <w:proofErr w:type="spellStart"/>
      <w:r w:rsidR="006721A7" w:rsidRPr="00DD3ED8">
        <w:t>ЦФУ</w:t>
      </w:r>
      <w:proofErr w:type="spellEnd"/>
      <w:r w:rsidR="00063D18" w:rsidRPr="00DD3ED8">
        <w:t>), в рамках которых</w:t>
      </w:r>
      <w:r w:rsidR="006721A7" w:rsidRPr="00DD3ED8">
        <w:t xml:space="preserve"> регуляторны</w:t>
      </w:r>
      <w:r w:rsidR="00063D18" w:rsidRPr="00DD3ED8">
        <w:t>е</w:t>
      </w:r>
      <w:r w:rsidR="006721A7" w:rsidRPr="00DD3ED8">
        <w:t xml:space="preserve"> орган</w:t>
      </w:r>
      <w:r w:rsidR="00063D18" w:rsidRPr="00DD3ED8">
        <w:t>ы</w:t>
      </w:r>
      <w:r w:rsidR="006721A7" w:rsidRPr="00DD3ED8">
        <w:t xml:space="preserve"> и поставщик</w:t>
      </w:r>
      <w:r w:rsidR="00063D18" w:rsidRPr="00DD3ED8">
        <w:t>и</w:t>
      </w:r>
      <w:r w:rsidR="006721A7" w:rsidRPr="00DD3ED8">
        <w:t xml:space="preserve"> </w:t>
      </w:r>
      <w:proofErr w:type="spellStart"/>
      <w:r w:rsidR="006721A7" w:rsidRPr="00DD3ED8">
        <w:t>ЦФУ</w:t>
      </w:r>
      <w:proofErr w:type="spellEnd"/>
      <w:r w:rsidR="00063D18" w:rsidRPr="00DD3ED8">
        <w:t xml:space="preserve"> получили</w:t>
      </w:r>
      <w:r w:rsidR="006721A7" w:rsidRPr="00DD3ED8">
        <w:t xml:space="preserve"> рекомендаци</w:t>
      </w:r>
      <w:r w:rsidR="00063D18" w:rsidRPr="00DD3ED8">
        <w:t>и</w:t>
      </w:r>
      <w:r w:rsidR="006721A7" w:rsidRPr="00DD3ED8">
        <w:t xml:space="preserve"> по управлению безопасностью цифровых финансовых систем. </w:t>
      </w:r>
      <w:r w:rsidR="00063D18" w:rsidRPr="00DD3ED8">
        <w:t>У</w:t>
      </w:r>
      <w:r w:rsidR="006721A7" w:rsidRPr="00DD3ED8">
        <w:t xml:space="preserve">частники </w:t>
      </w:r>
      <w:r w:rsidR="00063D18" w:rsidRPr="00DD3ED8">
        <w:t xml:space="preserve">практикумов </w:t>
      </w:r>
      <w:r w:rsidR="006721A7" w:rsidRPr="00DD3ED8">
        <w:t>получили знания, необходимые для выполнени</w:t>
      </w:r>
      <w:r w:rsidR="00701AED">
        <w:t>я</w:t>
      </w:r>
      <w:r w:rsidR="006721A7" w:rsidRPr="00DD3ED8">
        <w:t xml:space="preserve"> рекомендаций по безопасности </w:t>
      </w:r>
      <w:proofErr w:type="spellStart"/>
      <w:r w:rsidR="006721A7" w:rsidRPr="00DD3ED8">
        <w:t>ЦФУ</w:t>
      </w:r>
      <w:proofErr w:type="spellEnd"/>
      <w:r w:rsidR="006721A7" w:rsidRPr="00DD3ED8">
        <w:t xml:space="preserve">, разработанных МСЭ в </w:t>
      </w:r>
      <w:r w:rsidR="00063D18" w:rsidRPr="00DD3ED8">
        <w:t>контексте</w:t>
      </w:r>
      <w:r w:rsidR="006721A7" w:rsidRPr="00DD3ED8">
        <w:t xml:space="preserve"> Глобальной инициативы по охвату финансовыми услугами (FIGI). Помимо </w:t>
      </w:r>
      <w:r w:rsidR="00063D18" w:rsidRPr="00DD3ED8">
        <w:t>э</w:t>
      </w:r>
      <w:r w:rsidR="006721A7" w:rsidRPr="00DD3ED8">
        <w:t xml:space="preserve">того, Лаборатория безопасности </w:t>
      </w:r>
      <w:proofErr w:type="spellStart"/>
      <w:r w:rsidR="006721A7" w:rsidRPr="00DD3ED8">
        <w:t>ЦФУ</w:t>
      </w:r>
      <w:proofErr w:type="spellEnd"/>
      <w:r w:rsidR="006721A7" w:rsidRPr="00DD3ED8">
        <w:t xml:space="preserve"> организовала программу передачи знаний для содействия проведению аудитов безопасности приложений </w:t>
      </w:r>
      <w:proofErr w:type="spellStart"/>
      <w:r w:rsidR="006721A7" w:rsidRPr="00DD3ED8">
        <w:t>ЦФУ</w:t>
      </w:r>
      <w:proofErr w:type="spellEnd"/>
      <w:r w:rsidR="006721A7" w:rsidRPr="00DD3ED8">
        <w:t>, а также обучение основным компетенциям в области информирования потребителей в целях укрепления доверия и уверенности при использовании цифровых финансовых услуг.</w:t>
      </w:r>
    </w:p>
    <w:p w14:paraId="5B9B4581" w14:textId="2BF57D6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декабре 2024 года БРЭ организовало онлайновый семинар-практикум </w:t>
      </w:r>
      <w:r w:rsidR="009F4CB7" w:rsidRPr="00DD3ED8">
        <w:t>для укрепления потенциала парламентариев стран Западной Африки по вопросам законодательства в области ИКТ</w:t>
      </w:r>
      <w:r w:rsidR="006721A7" w:rsidRPr="00DD3ED8">
        <w:t xml:space="preserve">. </w:t>
      </w:r>
      <w:r w:rsidR="009F4CB7" w:rsidRPr="00DD3ED8">
        <w:t>Этот учебный</w:t>
      </w:r>
      <w:r w:rsidR="006721A7" w:rsidRPr="00DD3ED8">
        <w:t xml:space="preserve"> семинар-практикум </w:t>
      </w:r>
      <w:r w:rsidR="009F4CB7" w:rsidRPr="00DD3ED8">
        <w:t>способствовал повышению информированности</w:t>
      </w:r>
      <w:r w:rsidR="006721A7" w:rsidRPr="00DD3ED8">
        <w:t xml:space="preserve"> о проблемах и возможностях, связанных с развитием ИКТ. Были рассмотрены такие темы, как законодательство для киберпространства, способность </w:t>
      </w:r>
      <w:proofErr w:type="spellStart"/>
      <w:r w:rsidR="006721A7" w:rsidRPr="00DD3ED8">
        <w:t>киберсистем</w:t>
      </w:r>
      <w:proofErr w:type="spellEnd"/>
      <w:r w:rsidR="006721A7" w:rsidRPr="00DD3ED8">
        <w:t xml:space="preserve"> к восстановлению, охват цифровыми технологиями, цифровой суверенитет, электронные услуги и появляющиеся технологии, а также усиление роли и расширение участия парламентариев из стран Западной Африки не только в разработке и принятии национальной и субрегиональной политики в области ИКТ, но и в принятии законопроектов и их применении на местах для создания благоприятной среды, способствующей внедрению ИКТ в странах Западной Африки. </w:t>
      </w:r>
    </w:p>
    <w:p w14:paraId="6EC643F8" w14:textId="77777777" w:rsidR="006721A7" w:rsidRPr="00DD3ED8" w:rsidRDefault="006721A7" w:rsidP="00CB21A7">
      <w:pPr>
        <w:pStyle w:val="Headingbblue"/>
      </w:pPr>
      <w:proofErr w:type="spellStart"/>
      <w:r w:rsidRPr="00DD3ED8">
        <w:t>AFR4</w:t>
      </w:r>
      <w:proofErr w:type="spellEnd"/>
      <w:r w:rsidRPr="00DD3ED8">
        <w:t>: Содействие развитию появляющихся технологий и экосистем инноваций</w:t>
      </w:r>
    </w:p>
    <w:p w14:paraId="472A86B1" w14:textId="1D291C9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проекта «Закладывая основы для </w:t>
      </w:r>
      <w:proofErr w:type="spellStart"/>
      <w:r w:rsidR="006721A7" w:rsidRPr="00DD3ED8">
        <w:t>VaMoz</w:t>
      </w:r>
      <w:proofErr w:type="spellEnd"/>
      <w:r w:rsidR="006721A7" w:rsidRPr="00DD3ED8">
        <w:t xml:space="preserve"> Digital!» в Мозамбике в 2025 году был подготовлен Национальный профиль цифровых инноваций для Мозамбика. В рамках более широкой работы по проекту была также проведена оценка национальной среды цифровой трансформации </w:t>
      </w:r>
      <w:r w:rsidR="007C30E0" w:rsidRPr="00DD3ED8">
        <w:t>в целях</w:t>
      </w:r>
      <w:r w:rsidR="006721A7" w:rsidRPr="00DD3ED8">
        <w:t xml:space="preserve"> сбора информации, которая ляжет в основу последующих мер в соответствии с планом работы по проекту. </w:t>
      </w:r>
    </w:p>
    <w:p w14:paraId="0F2DD58C" w14:textId="5EE45037" w:rsidR="006721A7" w:rsidRPr="00DD3ED8" w:rsidRDefault="00CB21A7" w:rsidP="00CB21A7">
      <w:pPr>
        <w:pStyle w:val="Headingbblue"/>
      </w:pPr>
      <w:r w:rsidRPr="00DD3ED8">
        <w:t>СЕВЕРНАЯ И ЮЖНАЯ АМЕРИКА</w:t>
      </w:r>
    </w:p>
    <w:p w14:paraId="6C661A92" w14:textId="6DE48B0D" w:rsidR="006721A7" w:rsidRPr="00DD3ED8" w:rsidRDefault="006721A7" w:rsidP="006721A7">
      <w:pPr>
        <w:rPr>
          <w:b/>
          <w:bCs/>
        </w:rPr>
      </w:pPr>
      <w:r w:rsidRPr="00DD3ED8">
        <w:rPr>
          <w:b/>
          <w:bCs/>
        </w:rPr>
        <w:t>Региональное отделение для Северной и Южной Америки продолжает поддерживать Государства-Члены путем осуществления различных инициатив и проектов в регионе, направленных на развертывание инфраструктуры ИКТ, расширение охвата цифровыми технологиями и инновациями, ускорение цифровых преобразований и разработку цифровых регламентов.</w:t>
      </w:r>
      <w:r w:rsidRPr="00DD3ED8">
        <w:t xml:space="preserve"> </w:t>
      </w:r>
      <w:r w:rsidRPr="00DD3ED8">
        <w:rPr>
          <w:b/>
          <w:bCs/>
        </w:rPr>
        <w:t>Эти усилия согласуются с четырьмя региональными инициативами, изложенными в Кигалийском плане действий (КПД).</w:t>
      </w:r>
      <w:r w:rsidRPr="00DD3ED8">
        <w:t xml:space="preserve"> </w:t>
      </w:r>
      <w:r w:rsidR="007C30E0" w:rsidRPr="00DD3ED8">
        <w:rPr>
          <w:b/>
          <w:bCs/>
        </w:rPr>
        <w:t>Ниже приведены ключевые итоги деятельности и достижения в рамках каждой из региональных инициатив</w:t>
      </w:r>
      <w:r w:rsidR="00B15C6B" w:rsidRPr="00B15C6B">
        <w:rPr>
          <w:b/>
          <w:bCs/>
        </w:rPr>
        <w:t>.</w:t>
      </w:r>
    </w:p>
    <w:p w14:paraId="24165484" w14:textId="77777777" w:rsidR="006721A7" w:rsidRPr="00DD3ED8" w:rsidRDefault="006721A7" w:rsidP="00CB21A7">
      <w:pPr>
        <w:pStyle w:val="Headingbblue"/>
      </w:pPr>
      <w:proofErr w:type="spellStart"/>
      <w:r w:rsidRPr="00DD3ED8">
        <w:lastRenderedPageBreak/>
        <w:t>AMS1</w:t>
      </w:r>
      <w:proofErr w:type="spellEnd"/>
      <w:r w:rsidRPr="00DD3ED8">
        <w:t>: 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</w:t>
      </w:r>
    </w:p>
    <w:p w14:paraId="07B52100" w14:textId="263A75C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2024 году в рамках соглашения о сотрудничестве, подписанного в 2023 году и направленного на поддержку реализации региональных инициатив, в партнерстве с компанией Huawei было проведено исследование по теме "Фиксированная широкополосная связь для развития ИКТ в Латинской Америке".</w:t>
      </w:r>
    </w:p>
    <w:p w14:paraId="4ABFB6B2" w14:textId="2BC652B4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Уругвае состоялся первый практический семинар-практикум по картированию, анализу и планированию инфраструктуры ИКТ. В целях совершенствования цифровой инфраструктуры страны и расширения возможностей установления соединений была разработана и внедрена система картирования широкополосной связи.</w:t>
      </w:r>
    </w:p>
    <w:p w14:paraId="37D09F42" w14:textId="725F885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марте 2025 года в Санто-Доминго прошел семинар-практикум по картированию, анализу и планированию цифровой/ИКТ инфраструктуры. В ходе семинара-практикума участники приобрели теоретические и практические навыки по сбору и анализу данных об инфраструктуре электросвязи, определению районов, обслуживаемых в недостаточной степени, и применению инструментов географических информационных систем (ГИС). Семинар-практикум позволил укрепить на национальном уровне потенциал по созданию системы картирования инфраструктуры в масштабах всей страны. </w:t>
      </w:r>
    </w:p>
    <w:p w14:paraId="597A8396" w14:textId="73B752F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июле 2024 года МСЭ и </w:t>
      </w:r>
      <w:proofErr w:type="spellStart"/>
      <w:r w:rsidR="006721A7" w:rsidRPr="00DD3ED8">
        <w:t>MINTIC</w:t>
      </w:r>
      <w:proofErr w:type="spellEnd"/>
      <w:r w:rsidR="006721A7" w:rsidRPr="00DD3ED8">
        <w:t xml:space="preserve"> Колумбии подписали соглашение о новом проекте в области цифрового наземного телевидения (ЦНТ) и универсального обслуживания. Проект способствует достижению следующих целей: 1) свести к минимуму последствия временных отключений цифровых технологий для уязвимых групп населения Колумбии; 2) укрепить доступ и универсальное обслуживание в контексте телевидения. Основная цель этого проекта заключается в том, чтобы оказать поддержку стране в обновлении Генерального плана прекращения аналогового телевизионного вещания и способствовать обеспечению универсального доступа к цифровому телевидению. В ноябре 2024 года в Гайане прошла национальная консультация по </w:t>
      </w:r>
      <w:proofErr w:type="spellStart"/>
      <w:r w:rsidR="006721A7" w:rsidRPr="00DD3ED8">
        <w:t>EW4ALL</w:t>
      </w:r>
      <w:proofErr w:type="spellEnd"/>
      <w:r w:rsidR="006721A7" w:rsidRPr="00DD3ED8">
        <w:t>. Был проведен анализ пробелов в системах заблаговременных предупреждений о многих опасных явлениях (</w:t>
      </w:r>
      <w:proofErr w:type="spellStart"/>
      <w:r w:rsidR="006721A7" w:rsidRPr="00DD3ED8">
        <w:t>MHEWS</w:t>
      </w:r>
      <w:proofErr w:type="spellEnd"/>
      <w:r w:rsidR="006721A7" w:rsidRPr="00DD3ED8">
        <w:t>) и разработаны или реализованы планы внедрения этих систем в странах-бенефициарах.</w:t>
      </w:r>
    </w:p>
    <w:p w14:paraId="4C16FED0" w14:textId="014327C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марте 2025 года Эквадор и Гватемала утвердили план реализации </w:t>
      </w:r>
      <w:r w:rsidR="00BE47B4" w:rsidRPr="00DD3ED8">
        <w:t>направления</w:t>
      </w:r>
      <w:r w:rsidR="006721A7" w:rsidRPr="00DD3ED8">
        <w:t xml:space="preserve"> 3 (Электросвязь) инициативы </w:t>
      </w:r>
      <w:proofErr w:type="spellStart"/>
      <w:r w:rsidR="006721A7" w:rsidRPr="00DD3ED8">
        <w:t>EW4ALL</w:t>
      </w:r>
      <w:proofErr w:type="spellEnd"/>
      <w:r w:rsidR="006721A7" w:rsidRPr="00DD3ED8">
        <w:t>.</w:t>
      </w:r>
    </w:p>
    <w:p w14:paraId="293A4BEE" w14:textId="0859DD0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октябре 2024 года состоялся семинар-практикум по обеспечению готовности электросвязи в чрезвычайных ситуациях для стран Карибского бассейна, организованный МСЭ и Тематическим блоком по вопросам электросвязи в чрезвычайных ситуациях (ETC). Семинар-практикум позволил повысить осведомленность об инициативе </w:t>
      </w:r>
      <w:proofErr w:type="spellStart"/>
      <w:r w:rsidR="006721A7" w:rsidRPr="00DD3ED8">
        <w:t>EW4ALL</w:t>
      </w:r>
      <w:proofErr w:type="spellEnd"/>
      <w:r w:rsidR="006721A7" w:rsidRPr="00DD3ED8">
        <w:t>, выявить и устранить пробелы, а также способствовал укреплению взаимодействия и обмена знаниями на региональном уровне.</w:t>
      </w:r>
    </w:p>
    <w:p w14:paraId="3C7F9F2F" w14:textId="7A821AC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апреле 2025 года в Санто-Доминго</w:t>
      </w:r>
      <w:r w:rsidR="002F7A6B" w:rsidRPr="00DD3ED8">
        <w:t xml:space="preserve"> (</w:t>
      </w:r>
      <w:r w:rsidR="006721A7" w:rsidRPr="00DD3ED8">
        <w:t>Доминиканская Республика</w:t>
      </w:r>
      <w:r w:rsidR="002F7A6B" w:rsidRPr="00DD3ED8">
        <w:t xml:space="preserve">) </w:t>
      </w:r>
      <w:r w:rsidR="006721A7" w:rsidRPr="00DD3ED8">
        <w:t>состоялся региональный семинар-практикум для Латинской Америки по стимулированию и измерению универсальной и значимой возможности установления соединений (</w:t>
      </w:r>
      <w:proofErr w:type="spellStart"/>
      <w:r w:rsidR="006721A7" w:rsidRPr="00DD3ED8">
        <w:t>UMC</w:t>
      </w:r>
      <w:proofErr w:type="spellEnd"/>
      <w:r w:rsidR="006721A7" w:rsidRPr="00DD3ED8">
        <w:t>). Семинар-практикум способствовал внедрению подхода к принятию решений, основанного на знаниях и данных, и повышению качества измерения универсальной и значимой возможности установления соединений.</w:t>
      </w:r>
    </w:p>
    <w:p w14:paraId="070AB0FC" w14:textId="77777777" w:rsidR="006721A7" w:rsidRPr="00DD3ED8" w:rsidRDefault="006721A7" w:rsidP="00CB21A7">
      <w:pPr>
        <w:pStyle w:val="Headingbblue"/>
      </w:pPr>
      <w:proofErr w:type="spellStart"/>
      <w:r w:rsidRPr="00DD3ED8">
        <w:t>AMS2</w:t>
      </w:r>
      <w:proofErr w:type="spellEnd"/>
      <w:r w:rsidRPr="00DD3ED8">
        <w:t>: Укрепление и расширение программ цифровой грамотности, цифровых навыков и охвата цифровыми технологиями, в особенности среди уязвимых групп населения</w:t>
      </w:r>
    </w:p>
    <w:p w14:paraId="40345E08" w14:textId="54C2A54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партнерстве с Huawei и в тесном сотрудничестве с администрациями Кубы, Гондураса, Панамы, Парагвая и Уругвая более 200 мелких предпринимателей приняли участие в семинаре-практикуме МСЭ по цифровой трансформации, организованном в рамках </w:t>
      </w:r>
      <w:r w:rsidR="00BE47B4" w:rsidRPr="00DD3ED8">
        <w:t>“</w:t>
      </w:r>
      <w:r w:rsidR="006721A7" w:rsidRPr="00DD3ED8">
        <w:t>Digital KIT</w:t>
      </w:r>
      <w:r w:rsidR="00BE47B4" w:rsidRPr="00DD3ED8">
        <w:t xml:space="preserve">” — инициативы по поддержке </w:t>
      </w:r>
      <w:r w:rsidR="006721A7" w:rsidRPr="00DD3ED8">
        <w:t>предпринимателей, микро- и малы</w:t>
      </w:r>
      <w:r w:rsidR="00BE47B4" w:rsidRPr="00DD3ED8">
        <w:t>х</w:t>
      </w:r>
      <w:r w:rsidR="006721A7" w:rsidRPr="00DD3ED8">
        <w:t xml:space="preserve"> </w:t>
      </w:r>
      <w:r w:rsidR="006721A7" w:rsidRPr="00DD3ED8">
        <w:lastRenderedPageBreak/>
        <w:t>предприяти</w:t>
      </w:r>
      <w:r w:rsidR="00BE47B4" w:rsidRPr="00DD3ED8">
        <w:t>й</w:t>
      </w:r>
      <w:r w:rsidR="006721A7" w:rsidRPr="00DD3ED8">
        <w:t xml:space="preserve">. В рамках этого направления деятельности БРЭ </w:t>
      </w:r>
      <w:r w:rsidR="00BE47B4" w:rsidRPr="00DD3ED8">
        <w:t>способствует</w:t>
      </w:r>
      <w:r w:rsidR="006721A7" w:rsidRPr="00DD3ED8">
        <w:t xml:space="preserve"> </w:t>
      </w:r>
      <w:r w:rsidR="00BE47B4" w:rsidRPr="00DD3ED8">
        <w:t xml:space="preserve">получению участниками знаний </w:t>
      </w:r>
      <w:r w:rsidR="006721A7" w:rsidRPr="00DD3ED8">
        <w:t xml:space="preserve">в области цифровых услуг и аспектов безопасности, которые могут способствовать укреплению местного бизнеса. </w:t>
      </w:r>
    </w:p>
    <w:p w14:paraId="3408325F" w14:textId="4A4B4A1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С 11 по 13 июня 2024 года в Нассау</w:t>
      </w:r>
      <w:r w:rsidR="002F7A6B" w:rsidRPr="00DD3ED8">
        <w:t xml:space="preserve"> (</w:t>
      </w:r>
      <w:r w:rsidR="006721A7" w:rsidRPr="00DD3ED8">
        <w:t>Багамские Острова</w:t>
      </w:r>
      <w:r w:rsidR="002F7A6B" w:rsidRPr="00DD3ED8">
        <w:t>)</w:t>
      </w:r>
      <w:r w:rsidR="006721A7" w:rsidRPr="00DD3ED8">
        <w:t xml:space="preserve"> состоялся </w:t>
      </w:r>
      <w:r w:rsidR="00BE47B4" w:rsidRPr="00DD3ED8">
        <w:t>р</w:t>
      </w:r>
      <w:r w:rsidR="006721A7" w:rsidRPr="00DD3ED8">
        <w:t>егиональный семинар-практикум по продвижению и измерению универсальной и реальной возможности установления соединений (</w:t>
      </w:r>
      <w:proofErr w:type="spellStart"/>
      <w:r w:rsidR="006721A7" w:rsidRPr="00DD3ED8">
        <w:t>UMC</w:t>
      </w:r>
      <w:proofErr w:type="spellEnd"/>
      <w:r w:rsidR="006721A7" w:rsidRPr="00DD3ED8">
        <w:t xml:space="preserve">) для Северной и Южной Америки, в котором приняли участие 33 человека, представляющие органы электросвязи, директивные органы, национальные статистические управления и региональные структуры электросвязи стран Карибского бассейна, и на котором были продемонстрированы совместные усилия по расширению охвата цифровыми технологиями в Карибском регионе. Программа семинара-практикума включала: создание потенциала, необходимого для решения неотложных задач, связанных с </w:t>
      </w:r>
      <w:proofErr w:type="spellStart"/>
      <w:r w:rsidR="006721A7" w:rsidRPr="00DD3ED8">
        <w:t>UMC</w:t>
      </w:r>
      <w:proofErr w:type="spellEnd"/>
      <w:r w:rsidR="006721A7" w:rsidRPr="00DD3ED8">
        <w:t>, что является одним из приоритетных направлений политики, представление реализуемого МСЭ и финансируемого Европейским союзом проекта "Поощрение и измерение универсальной и реальной возможности установления соединений" и освещение нюансов сбора статистических данных в области ИКТ.</w:t>
      </w:r>
    </w:p>
    <w:p w14:paraId="39813BB5" w14:textId="45654DA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2024 году Международный день "Девушки в ИКТ" приобрел больший масштаб в Северной и Южной Америке: по всему региону было организовано 60 мероприятий, что отражает возросший интерес молодых женщин к карьере в сфере ИКТ. В число основных мероприятий </w:t>
      </w:r>
      <w:r w:rsidR="00BE47B4" w:rsidRPr="00DD3ED8">
        <w:t>вошли</w:t>
      </w:r>
      <w:r w:rsidR="006721A7" w:rsidRPr="00DD3ED8">
        <w:t xml:space="preserve"> программы наставничества, семинары-практикумы по программированию, робототехнике и цифровому предпринимательству, а также вдохновляющие выступления успешных женщин-специалистов. Эти мероприятия помогли участницам расширить свои возможности путем развития цифровых навыков, вдохновили их с помощью программ наставничества, а также способствовали продвижению гендерного равенства и разнообразия в сфере ИКТ. </w:t>
      </w:r>
    </w:p>
    <w:p w14:paraId="2DDC5663" w14:textId="5A60296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мае 2024 года в рамках празднования Всемирного дня электросвязи и информационного общества в Сантьяго</w:t>
      </w:r>
      <w:r w:rsidR="002F7A6B" w:rsidRPr="00DD3ED8">
        <w:t xml:space="preserve"> (</w:t>
      </w:r>
      <w:r w:rsidR="006721A7" w:rsidRPr="00DD3ED8">
        <w:t>Чили</w:t>
      </w:r>
      <w:r w:rsidR="002F7A6B" w:rsidRPr="00DD3ED8">
        <w:t xml:space="preserve">) </w:t>
      </w:r>
      <w:r w:rsidR="006721A7" w:rsidRPr="00DD3ED8">
        <w:t xml:space="preserve">в партнерстве с МОТ, ПРООН, ЮНЕСКО, Всемирным банком и </w:t>
      </w:r>
      <w:proofErr w:type="spellStart"/>
      <w:r w:rsidR="006721A7" w:rsidRPr="00DD3ED8">
        <w:t>Fundación</w:t>
      </w:r>
      <w:proofErr w:type="spellEnd"/>
      <w:r w:rsidR="006721A7" w:rsidRPr="00DD3ED8">
        <w:t xml:space="preserve"> </w:t>
      </w:r>
      <w:proofErr w:type="spellStart"/>
      <w:r w:rsidR="006721A7" w:rsidRPr="00DD3ED8">
        <w:t>Descúbreme</w:t>
      </w:r>
      <w:proofErr w:type="spellEnd"/>
      <w:r w:rsidR="006721A7" w:rsidRPr="00DD3ED8">
        <w:t xml:space="preserve"> был проведен субрегиональный семинар по теме "Приоритеты для молодежи в цифровом мире: рабочие места и образование", в котором приняли участие молодые ораторы, лидеры отрасли ИКТ и высокопоставленные представители государственных органов, а также была представлена выставка "Женщины в точных науках".</w:t>
      </w:r>
    </w:p>
    <w:p w14:paraId="78EAE050" w14:textId="5938E3E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партнерстве с регуляторным органом </w:t>
      </w:r>
      <w:proofErr w:type="spellStart"/>
      <w:r w:rsidR="006721A7" w:rsidRPr="00DD3ED8">
        <w:t>ТАТТ</w:t>
      </w:r>
      <w:proofErr w:type="spellEnd"/>
      <w:r w:rsidR="006721A7" w:rsidRPr="00DD3ED8">
        <w:t xml:space="preserve"> и Министерством цифровой трансформации Тринидада и Тобаго был начат проект по развитию цифровых навыков, призванный оказать стране поддержку в укреплении потенциала для горизонтального и вертикального воздействия цифровых преобразований и обеспечить людей базовыми, промежуточными и продвинутыми цифровыми навыками, необходимыми для реализации текущих и будущих тенденций в цифровой экономике. Ожидается, что в рамках проекта будут подготовлены 40</w:t>
      </w:r>
      <w:r w:rsidR="00BE47B4" w:rsidRPr="00DD3ED8">
        <w:t> </w:t>
      </w:r>
      <w:r w:rsidR="006721A7" w:rsidRPr="00DD3ED8">
        <w:t>наставников и обучены 10000 человек (50</w:t>
      </w:r>
      <w:r w:rsidR="00B15C6B">
        <w:t> </w:t>
      </w:r>
      <w:r w:rsidR="006721A7" w:rsidRPr="00DD3ED8">
        <w:t xml:space="preserve">процентов </w:t>
      </w:r>
      <w:r w:rsidR="00BE47B4" w:rsidRPr="00DD3ED8">
        <w:t xml:space="preserve">— </w:t>
      </w:r>
      <w:r w:rsidR="006721A7" w:rsidRPr="00DD3ED8">
        <w:t xml:space="preserve">мужчины и 50 процентов </w:t>
      </w:r>
      <w:r w:rsidR="00BE47B4" w:rsidRPr="00DD3ED8">
        <w:t>—</w:t>
      </w:r>
      <w:r w:rsidR="006721A7" w:rsidRPr="00DD3ED8">
        <w:t xml:space="preserve"> женщины). </w:t>
      </w:r>
    </w:p>
    <w:p w14:paraId="65AC60C9" w14:textId="77777777" w:rsidR="006721A7" w:rsidRPr="00DD3ED8" w:rsidRDefault="006721A7" w:rsidP="00CB21A7">
      <w:pPr>
        <w:pStyle w:val="Headingbblue"/>
      </w:pPr>
      <w:proofErr w:type="spellStart"/>
      <w:r w:rsidRPr="00DD3ED8">
        <w:t>AMS3</w:t>
      </w:r>
      <w:proofErr w:type="spellEnd"/>
      <w:r w:rsidRPr="00DD3ED8">
        <w:t>: 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</w:p>
    <w:p w14:paraId="2109E573" w14:textId="4AB4783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совместной программы ООН "Инновационное финансирование необслуживаемых групп населения" МСЭ в сотрудничестве с правительствами Антигуа и Барбуды и Сент-Люсии разработал, опираясь на комплексный подход, экосистему </w:t>
      </w:r>
      <w:proofErr w:type="spellStart"/>
      <w:r w:rsidR="006721A7" w:rsidRPr="00DD3ED8">
        <w:t>ЦФУ</w:t>
      </w:r>
      <w:proofErr w:type="spellEnd"/>
      <w:r w:rsidR="006721A7" w:rsidRPr="00DD3ED8">
        <w:t>, которая включает в себя политические и регуляторные рамки, а также нормы в области кибербезопасности. Более 65</w:t>
      </w:r>
      <w:r w:rsidR="00995CAB" w:rsidRPr="00DD3ED8">
        <w:t> </w:t>
      </w:r>
      <w:r w:rsidR="006721A7" w:rsidRPr="00DD3ED8">
        <w:t xml:space="preserve">специалистов в сфере </w:t>
      </w:r>
      <w:proofErr w:type="spellStart"/>
      <w:r w:rsidR="006721A7" w:rsidRPr="00DD3ED8">
        <w:t>ЦФУ</w:t>
      </w:r>
      <w:proofErr w:type="spellEnd"/>
      <w:r w:rsidR="006721A7" w:rsidRPr="00DD3ED8">
        <w:t xml:space="preserve"> из этих стран были ознакомлены с комплектом материалов и рекомендациями по безопасности мобильных </w:t>
      </w:r>
      <w:proofErr w:type="spellStart"/>
      <w:r w:rsidR="006721A7" w:rsidRPr="00DD3ED8">
        <w:t>ЦФУ</w:t>
      </w:r>
      <w:proofErr w:type="spellEnd"/>
      <w:r w:rsidR="006721A7" w:rsidRPr="00DD3ED8">
        <w:t xml:space="preserve"> и укрепили свой потенциал по проведению аудитов безопасности инфраструктуры мобильных платежей.</w:t>
      </w:r>
    </w:p>
    <w:p w14:paraId="13B42BDF" w14:textId="0875D1DF" w:rsidR="006721A7" w:rsidRPr="00DD3ED8" w:rsidRDefault="00DD3ED8" w:rsidP="00701AED">
      <w:pPr>
        <w:pStyle w:val="enumlev1"/>
      </w:pPr>
      <w:r w:rsidRPr="00DD3ED8">
        <w:lastRenderedPageBreak/>
        <w:t>•</w:t>
      </w:r>
      <w:r w:rsidRPr="00DD3ED8">
        <w:tab/>
      </w:r>
      <w:r w:rsidR="006721A7" w:rsidRPr="00DD3ED8">
        <w:t>Проект "Умные моря", в рамках которого предоставляются цифровые инструменты и возможность установления соединений, усовершенствовал морскую связь и помог обеспечить безопасность мелких рыбаков на море в Барбадосе, Гренаде, Сент-Винсенте и Гренадинах и Тринидаде и Тобаго. Кроме того, проект помог сообществам использовать ИКТ для социально-экономического развития.</w:t>
      </w:r>
    </w:p>
    <w:p w14:paraId="0203BB3E" w14:textId="77777777" w:rsidR="006721A7" w:rsidRPr="00DD3ED8" w:rsidRDefault="006721A7" w:rsidP="00CB21A7">
      <w:pPr>
        <w:pStyle w:val="Headingbblue"/>
      </w:pPr>
      <w:proofErr w:type="spellStart"/>
      <w:r w:rsidRPr="00DD3ED8">
        <w:t>AMS4</w:t>
      </w:r>
      <w:proofErr w:type="spellEnd"/>
      <w:r w:rsidRPr="00DD3ED8">
        <w:t>: 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электросвязи/информационно-коммуникационных технологий, поддерживающих достижение Целей в области устойчивого развития и продвижение к цифровой экономике</w:t>
      </w:r>
    </w:p>
    <w:p w14:paraId="6432F9F6" w14:textId="63D8BC2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Сент-Китсе и Невисе и Доминике был проведен семинар-практикум по разработке политики и законодательства в области электронной идентификации (E-</w:t>
      </w:r>
      <w:proofErr w:type="spellStart"/>
      <w:r w:rsidR="006721A7" w:rsidRPr="00DD3ED8">
        <w:t>ID</w:t>
      </w:r>
      <w:proofErr w:type="spellEnd"/>
      <w:r w:rsidR="006721A7" w:rsidRPr="00DD3ED8">
        <w:t>), участники которого усовершенствовали свои навыки разработки политики и регулирования. Это способствовало расширению доступа к онлайновым приложениям и цифровым услугам и пов</w:t>
      </w:r>
      <w:r w:rsidR="00995CAB" w:rsidRPr="00DD3ED8">
        <w:t>ы</w:t>
      </w:r>
      <w:r w:rsidR="006721A7" w:rsidRPr="00DD3ED8">
        <w:t>шению уверенности при пользовании ими.</w:t>
      </w:r>
    </w:p>
    <w:p w14:paraId="12AC344E" w14:textId="0CB7783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проекта "Экспериментальная регуляторная среда для Центральной Америки и Доминиканской Республики" БРЭ в партнерстве с Европейским союзом продолжает оказывать техническую помощь в области инновационного регулирования в Белизе, Гватемале, Гондурасе, Доминиканской Республике, Панаме и Сальвадоре. </w:t>
      </w:r>
    </w:p>
    <w:p w14:paraId="735F47F5" w14:textId="758BB17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Было подписано соглашение с </w:t>
      </w:r>
      <w:proofErr w:type="spellStart"/>
      <w:r w:rsidR="006721A7" w:rsidRPr="00DD3ED8">
        <w:t>CONATEL</w:t>
      </w:r>
      <w:proofErr w:type="spellEnd"/>
      <w:r w:rsidR="006721A7" w:rsidRPr="00DD3ED8">
        <w:t xml:space="preserve">/Парагваем о новом проекте по предоставлению технической помощи во внедрении практики анализа воздействия регулирования в нормативно-правовую базу страны. </w:t>
      </w:r>
    </w:p>
    <w:p w14:paraId="446552F8" w14:textId="5AC75D0D" w:rsidR="006721A7" w:rsidRPr="00DD3ED8" w:rsidRDefault="00CB21A7" w:rsidP="00CB21A7">
      <w:pPr>
        <w:pStyle w:val="Headingbblue"/>
      </w:pPr>
      <w:r w:rsidRPr="00DD3ED8">
        <w:t>АРАБСКИЕ ГОСУДАРСТВА</w:t>
      </w:r>
    </w:p>
    <w:p w14:paraId="7E2CC311" w14:textId="2B337C0B" w:rsidR="006721A7" w:rsidRPr="00DD3ED8" w:rsidRDefault="006721A7" w:rsidP="006721A7">
      <w:pPr>
        <w:rPr>
          <w:b/>
          <w:bCs/>
        </w:rPr>
      </w:pPr>
      <w:r w:rsidRPr="00DD3ED8">
        <w:rPr>
          <w:b/>
          <w:bCs/>
        </w:rPr>
        <w:t>Региональное отделение для арабских государств продолжило возглавлять различные инициативы и проекты в регионе, направленные на ускорение цифровых преобразований и формирование устойчивой цифровой экономики.</w:t>
      </w:r>
      <w:r w:rsidRPr="00DD3ED8">
        <w:t xml:space="preserve"> </w:t>
      </w:r>
      <w:r w:rsidRPr="00DD3ED8">
        <w:rPr>
          <w:b/>
          <w:bCs/>
        </w:rPr>
        <w:t xml:space="preserve">Эти усилия соответствуют пяти региональным инициативам, изложенным в Кигалийском плане действий (КПД), </w:t>
      </w:r>
      <w:r w:rsidR="002D547D" w:rsidRPr="00DD3ED8">
        <w:rPr>
          <w:b/>
          <w:bCs/>
        </w:rPr>
        <w:t>— инициативам, направленным</w:t>
      </w:r>
      <w:r w:rsidRPr="00DD3ED8">
        <w:rPr>
          <w:b/>
          <w:bCs/>
        </w:rPr>
        <w:t xml:space="preserve"> на укрепление цифровой экономики, обеспечение кибербезопасности, развитие "умных" городов, стимулирование инноваций и разработку цифрового регулирования.</w:t>
      </w:r>
      <w:r w:rsidRPr="00DD3ED8">
        <w:t xml:space="preserve"> </w:t>
      </w:r>
      <w:r w:rsidR="007C30E0" w:rsidRPr="00DD3ED8">
        <w:rPr>
          <w:b/>
          <w:bCs/>
        </w:rPr>
        <w:t>Ниже приведены ключевые итоги деятельности и достижения в рамках каждой из региональных инициатив</w:t>
      </w:r>
      <w:r w:rsidRPr="00DD3ED8">
        <w:rPr>
          <w:b/>
          <w:bCs/>
        </w:rPr>
        <w:t xml:space="preserve">, </w:t>
      </w:r>
      <w:r w:rsidR="007C30E0" w:rsidRPr="00DD3ED8">
        <w:rPr>
          <w:b/>
          <w:bCs/>
        </w:rPr>
        <w:t>д</w:t>
      </w:r>
      <w:r w:rsidRPr="00DD3ED8">
        <w:rPr>
          <w:b/>
          <w:bCs/>
        </w:rPr>
        <w:t>емонстрирующие приверженность МСЭ развитию электросвязи и технологий в регионе арабских государств.</w:t>
      </w:r>
    </w:p>
    <w:p w14:paraId="16444E40" w14:textId="4AFD6F4A" w:rsidR="006721A7" w:rsidRPr="00DD3ED8" w:rsidRDefault="006721A7" w:rsidP="00CB21A7">
      <w:pPr>
        <w:pStyle w:val="Headingbblue"/>
      </w:pPr>
      <w:proofErr w:type="spellStart"/>
      <w:r w:rsidRPr="00DD3ED8">
        <w:t>ARB1</w:t>
      </w:r>
      <w:proofErr w:type="spellEnd"/>
      <w:r w:rsidR="00BE47B4" w:rsidRPr="00DD3ED8">
        <w:t>: Региональная инициатива</w:t>
      </w:r>
      <w:r w:rsidRPr="00DD3ED8">
        <w:t xml:space="preserve"> 1: Устойчивая цифровая экономика через цифровую трансформацию</w:t>
      </w:r>
    </w:p>
    <w:p w14:paraId="557AB674" w14:textId="43753E3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2D547D" w:rsidRPr="00DD3ED8">
        <w:t>В поддержку</w:t>
      </w:r>
      <w:r w:rsidR="006721A7" w:rsidRPr="00DD3ED8">
        <w:t xml:space="preserve"> инициативы "Посланники молодежи в рамках проекта «Поколение подключений»" десять Государств-Членов (Бахрейн, Египет, Ирак, Иордания, Йемен, Коморские Острова, ОАЭ, Государство Палестина, Саудовская Аравия и Тунис) выдвинули 36 юношей и девушек в возрасте от 18 до 24 лет (девушки составили 39 процентов участников) в качестве новой когорты посланников </w:t>
      </w:r>
      <w:r w:rsidR="002D547D" w:rsidRPr="00DD3ED8">
        <w:t xml:space="preserve">молодежи в рамках </w:t>
      </w:r>
      <w:r w:rsidR="006721A7" w:rsidRPr="00DD3ED8">
        <w:t>проекта "Поколения подключений" (</w:t>
      </w:r>
      <w:proofErr w:type="spellStart"/>
      <w:r w:rsidR="006721A7" w:rsidRPr="00DD3ED8">
        <w:t>GCYE</w:t>
      </w:r>
      <w:proofErr w:type="spellEnd"/>
      <w:r w:rsidR="006721A7" w:rsidRPr="00DD3ED8">
        <w:t xml:space="preserve">) на 2024 год. Эта инициатива направлена на расширение участия молодежи в работе МСЭ. </w:t>
      </w:r>
    </w:p>
    <w:p w14:paraId="5FB66BBC" w14:textId="03E18D1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Прошедшее в июле 2024 года мероприятие "Передача эстафеты" для Арабского региона стало ключевой платформой для обсуждения региональных инициатив и приоритетов арабских государств и подчеркнуло значение участия молодежи в цифровых инновациях. К основным выводам относятся: потребность в увеличении числа активных участников мероприятий МСЭ, ценность наставничества со стороны выпускников инициативы "Поколение подключений", а также пространство для укрепления партнерских отношений для реализации эффективных инициатив в области ИКТ в регионе. Эти выводы были учтены в реализуемой в настоящее время Молодежной стратегии МСЭ.</w:t>
      </w:r>
    </w:p>
    <w:p w14:paraId="74500534" w14:textId="7EED9605" w:rsidR="006721A7" w:rsidRPr="00DD3ED8" w:rsidRDefault="00DD3ED8" w:rsidP="00701AED">
      <w:pPr>
        <w:pStyle w:val="enumlev1"/>
      </w:pPr>
      <w:r w:rsidRPr="00DD3ED8">
        <w:lastRenderedPageBreak/>
        <w:t>•</w:t>
      </w:r>
      <w:r w:rsidRPr="00DD3ED8">
        <w:tab/>
      </w:r>
      <w:r w:rsidR="006721A7" w:rsidRPr="00DD3ED8">
        <w:t xml:space="preserve">Благодаря мероприятию "Передача эстафеты" и семинару-практикуму </w:t>
      </w:r>
      <w:proofErr w:type="spellStart"/>
      <w:r w:rsidR="006721A7" w:rsidRPr="00DD3ED8">
        <w:t>ICodi</w:t>
      </w:r>
      <w:proofErr w:type="spellEnd"/>
      <w:r w:rsidR="006721A7" w:rsidRPr="00DD3ED8">
        <w:t xml:space="preserve"> </w:t>
      </w:r>
      <w:proofErr w:type="spellStart"/>
      <w:r w:rsidR="006721A7" w:rsidRPr="00DD3ED8">
        <w:t>GCYE</w:t>
      </w:r>
      <w:proofErr w:type="spellEnd"/>
      <w:r w:rsidR="006721A7" w:rsidRPr="00DD3ED8">
        <w:t xml:space="preserve"> расширили свои возможности и навыки, в результате чего они смогли принять активное участие в региональных и глобальных мероприятиях, включая Глобальный форум по инновациям. </w:t>
      </w:r>
    </w:p>
    <w:p w14:paraId="3CE48A09" w14:textId="7BA13DA4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Региональное отделение для арабских государств содействовало проведению региональных консультаций </w:t>
      </w:r>
      <w:proofErr w:type="spellStart"/>
      <w:r w:rsidR="006721A7" w:rsidRPr="00DD3ED8">
        <w:t>GCYE</w:t>
      </w:r>
      <w:proofErr w:type="spellEnd"/>
      <w:r w:rsidR="006721A7" w:rsidRPr="00DD3ED8">
        <w:t xml:space="preserve"> и подготовило проект отчета о проведенных мероприятиях, в котором изложены мнения, интересы, опасения и взгляды посланников из арабских стран по вопросам, связанным с ИКТ и имеющим большое значение для образования и социально-экономического развития арабской молодежи в контексте регионального и глобального процесса цифровой трансформации. </w:t>
      </w:r>
    </w:p>
    <w:p w14:paraId="269055B6" w14:textId="73C6B84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Иордании в партнерстве с Министерством цифровой экономики и предпринимательства и Экономической и социальной комиссией ООН для Западной Азии (</w:t>
      </w:r>
      <w:proofErr w:type="spellStart"/>
      <w:r w:rsidR="00A00C38" w:rsidRPr="00DD3ED8">
        <w:t>ЭСКЗА</w:t>
      </w:r>
      <w:proofErr w:type="spellEnd"/>
      <w:r w:rsidR="00A00C38" w:rsidRPr="00DD3ED8">
        <w:t xml:space="preserve"> ООН</w:t>
      </w:r>
      <w:r w:rsidR="006721A7" w:rsidRPr="00DD3ED8">
        <w:t>) было подготовлено исследование по оценке условий, стимулирующих внедрение иммерсивных технологий. В ходе исследования в интересах содействия созданию рабочих мест в этом формирующемся секторе были проанализированы сильные и слабые стороны экосистемы, а также существующие возможности и угрозы и выработаны стратегические рекомендации по его развитию.</w:t>
      </w:r>
    </w:p>
    <w:p w14:paraId="0A34E3D0" w14:textId="29989E2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</w:t>
      </w:r>
      <w:r w:rsidR="002D547D" w:rsidRPr="00DD3ED8">
        <w:t>качестве компонента</w:t>
      </w:r>
      <w:r w:rsidR="006721A7" w:rsidRPr="00DD3ED8">
        <w:t xml:space="preserve"> инициативы GovStack была оказана помощь Мавритании, Сомали и Джибути, что повысило потенциал Государств-Членов по тестированию сценариев использования и внедрению услуг цифрового правительства.</w:t>
      </w:r>
    </w:p>
    <w:p w14:paraId="2A145AFC" w14:textId="19FF52FF" w:rsidR="006721A7" w:rsidRPr="00DD3ED8" w:rsidRDefault="006721A7" w:rsidP="00CB21A7">
      <w:pPr>
        <w:pStyle w:val="Headingbblue"/>
      </w:pPr>
      <w:proofErr w:type="spellStart"/>
      <w:r w:rsidRPr="00DD3ED8">
        <w:t>ARB2</w:t>
      </w:r>
      <w:proofErr w:type="spellEnd"/>
      <w:r w:rsidRPr="00DD3ED8">
        <w:t xml:space="preserve">: </w:t>
      </w:r>
      <w:r w:rsidR="002F7A6B" w:rsidRPr="00DD3ED8">
        <w:t>Укрепление</w:t>
      </w:r>
      <w:r w:rsidRPr="00DD3ED8">
        <w:t xml:space="preserve"> доверия, безопасности и конфиденциальности при использовании электросвязи/ИКТ</w:t>
      </w:r>
    </w:p>
    <w:p w14:paraId="69F346C4" w14:textId="768CED23" w:rsidR="006721A7" w:rsidRPr="00CB21A7" w:rsidRDefault="00DD3ED8" w:rsidP="00701AED">
      <w:pPr>
        <w:pStyle w:val="enumlev1"/>
        <w:rPr>
          <w:lang w:val="en-GB"/>
        </w:rPr>
      </w:pPr>
      <w:r w:rsidRPr="00DD3ED8">
        <w:t>•</w:t>
      </w:r>
      <w:r w:rsidRPr="00DD3ED8">
        <w:tab/>
      </w:r>
      <w:r w:rsidR="006721A7" w:rsidRPr="00DD3ED8">
        <w:t xml:space="preserve">В сотрудничестве с Национальным центром кибербезопасности (NCSC) Королевства Бахрейн был проведен региональный семинар-практикум по управлению кибербезопасностью. Участники семинара-практикума расширили свои знания о роли кризисного управления в случае кибератак и о </w:t>
      </w:r>
      <w:proofErr w:type="gramStart"/>
      <w:r w:rsidR="006721A7" w:rsidRPr="00DD3ED8">
        <w:t>возникающих</w:t>
      </w:r>
      <w:proofErr w:type="gramEnd"/>
      <w:r w:rsidR="006721A7" w:rsidRPr="00DD3ED8">
        <w:t xml:space="preserve"> в связи с этим обязательствах.</w:t>
      </w:r>
    </w:p>
    <w:p w14:paraId="34EEC983" w14:textId="61F6ABE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Для Национального центра кибербезопасности (NCSC) был проведен семинар-практикум по глобальному индексу кибербезопасности (GCI). Семинар-практикум имел своей целью укрепить потенциал Государств-Членов, с тем чтобы они могли принимать активное участие в развитии GCI. </w:t>
      </w:r>
    </w:p>
    <w:p w14:paraId="47B5672E" w14:textId="4F2CF71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сотрудничестве с </w:t>
      </w:r>
      <w:proofErr w:type="spellStart"/>
      <w:r w:rsidR="006721A7" w:rsidRPr="00DD3ED8">
        <w:t>ЭСКЗА</w:t>
      </w:r>
      <w:proofErr w:type="spellEnd"/>
      <w:r w:rsidR="00A00C38" w:rsidRPr="00DD3ED8">
        <w:t xml:space="preserve"> </w:t>
      </w:r>
      <w:r w:rsidR="006721A7" w:rsidRPr="00DD3ED8">
        <w:t>ООН, Арабской организацией по вопросам информационно-коммуникационных технологий и Обществом интернета был проведен семинар-практикум по укреплению доверия к услугам цифрового правительства</w:t>
      </w:r>
      <w:r w:rsidR="00A00C38" w:rsidRPr="00DD3ED8">
        <w:t xml:space="preserve">, в ходе которого были </w:t>
      </w:r>
      <w:r w:rsidR="006721A7" w:rsidRPr="00DD3ED8">
        <w:t>продемонстрирова</w:t>
      </w:r>
      <w:r w:rsidR="00A00C38" w:rsidRPr="00DD3ED8">
        <w:t>ны</w:t>
      </w:r>
      <w:r w:rsidR="006721A7" w:rsidRPr="00DD3ED8">
        <w:t xml:space="preserve"> практические стратегии повышения кибербезопасности. </w:t>
      </w:r>
    </w:p>
    <w:p w14:paraId="15441938" w14:textId="0B0FD5B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Был</w:t>
      </w:r>
      <w:r w:rsidR="00A00C38" w:rsidRPr="00DD3ED8">
        <w:t xml:space="preserve">и проведены тренировочные занятия по кибербезопасности </w:t>
      </w:r>
      <w:r w:rsidR="006721A7" w:rsidRPr="00DD3ED8">
        <w:t xml:space="preserve">и </w:t>
      </w:r>
      <w:r w:rsidR="00A00C38" w:rsidRPr="00DD3ED8">
        <w:t>обучение технических специалистов</w:t>
      </w:r>
      <w:r w:rsidR="006721A7" w:rsidRPr="00DD3ED8">
        <w:t>, что позволило укрепить культуру кибербезопасности в арабских странах.</w:t>
      </w:r>
    </w:p>
    <w:p w14:paraId="70883416" w14:textId="7987B030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сотрудничестве с Королевством Саудовская Аравия БРЭ предприняло различные инициативы в области кибербезопасности, включая проведение семинаров-практикумов и учебных курсов по цифровому регулированию и кибербезопасности, что позволило повысить готовность в области кибербезопасности и обратить особое внимание на ее значение в </w:t>
      </w:r>
      <w:r w:rsidR="00A00C38" w:rsidRPr="00DD3ED8">
        <w:t>контексте глобальной экосистемы электросвязи</w:t>
      </w:r>
      <w:r w:rsidR="006721A7" w:rsidRPr="00DD3ED8">
        <w:t>.</w:t>
      </w:r>
    </w:p>
    <w:p w14:paraId="3443196B" w14:textId="657F1D4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2024 году в Дубае был</w:t>
      </w:r>
      <w:r w:rsidR="00A00C38" w:rsidRPr="00DD3ED8">
        <w:t>о</w:t>
      </w:r>
      <w:r w:rsidR="006721A7" w:rsidRPr="00DD3ED8">
        <w:t xml:space="preserve"> успешно проведен</w:t>
      </w:r>
      <w:r w:rsidR="00A00C38" w:rsidRPr="00DD3ED8">
        <w:t>о</w:t>
      </w:r>
      <w:r w:rsidR="006721A7" w:rsidRPr="00DD3ED8">
        <w:t xml:space="preserve"> перв</w:t>
      </w:r>
      <w:r w:rsidR="00A00C38" w:rsidRPr="00DD3ED8">
        <w:t>о</w:t>
      </w:r>
      <w:r w:rsidR="006721A7" w:rsidRPr="00DD3ED8">
        <w:t xml:space="preserve">е </w:t>
      </w:r>
      <w:r w:rsidR="00A00C38" w:rsidRPr="00DD3ED8">
        <w:t xml:space="preserve">тренировочное занятие по кибербезопасности </w:t>
      </w:r>
      <w:r w:rsidR="006721A7" w:rsidRPr="00DD3ED8">
        <w:t>с рекордным числом стран-участниц: более 104 стран были представлены на уровне министров, руководителей компаний, регуляторных органов и других заинтересованных сторон. Был зафиксирован и занесен в Книгу Гиннесса новый мировой рекорд.</w:t>
      </w:r>
    </w:p>
    <w:p w14:paraId="0D32E73B" w14:textId="5893A9D3" w:rsidR="006721A7" w:rsidRPr="00DD3ED8" w:rsidRDefault="00DD3ED8" w:rsidP="00701AED">
      <w:pPr>
        <w:pStyle w:val="enumlev1"/>
      </w:pPr>
      <w:r w:rsidRPr="00DD3ED8">
        <w:lastRenderedPageBreak/>
        <w:t>•</w:t>
      </w:r>
      <w:r w:rsidRPr="00DD3ED8">
        <w:tab/>
      </w:r>
      <w:r w:rsidR="006721A7" w:rsidRPr="00DD3ED8">
        <w:t xml:space="preserve">В 2025 году в Ливане под эгидой глобального проекта по защите ребенка в онлайновой среде (COP) был разработан национальный COP. Эта национальная стратегия поможет правительству Ливана определить ключевые приоритетные области для создания более благоприятной среды для обеспечения защиты ребенка в интернете. </w:t>
      </w:r>
    </w:p>
    <w:p w14:paraId="74DD6F3D" w14:textId="77777777" w:rsidR="006721A7" w:rsidRPr="00DD3ED8" w:rsidRDefault="006721A7" w:rsidP="00CB21A7">
      <w:pPr>
        <w:pStyle w:val="Headingbblue"/>
      </w:pPr>
      <w:proofErr w:type="spellStart"/>
      <w:r w:rsidRPr="00DD3ED8">
        <w:t>ARB3</w:t>
      </w:r>
      <w:proofErr w:type="spellEnd"/>
      <w:r w:rsidRPr="00DD3ED8">
        <w:t xml:space="preserve">: Развитие цифровой инфраструктуры для </w:t>
      </w:r>
      <w:r w:rsidRPr="00CB21A7">
        <w:rPr>
          <w:b w:val="0"/>
          <w:bCs/>
        </w:rPr>
        <w:t>"</w:t>
      </w:r>
      <w:r w:rsidRPr="00DD3ED8">
        <w:t>умных</w:t>
      </w:r>
      <w:r w:rsidRPr="00CB21A7">
        <w:rPr>
          <w:b w:val="0"/>
          <w:bCs/>
        </w:rPr>
        <w:t>"</w:t>
      </w:r>
      <w:r w:rsidRPr="00DD3ED8">
        <w:t xml:space="preserve"> устойчивых городов и сообществ</w:t>
      </w:r>
    </w:p>
    <w:p w14:paraId="6E0168D3" w14:textId="0C6F62D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глобального проекта NETP, </w:t>
      </w:r>
      <w:r w:rsidR="00A00C38" w:rsidRPr="00DD3ED8">
        <w:t>а также инициатив</w:t>
      </w:r>
      <w:r w:rsidR="006721A7" w:rsidRPr="00DD3ED8">
        <w:t xml:space="preserve"> </w:t>
      </w:r>
      <w:proofErr w:type="spellStart"/>
      <w:r w:rsidR="006721A7" w:rsidRPr="00DD3ED8">
        <w:t>EW4ALL</w:t>
      </w:r>
      <w:proofErr w:type="spellEnd"/>
      <w:r w:rsidR="006721A7" w:rsidRPr="00DD3ED8">
        <w:t xml:space="preserve"> и C2R БРЭ возглавило работу по осуществлению преобразований, направленных на укрепление электросвязи в чрезвычайных ситуациях в Джибути, на Коморских Островах, в Ливии, Мавритании и Сомали. Семинары-практикумы, проведенные на Коморских Островах, способствовали развертыванию инициативы </w:t>
      </w:r>
      <w:proofErr w:type="spellStart"/>
      <w:r w:rsidR="006721A7" w:rsidRPr="00DD3ED8">
        <w:t>EW4All</w:t>
      </w:r>
      <w:proofErr w:type="spellEnd"/>
      <w:r w:rsidR="006721A7" w:rsidRPr="00DD3ED8">
        <w:t xml:space="preserve">. По их итогам были разработаны дорожная карта на </w:t>
      </w:r>
      <w:proofErr w:type="gramStart"/>
      <w:r w:rsidR="006721A7" w:rsidRPr="00DD3ED8">
        <w:t>2024−2027</w:t>
      </w:r>
      <w:proofErr w:type="gramEnd"/>
      <w:r w:rsidR="006721A7" w:rsidRPr="00DD3ED8">
        <w:t xml:space="preserve"> годы и индивидуальный NETP, а также была проведена оценка систем раннего предупреждения. Республика Джибути разработала национальный NETP и механизмы координации, а также приняла дорожную карту </w:t>
      </w:r>
      <w:proofErr w:type="spellStart"/>
      <w:r w:rsidR="006721A7" w:rsidRPr="00DD3ED8">
        <w:t>EW4All</w:t>
      </w:r>
      <w:proofErr w:type="spellEnd"/>
      <w:r w:rsidR="006721A7" w:rsidRPr="00DD3ED8">
        <w:t xml:space="preserve"> на </w:t>
      </w:r>
      <w:proofErr w:type="gramStart"/>
      <w:r w:rsidR="006721A7" w:rsidRPr="00DD3ED8">
        <w:t>2024−2027</w:t>
      </w:r>
      <w:proofErr w:type="gramEnd"/>
      <w:r w:rsidR="006721A7" w:rsidRPr="00DD3ED8">
        <w:t> годы. Семинары-практикумы, проведенные в Сомали, способствовали повышению готовности к чрезвычайным ситуациям посредством внедрения NETP, обучения участников работе с протоколом общего оповещения (</w:t>
      </w:r>
      <w:proofErr w:type="spellStart"/>
      <w:r w:rsidR="006721A7" w:rsidRPr="00DD3ED8">
        <w:t>CAP</w:t>
      </w:r>
      <w:proofErr w:type="spellEnd"/>
      <w:r w:rsidR="006721A7" w:rsidRPr="00DD3ED8">
        <w:t xml:space="preserve">) и подготовки документации для эффективных решений в области раннего предупреждения. В Ливии и Мавритании был разработан проект NETP. Эти </w:t>
      </w:r>
      <w:r w:rsidR="00A00C38" w:rsidRPr="00DD3ED8">
        <w:t>мероприятия</w:t>
      </w:r>
      <w:r w:rsidR="006721A7" w:rsidRPr="00DD3ED8">
        <w:t xml:space="preserve"> позволили укрепить потенциал Государств-Членов по внедрению устойчивых и адаптивных систем электросвязи в чрезвычайных ситуациях. </w:t>
      </w:r>
    </w:p>
    <w:p w14:paraId="18248F0E" w14:textId="282FC5B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Продолжается реализация проекта, соглашение по которому было подписано в 2024 году между МСЭ и NTRA Египта и который предполагает разработку среди прочего рамочной системы оценки "умных" устойчивых городов и сообществ, адаптированной под условия Египта. </w:t>
      </w:r>
      <w:r w:rsidR="00A00C38" w:rsidRPr="00DD3ED8">
        <w:br/>
      </w:r>
      <w:r w:rsidR="006721A7" w:rsidRPr="00DD3ED8">
        <w:t>В декабре 2024 года в Smart Village</w:t>
      </w:r>
      <w:r w:rsidR="002F7A6B" w:rsidRPr="00DD3ED8">
        <w:t xml:space="preserve"> (</w:t>
      </w:r>
      <w:r w:rsidR="006721A7" w:rsidRPr="00DD3ED8">
        <w:t>Египет</w:t>
      </w:r>
      <w:r w:rsidR="002F7A6B" w:rsidRPr="00DD3ED8">
        <w:t>)</w:t>
      </w:r>
      <w:r w:rsidR="006721A7" w:rsidRPr="00DD3ED8">
        <w:t xml:space="preserve"> состоялся Национальный форум "5G и последующие технологии: создание условий для появления в Египте «умных» устойчивых городов и сообществ". В форуме приняли участие эксперты из разных стран, представители директивных органов, лидеры отрасли и заинтересованные стороны. Были сформулированы имеющие практическую значимость выводы, в основном в том, что касается использования преобразующего потенциала 5G и появляющихся технологий для стимулирования "умного" и устойчивого развития городов, а также сотрудничества и инноваций для будущего с более широкими возможностями установления соединений.</w:t>
      </w:r>
    </w:p>
    <w:p w14:paraId="4D90BAD7" w14:textId="77777777" w:rsidR="006721A7" w:rsidRPr="00DD3ED8" w:rsidRDefault="006721A7" w:rsidP="00CB21A7">
      <w:pPr>
        <w:pStyle w:val="Headingbblue"/>
      </w:pPr>
      <w:proofErr w:type="spellStart"/>
      <w:r w:rsidRPr="00DD3ED8">
        <w:t>ARB4</w:t>
      </w:r>
      <w:proofErr w:type="spellEnd"/>
      <w:r w:rsidRPr="00DD3ED8">
        <w:t>: Создание потенциала и стимулирование цифровых инноваций, предпринимательства и перспективного прогнозирования</w:t>
      </w:r>
    </w:p>
    <w:p w14:paraId="445CB122" w14:textId="0EE966A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интересах совершенствования экосистем инноваций БРЭ завершил</w:t>
      </w:r>
      <w:r w:rsidR="0037291F" w:rsidRPr="00DD3ED8">
        <w:t>о</w:t>
      </w:r>
      <w:r w:rsidR="006721A7" w:rsidRPr="00DD3ED8">
        <w:t xml:space="preserve"> работу над профилем цифровых инноваций (</w:t>
      </w:r>
      <w:proofErr w:type="spellStart"/>
      <w:r w:rsidR="006721A7" w:rsidRPr="00DD3ED8">
        <w:t>DIP</w:t>
      </w:r>
      <w:proofErr w:type="spellEnd"/>
      <w:r w:rsidR="006721A7" w:rsidRPr="00DD3ED8">
        <w:t xml:space="preserve">) Бахрейна и в настоящее время разрабатывает </w:t>
      </w:r>
      <w:proofErr w:type="spellStart"/>
      <w:r w:rsidR="006721A7" w:rsidRPr="00DD3ED8">
        <w:t>DIP</w:t>
      </w:r>
      <w:proofErr w:type="spellEnd"/>
      <w:r w:rsidR="006721A7" w:rsidRPr="00DD3ED8">
        <w:t xml:space="preserve"> Катара и Иордании. В </w:t>
      </w:r>
      <w:proofErr w:type="spellStart"/>
      <w:r w:rsidR="006721A7" w:rsidRPr="00DD3ED8">
        <w:t>DIP</w:t>
      </w:r>
      <w:proofErr w:type="spellEnd"/>
      <w:r w:rsidR="006721A7" w:rsidRPr="00DD3ED8">
        <w:t xml:space="preserve"> перечисляются существующие в экосистеме цифровых инноваций проблемы и предлагаются ключевые рекомендации по модернизации экосистемы в соответствии с национальными целями развития.</w:t>
      </w:r>
    </w:p>
    <w:p w14:paraId="330435D3" w14:textId="2B14770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Тунисе в рамках совместного проекта МСЭ и </w:t>
      </w:r>
      <w:proofErr w:type="spellStart"/>
      <w:r w:rsidR="006721A7" w:rsidRPr="00DD3ED8">
        <w:t>GiZ</w:t>
      </w:r>
      <w:proofErr w:type="spellEnd"/>
      <w:r w:rsidR="006721A7" w:rsidRPr="00DD3ED8">
        <w:t xml:space="preserve"> около 200 работников государственного сектора прошли обучение на базе Академии МСЭ, освоив целый ряд цифровых навыков.</w:t>
      </w:r>
    </w:p>
    <w:p w14:paraId="4391BCA3" w14:textId="11FF8D3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</w:t>
      </w:r>
      <w:r w:rsidR="0037291F" w:rsidRPr="00DD3ED8">
        <w:t xml:space="preserve"> Дубае</w:t>
      </w:r>
      <w:r w:rsidR="006721A7" w:rsidRPr="00DD3ED8">
        <w:t xml:space="preserve"> </w:t>
      </w:r>
      <w:r w:rsidR="0037291F" w:rsidRPr="00DD3ED8">
        <w:t xml:space="preserve">в </w:t>
      </w:r>
      <w:r w:rsidR="006721A7" w:rsidRPr="00DD3ED8">
        <w:t xml:space="preserve">рамках партнерства с </w:t>
      </w:r>
      <w:proofErr w:type="spellStart"/>
      <w:r w:rsidR="006721A7" w:rsidRPr="00DD3ED8">
        <w:t>TDRA</w:t>
      </w:r>
      <w:proofErr w:type="spellEnd"/>
      <w:r w:rsidR="006721A7" w:rsidRPr="00DD3ED8">
        <w:t xml:space="preserve"> (ОАЭ) в целях содействия разработке идей и инновациям в рамках инициативы </w:t>
      </w:r>
      <w:proofErr w:type="spellStart"/>
      <w:r w:rsidR="006721A7" w:rsidRPr="00DD3ED8">
        <w:t>iCodi</w:t>
      </w:r>
      <w:proofErr w:type="spellEnd"/>
      <w:r w:rsidR="006721A7" w:rsidRPr="00DD3ED8">
        <w:t xml:space="preserve"> состоялся региональный семинар-практикум </w:t>
      </w:r>
      <w:proofErr w:type="spellStart"/>
      <w:r w:rsidR="006721A7" w:rsidRPr="00DD3ED8">
        <w:t>iCodi</w:t>
      </w:r>
      <w:proofErr w:type="spellEnd"/>
      <w:r w:rsidR="006721A7" w:rsidRPr="00DD3ED8">
        <w:t>, который способствовал разработке аналитического стратегического отчета-прогноза для региона и определению на его основе региональных приоритетов. В</w:t>
      </w:r>
      <w:r w:rsidR="00B15C6B">
        <w:rPr>
          <w:lang w:val="en-GB"/>
        </w:rPr>
        <w:t> </w:t>
      </w:r>
      <w:r w:rsidR="006721A7" w:rsidRPr="00DD3ED8">
        <w:t xml:space="preserve">семинаре-практикуме приняли активное участие трое </w:t>
      </w:r>
      <w:proofErr w:type="spellStart"/>
      <w:r w:rsidR="006721A7" w:rsidRPr="00DD3ED8">
        <w:t>GCYE</w:t>
      </w:r>
      <w:proofErr w:type="spellEnd"/>
      <w:r w:rsidR="006721A7" w:rsidRPr="00DD3ED8">
        <w:t xml:space="preserve"> из арабских стран, что позволило узнать о мнениях и приоритетах следующего поколения.</w:t>
      </w:r>
    </w:p>
    <w:p w14:paraId="48FEA303" w14:textId="731FAF04" w:rsidR="006721A7" w:rsidRPr="00DD3ED8" w:rsidRDefault="006721A7" w:rsidP="00CB21A7">
      <w:pPr>
        <w:pStyle w:val="Headingbblue"/>
      </w:pPr>
      <w:proofErr w:type="spellStart"/>
      <w:r w:rsidRPr="00DD3ED8">
        <w:lastRenderedPageBreak/>
        <w:t>ARB5</w:t>
      </w:r>
      <w:proofErr w:type="spellEnd"/>
      <w:r w:rsidRPr="00DD3ED8">
        <w:t>: Разработка механизмов цифрового регулирования</w:t>
      </w:r>
    </w:p>
    <w:p w14:paraId="6BC09636" w14:textId="3B3EB6D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феврале 2024 года в Омане и в июле 2024 года в Катаре состоялись национальные семинары-практикумы по совместному цифровому регулированию. В ходе этих семинаров-практикумов основное внимание уделялось эволюции процессов регулирования ИКТ и применению </w:t>
      </w:r>
      <w:r w:rsidR="0037291F" w:rsidRPr="00DD3ED8">
        <w:t>Е</w:t>
      </w:r>
      <w:r w:rsidR="006721A7" w:rsidRPr="00DD3ED8">
        <w:t xml:space="preserve">диной </w:t>
      </w:r>
      <w:r w:rsidR="0037291F" w:rsidRPr="00DD3ED8">
        <w:t xml:space="preserve">рамочной </w:t>
      </w:r>
      <w:r w:rsidR="006721A7" w:rsidRPr="00DD3ED8">
        <w:t>основы и показателей регуляторной деятельности</w:t>
      </w:r>
      <w:r w:rsidR="0037291F" w:rsidRPr="00DD3ED8">
        <w:t xml:space="preserve"> </w:t>
      </w:r>
      <w:r w:rsidR="0037291F" w:rsidRPr="00DD3ED8">
        <w:rPr>
          <w:rFonts w:ascii="Segoe UI" w:hAnsi="Segoe UI" w:cs="Segoe UI"/>
          <w:color w:val="000000"/>
          <w:sz w:val="20"/>
          <w:shd w:val="clear" w:color="auto" w:fill="FFFFFF"/>
        </w:rPr>
        <w:t>МСЭ</w:t>
      </w:r>
      <w:r w:rsidR="006721A7" w:rsidRPr="00DD3ED8">
        <w:t>, что позволило заинтересованным сторонам лучше понять регуляторные инструменты, способствующие эффективной выработке и оценке политики в обеих странах.</w:t>
      </w:r>
    </w:p>
    <w:p w14:paraId="564F7394" w14:textId="6FFA1FB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БРЭ разработало обзор совместного цифрового регулирования для Омана и в настоящее время завершает работу над аналогичным обзором для Катара. В каждом из этих обзоров рассматривается воздействие совместного управления и использования передовых регуляторных инструментов на регулирование ИКТ и цифровых рынков, а также предлагаются практические рекомендации для укрепления </w:t>
      </w:r>
      <w:r w:rsidR="0037291F" w:rsidRPr="00DD3ED8">
        <w:t xml:space="preserve">этими странами своих </w:t>
      </w:r>
      <w:r w:rsidR="006721A7" w:rsidRPr="00DD3ED8">
        <w:t>регуляторных экосистем.</w:t>
      </w:r>
    </w:p>
    <w:p w14:paraId="4111C637" w14:textId="699F8AB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Был успешно завершен второй этап работы над обзором и анализом рынка ИКТ и системой ценового регулирования для Сирийского регуляторного органа электросвязи и почты (</w:t>
      </w:r>
      <w:proofErr w:type="spellStart"/>
      <w:r w:rsidR="006721A7" w:rsidRPr="00DD3ED8">
        <w:t>SyTPRA</w:t>
      </w:r>
      <w:proofErr w:type="spellEnd"/>
      <w:r w:rsidR="006721A7" w:rsidRPr="00DD3ED8">
        <w:t>). По итогам этого этапа министерство и регуляторный орган получили руководящие указания по доработке результатов обзора рынка и разработке рекомендаций по регулированию ценообразования на услуги ИКТ. В 2024 году БРЭ провело виртуальный национальный семинар-практикум с участием многих заинтересованных сторон, на который были приглашены все операторы сетей подвижной связи (</w:t>
      </w:r>
      <w:proofErr w:type="spellStart"/>
      <w:r w:rsidR="006721A7" w:rsidRPr="00DD3ED8">
        <w:t>MNO</w:t>
      </w:r>
      <w:proofErr w:type="spellEnd"/>
      <w:r w:rsidR="006721A7" w:rsidRPr="00DD3ED8">
        <w:t>), поставщики услуг интернета (ПУИ) в Сирии и другие ключевые представители для обсуждения системы ценообразования и содействия совместной работе.</w:t>
      </w:r>
    </w:p>
    <w:p w14:paraId="61EDF077" w14:textId="289A7E2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МСЭ провел несколько сессий в разных странах, сделав акцент на НРС, чтобы </w:t>
      </w:r>
      <w:r w:rsidR="00BB01F8" w:rsidRPr="00DD3ED8">
        <w:t>разъяснить механизмы МСЭ по отслеживанию нормативно-правовой базы (</w:t>
      </w:r>
      <w:proofErr w:type="spellStart"/>
      <w:r w:rsidR="00BB01F8" w:rsidRPr="00DD3ED8">
        <w:t>Regulatory</w:t>
      </w:r>
      <w:proofErr w:type="spellEnd"/>
      <w:r w:rsidR="00BB01F8" w:rsidRPr="00DD3ED8">
        <w:t xml:space="preserve"> </w:t>
      </w:r>
      <w:proofErr w:type="spellStart"/>
      <w:r w:rsidR="00BB01F8" w:rsidRPr="00DD3ED8">
        <w:t>Tracker</w:t>
      </w:r>
      <w:proofErr w:type="spellEnd"/>
      <w:r w:rsidR="00BB01F8" w:rsidRPr="00DD3ED8">
        <w:t xml:space="preserve">) и сравнительной оценке G5 (G5 </w:t>
      </w:r>
      <w:proofErr w:type="spellStart"/>
      <w:r w:rsidR="00BB01F8" w:rsidRPr="00DD3ED8">
        <w:t>Benchmark</w:t>
      </w:r>
      <w:proofErr w:type="spellEnd"/>
      <w:r w:rsidR="00BB01F8" w:rsidRPr="00DD3ED8">
        <w:t>)</w:t>
      </w:r>
      <w:r w:rsidR="006721A7" w:rsidRPr="00DD3ED8">
        <w:t>. Участники этих сессий смогли углубить понимание инструментов МСЭ и их применения в интересах развития цифрового регулирования.</w:t>
      </w:r>
    </w:p>
    <w:p w14:paraId="002EDFD3" w14:textId="49E683E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ноябре 2024 года МСЭ инициировал подписание дополнительного документа по проекту с Саудовской Аравией, с тем чтобы расширить свою деятельность по развитию потенциала, усилив таким образом поддержку Государств – Членов МСЭ. Этот дополнительный документ разработан таким образом, чтобы способствовать углублению профессиональных знаний в области цифрового регулирования и цифровой трансформации, </w:t>
      </w:r>
      <w:r w:rsidR="00BB01F8" w:rsidRPr="00DD3ED8">
        <w:t>гарантируя</w:t>
      </w:r>
      <w:r w:rsidR="006721A7" w:rsidRPr="00DD3ED8">
        <w:t xml:space="preserve"> следование лучшим мировым практикам. В рамках этой инициативы представителям директивных и регуляторных органов предоставляются возможности для узкоспециализированного обучения и обмена знаниями, в результате чего они приобретают навыки, необходимые для того, чтобы ориентироваться в постоянно меняющейся цифровой среде. Предполагается, что путем укрепления сотрудничества и институционального потенциала проект будет способствовать устойчивому прогрессу в области цифрового управления во многих странах.</w:t>
      </w:r>
    </w:p>
    <w:p w14:paraId="2C801EEB" w14:textId="620FC7C3" w:rsidR="006721A7" w:rsidRPr="00DD3ED8" w:rsidRDefault="00CB21A7" w:rsidP="00CB21A7">
      <w:pPr>
        <w:pStyle w:val="Headingbblue"/>
      </w:pPr>
      <w:r w:rsidRPr="00DD3ED8">
        <w:t>АЗИАТСКО-ТИХООКЕАНСКИЙ РЕГИОН</w:t>
      </w:r>
    </w:p>
    <w:p w14:paraId="4A2ED75E" w14:textId="1AB70861" w:rsidR="006721A7" w:rsidRPr="00DD3ED8" w:rsidRDefault="006721A7" w:rsidP="006721A7">
      <w:pPr>
        <w:rPr>
          <w:b/>
          <w:bCs/>
        </w:rPr>
      </w:pPr>
      <w:r w:rsidRPr="00DD3ED8">
        <w:rPr>
          <w:b/>
          <w:bCs/>
        </w:rPr>
        <w:t xml:space="preserve">Региональное отделение для Азиатско-Тихоокеанского региона продолжает активно работать над осуществлением нескольких проектов и мероприятий в регионе, главным образом путем оказания поддержки Государствам-Членам в рамках многостороннего партнерства в целях ускорения цифровой трансформации и перехода к цифровой экономике, повышения уровня развития цифровых навыков и развития сотрудничества в целях улучшения возможности установления соединений. Эти усилия согласуются с четырьмя региональными инициативами, изложенными </w:t>
      </w:r>
      <w:r w:rsidRPr="00DD3ED8">
        <w:rPr>
          <w:b/>
          <w:bCs/>
        </w:rPr>
        <w:lastRenderedPageBreak/>
        <w:t>в</w:t>
      </w:r>
      <w:r w:rsidR="00B15C6B">
        <w:rPr>
          <w:b/>
          <w:bCs/>
          <w:lang w:val="en-GB"/>
        </w:rPr>
        <w:t> </w:t>
      </w:r>
      <w:r w:rsidRPr="00DD3ED8">
        <w:rPr>
          <w:b/>
          <w:bCs/>
        </w:rPr>
        <w:t xml:space="preserve">Кигалийском плане действий (КПД). </w:t>
      </w:r>
      <w:r w:rsidR="007C30E0" w:rsidRPr="00DD3ED8">
        <w:rPr>
          <w:b/>
          <w:bCs/>
        </w:rPr>
        <w:t>Ниже приведены ключевые итоги деятельности и достижения в рамках каждой из региональных инициатив.</w:t>
      </w:r>
    </w:p>
    <w:p w14:paraId="0208FB42" w14:textId="77777777" w:rsidR="006721A7" w:rsidRPr="00DD3ED8" w:rsidRDefault="006721A7" w:rsidP="00CB21A7">
      <w:pPr>
        <w:pStyle w:val="Headingbblue"/>
      </w:pPr>
      <w:proofErr w:type="spellStart"/>
      <w:r w:rsidRPr="00DD3ED8">
        <w:t>ASP1</w:t>
      </w:r>
      <w:proofErr w:type="spellEnd"/>
      <w:r w:rsidRPr="00DD3ED8">
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14:paraId="2D9BB8BE" w14:textId="6EBC996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При поддержке DITRDCA </w:t>
      </w:r>
      <w:r w:rsidR="00BB01F8" w:rsidRPr="00DD3ED8">
        <w:t>Австралии</w:t>
      </w:r>
      <w:r w:rsidR="006721A7" w:rsidRPr="00DD3ED8">
        <w:t xml:space="preserve"> был подготовлен, распространен и рассмотрен совместно с членами МСЭ в Тихоокеанском регионе проект отчета об оценке потребностей и технико-экономическом обосновании. Кроме того, в результате </w:t>
      </w:r>
      <w:hyperlink r:id="rId14" w:history="1">
        <w:r w:rsidR="00CB21A7">
          <w:rPr>
            <w:rStyle w:val="Hyperlink"/>
          </w:rPr>
          <w:t>С</w:t>
        </w:r>
        <w:r w:rsidR="006721A7" w:rsidRPr="00CB21A7">
          <w:rPr>
            <w:rStyle w:val="Hyperlink"/>
          </w:rPr>
          <w:t>еминара-практикума по цифровой трансформации для Тихоокеанского региона</w:t>
        </w:r>
      </w:hyperlink>
      <w:r w:rsidR="006721A7" w:rsidRPr="00DD3ED8">
        <w:t>, состоявшегося 12–14 февраля 2025 года в Суве (Фиджи), в Тихоокеанском регионе повысилась осведомленность о цифровой трансформации и были собраны дополнительные входные данные для проекта отчета о технико-экономическом обосновании.</w:t>
      </w:r>
    </w:p>
    <w:p w14:paraId="4A0B197B" w14:textId="6E9603B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МСЭ при поддержке Объединенного фонда ЦУР ООН руководит проектом цифровой трансформации для повышения устойчивости сообществ в Микронезии. В рамках этого проекта Науру, Кирибати и Федеративным Штатам Микронезии была оказана помощь в разработке проектов цифровых стратегий. Реализация инициативы "Умные острова" продолжалась в Кирибати, Республике Маршалловы Острова (</w:t>
      </w:r>
      <w:proofErr w:type="spellStart"/>
      <w:r w:rsidR="006721A7" w:rsidRPr="00DD3ED8">
        <w:t>RMI</w:t>
      </w:r>
      <w:proofErr w:type="spellEnd"/>
      <w:r w:rsidR="006721A7" w:rsidRPr="00DD3ED8">
        <w:t xml:space="preserve">), Палау, Науру и Федеративных Штатах Микронезии. В частности, в </w:t>
      </w:r>
      <w:proofErr w:type="spellStart"/>
      <w:r w:rsidR="006721A7" w:rsidRPr="00DD3ED8">
        <w:t>RMI</w:t>
      </w:r>
      <w:proofErr w:type="spellEnd"/>
      <w:r w:rsidR="006721A7" w:rsidRPr="00DD3ED8">
        <w:t xml:space="preserve"> был создан цифровой центр, и во всех пяти странах прошли мероприятия по развитию цифровых навыков.</w:t>
      </w:r>
    </w:p>
    <w:p w14:paraId="26DD66F7" w14:textId="0C19E45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Более 2200 членов сообществ в пяти странах Микронезии углубили свою осведомленность и цифровые навыки, а также был укреплен потенциал государственных должностных лиц и заинтересованных сторон в области цифровой трансформации и кибербезопасности.</w:t>
      </w:r>
    </w:p>
    <w:p w14:paraId="16C3DF0F" w14:textId="5859BB7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Папуа — Новой Гвинее на уровне провинций была разработана стратегия в области электронного сельского хозяйства, а также в сотрудничестве с ФАО разрабатывается система управления информацией в области сельского хозяйства (</w:t>
      </w:r>
      <w:proofErr w:type="spellStart"/>
      <w:r w:rsidR="006721A7" w:rsidRPr="00DD3ED8">
        <w:t>MIS</w:t>
      </w:r>
      <w:proofErr w:type="spellEnd"/>
      <w:r w:rsidR="006721A7" w:rsidRPr="00DD3ED8">
        <w:t xml:space="preserve">). Кроме того, в провинции Восточный и Западный </w:t>
      </w:r>
      <w:proofErr w:type="spellStart"/>
      <w:r w:rsidR="006721A7" w:rsidRPr="00DD3ED8">
        <w:t>Сепик</w:t>
      </w:r>
      <w:proofErr w:type="spellEnd"/>
      <w:r w:rsidR="006721A7" w:rsidRPr="00DD3ED8">
        <w:t xml:space="preserve"> были созданы семь ресурсных центров, и был укреплен потенциал 1264 предпринимателей, принявших участие в более чем 10 онлайн-тренингах на платформе </w:t>
      </w:r>
      <w:proofErr w:type="spellStart"/>
      <w:r w:rsidR="006721A7" w:rsidRPr="00DD3ED8">
        <w:t>LMS</w:t>
      </w:r>
      <w:proofErr w:type="spellEnd"/>
      <w:r w:rsidR="006721A7" w:rsidRPr="00DD3ED8">
        <w:t>.</w:t>
      </w:r>
    </w:p>
    <w:p w14:paraId="7351074E" w14:textId="057A9B1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Существенно укрепившиеся партнерские отношения с учреждениями ООН (страновыми группами ООН), региональными организациями (АСЕАН, </w:t>
      </w:r>
      <w:proofErr w:type="spellStart"/>
      <w:r w:rsidR="006721A7" w:rsidRPr="00DD3ED8">
        <w:t>PITA</w:t>
      </w:r>
      <w:proofErr w:type="spellEnd"/>
      <w:r w:rsidR="006721A7" w:rsidRPr="00DD3ED8">
        <w:t xml:space="preserve">, </w:t>
      </w:r>
      <w:proofErr w:type="spellStart"/>
      <w:r w:rsidR="006721A7" w:rsidRPr="00DD3ED8">
        <w:t>ИСОК</w:t>
      </w:r>
      <w:proofErr w:type="spellEnd"/>
      <w:r w:rsidR="006721A7" w:rsidRPr="00DD3ED8">
        <w:t xml:space="preserve">) и </w:t>
      </w:r>
      <w:r w:rsidR="00194986" w:rsidRPr="00DD3ED8">
        <w:t>а</w:t>
      </w:r>
      <w:r w:rsidR="006721A7" w:rsidRPr="00DD3ED8">
        <w:t>кадемическими организациями способствовали впоследствии получению финансирования от других структур, например Совместного фонда ЦУР и АБР, а также привлечению партнеров на национальном уровне.</w:t>
      </w:r>
    </w:p>
    <w:p w14:paraId="069238C5" w14:textId="4B9D157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Полученные выводы распространялись (и продолжают распространяться) на таких важных форумах, как "Группа двадцати" (Индонезия, 2022 год), Стратегический форум и ежегодная ассамблея </w:t>
      </w:r>
      <w:proofErr w:type="spellStart"/>
      <w:r w:rsidR="006721A7" w:rsidRPr="00DD3ED8">
        <w:t>PITA</w:t>
      </w:r>
      <w:proofErr w:type="spellEnd"/>
      <w:r w:rsidR="006721A7" w:rsidRPr="00DD3ED8">
        <w:t>, на веб-сайте МСЭ, на РФР-АТР, в рамках национальных семинаров-практикумов и на других подобных мероприятиях.</w:t>
      </w:r>
    </w:p>
    <w:p w14:paraId="329893BE" w14:textId="77777777" w:rsidR="006721A7" w:rsidRPr="00DD3ED8" w:rsidRDefault="006721A7" w:rsidP="00CB21A7">
      <w:pPr>
        <w:pStyle w:val="Headingbblue"/>
      </w:pPr>
      <w:proofErr w:type="spellStart"/>
      <w:r w:rsidRPr="00DD3ED8">
        <w:t>ASP2</w:t>
      </w:r>
      <w:proofErr w:type="spellEnd"/>
      <w:r w:rsidRPr="00DD3ED8">
        <w:t>: Использование информационно-коммуникационных технологий для поддержки цифровой экономики и открытых для всех цифровых обществ</w:t>
      </w:r>
    </w:p>
    <w:p w14:paraId="2268A004" w14:textId="46F405A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населенных пунктах </w:t>
      </w:r>
      <w:proofErr w:type="spellStart"/>
      <w:r w:rsidR="006721A7" w:rsidRPr="00DD3ED8">
        <w:t>Гокина</w:t>
      </w:r>
      <w:proofErr w:type="spellEnd"/>
      <w:r w:rsidR="006721A7" w:rsidRPr="00DD3ED8">
        <w:t xml:space="preserve"> и </w:t>
      </w:r>
      <w:proofErr w:type="spellStart"/>
      <w:r w:rsidR="006721A7" w:rsidRPr="00DD3ED8">
        <w:t>Самбриял</w:t>
      </w:r>
      <w:proofErr w:type="spellEnd"/>
      <w:r w:rsidR="00194986" w:rsidRPr="00DD3ED8">
        <w:t xml:space="preserve"> (</w:t>
      </w:r>
      <w:r w:rsidR="006721A7" w:rsidRPr="00DD3ED8">
        <w:t>Пакистан</w:t>
      </w:r>
      <w:r w:rsidR="00194986" w:rsidRPr="00DD3ED8">
        <w:t>)</w:t>
      </w:r>
      <w:r w:rsidR="006721A7" w:rsidRPr="00DD3ED8">
        <w:t xml:space="preserve"> в партнерстве с Huawei Technologies Co. Ltd. были созданы "умные" деревни (</w:t>
      </w:r>
      <w:proofErr w:type="spellStart"/>
      <w:r w:rsidR="006721A7" w:rsidRPr="00DD3ED8">
        <w:t>SV</w:t>
      </w:r>
      <w:proofErr w:type="spellEnd"/>
      <w:r w:rsidR="006721A7" w:rsidRPr="00DD3ED8">
        <w:t xml:space="preserve">). Наряду с созданием возможности установления соединений в сельских районах проект способствовал развитию цифровых навыков и обеспечил доступ к целому ряду услуг, таких как услуги цифрового образования и цифрового здравоохранения, для поддержки сельских и отдаленных сообществ, причем особое внимание было уделено уязвимым группам населения. </w:t>
      </w:r>
      <w:r w:rsidR="006721A7" w:rsidRPr="00DD3ED8">
        <w:lastRenderedPageBreak/>
        <w:t>В</w:t>
      </w:r>
      <w:r w:rsidR="00B15C6B">
        <w:rPr>
          <w:lang w:val="en-GB"/>
        </w:rPr>
        <w:t> </w:t>
      </w:r>
      <w:r w:rsidR="006721A7" w:rsidRPr="00DD3ED8">
        <w:t xml:space="preserve">рамках проекта </w:t>
      </w:r>
      <w:proofErr w:type="spellStart"/>
      <w:r w:rsidR="006721A7" w:rsidRPr="00DD3ED8">
        <w:t>SV</w:t>
      </w:r>
      <w:proofErr w:type="spellEnd"/>
      <w:r w:rsidR="006721A7" w:rsidRPr="00DD3ED8">
        <w:t xml:space="preserve"> </w:t>
      </w:r>
      <w:r w:rsidR="00194986" w:rsidRPr="00DD3ED8">
        <w:t>в Пакистане</w:t>
      </w:r>
      <w:r w:rsidR="006721A7" w:rsidRPr="00DD3ED8">
        <w:t xml:space="preserve"> планируется создать третью "умную" деревню в </w:t>
      </w:r>
      <w:proofErr w:type="spellStart"/>
      <w:r w:rsidR="006721A7" w:rsidRPr="00DD3ED8">
        <w:t>Сваби</w:t>
      </w:r>
      <w:proofErr w:type="spellEnd"/>
      <w:r w:rsidR="006721A7" w:rsidRPr="00DD3ED8">
        <w:t xml:space="preserve"> в 2025 году.</w:t>
      </w:r>
    </w:p>
    <w:p w14:paraId="22CF7194" w14:textId="6A7921F4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рамках Совместных программ, финансируемых проектом по линии ЦУР для стран Тихоокеанского региона, были достигнуты важные вехи в развитии цифровой политики, инфраструктуры и цифровой грамотности на Фиджи, Соломоновых Островах, </w:t>
      </w:r>
      <w:r w:rsidR="00194986" w:rsidRPr="00DD3ED8">
        <w:t xml:space="preserve">в Королевстве </w:t>
      </w:r>
      <w:r w:rsidR="006721A7" w:rsidRPr="00DD3ED8">
        <w:t xml:space="preserve">Тонга и </w:t>
      </w:r>
      <w:r w:rsidR="00194986" w:rsidRPr="00DD3ED8">
        <w:t xml:space="preserve">Республике </w:t>
      </w:r>
      <w:r w:rsidR="006721A7" w:rsidRPr="00DD3ED8">
        <w:t>Вануату, в поддержку ускоренного достижения ЦУР в Микронезии. Политический фундамент был укреплен благодаря прямой помощи, оказанной странам в области совместного использования инфраструктуры и политики универсального доступа и обслуживания в Республике Вануату и Королевстве Тонга.</w:t>
      </w:r>
    </w:p>
    <w:p w14:paraId="0B44F01E" w14:textId="441882E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ходе комплексных оценок местных потребностей в </w:t>
      </w:r>
      <w:proofErr w:type="spellStart"/>
      <w:r w:rsidR="006721A7" w:rsidRPr="00DD3ED8">
        <w:t>Оваке</w:t>
      </w:r>
      <w:proofErr w:type="spellEnd"/>
      <w:r w:rsidR="006721A7" w:rsidRPr="00DD3ED8">
        <w:t xml:space="preserve"> и </w:t>
      </w:r>
      <w:proofErr w:type="spellStart"/>
      <w:r w:rsidR="006721A7" w:rsidRPr="00DD3ED8">
        <w:t>Хунге</w:t>
      </w:r>
      <w:proofErr w:type="spellEnd"/>
      <w:r w:rsidR="006721A7" w:rsidRPr="00DD3ED8">
        <w:t xml:space="preserve"> в </w:t>
      </w:r>
      <w:r w:rsidR="00194986" w:rsidRPr="00DD3ED8">
        <w:t xml:space="preserve">Королевстве </w:t>
      </w:r>
      <w:r w:rsidR="006721A7" w:rsidRPr="00DD3ED8">
        <w:t xml:space="preserve">Тонга и </w:t>
      </w:r>
      <w:proofErr w:type="spellStart"/>
      <w:r w:rsidR="006721A7" w:rsidRPr="00DD3ED8">
        <w:t>Ротуме</w:t>
      </w:r>
      <w:proofErr w:type="spellEnd"/>
      <w:r w:rsidR="006721A7" w:rsidRPr="00DD3ED8">
        <w:t xml:space="preserve"> на Фиджи были выявлены пробелы в возможности установления широкополосных соединений, приемлемости в ценовом отношении, цифровых навыках и услугах, после чего были составлены отчеты с практическими рекомендациями, призванные служить руководством при их реализации. </w:t>
      </w:r>
    </w:p>
    <w:p w14:paraId="6EBC6EF6" w14:textId="079D38F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 повышен уровень цифровой грамотности 1796 членов местных сообществ (из них 982 составили женщины) в </w:t>
      </w:r>
      <w:proofErr w:type="spellStart"/>
      <w:r w:rsidR="006721A7" w:rsidRPr="00DD3ED8">
        <w:t>Ротуме</w:t>
      </w:r>
      <w:proofErr w:type="spellEnd"/>
      <w:r w:rsidR="006721A7" w:rsidRPr="00DD3ED8">
        <w:t xml:space="preserve"> (Фиджи), </w:t>
      </w:r>
      <w:proofErr w:type="spellStart"/>
      <w:r w:rsidR="006721A7" w:rsidRPr="00DD3ED8">
        <w:t>Хунге</w:t>
      </w:r>
      <w:proofErr w:type="spellEnd"/>
      <w:r w:rsidR="006721A7" w:rsidRPr="00DD3ED8">
        <w:t xml:space="preserve"> (Тонга), Южной </w:t>
      </w:r>
      <w:proofErr w:type="spellStart"/>
      <w:r w:rsidR="006721A7" w:rsidRPr="00DD3ED8">
        <w:t>Малекуле</w:t>
      </w:r>
      <w:proofErr w:type="spellEnd"/>
      <w:r w:rsidR="006721A7" w:rsidRPr="00DD3ED8">
        <w:t xml:space="preserve"> (Вануату), а</w:t>
      </w:r>
      <w:r w:rsidR="00B15C6B">
        <w:rPr>
          <w:lang w:val="en-GB"/>
        </w:rPr>
        <w:t> </w:t>
      </w:r>
      <w:r w:rsidR="006721A7" w:rsidRPr="00DD3ED8">
        <w:t xml:space="preserve">также состоялось обучение цифровым навыкам в деревне </w:t>
      </w:r>
      <w:proofErr w:type="spellStart"/>
      <w:r w:rsidR="006721A7" w:rsidRPr="00DD3ED8">
        <w:t>Шуазель</w:t>
      </w:r>
      <w:proofErr w:type="spellEnd"/>
      <w:r w:rsidR="006721A7" w:rsidRPr="00DD3ED8">
        <w:t xml:space="preserve">-Бей и </w:t>
      </w:r>
      <w:proofErr w:type="spellStart"/>
      <w:r w:rsidR="006721A7" w:rsidRPr="00DD3ED8">
        <w:t>Ауки</w:t>
      </w:r>
      <w:proofErr w:type="spellEnd"/>
      <w:r w:rsidR="006721A7" w:rsidRPr="00DD3ED8">
        <w:t xml:space="preserve"> (Соломоновы Острова), а также в </w:t>
      </w:r>
      <w:proofErr w:type="spellStart"/>
      <w:r w:rsidR="006721A7" w:rsidRPr="00DD3ED8">
        <w:t>Нукуфетау</w:t>
      </w:r>
      <w:proofErr w:type="spellEnd"/>
      <w:r w:rsidR="006721A7" w:rsidRPr="00DD3ED8">
        <w:t xml:space="preserve"> (Тувалу). </w:t>
      </w:r>
    </w:p>
    <w:p w14:paraId="4DF9B8D2" w14:textId="15D3FF6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Южной </w:t>
      </w:r>
      <w:proofErr w:type="spellStart"/>
      <w:r w:rsidR="006721A7" w:rsidRPr="00DD3ED8">
        <w:t>Малекуле</w:t>
      </w:r>
      <w:proofErr w:type="spellEnd"/>
      <w:r w:rsidR="006721A7" w:rsidRPr="00DD3ED8">
        <w:t xml:space="preserve"> (Вануату), </w:t>
      </w:r>
      <w:proofErr w:type="spellStart"/>
      <w:r w:rsidR="006721A7" w:rsidRPr="00DD3ED8">
        <w:t>Хунге</w:t>
      </w:r>
      <w:proofErr w:type="spellEnd"/>
      <w:r w:rsidR="006721A7" w:rsidRPr="00DD3ED8">
        <w:t xml:space="preserve"> (Тонга) и </w:t>
      </w:r>
      <w:proofErr w:type="spellStart"/>
      <w:r w:rsidR="006721A7" w:rsidRPr="00DD3ED8">
        <w:t>Ротуме</w:t>
      </w:r>
      <w:proofErr w:type="spellEnd"/>
      <w:r w:rsidR="006721A7" w:rsidRPr="00DD3ED8">
        <w:t xml:space="preserve"> (Фиджи) были созданы "умные" классы, позволяющие использовать преобразующие возможности электронного обучения, использовать системы онлайновых платежей и получать доступ к медицине посредством телеконсультаций. </w:t>
      </w:r>
    </w:p>
    <w:p w14:paraId="00342809" w14:textId="00FB034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Содействие внедрению цифровых услуг оказала реализация инициативы "Умные острова" в Папуа — Новой Гвинее (</w:t>
      </w:r>
      <w:proofErr w:type="spellStart"/>
      <w:r w:rsidR="006721A7" w:rsidRPr="00DD3ED8">
        <w:t>Маприк</w:t>
      </w:r>
      <w:proofErr w:type="spellEnd"/>
      <w:r w:rsidR="006721A7" w:rsidRPr="00DD3ED8">
        <w:t xml:space="preserve">), Вануату (Южная </w:t>
      </w:r>
      <w:proofErr w:type="spellStart"/>
      <w:r w:rsidR="006721A7" w:rsidRPr="00DD3ED8">
        <w:t>Малекула</w:t>
      </w:r>
      <w:proofErr w:type="spellEnd"/>
      <w:r w:rsidR="006721A7" w:rsidRPr="00DD3ED8">
        <w:t>) и Фиджи (</w:t>
      </w:r>
      <w:proofErr w:type="spellStart"/>
      <w:r w:rsidR="006721A7" w:rsidRPr="00DD3ED8">
        <w:t>Ротума</w:t>
      </w:r>
      <w:proofErr w:type="spellEnd"/>
      <w:r w:rsidR="006721A7" w:rsidRPr="00DD3ED8">
        <w:t>), включая оценку потребностей выявленных островов и уровня цифровых навыков.</w:t>
      </w:r>
    </w:p>
    <w:p w14:paraId="6BF08947" w14:textId="5506278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Государствам – Членам МСЭ оказывалась помощь в более эффективном использовании ИКТ путем разработки цифровой </w:t>
      </w:r>
      <w:proofErr w:type="spellStart"/>
      <w:r w:rsidR="006721A7" w:rsidRPr="00DD3ED8">
        <w:t>общеправительственной</w:t>
      </w:r>
      <w:proofErr w:type="spellEnd"/>
      <w:r w:rsidR="006721A7" w:rsidRPr="00DD3ED8">
        <w:t xml:space="preserve"> информационной панели (Бутан), внедрения подхода "умных островов" к цифровому развитию на уровне сообществ (Самоа, Вануату) и расширения охвата цифровыми технологиями лиц с инвалидностью, а также посредством мероприятий, реализованных в рамках дня "Девушки в ИКТ" в Азиатско-Тихоокеанском регионе.</w:t>
      </w:r>
    </w:p>
    <w:p w14:paraId="05CF68DA" w14:textId="38BA100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Для Самоа и Вануату были разработаны национальные меры политики и стратегии в области цифровой трансформации и цифрового правительства. </w:t>
      </w:r>
    </w:p>
    <w:p w14:paraId="00F61F08" w14:textId="42A1A410" w:rsidR="006721A7" w:rsidRPr="00DD3ED8" w:rsidRDefault="006721A7" w:rsidP="00CB21A7">
      <w:pPr>
        <w:pStyle w:val="Headingbblue"/>
      </w:pPr>
      <w:proofErr w:type="spellStart"/>
      <w:r w:rsidRPr="00DD3ED8">
        <w:t>ASP3</w:t>
      </w:r>
      <w:proofErr w:type="spellEnd"/>
      <w:r w:rsidRPr="00DD3ED8">
        <w:t xml:space="preserve">: Содействие развитию инфраструктуры для расширения возможностей установления цифровых соединений и подключения тех, кто </w:t>
      </w:r>
      <w:r w:rsidR="002F7A6B" w:rsidRPr="00DD3ED8">
        <w:t xml:space="preserve">еще </w:t>
      </w:r>
      <w:r w:rsidRPr="00DD3ED8">
        <w:t>не подключен</w:t>
      </w:r>
    </w:p>
    <w:p w14:paraId="7D113358" w14:textId="6EDFEA4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Проведена национальная оценка разрывов в способности инфраструктуры к восстановлению, подготовленности, приемлемости услуг в ценовом отношении и </w:t>
      </w:r>
      <w:proofErr w:type="spellStart"/>
      <w:r w:rsidR="006721A7" w:rsidRPr="00DD3ED8">
        <w:t>EW4ALL</w:t>
      </w:r>
      <w:proofErr w:type="spellEnd"/>
      <w:r w:rsidR="006721A7" w:rsidRPr="00DD3ED8">
        <w:t xml:space="preserve"> для Королевства Тонга и для Соломоновых Островов. Аналогичные оценки для Кирибати, Самоа и Мальдив находятся на стадии утверждения национальными заинтересованными сторонами.</w:t>
      </w:r>
    </w:p>
    <w:p w14:paraId="17EBB514" w14:textId="1F2C6C1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Исследования (исследование в рамках "Группы двадцати", исследование МСЭ-</w:t>
      </w:r>
      <w:proofErr w:type="spellStart"/>
      <w:r w:rsidR="006721A7" w:rsidRPr="00DD3ED8">
        <w:t>ИСОК</w:t>
      </w:r>
      <w:proofErr w:type="spellEnd"/>
      <w:r w:rsidR="006721A7" w:rsidRPr="00DD3ED8">
        <w:t>, оценка потребностей "умных островов", исследование о повышении доступности цифровой инфраструктуры) способствовали развитию цифровой инфраструктуры в сельских и отдаленных районах по всему региону, а также послужили стимулом для такого развития.</w:t>
      </w:r>
    </w:p>
    <w:p w14:paraId="488E73E4" w14:textId="063C237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Было проведено восемь технических мероприятий на уровне стран по оказанию помощи и оценке: в Королевстве Тонга (QoS/E в инфраструктуре электросвязи с особым </w:t>
      </w:r>
      <w:r w:rsidR="006721A7" w:rsidRPr="00DD3ED8">
        <w:lastRenderedPageBreak/>
        <w:t>вниманием к ключевым показателям деятельности (KPI) для обеспечения способности инфраструктуры к восстановлению), в Монголии (оценка готовности к национальному роумингу), в Шри-Ланке (приемлемость в ценовом отношении доступа к ИКТ на основе совместного использования инфраструктуры), в Непале, Бутане, Лаосе</w:t>
      </w:r>
      <w:r w:rsidR="00194986" w:rsidRPr="00DD3ED8">
        <w:t xml:space="preserve">, на </w:t>
      </w:r>
      <w:r w:rsidR="006721A7" w:rsidRPr="00DD3ED8">
        <w:t>Филиппинах (анализ разрывов и рекомендации относительно мер политики для повышения приемлемости услуг в ценовом отношении и способности инфраструктуры электросвязи к восстановлению)</w:t>
      </w:r>
      <w:r w:rsidR="00194986" w:rsidRPr="00DD3ED8">
        <w:t xml:space="preserve"> и </w:t>
      </w:r>
      <w:r w:rsidR="006721A7" w:rsidRPr="00DD3ED8">
        <w:t>на Фиджи (оценка модели передачи цифрового телевидения для Фиджи). Кроме того, было проведено исследование на тему "Устойчивая национальная инфраструктура ИКТ: соображения, основанные на оценках разрывов в Азиатско-Тихоокеанском регионе". Ключевые выводы, сделанные на основе этих оценок, были представлены на региональных мероприятиях, таких как Азиатский саммит СМИ 2024 года.</w:t>
      </w:r>
    </w:p>
    <w:p w14:paraId="1C00D170" w14:textId="660CEE6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6 мероприятий: </w:t>
      </w:r>
      <w:hyperlink r:id="rId15" w:history="1">
        <w:r w:rsidR="006721A7" w:rsidRPr="00CB21A7">
          <w:rPr>
            <w:rStyle w:val="Hyperlink"/>
          </w:rPr>
          <w:t xml:space="preserve">РСР-22 </w:t>
        </w:r>
        <w:r w:rsidR="00194986" w:rsidRPr="00CB21A7">
          <w:rPr>
            <w:rStyle w:val="Hyperlink"/>
          </w:rPr>
          <w:t>—</w:t>
        </w:r>
        <w:r w:rsidR="006721A7" w:rsidRPr="00CB21A7">
          <w:rPr>
            <w:rStyle w:val="Hyperlink"/>
          </w:rPr>
          <w:t xml:space="preserve"> АТР</w:t>
        </w:r>
      </w:hyperlink>
      <w:r w:rsidR="006721A7" w:rsidRPr="00DD3ED8">
        <w:t xml:space="preserve">, </w:t>
      </w:r>
      <w:hyperlink r:id="rId16" w:history="1">
        <w:r w:rsidR="006721A7" w:rsidRPr="00CB21A7">
          <w:rPr>
            <w:rStyle w:val="Hyperlink"/>
          </w:rPr>
          <w:t xml:space="preserve">LMC </w:t>
        </w:r>
        <w:r w:rsidR="00194986" w:rsidRPr="00CB21A7">
          <w:rPr>
            <w:rStyle w:val="Hyperlink"/>
          </w:rPr>
          <w:t>—</w:t>
        </w:r>
        <w:r w:rsidR="006721A7" w:rsidRPr="00CB21A7">
          <w:rPr>
            <w:rStyle w:val="Hyperlink"/>
          </w:rPr>
          <w:t xml:space="preserve"> АТР</w:t>
        </w:r>
      </w:hyperlink>
      <w:r w:rsidR="006721A7" w:rsidRPr="00DD3ED8">
        <w:t xml:space="preserve">, </w:t>
      </w:r>
      <w:hyperlink r:id="rId17" w:history="1">
        <w:r w:rsidR="006721A7" w:rsidRPr="00CB21A7">
          <w:rPr>
            <w:rStyle w:val="Hyperlink"/>
          </w:rPr>
          <w:t>МСЭ-</w:t>
        </w:r>
        <w:proofErr w:type="spellStart"/>
        <w:r w:rsidR="006721A7" w:rsidRPr="00CB21A7">
          <w:rPr>
            <w:rStyle w:val="Hyperlink"/>
          </w:rPr>
          <w:t>PITA</w:t>
        </w:r>
        <w:proofErr w:type="spellEnd"/>
        <w:r w:rsidR="006721A7" w:rsidRPr="00CB21A7">
          <w:rPr>
            <w:rStyle w:val="Hyperlink"/>
          </w:rPr>
          <w:t>: "Готовность систем электросвязи в чрезвычайных ситуациях, тестирование способности систем электросвязи восстанавливаться"</w:t>
        </w:r>
      </w:hyperlink>
      <w:r w:rsidR="006721A7" w:rsidRPr="00DD3ED8">
        <w:t xml:space="preserve">, </w:t>
      </w:r>
      <w:hyperlink r:id="rId18" w:history="1">
        <w:r w:rsidR="00B667A7" w:rsidRPr="00CB21A7">
          <w:rPr>
            <w:rStyle w:val="Hyperlink"/>
          </w:rPr>
          <w:t>м</w:t>
        </w:r>
        <w:r w:rsidR="006721A7" w:rsidRPr="00CB21A7">
          <w:rPr>
            <w:rStyle w:val="Hyperlink"/>
          </w:rPr>
          <w:t>астер-класс в рамках Азиатского саммита СМИ 2023 года</w:t>
        </w:r>
      </w:hyperlink>
      <w:r w:rsidR="006721A7" w:rsidRPr="00DD3ED8">
        <w:t xml:space="preserve">, </w:t>
      </w:r>
      <w:hyperlink r:id="rId19" w:history="1">
        <w:r w:rsidR="00B667A7" w:rsidRPr="00CB21A7">
          <w:rPr>
            <w:rStyle w:val="Hyperlink"/>
          </w:rPr>
          <w:t>м</w:t>
        </w:r>
        <w:r w:rsidR="006721A7" w:rsidRPr="00CB21A7">
          <w:rPr>
            <w:rStyle w:val="Hyperlink"/>
          </w:rPr>
          <w:t xml:space="preserve">астер-класс по радиовещанию и </w:t>
        </w:r>
        <w:proofErr w:type="spellStart"/>
        <w:r w:rsidR="006721A7" w:rsidRPr="00CB21A7">
          <w:rPr>
            <w:rStyle w:val="Hyperlink"/>
          </w:rPr>
          <w:t>MHEWS</w:t>
        </w:r>
        <w:proofErr w:type="spellEnd"/>
        <w:r w:rsidR="006721A7" w:rsidRPr="00CB21A7">
          <w:rPr>
            <w:rStyle w:val="Hyperlink"/>
          </w:rPr>
          <w:t xml:space="preserve"> 2024 года</w:t>
        </w:r>
      </w:hyperlink>
      <w:r w:rsidR="006721A7" w:rsidRPr="00DD3ED8">
        <w:t xml:space="preserve">, </w:t>
      </w:r>
      <w:hyperlink r:id="rId20" w:history="1">
        <w:r w:rsidR="006721A7" w:rsidRPr="00CB21A7">
          <w:rPr>
            <w:rStyle w:val="Hyperlink"/>
          </w:rPr>
          <w:t>семинар МСЭ-</w:t>
        </w:r>
        <w:proofErr w:type="spellStart"/>
        <w:r w:rsidR="006721A7" w:rsidRPr="00CB21A7">
          <w:rPr>
            <w:rStyle w:val="Hyperlink"/>
          </w:rPr>
          <w:t>ITTLLDC</w:t>
        </w:r>
        <w:proofErr w:type="spellEnd"/>
        <w:r w:rsidR="006721A7" w:rsidRPr="00CB21A7">
          <w:rPr>
            <w:rStyle w:val="Hyperlink"/>
          </w:rPr>
          <w:t>: "Спутниковые службы, национальная нормативно-правовая база и партнерства", 1–2 октября 2024 года, Улан-Батор</w:t>
        </w:r>
        <w:r w:rsidR="00B667A7" w:rsidRPr="00CB21A7">
          <w:rPr>
            <w:rStyle w:val="Hyperlink"/>
          </w:rPr>
          <w:t xml:space="preserve"> (</w:t>
        </w:r>
        <w:r w:rsidR="006721A7" w:rsidRPr="00CB21A7">
          <w:rPr>
            <w:rStyle w:val="Hyperlink"/>
          </w:rPr>
          <w:t>Монголия</w:t>
        </w:r>
        <w:r w:rsidR="00B667A7" w:rsidRPr="00CB21A7">
          <w:rPr>
            <w:rStyle w:val="Hyperlink"/>
          </w:rPr>
          <w:t>)</w:t>
        </w:r>
      </w:hyperlink>
      <w:r w:rsidR="00B667A7" w:rsidRPr="00DD3ED8">
        <w:t xml:space="preserve">, </w:t>
      </w:r>
      <w:r w:rsidR="006721A7" w:rsidRPr="00DD3ED8">
        <w:t>в рамках которого были повышены квалификация и технический потенциал более 226 участников.</w:t>
      </w:r>
    </w:p>
    <w:p w14:paraId="666F86D5" w14:textId="04F6DA95" w:rsidR="006721A7" w:rsidRPr="00DD3ED8" w:rsidRDefault="006721A7" w:rsidP="00CB21A7">
      <w:pPr>
        <w:pStyle w:val="Headingbblue"/>
      </w:pPr>
      <w:proofErr w:type="spellStart"/>
      <w:r w:rsidRPr="00DD3ED8">
        <w:t>ASP4</w:t>
      </w:r>
      <w:proofErr w:type="spellEnd"/>
      <w:r w:rsidRPr="00DD3ED8">
        <w:t xml:space="preserve">: </w:t>
      </w:r>
      <w:r w:rsidR="002F7A6B" w:rsidRPr="00DD3ED8">
        <w:t>Б</w:t>
      </w:r>
      <w:r w:rsidRPr="00DD3ED8">
        <w:t>лагоприятн</w:t>
      </w:r>
      <w:r w:rsidR="002F7A6B" w:rsidRPr="00DD3ED8">
        <w:t>ая</w:t>
      </w:r>
      <w:r w:rsidRPr="00DD3ED8">
        <w:t xml:space="preserve"> политическ</w:t>
      </w:r>
      <w:r w:rsidR="002F7A6B" w:rsidRPr="00DD3ED8">
        <w:t>ая</w:t>
      </w:r>
      <w:r w:rsidRPr="00DD3ED8">
        <w:t xml:space="preserve"> и регуляторн</w:t>
      </w:r>
      <w:r w:rsidR="002F7A6B" w:rsidRPr="00DD3ED8">
        <w:t>ая</w:t>
      </w:r>
      <w:r w:rsidRPr="00DD3ED8">
        <w:t xml:space="preserve"> сред</w:t>
      </w:r>
      <w:r w:rsidR="002F7A6B" w:rsidRPr="00DD3ED8">
        <w:t>а</w:t>
      </w:r>
      <w:r w:rsidRPr="00DD3ED8">
        <w:t xml:space="preserve"> для ускорения цифровой трансформации</w:t>
      </w:r>
    </w:p>
    <w:p w14:paraId="5F948EB7" w14:textId="4865E4F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521CF" w:rsidRPr="00DD3ED8">
        <w:t>В</w:t>
      </w:r>
      <w:r w:rsidR="006721A7" w:rsidRPr="00DD3ED8">
        <w:t>нес</w:t>
      </w:r>
      <w:r w:rsidR="006521CF" w:rsidRPr="00DD3ED8">
        <w:t>ен</w:t>
      </w:r>
      <w:r w:rsidR="006721A7" w:rsidRPr="00DD3ED8">
        <w:t xml:space="preserve"> вклад в подготовку Руководства АСЕАН по управлению и этике ИИ, в котором содержатся руководящие указания по этическим аспектам ИИ для субрегиона. В общей сложности в мероприятиях по оказанию технической помощи, в программах обмена, встречах, мероприятиях и консультациях принял участие 1231 человек (898 </w:t>
      </w:r>
      <w:r w:rsidR="00194986" w:rsidRPr="00DD3ED8">
        <w:t>—</w:t>
      </w:r>
      <w:r w:rsidR="006721A7" w:rsidRPr="00DD3ED8">
        <w:t xml:space="preserve"> </w:t>
      </w:r>
      <w:r w:rsidR="002E0030" w:rsidRPr="00DD3ED8">
        <w:t xml:space="preserve">вживую </w:t>
      </w:r>
      <w:r w:rsidR="006721A7" w:rsidRPr="00DD3ED8">
        <w:t xml:space="preserve">и 337 </w:t>
      </w:r>
      <w:r w:rsidR="00194986" w:rsidRPr="00DD3ED8">
        <w:t>—</w:t>
      </w:r>
      <w:r w:rsidR="006721A7" w:rsidRPr="00DD3ED8">
        <w:t xml:space="preserve"> онлайн). Совместно с УООН в Макао был подготовлен исследовательский отчет "Гендерно-чувствительная политика в области ИИ в Юго-Восточной Азии". По состоянию на декабрь 2024 года группа на LinkedIn "</w:t>
      </w:r>
      <w:proofErr w:type="spellStart"/>
      <w:r w:rsidR="006721A7" w:rsidRPr="00DD3ED8">
        <w:t>Women</w:t>
      </w:r>
      <w:proofErr w:type="spellEnd"/>
      <w:r w:rsidR="006721A7" w:rsidRPr="00DD3ED8">
        <w:t xml:space="preserve"> </w:t>
      </w:r>
      <w:proofErr w:type="spellStart"/>
      <w:r w:rsidR="006721A7" w:rsidRPr="00DD3ED8">
        <w:t>AI</w:t>
      </w:r>
      <w:proofErr w:type="spellEnd"/>
      <w:r w:rsidR="006721A7" w:rsidRPr="00DD3ED8">
        <w:t xml:space="preserve"> Policy Network </w:t>
      </w:r>
      <w:proofErr w:type="spellStart"/>
      <w:r w:rsidR="006721A7" w:rsidRPr="00DD3ED8">
        <w:t>in</w:t>
      </w:r>
      <w:proofErr w:type="spellEnd"/>
      <w:r w:rsidR="006721A7" w:rsidRPr="00DD3ED8">
        <w:t xml:space="preserve"> </w:t>
      </w:r>
      <w:proofErr w:type="spellStart"/>
      <w:r w:rsidR="006721A7" w:rsidRPr="00DD3ED8">
        <w:t>Southeast</w:t>
      </w:r>
      <w:proofErr w:type="spellEnd"/>
      <w:r w:rsidR="006721A7" w:rsidRPr="00DD3ED8">
        <w:t xml:space="preserve"> Asia" ("Женская сеть по политике в области ИИ в Юго-Восточной Азии") насчитывает 238 участников, из которых 196 – женщины.</w:t>
      </w:r>
    </w:p>
    <w:p w14:paraId="6133ED8D" w14:textId="080E111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ходе всесторонних консультаций был разработан Рамочный технический регламент цифрового правительства для стран АСЕАН, который впоследствии был одобрен на совещании министров цифровых технологий стран АСЕАН (</w:t>
      </w:r>
      <w:proofErr w:type="spellStart"/>
      <w:r w:rsidR="006721A7" w:rsidRPr="00DD3ED8">
        <w:t>ADGMIN</w:t>
      </w:r>
      <w:proofErr w:type="spellEnd"/>
      <w:r w:rsidR="006721A7" w:rsidRPr="00DD3ED8">
        <w:t>) в январе 2025 года. Для государств – членов АСЕАН был проведен семинар-практикум по общегосударственному подходу к цифровой трансформации государственного управления с использованием GovStack и по связанным с эт</w:t>
      </w:r>
      <w:r w:rsidR="002E0030" w:rsidRPr="00DD3ED8">
        <w:t xml:space="preserve">ой технологией </w:t>
      </w:r>
      <w:r w:rsidR="006721A7" w:rsidRPr="00DD3ED8">
        <w:t>темам, таким как цифровая идентификация, платежи и информационный посредник.</w:t>
      </w:r>
    </w:p>
    <w:p w14:paraId="202D29B8" w14:textId="1EB2FAD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Продолжается оказание прямой помощи Папуа</w:t>
      </w:r>
      <w:r w:rsidR="002E0030" w:rsidRPr="00DD3ED8">
        <w:t xml:space="preserve"> — </w:t>
      </w:r>
      <w:r w:rsidR="006721A7" w:rsidRPr="00DD3ED8">
        <w:t>Новой Гвинеи по внедрению GovStack, в том числе в области цифровой идентификации и связанных с ней структурных элементов</w:t>
      </w:r>
      <w:r w:rsidR="002E0030" w:rsidRPr="00DD3ED8">
        <w:t xml:space="preserve"> GovStack</w:t>
      </w:r>
      <w:r w:rsidR="006721A7" w:rsidRPr="00DD3ED8">
        <w:t>, таких как автоматические процессы и платежи</w:t>
      </w:r>
      <w:r w:rsidR="002E0030" w:rsidRPr="00DD3ED8">
        <w:t xml:space="preserve">. </w:t>
      </w:r>
      <w:r w:rsidR="006721A7" w:rsidRPr="00DD3ED8">
        <w:t xml:space="preserve">Для существующих и новых команд </w:t>
      </w:r>
      <w:r w:rsidR="002E0030" w:rsidRPr="00DD3ED8">
        <w:t>в настоящее время проводятся</w:t>
      </w:r>
      <w:r w:rsidR="006721A7" w:rsidRPr="00DD3ED8">
        <w:t xml:space="preserve"> сессии по укреплению потенциала, в которых принимают участие около четырехсот заинтересованных сторон из разных подразделений.</w:t>
      </w:r>
    </w:p>
    <w:p w14:paraId="7FA6361B" w14:textId="534D251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Лаосской Народно-Демократической Республике была оказана помощь в разработке информационной панели управления проектами (проект продолжается) и </w:t>
      </w:r>
      <w:r w:rsidR="002E0030" w:rsidRPr="00DD3ED8">
        <w:t xml:space="preserve">в </w:t>
      </w:r>
      <w:r w:rsidR="006721A7" w:rsidRPr="00DD3ED8">
        <w:t xml:space="preserve">подготовке семинаров-практикумов, посвященных GovStack, для </w:t>
      </w:r>
      <w:r w:rsidR="002E0030" w:rsidRPr="00DD3ED8">
        <w:t>команд</w:t>
      </w:r>
      <w:r w:rsidR="006721A7" w:rsidRPr="00DD3ED8">
        <w:t xml:space="preserve"> </w:t>
      </w:r>
      <w:proofErr w:type="spellStart"/>
      <w:r w:rsidR="006721A7" w:rsidRPr="00DD3ED8">
        <w:t>ЦГС</w:t>
      </w:r>
      <w:proofErr w:type="spellEnd"/>
      <w:r w:rsidR="006721A7" w:rsidRPr="00DD3ED8">
        <w:t xml:space="preserve"> (Центра цифрового правительства).</w:t>
      </w:r>
    </w:p>
    <w:p w14:paraId="2676A7D7" w14:textId="77777777" w:rsidR="006721A7" w:rsidRPr="00DD3ED8" w:rsidRDefault="006721A7" w:rsidP="00CB21A7">
      <w:pPr>
        <w:pStyle w:val="Headingbblue"/>
      </w:pPr>
      <w:proofErr w:type="spellStart"/>
      <w:r w:rsidRPr="00DD3ED8">
        <w:lastRenderedPageBreak/>
        <w:t>ASP5</w:t>
      </w:r>
      <w:proofErr w:type="spellEnd"/>
      <w:r w:rsidRPr="00DD3ED8">
        <w:t>: Содействие созданию защищенной и способной к восстановлению среды ИКТ</w:t>
      </w:r>
    </w:p>
    <w:p w14:paraId="3111AAAA" w14:textId="528BDC7A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Оказана помощь странам в укреплении их электросвязи в чрезвычайных ситуациях (Фиджи) и кибербезопасности (например, Кирибати, Мальдивским Островам, Бутану, Индии, Пакистану, АСЕАН).</w:t>
      </w:r>
    </w:p>
    <w:p w14:paraId="0DCD0125" w14:textId="5A96287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2024 году </w:t>
      </w:r>
      <w:r w:rsidR="002E0030" w:rsidRPr="00DD3ED8">
        <w:t xml:space="preserve">был обновлен </w:t>
      </w:r>
      <w:r w:rsidR="006721A7" w:rsidRPr="00DD3ED8">
        <w:t>NETP для Фиджи</w:t>
      </w:r>
      <w:r w:rsidR="002E0030" w:rsidRPr="00DD3ED8">
        <w:t>, после чего он был</w:t>
      </w:r>
      <w:r w:rsidR="006721A7" w:rsidRPr="00DD3ED8">
        <w:t xml:space="preserve"> представлен Национальному кластеру электросвязи в чрезвычайных ситуациях.</w:t>
      </w:r>
    </w:p>
    <w:p w14:paraId="0CB1A390" w14:textId="4D9AFF2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январе 2025 года в ходе консультаций с заинтересованными сторонами был разработан NETP для Тувалу. </w:t>
      </w:r>
    </w:p>
    <w:p w14:paraId="15DC8ADB" w14:textId="4E3C1FB0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2E0030" w:rsidRPr="00DD3ED8">
        <w:t xml:space="preserve">Осуществлена модерация в рамках </w:t>
      </w:r>
      <w:r w:rsidR="006721A7" w:rsidRPr="00DD3ED8">
        <w:t>консультационных семинаров-практикумов с участием представителей государственного и частного секторов в Таиланде.</w:t>
      </w:r>
    </w:p>
    <w:p w14:paraId="48C7A83C" w14:textId="7398819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марте 2025 года было начато исследование возможности реализации общего решения на основе сотового вещания (СВ) для СИДС в Тихоокеанском регионе. В рамках исследования будет изучена целесообразность внедрения приемлемого в ценовом отношении СВ для поддержки распространения информации в рамках раннего предупреждения.</w:t>
      </w:r>
    </w:p>
    <w:p w14:paraId="1205F632" w14:textId="66FAE069" w:rsidR="006721A7" w:rsidRPr="00DD3ED8" w:rsidRDefault="00CB21A7" w:rsidP="00CB21A7">
      <w:pPr>
        <w:pStyle w:val="Headingbblue"/>
      </w:pPr>
      <w:r w:rsidRPr="00DD3ED8">
        <w:t>СОДРУЖЕСТВО НЕЗАВИСИМЫХ ГОСУДАРСТВ (СНГ)</w:t>
      </w:r>
    </w:p>
    <w:p w14:paraId="09C28A06" w14:textId="1922F43C" w:rsidR="006721A7" w:rsidRPr="00DD3ED8" w:rsidRDefault="006721A7" w:rsidP="006721A7">
      <w:r w:rsidRPr="00DD3ED8">
        <w:rPr>
          <w:b/>
          <w:bCs/>
        </w:rPr>
        <w:t xml:space="preserve">Региональное отделение для Содружества Независимых Государств продолжает осуществлять проекты и инициативы по всему региону, оказывая поддержку Государствам-Членам в расширении знаний о технологиях 5G и их развертывании, </w:t>
      </w:r>
      <w:r w:rsidR="002E0030" w:rsidRPr="00DD3ED8">
        <w:rPr>
          <w:b/>
          <w:bCs/>
        </w:rPr>
        <w:t xml:space="preserve">в </w:t>
      </w:r>
      <w:r w:rsidRPr="00DD3ED8">
        <w:rPr>
          <w:b/>
          <w:bCs/>
        </w:rPr>
        <w:t>совершенствовании цифрового регулирования и ИКТ-данных, реагировании на инциденты кибербезопасности, ускорении процесса цифровой трансформации и развитии "умных" городов и сообществ.</w:t>
      </w:r>
      <w:r w:rsidRPr="00DD3ED8">
        <w:t xml:space="preserve"> </w:t>
      </w:r>
      <w:r w:rsidRPr="00DD3ED8">
        <w:rPr>
          <w:b/>
          <w:bCs/>
        </w:rPr>
        <w:t>Эти усилия согласуются с четырьмя региональными инициативами, изложенными в Кигалийском плане действий (КПД).</w:t>
      </w:r>
    </w:p>
    <w:p w14:paraId="0735C1F4" w14:textId="5ADAAE2E" w:rsidR="006721A7" w:rsidRPr="00DD3ED8" w:rsidRDefault="006721A7" w:rsidP="00CB21A7">
      <w:pPr>
        <w:pStyle w:val="Headingbblue"/>
      </w:pPr>
      <w:proofErr w:type="spellStart"/>
      <w:r w:rsidRPr="00DD3ED8">
        <w:t>CIS1</w:t>
      </w:r>
      <w:proofErr w:type="spellEnd"/>
      <w:r w:rsidRPr="00DD3ED8">
        <w:t xml:space="preserve">: </w:t>
      </w:r>
      <w:r w:rsidR="0031508B" w:rsidRPr="00DD3ED8">
        <w:t>Развитие инфраструктуры в интересах содействия инновациям и партнерству в сфере внедрения новых технологий — интернета вещей, включая индустриальный интернет, умных городов и сообществ, сетей связи 5G/IMT-2020 и последующих поколений NET-2030, квантовых технологий, искусственного интеллекта, цифрового здравоохранения, цифровых навыков, защиты окружающей среды</w:t>
      </w:r>
    </w:p>
    <w:p w14:paraId="345E62D7" w14:textId="6188F91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рамках пилотного проекта по сетям в сельских районах Армении БРЭ продолжает содействовать возможности установления соединений в сельских районах Армении в целях расширения доступа к подключениям, поощрения инноваций и устойчивого развития и создания возможностей для социального участия. Это достигается за счет технического проектирования, развития потенциала, развертывания сетей и вовлечения сообществ. В координации с национальными заинтересованными сторонами и местными органами власти был разработан комплексный план, направленный на подключение сельских сообществ в семи селах Араратской области. В рамках проекта для развертывания сети широкополосной связи было проложено 10 610 метров 24</w:t>
      </w:r>
      <w:r w:rsidR="00B15C6B" w:rsidRPr="00B15C6B">
        <w:noBreakHyphen/>
      </w:r>
      <w:r w:rsidR="006721A7" w:rsidRPr="00DD3ED8">
        <w:t>волоконного оптического кабеля и 3860 метров 8</w:t>
      </w:r>
      <w:r w:rsidR="006721A7" w:rsidRPr="00DD3ED8">
        <w:noBreakHyphen/>
        <w:t>волоконного оптического кабеля. Была проведена серия занятий с целью ознакомить членов подключенных сообществ с преимуществами сети широкополосной связи.</w:t>
      </w:r>
    </w:p>
    <w:p w14:paraId="2402AA99" w14:textId="7DB35CD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Проект по созданию Международного научно-исследовательского испытательного центра (</w:t>
      </w:r>
      <w:proofErr w:type="spellStart"/>
      <w:r w:rsidR="006721A7" w:rsidRPr="00DD3ED8">
        <w:t>МНИИЦ</w:t>
      </w:r>
      <w:proofErr w:type="spellEnd"/>
      <w:r w:rsidR="006721A7" w:rsidRPr="00DD3ED8">
        <w:t xml:space="preserve">) продолжает обеспечивать выполнение всех ожидаемых результатов проекта на период до конца 2025 года. Работа сосредоточена на требованиях </w:t>
      </w:r>
      <w:proofErr w:type="spellStart"/>
      <w:r w:rsidR="006721A7" w:rsidRPr="00DD3ED8">
        <w:t>МНИИЦ</w:t>
      </w:r>
      <w:proofErr w:type="spellEnd"/>
      <w:r w:rsidR="006721A7" w:rsidRPr="00DD3ED8">
        <w:t xml:space="preserve"> по сертификации, проведении пробных испытаний и создании сети академических организаций для поддержки партнерства в области исследования и обеспечения использования новых и появляющихся технологий.</w:t>
      </w:r>
    </w:p>
    <w:p w14:paraId="155776EB" w14:textId="77777777" w:rsidR="006721A7" w:rsidRPr="00DD3ED8" w:rsidRDefault="006721A7" w:rsidP="00CB21A7">
      <w:pPr>
        <w:pStyle w:val="Headingbblue"/>
      </w:pPr>
      <w:proofErr w:type="spellStart"/>
      <w:r w:rsidRPr="00DD3ED8">
        <w:lastRenderedPageBreak/>
        <w:t>CIS2</w:t>
      </w:r>
      <w:proofErr w:type="spellEnd"/>
      <w:r w:rsidRPr="00DD3ED8">
        <w:t>: Кибербезопасность и защита персональных данных</w:t>
      </w:r>
    </w:p>
    <w:p w14:paraId="5779C5D9" w14:textId="3E67C64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настоящее время реализуется совместный проект МСЭ и Всемирного банка "Укрепление кибербезопасности в Кыргызстане с помощью инноваций и сотрудничества". В течение 2024</w:t>
      </w:r>
      <w:r w:rsidR="0031508B" w:rsidRPr="00DD3ED8">
        <w:t> </w:t>
      </w:r>
      <w:r w:rsidR="006721A7" w:rsidRPr="00DD3ED8">
        <w:t>года была разработана и утверждена комплексная централизованная система мониторинга, использующая усовершенствованные возможности T-</w:t>
      </w:r>
      <w:proofErr w:type="spellStart"/>
      <w:r w:rsidR="006721A7" w:rsidRPr="00DD3ED8">
        <w:t>Pot</w:t>
      </w:r>
      <w:proofErr w:type="spellEnd"/>
      <w:r w:rsidR="006721A7" w:rsidRPr="00DD3ED8">
        <w:t xml:space="preserve"> </w:t>
      </w:r>
      <w:r w:rsidR="00194986" w:rsidRPr="00DD3ED8">
        <w:t>—</w:t>
      </w:r>
      <w:r w:rsidR="006721A7" w:rsidRPr="00DD3ED8">
        <w:t xml:space="preserve"> платформы-ловушки с открытым исходным кодом для выявления киберугроз. Эта система позволяет обнаруживать и анализировать киберугрозы в рамках всей сети, усиливая упреждающую киберзащиту Кыргызстана. В поддержку этой инновации был создан подробный типовой проект станции мониторинга, включающий в себя спецификации оборудования, схемы инфраструктуры и оптимальные условия помещения для установки. К таким условиям относятся строгие требования к электропитанию, вентиляции и безопасности для обеспечения бесперебойной работы. Неотъемлемой частью этой инициативы является развитие человеческого капитала. В</w:t>
      </w:r>
      <w:r w:rsidR="00B15C6B">
        <w:rPr>
          <w:lang w:val="en-GB"/>
        </w:rPr>
        <w:t> </w:t>
      </w:r>
      <w:r w:rsidR="006721A7" w:rsidRPr="00DD3ED8">
        <w:t>сотрудничестве с национальными заинтересованными сторонами были разработаны технические спецификации и документация для развертывания датчиков в целевых организациях, и был успешно проведен тендер на их установку. В настоящее время эта работа продолжается, проект должен быть завершен в 2025</w:t>
      </w:r>
      <w:r w:rsidR="0031508B" w:rsidRPr="00DD3ED8">
        <w:t> </w:t>
      </w:r>
      <w:r w:rsidR="006721A7" w:rsidRPr="00DD3ED8">
        <w:t>году.</w:t>
      </w:r>
    </w:p>
    <w:p w14:paraId="75A803AD" w14:textId="2F81D192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БРЭ и Агентство информационных систем Армении (</w:t>
      </w:r>
      <w:proofErr w:type="spellStart"/>
      <w:r w:rsidR="006721A7" w:rsidRPr="00DD3ED8">
        <w:t>ISAA</w:t>
      </w:r>
      <w:proofErr w:type="spellEnd"/>
      <w:r w:rsidR="006721A7" w:rsidRPr="00DD3ED8">
        <w:t>) при поддержке Центрального банка Армении и Министерства высокотехнологической промышленности успешно организовали перв</w:t>
      </w:r>
      <w:r w:rsidR="0031508B" w:rsidRPr="00DD3ED8">
        <w:t>ое</w:t>
      </w:r>
      <w:r w:rsidR="006721A7" w:rsidRPr="00DD3ED8">
        <w:t xml:space="preserve"> общенациональн</w:t>
      </w:r>
      <w:r w:rsidR="0031508B" w:rsidRPr="00DD3ED8">
        <w:t>ое тренировочное занятие</w:t>
      </w:r>
      <w:r w:rsidR="006721A7" w:rsidRPr="00DD3ED8">
        <w:t xml:space="preserve"> по кибербезопасности в Армении. В мероприятии, прошедшем в Ереване, приняли участие более 200 специалистов из государственного и научного секторов, а также из секторов важнейшей инфраструктуры, с тем чтобы укрепить потенциал страны в области кибербезопасности и содействовать </w:t>
      </w:r>
      <w:proofErr w:type="spellStart"/>
      <w:r w:rsidR="006721A7" w:rsidRPr="00DD3ED8">
        <w:t>межсекторальному</w:t>
      </w:r>
      <w:proofErr w:type="spellEnd"/>
      <w:r w:rsidR="006721A7" w:rsidRPr="00DD3ED8">
        <w:t xml:space="preserve"> сотрудничеству.</w:t>
      </w:r>
    </w:p>
    <w:p w14:paraId="49A1E8A0" w14:textId="77777777" w:rsidR="006721A7" w:rsidRPr="00DD3ED8" w:rsidRDefault="006721A7" w:rsidP="00CB21A7">
      <w:pPr>
        <w:pStyle w:val="Headingbblue"/>
      </w:pPr>
      <w:proofErr w:type="spellStart"/>
      <w:r w:rsidRPr="00DD3ED8">
        <w:t>CIS3</w:t>
      </w:r>
      <w:proofErr w:type="spellEnd"/>
      <w:r w:rsidRPr="00DD3ED8">
        <w:t>: Создание благоприятной законодательной и регуляторной среды для ускорения цифровой трансформации</w:t>
      </w:r>
    </w:p>
    <w:p w14:paraId="636627CD" w14:textId="5DA8335F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Ташкенте</w:t>
      </w:r>
      <w:r w:rsidR="0031508B" w:rsidRPr="00DD3ED8">
        <w:t xml:space="preserve"> (</w:t>
      </w:r>
      <w:r w:rsidR="006721A7" w:rsidRPr="00DD3ED8">
        <w:t>Узбекистан</w:t>
      </w:r>
      <w:r w:rsidR="0031508B" w:rsidRPr="00DD3ED8">
        <w:t>)</w:t>
      </w:r>
      <w:r w:rsidR="006721A7" w:rsidRPr="00DD3ED8">
        <w:t xml:space="preserve"> </w:t>
      </w:r>
      <w:r w:rsidR="0031508B" w:rsidRPr="00DD3ED8">
        <w:t>был проведен</w:t>
      </w:r>
      <w:r w:rsidR="006721A7" w:rsidRPr="00DD3ED8">
        <w:t xml:space="preserve"> региональный обучающий курс МСЭ по мониторингу универсальной и реальной возможности установления соединений (</w:t>
      </w:r>
      <w:proofErr w:type="spellStart"/>
      <w:r w:rsidR="006721A7" w:rsidRPr="00DD3ED8">
        <w:t>UMC</w:t>
      </w:r>
      <w:proofErr w:type="spellEnd"/>
      <w:r w:rsidR="006721A7" w:rsidRPr="00DD3ED8">
        <w:t xml:space="preserve">) на базе статистических данных по ИКТ, что позволило изучить концепцию </w:t>
      </w:r>
      <w:proofErr w:type="spellStart"/>
      <w:r w:rsidR="006721A7" w:rsidRPr="00DD3ED8">
        <w:t>UMC</w:t>
      </w:r>
      <w:proofErr w:type="spellEnd"/>
      <w:r w:rsidR="006721A7" w:rsidRPr="00DD3ED8">
        <w:t xml:space="preserve"> и способы ее внедрения в национальную цифровую политику стран, способы повышения статистического потенциала стран региона по сбору и распространению соответствующих статистических данных и использования этих данные для выявления передового опыта и рекомендаций в отношении политики. Число слушателей курса превысило 80 человек. Среди них были представители директивных органов, отвечающих за национальную политику и стратегии в области цифровых соединений, руководители и эксперты, отвечающие за измерение развития электросвязи/ИКТ, из министерств, национальных статистических управлений, регуляторных органов, операторов электросвязи, научно-исследовательских институтов и других соответствующих организаций из стран СНГ. В</w:t>
      </w:r>
      <w:r w:rsidR="00B15C6B">
        <w:rPr>
          <w:lang w:val="en-GB"/>
        </w:rPr>
        <w:t> </w:t>
      </w:r>
      <w:r w:rsidR="006721A7" w:rsidRPr="00DD3ED8">
        <w:t xml:space="preserve">результате участники ознакомились с концепцией </w:t>
      </w:r>
      <w:proofErr w:type="spellStart"/>
      <w:r w:rsidR="006721A7" w:rsidRPr="00DD3ED8">
        <w:t>UMC</w:t>
      </w:r>
      <w:proofErr w:type="spellEnd"/>
      <w:r w:rsidR="006721A7" w:rsidRPr="00DD3ED8">
        <w:t xml:space="preserve"> и новым </w:t>
      </w:r>
      <w:r w:rsidR="006536E4" w:rsidRPr="00DD3ED8">
        <w:t>политическим приоритетом</w:t>
      </w:r>
      <w:r w:rsidR="0031508B" w:rsidRPr="00DD3ED8">
        <w:t xml:space="preserve">, </w:t>
      </w:r>
      <w:r w:rsidR="006721A7" w:rsidRPr="00DD3ED8">
        <w:t>прошли подготовку по стандартам для сбора статистики в области ИКТ</w:t>
      </w:r>
      <w:r w:rsidR="0031508B" w:rsidRPr="00DD3ED8">
        <w:t xml:space="preserve">, </w:t>
      </w:r>
      <w:r w:rsidR="006721A7" w:rsidRPr="00DD3ED8">
        <w:t>а также обсудили ситуацию со статистическими данными в области ИКТ в странах СНГ на уровне стран и региона в целом.</w:t>
      </w:r>
    </w:p>
    <w:p w14:paraId="6111CFF8" w14:textId="7FFC067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Некоторым странам региона СНГ была предоставлена специализированная экспертная помощь. В апреле 2024 года в Кыргызстане был проведен национальный семинар-практикум "Цифровое развитие на основе данных: обмен опытом по сбору, анализу и распространению данных в области электросвязи/ИКТ", в рамках которого более 30 представителей Министерства цифрового развития и Национального статистического комитета получили глубокие знания. В марте 2025 года в Армении был проведен общенациональный семинар-практикум "Инструменты поддержки формирования отраслевой политики и регулирования: ИКТ-статистика и оценка качества оказания </w:t>
      </w:r>
      <w:r w:rsidR="006721A7" w:rsidRPr="00DD3ED8">
        <w:lastRenderedPageBreak/>
        <w:t>услуг", в котором приняли участие представители политических, регуляторных и статистических органов. В ходе этих учебных мероприятий представители стран при содействии экспертов МСЭ обсудили национальные подходы к сбору данных и существующие методики, обсудили пробелы и проблемы, а также выработали рекомендации по сбору данных о домашних хозяйствах и административных данных.</w:t>
      </w:r>
    </w:p>
    <w:p w14:paraId="03643789" w14:textId="194142A9" w:rsidR="006721A7" w:rsidRPr="00B15C6B" w:rsidRDefault="00DD3ED8" w:rsidP="00701AED">
      <w:pPr>
        <w:pStyle w:val="enumlev1"/>
        <w:rPr>
          <w:lang w:val="en-GB"/>
        </w:rPr>
      </w:pPr>
      <w:r w:rsidRPr="00DD3ED8">
        <w:t>•</w:t>
      </w:r>
      <w:r w:rsidRPr="00DD3ED8">
        <w:tab/>
      </w:r>
      <w:r w:rsidR="006721A7" w:rsidRPr="00DD3ED8">
        <w:t>В целях дальнейшей поддержки Государств-Членов в продвижении цифровых услуг между МСЭ и АО "Национальные информационные технологии" Республики Казахстан было подписано Рамочное соглашение о сотрудничестве и соглашение о проекте "Сотрудничество в области цифрового правительства в странах Центральной Азии и Закавказья". Проект реализуется при поддержке Евразийского банка развития.</w:t>
      </w:r>
    </w:p>
    <w:p w14:paraId="36B33F76" w14:textId="19D225E7" w:rsidR="006721A7" w:rsidRPr="00DD3ED8" w:rsidRDefault="006536E4" w:rsidP="00CB21A7">
      <w:pPr>
        <w:pStyle w:val="Headingbblue"/>
      </w:pPr>
      <w:proofErr w:type="spellStart"/>
      <w:r w:rsidRPr="00DD3ED8">
        <w:t>СIS4</w:t>
      </w:r>
      <w:proofErr w:type="spellEnd"/>
      <w:r w:rsidRPr="00DD3ED8">
        <w:t>: 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159670A8" w14:textId="2879EDA6" w:rsidR="006721A7" w:rsidRPr="00DD3ED8" w:rsidRDefault="00DD3ED8" w:rsidP="00701AED">
      <w:pPr>
        <w:pStyle w:val="enumlev1"/>
        <w:rPr>
          <w:b/>
          <w:bCs/>
        </w:rPr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Оценка цифровых навыков в Азербайджане</w:t>
      </w:r>
      <w:r w:rsidR="006536E4" w:rsidRPr="00DD3ED8">
        <w:t>:</w:t>
      </w:r>
      <w:r w:rsidR="006721A7" w:rsidRPr="00DD3ED8">
        <w:t xml:space="preserve"> Оценка была инициирована Министерством цифрового развития и транспорта Азербайджана в сотрудничестве с БРЭ. Проект предназначен для оценки цифровых навыков и определения текущего уровня цифровой грамотности в стране, а также сохраняющихся пробелов в цифровых навыках. В рамках оценки с использованием рандомизированной выборки было опрошено около 35000 человек домохозяйств в 13 экономических районах Азербайджана. Рекомендации, сформулированные по итогам обследования, лягут в основу разработки и планирования правительством Азербайджана соответствующих будущих мероприятий, политики или стратегий в области развития цифровых компетенций на национальном и региональном уровнях. Исследование, проведенное в Азербайджане, стало первым, в котором показатель цифровых навыков, разработанный МСЭ, был применен к отдельным пользователям, что стало первым шагом к сбору более качественных и сопоставимых на международном уровне данных. Рекомендации, содержащиеся в </w:t>
      </w:r>
      <w:hyperlink r:id="rId21" w:history="1">
        <w:r w:rsidR="00CB21A7">
          <w:rPr>
            <w:rStyle w:val="Hyperlink"/>
          </w:rPr>
          <w:t>О</w:t>
        </w:r>
        <w:r w:rsidR="006721A7" w:rsidRPr="00CB21A7">
          <w:rPr>
            <w:rStyle w:val="Hyperlink"/>
          </w:rPr>
          <w:t>тчете об оценке цифровых навыков</w:t>
        </w:r>
      </w:hyperlink>
      <w:r w:rsidR="006721A7" w:rsidRPr="00DD3ED8">
        <w:t>, послужат основой для разработки и планирования соответствующих будущих мероприятий, политики и стратегий, включая отраслевые мероприятия, информационные кампании и поддержку инициатив в области цифровых навыков. В</w:t>
      </w:r>
      <w:r w:rsidR="00B15C6B">
        <w:rPr>
          <w:lang w:val="en-GB"/>
        </w:rPr>
        <w:t> </w:t>
      </w:r>
      <w:r w:rsidR="006721A7" w:rsidRPr="00DD3ED8">
        <w:t xml:space="preserve">настоящее время он помогает директивным органам на национальном уровне лучше </w:t>
      </w:r>
      <w:r w:rsidR="006536E4" w:rsidRPr="00DD3ED8">
        <w:t>следить за</w:t>
      </w:r>
      <w:r w:rsidR="006721A7" w:rsidRPr="00DD3ED8">
        <w:t xml:space="preserve"> человечески</w:t>
      </w:r>
      <w:r w:rsidR="006536E4" w:rsidRPr="00DD3ED8">
        <w:t>м</w:t>
      </w:r>
      <w:r w:rsidR="006721A7" w:rsidRPr="00DD3ED8">
        <w:t xml:space="preserve"> капитал</w:t>
      </w:r>
      <w:r w:rsidR="006536E4" w:rsidRPr="00DD3ED8">
        <w:t>ом</w:t>
      </w:r>
      <w:r w:rsidR="006721A7" w:rsidRPr="00DD3ED8">
        <w:t>, уделяя особое внимание развитию широкого набора цифровых навыков.</w:t>
      </w:r>
    </w:p>
    <w:p w14:paraId="476C87E4" w14:textId="2E71C91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Цифровая доступность, обеспечиваемая с помощью передовых технологий</w:t>
      </w:r>
      <w:r w:rsidR="006536E4" w:rsidRPr="00DD3ED8">
        <w:t>:</w:t>
      </w:r>
      <w:r w:rsidR="006721A7" w:rsidRPr="00DD3ED8">
        <w:t xml:space="preserve"> В Минске</w:t>
      </w:r>
      <w:r w:rsidR="006536E4" w:rsidRPr="00DD3ED8">
        <w:t xml:space="preserve"> (</w:t>
      </w:r>
      <w:r w:rsidR="006721A7" w:rsidRPr="00DD3ED8">
        <w:t>Беларусь</w:t>
      </w:r>
      <w:r w:rsidR="006536E4" w:rsidRPr="00DD3ED8">
        <w:t>)</w:t>
      </w:r>
      <w:r w:rsidR="006721A7" w:rsidRPr="00DD3ED8">
        <w:t xml:space="preserve"> в сотрудничестве с БРЭ, Белорусской государственной академией связи и Институтом ЮНЕСКО по информационным технологиям в образовании при поддержке Министерства связи и информатизации Республики Беларусь был организован региональный семинар-практикум под названием "Передовые технологии для поддержки устойчивого, инклюзивного и доступного общества". Мероприятие стало региональной платформой, цель которой </w:t>
      </w:r>
      <w:r w:rsidR="00194986" w:rsidRPr="00DD3ED8">
        <w:t>—</w:t>
      </w:r>
      <w:r w:rsidR="006721A7" w:rsidRPr="00DD3ED8">
        <w:t xml:space="preserve"> популяризировать доступность ИКТ и цифровые навыки, расширить охват цифровыми технологиями и расширить права и возможности всех людей, независимо от возраста, пола, способностей или местонахождения. Благодаря обмену передовым опытом в ходе семинара-практикума заинтересованные стороны углубили свои знания о политике и стратегиях обеспечения всеобщего охвата цифровыми технологиями, а также развили свои навыки по реализации образовательных программ для лиц с инвалидностью и особыми потребностями. </w:t>
      </w:r>
    </w:p>
    <w:p w14:paraId="29A60BC6" w14:textId="44D7C42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rPr>
          <w:b/>
          <w:bCs/>
        </w:rPr>
        <w:t>Поддержка молодежи посредством учебных мероприятий для стартапов</w:t>
      </w:r>
      <w:r w:rsidR="006721A7" w:rsidRPr="00DD3ED8">
        <w:t xml:space="preserve">: </w:t>
      </w:r>
      <w:r w:rsidR="006536E4" w:rsidRPr="00DD3ED8">
        <w:t>В</w:t>
      </w:r>
      <w:r w:rsidR="006721A7" w:rsidRPr="00DD3ED8">
        <w:t xml:space="preserve"> 2024 году БРЭ организовало два конкурса идей </w:t>
      </w:r>
      <w:r w:rsidR="00157486" w:rsidRPr="00DD3ED8">
        <w:t>(</w:t>
      </w:r>
      <w:proofErr w:type="spellStart"/>
      <w:r w:rsidR="00157486" w:rsidRPr="00DD3ED8">
        <w:t>Ideathon</w:t>
      </w:r>
      <w:proofErr w:type="spellEnd"/>
      <w:r w:rsidR="00157486" w:rsidRPr="00DD3ED8">
        <w:t xml:space="preserve">) </w:t>
      </w:r>
      <w:r w:rsidR="006721A7" w:rsidRPr="00DD3ED8">
        <w:t xml:space="preserve">для студентов и начинающих молодых предпринимателей из Кыргызского государственного технического университета. Более 70 студентов приняли участие в учебном мероприятии, в рамках которого они представили стартап-проекты в таких областях, как агротехнологии, логистика, </w:t>
      </w:r>
      <w:r w:rsidR="006721A7" w:rsidRPr="00DD3ED8">
        <w:lastRenderedPageBreak/>
        <w:t xml:space="preserve">образование, цифровые технологии для управления кадрами, туризм и </w:t>
      </w:r>
      <w:r w:rsidR="006536E4" w:rsidRPr="00DD3ED8">
        <w:t>т.</w:t>
      </w:r>
      <w:r w:rsidR="00B15C6B">
        <w:rPr>
          <w:lang w:val="en-GB"/>
        </w:rPr>
        <w:t> </w:t>
      </w:r>
      <w:r w:rsidR="006536E4" w:rsidRPr="00DD3ED8">
        <w:t>д</w:t>
      </w:r>
      <w:r w:rsidR="006721A7" w:rsidRPr="00DD3ED8">
        <w:t xml:space="preserve">. По итогам учебного мероприятия команды участников разработали идеи и упрощенные версии бизнес-моделей стартапов, а также подготовили презентации проектов. С февраля по апрель 2025 года аналогичные мероприятия проводились в Казахстане в партнерстве с Костанайским инженерно-экономическим университетом и в Кыргызстане совместно с Кыргызским государственным техническим университетом. Обе эти Академические организации являются членами МСЭ. </w:t>
      </w:r>
    </w:p>
    <w:p w14:paraId="621E6B84" w14:textId="7B1D6635" w:rsidR="006721A7" w:rsidRPr="00DD3ED8" w:rsidRDefault="006721A7" w:rsidP="00CB21A7">
      <w:pPr>
        <w:pStyle w:val="Headingbblue"/>
      </w:pPr>
      <w:proofErr w:type="spellStart"/>
      <w:r w:rsidRPr="00DD3ED8">
        <w:t>CIS5</w:t>
      </w:r>
      <w:proofErr w:type="spellEnd"/>
      <w:r w:rsidRPr="00DD3ED8">
        <w:t>: Развитие умных городов и сообществ</w:t>
      </w:r>
    </w:p>
    <w:p w14:paraId="440F96D2" w14:textId="380AE83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Вместе с Белорусской государственной академией связи при поддержке Министерства связи и информатизации Республики Беларусь БРЭ продолжило работу над совместной программой "Цифровое развитие административно-территориальных единиц". Были проведены два семинара-практикума и хакатон, которые позволили студентам и молодым предпринимателям развить навыки по разработке новых идей, подходов и экспериментальных проектов для реализации концепции "умного" города. Мероприятие проходило </w:t>
      </w:r>
      <w:r w:rsidR="006536E4" w:rsidRPr="00DD3ED8">
        <w:t xml:space="preserve">с октября по ноябрь 2024 года </w:t>
      </w:r>
      <w:r w:rsidR="006721A7" w:rsidRPr="00DD3ED8">
        <w:t>в два этапа: 1) онлайн-занятия и личные консультации с наставниками, после которых студенческие команды разрабатывали идеи стартапов, строили бизнес-модели, создавали минимально жизнеспособные версии продуктов (</w:t>
      </w:r>
      <w:proofErr w:type="spellStart"/>
      <w:r w:rsidR="006721A7" w:rsidRPr="00DD3ED8">
        <w:t>MVP</w:t>
      </w:r>
      <w:proofErr w:type="spellEnd"/>
      <w:r w:rsidR="006721A7" w:rsidRPr="00DD3ED8">
        <w:t xml:space="preserve">) и готовили презентации проектов; 2) финальная презентация проектов. Стартап-проекты, представленные на </w:t>
      </w:r>
      <w:proofErr w:type="spellStart"/>
      <w:r w:rsidR="006721A7" w:rsidRPr="00DD3ED8">
        <w:t>хакатоне</w:t>
      </w:r>
      <w:proofErr w:type="spellEnd"/>
      <w:r w:rsidR="006721A7" w:rsidRPr="00DD3ED8">
        <w:t>, предлагали решения в следующих областях: городская инфраструктура, транспорт и логистика, большие данные и ИИ, "зеленая" экономика, инклюзия и адаптивная среда.</w:t>
      </w:r>
    </w:p>
    <w:p w14:paraId="2519D766" w14:textId="1B89AC6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Муниципалитету города Бишкек</w:t>
      </w:r>
      <w:r w:rsidR="003C7C65" w:rsidRPr="00DD3ED8">
        <w:t xml:space="preserve"> (</w:t>
      </w:r>
      <w:r w:rsidR="006721A7" w:rsidRPr="00DD3ED8">
        <w:t>столицы Кыргызской Республики</w:t>
      </w:r>
      <w:r w:rsidR="003C7C65" w:rsidRPr="00DD3ED8">
        <w:t>)</w:t>
      </w:r>
      <w:r w:rsidR="006721A7" w:rsidRPr="00DD3ED8">
        <w:t xml:space="preserve"> была оказана экспертная помощь в оценке и развертывании релевантных решений для "умных" городов.</w:t>
      </w:r>
    </w:p>
    <w:p w14:paraId="3C0E732E" w14:textId="1BD4F10D" w:rsidR="006721A7" w:rsidRPr="00DD3ED8" w:rsidRDefault="00CB21A7" w:rsidP="00CB21A7">
      <w:pPr>
        <w:pStyle w:val="Headingbblue"/>
      </w:pPr>
      <w:r w:rsidRPr="00DD3ED8">
        <w:t>ЕВРОПЕЙСКИЙ РЕГИОН</w:t>
      </w:r>
    </w:p>
    <w:p w14:paraId="11657811" w14:textId="689EC91A" w:rsidR="006721A7" w:rsidRPr="00DD3ED8" w:rsidRDefault="006721A7" w:rsidP="006721A7">
      <w:pPr>
        <w:rPr>
          <w:b/>
          <w:bCs/>
        </w:rPr>
      </w:pPr>
      <w:r w:rsidRPr="00DD3ED8">
        <w:rPr>
          <w:b/>
          <w:bCs/>
        </w:rPr>
        <w:t>Региональное отделение для Европы участвует в различных мероприятиях по региональной координации, оказывая поддержку Государствам-Членам, главным образом в целях содействия цифровому развитию, расширения возможностей сотрудничества в области кибербезопасности, способности систем к восстановлению, инноваций, всеобщего охвата цифровыми технологиями, регулирования и развития цифровых навыков.</w:t>
      </w:r>
      <w:r w:rsidRPr="00DD3ED8">
        <w:t xml:space="preserve"> </w:t>
      </w:r>
      <w:r w:rsidRPr="00DD3ED8">
        <w:rPr>
          <w:b/>
          <w:bCs/>
        </w:rPr>
        <w:t>Эти усилия согласуются с четырьмя региональными инициативами, изложенными в Кигалийском плане действий (КПД).</w:t>
      </w:r>
    </w:p>
    <w:p w14:paraId="7CBBDB2B" w14:textId="77777777" w:rsidR="006721A7" w:rsidRPr="00DD3ED8" w:rsidRDefault="006721A7" w:rsidP="00CB21A7">
      <w:pPr>
        <w:pStyle w:val="Headingbblue"/>
      </w:pPr>
      <w:proofErr w:type="spellStart"/>
      <w:r w:rsidRPr="00DD3ED8">
        <w:t>EUR1</w:t>
      </w:r>
      <w:proofErr w:type="spellEnd"/>
      <w:r w:rsidRPr="00DD3ED8">
        <w:t>: Развитие цифровой инфраструктуры</w:t>
      </w:r>
    </w:p>
    <w:p w14:paraId="4DD40D43" w14:textId="2360EA4C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Три региональные платформы </w:t>
      </w:r>
      <w:r w:rsidR="00194986" w:rsidRPr="00DD3ED8">
        <w:t>—</w:t>
      </w:r>
      <w:r w:rsidR="006721A7" w:rsidRPr="00DD3ED8">
        <w:t xml:space="preserve"> Региональный регуляторный форум МСЭ-</w:t>
      </w:r>
      <w:proofErr w:type="spellStart"/>
      <w:r w:rsidR="006721A7" w:rsidRPr="00DD3ED8">
        <w:t>EKIP</w:t>
      </w:r>
      <w:proofErr w:type="spellEnd"/>
      <w:r w:rsidR="006721A7" w:rsidRPr="00DD3ED8">
        <w:t xml:space="preserve"> (Черногория), Международная регуляторная конференция для Европы (Северная Македония) и Форум по технологиям 5G (5G Techritory, Латвия) </w:t>
      </w:r>
      <w:r w:rsidR="00194986" w:rsidRPr="00DD3ED8">
        <w:t>—</w:t>
      </w:r>
      <w:r w:rsidR="006721A7" w:rsidRPr="00DD3ED8">
        <w:t xml:space="preserve"> стали площадками, объединяющими на ежегодной основе свыше 800 заинтересованных сторон из Европы и других регионов мира. Эти встречи способствуют укреплению регуляторной среды и формированию более сплоченного сообщества регуляторных органов, которые получают новейшие знания, передовой опыт и практические инструменты, позволяющи</w:t>
      </w:r>
      <w:r w:rsidR="006536E4" w:rsidRPr="00DD3ED8">
        <w:t>е</w:t>
      </w:r>
      <w:r w:rsidR="006721A7" w:rsidRPr="00DD3ED8">
        <w:t xml:space="preserve"> ориентироваться в постоянно меняющейся цифровой среде.</w:t>
      </w:r>
    </w:p>
    <w:p w14:paraId="5B0D9AEE" w14:textId="6FFE33C6" w:rsidR="006721A7" w:rsidRPr="00DD3ED8" w:rsidRDefault="00DD3ED8" w:rsidP="00701AED">
      <w:pPr>
        <w:pStyle w:val="enumlev1"/>
        <w:rPr>
          <w:u w:val="single"/>
        </w:rPr>
      </w:pPr>
      <w:r w:rsidRPr="00DD3ED8">
        <w:t>•</w:t>
      </w:r>
      <w:r w:rsidRPr="00DD3ED8">
        <w:tab/>
      </w:r>
      <w:r w:rsidR="006721A7" w:rsidRPr="00DD3ED8">
        <w:t xml:space="preserve">Дополнительно укрепилось сотрудничество с BEREC, </w:t>
      </w:r>
      <w:proofErr w:type="spellStart"/>
      <w:r w:rsidR="006721A7" w:rsidRPr="00DD3ED8">
        <w:t>EaPeReg</w:t>
      </w:r>
      <w:proofErr w:type="spellEnd"/>
      <w:r w:rsidR="006721A7" w:rsidRPr="00DD3ED8">
        <w:t xml:space="preserve"> и EMERG. Подписанные в 2023</w:t>
      </w:r>
      <w:r w:rsidR="006536E4" w:rsidRPr="00DD3ED8">
        <w:t> </w:t>
      </w:r>
      <w:r w:rsidR="006721A7" w:rsidRPr="00DD3ED8">
        <w:t xml:space="preserve">году меморандумы о взаимопонимании с </w:t>
      </w:r>
      <w:proofErr w:type="spellStart"/>
      <w:r w:rsidR="006721A7" w:rsidRPr="00DD3ED8">
        <w:t>EaPeReg</w:t>
      </w:r>
      <w:proofErr w:type="spellEnd"/>
      <w:r w:rsidR="006721A7" w:rsidRPr="00DD3ED8">
        <w:t xml:space="preserve"> и EMERG заложили прочный фундамент для сотрудничества, положив начало серии мероприятий, способствующих реализации </w:t>
      </w:r>
      <w:r w:rsidR="002D64E5" w:rsidRPr="00DD3ED8">
        <w:t>р</w:t>
      </w:r>
      <w:r w:rsidR="006721A7" w:rsidRPr="00DD3ED8">
        <w:t>егиональной инициативы. Так, была проведена серия совместных семинаров-практикумов в очном и онлайновом форматах</w:t>
      </w:r>
      <w:r w:rsidR="002D64E5" w:rsidRPr="00DD3ED8">
        <w:t>,</w:t>
      </w:r>
      <w:r w:rsidR="006721A7" w:rsidRPr="00DD3ED8">
        <w:t xml:space="preserve"> на основе разнообразных вкладов членов BEREC, </w:t>
      </w:r>
      <w:proofErr w:type="spellStart"/>
      <w:r w:rsidR="006721A7" w:rsidRPr="00DD3ED8">
        <w:t>EaPeReg</w:t>
      </w:r>
      <w:proofErr w:type="spellEnd"/>
      <w:r w:rsidR="006721A7" w:rsidRPr="00DD3ED8">
        <w:t xml:space="preserve"> и EMERG был подготовлен справочник по картированию систем широкополосной связи, а также было подготовлено учебное мероприятие по регулированию для ускоренной цифровой трансформации, в котором приняли участие </w:t>
      </w:r>
      <w:r w:rsidR="006721A7" w:rsidRPr="00DD3ED8">
        <w:lastRenderedPageBreak/>
        <w:t>более 180 человек. С учетом этих достижений и при поддержке Кипра в октябре 2025 года планируется провести семинар-практикум для представителей регуляторных органов, посвященный качеству обслуживания и способности инфраструктуры подвижной связи к восстановлению. Предполагается, что это приведет к дальнейшему укреплению обмена знаниями и сотрудничества на региональном уровне.</w:t>
      </w:r>
    </w:p>
    <w:p w14:paraId="33FD8343" w14:textId="3D2B95A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Албании, Боснии и Герцеговине и Молдове состоялся ряд мероприятий в рамках технической помощи, в результате которых был укреплен потенциал на национальном уровне в области картирования систем широкополосной связи. В Албании технические условия позволили </w:t>
      </w:r>
      <w:proofErr w:type="spellStart"/>
      <w:r w:rsidR="006721A7" w:rsidRPr="00DD3ED8">
        <w:t>AKEP</w:t>
      </w:r>
      <w:proofErr w:type="spellEnd"/>
      <w:r w:rsidR="006721A7" w:rsidRPr="00DD3ED8">
        <w:t xml:space="preserve"> начать модернизацию своей системы контроля за использованием спектра. У Черногории появился проект национального плана развития широкополосной связи. В декабре 2024 года он был утвержден. При Университете Черногории БРЭ создало лабораторию IPv6, обеспечив необходимые средства для укрепления потенциала на национальном уровне.</w:t>
      </w:r>
    </w:p>
    <w:p w14:paraId="1FA18346" w14:textId="6ED2919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соответствии с Резолюцией 1408 МСЭ провел комплекс мероприятий по поддержке восстановления и реконструкции инфраструктуры Украины. Эти усилия включают в себя регулярные контакты с властями Украины и активное участие в инициативах Страновой группы ООН, в частности содействие в проведении экспресс-оценки ущерба и потребностей. Для привлечения поддержки со стороны финансирующих учреждений БРЭ разработало десять начальных предложений по проектам, отвечающих потребностям Украины. Кроме того, был разработан страновой профиль цифрового развития Украины, в котором сформулированы стратегические ориентиры для достижения прогресса в цифровой трансформации. Инициативы по созданию потенциала, например серия виртуальных семинаров-практикумов по 5G и семинар-практикум по внедрению 5G, организованный МСЭ и </w:t>
      </w:r>
      <w:proofErr w:type="spellStart"/>
      <w:r w:rsidR="006721A7" w:rsidRPr="00DD3ED8">
        <w:t>TAIEX</w:t>
      </w:r>
      <w:proofErr w:type="spellEnd"/>
      <w:r w:rsidR="006721A7" w:rsidRPr="00DD3ED8">
        <w:t>, сыграли решающую роль в получении заинтересованным сторонам важнейших знаний. Благодаря координации с международными партнерами и донорами БРЭ продолжает играть ключевую роль в привлечении ресурсов и квалифицированных кадров для ускорения восстановления и развития цифровой сферы в Украине. Финансовая поддержка и поддержка в натуральной форме, оказанная Болгарией, Литвой, Польшей, Чешской Республикой, Японией и Европейской комиссией, позволила добиться прогресса в этой работе.</w:t>
      </w:r>
    </w:p>
    <w:p w14:paraId="1235D76B" w14:textId="68D4DC7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Было расширено партнерство между МСЭ и Европейской комиссией </w:t>
      </w:r>
      <w:r w:rsidR="00157486" w:rsidRPr="00DD3ED8">
        <w:t xml:space="preserve">(ЕК) </w:t>
      </w:r>
      <w:r w:rsidR="006721A7" w:rsidRPr="00DD3ED8">
        <w:t xml:space="preserve">в рамках Глобального портала, что способствовало укреплению позиций МСЭ как потенциального партнера для средне- и крупномасштабных проектов. Были выявлены возможности финансирования, что должно способствовать совместному созданию новых проектов на глобальном и региональном уровне. В частности, была разработана концепция проекта и подготовлена проектная документация для контракта на картирование национальных широкополосных сетей в Африке на сумму 15 </w:t>
      </w:r>
      <w:proofErr w:type="gramStart"/>
      <w:r w:rsidR="006721A7" w:rsidRPr="00DD3ED8">
        <w:t>млн.</w:t>
      </w:r>
      <w:proofErr w:type="gramEnd"/>
      <w:r w:rsidR="006721A7" w:rsidRPr="00DD3ED8">
        <w:t xml:space="preserve"> евро. Реализация проекта началась в сентябре 2024 года. Кроме того, совместно с ЕК начата реализация проекта стоимостью 3 </w:t>
      </w:r>
      <w:proofErr w:type="gramStart"/>
      <w:r w:rsidR="006721A7" w:rsidRPr="00DD3ED8">
        <w:t>млн.</w:t>
      </w:r>
      <w:proofErr w:type="gramEnd"/>
      <w:r w:rsidR="006721A7" w:rsidRPr="00DD3ED8">
        <w:t xml:space="preserve"> евро по стимулированию и измерению универсальной и реальной возможности установления соединений, с тем чтобы сделать универсальную и реальную возможность установления соединений одним из </w:t>
      </w:r>
      <w:proofErr w:type="gramStart"/>
      <w:r w:rsidR="006721A7" w:rsidRPr="00DD3ED8">
        <w:t>главных приоритетов</w:t>
      </w:r>
      <w:proofErr w:type="gramEnd"/>
      <w:r w:rsidR="006721A7" w:rsidRPr="00DD3ED8">
        <w:t xml:space="preserve"> политики.</w:t>
      </w:r>
    </w:p>
    <w:p w14:paraId="3695E62F" w14:textId="77777777" w:rsidR="006721A7" w:rsidRPr="00DD3ED8" w:rsidRDefault="006721A7" w:rsidP="00CB21A7">
      <w:pPr>
        <w:pStyle w:val="Headingbblue"/>
      </w:pPr>
      <w:proofErr w:type="spellStart"/>
      <w:r w:rsidRPr="00DD3ED8">
        <w:t>EUR2</w:t>
      </w:r>
      <w:proofErr w:type="spellEnd"/>
      <w:r w:rsidRPr="00DD3ED8">
        <w:t>: Цифровая трансформация для обеспечения устойчивости</w:t>
      </w:r>
    </w:p>
    <w:p w14:paraId="2FAC6966" w14:textId="0CC476B0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Совместная с Чешской Республикой и Польшей специальная инициатива "Подход к цифровым технологиям, ориентированный на человека", серия тематических мероприятий (</w:t>
      </w:r>
      <w:proofErr w:type="spellStart"/>
      <w:r w:rsidR="006721A7" w:rsidRPr="00DD3ED8">
        <w:t>Spotlight</w:t>
      </w:r>
      <w:proofErr w:type="spellEnd"/>
      <w:r w:rsidR="006721A7" w:rsidRPr="00DD3ED8">
        <w:t xml:space="preserve"> Series) и специальный отчет позволили специалистам из Европы и других регионов улучшить понимание цифровых функций, разработанных с учетом удобства пользователя. </w:t>
      </w:r>
    </w:p>
    <w:p w14:paraId="04543D1C" w14:textId="0B28D2E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целях поддержки процесса цифровизации государственных услуг в странах Западных Балкан была проведена серия семинаров-практикумов, направленных на популяризацию GovStack и содействие его развертыванию в Европе.</w:t>
      </w:r>
    </w:p>
    <w:p w14:paraId="2EB9007D" w14:textId="0DD123EF" w:rsidR="006721A7" w:rsidRPr="00DD3ED8" w:rsidRDefault="00DD3ED8" w:rsidP="00701AED">
      <w:pPr>
        <w:pStyle w:val="enumlev1"/>
      </w:pPr>
      <w:r w:rsidRPr="00DD3ED8">
        <w:lastRenderedPageBreak/>
        <w:t>•</w:t>
      </w:r>
      <w:r w:rsidRPr="00DD3ED8">
        <w:tab/>
      </w:r>
      <w:r w:rsidR="006721A7" w:rsidRPr="00DD3ED8">
        <w:t xml:space="preserve">В 2024 году МСЭ и </w:t>
      </w:r>
      <w:proofErr w:type="spellStart"/>
      <w:r w:rsidR="006721A7" w:rsidRPr="00DD3ED8">
        <w:t>ЮНОПС</w:t>
      </w:r>
      <w:proofErr w:type="spellEnd"/>
      <w:r w:rsidR="006721A7" w:rsidRPr="00DD3ED8">
        <w:t xml:space="preserve"> приступили к реализации нового проекта </w:t>
      </w:r>
      <w:r w:rsidR="00194986" w:rsidRPr="00DD3ED8">
        <w:t>—</w:t>
      </w:r>
      <w:r w:rsidR="006721A7" w:rsidRPr="00DD3ED8">
        <w:t xml:space="preserve"> "Цифровая трансформация органов местного самоуправления в Черногории". Проект способствует развертыванию решения GovStack на уровне местных органов власти, предполагая в то же время реализацию нового подхода к развитию цифровых услуг в целом </w:t>
      </w:r>
      <w:r w:rsidR="00194986" w:rsidRPr="00DD3ED8">
        <w:t>—</w:t>
      </w:r>
      <w:r w:rsidR="006721A7" w:rsidRPr="00DD3ED8">
        <w:t xml:space="preserve"> необходимого условия для совершенствования конкретных услуг, повышения их эффективности, снижения барьеров для пользования услугами, борьбы с дискриминацией и увеличения числа обслуживаемых граждан.</w:t>
      </w:r>
    </w:p>
    <w:p w14:paraId="0A54806C" w14:textId="6C891A3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сотрудничестве с ФАО и в тесной координации с Европейской комиссией был подготовлен "Сборник по потребностям цифрового сельского хозяйства ЕС для стран, готовящихся к вступлению в ЕС", имеющий целью укрепить потенциал стран Восточного партнерства и Западных Балкан в области цифрового сельского хозяйства. В настоящее время сборник используется всеми государствами – кандидатами на вступление в ЕС в качестве ориентира при разработке/обновлении стратегий цифрового сельского хозяйства.</w:t>
      </w:r>
    </w:p>
    <w:p w14:paraId="66CF6DDF" w14:textId="2E9BBCD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 подготовлен отчет "Передовые цифровые практики для сельского хозяйства: региональный конкурс ФАО-МСЭ по передовому опыту продвижения цифрового сельского хозяйства в Европе и Центральной Азии". Он стал основой для содействия внедрению эффективных цифровых решений и фактором ускорения цифровой трансформации </w:t>
      </w:r>
      <w:r w:rsidR="003D1646" w:rsidRPr="00DD3ED8">
        <w:t>в</w:t>
      </w:r>
      <w:r w:rsidR="006721A7" w:rsidRPr="00DD3ED8">
        <w:t xml:space="preserve"> таких традиционных секторах, как сельское хозяйство.</w:t>
      </w:r>
    </w:p>
    <w:p w14:paraId="3EB6FE85" w14:textId="1A456C2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2024 году МСЭ, ФАО и МОТ приступили к реализации нового проекта </w:t>
      </w:r>
      <w:r w:rsidR="00194986" w:rsidRPr="00DD3ED8">
        <w:t>—</w:t>
      </w:r>
      <w:r w:rsidR="006721A7" w:rsidRPr="00DD3ED8">
        <w:t xml:space="preserve"> "Цифровое сельское хозяйство и преобразование сельских районов Албании". Проект направлен на использование цифровизации для продвижения целей устойчивого развития посредством целевых мер, ориентированных на государственных служащих и мелких земледельцев, особенно </w:t>
      </w:r>
      <w:r w:rsidR="003D1646" w:rsidRPr="00DD3ED8">
        <w:t>тех, кто находится</w:t>
      </w:r>
      <w:r w:rsidR="006721A7" w:rsidRPr="00DD3ED8">
        <w:t xml:space="preserve"> в уязвимом положении, таких как жители </w:t>
      </w:r>
      <w:r w:rsidR="003D1646" w:rsidRPr="00DD3ED8">
        <w:t xml:space="preserve">сельских районов, </w:t>
      </w:r>
      <w:r w:rsidR="006721A7" w:rsidRPr="00DD3ED8">
        <w:t>обслуживаемых в недостаточной степени, молодые женщины и мужчины</w:t>
      </w:r>
      <w:r w:rsidR="003D1646" w:rsidRPr="00DD3ED8">
        <w:t>, проживающие в сельских районах</w:t>
      </w:r>
      <w:r w:rsidR="006721A7" w:rsidRPr="00DD3ED8">
        <w:t>, а также пожилые земледельцы и земледельцы с инвалидностью.</w:t>
      </w:r>
    </w:p>
    <w:p w14:paraId="0D4F0D7C" w14:textId="17EB2C1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Северной Македонии и Молдове была оказана техническая помощь в разработке стратегий цифровой трансформации. </w:t>
      </w:r>
    </w:p>
    <w:p w14:paraId="2CC5075E" w14:textId="1EBAC7E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партнерстве с ЮНЕП был подготовлен отчет о ситуации с электронными отходами в странах Западных Балкан, в который вошел ряд рекомендаций для стран в области управления электронными отходами.</w:t>
      </w:r>
    </w:p>
    <w:p w14:paraId="1DB87944" w14:textId="21C9094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Молдове и Грузии была оказана техническая помощь в виде поддержки в создании систем раннего предупреждения для повышения готовности этих стран к чрезвычайным ситуациям. </w:t>
      </w:r>
    </w:p>
    <w:p w14:paraId="4910F08E" w14:textId="1CC50FF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В феврале 2025 года в Черногории прошел семинар-практикум для стран Западных Балкан по ускорению реализации региональной инициативы, по итогам которого была разработана специальная субрегиональная инициатива, направленная на развертывание сотового радиовещания. В продолжение этой инициативы была начата целенаправленная помощь Черногории и Северной Македонии, а также </w:t>
      </w:r>
      <w:r w:rsidR="003D1646" w:rsidRPr="00DD3ED8">
        <w:t xml:space="preserve">организована </w:t>
      </w:r>
      <w:r w:rsidR="006721A7" w:rsidRPr="00DD3ED8">
        <w:t xml:space="preserve">масштабная кампания по поиску финансирования. </w:t>
      </w:r>
    </w:p>
    <w:p w14:paraId="29E96309" w14:textId="77777777" w:rsidR="006721A7" w:rsidRPr="00DD3ED8" w:rsidRDefault="006721A7" w:rsidP="00CB21A7">
      <w:pPr>
        <w:pStyle w:val="Headingbblue"/>
      </w:pPr>
      <w:proofErr w:type="spellStart"/>
      <w:r w:rsidRPr="00DD3ED8">
        <w:t>EUR3</w:t>
      </w:r>
      <w:proofErr w:type="spellEnd"/>
      <w:r w:rsidRPr="00DD3ED8">
        <w:t>: Охват цифровыми технологиями и развитие цифровых навыков</w:t>
      </w:r>
    </w:p>
    <w:p w14:paraId="798915E0" w14:textId="4403C011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МСЭ и ЕС продолжили работу по организации мероприятия "Доступная Европа: ИКТ для всех", призванного стать платформой для создания потенциала в области цифровой доступности среди заинтересованных сторон в Европейском регионе. Специальный конкурс инновационных цифровых решений для доступной Европы дал возможность продемонстрировать передовые технологии. Следующее мероприятие "Доступная Европа" состоится в декабре 2025</w:t>
      </w:r>
      <w:r w:rsidR="003D1646" w:rsidRPr="00DD3ED8">
        <w:t> </w:t>
      </w:r>
      <w:r w:rsidR="006721A7" w:rsidRPr="00DD3ED8">
        <w:t xml:space="preserve">года. </w:t>
      </w:r>
    </w:p>
    <w:p w14:paraId="1B1928C4" w14:textId="42C1948A" w:rsidR="006721A7" w:rsidRPr="00DD3ED8" w:rsidRDefault="00DD3ED8" w:rsidP="00701AED">
      <w:pPr>
        <w:pStyle w:val="enumlev1"/>
      </w:pPr>
      <w:r w:rsidRPr="00DD3ED8">
        <w:lastRenderedPageBreak/>
        <w:t>•</w:t>
      </w:r>
      <w:r w:rsidRPr="00DD3ED8">
        <w:tab/>
      </w:r>
      <w:r w:rsidR="006721A7" w:rsidRPr="00DD3ED8">
        <w:t>Был подготовлен документ "Региональная оценка благоприятной среды, обеспечивающей доступные ИКТ для лиц с инвалидностью в Европейском регионе", который послужил отправной точкой для стимулирования работы по согласованию политики в области доступности цифровых технологий.</w:t>
      </w:r>
    </w:p>
    <w:p w14:paraId="2F3D9A61" w14:textId="282134A9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Албании была оказана техническая помощь по проведению оценки цифровых навыков пожилых лиц. </w:t>
      </w:r>
    </w:p>
    <w:p w14:paraId="69585766" w14:textId="0353456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Началась реализация нового проекта МСЭ и МОТ, посвященного оценке цифровой грамотности взрослого населения в Молдове, что открывает новые возможности для расширения портфеля технической помощи, оказываемой в партнерстве с другими учреждениями ООН.</w:t>
      </w:r>
    </w:p>
    <w:p w14:paraId="7D1DCDED" w14:textId="7C1EB7E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При участии Группы ООН по цифровой трансформации для Европы и Центральной Азии была подготовлена публикация "Цифровые навыки, образование и компетенции: сборник для Европы и Центральной Азии". Для представления выводов, к которым пришли авторы публикации, в 2024 году совместно со страновыми группами ООН в регионе </w:t>
      </w:r>
      <w:proofErr w:type="spellStart"/>
      <w:r w:rsidR="006721A7" w:rsidRPr="00DD3ED8">
        <w:t>ЕЦА</w:t>
      </w:r>
      <w:proofErr w:type="spellEnd"/>
      <w:r w:rsidR="006721A7" w:rsidRPr="00DD3ED8">
        <w:t xml:space="preserve"> и в сотрудничестве с Группой ООН по цифровой трансформации для Европы и Центральной Азии была проведена специальная сессия по цифровым навыкам.</w:t>
      </w:r>
    </w:p>
    <w:p w14:paraId="7B71F02F" w14:textId="23674B9C" w:rsidR="006721A7" w:rsidRPr="002C4487" w:rsidRDefault="00DD3ED8" w:rsidP="00701AED">
      <w:pPr>
        <w:pStyle w:val="enumlev1"/>
        <w:rPr>
          <w:lang w:val="en-GB"/>
        </w:rPr>
      </w:pPr>
      <w:r w:rsidRPr="00DD3ED8">
        <w:t>•</w:t>
      </w:r>
      <w:r w:rsidRPr="00DD3ED8">
        <w:tab/>
      </w:r>
      <w:r w:rsidR="006721A7" w:rsidRPr="00DD3ED8">
        <w:t>Европейская молодежная инициатива "Поколение подключений" продолжает создавать возможност</w:t>
      </w:r>
      <w:r w:rsidR="003D1646" w:rsidRPr="00DD3ED8">
        <w:t>и</w:t>
      </w:r>
      <w:r w:rsidR="006721A7" w:rsidRPr="00DD3ED8">
        <w:t xml:space="preserve"> для расширения участия молодежи в работе МСЭ. В 2024 году была сформирована новая когорта из 18 посланников молодежи из 8 стран: Албании, Болгарии, Германии, Италии, Нидерландов, Португалии, Франции и Чешской Республики.</w:t>
      </w:r>
    </w:p>
    <w:p w14:paraId="5D183B46" w14:textId="5D5EF6CD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"Сеть женщин для Европы" </w:t>
      </w:r>
      <w:r w:rsidR="003D1646" w:rsidRPr="00DD3ED8">
        <w:t>(</w:t>
      </w:r>
      <w:r w:rsidR="003D1646" w:rsidRPr="00DD3ED8">
        <w:rPr>
          <w:rFonts w:eastAsiaTheme="minorEastAsia" w:cstheme="minorHAnsi"/>
          <w:szCs w:val="24"/>
        </w:rPr>
        <w:t xml:space="preserve">Network of </w:t>
      </w:r>
      <w:proofErr w:type="spellStart"/>
      <w:r w:rsidR="003D1646" w:rsidRPr="00DD3ED8">
        <w:rPr>
          <w:rFonts w:eastAsiaTheme="minorEastAsia" w:cstheme="minorHAnsi"/>
          <w:szCs w:val="24"/>
        </w:rPr>
        <w:t>Women</w:t>
      </w:r>
      <w:proofErr w:type="spellEnd"/>
      <w:r w:rsidR="003D1646" w:rsidRPr="00DD3ED8">
        <w:rPr>
          <w:rFonts w:eastAsiaTheme="minorEastAsia" w:cstheme="minorHAnsi"/>
          <w:szCs w:val="24"/>
        </w:rPr>
        <w:t xml:space="preserve"> for Europe, NoW) </w:t>
      </w:r>
      <w:r w:rsidR="006721A7" w:rsidRPr="00DD3ED8">
        <w:t xml:space="preserve">стала динамичной платформой, выступающей за более широкое участие женщин в деятельности МСЭ-D. Проводятся ежегодные празднования дня "Девушки в ИКТ", имеющие целью популяризовать ИКТ и профессии в этой сфере среди молодых женщин и девушек. Эти мероприятия подчеркнули важность расширения прав и возможностей всех девушек и женщин с помощью ИКТ для обеспечения их образовательного и социально-экономического развития. Они также служат платформой для демонстрации разнообразных усилий, предпринимаемых на региональном и национальном уровнях в целях сокращения цифрового гендерного разрыва. В преддверии ВКРЭ-25 </w:t>
      </w:r>
      <w:r w:rsidR="003D1646" w:rsidRPr="00DD3ED8">
        <w:t xml:space="preserve">параллельно с собраниями СЕПТ в сентябре 2024 года и феврале 2025 года </w:t>
      </w:r>
      <w:r w:rsidR="006721A7" w:rsidRPr="00DD3ED8">
        <w:t>прошла специальная сессия NoW. Была развернута программа наставничества NoW МСЭ-D, к эффективному участию в которой удалось привлечь несколько заинтересованных сторон из Европейского региона.</w:t>
      </w:r>
    </w:p>
    <w:p w14:paraId="05A6E48B" w14:textId="77777777" w:rsidR="006721A7" w:rsidRPr="00DD3ED8" w:rsidRDefault="006721A7" w:rsidP="00CB21A7">
      <w:pPr>
        <w:pStyle w:val="Headingbblue"/>
      </w:pPr>
      <w:proofErr w:type="spellStart"/>
      <w:r w:rsidRPr="00DD3ED8">
        <w:t>EUR4</w:t>
      </w:r>
      <w:proofErr w:type="spellEnd"/>
      <w:r w:rsidRPr="00DD3ED8">
        <w:t>: Уверенность и доверие при использовании электросвязи/информационно-коммуникационных технологий</w:t>
      </w:r>
    </w:p>
    <w:p w14:paraId="6E9A627D" w14:textId="07062608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Проведение ежегодных региональных </w:t>
      </w:r>
      <w:r w:rsidR="00293ECB" w:rsidRPr="00DD3ED8">
        <w:t xml:space="preserve">тренировочных </w:t>
      </w:r>
      <w:proofErr w:type="spellStart"/>
      <w:r w:rsidR="00293ECB" w:rsidRPr="00DD3ED8">
        <w:t>заланий</w:t>
      </w:r>
      <w:proofErr w:type="spellEnd"/>
      <w:r w:rsidR="00293ECB" w:rsidRPr="00DD3ED8">
        <w:t xml:space="preserve"> по кибербезопасности</w:t>
      </w:r>
      <w:r w:rsidR="006721A7" w:rsidRPr="00DD3ED8">
        <w:t xml:space="preserve"> стало важной вехой в работе БРЭ по созданию регионального потенциала в </w:t>
      </w:r>
      <w:r w:rsidR="00293ECB" w:rsidRPr="00DD3ED8">
        <w:t xml:space="preserve">этой </w:t>
      </w:r>
      <w:r w:rsidR="006721A7" w:rsidRPr="00DD3ED8">
        <w:t>области. В 2023</w:t>
      </w:r>
      <w:r w:rsidR="00293ECB" w:rsidRPr="00DD3ED8">
        <w:t> </w:t>
      </w:r>
      <w:r w:rsidR="006721A7" w:rsidRPr="00DD3ED8">
        <w:t>году на Кипре состоял</w:t>
      </w:r>
      <w:r w:rsidR="00293ECB" w:rsidRPr="00DD3ED8">
        <w:t>ось</w:t>
      </w:r>
      <w:r w:rsidR="006721A7" w:rsidRPr="00DD3ED8">
        <w:t xml:space="preserve"> Межрегиональ</w:t>
      </w:r>
      <w:r w:rsidR="00293ECB" w:rsidRPr="00DD3ED8">
        <w:t>ное тренировочное занятие</w:t>
      </w:r>
      <w:r w:rsidR="006721A7" w:rsidRPr="00DD3ED8">
        <w:t xml:space="preserve"> </w:t>
      </w:r>
      <w:r w:rsidR="00293ECB" w:rsidRPr="00DD3ED8">
        <w:t xml:space="preserve">по кибербезопасности </w:t>
      </w:r>
      <w:r w:rsidR="006721A7" w:rsidRPr="00DD3ED8">
        <w:t>для Европы и Азиатско-Тихоокеанского региона, в котор</w:t>
      </w:r>
      <w:r w:rsidR="00293ECB" w:rsidRPr="00DD3ED8">
        <w:t>ом</w:t>
      </w:r>
      <w:r w:rsidR="006721A7" w:rsidRPr="00DD3ED8">
        <w:t xml:space="preserve"> приняли участие 200 специалистов из 40 стран. В 2024 году в Болгарии состоялись Форум МСЭ по кибербезопасности и </w:t>
      </w:r>
      <w:r w:rsidR="00293ECB" w:rsidRPr="00DD3ED8">
        <w:t>Тренировочное занятие по кибербезопасности</w:t>
      </w:r>
      <w:r w:rsidR="006721A7" w:rsidRPr="00DD3ED8">
        <w:t xml:space="preserve"> для Европы и Средиземноморья. Эти мероприятия укрепили потенциал Государств-Членов по реагированию на инциденты и способность региональных систем к восстановлению.</w:t>
      </w:r>
    </w:p>
    <w:p w14:paraId="33C145E1" w14:textId="02466333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Молдове была оказана техническая помощь по подготовке оценки готовности CSIRT, что заложило фундамент для создания в 2024 году национальной CSIRT. </w:t>
      </w:r>
    </w:p>
    <w:p w14:paraId="18A294F1" w14:textId="57B8324B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Совместная инициатива МСЭ-</w:t>
      </w:r>
      <w:proofErr w:type="spellStart"/>
      <w:r w:rsidR="006721A7" w:rsidRPr="00DD3ED8">
        <w:t>ГАМС</w:t>
      </w:r>
      <w:proofErr w:type="spellEnd"/>
      <w:r w:rsidR="006721A7" w:rsidRPr="00DD3ED8">
        <w:t>, направленная на содействие равному, полному и значимому представительству женщин в сфере кибербезопасности, "</w:t>
      </w:r>
      <w:proofErr w:type="spellStart"/>
      <w:r w:rsidR="006721A7" w:rsidRPr="00DD3ED8">
        <w:t>Her</w:t>
      </w:r>
      <w:proofErr w:type="spellEnd"/>
      <w:r w:rsidR="006721A7" w:rsidRPr="00DD3ED8">
        <w:t xml:space="preserve"> </w:t>
      </w:r>
      <w:proofErr w:type="spellStart"/>
      <w:r w:rsidR="006721A7" w:rsidRPr="00DD3ED8">
        <w:t>CyberTracks</w:t>
      </w:r>
      <w:proofErr w:type="spellEnd"/>
      <w:r w:rsidR="006721A7" w:rsidRPr="00DD3ED8">
        <w:t xml:space="preserve">" ("Ее </w:t>
      </w:r>
      <w:proofErr w:type="spellStart"/>
      <w:r w:rsidR="006721A7" w:rsidRPr="00DD3ED8">
        <w:t>киберслед</w:t>
      </w:r>
      <w:proofErr w:type="spellEnd"/>
      <w:r w:rsidR="006721A7" w:rsidRPr="00DD3ED8">
        <w:t xml:space="preserve">") была успешно развернута </w:t>
      </w:r>
      <w:r w:rsidR="00293ECB" w:rsidRPr="00DD3ED8">
        <w:t xml:space="preserve">на </w:t>
      </w:r>
      <w:r w:rsidR="006721A7" w:rsidRPr="00DD3ED8">
        <w:t xml:space="preserve">региональном уровне посредством проведенного в 2024 году в Тиране регионального форума, в ходе которого более чем </w:t>
      </w:r>
      <w:r w:rsidR="006721A7" w:rsidRPr="00DD3ED8">
        <w:lastRenderedPageBreak/>
        <w:t>50</w:t>
      </w:r>
      <w:r w:rsidR="002C4487">
        <w:rPr>
          <w:lang w:val="en-GB"/>
        </w:rPr>
        <w:t> </w:t>
      </w:r>
      <w:r w:rsidR="006721A7" w:rsidRPr="00DD3ED8">
        <w:t>женщинам-лидерам удалось укрепить свой потенциал. О проведении очередного регионального форума в 2025 году было объявлено на РФР-2025, а сам региональный форум состоится в июле 2025</w:t>
      </w:r>
      <w:r w:rsidR="00293ECB" w:rsidRPr="00DD3ED8">
        <w:t> </w:t>
      </w:r>
      <w:r w:rsidR="006721A7" w:rsidRPr="00DD3ED8">
        <w:t>года в Кишиневе</w:t>
      </w:r>
      <w:r w:rsidR="00293ECB" w:rsidRPr="00DD3ED8">
        <w:t xml:space="preserve"> (</w:t>
      </w:r>
      <w:r w:rsidR="006721A7" w:rsidRPr="00DD3ED8">
        <w:t>Молдова</w:t>
      </w:r>
      <w:r w:rsidR="00293ECB" w:rsidRPr="00DD3ED8">
        <w:t>)</w:t>
      </w:r>
      <w:r w:rsidR="006721A7" w:rsidRPr="00DD3ED8">
        <w:t xml:space="preserve">. </w:t>
      </w:r>
    </w:p>
    <w:p w14:paraId="3038B0FA" w14:textId="5620FFD6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Андорра, Мальта и Сербия стали бенефициарами нескольких мероприятий в рамках техническ</w:t>
      </w:r>
      <w:r w:rsidR="00293ECB" w:rsidRPr="00DD3ED8">
        <w:t>ой</w:t>
      </w:r>
      <w:r w:rsidR="006721A7" w:rsidRPr="00DD3ED8">
        <w:t xml:space="preserve"> помощ</w:t>
      </w:r>
      <w:r w:rsidR="00293ECB" w:rsidRPr="00DD3ED8">
        <w:t>и</w:t>
      </w:r>
      <w:r w:rsidR="006721A7" w:rsidRPr="00DD3ED8">
        <w:t xml:space="preserve"> </w:t>
      </w:r>
      <w:r w:rsidR="00293ECB" w:rsidRPr="00DD3ED8">
        <w:t>по</w:t>
      </w:r>
      <w:r w:rsidR="006721A7" w:rsidRPr="00DD3ED8">
        <w:t xml:space="preserve"> защит</w:t>
      </w:r>
      <w:r w:rsidR="00293ECB" w:rsidRPr="00DD3ED8">
        <w:t>е</w:t>
      </w:r>
      <w:r w:rsidR="006721A7" w:rsidRPr="00DD3ED8">
        <w:t xml:space="preserve"> ребенка в онлайновой среде. В Андорре в 2025</w:t>
      </w:r>
      <w:r w:rsidR="00293ECB" w:rsidRPr="00DD3ED8">
        <w:t> </w:t>
      </w:r>
      <w:r w:rsidR="006721A7" w:rsidRPr="00DD3ED8">
        <w:t>году была завершена национальная оценка защиты ребенка в онлайновой среде, что заложило основу для разработки национальной политики в этой области. На Мальте распространение руководящих указаний по защите ребенка в онлайновой среде и мероприятие по подготовке инструкторов помогли повысить уровень осведомленности о защите и правах детей в онлайновой среде. В Сербии Национальный контактный центр по безопасности детей получил поддержку в распространении руководящих указаний по защите ребенка в онлайновой среде.</w:t>
      </w:r>
    </w:p>
    <w:p w14:paraId="09EA2EFB" w14:textId="44051EE7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 xml:space="preserve">Был принят ряд мер, направленных на расширение участия заинтересованных сторон из Европейского региона в собраниях Рабочей группы Совета МСЭ по защите ребенка в онлайновой среде (COP), в результате чего было получено больше вкладов, в которых освещаются национальные стратегии, инициативы и проекты, осуществляемые в Европе, что способствует международному сотрудничеству и развитию человеческого потенциала. </w:t>
      </w:r>
    </w:p>
    <w:p w14:paraId="78190396" w14:textId="77777777" w:rsidR="006721A7" w:rsidRPr="00DD3ED8" w:rsidRDefault="006721A7" w:rsidP="00CB21A7">
      <w:pPr>
        <w:pStyle w:val="Headingbblue"/>
      </w:pPr>
      <w:proofErr w:type="spellStart"/>
      <w:r w:rsidRPr="00DD3ED8">
        <w:t>EUR5</w:t>
      </w:r>
      <w:proofErr w:type="spellEnd"/>
      <w:r w:rsidRPr="00DD3ED8">
        <w:t>: Экосистемы цифровых инноваций</w:t>
      </w:r>
    </w:p>
    <w:p w14:paraId="72AB785E" w14:textId="3D290F2E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Для Грузии, Северной Македонии и Сербии были разработаны профили цифровых инноваций, которые служат ориентиром в процессе создания национальных экосистем инноваций и сокращения цифрового разрыва; профиль Албании был пересмотрен, профиль Мальты будет завершён в 2025 году.</w:t>
      </w:r>
    </w:p>
    <w:p w14:paraId="37359720" w14:textId="5677D54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Всемирный форум МСЭ по инновациям, прошедший 28–30</w:t>
      </w:r>
      <w:r w:rsidR="00293ECB" w:rsidRPr="00DD3ED8">
        <w:t> </w:t>
      </w:r>
      <w:r w:rsidR="006721A7" w:rsidRPr="00DD3ED8">
        <w:t>октября 2024</w:t>
      </w:r>
      <w:r w:rsidR="00293ECB" w:rsidRPr="00DD3ED8">
        <w:t> </w:t>
      </w:r>
      <w:r w:rsidR="006721A7" w:rsidRPr="00DD3ED8">
        <w:t xml:space="preserve">года, предоставил заинтересованным сторонам со всего мира уникальную платформу для развития своего потенциала в области цифровых инноваций. Мероприятие собрало около 500 участников, в том числе 27 министров и заместителей министров, а также других высокопоставленных представителей правительств, организаций частного сектора и системы Организации Объединенных Наций. На мероприятии были представлены 64 страны. </w:t>
      </w:r>
    </w:p>
    <w:p w14:paraId="1DF36C89" w14:textId="6C3092D5" w:rsidR="006721A7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Техническая помощь, оказанная Албании, предоставила возможность для укрепления ее потенциала в области цифровых инноваций.</w:t>
      </w:r>
    </w:p>
    <w:p w14:paraId="2ECBA0AA" w14:textId="0CEB6B36" w:rsidR="00CE66E4" w:rsidRPr="00DD3ED8" w:rsidRDefault="00DD3ED8" w:rsidP="00701AED">
      <w:pPr>
        <w:pStyle w:val="enumlev1"/>
      </w:pPr>
      <w:r w:rsidRPr="00DD3ED8">
        <w:t>•</w:t>
      </w:r>
      <w:r w:rsidRPr="00DD3ED8">
        <w:tab/>
      </w:r>
      <w:r w:rsidR="006721A7" w:rsidRPr="00DD3ED8">
        <w:t>В феврале 2025</w:t>
      </w:r>
      <w:r w:rsidR="00293ECB" w:rsidRPr="00DD3ED8">
        <w:t> </w:t>
      </w:r>
      <w:r w:rsidR="006721A7" w:rsidRPr="00DD3ED8">
        <w:t xml:space="preserve">года успешная экспериментальная реализация Рамочной программы по ускорению реализации региональных инициатив привела к совместному со странами Западных Балкан созданию субрегиональной инициативы по системам раннего </w:t>
      </w:r>
      <w:r w:rsidR="007C30E0" w:rsidRPr="00DD3ED8">
        <w:t>предупреждения</w:t>
      </w:r>
      <w:r w:rsidR="006721A7" w:rsidRPr="00DD3ED8">
        <w:t xml:space="preserve">. Она стала дополнительным подтверждением эффективности новой рамочной программы </w:t>
      </w:r>
      <w:r w:rsidR="00293ECB" w:rsidRPr="00DD3ED8">
        <w:t>для</w:t>
      </w:r>
      <w:r w:rsidR="006721A7" w:rsidRPr="00DD3ED8">
        <w:t xml:space="preserve"> развития и внесла вклад в осуществление региональных инициатив.</w:t>
      </w:r>
    </w:p>
    <w:p w14:paraId="5348E6D0" w14:textId="2DE2AB85" w:rsidR="00CE66E4" w:rsidRPr="00DD3ED8" w:rsidRDefault="00CE66E4" w:rsidP="00DD3ED8">
      <w:pPr>
        <w:spacing w:before="480"/>
        <w:jc w:val="center"/>
      </w:pPr>
      <w:r w:rsidRPr="00DD3ED8">
        <w:t>______________</w:t>
      </w:r>
    </w:p>
    <w:sectPr w:rsidR="00CE66E4" w:rsidRPr="00DD3ED8" w:rsidSect="00CE66E4">
      <w:head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F6C8" w14:textId="77777777" w:rsidR="00546C61" w:rsidRDefault="00546C61">
      <w:r>
        <w:separator/>
      </w:r>
    </w:p>
    <w:p w14:paraId="7B5757FB" w14:textId="77777777" w:rsidR="00546C61" w:rsidRDefault="00546C61"/>
  </w:endnote>
  <w:endnote w:type="continuationSeparator" w:id="0">
    <w:p w14:paraId="38D21FC9" w14:textId="77777777" w:rsidR="00546C61" w:rsidRDefault="00546C61">
      <w:r>
        <w:continuationSeparator/>
      </w:r>
    </w:p>
    <w:p w14:paraId="701A3497" w14:textId="77777777" w:rsidR="00546C61" w:rsidRDefault="00546C61"/>
  </w:endnote>
  <w:endnote w:type="continuationNotice" w:id="1">
    <w:p w14:paraId="6514D949" w14:textId="77777777" w:rsidR="00546C61" w:rsidRDefault="00546C61">
      <w:pPr>
        <w:spacing w:before="0"/>
      </w:pPr>
    </w:p>
    <w:p w14:paraId="6BE0C319" w14:textId="77777777" w:rsidR="00546C61" w:rsidRDefault="00546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6721A7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41E036E4" w:rsidR="00F723AC" w:rsidRPr="006721A7" w:rsidRDefault="006721A7" w:rsidP="00F723AC">
          <w:pPr>
            <w:pStyle w:val="FirstFooter"/>
            <w:rPr>
              <w:sz w:val="18"/>
              <w:szCs w:val="18"/>
            </w:rPr>
          </w:pPr>
          <w:r w:rsidRPr="006721A7">
            <w:rPr>
              <w:sz w:val="18"/>
              <w:szCs w:val="18"/>
            </w:rPr>
            <w:t xml:space="preserve">г-н Хосе Мария Диас </w:t>
          </w:r>
          <w:proofErr w:type="spellStart"/>
          <w:r w:rsidRPr="006721A7">
            <w:rPr>
              <w:sz w:val="18"/>
              <w:szCs w:val="18"/>
            </w:rPr>
            <w:t>Батанеро</w:t>
          </w:r>
          <w:proofErr w:type="spellEnd"/>
          <w:r w:rsidRPr="006721A7">
            <w:rPr>
              <w:sz w:val="18"/>
              <w:szCs w:val="18"/>
            </w:rPr>
            <w:t xml:space="preserve"> (Mr </w:t>
          </w:r>
          <w:proofErr w:type="spellStart"/>
          <w:r w:rsidRPr="006721A7">
            <w:rPr>
              <w:sz w:val="18"/>
              <w:szCs w:val="18"/>
            </w:rPr>
            <w:t>Jose</w:t>
          </w:r>
          <w:proofErr w:type="spellEnd"/>
          <w:r w:rsidRPr="006721A7">
            <w:rPr>
              <w:sz w:val="18"/>
              <w:szCs w:val="18"/>
            </w:rPr>
            <w:t xml:space="preserve"> Maria </w:t>
          </w:r>
          <w:proofErr w:type="spellStart"/>
          <w:r w:rsidRPr="006721A7">
            <w:rPr>
              <w:sz w:val="18"/>
              <w:szCs w:val="18"/>
            </w:rPr>
            <w:t>Diaz</w:t>
          </w:r>
          <w:proofErr w:type="spellEnd"/>
          <w:r w:rsidRPr="006721A7">
            <w:rPr>
              <w:sz w:val="18"/>
              <w:szCs w:val="18"/>
            </w:rPr>
            <w:t xml:space="preserve"> </w:t>
          </w:r>
          <w:proofErr w:type="spellStart"/>
          <w:r w:rsidRPr="006721A7">
            <w:rPr>
              <w:sz w:val="18"/>
              <w:szCs w:val="18"/>
            </w:rPr>
            <w:t>Batanero</w:t>
          </w:r>
          <w:proofErr w:type="spellEnd"/>
          <w:r w:rsidRPr="006721A7">
            <w:rPr>
              <w:sz w:val="18"/>
              <w:szCs w:val="18"/>
            </w:rPr>
            <w:t>), Руководитель Отдела поддержки проектов Бюро развития электросвязи</w:t>
          </w:r>
        </w:p>
      </w:tc>
      <w:bookmarkStart w:id="10" w:name="OrgName"/>
      <w:bookmarkEnd w:id="10"/>
    </w:tr>
    <w:tr w:rsidR="006721A7" w:rsidRPr="00365AB0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6721A7" w:rsidRPr="006721A7" w:rsidRDefault="006721A7" w:rsidP="006721A7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6721A7" w:rsidRPr="00365AB0" w:rsidRDefault="006721A7" w:rsidP="006721A7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6AAE8BB4" w:rsidR="006721A7" w:rsidRPr="006721A7" w:rsidRDefault="006721A7" w:rsidP="006721A7">
          <w:pPr>
            <w:pStyle w:val="FirstFooter"/>
            <w:rPr>
              <w:sz w:val="18"/>
              <w:szCs w:val="18"/>
            </w:rPr>
          </w:pPr>
          <w:r w:rsidRPr="00AF1FCA">
            <w:rPr>
              <w:sz w:val="18"/>
              <w:szCs w:val="18"/>
            </w:rPr>
            <w:t>+41 22 730 5495</w:t>
          </w:r>
        </w:p>
      </w:tc>
      <w:bookmarkStart w:id="11" w:name="PhoneNo"/>
      <w:bookmarkEnd w:id="11"/>
    </w:tr>
    <w:tr w:rsidR="006721A7" w:rsidRPr="00365AB0" w14:paraId="0E4D2617" w14:textId="77777777" w:rsidTr="005539C3">
      <w:tc>
        <w:tcPr>
          <w:tcW w:w="1526" w:type="dxa"/>
        </w:tcPr>
        <w:p w14:paraId="7845751D" w14:textId="77777777" w:rsidR="006721A7" w:rsidRPr="00365AB0" w:rsidRDefault="006721A7" w:rsidP="006721A7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6721A7" w:rsidRPr="00365AB0" w:rsidRDefault="006721A7" w:rsidP="006721A7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1969DFDE" w:rsidR="006721A7" w:rsidRPr="00DD3ED8" w:rsidRDefault="00DD3ED8" w:rsidP="006721A7">
          <w:pPr>
            <w:pStyle w:val="FirstFooter"/>
            <w:rPr>
              <w:sz w:val="18"/>
              <w:szCs w:val="18"/>
              <w:lang w:val="en-GB"/>
            </w:rPr>
          </w:pPr>
          <w:hyperlink r:id="rId1" w:history="1">
            <w:r w:rsidRPr="00697082">
              <w:rPr>
                <w:rStyle w:val="Hyperlink"/>
                <w:sz w:val="18"/>
                <w:szCs w:val="18"/>
              </w:rPr>
              <w:t>jose.batanero@itu.int</w:t>
            </w:r>
          </w:hyperlink>
        </w:p>
      </w:tc>
      <w:bookmarkStart w:id="12" w:name="Email"/>
      <w:bookmarkEnd w:id="12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0DC4" w14:textId="77777777" w:rsidR="00546C61" w:rsidRPr="0054377E" w:rsidRDefault="00546C61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AE59EB5" w14:textId="77777777" w:rsidR="00546C61" w:rsidRDefault="00546C61" w:rsidP="0054377E">
      <w:pPr>
        <w:spacing w:before="0"/>
      </w:pPr>
      <w:r>
        <w:continuationSeparator/>
      </w:r>
    </w:p>
    <w:p w14:paraId="56067A44" w14:textId="77777777" w:rsidR="00546C61" w:rsidRDefault="00546C61"/>
  </w:footnote>
  <w:footnote w:type="continuationNotice" w:id="1">
    <w:p w14:paraId="39BEF42A" w14:textId="77777777" w:rsidR="00546C61" w:rsidRDefault="00546C61">
      <w:pPr>
        <w:spacing w:before="0"/>
      </w:pPr>
    </w:p>
    <w:p w14:paraId="6DA9CBA4" w14:textId="77777777" w:rsidR="00546C61" w:rsidRDefault="00546C61"/>
  </w:footnote>
  <w:footnote w:id="2">
    <w:p w14:paraId="2857F56E" w14:textId="0041B0A5" w:rsidR="006721A7" w:rsidRPr="00DD3ED8" w:rsidRDefault="006721A7" w:rsidP="00DD3ED8">
      <w:pPr>
        <w:pStyle w:val="FootnoteText"/>
      </w:pPr>
      <w:r w:rsidRPr="00DD3ED8">
        <w:rPr>
          <w:rStyle w:val="FootnoteReference"/>
        </w:rPr>
        <w:footnoteRef/>
      </w:r>
      <w:r w:rsidR="00DD3ED8" w:rsidRPr="00DD3ED8">
        <w:tab/>
      </w:r>
      <w:r>
        <w:t xml:space="preserve">Дополнительная информация размещена по адресу: </w:t>
      </w:r>
      <w:hyperlink r:id="rId1" w:history="1">
        <w:r w:rsidR="00DD3ED8" w:rsidRPr="00697082">
          <w:rPr>
            <w:rStyle w:val="Hyperlink"/>
          </w:rPr>
          <w:t>https://www.itu.int/en/ITU-D/Pages/regional-initiatives-2023-2025.aspx</w:t>
        </w:r>
      </w:hyperlink>
      <w:r w:rsidR="00DD3ED8" w:rsidRPr="00DD3ED8">
        <w:t>.</w:t>
      </w:r>
    </w:p>
  </w:footnote>
  <w:footnote w:id="3">
    <w:p w14:paraId="516F506E" w14:textId="064E3305" w:rsidR="006721A7" w:rsidRPr="00DD3ED8" w:rsidRDefault="006721A7" w:rsidP="00DD3ED8">
      <w:pPr>
        <w:pStyle w:val="FootnoteText"/>
      </w:pPr>
      <w:r w:rsidRPr="00DD3ED8">
        <w:rPr>
          <w:rStyle w:val="FootnoteReference"/>
        </w:rPr>
        <w:footnoteRef/>
      </w:r>
      <w:r w:rsidR="00DD3ED8" w:rsidRPr="00DD3ED8">
        <w:tab/>
      </w:r>
      <w:r>
        <w:t xml:space="preserve">1 </w:t>
      </w:r>
      <w:r w:rsidR="00B15C6B" w:rsidRPr="00B15C6B">
        <w:t>−</w:t>
      </w:r>
      <w:r>
        <w:t xml:space="preserve"> продовольственные системы, 2 </w:t>
      </w:r>
      <w:r w:rsidR="00B15C6B" w:rsidRPr="00B15C6B">
        <w:t>−</w:t>
      </w:r>
      <w:r>
        <w:t xml:space="preserve"> доступ к энергии и приемлемость энергии в ценовом отношении, 3</w:t>
      </w:r>
      <w:r w:rsidR="00AB5790">
        <w:t> </w:t>
      </w:r>
      <w:r w:rsidR="00B15C6B" w:rsidRPr="00B15C6B">
        <w:t>−</w:t>
      </w:r>
      <w:r>
        <w:t xml:space="preserve"> возможность установления цифровых соединений, 4</w:t>
      </w:r>
      <w:r w:rsidR="00AB5790">
        <w:t> </w:t>
      </w:r>
      <w:r w:rsidR="00B15C6B" w:rsidRPr="00B15C6B">
        <w:t>−</w:t>
      </w:r>
      <w:r>
        <w:t xml:space="preserve"> образование, 5</w:t>
      </w:r>
      <w:r w:rsidR="00AB5790">
        <w:t> </w:t>
      </w:r>
      <w:r w:rsidR="00B15C6B" w:rsidRPr="00B15C6B">
        <w:t>−</w:t>
      </w:r>
      <w:r>
        <w:t xml:space="preserve"> рабочие места и социальная защита, 6</w:t>
      </w:r>
      <w:r w:rsidR="00AB5790">
        <w:t> </w:t>
      </w:r>
      <w:r w:rsidR="00B15C6B" w:rsidRPr="00B15C6B">
        <w:t>−</w:t>
      </w:r>
      <w:r>
        <w:t xml:space="preserve"> изменение климата, утрата биоразнообразия и загрязнение окружающей среды.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552EE653" w:rsidR="00636181" w:rsidRPr="00DD3ED8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DD3ED8">
      <w:rPr>
        <w:szCs w:val="22"/>
      </w:rPr>
      <w:tab/>
    </w:r>
    <w:r w:rsidRPr="00DD3ED8">
      <w:rPr>
        <w:szCs w:val="22"/>
        <w:lang w:val="es-ES_tradnl"/>
      </w:rPr>
      <w:t>TDAG-2</w:t>
    </w:r>
    <w:r w:rsidR="003273BC" w:rsidRPr="00DD3ED8">
      <w:rPr>
        <w:szCs w:val="22"/>
        <w:lang w:val="es-ES_tradnl"/>
      </w:rPr>
      <w:t>5</w:t>
    </w:r>
    <w:r w:rsidRPr="00DD3ED8">
      <w:rPr>
        <w:szCs w:val="22"/>
        <w:lang w:val="es-ES_tradnl"/>
      </w:rPr>
      <w:t>/</w:t>
    </w:r>
    <w:r w:rsidR="006721A7" w:rsidRPr="00DD3ED8">
      <w:rPr>
        <w:szCs w:val="22"/>
      </w:rPr>
      <w:t>3</w:t>
    </w:r>
    <w:r w:rsidRPr="00DD3ED8">
      <w:rPr>
        <w:szCs w:val="22"/>
        <w:lang w:val="es-ES_tradnl"/>
      </w:rPr>
      <w:t>-</w:t>
    </w:r>
    <w:r w:rsidR="007606A7" w:rsidRPr="00DD3ED8">
      <w:rPr>
        <w:szCs w:val="22"/>
        <w:lang w:val="es-ES_tradnl"/>
      </w:rPr>
      <w:t>R</w:t>
    </w:r>
    <w:r w:rsidRPr="00DD3ED8">
      <w:rPr>
        <w:szCs w:val="22"/>
        <w:lang w:val="es-ES_tradnl"/>
      </w:rPr>
      <w:tab/>
    </w:r>
    <w:r w:rsidR="007606A7" w:rsidRPr="00DD3ED8">
      <w:rPr>
        <w:szCs w:val="22"/>
      </w:rPr>
      <w:t>Страница</w:t>
    </w:r>
    <w:r w:rsidRPr="00DD3ED8">
      <w:rPr>
        <w:szCs w:val="22"/>
        <w:lang w:val="es-ES_tradnl"/>
      </w:rPr>
      <w:t xml:space="preserve"> </w:t>
    </w:r>
    <w:r w:rsidRPr="00DD3ED8">
      <w:rPr>
        <w:szCs w:val="22"/>
      </w:rPr>
      <w:fldChar w:fldCharType="begin"/>
    </w:r>
    <w:r w:rsidRPr="00DD3ED8">
      <w:rPr>
        <w:szCs w:val="22"/>
        <w:lang w:val="es-ES_tradnl"/>
      </w:rPr>
      <w:instrText xml:space="preserve"> PAGE </w:instrText>
    </w:r>
    <w:r w:rsidRPr="00DD3ED8">
      <w:rPr>
        <w:szCs w:val="22"/>
      </w:rPr>
      <w:fldChar w:fldCharType="separate"/>
    </w:r>
    <w:r w:rsidR="00893B2C" w:rsidRPr="00DD3ED8">
      <w:rPr>
        <w:noProof/>
        <w:szCs w:val="22"/>
        <w:lang w:val="es-ES_tradnl"/>
      </w:rPr>
      <w:t>19</w:t>
    </w:r>
    <w:r w:rsidRPr="00DD3ED8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088"/>
    <w:multiLevelType w:val="multilevel"/>
    <w:tmpl w:val="1B1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96B18"/>
    <w:multiLevelType w:val="hybridMultilevel"/>
    <w:tmpl w:val="FFFFFFFF"/>
    <w:lvl w:ilvl="0" w:tplc="3990D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ACF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49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6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8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AF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84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89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A831"/>
    <w:multiLevelType w:val="hybridMultilevel"/>
    <w:tmpl w:val="1B96A680"/>
    <w:lvl w:ilvl="0" w:tplc="1A9E7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8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2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8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2F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E7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4E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ED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88B"/>
    <w:multiLevelType w:val="hybridMultilevel"/>
    <w:tmpl w:val="5F14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2F1F"/>
    <w:multiLevelType w:val="multilevel"/>
    <w:tmpl w:val="08A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55C93"/>
    <w:multiLevelType w:val="multilevel"/>
    <w:tmpl w:val="67F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EB8F"/>
    <w:multiLevelType w:val="hybridMultilevel"/>
    <w:tmpl w:val="3AAC25D2"/>
    <w:lvl w:ilvl="0" w:tplc="75B07B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C821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CD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08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A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4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E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6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E2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0EE9"/>
    <w:multiLevelType w:val="multilevel"/>
    <w:tmpl w:val="6B6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743E5"/>
    <w:multiLevelType w:val="multilevel"/>
    <w:tmpl w:val="E4E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F7D35"/>
    <w:multiLevelType w:val="hybridMultilevel"/>
    <w:tmpl w:val="33769240"/>
    <w:lvl w:ilvl="0" w:tplc="769CD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7C1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9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E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6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4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7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A7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E0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90685"/>
    <w:multiLevelType w:val="hybridMultilevel"/>
    <w:tmpl w:val="E28A5996"/>
    <w:lvl w:ilvl="0" w:tplc="9B1E7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F708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0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0F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1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00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C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7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89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01E9"/>
    <w:multiLevelType w:val="hybridMultilevel"/>
    <w:tmpl w:val="8416E104"/>
    <w:lvl w:ilvl="0" w:tplc="FEC453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AA3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23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CD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3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3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2A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3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2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A0B37"/>
    <w:multiLevelType w:val="hybridMultilevel"/>
    <w:tmpl w:val="DCDED310"/>
    <w:lvl w:ilvl="0" w:tplc="10F85E9E">
      <w:numFmt w:val="bullet"/>
      <w:lvlText w:val="–"/>
      <w:lvlJc w:val="left"/>
      <w:pPr>
        <w:ind w:left="363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7A441F12"/>
    <w:multiLevelType w:val="hybridMultilevel"/>
    <w:tmpl w:val="B2D4F342"/>
    <w:lvl w:ilvl="0" w:tplc="D7543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2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49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24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A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A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8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C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44042">
    <w:abstractNumId w:val="12"/>
  </w:num>
  <w:num w:numId="2" w16cid:durableId="68433191">
    <w:abstractNumId w:val="13"/>
  </w:num>
  <w:num w:numId="3" w16cid:durableId="1809543428">
    <w:abstractNumId w:val="2"/>
  </w:num>
  <w:num w:numId="4" w16cid:durableId="233201667">
    <w:abstractNumId w:val="9"/>
  </w:num>
  <w:num w:numId="5" w16cid:durableId="1735229359">
    <w:abstractNumId w:val="1"/>
  </w:num>
  <w:num w:numId="6" w16cid:durableId="1300719953">
    <w:abstractNumId w:val="6"/>
  </w:num>
  <w:num w:numId="7" w16cid:durableId="1480148015">
    <w:abstractNumId w:val="11"/>
  </w:num>
  <w:num w:numId="8" w16cid:durableId="1817380442">
    <w:abstractNumId w:val="10"/>
  </w:num>
  <w:num w:numId="9" w16cid:durableId="861013886">
    <w:abstractNumId w:val="5"/>
  </w:num>
  <w:num w:numId="10" w16cid:durableId="520432089">
    <w:abstractNumId w:val="0"/>
  </w:num>
  <w:num w:numId="11" w16cid:durableId="1026445546">
    <w:abstractNumId w:val="4"/>
  </w:num>
  <w:num w:numId="12" w16cid:durableId="746076104">
    <w:abstractNumId w:val="8"/>
  </w:num>
  <w:num w:numId="13" w16cid:durableId="2068263440">
    <w:abstractNumId w:val="7"/>
  </w:num>
  <w:num w:numId="14" w16cid:durableId="6371878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3D18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895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57486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986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12F4"/>
    <w:rsid w:val="002420D0"/>
    <w:rsid w:val="00242487"/>
    <w:rsid w:val="00243411"/>
    <w:rsid w:val="00245BE6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3ECB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487"/>
    <w:rsid w:val="002C49BA"/>
    <w:rsid w:val="002C4B75"/>
    <w:rsid w:val="002C73F6"/>
    <w:rsid w:val="002C7D5E"/>
    <w:rsid w:val="002D547D"/>
    <w:rsid w:val="002D58BE"/>
    <w:rsid w:val="002D64E5"/>
    <w:rsid w:val="002E0030"/>
    <w:rsid w:val="002E4D1D"/>
    <w:rsid w:val="002E51E0"/>
    <w:rsid w:val="002E5411"/>
    <w:rsid w:val="002E7A84"/>
    <w:rsid w:val="002F1BD0"/>
    <w:rsid w:val="002F7A6B"/>
    <w:rsid w:val="003013EE"/>
    <w:rsid w:val="00303F7C"/>
    <w:rsid w:val="00304031"/>
    <w:rsid w:val="00311808"/>
    <w:rsid w:val="00311851"/>
    <w:rsid w:val="00311CD5"/>
    <w:rsid w:val="0031508B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91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C7C65"/>
    <w:rsid w:val="003D0F8B"/>
    <w:rsid w:val="003D1646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2A11"/>
    <w:rsid w:val="004B3C6F"/>
    <w:rsid w:val="004B49CE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191"/>
    <w:rsid w:val="00533CBA"/>
    <w:rsid w:val="00536513"/>
    <w:rsid w:val="00536DB4"/>
    <w:rsid w:val="00541D24"/>
    <w:rsid w:val="00543159"/>
    <w:rsid w:val="0054377E"/>
    <w:rsid w:val="0054450F"/>
    <w:rsid w:val="00546C61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2CBE"/>
    <w:rsid w:val="006430DA"/>
    <w:rsid w:val="0064322F"/>
    <w:rsid w:val="006449A5"/>
    <w:rsid w:val="00644F99"/>
    <w:rsid w:val="006463EE"/>
    <w:rsid w:val="006521CF"/>
    <w:rsid w:val="006536E4"/>
    <w:rsid w:val="00657DE0"/>
    <w:rsid w:val="006608C4"/>
    <w:rsid w:val="006612C2"/>
    <w:rsid w:val="00661FB8"/>
    <w:rsid w:val="00665B75"/>
    <w:rsid w:val="00667F38"/>
    <w:rsid w:val="0067199F"/>
    <w:rsid w:val="006721A7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1AED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30E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1D58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907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26E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27C12"/>
    <w:rsid w:val="00934743"/>
    <w:rsid w:val="00934EA2"/>
    <w:rsid w:val="00935D6E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66BCE"/>
    <w:rsid w:val="00980AD1"/>
    <w:rsid w:val="00980AD6"/>
    <w:rsid w:val="009828A4"/>
    <w:rsid w:val="00985001"/>
    <w:rsid w:val="00986EBB"/>
    <w:rsid w:val="009907F3"/>
    <w:rsid w:val="00990A55"/>
    <w:rsid w:val="00992C1A"/>
    <w:rsid w:val="00992F9A"/>
    <w:rsid w:val="009944BE"/>
    <w:rsid w:val="00995CAB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9F4CB7"/>
    <w:rsid w:val="00A00AC6"/>
    <w:rsid w:val="00A00C38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B5790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C6B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7A7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01F8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47B4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366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4DFD"/>
    <w:rsid w:val="00C976EE"/>
    <w:rsid w:val="00C97C68"/>
    <w:rsid w:val="00CA18A2"/>
    <w:rsid w:val="00CA1A47"/>
    <w:rsid w:val="00CA36C5"/>
    <w:rsid w:val="00CA48CF"/>
    <w:rsid w:val="00CB1404"/>
    <w:rsid w:val="00CB1D84"/>
    <w:rsid w:val="00CB21A7"/>
    <w:rsid w:val="00CB3537"/>
    <w:rsid w:val="00CB40E5"/>
    <w:rsid w:val="00CB58DA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3ED8"/>
    <w:rsid w:val="00DD44AF"/>
    <w:rsid w:val="00DE2AC3"/>
    <w:rsid w:val="00DE434C"/>
    <w:rsid w:val="00DE5692"/>
    <w:rsid w:val="00DE5E67"/>
    <w:rsid w:val="00DE6BC5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1E5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3CFB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D3ED8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DD3ED8"/>
    <w:rPr>
      <w:rFonts w:ascii="Calibri" w:hAnsi="Calibri" w:cs="Times New Roman Bold"/>
      <w:b/>
      <w:sz w:val="22"/>
      <w:lang w:val="fr-CH" w:eastAsia="en-US"/>
    </w:rPr>
  </w:style>
  <w:style w:type="paragraph" w:customStyle="1" w:styleId="Headingbblue">
    <w:name w:val="Heading_b_blue"/>
    <w:basedOn w:val="Headingb"/>
    <w:rsid w:val="00CB21A7"/>
    <w:rPr>
      <w:color w:val="0070C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2-INF-0004/" TargetMode="External"/><Relationship Id="rId18" Type="http://schemas.openxmlformats.org/officeDocument/2006/relationships/hyperlink" Target="https://www.itu.int/en/ITU-D/Regional-Presence/AsiaPacific/Pages/Events/2023/Asia-Media-Summit-(AMS)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pub/D-PHCB-CAP_BLD.05-202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vents.pita.org.fj/PITAStrategyForum20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Regional-Presence/AsiaPacific/Pages/Events/2022/LMCASP22/main.aspx" TargetMode="External"/><Relationship Id="rId20" Type="http://schemas.openxmlformats.org/officeDocument/2006/relationships/hyperlink" Target="https://www.itu.int/en/ITU-D/Regional-Presence/AsiaPacific/Pages/Events/2024/ITU-ITTLLDC%202024/main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R/seminars/rrs/RRS-22-Asia-Pacific/Pages/default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Regional-Presence/AsiaPacific/Pages/Events/2024/Masterclass_AMS/main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Regional-Presence/AsiaPacific/Pages/Events/2024/Workshop%20on%20Digital%20Transformation%20for%20the%20Pacific/Workshop-on-Digital-Transformation-for-the-Pacific-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Pages/regional-initiatives-2023-202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B7A8E-B809-40FD-83AF-DC400CE0CC8E}"/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24</Pages>
  <Words>9792</Words>
  <Characters>71460</Characters>
  <Application>Microsoft Office Word</Application>
  <DocSecurity>0</DocSecurity>
  <Lines>595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81090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NA</cp:lastModifiedBy>
  <cp:revision>5</cp:revision>
  <cp:lastPrinted>2019-01-16T07:57:00Z</cp:lastPrinted>
  <dcterms:created xsi:type="dcterms:W3CDTF">2025-05-07T08:48:00Z</dcterms:created>
  <dcterms:modified xsi:type="dcterms:W3CDTF">2025-05-07T10:49:00Z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