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7F371786"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004E0ABE">
              <w:rPr>
                <w:b/>
                <w:bCs/>
                <w:sz w:val="26"/>
                <w:szCs w:val="26"/>
                <w:lang w:val="es-ES_tradnl"/>
              </w:rPr>
              <w:t>.</w:t>
            </w:r>
            <w:r w:rsidRPr="00D8041C">
              <w:rPr>
                <w:b/>
                <w:bCs/>
                <w:sz w:val="26"/>
                <w:szCs w:val="26"/>
                <w:lang w:val="es-ES_tradnl"/>
              </w:rPr>
              <w:t xml:space="preserve">ª reunión, Ginebra </w:t>
            </w:r>
            <w:r w:rsidR="00D412E0">
              <w:rPr>
                <w:b/>
                <w:bCs/>
                <w:sz w:val="26"/>
                <w:szCs w:val="26"/>
                <w:lang w:val="es-ES_tradnl"/>
              </w:rPr>
              <w:t>(</w:t>
            </w:r>
            <w:r w:rsidRPr="00D8041C">
              <w:rPr>
                <w:b/>
                <w:bCs/>
                <w:sz w:val="26"/>
                <w:szCs w:val="26"/>
                <w:lang w:val="es-ES_tradnl"/>
              </w:rPr>
              <w:t>Suiza</w:t>
            </w:r>
            <w:r w:rsidR="00D412E0">
              <w:rPr>
                <w:b/>
                <w:bCs/>
                <w:sz w:val="26"/>
                <w:szCs w:val="26"/>
                <w:lang w:val="es-ES_tradnl"/>
              </w:rPr>
              <w:t>)</w:t>
            </w:r>
            <w:r w:rsidRPr="00D8041C">
              <w:rPr>
                <w:b/>
                <w:bCs/>
                <w:sz w:val="26"/>
                <w:szCs w:val="26"/>
                <w:lang w:val="es-ES_tradnl"/>
              </w:rPr>
              <w:t xml:space="preserve">,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2C77073C"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D412E0">
              <w:rPr>
                <w:b/>
                <w:bCs/>
                <w:lang w:val="en-US"/>
              </w:rPr>
              <w:t>2</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67537E57" w:rsidR="00683C32" w:rsidRPr="00D412E0" w:rsidRDefault="00D412E0" w:rsidP="00D412E0">
            <w:pPr>
              <w:spacing w:before="0"/>
              <w:jc w:val="both"/>
              <w:rPr>
                <w:b/>
                <w:bCs/>
                <w:lang w:val="es-ES_tradnl"/>
              </w:rPr>
            </w:pPr>
            <w:bookmarkStart w:id="2" w:name="CreationDate"/>
            <w:bookmarkEnd w:id="2"/>
            <w:r w:rsidRPr="00D412E0">
              <w:rPr>
                <w:b/>
                <w:bCs/>
                <w:lang w:val="es-ES_tradnl"/>
              </w:rPr>
              <w:t>4 de abril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412E0" w:rsidRDefault="0096201B" w:rsidP="00D412E0">
            <w:pPr>
              <w:spacing w:before="0"/>
              <w:jc w:val="both"/>
              <w:rPr>
                <w:b/>
                <w:bCs/>
                <w:lang w:val="es-ES_tradnl"/>
              </w:rPr>
            </w:pPr>
            <w:r w:rsidRPr="00D412E0">
              <w:rPr>
                <w:b/>
                <w:bCs/>
                <w:lang w:val="es-ES_tradnl"/>
              </w:rPr>
              <w:t>Original:</w:t>
            </w:r>
            <w:bookmarkStart w:id="3" w:name="Original"/>
            <w:bookmarkEnd w:id="3"/>
            <w:r w:rsidR="00CE0422" w:rsidRPr="00D412E0">
              <w:rPr>
                <w:b/>
                <w:bCs/>
                <w:lang w:val="es-ES_tradnl"/>
              </w:rPr>
              <w:t xml:space="preserve"> </w:t>
            </w:r>
            <w:r w:rsidR="00B42366" w:rsidRPr="00D412E0">
              <w:rPr>
                <w:b/>
                <w:bCs/>
                <w:lang w:val="es-ES_tradnl"/>
              </w:rPr>
              <w:t>inglés</w:t>
            </w:r>
          </w:p>
        </w:tc>
      </w:tr>
      <w:tr w:rsidR="00A13162" w:rsidRPr="002F5AC1" w14:paraId="6160D154" w14:textId="77777777" w:rsidTr="00107E85">
        <w:trPr>
          <w:cantSplit/>
          <w:trHeight w:val="852"/>
        </w:trPr>
        <w:tc>
          <w:tcPr>
            <w:tcW w:w="9888" w:type="dxa"/>
            <w:gridSpan w:val="4"/>
          </w:tcPr>
          <w:p w14:paraId="5C1D0BF6" w14:textId="3B775299" w:rsidR="00A13162" w:rsidRPr="00D8041C" w:rsidRDefault="00D412E0" w:rsidP="0030353C">
            <w:pPr>
              <w:pStyle w:val="Source"/>
              <w:rPr>
                <w:lang w:val="es-ES_tradnl"/>
              </w:rPr>
            </w:pPr>
            <w:bookmarkStart w:id="4" w:name="Source"/>
            <w:bookmarkEnd w:id="4"/>
            <w:r w:rsidRPr="00D412E0">
              <w:rPr>
                <w:lang w:val="es-ES_tradnl"/>
              </w:rPr>
              <w:t>Director de la Oficina de Desarrollo de las Telecomunicaciones</w:t>
            </w:r>
          </w:p>
        </w:tc>
      </w:tr>
      <w:tr w:rsidR="00AC6F14" w:rsidRPr="002F5AC1" w14:paraId="1B6579E9" w14:textId="77777777" w:rsidTr="00107E85">
        <w:trPr>
          <w:cantSplit/>
        </w:trPr>
        <w:tc>
          <w:tcPr>
            <w:tcW w:w="9888" w:type="dxa"/>
            <w:gridSpan w:val="4"/>
          </w:tcPr>
          <w:p w14:paraId="5A4B721C" w14:textId="077D6340" w:rsidR="00AC6F14" w:rsidRPr="00D8041C" w:rsidRDefault="00D412E0" w:rsidP="0030353C">
            <w:pPr>
              <w:pStyle w:val="Title1"/>
              <w:rPr>
                <w:lang w:val="es-ES_tradnl"/>
              </w:rPr>
            </w:pPr>
            <w:bookmarkStart w:id="5" w:name="Title"/>
            <w:bookmarkEnd w:id="5"/>
            <w:r w:rsidRPr="00D412E0">
              <w:rPr>
                <w:lang w:val="es-ES_tradnl"/>
              </w:rPr>
              <w:t>Informe sobre la aplicación del Plan de Acción de Kigali (PAK)</w:t>
            </w:r>
          </w:p>
        </w:tc>
      </w:tr>
      <w:tr w:rsidR="00A721F4" w:rsidRPr="002F5AC1"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D8041C"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412E0" w:rsidRDefault="00B42366" w:rsidP="00D412E0">
            <w:pPr>
              <w:rPr>
                <w:b/>
                <w:bCs/>
                <w:lang w:val="es-ES_tradnl"/>
              </w:rPr>
            </w:pPr>
            <w:r w:rsidRPr="00D412E0">
              <w:rPr>
                <w:b/>
                <w:bCs/>
                <w:lang w:val="es-ES_tradnl"/>
              </w:rPr>
              <w:t>Resumen</w:t>
            </w:r>
            <w:r w:rsidR="00A721F4" w:rsidRPr="00D412E0">
              <w:rPr>
                <w:b/>
                <w:bCs/>
                <w:lang w:val="es-ES_tradnl"/>
              </w:rPr>
              <w:t>:</w:t>
            </w:r>
          </w:p>
          <w:p w14:paraId="33309B56" w14:textId="34942A60" w:rsidR="00A721F4" w:rsidRPr="00D8041C" w:rsidRDefault="00D412E0" w:rsidP="00D412E0">
            <w:pPr>
              <w:rPr>
                <w:szCs w:val="24"/>
                <w:lang w:val="es-ES_tradnl"/>
              </w:rPr>
            </w:pPr>
            <w:r w:rsidRPr="00D412E0">
              <w:rPr>
                <w:lang w:val="es-ES"/>
              </w:rPr>
              <w:t xml:space="preserve">Este documento contiene el Informe sobre la aplicación del Plan de Acción de Kigali (PAK) entre </w:t>
            </w:r>
            <w:r w:rsidRPr="00D412E0">
              <w:rPr>
                <w:b/>
                <w:bCs/>
                <w:lang w:val="es-ES"/>
              </w:rPr>
              <w:t>mayo de</w:t>
            </w:r>
            <w:r w:rsidR="0021193B">
              <w:rPr>
                <w:b/>
                <w:bCs/>
                <w:lang w:val="es-ES"/>
              </w:rPr>
              <w:t> </w:t>
            </w:r>
            <w:r w:rsidRPr="00D412E0">
              <w:rPr>
                <w:b/>
                <w:bCs/>
                <w:lang w:val="es-ES"/>
              </w:rPr>
              <w:t>2024 y abril de</w:t>
            </w:r>
            <w:r w:rsidR="0021193B">
              <w:rPr>
                <w:b/>
                <w:bCs/>
                <w:lang w:val="es-ES"/>
              </w:rPr>
              <w:t> </w:t>
            </w:r>
            <w:r w:rsidRPr="00D412E0">
              <w:rPr>
                <w:b/>
                <w:bCs/>
                <w:lang w:val="es-ES"/>
              </w:rPr>
              <w:t xml:space="preserve">2025, </w:t>
            </w:r>
            <w:r w:rsidRPr="00D412E0">
              <w:rPr>
                <w:lang w:val="es-ES"/>
              </w:rPr>
              <w:t>en el que se destacan los logros alcanzados en cada región conforme a los objetivos del PAK. El Informe sobre la aplicación del Plan de Acción de Kigali entre junio de</w:t>
            </w:r>
            <w:r w:rsidR="0021193B">
              <w:rPr>
                <w:lang w:val="es-ES"/>
              </w:rPr>
              <w:t> </w:t>
            </w:r>
            <w:r w:rsidRPr="00D412E0">
              <w:rPr>
                <w:lang w:val="es-ES"/>
              </w:rPr>
              <w:t>2023 y abril de</w:t>
            </w:r>
            <w:r w:rsidR="0021193B">
              <w:rPr>
                <w:lang w:val="es-ES"/>
              </w:rPr>
              <w:t> </w:t>
            </w:r>
            <w:r w:rsidRPr="00D412E0">
              <w:rPr>
                <w:lang w:val="es-ES"/>
              </w:rPr>
              <w:t>2024 puede encontrarse en el Documento</w:t>
            </w:r>
            <w:r>
              <w:rPr>
                <w:lang w:val="es-ES"/>
              </w:rPr>
              <w:t> </w:t>
            </w:r>
            <w:hyperlink r:id="rId13" w:history="1">
              <w:r w:rsidRPr="00D412E0">
                <w:rPr>
                  <w:rStyle w:val="Hyperlink"/>
                  <w:lang w:val="es-ES"/>
                </w:rPr>
                <w:t>TDAG-24/2</w:t>
              </w:r>
            </w:hyperlink>
            <w:r w:rsidRPr="00D412E0">
              <w:rPr>
                <w:lang w:val="es-ES"/>
              </w:rPr>
              <w:t>.</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7D694563" w:rsidR="00A721F4" w:rsidRPr="00D8041C" w:rsidRDefault="00D412E0" w:rsidP="00C24B6D">
            <w:pPr>
              <w:rPr>
                <w:szCs w:val="24"/>
                <w:lang w:val="es-ES_tradnl"/>
              </w:rPr>
            </w:pPr>
            <w:r w:rsidRPr="00D412E0">
              <w:rPr>
                <w:lang w:val="es-ES"/>
              </w:rPr>
              <w:t>Se solicita al</w:t>
            </w:r>
            <w:r w:rsidR="0021193B">
              <w:rPr>
                <w:lang w:val="es-ES"/>
              </w:rPr>
              <w:t> </w:t>
            </w:r>
            <w:r w:rsidRPr="00D412E0">
              <w:rPr>
                <w:lang w:val="es-ES"/>
              </w:rPr>
              <w:t>GADT que examine este Informe y formule las orientaciones que estime convenientes.</w:t>
            </w:r>
          </w:p>
          <w:p w14:paraId="245CE8A8" w14:textId="210753D3" w:rsidR="00A721F4" w:rsidRPr="00D412E0" w:rsidRDefault="00A721F4" w:rsidP="00D412E0">
            <w:pPr>
              <w:rPr>
                <w:b/>
                <w:bCs/>
                <w:lang w:val="es-ES_tradnl"/>
              </w:rPr>
            </w:pPr>
            <w:r w:rsidRPr="00D412E0">
              <w:rPr>
                <w:b/>
                <w:bCs/>
                <w:lang w:val="es-ES_tradnl"/>
              </w:rPr>
              <w:t>Referenc</w:t>
            </w:r>
            <w:r w:rsidR="00B42366" w:rsidRPr="00D412E0">
              <w:rPr>
                <w:b/>
                <w:bCs/>
                <w:lang w:val="es-ES_tradnl"/>
              </w:rPr>
              <w:t>ia</w:t>
            </w:r>
            <w:r w:rsidRPr="00D412E0">
              <w:rPr>
                <w:b/>
                <w:bCs/>
                <w:lang w:val="es-ES_tradnl"/>
              </w:rPr>
              <w:t>s:</w:t>
            </w:r>
          </w:p>
          <w:p w14:paraId="64D3B701" w14:textId="77777777" w:rsidR="00D412E0" w:rsidRPr="00D412E0" w:rsidRDefault="00D412E0" w:rsidP="00D412E0">
            <w:pPr>
              <w:rPr>
                <w:lang w:val="es-ES"/>
              </w:rPr>
            </w:pPr>
            <w:r w:rsidRPr="00D412E0">
              <w:rPr>
                <w:lang w:val="es-ES"/>
              </w:rPr>
              <w:t>Plan de Acción de Kigali de la CMDT-22</w:t>
            </w:r>
          </w:p>
          <w:p w14:paraId="1B5631CD" w14:textId="4E37674D" w:rsidR="00A721F4" w:rsidRPr="00D8041C" w:rsidRDefault="00D412E0" w:rsidP="00D412E0">
            <w:pPr>
              <w:spacing w:after="120"/>
              <w:rPr>
                <w:lang w:val="es-ES_tradnl"/>
              </w:rPr>
            </w:pPr>
            <w:r w:rsidRPr="00D412E0">
              <w:rPr>
                <w:lang w:val="es-ES"/>
              </w:rPr>
              <w:t>Documento</w:t>
            </w:r>
            <w:r>
              <w:rPr>
                <w:lang w:val="es-ES"/>
              </w:rPr>
              <w:t> </w:t>
            </w:r>
            <w:hyperlink r:id="rId14" w:history="1">
              <w:r w:rsidRPr="00D412E0">
                <w:rPr>
                  <w:rStyle w:val="Hyperlink"/>
                  <w:lang w:val="es-ES"/>
                </w:rPr>
                <w:t>TDAG-24/2</w:t>
              </w:r>
            </w:hyperlink>
          </w:p>
        </w:tc>
      </w:tr>
    </w:tbl>
    <w:p w14:paraId="1D19608A" w14:textId="77777777" w:rsidR="00923CF1" w:rsidRPr="00D8041C" w:rsidRDefault="00923CF1" w:rsidP="00D412E0">
      <w:pPr>
        <w:rPr>
          <w:lang w:val="es-ES_tradnl"/>
        </w:rPr>
      </w:pPr>
      <w:r w:rsidRPr="00D8041C">
        <w:rPr>
          <w:lang w:val="es-ES_tradnl"/>
        </w:rPr>
        <w:br w:type="page"/>
      </w:r>
    </w:p>
    <w:p w14:paraId="71993D1C" w14:textId="07B5D4F2" w:rsidR="00EC6FED" w:rsidRDefault="00D412E0" w:rsidP="00D04080">
      <w:pPr>
        <w:pStyle w:val="Title4"/>
        <w:rPr>
          <w:lang w:val="es-ES_tradnl"/>
        </w:rPr>
      </w:pPr>
      <w:r w:rsidRPr="00D412E0">
        <w:rPr>
          <w:lang w:val="es-ES_tradnl"/>
        </w:rPr>
        <w:lastRenderedPageBreak/>
        <w:t>Índice</w:t>
      </w:r>
    </w:p>
    <w:p w14:paraId="66ABDD20" w14:textId="75852F53" w:rsidR="00D412E0" w:rsidRDefault="00D412E0" w:rsidP="00D412E0">
      <w:pPr>
        <w:pStyle w:val="toc0"/>
        <w:rPr>
          <w:lang w:val="es-ES_tradnl"/>
        </w:rPr>
      </w:pPr>
      <w:r>
        <w:rPr>
          <w:lang w:val="es-ES_tradnl"/>
        </w:rPr>
        <w:tab/>
        <w:t>Página</w:t>
      </w:r>
    </w:p>
    <w:p w14:paraId="6A9B167D" w14:textId="7A1F232E" w:rsidR="00B54FBF" w:rsidRDefault="000C49B1">
      <w:pPr>
        <w:pStyle w:val="TOC1"/>
        <w:rPr>
          <w:rFonts w:eastAsiaTheme="minorEastAsia" w:cstheme="minorBidi"/>
          <w:noProof/>
          <w:sz w:val="22"/>
          <w:szCs w:val="22"/>
          <w:lang w:eastAsia="zh-CN"/>
        </w:rPr>
      </w:pPr>
      <w:r>
        <w:rPr>
          <w:lang w:val="es-ES_tradnl"/>
        </w:rPr>
        <w:fldChar w:fldCharType="begin"/>
      </w:r>
      <w:r>
        <w:rPr>
          <w:lang w:val="es-ES_tradnl"/>
        </w:rPr>
        <w:instrText xml:space="preserve"> TOC \o "1-2" \h \z \u </w:instrText>
      </w:r>
      <w:r>
        <w:rPr>
          <w:lang w:val="es-ES_tradnl"/>
        </w:rPr>
        <w:fldChar w:fldCharType="separate"/>
      </w:r>
      <w:hyperlink w:anchor="_Toc196911803" w:history="1">
        <w:r w:rsidR="00B54FBF" w:rsidRPr="00466606">
          <w:rPr>
            <w:rStyle w:val="Hyperlink"/>
            <w:noProof/>
            <w:lang w:val="es-ES"/>
          </w:rPr>
          <w:t>Prioridad 1 del UIT-D: Conectividad asequible</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_Toc196911803 \h </w:instrText>
        </w:r>
        <w:r w:rsidR="00B54FBF">
          <w:rPr>
            <w:noProof/>
            <w:webHidden/>
          </w:rPr>
        </w:r>
        <w:r w:rsidR="00B54FBF">
          <w:rPr>
            <w:noProof/>
            <w:webHidden/>
          </w:rPr>
          <w:fldChar w:fldCharType="separate"/>
        </w:r>
        <w:r w:rsidR="00976FF4">
          <w:rPr>
            <w:noProof/>
            <w:webHidden/>
          </w:rPr>
          <w:t>3</w:t>
        </w:r>
        <w:r w:rsidR="00B54FBF">
          <w:rPr>
            <w:noProof/>
            <w:webHidden/>
          </w:rPr>
          <w:fldChar w:fldCharType="end"/>
        </w:r>
      </w:hyperlink>
    </w:p>
    <w:p w14:paraId="5ABAADD9" w14:textId="60ED18CA" w:rsidR="00B54FBF" w:rsidRDefault="00976FF4">
      <w:pPr>
        <w:pStyle w:val="TOC1"/>
        <w:rPr>
          <w:rFonts w:eastAsiaTheme="minorEastAsia" w:cstheme="minorBidi"/>
          <w:noProof/>
          <w:sz w:val="22"/>
          <w:szCs w:val="22"/>
          <w:lang w:eastAsia="zh-CN"/>
        </w:rPr>
      </w:pPr>
      <w:hyperlink w:anchor="_Toc196911804" w:history="1">
        <w:r w:rsidR="00B54FBF" w:rsidRPr="00466606">
          <w:rPr>
            <w:rStyle w:val="Hyperlink"/>
            <w:noProof/>
            <w:lang w:val="es-ES"/>
          </w:rPr>
          <w:t>Prioridad 2 del UIT-</w:t>
        </w:r>
        <w:r w:rsidR="00B54FBF" w:rsidRPr="00466606">
          <w:rPr>
            <w:rStyle w:val="Hyperlink"/>
            <w:noProof/>
            <w:lang w:val="es-ES"/>
          </w:rPr>
          <w:t>D</w:t>
        </w:r>
        <w:r w:rsidR="00B54FBF" w:rsidRPr="00466606">
          <w:rPr>
            <w:rStyle w:val="Hyperlink"/>
            <w:noProof/>
            <w:lang w:val="es-ES"/>
          </w:rPr>
          <w:t>: Transformación digital</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_Toc196911804 \h </w:instrText>
        </w:r>
        <w:r w:rsidR="00B54FBF">
          <w:rPr>
            <w:noProof/>
            <w:webHidden/>
          </w:rPr>
        </w:r>
        <w:r w:rsidR="00B54FBF">
          <w:rPr>
            <w:noProof/>
            <w:webHidden/>
          </w:rPr>
          <w:fldChar w:fldCharType="separate"/>
        </w:r>
        <w:r>
          <w:rPr>
            <w:noProof/>
            <w:webHidden/>
          </w:rPr>
          <w:t>18</w:t>
        </w:r>
        <w:r w:rsidR="00B54FBF">
          <w:rPr>
            <w:noProof/>
            <w:webHidden/>
          </w:rPr>
          <w:fldChar w:fldCharType="end"/>
        </w:r>
      </w:hyperlink>
    </w:p>
    <w:p w14:paraId="46AC4203" w14:textId="7260DC04" w:rsidR="00B54FBF" w:rsidRDefault="00976FF4">
      <w:pPr>
        <w:pStyle w:val="TOC1"/>
        <w:rPr>
          <w:rFonts w:eastAsiaTheme="minorEastAsia" w:cstheme="minorBidi"/>
          <w:noProof/>
          <w:sz w:val="22"/>
          <w:szCs w:val="22"/>
          <w:lang w:eastAsia="zh-CN"/>
        </w:rPr>
      </w:pPr>
      <w:hyperlink w:anchor="_Toc196911805" w:history="1">
        <w:r w:rsidR="00B54FBF" w:rsidRPr="00466606">
          <w:rPr>
            <w:rStyle w:val="Hyperlink"/>
            <w:noProof/>
            <w:lang w:val="es-ES"/>
          </w:rPr>
          <w:t>Prioridad 3 del UIT-D: Entorno político y reglamentario propicio</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_Toc196911805 \h </w:instrText>
        </w:r>
        <w:r w:rsidR="00B54FBF">
          <w:rPr>
            <w:noProof/>
            <w:webHidden/>
          </w:rPr>
        </w:r>
        <w:r w:rsidR="00B54FBF">
          <w:rPr>
            <w:noProof/>
            <w:webHidden/>
          </w:rPr>
          <w:fldChar w:fldCharType="separate"/>
        </w:r>
        <w:r>
          <w:rPr>
            <w:noProof/>
            <w:webHidden/>
          </w:rPr>
          <w:t>26</w:t>
        </w:r>
        <w:r w:rsidR="00B54FBF">
          <w:rPr>
            <w:noProof/>
            <w:webHidden/>
          </w:rPr>
          <w:fldChar w:fldCharType="end"/>
        </w:r>
      </w:hyperlink>
    </w:p>
    <w:p w14:paraId="596D414F" w14:textId="6670DBDC" w:rsidR="00B54FBF" w:rsidRDefault="00976FF4" w:rsidP="008C1360">
      <w:pPr>
        <w:pStyle w:val="TOC1"/>
        <w:ind w:left="0" w:firstLine="0"/>
        <w:rPr>
          <w:rFonts w:eastAsiaTheme="minorEastAsia" w:cstheme="minorBidi"/>
          <w:noProof/>
          <w:sz w:val="22"/>
          <w:szCs w:val="22"/>
          <w:lang w:eastAsia="zh-CN"/>
        </w:rPr>
      </w:pPr>
      <w:hyperlink w:anchor="_Toc196911806" w:history="1">
        <w:r w:rsidR="00B54FBF" w:rsidRPr="00466606">
          <w:rPr>
            <w:rStyle w:val="Hyperlink"/>
            <w:noProof/>
            <w:lang w:val="es-ES"/>
          </w:rPr>
          <w:t xml:space="preserve">Prioridad 4 del UIT-D: Telecomunicaciones/TIC inclusivas y seguras </w:t>
        </w:r>
        <w:r w:rsidR="008C1360">
          <w:rPr>
            <w:rStyle w:val="Hyperlink"/>
            <w:noProof/>
            <w:lang w:val="es-ES"/>
          </w:rPr>
          <w:br/>
        </w:r>
        <w:r w:rsidR="00B54FBF" w:rsidRPr="00466606">
          <w:rPr>
            <w:rStyle w:val="Hyperlink"/>
            <w:noProof/>
            <w:lang w:val="es-ES"/>
          </w:rPr>
          <w:t>para el desarrollo sostenible</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_Toc196911806 \h </w:instrText>
        </w:r>
        <w:r w:rsidR="00B54FBF">
          <w:rPr>
            <w:noProof/>
            <w:webHidden/>
          </w:rPr>
        </w:r>
        <w:r w:rsidR="00B54FBF">
          <w:rPr>
            <w:noProof/>
            <w:webHidden/>
          </w:rPr>
          <w:fldChar w:fldCharType="separate"/>
        </w:r>
        <w:r>
          <w:rPr>
            <w:noProof/>
            <w:webHidden/>
          </w:rPr>
          <w:t>43</w:t>
        </w:r>
        <w:r w:rsidR="00B54FBF">
          <w:rPr>
            <w:noProof/>
            <w:webHidden/>
          </w:rPr>
          <w:fldChar w:fldCharType="end"/>
        </w:r>
      </w:hyperlink>
    </w:p>
    <w:p w14:paraId="4F6F53D5" w14:textId="6FAC6D27" w:rsidR="00B54FBF" w:rsidRDefault="00976FF4" w:rsidP="008C1360">
      <w:pPr>
        <w:pStyle w:val="TOC1"/>
        <w:ind w:left="0" w:firstLine="0"/>
        <w:rPr>
          <w:rFonts w:eastAsiaTheme="minorEastAsia" w:cstheme="minorBidi"/>
          <w:noProof/>
          <w:sz w:val="22"/>
          <w:szCs w:val="22"/>
          <w:lang w:eastAsia="zh-CN"/>
        </w:rPr>
      </w:pPr>
      <w:hyperlink w:anchor="_Toc196911807" w:history="1">
        <w:r w:rsidR="00B54FBF" w:rsidRPr="00466606">
          <w:rPr>
            <w:rStyle w:val="Hyperlink"/>
            <w:noProof/>
            <w:lang w:val="es-ES"/>
          </w:rPr>
          <w:t xml:space="preserve">Prioridad 5 del UIT-D: Movilización de recursos y asociaciones y </w:t>
        </w:r>
        <w:r w:rsidR="00855F47" w:rsidRPr="00855F47">
          <w:rPr>
            <w:rStyle w:val="Hyperlink"/>
            <w:noProof/>
            <w:lang w:val="es-ES"/>
          </w:rPr>
          <w:br/>
        </w:r>
        <w:r w:rsidR="00B54FBF" w:rsidRPr="00466606">
          <w:rPr>
            <w:rStyle w:val="Hyperlink"/>
            <w:noProof/>
            <w:lang w:val="es-ES"/>
          </w:rPr>
          <w:t>cooperación internacional</w:t>
        </w:r>
        <w:r w:rsidR="008C1360" w:rsidRPr="008C1360">
          <w:rPr>
            <w:rStyle w:val="FootnoteReference"/>
            <w:noProof/>
          </w:rPr>
          <w:footnoteReference w:id="1"/>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_Toc196911807 \h </w:instrText>
        </w:r>
        <w:r w:rsidR="00B54FBF">
          <w:rPr>
            <w:noProof/>
            <w:webHidden/>
          </w:rPr>
        </w:r>
        <w:r w:rsidR="00B54FBF">
          <w:rPr>
            <w:noProof/>
            <w:webHidden/>
          </w:rPr>
          <w:fldChar w:fldCharType="separate"/>
        </w:r>
        <w:r>
          <w:rPr>
            <w:noProof/>
            <w:webHidden/>
          </w:rPr>
          <w:t>48</w:t>
        </w:r>
        <w:r w:rsidR="00B54FBF">
          <w:rPr>
            <w:noProof/>
            <w:webHidden/>
          </w:rPr>
          <w:fldChar w:fldCharType="end"/>
        </w:r>
      </w:hyperlink>
    </w:p>
    <w:p w14:paraId="7CEFEDF0" w14:textId="08969571" w:rsidR="00B54FBF" w:rsidRDefault="00976FF4" w:rsidP="008C1360">
      <w:pPr>
        <w:pStyle w:val="TOC2"/>
        <w:ind w:left="1814"/>
        <w:rPr>
          <w:rFonts w:eastAsiaTheme="minorEastAsia" w:cstheme="minorBidi"/>
          <w:noProof/>
          <w:sz w:val="22"/>
          <w:szCs w:val="22"/>
          <w:lang w:eastAsia="zh-CN"/>
        </w:rPr>
      </w:pPr>
      <w:hyperlink w:anchor="_Toc196911808" w:history="1">
        <w:r w:rsidR="00B54FBF" w:rsidRPr="00466606">
          <w:rPr>
            <w:rStyle w:val="Hyperlink"/>
            <w:noProof/>
            <w:lang w:val="es-ES_tradnl"/>
          </w:rPr>
          <w:t>Factor habilitador 1 del UIT-D: Impulso de los miembros</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_Toc196911808 \h </w:instrText>
        </w:r>
        <w:r w:rsidR="00B54FBF">
          <w:rPr>
            <w:noProof/>
            <w:webHidden/>
          </w:rPr>
        </w:r>
        <w:r w:rsidR="00B54FBF">
          <w:rPr>
            <w:noProof/>
            <w:webHidden/>
          </w:rPr>
          <w:fldChar w:fldCharType="separate"/>
        </w:r>
        <w:r>
          <w:rPr>
            <w:noProof/>
            <w:webHidden/>
          </w:rPr>
          <w:t>49</w:t>
        </w:r>
        <w:r w:rsidR="00B54FBF">
          <w:rPr>
            <w:noProof/>
            <w:webHidden/>
          </w:rPr>
          <w:fldChar w:fldCharType="end"/>
        </w:r>
      </w:hyperlink>
    </w:p>
    <w:p w14:paraId="1B880F0B" w14:textId="6EFF114B" w:rsidR="00B54FBF" w:rsidRDefault="00976FF4" w:rsidP="008C1360">
      <w:pPr>
        <w:pStyle w:val="TOC2"/>
        <w:ind w:left="1814"/>
        <w:rPr>
          <w:rFonts w:eastAsiaTheme="minorEastAsia" w:cstheme="minorBidi"/>
          <w:noProof/>
          <w:sz w:val="22"/>
          <w:szCs w:val="22"/>
          <w:lang w:eastAsia="zh-CN"/>
        </w:rPr>
      </w:pPr>
      <w:hyperlink w:anchor="_Toc196911809" w:history="1">
        <w:r w:rsidR="00B54FBF" w:rsidRPr="00466606">
          <w:rPr>
            <w:rStyle w:val="Hyperlink"/>
            <w:noProof/>
            <w:lang w:val="es-ES_tradnl"/>
          </w:rPr>
          <w:t>Factor habilitador 2 del UIT-D: Presencia regional</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_Toc196911809 \h </w:instrText>
        </w:r>
        <w:r w:rsidR="00B54FBF">
          <w:rPr>
            <w:noProof/>
            <w:webHidden/>
          </w:rPr>
        </w:r>
        <w:r w:rsidR="00B54FBF">
          <w:rPr>
            <w:noProof/>
            <w:webHidden/>
          </w:rPr>
          <w:fldChar w:fldCharType="separate"/>
        </w:r>
        <w:r>
          <w:rPr>
            <w:noProof/>
            <w:webHidden/>
          </w:rPr>
          <w:t>55</w:t>
        </w:r>
        <w:r w:rsidR="00B54FBF">
          <w:rPr>
            <w:noProof/>
            <w:webHidden/>
          </w:rPr>
          <w:fldChar w:fldCharType="end"/>
        </w:r>
      </w:hyperlink>
    </w:p>
    <w:p w14:paraId="4DB5E067" w14:textId="2C959FF3" w:rsidR="00B54FBF" w:rsidRDefault="00976FF4" w:rsidP="008C1360">
      <w:pPr>
        <w:pStyle w:val="TOC2"/>
        <w:ind w:left="1814"/>
        <w:rPr>
          <w:rFonts w:eastAsiaTheme="minorEastAsia" w:cstheme="minorBidi"/>
          <w:noProof/>
          <w:sz w:val="22"/>
          <w:szCs w:val="22"/>
          <w:lang w:eastAsia="zh-CN"/>
        </w:rPr>
      </w:pPr>
      <w:hyperlink w:anchor="_Toc196911810" w:history="1">
        <w:r w:rsidR="00B54FBF" w:rsidRPr="00466606">
          <w:rPr>
            <w:rStyle w:val="Hyperlink"/>
            <w:noProof/>
            <w:lang w:val="es-ES_tradnl"/>
          </w:rPr>
          <w:t>Factor habilitador 3 del UIT-D: Diversidad e inclusión</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_Toc196911810 \h </w:instrText>
        </w:r>
        <w:r w:rsidR="00B54FBF">
          <w:rPr>
            <w:noProof/>
            <w:webHidden/>
          </w:rPr>
        </w:r>
        <w:r w:rsidR="00B54FBF">
          <w:rPr>
            <w:noProof/>
            <w:webHidden/>
          </w:rPr>
          <w:fldChar w:fldCharType="separate"/>
        </w:r>
        <w:r>
          <w:rPr>
            <w:noProof/>
            <w:webHidden/>
          </w:rPr>
          <w:t>56</w:t>
        </w:r>
        <w:r w:rsidR="00B54FBF">
          <w:rPr>
            <w:noProof/>
            <w:webHidden/>
          </w:rPr>
          <w:fldChar w:fldCharType="end"/>
        </w:r>
      </w:hyperlink>
    </w:p>
    <w:p w14:paraId="556EAD3A" w14:textId="60BBABCF" w:rsidR="00B54FBF" w:rsidRDefault="00976FF4" w:rsidP="008C1360">
      <w:pPr>
        <w:pStyle w:val="TOC2"/>
        <w:ind w:left="1814"/>
        <w:rPr>
          <w:rFonts w:eastAsiaTheme="minorEastAsia" w:cstheme="minorBidi"/>
          <w:noProof/>
          <w:sz w:val="22"/>
          <w:szCs w:val="22"/>
          <w:lang w:eastAsia="zh-CN"/>
        </w:rPr>
      </w:pPr>
      <w:hyperlink w:anchor="_Toc196911811" w:history="1">
        <w:r w:rsidR="00B54FBF" w:rsidRPr="00466606">
          <w:rPr>
            <w:rStyle w:val="Hyperlink"/>
            <w:noProof/>
            <w:lang w:val="es-ES_tradnl"/>
          </w:rPr>
          <w:t>Factor habilitador 4 del UIT-D: Compromiso con la sostenibilidad medioambiental</w:t>
        </w:r>
        <w:r w:rsidR="00B54FBF">
          <w:rPr>
            <w:noProof/>
            <w:webHidden/>
          </w:rPr>
          <w:tab/>
        </w:r>
        <w:r w:rsidR="00B54FBF">
          <w:rPr>
            <w:noProof/>
            <w:webHidden/>
          </w:rPr>
          <w:fldChar w:fldCharType="begin"/>
        </w:r>
        <w:r w:rsidR="00B54FBF">
          <w:rPr>
            <w:noProof/>
            <w:webHidden/>
          </w:rPr>
          <w:instrText xml:space="preserve"> PAGEREF _Toc196911811 \h </w:instrText>
        </w:r>
        <w:r w:rsidR="00B54FBF">
          <w:rPr>
            <w:noProof/>
            <w:webHidden/>
          </w:rPr>
        </w:r>
        <w:r w:rsidR="00B54FBF">
          <w:rPr>
            <w:noProof/>
            <w:webHidden/>
          </w:rPr>
          <w:fldChar w:fldCharType="separate"/>
        </w:r>
        <w:r>
          <w:rPr>
            <w:noProof/>
            <w:webHidden/>
          </w:rPr>
          <w:t>62</w:t>
        </w:r>
        <w:r w:rsidR="00B54FBF">
          <w:rPr>
            <w:noProof/>
            <w:webHidden/>
          </w:rPr>
          <w:fldChar w:fldCharType="end"/>
        </w:r>
      </w:hyperlink>
    </w:p>
    <w:p w14:paraId="11F873CC" w14:textId="13040A8F" w:rsidR="00B54FBF" w:rsidRDefault="00976FF4" w:rsidP="008C1360">
      <w:pPr>
        <w:pStyle w:val="TOC2"/>
        <w:ind w:left="851" w:firstLine="0"/>
        <w:rPr>
          <w:rFonts w:eastAsiaTheme="minorEastAsia" w:cstheme="minorBidi"/>
          <w:noProof/>
          <w:sz w:val="22"/>
          <w:szCs w:val="22"/>
          <w:lang w:eastAsia="zh-CN"/>
        </w:rPr>
      </w:pPr>
      <w:hyperlink w:anchor="_Toc196911812" w:history="1">
        <w:r w:rsidR="00B54FBF" w:rsidRPr="00466606">
          <w:rPr>
            <w:rStyle w:val="Hyperlink"/>
            <w:noProof/>
            <w:lang w:val="es-ES_tradnl"/>
          </w:rPr>
          <w:t xml:space="preserve">Factor habilitador 5 del UIT-D: Excelencia en los recursos humanos e innovación </w:t>
        </w:r>
        <w:r w:rsidR="008C1360">
          <w:rPr>
            <w:rStyle w:val="Hyperlink"/>
            <w:noProof/>
            <w:lang w:val="es-ES_tradnl"/>
          </w:rPr>
          <w:br/>
        </w:r>
        <w:r w:rsidR="00B54FBF" w:rsidRPr="00466606">
          <w:rPr>
            <w:rStyle w:val="Hyperlink"/>
            <w:noProof/>
            <w:lang w:val="es-ES_tradnl"/>
          </w:rPr>
          <w:t>institucional</w:t>
        </w:r>
        <w:r w:rsidR="00B54FBF">
          <w:rPr>
            <w:noProof/>
            <w:webHidden/>
          </w:rPr>
          <w:tab/>
        </w:r>
        <w:r w:rsidR="008C1360">
          <w:rPr>
            <w:noProof/>
            <w:webHidden/>
          </w:rPr>
          <w:tab/>
        </w:r>
        <w:r w:rsidR="00B54FBF">
          <w:rPr>
            <w:noProof/>
            <w:webHidden/>
          </w:rPr>
          <w:fldChar w:fldCharType="begin"/>
        </w:r>
        <w:r w:rsidR="00B54FBF">
          <w:rPr>
            <w:noProof/>
            <w:webHidden/>
          </w:rPr>
          <w:instrText xml:space="preserve"> PAGEREF _Toc196911812 \h </w:instrText>
        </w:r>
        <w:r w:rsidR="00B54FBF">
          <w:rPr>
            <w:noProof/>
            <w:webHidden/>
          </w:rPr>
        </w:r>
        <w:r w:rsidR="00B54FBF">
          <w:rPr>
            <w:noProof/>
            <w:webHidden/>
          </w:rPr>
          <w:fldChar w:fldCharType="separate"/>
        </w:r>
        <w:r>
          <w:rPr>
            <w:noProof/>
            <w:webHidden/>
          </w:rPr>
          <w:t>66</w:t>
        </w:r>
        <w:r w:rsidR="00B54FBF">
          <w:rPr>
            <w:noProof/>
            <w:webHidden/>
          </w:rPr>
          <w:fldChar w:fldCharType="end"/>
        </w:r>
      </w:hyperlink>
    </w:p>
    <w:p w14:paraId="02C98163" w14:textId="438A81DD" w:rsidR="00D412E0" w:rsidRPr="00D412E0" w:rsidRDefault="000C49B1" w:rsidP="00B54FBF">
      <w:pPr>
        <w:rPr>
          <w:lang w:val="es-ES_tradnl"/>
        </w:rPr>
      </w:pPr>
      <w:r>
        <w:rPr>
          <w:lang w:val="es-ES_tradnl"/>
        </w:rPr>
        <w:fldChar w:fldCharType="end"/>
      </w:r>
    </w:p>
    <w:p w14:paraId="69C6605A" w14:textId="77777777" w:rsidR="00D412E0" w:rsidRDefault="00D412E0" w:rsidP="00935FF0">
      <w:pPr>
        <w:rPr>
          <w:lang w:val="es-ES_tradnl"/>
        </w:rPr>
        <w:sectPr w:rsidR="00D412E0"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pPr>
    </w:p>
    <w:p w14:paraId="51C11B1A" w14:textId="77777777" w:rsidR="00D412E0" w:rsidRPr="00D412E0" w:rsidRDefault="00D412E0" w:rsidP="008E2F46">
      <w:pPr>
        <w:pStyle w:val="Tabletitle"/>
        <w:rPr>
          <w:lang w:val="es-ES"/>
        </w:rPr>
      </w:pPr>
      <w:r w:rsidRPr="00D412E0">
        <w:rPr>
          <w:lang w:val="es-ES"/>
        </w:rPr>
        <w:lastRenderedPageBreak/>
        <w:t>Informe intermedio de mayo de 2024 a abril de 2025</w:t>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D412E0" w:rsidRPr="002F5AC1" w14:paraId="67BE3299" w14:textId="77777777" w:rsidTr="004711CF">
        <w:trPr>
          <w:jc w:val="center"/>
        </w:trPr>
        <w:tc>
          <w:tcPr>
            <w:tcW w:w="14556" w:type="dxa"/>
            <w:gridSpan w:val="3"/>
            <w:shd w:val="clear" w:color="auto" w:fill="365F91"/>
          </w:tcPr>
          <w:p w14:paraId="78399DDE" w14:textId="54F6FAE4" w:rsidR="00D412E0" w:rsidRPr="000C49B1" w:rsidRDefault="00D412E0" w:rsidP="000C49B1">
            <w:pPr>
              <w:pStyle w:val="Heading1"/>
              <w:spacing w:before="80" w:after="80"/>
              <w:jc w:val="center"/>
              <w:rPr>
                <w:color w:val="FFFFFF" w:themeColor="background1"/>
                <w:sz w:val="22"/>
                <w:szCs w:val="22"/>
                <w:lang w:val="es-ES"/>
              </w:rPr>
            </w:pPr>
            <w:bookmarkStart w:id="6" w:name="_Toc196911803"/>
            <w:r w:rsidRPr="000C49B1">
              <w:rPr>
                <w:color w:val="FFFFFF" w:themeColor="background1"/>
                <w:sz w:val="22"/>
                <w:szCs w:val="22"/>
                <w:lang w:val="es-ES"/>
              </w:rPr>
              <w:t>Prioridad 1 del UIT-D: Conectividad asequible</w:t>
            </w:r>
            <w:bookmarkEnd w:id="6"/>
          </w:p>
          <w:p w14:paraId="556A3D4A" w14:textId="77777777" w:rsidR="00D412E0" w:rsidRPr="00CE0D86" w:rsidRDefault="00D412E0" w:rsidP="00CE0D86">
            <w:pPr>
              <w:pStyle w:val="Tablehead"/>
              <w:rPr>
                <w:bCs/>
                <w:i/>
                <w:iCs/>
                <w:color w:val="FFFFFF" w:themeColor="background1"/>
                <w:lang w:val="es-ES"/>
              </w:rPr>
            </w:pPr>
            <w:r w:rsidRPr="00CE0D86">
              <w:rPr>
                <w:bCs/>
                <w:i/>
                <w:iCs/>
                <w:color w:val="FFFFFF" w:themeColor="background1"/>
                <w:lang w:val="es-ES"/>
              </w:rPr>
              <w:t>Fomentar el desarrollo de infraestructuras y servicios seguros, modernos y asequibles a través de las telecomunicaciones/TIC</w:t>
            </w:r>
          </w:p>
        </w:tc>
      </w:tr>
      <w:tr w:rsidR="00D412E0" w:rsidRPr="002F5AC1" w14:paraId="076F4789" w14:textId="77777777" w:rsidTr="004711CF">
        <w:trPr>
          <w:jc w:val="center"/>
        </w:trPr>
        <w:tc>
          <w:tcPr>
            <w:tcW w:w="14556" w:type="dxa"/>
            <w:gridSpan w:val="3"/>
            <w:shd w:val="clear" w:color="auto" w:fill="E5DFEC"/>
          </w:tcPr>
          <w:p w14:paraId="06A7F4F2" w14:textId="77777777" w:rsidR="00D412E0" w:rsidRPr="00C07450" w:rsidRDefault="00D412E0" w:rsidP="00391AFE">
            <w:pPr>
              <w:pStyle w:val="Tabletext"/>
              <w:rPr>
                <w:b/>
                <w:bCs/>
                <w:color w:val="1F497D"/>
                <w:lang w:val="es-ES"/>
              </w:rPr>
            </w:pPr>
            <w:r w:rsidRPr="00C07450">
              <w:rPr>
                <w:b/>
                <w:bCs/>
                <w:color w:val="1F497D"/>
                <w:lang w:val="es-ES"/>
              </w:rPr>
              <w:t>Telecomunicaciones de emergencia</w:t>
            </w:r>
          </w:p>
          <w:p w14:paraId="746CA7D3" w14:textId="6B5936E3" w:rsidR="00D412E0" w:rsidRPr="00391AFE" w:rsidRDefault="00D412E0" w:rsidP="00391AFE">
            <w:pPr>
              <w:pStyle w:val="Tabletext"/>
              <w:rPr>
                <w:i/>
                <w:iCs/>
                <w:lang w:val="es-ES"/>
              </w:rPr>
            </w:pPr>
            <w:r w:rsidRPr="00391AFE">
              <w:rPr>
                <w:b/>
                <w:bCs/>
                <w:i/>
                <w:iCs/>
                <w:lang w:val="es-ES"/>
              </w:rPr>
              <w:t>Realización:</w:t>
            </w:r>
            <w:r w:rsidRPr="00391AFE">
              <w:rPr>
                <w:i/>
                <w:iCs/>
                <w:lang w:val="es-ES"/>
              </w:rPr>
              <w:t xml:space="preserve"> Refuerzo de la capacidad de los Estados Miembros para utilizar las telecomunicaciones/TIC a efectos de la reducción y la gestión del riesgo de catástrofes, a fin de garantizar la disponibilidad de las telecomunicaciones de emergencia y facilitar la cooperación en este ámbito</w:t>
            </w:r>
            <w:r w:rsidR="00A20ED8">
              <w:rPr>
                <w:i/>
                <w:iCs/>
                <w:lang w:val="es-ES"/>
              </w:rPr>
              <w:t>.</w:t>
            </w:r>
          </w:p>
        </w:tc>
      </w:tr>
      <w:tr w:rsidR="00D412E0" w:rsidRPr="00B41069" w14:paraId="2A500E98" w14:textId="77777777" w:rsidTr="004711CF">
        <w:trPr>
          <w:jc w:val="center"/>
        </w:trPr>
        <w:tc>
          <w:tcPr>
            <w:tcW w:w="11557" w:type="dxa"/>
            <w:gridSpan w:val="2"/>
          </w:tcPr>
          <w:p w14:paraId="53180C3D" w14:textId="2CAF690E" w:rsidR="00D412E0" w:rsidRPr="00C07450" w:rsidRDefault="00D412E0" w:rsidP="00391AFE">
            <w:pPr>
              <w:pStyle w:val="Tablehead"/>
              <w:rPr>
                <w:color w:val="0070C0"/>
                <w:lang w:val="es-ES"/>
              </w:rPr>
            </w:pPr>
            <w:r w:rsidRPr="00C07450">
              <w:rPr>
                <w:color w:val="0070C0"/>
                <w:lang w:val="es-ES"/>
              </w:rPr>
              <w:t>Productos</w:t>
            </w:r>
          </w:p>
        </w:tc>
        <w:tc>
          <w:tcPr>
            <w:tcW w:w="2999" w:type="dxa"/>
          </w:tcPr>
          <w:p w14:paraId="5C9A6636" w14:textId="77777777" w:rsidR="00D412E0" w:rsidRPr="00B41069" w:rsidRDefault="00D412E0" w:rsidP="00391AFE">
            <w:pPr>
              <w:pStyle w:val="Tablehead"/>
              <w:rPr>
                <w:color w:val="0070C0"/>
                <w:lang w:val="es-ES"/>
              </w:rPr>
            </w:pPr>
            <w:r w:rsidRPr="00B41069">
              <w:rPr>
                <w:color w:val="0070C0"/>
                <w:lang w:val="es-ES"/>
              </w:rPr>
              <w:t>Datos destacados</w:t>
            </w:r>
          </w:p>
        </w:tc>
      </w:tr>
      <w:tr w:rsidR="0061116D" w:rsidRPr="002F5AC1" w14:paraId="398B732F" w14:textId="77777777" w:rsidTr="004711CF">
        <w:trPr>
          <w:jc w:val="center"/>
        </w:trPr>
        <w:tc>
          <w:tcPr>
            <w:tcW w:w="11557" w:type="dxa"/>
            <w:gridSpan w:val="2"/>
          </w:tcPr>
          <w:p w14:paraId="5C4CA30D" w14:textId="211750C3" w:rsidR="00D412E0" w:rsidRPr="00D412E0" w:rsidRDefault="00D412E0" w:rsidP="008E2F46">
            <w:pPr>
              <w:pStyle w:val="Tabletext"/>
              <w:rPr>
                <w:lang w:val="es-ES"/>
              </w:rPr>
            </w:pPr>
            <w:r w:rsidRPr="00D412E0">
              <w:rPr>
                <w:lang w:val="es-ES"/>
              </w:rPr>
              <w:t>Entre mayo de</w:t>
            </w:r>
            <w:r w:rsidR="0021193B">
              <w:rPr>
                <w:lang w:val="es-ES"/>
              </w:rPr>
              <w:t> </w:t>
            </w:r>
            <w:r w:rsidRPr="00D412E0">
              <w:rPr>
                <w:lang w:val="es-ES"/>
              </w:rPr>
              <w:t>2024 y abril de 2025 la</w:t>
            </w:r>
            <w:r w:rsidR="0021193B">
              <w:rPr>
                <w:lang w:val="es-ES"/>
              </w:rPr>
              <w:t> </w:t>
            </w:r>
            <w:r w:rsidR="007966C4" w:rsidRPr="007966C4">
              <w:rPr>
                <w:lang w:val="es-ES"/>
              </w:rPr>
              <w:t xml:space="preserve">Oficina de Desarrollo de las Telecomunicaciones </w:t>
            </w:r>
            <w:r w:rsidR="007966C4">
              <w:rPr>
                <w:lang w:val="es-ES"/>
              </w:rPr>
              <w:t>(</w:t>
            </w:r>
            <w:r w:rsidRPr="00D412E0">
              <w:rPr>
                <w:lang w:val="es-ES"/>
              </w:rPr>
              <w:t>BDT</w:t>
            </w:r>
            <w:r w:rsidR="007966C4">
              <w:rPr>
                <w:lang w:val="es-ES"/>
              </w:rPr>
              <w:t>)</w:t>
            </w:r>
            <w:r w:rsidRPr="00D412E0">
              <w:rPr>
                <w:lang w:val="es-ES"/>
              </w:rPr>
              <w:t xml:space="preserve"> impartió a los Estados Miembros capacitación para utilizar las</w:t>
            </w:r>
            <w:r w:rsidR="0021193B">
              <w:rPr>
                <w:lang w:val="es-ES"/>
              </w:rPr>
              <w:t> </w:t>
            </w:r>
            <w:r w:rsidRPr="00D412E0">
              <w:rPr>
                <w:lang w:val="es-ES"/>
              </w:rPr>
              <w:t>TIC en la reducción y la gestión del riesgo de catástrofes y para garantizar la disponibilidad de las telecomunicaciones de emergencia.</w:t>
            </w:r>
          </w:p>
          <w:p w14:paraId="03180EA8" w14:textId="6CAF1248" w:rsidR="00D412E0" w:rsidRPr="00D412E0" w:rsidRDefault="00D412E0" w:rsidP="008E2F46">
            <w:pPr>
              <w:pStyle w:val="Tabletext"/>
              <w:rPr>
                <w:lang w:val="es-ES"/>
              </w:rPr>
            </w:pPr>
            <w:r w:rsidRPr="00D412E0">
              <w:rPr>
                <w:lang w:val="es-ES"/>
              </w:rPr>
              <w:t>La</w:t>
            </w:r>
            <w:r w:rsidR="0021193B">
              <w:rPr>
                <w:lang w:val="es-ES"/>
              </w:rPr>
              <w:t> </w:t>
            </w:r>
            <w:r w:rsidRPr="00D412E0">
              <w:rPr>
                <w:lang w:val="es-ES"/>
              </w:rPr>
              <w:t xml:space="preserve">BDT aumentó la capacidad de los </w:t>
            </w:r>
            <w:r w:rsidR="0021193B">
              <w:rPr>
                <w:lang w:val="es-ES"/>
              </w:rPr>
              <w:t>m</w:t>
            </w:r>
            <w:r w:rsidRPr="00D412E0">
              <w:rPr>
                <w:lang w:val="es-ES"/>
              </w:rPr>
              <w:t xml:space="preserve">iembros para utilizar las TIC en la gestión de catástrofes ofreciéndoles marcos políticos y conocimientos, en particular los </w:t>
            </w:r>
            <w:r w:rsidR="009A78D8" w:rsidRPr="00D412E0">
              <w:rPr>
                <w:lang w:val="es-ES"/>
              </w:rPr>
              <w:t>p</w:t>
            </w:r>
            <w:r w:rsidRPr="00D412E0">
              <w:rPr>
                <w:lang w:val="es-ES"/>
              </w:rPr>
              <w:t xml:space="preserve">lanes </w:t>
            </w:r>
            <w:r w:rsidR="009A78D8" w:rsidRPr="00D412E0">
              <w:rPr>
                <w:lang w:val="es-ES"/>
              </w:rPr>
              <w:t>n</w:t>
            </w:r>
            <w:r w:rsidRPr="00D412E0">
              <w:rPr>
                <w:lang w:val="es-ES"/>
              </w:rPr>
              <w:t xml:space="preserve">acionales de </w:t>
            </w:r>
            <w:r w:rsidR="009A78D8" w:rsidRPr="00D412E0">
              <w:rPr>
                <w:lang w:val="es-ES"/>
              </w:rPr>
              <w:t>t</w:t>
            </w:r>
            <w:r w:rsidRPr="00D412E0">
              <w:rPr>
                <w:lang w:val="es-ES"/>
              </w:rPr>
              <w:t xml:space="preserve">elecomunicaciones de </w:t>
            </w:r>
            <w:r w:rsidR="009A78D8" w:rsidRPr="00D412E0">
              <w:rPr>
                <w:lang w:val="es-ES"/>
              </w:rPr>
              <w:t>e</w:t>
            </w:r>
            <w:r w:rsidRPr="00D412E0">
              <w:rPr>
                <w:lang w:val="es-ES"/>
              </w:rPr>
              <w:t>mergencia (PNTE), asistencia técnica, formaciones y orientaciones sobre sistemas de alerta temprana. La</w:t>
            </w:r>
            <w:r w:rsidR="0021193B">
              <w:rPr>
                <w:lang w:val="es-ES"/>
              </w:rPr>
              <w:t> </w:t>
            </w:r>
            <w:r w:rsidRPr="00D412E0">
              <w:rPr>
                <w:lang w:val="es-ES"/>
              </w:rPr>
              <w:t>BDT facilitó equipos de intervención en caso de emergencia, así como formaciones al respecto, para ayudar a los países damnificados. En este contexto se ofrecieron productos y servicios, incluidos equipos de satélite y la realización de simulaciones, para ayudar aumentar la confianza y seguridad de los Estados Miembros en la utilización de las telecomunicaciones/TIC. Además, la</w:t>
            </w:r>
            <w:r w:rsidR="0021193B">
              <w:rPr>
                <w:lang w:val="es-ES"/>
              </w:rPr>
              <w:t> </w:t>
            </w:r>
            <w:r w:rsidRPr="00D412E0">
              <w:rPr>
                <w:lang w:val="es-ES"/>
              </w:rPr>
              <w:t>BDT encabezó y respaldó una serie de iniciativas, participando además en diversos eventos de capacitación nacional, para mejorar las capacidades de telecomunicaciones de emergencia a nivel mundial y mejorar la preparación y capacidad de respuesta en caso de catástrofe.</w:t>
            </w:r>
          </w:p>
          <w:p w14:paraId="4CF6E9D8" w14:textId="600BA0A5" w:rsidR="00D412E0" w:rsidRPr="00D412E0" w:rsidRDefault="00D412E0" w:rsidP="008E2F46">
            <w:pPr>
              <w:pStyle w:val="Tabletext"/>
              <w:rPr>
                <w:lang w:val="es-ES"/>
              </w:rPr>
            </w:pPr>
            <w:r w:rsidRPr="00D412E0">
              <w:rPr>
                <w:lang w:val="es-ES"/>
              </w:rPr>
              <w:t>A través de la iniciativa Alerta Temprana para Todas las Personas (EW4All) del Secretario General de las Naciones Unidas, la</w:t>
            </w:r>
            <w:r w:rsidR="00FD2021">
              <w:rPr>
                <w:lang w:val="es-ES"/>
              </w:rPr>
              <w:t> </w:t>
            </w:r>
            <w:r w:rsidRPr="00D412E0">
              <w:rPr>
                <w:lang w:val="es-ES"/>
              </w:rPr>
              <w:t>BDT acompañó a los Estados Miembros en sus esfuerzos por aumentar su capacidad de utilizar las TIC para crear sistemas de alerta temprana efectivos y salvar vidas. Concretamente, la</w:t>
            </w:r>
            <w:r w:rsidR="00FD2021">
              <w:rPr>
                <w:lang w:val="es-ES"/>
              </w:rPr>
              <w:t> </w:t>
            </w:r>
            <w:r w:rsidRPr="00D412E0">
              <w:rPr>
                <w:lang w:val="es-ES"/>
              </w:rPr>
              <w:t>BDT siguió avanzando los trabajos de implementación de la iniciativa EW4All realizando las evaluaciones técnicas, económicas y reglamentarias necesarias para la implementación de sistemas de alerta temprana (EWS). Los sistemas de alerta temprana móviles y la utilización de la radiodifusión celular siguen siendo capitales para salvar vidas gracias a las redes y servicios digitales y la posesión de teléfonos móviles.</w:t>
            </w:r>
          </w:p>
          <w:p w14:paraId="3775E0C2" w14:textId="4F6816FC" w:rsidR="00D412E0" w:rsidRPr="00C030C5" w:rsidRDefault="00391AFE" w:rsidP="00C77552">
            <w:pPr>
              <w:pStyle w:val="Tabletext"/>
              <w:tabs>
                <w:tab w:val="clear" w:pos="284"/>
              </w:tabs>
              <w:rPr>
                <w:lang w:val="es-ES"/>
              </w:rPr>
            </w:pPr>
            <w:r w:rsidRPr="00C030C5">
              <w:rPr>
                <w:b/>
                <w:bCs/>
                <w:lang w:val="es-ES"/>
              </w:rPr>
              <w:t>I)</w:t>
            </w:r>
            <w:r w:rsidRPr="00C030C5">
              <w:rPr>
                <w:b/>
                <w:bCs/>
                <w:lang w:val="es-ES"/>
              </w:rPr>
              <w:tab/>
            </w:r>
            <w:r w:rsidR="00D412E0" w:rsidRPr="00C030C5">
              <w:rPr>
                <w:b/>
                <w:bCs/>
                <w:lang w:val="es-ES"/>
              </w:rPr>
              <w:t>Iniciativa Alerta Temprana para Todas las Personas (EW4All)</w:t>
            </w:r>
          </w:p>
          <w:p w14:paraId="403C426D" w14:textId="507EE3F3" w:rsidR="00D412E0" w:rsidRPr="00D412E0" w:rsidRDefault="00D412E0" w:rsidP="008E2F46">
            <w:pPr>
              <w:pStyle w:val="Tabletext"/>
              <w:rPr>
                <w:lang w:val="es-ES"/>
              </w:rPr>
            </w:pPr>
            <w:r w:rsidRPr="00D412E0">
              <w:rPr>
                <w:lang w:val="es-ES"/>
              </w:rPr>
              <w:t xml:space="preserve">La </w:t>
            </w:r>
            <w:r w:rsidRPr="00391AFE">
              <w:rPr>
                <w:lang w:val="es-ES"/>
              </w:rPr>
              <w:t>iniciativa</w:t>
            </w:r>
            <w:r w:rsidRPr="00D412E0">
              <w:rPr>
                <w:lang w:val="es-ES"/>
              </w:rPr>
              <w:t xml:space="preserve"> EW4All cuenta con el apoyo del Ministerio del Interior y Comunicaciones (MIC) de Japón, la Agencia Sueca para el Desarrollo Internacional (SIDA), el Ministerio de Exteriores de Dinamarca y el Fondo para los </w:t>
            </w:r>
            <w:r w:rsidR="00A25164" w:rsidRPr="00D412E0">
              <w:rPr>
                <w:lang w:val="es-ES"/>
              </w:rPr>
              <w:t>s</w:t>
            </w:r>
            <w:r w:rsidRPr="00D412E0">
              <w:rPr>
                <w:lang w:val="es-ES"/>
              </w:rPr>
              <w:t xml:space="preserve">istemas de </w:t>
            </w:r>
            <w:r w:rsidR="00A25164" w:rsidRPr="00D412E0">
              <w:rPr>
                <w:lang w:val="es-ES"/>
              </w:rPr>
              <w:t>a</w:t>
            </w:r>
            <w:r w:rsidRPr="00D412E0">
              <w:rPr>
                <w:lang w:val="es-ES"/>
              </w:rPr>
              <w:t xml:space="preserve">lerta </w:t>
            </w:r>
            <w:r w:rsidR="00A25164" w:rsidRPr="00D412E0">
              <w:rPr>
                <w:lang w:val="es-ES"/>
              </w:rPr>
              <w:t>t</w:t>
            </w:r>
            <w:r w:rsidRPr="00D412E0">
              <w:rPr>
                <w:lang w:val="es-ES"/>
              </w:rPr>
              <w:t xml:space="preserve">emprana y </w:t>
            </w:r>
            <w:r w:rsidR="00A25164" w:rsidRPr="00D412E0">
              <w:rPr>
                <w:lang w:val="es-ES"/>
              </w:rPr>
              <w:t>r</w:t>
            </w:r>
            <w:r w:rsidRPr="00D412E0">
              <w:rPr>
                <w:lang w:val="es-ES"/>
              </w:rPr>
              <w:t xml:space="preserve">iesgo </w:t>
            </w:r>
            <w:r w:rsidR="00A25164" w:rsidRPr="00D412E0">
              <w:rPr>
                <w:lang w:val="es-ES"/>
              </w:rPr>
              <w:t>c</w:t>
            </w:r>
            <w:r w:rsidRPr="00D412E0">
              <w:rPr>
                <w:lang w:val="es-ES"/>
              </w:rPr>
              <w:t xml:space="preserve">limático (CREWS), y se complementa con el </w:t>
            </w:r>
            <w:r w:rsidR="00855F47" w:rsidRPr="00855F47">
              <w:rPr>
                <w:lang w:val="es-ES"/>
              </w:rPr>
              <w:t xml:space="preserve">Fondo para el Desarrollo de las TIC </w:t>
            </w:r>
            <w:r w:rsidR="00855F47">
              <w:rPr>
                <w:lang w:val="es-ES"/>
              </w:rPr>
              <w:t>(</w:t>
            </w:r>
            <w:r w:rsidRPr="00D412E0">
              <w:rPr>
                <w:lang w:val="es-ES"/>
              </w:rPr>
              <w:t>FD-TIC</w:t>
            </w:r>
            <w:r w:rsidR="00855F47">
              <w:rPr>
                <w:lang w:val="es-ES"/>
              </w:rPr>
              <w:t>)</w:t>
            </w:r>
            <w:r w:rsidRPr="00D412E0">
              <w:rPr>
                <w:lang w:val="es-ES"/>
              </w:rPr>
              <w:t xml:space="preserve"> de la </w:t>
            </w:r>
            <w:r w:rsidR="00D61D79" w:rsidRPr="00D61D79">
              <w:rPr>
                <w:lang w:val="es-ES"/>
              </w:rPr>
              <w:t xml:space="preserve">Unión Internacional de Telecomunicaciones </w:t>
            </w:r>
            <w:r w:rsidR="00D61D79">
              <w:rPr>
                <w:lang w:val="es-ES"/>
              </w:rPr>
              <w:t>(</w:t>
            </w:r>
            <w:r w:rsidRPr="00D412E0">
              <w:rPr>
                <w:lang w:val="es-ES"/>
              </w:rPr>
              <w:t>UIT</w:t>
            </w:r>
            <w:r w:rsidR="00D61D79">
              <w:rPr>
                <w:lang w:val="es-ES"/>
              </w:rPr>
              <w:t>)</w:t>
            </w:r>
            <w:r w:rsidRPr="00D412E0">
              <w:rPr>
                <w:lang w:val="es-ES"/>
              </w:rPr>
              <w:t>.</w:t>
            </w:r>
          </w:p>
          <w:p w14:paraId="62CD222B" w14:textId="1CFDC541" w:rsidR="00D412E0" w:rsidRPr="00D412E0" w:rsidRDefault="00D412E0" w:rsidP="00350B74">
            <w:pPr>
              <w:pStyle w:val="Tabletext"/>
              <w:keepNext/>
              <w:keepLines/>
              <w:rPr>
                <w:lang w:val="es-ES"/>
              </w:rPr>
            </w:pPr>
            <w:r w:rsidRPr="00D412E0">
              <w:rPr>
                <w:lang w:val="es-ES"/>
              </w:rPr>
              <w:lastRenderedPageBreak/>
              <w:t>En el marco de la iniciativa EW4All, la UIT, en su calidad de líder del Pilar</w:t>
            </w:r>
            <w:r w:rsidR="00CB53AE">
              <w:rPr>
                <w:lang w:val="es-ES"/>
              </w:rPr>
              <w:t> </w:t>
            </w:r>
            <w:r w:rsidRPr="00D412E0">
              <w:rPr>
                <w:lang w:val="es-ES"/>
              </w:rPr>
              <w:t xml:space="preserve">3, </w:t>
            </w:r>
            <w:r w:rsidR="00CB53AE">
              <w:rPr>
                <w:lang w:val="es-ES"/>
              </w:rPr>
              <w:t>"</w:t>
            </w:r>
            <w:r w:rsidRPr="00D412E0">
              <w:rPr>
                <w:lang w:val="es-ES"/>
              </w:rPr>
              <w:t>Difusión y comunicación de alertas</w:t>
            </w:r>
            <w:r w:rsidR="00CB53AE">
              <w:rPr>
                <w:lang w:val="es-ES"/>
              </w:rPr>
              <w:t>"</w:t>
            </w:r>
            <w:r w:rsidRPr="00D412E0">
              <w:rPr>
                <w:lang w:val="es-ES"/>
              </w:rPr>
              <w:t>, colaboró con los líderes de los demás Pilares, la Oficina de las Naciones Unidas para la Reducción del Riesgo de Desastres (UNDRR), la Organización Meteorológica Mundial (OMM) y la Federación Internacional de Sociedades de la Cruz Roja y de la Media Luna Roja (IFRC).</w:t>
            </w:r>
          </w:p>
          <w:p w14:paraId="72A4ABE7" w14:textId="437784B1" w:rsidR="00D412E0" w:rsidRPr="00D412E0" w:rsidRDefault="00D412E0" w:rsidP="008E2F46">
            <w:pPr>
              <w:pStyle w:val="Tabletext"/>
              <w:rPr>
                <w:lang w:val="es-ES"/>
              </w:rPr>
            </w:pPr>
            <w:r w:rsidRPr="00D412E0">
              <w:rPr>
                <w:lang w:val="es-ES"/>
              </w:rPr>
              <w:t>A través de la iniciativa, la</w:t>
            </w:r>
            <w:r w:rsidR="0021193B">
              <w:rPr>
                <w:lang w:val="es-ES"/>
              </w:rPr>
              <w:t> </w:t>
            </w:r>
            <w:r w:rsidRPr="00D412E0">
              <w:rPr>
                <w:lang w:val="es-ES"/>
              </w:rPr>
              <w:t xml:space="preserve">UIT, junto con la UNDRR, la OMM y la IFRC, impartieron diversos talleres nacionales y regionales para evaluar las carencias y preparar hojas de ruta para la mejora de los EWS y la promoción de las tecnologías multicanal para la difusión de alertas en caso de catástrofe utilizando el </w:t>
            </w:r>
            <w:r w:rsidR="001F61C3" w:rsidRPr="00D412E0">
              <w:rPr>
                <w:lang w:val="es-ES"/>
              </w:rPr>
              <w:t xml:space="preserve">Protocolo </w:t>
            </w:r>
            <w:r w:rsidRPr="00D412E0">
              <w:rPr>
                <w:lang w:val="es-ES"/>
              </w:rPr>
              <w:t xml:space="preserve">de </w:t>
            </w:r>
            <w:r w:rsidR="001F61C3" w:rsidRPr="00D412E0">
              <w:rPr>
                <w:lang w:val="es-ES"/>
              </w:rPr>
              <w:t xml:space="preserve">Alerta Común </w:t>
            </w:r>
            <w:r w:rsidRPr="00D412E0">
              <w:rPr>
                <w:lang w:val="es-ES"/>
              </w:rPr>
              <w:t>(CAP). La BDT facilitó a los Estados Miembros informaciones y asistencia técnica para dotarlos con las herramientas y conocimientos necesarios para la efectiva implementación de EWS.</w:t>
            </w:r>
          </w:p>
          <w:p w14:paraId="3263A66B" w14:textId="4D2FB27C" w:rsidR="00D412E0" w:rsidRPr="00D412E0" w:rsidRDefault="00D412E0" w:rsidP="008E2F46">
            <w:pPr>
              <w:pStyle w:val="Tabletext"/>
              <w:rPr>
                <w:lang w:val="es-ES"/>
              </w:rPr>
            </w:pPr>
            <w:r w:rsidRPr="00D412E0">
              <w:rPr>
                <w:lang w:val="es-ES"/>
              </w:rPr>
              <w:t xml:space="preserve">A fin de resaltar y promover los trabajos de EW4All y contribuir a la capacitación nacional y regional, la BDT participó en diversos eventos mundiales, incluido el evento paralelo virtual del Grupo de Trabajo sobre la </w:t>
            </w:r>
            <w:r w:rsidR="00D23CC2" w:rsidRPr="00D412E0">
              <w:rPr>
                <w:lang w:val="es-ES"/>
              </w:rPr>
              <w:t>r</w:t>
            </w:r>
            <w:r w:rsidRPr="00D412E0">
              <w:rPr>
                <w:lang w:val="es-ES"/>
              </w:rPr>
              <w:t xml:space="preserve">educción del </w:t>
            </w:r>
            <w:r w:rsidR="00D23CC2" w:rsidRPr="00D412E0">
              <w:rPr>
                <w:lang w:val="es-ES"/>
              </w:rPr>
              <w:t>r</w:t>
            </w:r>
            <w:r w:rsidRPr="00D412E0">
              <w:rPr>
                <w:lang w:val="es-ES"/>
              </w:rPr>
              <w:t xml:space="preserve">iesgo de </w:t>
            </w:r>
            <w:r w:rsidR="00D23CC2" w:rsidRPr="00D412E0">
              <w:rPr>
                <w:lang w:val="es-ES"/>
              </w:rPr>
              <w:t>c</w:t>
            </w:r>
            <w:r w:rsidRPr="00D412E0">
              <w:rPr>
                <w:lang w:val="es-ES"/>
              </w:rPr>
              <w:t>atástrofes del G20, organizado por Brasil, en el que se debatió acerca de la integración de la tecnología de radiodifusión celular para una difusión más efectiva de las alertas tempranas. La</w:t>
            </w:r>
            <w:r w:rsidR="00D23CC2">
              <w:rPr>
                <w:lang w:val="es-ES"/>
              </w:rPr>
              <w:t> </w:t>
            </w:r>
            <w:r w:rsidRPr="00D412E0">
              <w:rPr>
                <w:lang w:val="es-ES"/>
              </w:rPr>
              <w:t>BDT participó también en la 4</w:t>
            </w:r>
            <w:r w:rsidR="00B41069">
              <w:rPr>
                <w:lang w:val="es-ES"/>
              </w:rPr>
              <w:t>.</w:t>
            </w:r>
            <w:r w:rsidRPr="00D412E0">
              <w:rPr>
                <w:lang w:val="es-ES"/>
              </w:rPr>
              <w:t>ª</w:t>
            </w:r>
            <w:r w:rsidR="00B41069">
              <w:rPr>
                <w:lang w:val="es-ES"/>
              </w:rPr>
              <w:t> </w:t>
            </w:r>
            <w:r w:rsidRPr="00D412E0">
              <w:rPr>
                <w:lang w:val="es-ES"/>
              </w:rPr>
              <w:t xml:space="preserve">Conferencia Internacional sobre los pequeños Estados insulares en desarrollo (PEID4) en Antigua y Barbuda, en la que convocó un diálogo temático de alto nivel sobre la conectividad universal y efectiva en los PEID y coorganizó una serie de eventos asociados sobre cuestiones clave de la transformación digital </w:t>
            </w:r>
            <w:hyperlink r:id="rId17" w:history="1">
              <w:r w:rsidRPr="00D412E0">
                <w:rPr>
                  <w:rStyle w:val="Hyperlink"/>
                  <w:lang w:val="es-ES"/>
                </w:rPr>
                <w:t>como parte del programa oficial de la Conferencia</w:t>
              </w:r>
            </w:hyperlink>
            <w:r w:rsidRPr="00D412E0">
              <w:rPr>
                <w:lang w:val="es-ES"/>
              </w:rPr>
              <w:t xml:space="preserve"> para identificar vías de acción para abordar las urgentes necesidades de desarrollo de los PEID.</w:t>
            </w:r>
          </w:p>
          <w:p w14:paraId="33F4271F" w14:textId="2652C0E0" w:rsidR="00D412E0" w:rsidRPr="00D412E0" w:rsidRDefault="00D412E0" w:rsidP="008E2F46">
            <w:pPr>
              <w:pStyle w:val="Tabletext"/>
              <w:rPr>
                <w:lang w:val="es-ES"/>
              </w:rPr>
            </w:pPr>
            <w:r w:rsidRPr="00D412E0">
              <w:rPr>
                <w:lang w:val="es-ES"/>
              </w:rPr>
              <w:t xml:space="preserve">En el marco de la Conferencia de las Naciones Unidas sobre el Cambio Climático (COP29), celebrada en Bakú </w:t>
            </w:r>
            <w:r w:rsidR="00C24B6D">
              <w:rPr>
                <w:lang w:val="es-ES"/>
              </w:rPr>
              <w:t>(</w:t>
            </w:r>
            <w:r w:rsidRPr="00D412E0">
              <w:rPr>
                <w:lang w:val="es-ES"/>
              </w:rPr>
              <w:t>Azerbaiyán</w:t>
            </w:r>
            <w:r w:rsidR="00C24B6D">
              <w:rPr>
                <w:lang w:val="es-ES"/>
              </w:rPr>
              <w:t>)</w:t>
            </w:r>
            <w:r w:rsidRPr="00D412E0">
              <w:rPr>
                <w:lang w:val="es-ES"/>
              </w:rPr>
              <w:t xml:space="preserve">, en noviembre, la UIT organizó/coorganizó cinco eventos EW4All y participó en otros </w:t>
            </w:r>
            <w:r w:rsidR="00C24B6D">
              <w:rPr>
                <w:lang w:val="es-ES"/>
              </w:rPr>
              <w:t>tres</w:t>
            </w:r>
            <w:r w:rsidRPr="00D412E0">
              <w:rPr>
                <w:lang w:val="es-ES"/>
              </w:rPr>
              <w:t xml:space="preserve"> eventos dirigidos por sus socios: 1)</w:t>
            </w:r>
            <w:r w:rsidR="00C24B6D">
              <w:rPr>
                <w:lang w:val="es-ES"/>
              </w:rPr>
              <w:t> </w:t>
            </w:r>
            <w:r w:rsidRPr="00D412E0">
              <w:rPr>
                <w:lang w:val="es-ES"/>
              </w:rPr>
              <w:t>Eventos EW4All: Tecnologías avanzadas, innovación y transformaciones digitales para la observación de la Tierra; 2)</w:t>
            </w:r>
            <w:r w:rsidR="00C24B6D">
              <w:rPr>
                <w:lang w:val="es-ES"/>
              </w:rPr>
              <w:t> </w:t>
            </w:r>
            <w:r w:rsidRPr="00D412E0">
              <w:rPr>
                <w:lang w:val="es-ES"/>
              </w:rPr>
              <w:t>Evento de alto nivel convocado por el Secretario General de las Naciones Unidas sobre Comunicación de alertas tempranas para todas las personas y la lucha contra el calor extremo; 3)</w:t>
            </w:r>
            <w:r w:rsidR="00C24B6D">
              <w:rPr>
                <w:lang w:val="es-ES"/>
              </w:rPr>
              <w:t> </w:t>
            </w:r>
            <w:r w:rsidRPr="00D412E0">
              <w:rPr>
                <w:lang w:val="es-ES"/>
              </w:rPr>
              <w:t>Presentación de las aplicaciones meteorológicas inteligentes de Tonga y Jamaica; 4)</w:t>
            </w:r>
            <w:r w:rsidR="00B41069">
              <w:rPr>
                <w:lang w:val="es-ES"/>
              </w:rPr>
              <w:t> </w:t>
            </w:r>
            <w:r w:rsidRPr="00D412E0">
              <w:rPr>
                <w:lang w:val="es-ES"/>
              </w:rPr>
              <w:t>Evento sobre el progreso y el aprendizaje transversal de EW4All; 5)</w:t>
            </w:r>
            <w:r w:rsidR="00C24B6D">
              <w:rPr>
                <w:lang w:val="es-ES"/>
              </w:rPr>
              <w:t> </w:t>
            </w:r>
            <w:r w:rsidRPr="00D412E0">
              <w:rPr>
                <w:lang w:val="es-ES"/>
              </w:rPr>
              <w:t>Aumento de la financiación climática para llevar a cabo una acción ambiciosa sobre los sistemas de alerta temprana destinados a la adaptación, con énfasis en las personas más vulnerables; 6)</w:t>
            </w:r>
            <w:r w:rsidR="00B41069">
              <w:rPr>
                <w:lang w:val="es-ES"/>
              </w:rPr>
              <w:t> </w:t>
            </w:r>
            <w:r w:rsidRPr="00D412E0">
              <w:rPr>
                <w:lang w:val="es-ES"/>
              </w:rPr>
              <w:t>4</w:t>
            </w:r>
            <w:r w:rsidR="00B41069">
              <w:rPr>
                <w:lang w:val="es-ES"/>
              </w:rPr>
              <w:t>.</w:t>
            </w:r>
            <w:r w:rsidRPr="00D412E0">
              <w:rPr>
                <w:lang w:val="es-ES"/>
              </w:rPr>
              <w:t>ª</w:t>
            </w:r>
            <w:r w:rsidR="00B41069">
              <w:rPr>
                <w:lang w:val="es-ES"/>
              </w:rPr>
              <w:t> </w:t>
            </w:r>
            <w:r w:rsidRPr="00D412E0">
              <w:rPr>
                <w:lang w:val="es-ES"/>
              </w:rPr>
              <w:t>reunión del Grupo Consultivo de EW4All; 7)</w:t>
            </w:r>
            <w:r w:rsidR="00C77552">
              <w:rPr>
                <w:lang w:val="es-ES"/>
              </w:rPr>
              <w:t> </w:t>
            </w:r>
            <w:r w:rsidRPr="00D412E0">
              <w:rPr>
                <w:lang w:val="es-ES"/>
              </w:rPr>
              <w:t xml:space="preserve">Evento de alto nivel sobre el </w:t>
            </w:r>
            <w:r w:rsidR="00D23CC2" w:rsidRPr="00D412E0">
              <w:rPr>
                <w:lang w:val="es-ES"/>
              </w:rPr>
              <w:t>r</w:t>
            </w:r>
            <w:r w:rsidRPr="00D412E0">
              <w:rPr>
                <w:lang w:val="es-ES"/>
              </w:rPr>
              <w:t>efuerzo de la información climática y los sistemas de alerta temprana de peligros múltiples para una mayor resiliencia, y 8)</w:t>
            </w:r>
            <w:r w:rsidR="00C77552">
              <w:rPr>
                <w:lang w:val="es-ES"/>
              </w:rPr>
              <w:t> </w:t>
            </w:r>
            <w:r w:rsidRPr="00D412E0">
              <w:rPr>
                <w:lang w:val="es-ES"/>
              </w:rPr>
              <w:t>IA en EW4All de las Naciones Unidas.</w:t>
            </w:r>
          </w:p>
          <w:p w14:paraId="388D9858" w14:textId="3CD0B674" w:rsidR="00D412E0" w:rsidRPr="00D412E0" w:rsidRDefault="00D412E0" w:rsidP="008E2F46">
            <w:pPr>
              <w:pStyle w:val="Tabletext"/>
              <w:rPr>
                <w:lang w:val="es-ES"/>
              </w:rPr>
            </w:pPr>
            <w:r w:rsidRPr="00D412E0">
              <w:rPr>
                <w:lang w:val="es-ES"/>
              </w:rPr>
              <w:t xml:space="preserve">La UIT participó también en la Mesa </w:t>
            </w:r>
            <w:r w:rsidR="00281F03" w:rsidRPr="00D412E0">
              <w:rPr>
                <w:lang w:val="es-ES"/>
              </w:rPr>
              <w:t>r</w:t>
            </w:r>
            <w:r w:rsidRPr="00D412E0">
              <w:rPr>
                <w:lang w:val="es-ES"/>
              </w:rPr>
              <w:t xml:space="preserve">edonda </w:t>
            </w:r>
            <w:r w:rsidR="00281F03" w:rsidRPr="00D412E0">
              <w:rPr>
                <w:lang w:val="es-ES"/>
              </w:rPr>
              <w:t>m</w:t>
            </w:r>
            <w:r w:rsidRPr="00D412E0">
              <w:rPr>
                <w:lang w:val="es-ES"/>
              </w:rPr>
              <w:t>inisterial de EW4All organizada en el marco del Mobile World Congress (MWC), donde se animó a los operadores de redes móviles a comprometer su apoyo a los EWS móviles.</w:t>
            </w:r>
          </w:p>
          <w:p w14:paraId="2B1A37C5" w14:textId="4B667419" w:rsidR="00D412E0" w:rsidRPr="00D412E0" w:rsidRDefault="00CE0D86" w:rsidP="00350B74">
            <w:pPr>
              <w:pStyle w:val="Tabletext"/>
              <w:tabs>
                <w:tab w:val="clear" w:pos="284"/>
              </w:tabs>
              <w:rPr>
                <w:b/>
                <w:bCs/>
                <w:lang w:val="es-ES"/>
              </w:rPr>
            </w:pPr>
            <w:r w:rsidRPr="00CE0D86">
              <w:rPr>
                <w:b/>
                <w:bCs/>
                <w:lang w:val="es-ES"/>
              </w:rPr>
              <w:t>–</w:t>
            </w:r>
            <w:r w:rsidR="00391AFE">
              <w:rPr>
                <w:b/>
                <w:bCs/>
                <w:lang w:val="es-ES"/>
              </w:rPr>
              <w:tab/>
            </w:r>
            <w:r w:rsidR="00D412E0" w:rsidRPr="00D412E0">
              <w:rPr>
                <w:b/>
                <w:bCs/>
                <w:lang w:val="es-ES"/>
              </w:rPr>
              <w:t>Talleres de consulta nacionales y regionales</w:t>
            </w:r>
          </w:p>
          <w:p w14:paraId="27DA4534" w14:textId="62754456" w:rsidR="00D412E0" w:rsidRPr="00D412E0" w:rsidRDefault="00D412E0" w:rsidP="00350B74">
            <w:pPr>
              <w:pStyle w:val="Tabletext"/>
              <w:rPr>
                <w:lang w:val="es-ES"/>
              </w:rPr>
            </w:pPr>
            <w:r w:rsidRPr="00D412E0">
              <w:rPr>
                <w:b/>
                <w:bCs/>
                <w:lang w:val="es-ES"/>
              </w:rPr>
              <w:t xml:space="preserve">África: </w:t>
            </w:r>
            <w:r w:rsidR="00C24B6D" w:rsidRPr="00D412E0">
              <w:rPr>
                <w:lang w:val="es-ES"/>
              </w:rPr>
              <w:t>l</w:t>
            </w:r>
            <w:r w:rsidRPr="00D412E0">
              <w:rPr>
                <w:lang w:val="es-ES"/>
              </w:rPr>
              <w:t>a BDT apostó por los talleres de consulta nacionales a fin de elaborar hojas de ruta nacionales para la implementación de la iniciativa EW4All, particular en lo que respecta al Pilar</w:t>
            </w:r>
            <w:r w:rsidR="00CB53AE">
              <w:rPr>
                <w:lang w:val="es-ES"/>
              </w:rPr>
              <w:t> </w:t>
            </w:r>
            <w:r w:rsidRPr="00D412E0">
              <w:rPr>
                <w:lang w:val="es-ES"/>
              </w:rPr>
              <w:t xml:space="preserve">3, </w:t>
            </w:r>
            <w:r w:rsidR="00CB53AE">
              <w:rPr>
                <w:lang w:val="es-ES"/>
              </w:rPr>
              <w:t>"</w:t>
            </w:r>
            <w:r w:rsidRPr="00D412E0">
              <w:rPr>
                <w:lang w:val="es-ES"/>
              </w:rPr>
              <w:t>Difusión y comunicación de alertas</w:t>
            </w:r>
            <w:r w:rsidR="00CB53AE">
              <w:rPr>
                <w:lang w:val="es-ES"/>
              </w:rPr>
              <w:t>"</w:t>
            </w:r>
            <w:r w:rsidRPr="00D412E0">
              <w:rPr>
                <w:lang w:val="es-ES"/>
              </w:rPr>
              <w:t xml:space="preserve">, en Ghana, Liberia, Madagascar, Mozambique, Níger, Sudán, Uganda, Seychelles, Santo Tomé y Príncipe, Rwanda, Tanzanía, Gambia y Kenya. </w:t>
            </w:r>
            <w:r w:rsidRPr="00D412E0">
              <w:rPr>
                <w:lang w:val="es-ES"/>
              </w:rPr>
              <w:lastRenderedPageBreak/>
              <w:t xml:space="preserve">Gracias al </w:t>
            </w:r>
            <w:r w:rsidR="00A02B81" w:rsidRPr="00D412E0">
              <w:rPr>
                <w:lang w:val="es-ES"/>
              </w:rPr>
              <w:t>t</w:t>
            </w:r>
            <w:r w:rsidRPr="00D412E0">
              <w:rPr>
                <w:lang w:val="es-ES"/>
              </w:rPr>
              <w:t>aller sobre el Pilar</w:t>
            </w:r>
            <w:r w:rsidR="00152E97">
              <w:rPr>
                <w:lang w:val="es-ES"/>
              </w:rPr>
              <w:t> </w:t>
            </w:r>
            <w:r w:rsidRPr="00D412E0">
              <w:rPr>
                <w:lang w:val="es-ES"/>
              </w:rPr>
              <w:t>3 de EW4All de la</w:t>
            </w:r>
            <w:r w:rsidR="00281F03">
              <w:rPr>
                <w:lang w:val="es-ES"/>
              </w:rPr>
              <w:t> </w:t>
            </w:r>
            <w:r w:rsidRPr="00D412E0">
              <w:rPr>
                <w:lang w:val="es-ES"/>
              </w:rPr>
              <w:t>BDT, Madagascar pudo introducir la radiodifusión celular como medio de comunicación de alertas de emergencia.</w:t>
            </w:r>
          </w:p>
          <w:p w14:paraId="7B9D9E0D" w14:textId="31C7281D" w:rsidR="00D412E0" w:rsidRPr="00D412E0" w:rsidRDefault="00D412E0" w:rsidP="00A65CB9">
            <w:pPr>
              <w:pStyle w:val="Tabletext"/>
              <w:keepNext/>
              <w:keepLines/>
              <w:rPr>
                <w:lang w:val="es-ES"/>
              </w:rPr>
            </w:pPr>
            <w:r w:rsidRPr="00D412E0">
              <w:rPr>
                <w:lang w:val="es-ES"/>
              </w:rPr>
              <w:t>La</w:t>
            </w:r>
            <w:r w:rsidR="00281F03">
              <w:rPr>
                <w:lang w:val="es-ES"/>
              </w:rPr>
              <w:t> </w:t>
            </w:r>
            <w:r w:rsidRPr="00D412E0">
              <w:rPr>
                <w:lang w:val="es-ES"/>
              </w:rPr>
              <w:t xml:space="preserve">BDT prestó asistencia técnica para la implementación de la hoja de ruta y los sistemas de alerta temprana nacionales de </w:t>
            </w:r>
            <w:r w:rsidRPr="00227DC1">
              <w:rPr>
                <w:lang w:val="es-ES"/>
              </w:rPr>
              <w:t>Mozambique</w:t>
            </w:r>
            <w:r w:rsidRPr="00D412E0">
              <w:rPr>
                <w:lang w:val="es-ES"/>
              </w:rPr>
              <w:t>, Liberia y Tanzanía. Malawi, Seychelles, Zambia y Botswana recibieron asistencia técnica para la implementación de la radiodifusión celular, en el marco de la cual se efectuaron evaluaciones técnicas, económicas y reglamentarias para cada uno de esos países.</w:t>
            </w:r>
          </w:p>
          <w:p w14:paraId="68C54178" w14:textId="3BDDF6DB" w:rsidR="00D412E0" w:rsidRPr="00D412E0" w:rsidRDefault="00D412E0" w:rsidP="008E2F46">
            <w:pPr>
              <w:pStyle w:val="Tabletext"/>
              <w:rPr>
                <w:lang w:val="es-ES"/>
              </w:rPr>
            </w:pPr>
            <w:r w:rsidRPr="00D412E0">
              <w:rPr>
                <w:lang w:val="es-ES"/>
              </w:rPr>
              <w:t>En colaboración con la Unión Africana de Telecomunicaciones (UAT), la</w:t>
            </w:r>
            <w:r w:rsidR="00281F03">
              <w:rPr>
                <w:lang w:val="es-ES"/>
              </w:rPr>
              <w:t> </w:t>
            </w:r>
            <w:r w:rsidRPr="00D412E0">
              <w:rPr>
                <w:lang w:val="es-ES"/>
              </w:rPr>
              <w:t>BDT impartió un seminario web sobre la iniciativa EW4ALL destinado a sensibilizar sobre la iniciativa EW4All, facilitar una comprensión profunda del Pilar</w:t>
            </w:r>
            <w:r w:rsidR="0061116D">
              <w:rPr>
                <w:lang w:val="es-ES"/>
              </w:rPr>
              <w:t> </w:t>
            </w:r>
            <w:r w:rsidRPr="00D412E0">
              <w:rPr>
                <w:lang w:val="es-ES"/>
              </w:rPr>
              <w:t>3 de la iniciativa, liderado por la UIT, y dotar a los participantes de los conocimientos y herramientas necesarios para implantar sistemas eficaces de alerta temprana.</w:t>
            </w:r>
          </w:p>
          <w:p w14:paraId="726D9665" w14:textId="1CCB68B6" w:rsidR="00D412E0" w:rsidRPr="00D412E0" w:rsidRDefault="00D412E0" w:rsidP="008E2F46">
            <w:pPr>
              <w:pStyle w:val="Tabletext"/>
              <w:rPr>
                <w:lang w:val="es-ES"/>
              </w:rPr>
            </w:pPr>
            <w:r w:rsidRPr="00D412E0">
              <w:rPr>
                <w:b/>
                <w:bCs/>
                <w:lang w:val="es-ES"/>
              </w:rPr>
              <w:t xml:space="preserve">Américas: </w:t>
            </w:r>
            <w:r w:rsidR="004711CF">
              <w:rPr>
                <w:lang w:val="es-ES"/>
              </w:rPr>
              <w:t>s</w:t>
            </w:r>
            <w:r w:rsidRPr="00D412E0">
              <w:rPr>
                <w:lang w:val="es-ES"/>
              </w:rPr>
              <w:t>e celebraron talleres de consulta nacionales en varios países de las Américas, a saber, Guyana, Haití, Barbados, Antigua y Barbuda, Guatemala y Ecuador.</w:t>
            </w:r>
          </w:p>
          <w:p w14:paraId="712F9FEB" w14:textId="3B2D3FBB" w:rsidR="00D412E0" w:rsidRPr="00D412E0" w:rsidRDefault="00D412E0" w:rsidP="008E2F46">
            <w:pPr>
              <w:pStyle w:val="Tabletext"/>
              <w:rPr>
                <w:lang w:val="es-ES"/>
              </w:rPr>
            </w:pPr>
            <w:r w:rsidRPr="00D412E0">
              <w:rPr>
                <w:lang w:val="es-ES"/>
              </w:rPr>
              <w:t>En Haití, la</w:t>
            </w:r>
            <w:r w:rsidR="00281F03">
              <w:rPr>
                <w:lang w:val="es-ES"/>
              </w:rPr>
              <w:t> </w:t>
            </w:r>
            <w:r w:rsidRPr="00D412E0">
              <w:rPr>
                <w:lang w:val="es-ES"/>
              </w:rPr>
              <w:t>BDT, en colaboración con el operador de telecomunicaciones nacional y dos operadores de redes móviles, impartió un taller nacional para validar la hoja de ruta de EW4All y probar el sistema móvil de alerta temprana en caso de catástrofe en Cap</w:t>
            </w:r>
            <w:r w:rsidR="00350B74">
              <w:rPr>
                <w:lang w:val="es-ES"/>
              </w:rPr>
              <w:t> </w:t>
            </w:r>
            <w:r w:rsidRPr="00D412E0">
              <w:rPr>
                <w:lang w:val="es-ES"/>
              </w:rPr>
              <w:t>Haitien.</w:t>
            </w:r>
          </w:p>
          <w:p w14:paraId="4B16E4B2" w14:textId="11A45DAA" w:rsidR="00D412E0" w:rsidRPr="00D412E0" w:rsidRDefault="00D412E0" w:rsidP="008E2F46">
            <w:pPr>
              <w:pStyle w:val="Tabletext"/>
              <w:rPr>
                <w:lang w:val="es-ES"/>
              </w:rPr>
            </w:pPr>
            <w:r w:rsidRPr="00D412E0">
              <w:rPr>
                <w:lang w:val="es-ES"/>
              </w:rPr>
              <w:t xml:space="preserve">En colaboración con la GSMA, la BDT organizó una sesión en la </w:t>
            </w:r>
            <w:r w:rsidR="00281F03" w:rsidRPr="00D412E0">
              <w:rPr>
                <w:lang w:val="es-ES"/>
              </w:rPr>
              <w:t>r</w:t>
            </w:r>
            <w:r w:rsidRPr="00D412E0">
              <w:rPr>
                <w:lang w:val="es-ES"/>
              </w:rPr>
              <w:t xml:space="preserve">eunión </w:t>
            </w:r>
            <w:r w:rsidR="00281F03" w:rsidRPr="00D412E0">
              <w:rPr>
                <w:lang w:val="es-ES"/>
              </w:rPr>
              <w:t>a</w:t>
            </w:r>
            <w:r w:rsidRPr="00D412E0">
              <w:rPr>
                <w:lang w:val="es-ES"/>
              </w:rPr>
              <w:t xml:space="preserve">nual Conectar CANTO, celebrada en Curaçao, donde se presentó brevemente la iniciativa EW4All haciendo énfasis en los avances de los sistemas de radiodifusión celular y la integración de la </w:t>
            </w:r>
            <w:r w:rsidR="00F304A5" w:rsidRPr="00F304A5">
              <w:rPr>
                <w:lang w:val="es-ES"/>
              </w:rPr>
              <w:t xml:space="preserve">inteligencia artificial </w:t>
            </w:r>
            <w:r w:rsidR="00F304A5">
              <w:rPr>
                <w:lang w:val="es-ES"/>
              </w:rPr>
              <w:t>(</w:t>
            </w:r>
            <w:r w:rsidRPr="00D412E0">
              <w:rPr>
                <w:lang w:val="es-ES"/>
              </w:rPr>
              <w:t>IA</w:t>
            </w:r>
            <w:r w:rsidR="00F304A5">
              <w:rPr>
                <w:lang w:val="es-ES"/>
              </w:rPr>
              <w:t>)</w:t>
            </w:r>
            <w:r w:rsidRPr="00D412E0">
              <w:rPr>
                <w:lang w:val="es-ES"/>
              </w:rPr>
              <w:t xml:space="preserve"> para mejorar las capacidades de alerta temprana. En la sesión se resaltó la importancia de los operadores de redes móviles y la cooperación entre los sectores público y privado para aumentar el potencial salvador de los sistemas móviles de alerta temprana en la región.</w:t>
            </w:r>
          </w:p>
          <w:p w14:paraId="485050E9" w14:textId="0E0723E2" w:rsidR="00D412E0" w:rsidRPr="00D412E0" w:rsidRDefault="00D412E0" w:rsidP="008E2F46">
            <w:pPr>
              <w:pStyle w:val="Tabletext"/>
              <w:rPr>
                <w:lang w:val="es-ES"/>
              </w:rPr>
            </w:pPr>
            <w:r w:rsidRPr="00D412E0">
              <w:rPr>
                <w:b/>
                <w:bCs/>
                <w:lang w:val="es-ES"/>
              </w:rPr>
              <w:t xml:space="preserve">Estados Árabes: </w:t>
            </w:r>
            <w:r w:rsidR="0061116D">
              <w:rPr>
                <w:lang w:val="es-ES"/>
              </w:rPr>
              <w:t>s</w:t>
            </w:r>
            <w:r w:rsidRPr="00D412E0">
              <w:rPr>
                <w:lang w:val="es-ES"/>
              </w:rPr>
              <w:t xml:space="preserve">e celebraron talleres de consulta nacionales, junto con formaciones sobre PNTE y </w:t>
            </w:r>
            <w:r w:rsidR="00281F03" w:rsidRPr="00281F03">
              <w:rPr>
                <w:lang w:val="es-ES"/>
              </w:rPr>
              <w:t>CAP</w:t>
            </w:r>
            <w:r w:rsidRPr="00D412E0">
              <w:rPr>
                <w:lang w:val="es-ES"/>
              </w:rPr>
              <w:t xml:space="preserve"> en varios países de la región, a saber, Comoras, Djibouti, Somalia, Mauritania y Sudán.</w:t>
            </w:r>
          </w:p>
          <w:p w14:paraId="4C3CE917" w14:textId="4E6D14B0" w:rsidR="00D412E0" w:rsidRPr="00D412E0" w:rsidRDefault="00D412E0" w:rsidP="008E2F46">
            <w:pPr>
              <w:pStyle w:val="Tabletext"/>
              <w:rPr>
                <w:lang w:val="es-ES"/>
              </w:rPr>
            </w:pPr>
            <w:r w:rsidRPr="00D412E0">
              <w:rPr>
                <w:b/>
                <w:bCs/>
                <w:lang w:val="es-ES"/>
              </w:rPr>
              <w:t>Asia</w:t>
            </w:r>
            <w:r w:rsidR="0061116D">
              <w:rPr>
                <w:b/>
                <w:bCs/>
                <w:lang w:val="es-ES"/>
              </w:rPr>
              <w:noBreakHyphen/>
            </w:r>
            <w:r w:rsidRPr="00D412E0">
              <w:rPr>
                <w:b/>
                <w:bCs/>
                <w:lang w:val="es-ES"/>
              </w:rPr>
              <w:t xml:space="preserve">Pacífico: </w:t>
            </w:r>
            <w:r w:rsidR="0061116D">
              <w:rPr>
                <w:lang w:val="es-ES"/>
              </w:rPr>
              <w:t>s</w:t>
            </w:r>
            <w:r w:rsidRPr="00D412E0">
              <w:rPr>
                <w:lang w:val="es-ES"/>
              </w:rPr>
              <w:t>e celebraron talleres de consulta nacionales en Malasia, Bangladesh, Maldivas, Nepal, Lao (República Democrática Popular), Camboya, Kiribati, Samoa, Islas Salomón, Fiji y Tonga. En India y Maldivas se brindó apoyo técnico mediante un taller sobre el CAP y la radiodifusión celular.</w:t>
            </w:r>
          </w:p>
          <w:p w14:paraId="57C6E727" w14:textId="73B362DD" w:rsidR="00D412E0" w:rsidRPr="00D412E0" w:rsidRDefault="00D412E0" w:rsidP="008E2F46">
            <w:pPr>
              <w:pStyle w:val="Tabletext"/>
              <w:rPr>
                <w:lang w:val="es-ES"/>
              </w:rPr>
            </w:pPr>
            <w:r w:rsidRPr="00D412E0">
              <w:rPr>
                <w:lang w:val="es-ES"/>
              </w:rPr>
              <w:t>Con ayuda de la BDT, la R</w:t>
            </w:r>
            <w:r w:rsidR="009A5266">
              <w:rPr>
                <w:lang w:val="es-ES"/>
              </w:rPr>
              <w:t>.</w:t>
            </w:r>
            <w:r w:rsidRPr="00D412E0">
              <w:rPr>
                <w:lang w:val="es-ES"/>
              </w:rPr>
              <w:t>D</w:t>
            </w:r>
            <w:r w:rsidR="009A5266">
              <w:rPr>
                <w:lang w:val="es-ES"/>
              </w:rPr>
              <w:t>.</w:t>
            </w:r>
            <w:r w:rsidRPr="00D412E0">
              <w:rPr>
                <w:lang w:val="es-ES"/>
              </w:rPr>
              <w:t>P</w:t>
            </w:r>
            <w:r w:rsidR="009A5266">
              <w:rPr>
                <w:lang w:val="es-ES"/>
              </w:rPr>
              <w:t>.</w:t>
            </w:r>
            <w:r w:rsidRPr="00D412E0">
              <w:rPr>
                <w:lang w:val="es-ES"/>
              </w:rPr>
              <w:t xml:space="preserve"> Lao finalizó y publicó su hoja de ruta EW4All y Kiribati la tiene en fase de elaboración. En Nepal se creó un grupo de trabajo técnico dedicado a la definición de su propia hoja de ruta EW4All. En el taller nacional celebrado en Tonga se identificaron las carencias y se empezó a preparar un proyecto de marco para EW4All, que se presentó al gabinete del Gobierno, acorde con la política de MHEWS nacional.</w:t>
            </w:r>
          </w:p>
          <w:p w14:paraId="049EAE2B" w14:textId="41E2056F" w:rsidR="00D412E0" w:rsidRPr="00D412E0" w:rsidRDefault="00D412E0" w:rsidP="008E2F46">
            <w:pPr>
              <w:pStyle w:val="Tabletext"/>
              <w:rPr>
                <w:lang w:val="es-ES"/>
              </w:rPr>
            </w:pPr>
            <w:r w:rsidRPr="00D412E0">
              <w:rPr>
                <w:lang w:val="es-ES"/>
              </w:rPr>
              <w:t>En Bangladesh la UIT y la IFRC realizaron una simulación de evacuación comunitaria en la que la UIT probó el componente de difusión y comunicación de alertas tempranas del ejercicio.</w:t>
            </w:r>
          </w:p>
          <w:p w14:paraId="568C69C8" w14:textId="099E8A9B" w:rsidR="00D412E0" w:rsidRPr="00D412E0" w:rsidRDefault="00D412E0" w:rsidP="008E2F46">
            <w:pPr>
              <w:pStyle w:val="Tabletext"/>
              <w:rPr>
                <w:lang w:val="es-ES"/>
              </w:rPr>
            </w:pPr>
            <w:r w:rsidRPr="00D412E0">
              <w:rPr>
                <w:lang w:val="es-ES"/>
              </w:rPr>
              <w:lastRenderedPageBreak/>
              <w:t>Fiji y Camboya recibieron asistencia para preparar propuestas en el marco del Fondo Verde para el Clima (FVC) a fin de obtener financiación para llevar a cabo actividades que mejoren la difusión y comunicación de alertas inclusivas para la reducción del riesgo de catástrofes.</w:t>
            </w:r>
          </w:p>
          <w:p w14:paraId="63C30667" w14:textId="3AF749AA" w:rsidR="00D412E0" w:rsidRPr="00D412E0" w:rsidRDefault="00D412E0" w:rsidP="008E2F46">
            <w:pPr>
              <w:pStyle w:val="Tabletext"/>
              <w:rPr>
                <w:lang w:val="es-ES"/>
              </w:rPr>
            </w:pPr>
            <w:r w:rsidRPr="00D412E0">
              <w:rPr>
                <w:lang w:val="es-ES"/>
              </w:rPr>
              <w:t>La</w:t>
            </w:r>
            <w:r w:rsidR="00437AB2">
              <w:rPr>
                <w:lang w:val="es-ES"/>
              </w:rPr>
              <w:t> </w:t>
            </w:r>
            <w:r w:rsidRPr="00D412E0">
              <w:rPr>
                <w:lang w:val="es-ES"/>
              </w:rPr>
              <w:t>BDT, en colaboración con la Asociación de Telecomunicaciones de las Islas de Pacífico (PITA), la GSMA y la Secretaría del Programa Ambiental Regional del Pacífico (SPREP), está realizando una evaluación de la viabilidad de una solución de radiodifusión celular regional para los países insulares del Pacífico.</w:t>
            </w:r>
          </w:p>
          <w:p w14:paraId="4BD99B13" w14:textId="79FF7350" w:rsidR="00D412E0" w:rsidRPr="00D412E0" w:rsidRDefault="00D412E0" w:rsidP="008E2F46">
            <w:pPr>
              <w:pStyle w:val="Tabletext"/>
              <w:rPr>
                <w:lang w:val="es-ES"/>
              </w:rPr>
            </w:pPr>
            <w:r w:rsidRPr="00D412E0">
              <w:rPr>
                <w:lang w:val="es-ES"/>
              </w:rPr>
              <w:t>En el marco del 12</w:t>
            </w:r>
            <w:r w:rsidR="00B41069">
              <w:rPr>
                <w:lang w:val="es-ES"/>
              </w:rPr>
              <w:t>.</w:t>
            </w:r>
            <w:r w:rsidRPr="00D412E0">
              <w:rPr>
                <w:lang w:val="es-ES"/>
              </w:rPr>
              <w:t>ª</w:t>
            </w:r>
            <w:r w:rsidR="00B41069">
              <w:rPr>
                <w:lang w:val="es-ES"/>
              </w:rPr>
              <w:t> </w:t>
            </w:r>
            <w:r w:rsidRPr="00D412E0">
              <w:rPr>
                <w:lang w:val="es-ES"/>
              </w:rPr>
              <w:t>Foro de Asia-Pacífico sobre Desarrollo Sostenible (APFSD), celebrado en Bangkok, la</w:t>
            </w:r>
            <w:r w:rsidR="00437AB2">
              <w:rPr>
                <w:lang w:val="es-ES"/>
              </w:rPr>
              <w:t> </w:t>
            </w:r>
            <w:r w:rsidRPr="00D412E0">
              <w:rPr>
                <w:lang w:val="es-ES"/>
              </w:rPr>
              <w:t>UIT coorganizó el evento paralelo "Leaving No One Behind: Advancing Inclusive Early Warnings and Broader Development Cooperation in the Asia-Pacific Region</w:t>
            </w:r>
            <w:r w:rsidR="00CB53AE">
              <w:rPr>
                <w:lang w:val="es-ES"/>
              </w:rPr>
              <w:t>"</w:t>
            </w:r>
            <w:r w:rsidRPr="00D412E0">
              <w:rPr>
                <w:lang w:val="es-ES"/>
              </w:rPr>
              <w:t>. Este evento se celebró en colaboración con el PNUD, la IFRC, la Embajada de Japón en Tailandia, la Agencia Japonesa de Cooperación Internacional (JICA), la CESPAP, la OMM y la UNDRR, y en él se destacó la importancia de la reducción del riesgo de catástrofes inclusiva y de una mayor cooperación.</w:t>
            </w:r>
          </w:p>
          <w:p w14:paraId="761EF2D4" w14:textId="415A729E" w:rsidR="00D412E0" w:rsidRPr="00D412E0" w:rsidRDefault="00D412E0" w:rsidP="008E2F46">
            <w:pPr>
              <w:pStyle w:val="Tabletext"/>
              <w:rPr>
                <w:lang w:val="es-ES"/>
              </w:rPr>
            </w:pPr>
            <w:r w:rsidRPr="00D412E0">
              <w:rPr>
                <w:lang w:val="es-ES"/>
              </w:rPr>
              <w:t xml:space="preserve">Con ocasión de la Conferencia Ministerial de Asia-Pacífico sobre la </w:t>
            </w:r>
            <w:r w:rsidR="00D23CC2" w:rsidRPr="00D412E0">
              <w:rPr>
                <w:lang w:val="es-ES"/>
              </w:rPr>
              <w:t>r</w:t>
            </w:r>
            <w:r w:rsidRPr="00D412E0">
              <w:rPr>
                <w:lang w:val="es-ES"/>
              </w:rPr>
              <w:t xml:space="preserve">educción del </w:t>
            </w:r>
            <w:r w:rsidR="00D23CC2" w:rsidRPr="00D412E0">
              <w:rPr>
                <w:lang w:val="es-ES"/>
              </w:rPr>
              <w:t>r</w:t>
            </w:r>
            <w:r w:rsidRPr="00D412E0">
              <w:rPr>
                <w:lang w:val="es-ES"/>
              </w:rPr>
              <w:t xml:space="preserve">iesgo de </w:t>
            </w:r>
            <w:r w:rsidR="00D23CC2" w:rsidRPr="00D412E0">
              <w:rPr>
                <w:lang w:val="es-ES"/>
              </w:rPr>
              <w:t>c</w:t>
            </w:r>
            <w:r w:rsidRPr="00D412E0">
              <w:rPr>
                <w:lang w:val="es-ES"/>
              </w:rPr>
              <w:t>atástrofes (APMCDRR24) celebrada en Manila, la</w:t>
            </w:r>
            <w:r w:rsidR="00437AB2">
              <w:rPr>
                <w:lang w:val="es-ES"/>
              </w:rPr>
              <w:t> </w:t>
            </w:r>
            <w:r w:rsidRPr="00D412E0">
              <w:rPr>
                <w:lang w:val="es-ES"/>
              </w:rPr>
              <w:t xml:space="preserve">BDT organizó un </w:t>
            </w:r>
            <w:r w:rsidR="00E67021" w:rsidRPr="00D412E0">
              <w:rPr>
                <w:lang w:val="es-ES"/>
              </w:rPr>
              <w:t>f</w:t>
            </w:r>
            <w:r w:rsidRPr="00D412E0">
              <w:rPr>
                <w:lang w:val="es-ES"/>
              </w:rPr>
              <w:t xml:space="preserve">oro </w:t>
            </w:r>
            <w:r w:rsidR="00E67021" w:rsidRPr="00D412E0">
              <w:rPr>
                <w:lang w:val="es-ES"/>
              </w:rPr>
              <w:t>m</w:t>
            </w:r>
            <w:r w:rsidRPr="00D412E0">
              <w:rPr>
                <w:lang w:val="es-ES"/>
              </w:rPr>
              <w:t xml:space="preserve">ultipartito </w:t>
            </w:r>
            <w:r w:rsidR="00E67021" w:rsidRPr="00D412E0">
              <w:rPr>
                <w:lang w:val="es-ES"/>
              </w:rPr>
              <w:t>r</w:t>
            </w:r>
            <w:r w:rsidRPr="00D412E0">
              <w:rPr>
                <w:lang w:val="es-ES"/>
              </w:rPr>
              <w:t xml:space="preserve">egional sobe el </w:t>
            </w:r>
            <w:r w:rsidR="00E67021" w:rsidRPr="00D412E0">
              <w:rPr>
                <w:lang w:val="es-ES"/>
              </w:rPr>
              <w:t>a</w:t>
            </w:r>
            <w:r w:rsidRPr="00D412E0">
              <w:rPr>
                <w:lang w:val="es-ES"/>
              </w:rPr>
              <w:t xml:space="preserve">provechamiento de los </w:t>
            </w:r>
            <w:r w:rsidR="00E67021" w:rsidRPr="00D412E0">
              <w:rPr>
                <w:lang w:val="es-ES"/>
              </w:rPr>
              <w:t>a</w:t>
            </w:r>
            <w:r w:rsidRPr="00D412E0">
              <w:rPr>
                <w:lang w:val="es-ES"/>
              </w:rPr>
              <w:t xml:space="preserve">vances </w:t>
            </w:r>
            <w:r w:rsidR="00E67021" w:rsidRPr="00D412E0">
              <w:rPr>
                <w:lang w:val="es-ES"/>
              </w:rPr>
              <w:t>d</w:t>
            </w:r>
            <w:r w:rsidRPr="00D412E0">
              <w:rPr>
                <w:lang w:val="es-ES"/>
              </w:rPr>
              <w:t xml:space="preserve">igitales para la </w:t>
            </w:r>
            <w:r w:rsidR="00E67021" w:rsidRPr="00D412E0">
              <w:rPr>
                <w:lang w:val="es-ES"/>
              </w:rPr>
              <w:t>d</w:t>
            </w:r>
            <w:r w:rsidRPr="00D412E0">
              <w:rPr>
                <w:lang w:val="es-ES"/>
              </w:rPr>
              <w:t xml:space="preserve">ifusión y </w:t>
            </w:r>
            <w:r w:rsidR="00E67021" w:rsidRPr="00D412E0">
              <w:rPr>
                <w:lang w:val="es-ES"/>
              </w:rPr>
              <w:t>c</w:t>
            </w:r>
            <w:r w:rsidRPr="00D412E0">
              <w:rPr>
                <w:lang w:val="es-ES"/>
              </w:rPr>
              <w:t xml:space="preserve">omunicación de </w:t>
            </w:r>
            <w:r w:rsidR="00E67021" w:rsidRPr="00D412E0">
              <w:rPr>
                <w:lang w:val="es-ES"/>
              </w:rPr>
              <w:t>a</w:t>
            </w:r>
            <w:r w:rsidRPr="00D412E0">
              <w:rPr>
                <w:lang w:val="es-ES"/>
              </w:rPr>
              <w:t xml:space="preserve">lertas </w:t>
            </w:r>
            <w:r w:rsidR="00E67021" w:rsidRPr="00D412E0">
              <w:rPr>
                <w:lang w:val="es-ES"/>
              </w:rPr>
              <w:t>t</w:t>
            </w:r>
            <w:r w:rsidRPr="00D412E0">
              <w:rPr>
                <w:lang w:val="es-ES"/>
              </w:rPr>
              <w:t>empranas. En esta sesión, organizada en colaboración con la GSMA, participaron numerosos coordinadores y socios sectoriales y se aumentó la capacidad de implementar el Pilar</w:t>
            </w:r>
            <w:r w:rsidR="00C24B6D">
              <w:rPr>
                <w:lang w:val="es-ES"/>
              </w:rPr>
              <w:t> </w:t>
            </w:r>
            <w:r w:rsidRPr="00D412E0">
              <w:rPr>
                <w:lang w:val="es-ES"/>
              </w:rPr>
              <w:t>3 de EW4All en la región.</w:t>
            </w:r>
          </w:p>
          <w:p w14:paraId="1C56A16F" w14:textId="6BA2B0C8" w:rsidR="00D412E0" w:rsidRPr="00D412E0" w:rsidRDefault="006D1DD3" w:rsidP="008E2F46">
            <w:pPr>
              <w:pStyle w:val="Tabletext"/>
              <w:rPr>
                <w:lang w:val="es-ES"/>
              </w:rPr>
            </w:pPr>
            <w:r w:rsidRPr="006D1DD3">
              <w:rPr>
                <w:b/>
                <w:bCs/>
                <w:lang w:val="es-ES"/>
              </w:rPr>
              <w:t xml:space="preserve">Comunidad de Estados Independientes </w:t>
            </w:r>
            <w:r>
              <w:rPr>
                <w:b/>
                <w:bCs/>
                <w:lang w:val="es-ES"/>
              </w:rPr>
              <w:t>(</w:t>
            </w:r>
            <w:r w:rsidR="00D412E0" w:rsidRPr="00D412E0">
              <w:rPr>
                <w:b/>
                <w:bCs/>
                <w:lang w:val="es-ES"/>
              </w:rPr>
              <w:t>CEI</w:t>
            </w:r>
            <w:r>
              <w:rPr>
                <w:b/>
                <w:bCs/>
                <w:lang w:val="es-ES"/>
              </w:rPr>
              <w:t>)</w:t>
            </w:r>
            <w:r w:rsidR="00D412E0" w:rsidRPr="00D412E0">
              <w:rPr>
                <w:b/>
                <w:bCs/>
                <w:lang w:val="es-ES"/>
              </w:rPr>
              <w:t xml:space="preserve">: </w:t>
            </w:r>
            <w:r w:rsidR="00C24B6D">
              <w:rPr>
                <w:lang w:val="es-ES"/>
              </w:rPr>
              <w:t>e</w:t>
            </w:r>
            <w:r w:rsidR="00D412E0" w:rsidRPr="00D412E0">
              <w:rPr>
                <w:lang w:val="es-ES"/>
              </w:rPr>
              <w:t>n la CEI, la</w:t>
            </w:r>
            <w:r w:rsidR="00437AB2">
              <w:rPr>
                <w:lang w:val="es-ES"/>
              </w:rPr>
              <w:t> </w:t>
            </w:r>
            <w:r w:rsidR="00D412E0" w:rsidRPr="00D412E0">
              <w:rPr>
                <w:lang w:val="es-ES"/>
              </w:rPr>
              <w:t>BDT brindó su apoyo a Tayikistán en su empeño por convertirse el primer país de la región en celebrar un taller de consulta nacional para evaluar las carencias y definir una hoja de ruta para los sistemas de alerta temprana en el país.</w:t>
            </w:r>
          </w:p>
          <w:p w14:paraId="427BE0E3" w14:textId="485DA768" w:rsidR="00D412E0" w:rsidRPr="00D412E0" w:rsidRDefault="00D412E0" w:rsidP="008E2F46">
            <w:pPr>
              <w:pStyle w:val="Tabletext"/>
              <w:rPr>
                <w:lang w:val="es-ES"/>
              </w:rPr>
            </w:pPr>
            <w:r w:rsidRPr="00D412E0">
              <w:rPr>
                <w:b/>
                <w:bCs/>
                <w:lang w:val="es-ES"/>
              </w:rPr>
              <w:t>Europa:</w:t>
            </w:r>
            <w:r w:rsidRPr="00D412E0">
              <w:rPr>
                <w:lang w:val="es-ES"/>
              </w:rPr>
              <w:t xml:space="preserve"> </w:t>
            </w:r>
            <w:r w:rsidR="00C24B6D">
              <w:rPr>
                <w:lang w:val="es-ES"/>
              </w:rPr>
              <w:t>e</w:t>
            </w:r>
            <w:r w:rsidRPr="00D412E0">
              <w:rPr>
                <w:lang w:val="es-ES"/>
              </w:rPr>
              <w:t>n los Balcanes Occidentales, gracias a un taller acelerador de iniciativas regionales sobre la preparación ante emergencias en la región, se aumentó la capacidad de la subregión y se sentaron las bases para racionalizar las acciones destinadas a definir una iniciativa subregional para Albania, Bosnia y Herzegovina, Macedonia del Norte, Montenegro y Serbia. Se pudo así desplegar efectivamente la radiodifusión celular y se empezó a prestar asistencia a Macedonia del Norte y Montenegro.</w:t>
            </w:r>
          </w:p>
          <w:p w14:paraId="256F3BD5" w14:textId="77777777" w:rsidR="00D412E0" w:rsidRPr="00D412E0" w:rsidRDefault="00D412E0" w:rsidP="008E2F46">
            <w:pPr>
              <w:pStyle w:val="Tabletext"/>
              <w:rPr>
                <w:lang w:val="es-ES"/>
              </w:rPr>
            </w:pPr>
            <w:r w:rsidRPr="00D412E0">
              <w:rPr>
                <w:lang w:val="es-ES"/>
              </w:rPr>
              <w:t>En Moldova la UIT aumentó la capacidad del país mediante la realización de un estudio de viabilidad del despliegue y la implementación de una solución de radiodifusión celular para el envío de mensajes de alerta. Gracias a ese estudio, el país ha podido conseguir financiación adicional para implantar la solución en todo el país.</w:t>
            </w:r>
          </w:p>
          <w:p w14:paraId="37572C47" w14:textId="674693BE" w:rsidR="00D412E0" w:rsidRPr="00C030C5" w:rsidRDefault="00CE0D86" w:rsidP="00C77552">
            <w:pPr>
              <w:pStyle w:val="Tabletext"/>
              <w:tabs>
                <w:tab w:val="clear" w:pos="284"/>
              </w:tabs>
              <w:rPr>
                <w:b/>
                <w:bCs/>
                <w:lang w:val="es-ES"/>
              </w:rPr>
            </w:pPr>
            <w:r w:rsidRPr="00C030C5">
              <w:rPr>
                <w:b/>
                <w:bCs/>
                <w:lang w:val="es-ES"/>
              </w:rPr>
              <w:t>–</w:t>
            </w:r>
            <w:r w:rsidR="00391AFE" w:rsidRPr="00C030C5">
              <w:rPr>
                <w:b/>
                <w:bCs/>
                <w:lang w:val="es-ES"/>
              </w:rPr>
              <w:tab/>
            </w:r>
            <w:r w:rsidR="00D412E0" w:rsidRPr="00C030C5">
              <w:rPr>
                <w:b/>
                <w:bCs/>
                <w:lang w:val="es-ES"/>
              </w:rPr>
              <w:t>IA para Alertas Tempranas para Todas las Personas</w:t>
            </w:r>
          </w:p>
          <w:p w14:paraId="264A67BA" w14:textId="199EC3D5" w:rsidR="00D412E0" w:rsidRPr="00D412E0" w:rsidRDefault="00D412E0" w:rsidP="008E2F46">
            <w:pPr>
              <w:pStyle w:val="Tabletext"/>
              <w:rPr>
                <w:lang w:val="es-ES"/>
              </w:rPr>
            </w:pPr>
            <w:r w:rsidRPr="00D412E0">
              <w:rPr>
                <w:lang w:val="es-ES"/>
              </w:rPr>
              <w:t xml:space="preserve">El </w:t>
            </w:r>
            <w:hyperlink r:id="rId18" w:history="1">
              <w:r w:rsidRPr="00D412E0">
                <w:rPr>
                  <w:rStyle w:val="Hyperlink"/>
                  <w:lang w:val="es-ES"/>
                </w:rPr>
                <w:t>Subgrupo sobre IA para Alertas Tempranas para Todas las Personas</w:t>
              </w:r>
            </w:hyperlink>
            <w:r w:rsidRPr="00D412E0">
              <w:rPr>
                <w:lang w:val="es-ES"/>
              </w:rPr>
              <w:t xml:space="preserve">, que coordina y lidera la UIT, tiene por objetivo explorar, implementar y adaptar las aplicaciones de IA que respaldan la iniciativa EW4All. Entre los principales socios y organizaciones implicados pueden citarse la UNDRR, la OMM, la IFRC, Google, Microsoft AI for Good Lab, Planet, el IHME, la GSMA, DISHA y el </w:t>
            </w:r>
            <w:bookmarkStart w:id="7" w:name="_Hlk197353412"/>
            <w:r w:rsidRPr="00D412E0">
              <w:rPr>
                <w:lang w:val="es-ES"/>
              </w:rPr>
              <w:t>Grupo de Observaciones de la Tierra</w:t>
            </w:r>
            <w:bookmarkEnd w:id="7"/>
            <w:r w:rsidRPr="00D412E0">
              <w:rPr>
                <w:lang w:val="es-ES"/>
              </w:rPr>
              <w:t xml:space="preserve"> (GEO). Este </w:t>
            </w:r>
            <w:r w:rsidR="00732CB0" w:rsidRPr="00D412E0">
              <w:rPr>
                <w:lang w:val="es-ES"/>
              </w:rPr>
              <w:t>s</w:t>
            </w:r>
            <w:r w:rsidRPr="00D412E0">
              <w:rPr>
                <w:lang w:val="es-ES"/>
              </w:rPr>
              <w:t xml:space="preserve">ubgrupo está propiciando el lanzamiento de iniciativas de IA piloto en varios países para demostrar los beneficios prácticos de la IA para mejorar los sistemas de alerta temprana. El Subgrupo ha estado colaborando con diversos socios, entre los que se cuentan la NASA, UCL, Google, la GSMA, Everbridge, Pelmorex y diversas </w:t>
            </w:r>
            <w:r w:rsidRPr="00D412E0">
              <w:rPr>
                <w:lang w:val="es-ES"/>
              </w:rPr>
              <w:lastRenderedPageBreak/>
              <w:t xml:space="preserve">universidades. A fin de garantizar el éxito del ejercicio, el </w:t>
            </w:r>
            <w:r w:rsidR="00732CB0" w:rsidRPr="00D412E0">
              <w:rPr>
                <w:lang w:val="es-ES"/>
              </w:rPr>
              <w:t>s</w:t>
            </w:r>
            <w:r w:rsidRPr="00D412E0">
              <w:rPr>
                <w:lang w:val="es-ES"/>
              </w:rPr>
              <w:t>ubgrupo está formando grupos de trabajo para cada proyecto piloto en los que participan especialistas técnicos, interesados locales y los colaboradores pertinentes.</w:t>
            </w:r>
          </w:p>
          <w:p w14:paraId="0F7A0C70" w14:textId="0001E6F4" w:rsidR="00D412E0" w:rsidRPr="00D412E0" w:rsidRDefault="00D412E0" w:rsidP="00A65CB9">
            <w:pPr>
              <w:pStyle w:val="Tabletext"/>
              <w:keepNext/>
              <w:keepLines/>
              <w:rPr>
                <w:lang w:val="es-ES"/>
              </w:rPr>
            </w:pPr>
            <w:r w:rsidRPr="00D412E0">
              <w:rPr>
                <w:lang w:val="es-ES"/>
              </w:rPr>
              <w:t xml:space="preserve">Uno de estos proyectos piloto consiste en la elaboración de una herramienta que ayude a los países a controlar y cartografiar el número de personas sin cobertura de red digital. Desarrollada colaborativamente por la UIT, Microsoft, Planet y el Institute for Health Metrics and Evaluation, esta tecnología utiliza la IA para analizar imágenes obtenidas por satélite y elaborar mapas de densidad de población de alta resolución a fin de visualizar la conectividad sobre la base del </w:t>
            </w:r>
            <w:hyperlink r:id="rId19" w:history="1">
              <w:r w:rsidRPr="00D412E0">
                <w:rPr>
                  <w:rStyle w:val="Hyperlink"/>
                  <w:lang w:val="es-ES"/>
                </w:rPr>
                <w:t xml:space="preserve">Mapa de </w:t>
              </w:r>
              <w:r w:rsidR="00C16A45" w:rsidRPr="00D412E0">
                <w:rPr>
                  <w:rStyle w:val="Hyperlink"/>
                  <w:lang w:val="es-ES"/>
                </w:rPr>
                <w:t>c</w:t>
              </w:r>
              <w:r w:rsidRPr="00D412E0">
                <w:rPr>
                  <w:rStyle w:val="Hyperlink"/>
                  <w:lang w:val="es-ES"/>
                </w:rPr>
                <w:t xml:space="preserve">onectividad en caso de </w:t>
              </w:r>
              <w:r w:rsidR="00C16A45" w:rsidRPr="00D412E0">
                <w:rPr>
                  <w:rStyle w:val="Hyperlink"/>
                  <w:lang w:val="es-ES"/>
                </w:rPr>
                <w:t>c</w:t>
              </w:r>
              <w:r w:rsidRPr="00D412E0">
                <w:rPr>
                  <w:rStyle w:val="Hyperlink"/>
                  <w:lang w:val="es-ES"/>
                </w:rPr>
                <w:t>atástrofe de la UIT</w:t>
              </w:r>
            </w:hyperlink>
            <w:r w:rsidRPr="00D412E0">
              <w:rPr>
                <w:lang w:val="es-ES"/>
              </w:rPr>
              <w:t xml:space="preserve">. Ya están disponibles los primeros resultados para Vanuatu, Fiji, República Dominicana, Mozambique, Somalia, Sudán del Sur, Haití y Tonga, y el concepto se está retomando en el Mapa </w:t>
            </w:r>
            <w:r w:rsidR="00C16A45" w:rsidRPr="00D412E0">
              <w:rPr>
                <w:lang w:val="es-ES"/>
              </w:rPr>
              <w:t>m</w:t>
            </w:r>
            <w:r w:rsidRPr="00D412E0">
              <w:rPr>
                <w:lang w:val="es-ES"/>
              </w:rPr>
              <w:t xml:space="preserve">undial de la </w:t>
            </w:r>
            <w:r w:rsidR="00C16A45" w:rsidRPr="00D412E0">
              <w:rPr>
                <w:lang w:val="es-ES"/>
              </w:rPr>
              <w:t>p</w:t>
            </w:r>
            <w:r w:rsidRPr="00D412E0">
              <w:rPr>
                <w:lang w:val="es-ES"/>
              </w:rPr>
              <w:t xml:space="preserve">oblación sin </w:t>
            </w:r>
            <w:r w:rsidR="00C16A45" w:rsidRPr="00D412E0">
              <w:rPr>
                <w:lang w:val="es-ES"/>
              </w:rPr>
              <w:t>c</w:t>
            </w:r>
            <w:r w:rsidRPr="00D412E0">
              <w:rPr>
                <w:lang w:val="es-ES"/>
              </w:rPr>
              <w:t>onexión.</w:t>
            </w:r>
          </w:p>
          <w:p w14:paraId="583BCB33" w14:textId="4264A081" w:rsidR="00D412E0" w:rsidRPr="00D412E0" w:rsidRDefault="00D412E0" w:rsidP="008E2F46">
            <w:pPr>
              <w:pStyle w:val="Tabletext"/>
              <w:rPr>
                <w:lang w:val="es-ES"/>
              </w:rPr>
            </w:pPr>
            <w:r w:rsidRPr="00D412E0">
              <w:rPr>
                <w:lang w:val="es-ES"/>
              </w:rPr>
              <w:t xml:space="preserve">La BDT también organizó un taller sobre </w:t>
            </w:r>
            <w:r w:rsidR="00CB53AE">
              <w:rPr>
                <w:lang w:val="es-ES"/>
              </w:rPr>
              <w:t>"</w:t>
            </w:r>
            <w:r w:rsidRPr="00D412E0">
              <w:rPr>
                <w:lang w:val="es-ES"/>
              </w:rPr>
              <w:t>Forecasting the Future: AI in Early Warning Systems</w:t>
            </w:r>
            <w:r w:rsidR="00CB53AE">
              <w:rPr>
                <w:lang w:val="es-ES"/>
              </w:rPr>
              <w:t>"</w:t>
            </w:r>
            <w:r w:rsidRPr="00D412E0">
              <w:rPr>
                <w:lang w:val="es-ES"/>
              </w:rPr>
              <w:t xml:space="preserve"> en el marco de la Cumbre Mundial AI for Good de la UIT en mayo de 2024. Durante la Cumbre del Futuro celebrada en Nueva York en septiembre de</w:t>
            </w:r>
            <w:r w:rsidR="00C24B6D">
              <w:rPr>
                <w:lang w:val="es-ES"/>
              </w:rPr>
              <w:t> </w:t>
            </w:r>
            <w:r w:rsidRPr="00D412E0">
              <w:rPr>
                <w:lang w:val="es-ES"/>
              </w:rPr>
              <w:t>2024 la UIT organizó un evento sobre las Coaliciones para aprovechar la IA en pro de la preparación y respuesta a las catástrofes humanitarias, en colaboración con el Global Pulse de las Naciones Unidas y el Laboratorio de Innovación del Secretario General.</w:t>
            </w:r>
          </w:p>
          <w:p w14:paraId="08EF4B4F" w14:textId="0B01A69D" w:rsidR="00D412E0" w:rsidRPr="00D412E0" w:rsidRDefault="00D412E0" w:rsidP="008E2F46">
            <w:pPr>
              <w:pStyle w:val="Tabletext"/>
              <w:rPr>
                <w:lang w:val="es-ES"/>
              </w:rPr>
            </w:pPr>
            <w:r w:rsidRPr="00D412E0">
              <w:rPr>
                <w:lang w:val="es-ES"/>
              </w:rPr>
              <w:t>En el marco de los preparativos para la Cumbre Mundial AI for Good de 2025, la UIT lidera el Concurso de Innovación IA para EW4All, que es un concurso mundial de hackatones para aprovechar el potencial de la inteligencia artificial para EWS. Abierta en abril de 2025, esta iniciativa tiene por objetivo armonizar las soluciones de IA innovadoras con los cuatro pilares de la iniciativa EW4All. Los participantes diseñarán soluciones de IA para colmar las carencias específicas identificadas en el marco de los cuatro</w:t>
            </w:r>
            <w:r w:rsidR="00C24B6D">
              <w:rPr>
                <w:lang w:val="es-ES"/>
              </w:rPr>
              <w:t> </w:t>
            </w:r>
            <w:r w:rsidRPr="00D412E0">
              <w:rPr>
                <w:lang w:val="es-ES"/>
              </w:rPr>
              <w:t>Pilares, aprovechando las capacidades de la IA para mejorar la gestión de riesgos, la previsión, la comunicación y la intervención en caso de catástrofe. Este concurso depende del Subgrupo sobre IA para EW4All.</w:t>
            </w:r>
          </w:p>
          <w:p w14:paraId="5F28B8C4" w14:textId="2B46FA68" w:rsidR="00D412E0" w:rsidRPr="00D412E0" w:rsidRDefault="00D412E0" w:rsidP="008E2F46">
            <w:pPr>
              <w:pStyle w:val="Tabletext"/>
              <w:rPr>
                <w:lang w:val="es-ES"/>
              </w:rPr>
            </w:pPr>
            <w:r w:rsidRPr="00D412E0">
              <w:rPr>
                <w:lang w:val="es-ES"/>
              </w:rPr>
              <w:t xml:space="preserve">Como participante en ese </w:t>
            </w:r>
            <w:r w:rsidR="00732CB0" w:rsidRPr="00D412E0">
              <w:rPr>
                <w:lang w:val="es-ES"/>
              </w:rPr>
              <w:t>s</w:t>
            </w:r>
            <w:r w:rsidRPr="00D412E0">
              <w:rPr>
                <w:lang w:val="es-ES"/>
              </w:rPr>
              <w:t xml:space="preserve">ubgrupo, la UIT está preparando un </w:t>
            </w:r>
            <w:r w:rsidR="00D23CC2" w:rsidRPr="00D412E0">
              <w:rPr>
                <w:lang w:val="es-ES"/>
              </w:rPr>
              <w:t>c</w:t>
            </w:r>
            <w:r w:rsidRPr="00D412E0">
              <w:rPr>
                <w:lang w:val="es-ES"/>
              </w:rPr>
              <w:t xml:space="preserve">atálogo de soluciones de IA, repositorio en línea de herramientas, modelos y aplicaciones de IA pertinentes para los sistemas de alerta temprana. El catálogo tiene por objetivo clasificar las soluciones en función de su madurez, del tipo de peligro a que responden y del marco EW4All. Antes de figurar en el catálogo, las soluciones se someterán a una evaluación por pares y a la validación del </w:t>
            </w:r>
            <w:r w:rsidR="00732CB0" w:rsidRPr="00D412E0">
              <w:rPr>
                <w:lang w:val="es-ES"/>
              </w:rPr>
              <w:t>s</w:t>
            </w:r>
            <w:r w:rsidRPr="00D412E0">
              <w:rPr>
                <w:lang w:val="es-ES"/>
              </w:rPr>
              <w:t>ubgrupo.</w:t>
            </w:r>
          </w:p>
          <w:p w14:paraId="38451158" w14:textId="5A9AFECD" w:rsidR="00D412E0" w:rsidRPr="00D412E0" w:rsidRDefault="00391AFE" w:rsidP="00CE0D86">
            <w:pPr>
              <w:pStyle w:val="Tabletext"/>
              <w:tabs>
                <w:tab w:val="clear" w:pos="284"/>
              </w:tabs>
              <w:rPr>
                <w:b/>
                <w:bCs/>
                <w:lang w:val="es-ES"/>
              </w:rPr>
            </w:pPr>
            <w:r>
              <w:rPr>
                <w:b/>
                <w:bCs/>
                <w:lang w:val="es-ES"/>
              </w:rPr>
              <w:t>II)</w:t>
            </w:r>
            <w:r>
              <w:rPr>
                <w:b/>
                <w:bCs/>
                <w:lang w:val="es-ES"/>
              </w:rPr>
              <w:tab/>
            </w:r>
            <w:r w:rsidR="00D412E0" w:rsidRPr="00D412E0">
              <w:rPr>
                <w:b/>
                <w:bCs/>
                <w:lang w:val="es-ES"/>
              </w:rPr>
              <w:t xml:space="preserve">Planes </w:t>
            </w:r>
            <w:r w:rsidR="0046761E" w:rsidRPr="00D412E0">
              <w:rPr>
                <w:b/>
                <w:bCs/>
                <w:lang w:val="es-ES"/>
              </w:rPr>
              <w:t>n</w:t>
            </w:r>
            <w:r w:rsidR="00D412E0" w:rsidRPr="00D412E0">
              <w:rPr>
                <w:b/>
                <w:bCs/>
                <w:lang w:val="es-ES"/>
              </w:rPr>
              <w:t xml:space="preserve">acionales de </w:t>
            </w:r>
            <w:r w:rsidR="0046761E" w:rsidRPr="00D412E0">
              <w:rPr>
                <w:b/>
                <w:bCs/>
                <w:lang w:val="es-ES"/>
              </w:rPr>
              <w:t>t</w:t>
            </w:r>
            <w:r w:rsidR="00D412E0" w:rsidRPr="00D412E0">
              <w:rPr>
                <w:b/>
                <w:bCs/>
                <w:lang w:val="es-ES"/>
              </w:rPr>
              <w:t xml:space="preserve">elecomunicaciones de </w:t>
            </w:r>
            <w:r w:rsidR="0046761E" w:rsidRPr="00D412E0">
              <w:rPr>
                <w:b/>
                <w:bCs/>
                <w:lang w:val="es-ES"/>
              </w:rPr>
              <w:t>e</w:t>
            </w:r>
            <w:r w:rsidR="00D412E0" w:rsidRPr="00D412E0">
              <w:rPr>
                <w:b/>
                <w:bCs/>
                <w:lang w:val="es-ES"/>
              </w:rPr>
              <w:t>mergencia (PNTE)</w:t>
            </w:r>
          </w:p>
          <w:p w14:paraId="4CB72426" w14:textId="73F86524" w:rsidR="00D412E0" w:rsidRPr="00D412E0" w:rsidRDefault="00D412E0" w:rsidP="008E2F46">
            <w:pPr>
              <w:pStyle w:val="Tabletext"/>
              <w:rPr>
                <w:lang w:val="es-ES"/>
              </w:rPr>
            </w:pPr>
            <w:r w:rsidRPr="00D412E0">
              <w:rPr>
                <w:lang w:val="es-ES"/>
              </w:rPr>
              <w:t>Un PNTE es un documento global que contiene el marco reglamentario para la gestión de riesgos en caso de catástrofe e identifica las medidas específicas necesarias para aprovechar las TIC en cada una de las fases del ciclo de gestión de catástrofes. La BDT sigue prestando ayuda a los Estados Miembros en la definición e implementación de sus respectivos PNTE en todas las regiones mediante asistencia personalizada, talleres y reuniones de todas las partes interesadas para fomentar la comunicación y la coordinación antes, durante y después de las emergencias.</w:t>
            </w:r>
          </w:p>
          <w:p w14:paraId="28F2B513" w14:textId="57C1C7C8" w:rsidR="00D412E0" w:rsidRPr="00D412E0" w:rsidRDefault="00D412E0" w:rsidP="008E2F46">
            <w:pPr>
              <w:pStyle w:val="Tabletext"/>
              <w:rPr>
                <w:lang w:val="es-ES"/>
              </w:rPr>
            </w:pPr>
            <w:r w:rsidRPr="00D412E0">
              <w:rPr>
                <w:lang w:val="es-ES"/>
              </w:rPr>
              <w:t xml:space="preserve">La BDT organizó una serie de </w:t>
            </w:r>
            <w:r w:rsidRPr="00D412E0">
              <w:rPr>
                <w:b/>
                <w:bCs/>
                <w:lang w:val="es-ES"/>
              </w:rPr>
              <w:t xml:space="preserve">Talleres </w:t>
            </w:r>
            <w:r w:rsidR="009A78D8" w:rsidRPr="00D412E0">
              <w:rPr>
                <w:b/>
                <w:bCs/>
                <w:lang w:val="es-ES"/>
              </w:rPr>
              <w:t>m</w:t>
            </w:r>
            <w:r w:rsidRPr="00D412E0">
              <w:rPr>
                <w:b/>
                <w:bCs/>
                <w:lang w:val="es-ES"/>
              </w:rPr>
              <w:t xml:space="preserve">ultipartitos Nacionales sobre </w:t>
            </w:r>
            <w:r w:rsidR="009A78D8" w:rsidRPr="00D412E0">
              <w:rPr>
                <w:b/>
                <w:bCs/>
                <w:lang w:val="es-ES"/>
              </w:rPr>
              <w:t>d</w:t>
            </w:r>
            <w:r w:rsidRPr="00D412E0">
              <w:rPr>
                <w:b/>
                <w:bCs/>
                <w:lang w:val="es-ES"/>
              </w:rPr>
              <w:t>esarrollo de PNTE</w:t>
            </w:r>
            <w:r w:rsidRPr="00A65CB9">
              <w:rPr>
                <w:lang w:val="es-ES"/>
              </w:rPr>
              <w:t xml:space="preserve"> </w:t>
            </w:r>
            <w:r w:rsidRPr="00D412E0">
              <w:rPr>
                <w:lang w:val="es-ES"/>
              </w:rPr>
              <w:t>que representan en su conjunto etapas fundamentales para propiciar comunicaciones fiables durante las fases de mitigación, preparación, respuesta y recuperación en caso de catástrofe, en particular en el contexto del cambio climático, los peligros naturales y las pandemias. La BDT prestó ayuda para preparar los</w:t>
            </w:r>
            <w:r w:rsidR="00C24B6D">
              <w:rPr>
                <w:lang w:val="es-ES"/>
              </w:rPr>
              <w:t> </w:t>
            </w:r>
            <w:r w:rsidRPr="00D412E0">
              <w:rPr>
                <w:lang w:val="es-ES"/>
              </w:rPr>
              <w:t>PNTE de 41</w:t>
            </w:r>
            <w:r w:rsidR="00C24B6D">
              <w:rPr>
                <w:lang w:val="es-ES"/>
              </w:rPr>
              <w:t> </w:t>
            </w:r>
            <w:r w:rsidRPr="00D412E0">
              <w:rPr>
                <w:lang w:val="es-ES"/>
              </w:rPr>
              <w:t>países de cinco regiones:</w:t>
            </w:r>
          </w:p>
          <w:p w14:paraId="021969A1" w14:textId="2C68F8FC" w:rsidR="00D412E0" w:rsidRPr="00D412E0" w:rsidRDefault="00CE0D86" w:rsidP="00CE0D86">
            <w:pPr>
              <w:pStyle w:val="Tabletext"/>
              <w:tabs>
                <w:tab w:val="clear" w:pos="284"/>
              </w:tabs>
              <w:rPr>
                <w:lang w:val="es-ES"/>
              </w:rPr>
            </w:pPr>
            <w:r w:rsidRPr="00063775">
              <w:rPr>
                <w:b/>
                <w:bCs/>
                <w:lang w:val="es-ES"/>
              </w:rPr>
              <w:t>–</w:t>
            </w:r>
            <w:r w:rsidR="00391AFE" w:rsidRPr="00063775">
              <w:rPr>
                <w:lang w:val="es-ES"/>
              </w:rPr>
              <w:tab/>
            </w:r>
            <w:r w:rsidR="00D412E0" w:rsidRPr="00063775">
              <w:rPr>
                <w:b/>
                <w:bCs/>
                <w:lang w:val="es-ES"/>
              </w:rPr>
              <w:t>Estados Árabes</w:t>
            </w:r>
            <w:r w:rsidR="00D412E0" w:rsidRPr="00D412E0">
              <w:rPr>
                <w:b/>
                <w:bCs/>
                <w:lang w:val="es-ES"/>
              </w:rPr>
              <w:t>:</w:t>
            </w:r>
            <w:r w:rsidR="00D412E0" w:rsidRPr="00D412E0">
              <w:rPr>
                <w:lang w:val="es-ES"/>
              </w:rPr>
              <w:t xml:space="preserve"> la</w:t>
            </w:r>
            <w:r w:rsidR="00437AB2">
              <w:rPr>
                <w:lang w:val="es-ES"/>
              </w:rPr>
              <w:t> </w:t>
            </w:r>
            <w:r w:rsidR="00D412E0" w:rsidRPr="00D412E0">
              <w:rPr>
                <w:lang w:val="es-ES"/>
              </w:rPr>
              <w:t>BDT prestó asistencia para la preparación de los PNTE de Djibouti, Comoras y Mauritania.</w:t>
            </w:r>
          </w:p>
          <w:p w14:paraId="23F60328" w14:textId="5941717A" w:rsidR="00D412E0" w:rsidRPr="00D412E0" w:rsidRDefault="00CE0D86" w:rsidP="00CE0D86">
            <w:pPr>
              <w:pStyle w:val="Tabletext"/>
              <w:tabs>
                <w:tab w:val="clear" w:pos="284"/>
              </w:tabs>
              <w:ind w:left="567" w:hanging="567"/>
              <w:rPr>
                <w:lang w:val="es-ES"/>
              </w:rPr>
            </w:pPr>
            <w:r w:rsidRPr="00CE0D86">
              <w:rPr>
                <w:lang w:val="es-ES"/>
              </w:rPr>
              <w:lastRenderedPageBreak/>
              <w:t>–</w:t>
            </w:r>
            <w:r w:rsidR="00391AFE" w:rsidRPr="00391AFE">
              <w:rPr>
                <w:lang w:val="es-ES"/>
              </w:rPr>
              <w:tab/>
            </w:r>
            <w:r w:rsidR="00D412E0" w:rsidRPr="00D412E0">
              <w:rPr>
                <w:b/>
                <w:bCs/>
                <w:lang w:val="es-ES"/>
              </w:rPr>
              <w:t>Asia</w:t>
            </w:r>
            <w:r w:rsidR="0061116D">
              <w:rPr>
                <w:b/>
                <w:bCs/>
                <w:lang w:val="es-ES"/>
              </w:rPr>
              <w:noBreakHyphen/>
            </w:r>
            <w:r w:rsidR="00D412E0" w:rsidRPr="00D412E0">
              <w:rPr>
                <w:b/>
                <w:bCs/>
                <w:lang w:val="es-ES"/>
              </w:rPr>
              <w:t>Pacífico:</w:t>
            </w:r>
            <w:r w:rsidR="00D412E0" w:rsidRPr="00D412E0">
              <w:rPr>
                <w:lang w:val="es-ES"/>
              </w:rPr>
              <w:t xml:space="preserve"> la</w:t>
            </w:r>
            <w:r w:rsidR="00437AB2">
              <w:rPr>
                <w:lang w:val="es-ES"/>
              </w:rPr>
              <w:t> </w:t>
            </w:r>
            <w:r w:rsidR="00D412E0" w:rsidRPr="00D412E0">
              <w:rPr>
                <w:lang w:val="es-ES"/>
              </w:rPr>
              <w:t xml:space="preserve">BDT </w:t>
            </w:r>
            <w:r w:rsidR="00D412E0" w:rsidRPr="00437AB2">
              <w:rPr>
                <w:lang w:val="es-ES"/>
              </w:rPr>
              <w:t>prestó</w:t>
            </w:r>
            <w:r w:rsidR="00D412E0" w:rsidRPr="00D412E0">
              <w:rPr>
                <w:lang w:val="es-ES"/>
              </w:rPr>
              <w:t xml:space="preserve"> asistencia para la preparación del PNTE de Tuvalu. En Bangladesh la</w:t>
            </w:r>
            <w:r w:rsidR="00063775">
              <w:rPr>
                <w:lang w:val="es-ES"/>
              </w:rPr>
              <w:t> </w:t>
            </w:r>
            <w:r w:rsidR="00D412E0" w:rsidRPr="00D412E0">
              <w:rPr>
                <w:lang w:val="es-ES"/>
              </w:rPr>
              <w:t>UIT inició un programa de asistencia directa al país para la preparación del PNTE y la ejecución de otras actividades en el marco de EW4All.</w:t>
            </w:r>
          </w:p>
          <w:p w14:paraId="2FE3DBD1" w14:textId="00202345" w:rsidR="00D412E0" w:rsidRPr="00D412E0" w:rsidRDefault="00D412E0" w:rsidP="00CE0D86">
            <w:pPr>
              <w:pStyle w:val="Tabletext"/>
              <w:ind w:left="567"/>
              <w:rPr>
                <w:lang w:val="es-ES"/>
              </w:rPr>
            </w:pPr>
            <w:r w:rsidRPr="00D412E0">
              <w:rPr>
                <w:lang w:val="es-ES"/>
              </w:rPr>
              <w:t xml:space="preserve">En Fiji la </w:t>
            </w:r>
            <w:r w:rsidR="00063775">
              <w:rPr>
                <w:lang w:val="es-ES"/>
              </w:rPr>
              <w:t xml:space="preserve">BDT </w:t>
            </w:r>
            <w:r w:rsidRPr="00D412E0">
              <w:rPr>
                <w:lang w:val="es-ES"/>
              </w:rPr>
              <w:t xml:space="preserve">facilitó la organización de una reunión del grupo nacional de telecomunicaciones de emergencia en la que se examinó un proyecto de </w:t>
            </w:r>
            <w:r w:rsidR="009A78D8">
              <w:rPr>
                <w:lang w:val="es-ES"/>
              </w:rPr>
              <w:t>PNTE</w:t>
            </w:r>
            <w:r w:rsidRPr="00D412E0">
              <w:rPr>
                <w:lang w:val="es-ES"/>
              </w:rPr>
              <w:t xml:space="preserve"> y se consideraron 23</w:t>
            </w:r>
            <w:r w:rsidR="0061116D">
              <w:rPr>
                <w:lang w:val="es-ES"/>
              </w:rPr>
              <w:t> </w:t>
            </w:r>
            <w:r w:rsidRPr="00D412E0">
              <w:rPr>
                <w:lang w:val="es-ES"/>
              </w:rPr>
              <w:t>medidas. En Pakistán la BDT colaboró con la GSMA y UNICEF en la organización de un taller sobre el papel de las telecomunicaciones en la preparación, la respuesta y la recuperación en caso de catástrofe, en el marco del cual se consideró cómo aumentar la resiliencia a las catástrofes del país gracias a las tecnologías móviles, se actualizó el PNTE y se evaluó la eficacia de las estrategias y planes nacionales de utilización de las TIC en la reducción del riesgo de catástrofes mediante una simulación teórica.</w:t>
            </w:r>
          </w:p>
          <w:p w14:paraId="5374B9F1" w14:textId="30D38E63" w:rsidR="00D412E0" w:rsidRPr="00D412E0" w:rsidRDefault="00D412E0" w:rsidP="00CE0D86">
            <w:pPr>
              <w:pStyle w:val="Tabletext"/>
              <w:ind w:left="567"/>
              <w:rPr>
                <w:lang w:val="es-ES"/>
              </w:rPr>
            </w:pPr>
            <w:r w:rsidRPr="00D412E0">
              <w:rPr>
                <w:lang w:val="es-ES"/>
              </w:rPr>
              <w:t xml:space="preserve">Para prestar aún más apoyo a la elaboración de PNTE, la UIT firmó un </w:t>
            </w:r>
            <w:r w:rsidR="00063775">
              <w:rPr>
                <w:lang w:val="es-ES"/>
              </w:rPr>
              <w:t>a</w:t>
            </w:r>
            <w:r w:rsidRPr="00D412E0">
              <w:rPr>
                <w:lang w:val="es-ES"/>
              </w:rPr>
              <w:t xml:space="preserve">cuerdo de </w:t>
            </w:r>
            <w:r w:rsidR="00063775">
              <w:rPr>
                <w:lang w:val="es-ES"/>
              </w:rPr>
              <w:t>c</w:t>
            </w:r>
            <w:r w:rsidRPr="00D412E0">
              <w:rPr>
                <w:lang w:val="es-ES"/>
              </w:rPr>
              <w:t xml:space="preserve">ooperación con el Centro de Coordinación de </w:t>
            </w:r>
            <w:r w:rsidR="00595059">
              <w:rPr>
                <w:lang w:val="es-ES"/>
              </w:rPr>
              <w:t xml:space="preserve">la </w:t>
            </w:r>
            <w:r w:rsidRPr="00D412E0">
              <w:rPr>
                <w:lang w:val="es-ES"/>
              </w:rPr>
              <w:t>ASEAN para la Asistencia Humanitaria en la Gestión de Catástrofes (Centro AHA), gracias al cual se intensificará la capacitación en materia de telecomunicaciones de emergencia, en particular la elaboración de PNTE, así como la formación para la realización de simulaciones teóricas y la utilización de nuevas tecnologías para las intervenciones tras una catástrofe.</w:t>
            </w:r>
          </w:p>
          <w:p w14:paraId="400E244C" w14:textId="4EFC7F05" w:rsidR="00D412E0" w:rsidRPr="00D412E0" w:rsidRDefault="00CE0D86" w:rsidP="00CE0D86">
            <w:pPr>
              <w:pStyle w:val="Tabletext"/>
              <w:tabs>
                <w:tab w:val="clear" w:pos="284"/>
              </w:tabs>
              <w:ind w:left="567" w:hanging="567"/>
              <w:rPr>
                <w:lang w:val="es-ES"/>
              </w:rPr>
            </w:pPr>
            <w:r w:rsidRPr="00CE0D86">
              <w:rPr>
                <w:lang w:val="es-ES"/>
              </w:rPr>
              <w:t>–</w:t>
            </w:r>
            <w:r w:rsidR="00391AFE" w:rsidRPr="00391AFE">
              <w:rPr>
                <w:lang w:val="es-ES"/>
              </w:rPr>
              <w:tab/>
            </w:r>
            <w:r w:rsidR="00D412E0" w:rsidRPr="00D412E0">
              <w:rPr>
                <w:b/>
                <w:bCs/>
                <w:lang w:val="es-ES"/>
              </w:rPr>
              <w:t>Américas:</w:t>
            </w:r>
            <w:r w:rsidR="00D412E0" w:rsidRPr="00D412E0">
              <w:rPr>
                <w:lang w:val="es-ES"/>
              </w:rPr>
              <w:t xml:space="preserve"> en colaboración con el Consorcio de </w:t>
            </w:r>
            <w:r w:rsidR="0070149F" w:rsidRPr="00D412E0">
              <w:rPr>
                <w:lang w:val="es-ES"/>
              </w:rPr>
              <w:t xml:space="preserve">telecomunicaciones </w:t>
            </w:r>
            <w:r w:rsidR="00D412E0" w:rsidRPr="00D412E0">
              <w:rPr>
                <w:lang w:val="es-ES"/>
              </w:rPr>
              <w:t xml:space="preserve">en situaciones de </w:t>
            </w:r>
            <w:r w:rsidR="0070149F" w:rsidRPr="00D412E0">
              <w:rPr>
                <w:lang w:val="es-ES"/>
              </w:rPr>
              <w:t>emergencia</w:t>
            </w:r>
            <w:r w:rsidR="0070149F">
              <w:rPr>
                <w:lang w:val="es-ES"/>
              </w:rPr>
              <w:t xml:space="preserve"> (ETC)</w:t>
            </w:r>
            <w:r w:rsidR="00D412E0" w:rsidRPr="00D412E0">
              <w:rPr>
                <w:lang w:val="es-ES"/>
              </w:rPr>
              <w:t>, la BDT impartió un taller en el Caribe para intensificar la colaboración entre los interesados a fin de poner en marcha los PNTE, aumentar la capacidad de implementación de EWS y mejorar los conocimientos sobre utilización de los equipos de satélite de la UIT.</w:t>
            </w:r>
          </w:p>
          <w:p w14:paraId="799357F7" w14:textId="4E4560B6" w:rsidR="00D412E0" w:rsidRPr="004711CF" w:rsidRDefault="00CE0D86" w:rsidP="00CE0D86">
            <w:pPr>
              <w:pStyle w:val="Tabletext"/>
              <w:tabs>
                <w:tab w:val="clear" w:pos="284"/>
              </w:tabs>
              <w:ind w:left="567" w:hanging="567"/>
              <w:rPr>
                <w:lang w:val="es-ES"/>
              </w:rPr>
            </w:pPr>
            <w:r w:rsidRPr="004711CF">
              <w:rPr>
                <w:lang w:val="es-ES"/>
              </w:rPr>
              <w:t>–</w:t>
            </w:r>
            <w:r w:rsidR="00391AFE" w:rsidRPr="004711CF">
              <w:rPr>
                <w:lang w:val="es-ES"/>
              </w:rPr>
              <w:tab/>
            </w:r>
            <w:r w:rsidR="00D412E0" w:rsidRPr="004711CF">
              <w:rPr>
                <w:b/>
                <w:bCs/>
                <w:lang w:val="es-ES"/>
              </w:rPr>
              <w:t>África:</w:t>
            </w:r>
            <w:r w:rsidR="00D412E0" w:rsidRPr="004711CF">
              <w:rPr>
                <w:lang w:val="es-ES"/>
              </w:rPr>
              <w:t xml:space="preserve"> la BDT prestó asistencia en la definición de los PNTE de Guinea Bissau, Gambia, Namibia, Tanzanía, Zimbabwe, Cabo Verde, Botswana, Seychelles y Zambia. Para ello se celebraron diversos talleres de capacitación sobre análisis situacional de los PNTE de los países de África Occidental con el objetivo de compartir </w:t>
            </w:r>
            <w:r w:rsidR="00D412E0" w:rsidRPr="00C030C5">
              <w:rPr>
                <w:lang w:val="es-ES"/>
              </w:rPr>
              <w:t>prácticas idóneas</w:t>
            </w:r>
            <w:r w:rsidR="00D412E0" w:rsidRPr="004711CF">
              <w:rPr>
                <w:lang w:val="es-ES"/>
              </w:rPr>
              <w:t>.</w:t>
            </w:r>
          </w:p>
          <w:p w14:paraId="24A28F33" w14:textId="17D4CB41" w:rsidR="00D412E0" w:rsidRPr="004711CF" w:rsidRDefault="00D412E0" w:rsidP="00CE0D86">
            <w:pPr>
              <w:pStyle w:val="Tabletext"/>
              <w:ind w:left="567"/>
              <w:rPr>
                <w:lang w:val="es-ES"/>
              </w:rPr>
            </w:pPr>
            <w:r w:rsidRPr="004711CF">
              <w:rPr>
                <w:lang w:val="es-ES"/>
              </w:rPr>
              <w:t>A nivel regional, la UIT organizó sesiones de capacitación sobre análisis situacional de los PNTE de los países de África Occidental con el objetivo de compartir prácticas idóneas entre los participantes que están preparando sus PNTE.</w:t>
            </w:r>
          </w:p>
          <w:p w14:paraId="0B5C63BC" w14:textId="583F5E59" w:rsidR="00D412E0" w:rsidRPr="004711CF" w:rsidRDefault="00D412E0" w:rsidP="00CE0D86">
            <w:pPr>
              <w:pStyle w:val="Tabletext"/>
              <w:ind w:left="567"/>
              <w:rPr>
                <w:lang w:val="es-ES"/>
              </w:rPr>
            </w:pPr>
            <w:r w:rsidRPr="004711CF">
              <w:rPr>
                <w:lang w:val="es-ES"/>
              </w:rPr>
              <w:t xml:space="preserve">También se prepararon dos marcos de PNTE regionales: uno para la </w:t>
            </w:r>
            <w:bookmarkStart w:id="8" w:name="_Hlk197069900"/>
            <w:r w:rsidRPr="004711CF">
              <w:rPr>
                <w:lang w:val="es-ES"/>
              </w:rPr>
              <w:t>Comunidad de África Meridional para el Desarrollo (SADC)</w:t>
            </w:r>
            <w:bookmarkEnd w:id="8"/>
            <w:r w:rsidRPr="004711CF">
              <w:rPr>
                <w:lang w:val="es-ES"/>
              </w:rPr>
              <w:t>, que abarca 16</w:t>
            </w:r>
            <w:r w:rsidR="008C1360">
              <w:rPr>
                <w:lang w:val="es-ES"/>
              </w:rPr>
              <w:t> </w:t>
            </w:r>
            <w:r w:rsidRPr="004711CF">
              <w:rPr>
                <w:lang w:val="es-ES"/>
              </w:rPr>
              <w:t>países (Angola, Botswana, Comoras, República Democrática del Congo, Eswatini, Lesotho, Madagascar, Malawi, Mauricio, Mozambique, Namibia, Seychelles, Sudáfrica, Tanzanía, Zambia</w:t>
            </w:r>
            <w:r w:rsidR="008C1360">
              <w:rPr>
                <w:lang w:val="es-ES"/>
              </w:rPr>
              <w:t xml:space="preserve"> y</w:t>
            </w:r>
            <w:r w:rsidRPr="004711CF">
              <w:rPr>
                <w:lang w:val="es-ES"/>
              </w:rPr>
              <w:t xml:space="preserve"> Zimbabwe) y otro para países africanos de habla inglesa, que abarca</w:t>
            </w:r>
            <w:r w:rsidR="00C24B6D" w:rsidRPr="004711CF">
              <w:rPr>
                <w:lang w:val="es-ES"/>
              </w:rPr>
              <w:t xml:space="preserve"> </w:t>
            </w:r>
            <w:r w:rsidRPr="004711CF">
              <w:rPr>
                <w:lang w:val="es-ES"/>
              </w:rPr>
              <w:t>11</w:t>
            </w:r>
            <w:r w:rsidR="00C24B6D" w:rsidRPr="004711CF">
              <w:rPr>
                <w:lang w:val="es-ES"/>
              </w:rPr>
              <w:t> </w:t>
            </w:r>
            <w:r w:rsidRPr="004711CF">
              <w:rPr>
                <w:lang w:val="es-ES"/>
              </w:rPr>
              <w:t xml:space="preserve">países (Gambia, Ghana, Nigeria, Liberia, Sierra Leona, Kenya, Angola, Guinea Ecuatorial, Guinea, </w:t>
            </w:r>
            <w:r w:rsidR="004C5054" w:rsidRPr="004C5054">
              <w:rPr>
                <w:lang w:val="es-ES"/>
              </w:rPr>
              <w:t>Santo Tomé y Príncipe</w:t>
            </w:r>
            <w:r w:rsidRPr="004711CF">
              <w:rPr>
                <w:lang w:val="es-ES"/>
              </w:rPr>
              <w:t xml:space="preserve"> y Cabo Verde)</w:t>
            </w:r>
            <w:r w:rsidR="00C24B6D" w:rsidRPr="004711CF">
              <w:rPr>
                <w:lang w:val="es-ES"/>
              </w:rPr>
              <w:t>.</w:t>
            </w:r>
          </w:p>
          <w:p w14:paraId="726ACC5B" w14:textId="77777777" w:rsidR="00D412E0" w:rsidRPr="004711CF" w:rsidRDefault="00D412E0" w:rsidP="00CE0D86">
            <w:pPr>
              <w:pStyle w:val="Tabletext"/>
              <w:ind w:left="567"/>
              <w:rPr>
                <w:lang w:val="es-ES"/>
              </w:rPr>
            </w:pPr>
            <w:r w:rsidRPr="004711CF">
              <w:rPr>
                <w:lang w:val="es-ES"/>
              </w:rPr>
              <w:t>Tras el taller PNTE regional, la UIT y la Secretaría de la SADC organizaron un taller sobre implementación del PNTE modelo de la SADC y sensibilización sobre EW4All, que se celebró en Malawi. Este taller, al que asistieron los Estados miembros de la SADC, sirvió de plataforma para que los países evaluasen su nivel de preparación para la puesta en marcha y la implementación del PNTE modelo de la SADC.</w:t>
            </w:r>
          </w:p>
          <w:p w14:paraId="062EAD95" w14:textId="6AA952A1" w:rsidR="00D412E0" w:rsidRPr="00D412E0" w:rsidRDefault="00BB599E" w:rsidP="00C030C5">
            <w:pPr>
              <w:pStyle w:val="Tabletext"/>
              <w:tabs>
                <w:tab w:val="clear" w:pos="284"/>
              </w:tabs>
              <w:ind w:left="567" w:hanging="567"/>
              <w:rPr>
                <w:lang w:val="es-ES"/>
              </w:rPr>
            </w:pPr>
            <w:r w:rsidRPr="00BB599E">
              <w:rPr>
                <w:lang w:val="es-ES"/>
              </w:rPr>
              <w:t>–</w:t>
            </w:r>
            <w:r w:rsidR="00391AFE" w:rsidRPr="00391AFE">
              <w:rPr>
                <w:lang w:val="es-ES"/>
              </w:rPr>
              <w:tab/>
            </w:r>
            <w:r w:rsidR="00D412E0" w:rsidRPr="00D412E0">
              <w:rPr>
                <w:b/>
                <w:bCs/>
                <w:lang w:val="es-ES"/>
              </w:rPr>
              <w:t>Europa:</w:t>
            </w:r>
            <w:r w:rsidR="00D412E0" w:rsidRPr="00D412E0">
              <w:rPr>
                <w:lang w:val="es-ES"/>
              </w:rPr>
              <w:t xml:space="preserve"> el Gobierno de Georgia recibió apoyo de la BDT mediante la formulación de recomendaciones sobre un </w:t>
            </w:r>
            <w:r w:rsidR="009A78D8">
              <w:rPr>
                <w:lang w:val="es-ES"/>
              </w:rPr>
              <w:t>PNTE</w:t>
            </w:r>
            <w:r w:rsidR="00D412E0" w:rsidRPr="00D412E0">
              <w:rPr>
                <w:lang w:val="es-ES"/>
              </w:rPr>
              <w:t>. En el contexto de esta iniciativa, al conjunto de productos se añadió un documento en el que se detalla la solución del servicio de radiodifusión celular para enviar mensajes de alerta, mejorando con ello los marcos de preparación.</w:t>
            </w:r>
          </w:p>
          <w:p w14:paraId="47C5DD9B" w14:textId="3AFC66F4" w:rsidR="00D412E0" w:rsidRPr="00D412E0" w:rsidRDefault="00391AFE" w:rsidP="00C030C5">
            <w:pPr>
              <w:pStyle w:val="Tabletext"/>
              <w:keepNext/>
              <w:keepLines/>
              <w:tabs>
                <w:tab w:val="clear" w:pos="284"/>
              </w:tabs>
              <w:ind w:left="567" w:hanging="567"/>
              <w:rPr>
                <w:b/>
                <w:bCs/>
                <w:lang w:val="es-ES"/>
              </w:rPr>
            </w:pPr>
            <w:r>
              <w:rPr>
                <w:b/>
                <w:bCs/>
                <w:lang w:val="es-ES"/>
              </w:rPr>
              <w:lastRenderedPageBreak/>
              <w:t>III)</w:t>
            </w:r>
            <w:r>
              <w:rPr>
                <w:b/>
                <w:bCs/>
                <w:lang w:val="es-ES"/>
              </w:rPr>
              <w:tab/>
            </w:r>
            <w:r w:rsidR="00D412E0" w:rsidRPr="00D412E0">
              <w:rPr>
                <w:b/>
                <w:bCs/>
                <w:lang w:val="es-ES"/>
              </w:rPr>
              <w:t>Respuesta en caso de catástrofe</w:t>
            </w:r>
          </w:p>
          <w:p w14:paraId="0CD37128" w14:textId="32BB3C81" w:rsidR="00D412E0" w:rsidRPr="00D412E0" w:rsidRDefault="00BB599E" w:rsidP="00BB599E">
            <w:pPr>
              <w:pStyle w:val="Tabletext"/>
              <w:tabs>
                <w:tab w:val="clear" w:pos="284"/>
              </w:tabs>
              <w:ind w:left="567" w:hanging="567"/>
              <w:rPr>
                <w:b/>
                <w:bCs/>
                <w:lang w:val="es-ES"/>
              </w:rPr>
            </w:pPr>
            <w:r w:rsidRPr="00BB599E">
              <w:rPr>
                <w:b/>
                <w:bCs/>
                <w:lang w:val="es-ES"/>
              </w:rPr>
              <w:t>–</w:t>
            </w:r>
            <w:r w:rsidR="00391AFE">
              <w:rPr>
                <w:b/>
                <w:bCs/>
                <w:lang w:val="es-ES"/>
              </w:rPr>
              <w:tab/>
            </w:r>
            <w:r w:rsidR="00D412E0" w:rsidRPr="00D412E0">
              <w:rPr>
                <w:b/>
                <w:bCs/>
                <w:lang w:val="es-ES"/>
              </w:rPr>
              <w:t>Despliegue de equipos de telecomunicaciones</w:t>
            </w:r>
          </w:p>
          <w:p w14:paraId="26A8C9F3" w14:textId="77777777" w:rsidR="00D412E0" w:rsidRPr="00D412E0" w:rsidRDefault="00D412E0" w:rsidP="008E2F46">
            <w:pPr>
              <w:pStyle w:val="Tabletext"/>
              <w:rPr>
                <w:lang w:val="es-ES"/>
              </w:rPr>
            </w:pPr>
            <w:r w:rsidRPr="00D412E0">
              <w:rPr>
                <w:lang w:val="es-ES"/>
              </w:rPr>
              <w:t xml:space="preserve">Después de las catástrofes la BDT continuó su labor de </w:t>
            </w:r>
            <w:r w:rsidRPr="00D412E0">
              <w:rPr>
                <w:b/>
                <w:bCs/>
                <w:lang w:val="es-ES"/>
              </w:rPr>
              <w:t xml:space="preserve">respuesta en caso de catástrofe </w:t>
            </w:r>
            <w:r w:rsidRPr="00D412E0">
              <w:rPr>
                <w:lang w:val="es-ES"/>
              </w:rPr>
              <w:t>y participó en la capacitación de los Estados Miembros para desplegar rápidamente terminales de telecomunicaciones por satélite y coordinar la respuesta nacional después de las catástrofes. Esta ayuda se brindó mediante el posicionamiento estratégico previo de equipos de telecomunicaciones de emergencia por satélite en diversos puntos geográficos a fin de reducir los tiempos de respuesta después de una catástrofe.</w:t>
            </w:r>
          </w:p>
          <w:p w14:paraId="34582E85" w14:textId="77777777" w:rsidR="00D412E0" w:rsidRPr="00D412E0" w:rsidRDefault="00D412E0" w:rsidP="008E2F46">
            <w:pPr>
              <w:pStyle w:val="Tabletext"/>
              <w:rPr>
                <w:lang w:val="es-ES"/>
              </w:rPr>
            </w:pPr>
            <w:r w:rsidRPr="00D412E0">
              <w:rPr>
                <w:lang w:val="es-ES"/>
              </w:rPr>
              <w:t>La BDT ha terminado el posicionamiento previo de equipos de satélite en las siguientes regiones:</w:t>
            </w:r>
          </w:p>
          <w:p w14:paraId="35FD637B" w14:textId="0CDA85E7" w:rsidR="00D412E0" w:rsidRPr="00D412E0" w:rsidRDefault="00391AFE" w:rsidP="0051341D">
            <w:pPr>
              <w:pStyle w:val="Tabletext"/>
              <w:tabs>
                <w:tab w:val="clear" w:pos="284"/>
              </w:tabs>
              <w:rPr>
                <w:lang w:val="es-ES"/>
              </w:rPr>
            </w:pPr>
            <w:r w:rsidRPr="00391AFE">
              <w:rPr>
                <w:lang w:val="es-ES"/>
              </w:rPr>
              <w:t>•</w:t>
            </w:r>
            <w:r>
              <w:rPr>
                <w:lang w:val="es-ES"/>
              </w:rPr>
              <w:tab/>
            </w:r>
            <w:r w:rsidR="00C24B6D">
              <w:rPr>
                <w:lang w:val="es-ES"/>
              </w:rPr>
              <w:t>e</w:t>
            </w:r>
            <w:r w:rsidR="00D412E0" w:rsidRPr="0051341D">
              <w:rPr>
                <w:lang w:val="es-ES"/>
              </w:rPr>
              <w:t>n</w:t>
            </w:r>
            <w:r w:rsidR="00D412E0" w:rsidRPr="00D412E0">
              <w:rPr>
                <w:lang w:val="es-ES"/>
              </w:rPr>
              <w:t xml:space="preserve"> Dubái, para dar cobertura a las regiones de los Estados Árabes, África</w:t>
            </w:r>
            <w:r w:rsidR="0070149F">
              <w:rPr>
                <w:lang w:val="es-ES"/>
              </w:rPr>
              <w:t xml:space="preserve"> y</w:t>
            </w:r>
            <w:r w:rsidR="00D412E0" w:rsidRPr="00D412E0">
              <w:rPr>
                <w:lang w:val="es-ES"/>
              </w:rPr>
              <w:t xml:space="preserve"> Asia</w:t>
            </w:r>
            <w:r w:rsidR="0061116D">
              <w:rPr>
                <w:lang w:val="es-ES"/>
              </w:rPr>
              <w:noBreakHyphen/>
            </w:r>
            <w:r w:rsidR="00D412E0" w:rsidRPr="00D412E0">
              <w:rPr>
                <w:lang w:val="es-ES"/>
              </w:rPr>
              <w:t>Pacífico</w:t>
            </w:r>
            <w:r w:rsidR="00C24B6D">
              <w:rPr>
                <w:lang w:val="es-ES"/>
              </w:rPr>
              <w:t>;</w:t>
            </w:r>
          </w:p>
          <w:p w14:paraId="54DE443E" w14:textId="48F8D461" w:rsidR="00D412E0" w:rsidRPr="00D412E0" w:rsidRDefault="00391AFE" w:rsidP="0051341D">
            <w:pPr>
              <w:pStyle w:val="Tabletext"/>
              <w:tabs>
                <w:tab w:val="clear" w:pos="284"/>
              </w:tabs>
              <w:rPr>
                <w:lang w:val="es-ES"/>
              </w:rPr>
            </w:pPr>
            <w:r w:rsidRPr="00391AFE">
              <w:rPr>
                <w:lang w:val="es-ES"/>
              </w:rPr>
              <w:t>•</w:t>
            </w:r>
            <w:r>
              <w:rPr>
                <w:lang w:val="es-ES"/>
              </w:rPr>
              <w:tab/>
            </w:r>
            <w:r w:rsidR="00C24B6D">
              <w:rPr>
                <w:lang w:val="es-ES"/>
              </w:rPr>
              <w:t>e</w:t>
            </w:r>
            <w:r w:rsidR="00D412E0" w:rsidRPr="0051341D">
              <w:rPr>
                <w:lang w:val="es-ES"/>
              </w:rPr>
              <w:t>n</w:t>
            </w:r>
            <w:r w:rsidR="00D412E0" w:rsidRPr="00D412E0">
              <w:rPr>
                <w:lang w:val="es-ES"/>
              </w:rPr>
              <w:t xml:space="preserve"> Zimbabwe, para dar cobertura a los Estados miembros de la SADC</w:t>
            </w:r>
            <w:r w:rsidR="00C24B6D">
              <w:rPr>
                <w:lang w:val="es-ES"/>
              </w:rPr>
              <w:t>;</w:t>
            </w:r>
          </w:p>
          <w:p w14:paraId="6DECE134" w14:textId="56AA6CB2" w:rsidR="00D412E0" w:rsidRPr="00D412E0" w:rsidRDefault="00391AFE" w:rsidP="0051341D">
            <w:pPr>
              <w:pStyle w:val="Tabletext"/>
              <w:tabs>
                <w:tab w:val="clear" w:pos="284"/>
              </w:tabs>
              <w:rPr>
                <w:lang w:val="es-ES"/>
              </w:rPr>
            </w:pPr>
            <w:r w:rsidRPr="00391AFE">
              <w:rPr>
                <w:lang w:val="es-ES"/>
              </w:rPr>
              <w:t>•</w:t>
            </w:r>
            <w:r>
              <w:rPr>
                <w:lang w:val="es-ES"/>
              </w:rPr>
              <w:tab/>
            </w:r>
            <w:r w:rsidR="00C24B6D">
              <w:rPr>
                <w:lang w:val="es-ES"/>
              </w:rPr>
              <w:t>e</w:t>
            </w:r>
            <w:r w:rsidR="00D412E0" w:rsidRPr="0051341D">
              <w:rPr>
                <w:lang w:val="es-ES"/>
              </w:rPr>
              <w:t>n</w:t>
            </w:r>
            <w:r w:rsidR="00D412E0" w:rsidRPr="00D412E0">
              <w:rPr>
                <w:lang w:val="es-ES"/>
              </w:rPr>
              <w:t xml:space="preserve"> Barbados, para dar cobertura a las regiones de las Américas y el Caribe.</w:t>
            </w:r>
          </w:p>
          <w:p w14:paraId="33886A33" w14:textId="1DA088CA" w:rsidR="00D412E0" w:rsidRPr="00D412E0" w:rsidRDefault="00D412E0" w:rsidP="008E2F46">
            <w:pPr>
              <w:pStyle w:val="Tabletext"/>
              <w:rPr>
                <w:lang w:val="es-ES"/>
              </w:rPr>
            </w:pPr>
            <w:r w:rsidRPr="00D412E0">
              <w:rPr>
                <w:lang w:val="es-ES"/>
              </w:rPr>
              <w:t>Entre mayo de 2024 y abril de 2025 se desplegaron equipos de satélites en:</w:t>
            </w:r>
          </w:p>
          <w:p w14:paraId="135EE5FF" w14:textId="2745194C" w:rsidR="00D412E0" w:rsidRPr="00D412E0" w:rsidRDefault="00391AFE" w:rsidP="0051341D">
            <w:pPr>
              <w:pStyle w:val="Tabletext"/>
              <w:tabs>
                <w:tab w:val="clear" w:pos="284"/>
              </w:tabs>
              <w:rPr>
                <w:lang w:val="es-ES"/>
              </w:rPr>
            </w:pPr>
            <w:r w:rsidRPr="00391AFE">
              <w:rPr>
                <w:lang w:val="es-ES"/>
              </w:rPr>
              <w:t>•</w:t>
            </w:r>
            <w:r>
              <w:rPr>
                <w:lang w:val="es-ES"/>
              </w:rPr>
              <w:tab/>
            </w:r>
            <w:r w:rsidR="00D412E0" w:rsidRPr="00D412E0">
              <w:rPr>
                <w:b/>
                <w:bCs/>
                <w:lang w:val="es-ES"/>
              </w:rPr>
              <w:t>Jamaica</w:t>
            </w:r>
            <w:r w:rsidR="00D412E0" w:rsidRPr="004711CF">
              <w:rPr>
                <w:lang w:val="es-ES"/>
              </w:rPr>
              <w:t xml:space="preserve">, </w:t>
            </w:r>
            <w:r w:rsidR="00D412E0" w:rsidRPr="00D412E0">
              <w:rPr>
                <w:b/>
                <w:bCs/>
                <w:lang w:val="es-ES"/>
              </w:rPr>
              <w:t xml:space="preserve">Granada </w:t>
            </w:r>
            <w:r w:rsidR="00D412E0" w:rsidRPr="00C16A45">
              <w:rPr>
                <w:lang w:val="es-ES"/>
              </w:rPr>
              <w:t>y</w:t>
            </w:r>
            <w:r w:rsidR="00D412E0" w:rsidRPr="00D412E0">
              <w:rPr>
                <w:b/>
                <w:bCs/>
                <w:lang w:val="es-ES"/>
              </w:rPr>
              <w:t xml:space="preserve"> San Vicente y las Granadinas</w:t>
            </w:r>
            <w:r w:rsidR="00D412E0" w:rsidRPr="00D412E0">
              <w:rPr>
                <w:lang w:val="es-ES"/>
              </w:rPr>
              <w:t xml:space="preserve"> en apoyo a las intervenciones tras el paso de huracanes</w:t>
            </w:r>
            <w:r w:rsidR="00C24B6D">
              <w:rPr>
                <w:lang w:val="es-ES"/>
              </w:rPr>
              <w:t>;</w:t>
            </w:r>
          </w:p>
          <w:p w14:paraId="3AAA1558" w14:textId="1F4F44A8" w:rsidR="00D412E0" w:rsidRPr="00D412E0" w:rsidRDefault="00391AFE" w:rsidP="0061116D">
            <w:pPr>
              <w:pStyle w:val="Tabletext"/>
              <w:tabs>
                <w:tab w:val="clear" w:pos="284"/>
              </w:tabs>
              <w:ind w:left="567" w:hanging="567"/>
              <w:rPr>
                <w:lang w:val="es-ES"/>
              </w:rPr>
            </w:pPr>
            <w:r w:rsidRPr="00391AFE">
              <w:rPr>
                <w:lang w:val="es-ES"/>
              </w:rPr>
              <w:t>•</w:t>
            </w:r>
            <w:r>
              <w:rPr>
                <w:lang w:val="es-ES"/>
              </w:rPr>
              <w:tab/>
            </w:r>
            <w:r w:rsidR="00D412E0" w:rsidRPr="00D412E0">
              <w:rPr>
                <w:b/>
                <w:bCs/>
                <w:lang w:val="es-ES"/>
              </w:rPr>
              <w:t>Mozambique</w:t>
            </w:r>
            <w:r w:rsidR="00D412E0" w:rsidRPr="00D412E0">
              <w:rPr>
                <w:lang w:val="es-ES"/>
              </w:rPr>
              <w:t xml:space="preserve"> para </w:t>
            </w:r>
            <w:r w:rsidR="00D412E0" w:rsidRPr="00391AFE">
              <w:rPr>
                <w:lang w:val="es-ES"/>
              </w:rPr>
              <w:t>ayudar</w:t>
            </w:r>
            <w:r w:rsidR="00D412E0" w:rsidRPr="00D412E0">
              <w:rPr>
                <w:lang w:val="es-ES"/>
              </w:rPr>
              <w:t xml:space="preserve"> al Gobierno durante la restauración de su infraestructura terrenal, dañada por el ciclón</w:t>
            </w:r>
            <w:r w:rsidR="00C16A45">
              <w:rPr>
                <w:lang w:val="es-ES"/>
              </w:rPr>
              <w:t> </w:t>
            </w:r>
            <w:r w:rsidR="00D412E0" w:rsidRPr="00D412E0">
              <w:rPr>
                <w:lang w:val="es-ES"/>
              </w:rPr>
              <w:t>Chido.</w:t>
            </w:r>
          </w:p>
          <w:p w14:paraId="2A01A32B" w14:textId="247CD61A" w:rsidR="00D412E0" w:rsidRPr="00D412E0" w:rsidRDefault="00D412E0" w:rsidP="008E2F46">
            <w:pPr>
              <w:pStyle w:val="Tabletext"/>
              <w:rPr>
                <w:lang w:val="es-ES"/>
              </w:rPr>
            </w:pPr>
            <w:r w:rsidRPr="00D412E0">
              <w:rPr>
                <w:lang w:val="es-ES"/>
              </w:rPr>
              <w:t>La</w:t>
            </w:r>
            <w:r w:rsidR="008F3B07">
              <w:rPr>
                <w:lang w:val="es-ES"/>
              </w:rPr>
              <w:t> </w:t>
            </w:r>
            <w:r w:rsidRPr="00D412E0">
              <w:rPr>
                <w:lang w:val="es-ES"/>
              </w:rPr>
              <w:t>BDT también concluye asociaciones para garantizar la mejor capacitación de los Estados Miembros en materia de preparación y respuesta en caso de catástrofe. La</w:t>
            </w:r>
            <w:r w:rsidR="008F3B07">
              <w:rPr>
                <w:lang w:val="es-ES"/>
              </w:rPr>
              <w:t> </w:t>
            </w:r>
            <w:r w:rsidRPr="00D412E0">
              <w:rPr>
                <w:lang w:val="es-ES"/>
              </w:rPr>
              <w:t>BDT colaboró con la GSMA en la organización de un taller sobre el papel de las telecomunicaciones en la preparación, la respuesta y la recuperación en caso de catástrofe en el marco de su programa Carta de Conectividad Humanitaria. En el taller se consideró cómo aumentar la resiliencia a las catástrofes del país gracias a las tecnologías móviles, se actualizó el</w:t>
            </w:r>
            <w:r w:rsidR="0070149F">
              <w:rPr>
                <w:lang w:val="es-ES"/>
              </w:rPr>
              <w:t> </w:t>
            </w:r>
            <w:r w:rsidRPr="00D412E0">
              <w:rPr>
                <w:lang w:val="es-ES"/>
              </w:rPr>
              <w:t>PNTE y se evaluó la eficacia de las estrategias y planes nacionales de utilización de las</w:t>
            </w:r>
            <w:r w:rsidR="0070149F">
              <w:rPr>
                <w:lang w:val="es-ES"/>
              </w:rPr>
              <w:t> </w:t>
            </w:r>
            <w:r w:rsidRPr="00D412E0">
              <w:rPr>
                <w:lang w:val="es-ES"/>
              </w:rPr>
              <w:t>TIC en la reducción del riesgo de catástrofes mediante una simulación teórica.</w:t>
            </w:r>
          </w:p>
          <w:p w14:paraId="1BDD6611" w14:textId="61E320BB" w:rsidR="00D412E0" w:rsidRPr="00D412E0" w:rsidRDefault="00D412E0" w:rsidP="008E2F46">
            <w:pPr>
              <w:pStyle w:val="Tabletext"/>
              <w:rPr>
                <w:lang w:val="es-ES"/>
              </w:rPr>
            </w:pPr>
            <w:r w:rsidRPr="00D412E0">
              <w:rPr>
                <w:lang w:val="es-ES"/>
              </w:rPr>
              <w:t>Como parte de sus recientes esfuerzos de intervención en caso de catástrofe, la</w:t>
            </w:r>
            <w:r w:rsidR="0070149F">
              <w:rPr>
                <w:lang w:val="es-ES"/>
              </w:rPr>
              <w:t> </w:t>
            </w:r>
            <w:r w:rsidRPr="00D412E0">
              <w:rPr>
                <w:lang w:val="es-ES"/>
              </w:rPr>
              <w:t>BDT e Intelsat anunciaron la conclusión de un acuerdo de cooperación destinado a mejorar la preparación y la respuesta en caso de catástrofe gracias a las telecomunicaciones por satélite. En el marco de ese acuerdo, Intelsat donó equipos VSAT portátiles a la UIT y se comprometió a prestar servicios en caso de catástrofe. Intelsat impartió también formación sobre la utilización de esos equipos.</w:t>
            </w:r>
          </w:p>
          <w:p w14:paraId="17A14B8E" w14:textId="163A8ADB" w:rsidR="00D412E0" w:rsidRPr="00391AFE" w:rsidRDefault="0051341D" w:rsidP="0051341D">
            <w:pPr>
              <w:pStyle w:val="Tabletext"/>
              <w:tabs>
                <w:tab w:val="clear" w:pos="284"/>
              </w:tabs>
              <w:ind w:left="567" w:hanging="567"/>
              <w:rPr>
                <w:b/>
                <w:bCs/>
                <w:lang w:val="es-ES"/>
              </w:rPr>
            </w:pPr>
            <w:r w:rsidRPr="0051341D">
              <w:rPr>
                <w:lang w:val="es-ES"/>
              </w:rPr>
              <w:t>–</w:t>
            </w:r>
            <w:r w:rsidR="00391AFE">
              <w:rPr>
                <w:lang w:val="es-ES"/>
              </w:rPr>
              <w:tab/>
            </w:r>
            <w:r w:rsidR="00D412E0" w:rsidRPr="00391AFE">
              <w:rPr>
                <w:b/>
                <w:bCs/>
                <w:lang w:val="es-ES"/>
              </w:rPr>
              <w:t xml:space="preserve">Mapa de </w:t>
            </w:r>
            <w:r w:rsidR="00C16A45" w:rsidRPr="00391AFE">
              <w:rPr>
                <w:b/>
                <w:bCs/>
                <w:lang w:val="es-ES"/>
              </w:rPr>
              <w:t>c</w:t>
            </w:r>
            <w:r w:rsidR="00D412E0" w:rsidRPr="00391AFE">
              <w:rPr>
                <w:b/>
                <w:bCs/>
                <w:lang w:val="es-ES"/>
              </w:rPr>
              <w:t xml:space="preserve">onectividad en caso de </w:t>
            </w:r>
            <w:r w:rsidR="00C16A45" w:rsidRPr="00391AFE">
              <w:rPr>
                <w:b/>
                <w:bCs/>
                <w:lang w:val="es-ES"/>
              </w:rPr>
              <w:t>c</w:t>
            </w:r>
            <w:r w:rsidR="00D412E0" w:rsidRPr="00391AFE">
              <w:rPr>
                <w:b/>
                <w:bCs/>
                <w:lang w:val="es-ES"/>
              </w:rPr>
              <w:t>atástrofe (DCM)</w:t>
            </w:r>
          </w:p>
          <w:p w14:paraId="21DC54F7" w14:textId="66AC8D5F" w:rsidR="00D412E0" w:rsidRPr="00D412E0" w:rsidRDefault="00D412E0" w:rsidP="008F3B07">
            <w:pPr>
              <w:pStyle w:val="Tabletext"/>
              <w:keepNext/>
              <w:keepLines/>
              <w:rPr>
                <w:lang w:val="es-ES"/>
              </w:rPr>
            </w:pPr>
            <w:r w:rsidRPr="00D412E0">
              <w:rPr>
                <w:lang w:val="es-ES"/>
              </w:rPr>
              <w:t>En momentos de emergencia la</w:t>
            </w:r>
            <w:r w:rsidR="0070149F">
              <w:rPr>
                <w:lang w:val="es-ES"/>
              </w:rPr>
              <w:t> </w:t>
            </w:r>
            <w:r w:rsidRPr="00D412E0">
              <w:rPr>
                <w:lang w:val="es-ES"/>
              </w:rPr>
              <w:t>BDT ofrece ayuda para detectar cortes y carencias de conectividad. Creado por la UIT en colaboración con el</w:t>
            </w:r>
            <w:r w:rsidR="0070149F">
              <w:rPr>
                <w:lang w:val="es-ES"/>
              </w:rPr>
              <w:t> </w:t>
            </w:r>
            <w:r w:rsidRPr="00D412E0">
              <w:rPr>
                <w:lang w:val="es-ES"/>
              </w:rPr>
              <w:t>ETC y la GSMA en 2020, el DCM es un mapa dinámico que proporciona información sobre el tipo, el nivel y la calidad de la conectividad disponible sobre el terreno en caso de catástrofe. La UIT gestiona esta herramienta, que controla las carencias de conectividad para informar a los equipos de intervención y facilitar la adopción de decisiones políticas. En él se muestran las zonas que necesitan ayuda para restaurar enlaces de telecomunicaciones vitales para la coordinación eficaz de las actividades de respuesta en el terreno.</w:t>
            </w:r>
          </w:p>
          <w:p w14:paraId="1CB43B0F" w14:textId="1F8E9B57" w:rsidR="00D412E0" w:rsidRPr="00D412E0" w:rsidRDefault="00D412E0" w:rsidP="008E2F46">
            <w:pPr>
              <w:pStyle w:val="Tabletext"/>
              <w:rPr>
                <w:lang w:val="es-ES"/>
              </w:rPr>
            </w:pPr>
            <w:r w:rsidRPr="00D412E0">
              <w:rPr>
                <w:lang w:val="es-ES"/>
              </w:rPr>
              <w:t>En 2024 y 2025 se puso en marcha el DCM para facilitar datos sobre la conectividad en tiempo casi real a:</w:t>
            </w:r>
          </w:p>
          <w:p w14:paraId="494A722F" w14:textId="0ADD6DDF" w:rsidR="00D412E0" w:rsidRPr="00D412E0" w:rsidRDefault="00391AFE" w:rsidP="0051341D">
            <w:pPr>
              <w:pStyle w:val="Tabletext"/>
              <w:tabs>
                <w:tab w:val="clear" w:pos="284"/>
              </w:tabs>
              <w:rPr>
                <w:lang w:val="es-ES"/>
              </w:rPr>
            </w:pPr>
            <w:r w:rsidRPr="00391AFE">
              <w:rPr>
                <w:lang w:val="es-ES"/>
              </w:rPr>
              <w:t>•</w:t>
            </w:r>
            <w:r>
              <w:rPr>
                <w:lang w:val="es-ES"/>
              </w:rPr>
              <w:tab/>
            </w:r>
            <w:r w:rsidR="00D412E0" w:rsidRPr="00D412E0">
              <w:rPr>
                <w:lang w:val="es-ES"/>
              </w:rPr>
              <w:t>Mozambique: 3</w:t>
            </w:r>
            <w:r w:rsidR="00C24B6D">
              <w:rPr>
                <w:lang w:val="es-ES"/>
              </w:rPr>
              <w:noBreakHyphen/>
            </w:r>
            <w:r w:rsidR="00D412E0" w:rsidRPr="00D412E0">
              <w:rPr>
                <w:lang w:val="es-ES"/>
              </w:rPr>
              <w:t>24 de marzo de 2024 (ciclón tropical Chido)</w:t>
            </w:r>
            <w:r w:rsidR="008F3B07">
              <w:rPr>
                <w:lang w:val="es-ES"/>
              </w:rPr>
              <w:t>;</w:t>
            </w:r>
          </w:p>
          <w:p w14:paraId="480B56B5" w14:textId="388B594F" w:rsidR="00D412E0" w:rsidRPr="00D412E0" w:rsidRDefault="00391AFE" w:rsidP="0051341D">
            <w:pPr>
              <w:pStyle w:val="Tabletext"/>
              <w:tabs>
                <w:tab w:val="clear" w:pos="284"/>
              </w:tabs>
              <w:rPr>
                <w:lang w:val="es-ES"/>
              </w:rPr>
            </w:pPr>
            <w:r w:rsidRPr="00391AFE">
              <w:rPr>
                <w:lang w:val="es-ES"/>
              </w:rPr>
              <w:lastRenderedPageBreak/>
              <w:t>•</w:t>
            </w:r>
            <w:r>
              <w:rPr>
                <w:lang w:val="es-ES"/>
              </w:rPr>
              <w:tab/>
            </w:r>
            <w:r w:rsidR="00D412E0" w:rsidRPr="00D412E0">
              <w:rPr>
                <w:lang w:val="es-ES"/>
              </w:rPr>
              <w:t>Madagascar: 26 de marzo – 9 de abril de 2024 (ciclón Gamane)</w:t>
            </w:r>
            <w:r w:rsidR="008F3B07">
              <w:rPr>
                <w:lang w:val="es-ES"/>
              </w:rPr>
              <w:t>;</w:t>
            </w:r>
          </w:p>
          <w:p w14:paraId="760A2B3A" w14:textId="1BC4F496" w:rsidR="00D412E0" w:rsidRPr="00D412E0" w:rsidRDefault="00391AFE" w:rsidP="0051341D">
            <w:pPr>
              <w:pStyle w:val="Tabletext"/>
              <w:tabs>
                <w:tab w:val="clear" w:pos="284"/>
              </w:tabs>
              <w:rPr>
                <w:lang w:val="es-ES"/>
              </w:rPr>
            </w:pPr>
            <w:r w:rsidRPr="00391AFE">
              <w:rPr>
                <w:lang w:val="es-ES"/>
              </w:rPr>
              <w:t>•</w:t>
            </w:r>
            <w:r>
              <w:rPr>
                <w:lang w:val="es-ES"/>
              </w:rPr>
              <w:tab/>
            </w:r>
            <w:r w:rsidR="00D412E0" w:rsidRPr="00D412E0">
              <w:rPr>
                <w:lang w:val="hu"/>
              </w:rPr>
              <w:t>Granada y San Vicente y las Granadinas: junio de 2024</w:t>
            </w:r>
            <w:r w:rsidR="00D412E0" w:rsidRPr="00D412E0">
              <w:rPr>
                <w:lang w:val="es-ES"/>
              </w:rPr>
              <w:t xml:space="preserve"> (huracán Beryl)</w:t>
            </w:r>
            <w:r w:rsidR="008F3B07">
              <w:rPr>
                <w:lang w:val="es-ES"/>
              </w:rPr>
              <w:t>;</w:t>
            </w:r>
          </w:p>
          <w:p w14:paraId="7F29493A" w14:textId="5BA10B80" w:rsidR="00D412E0" w:rsidRPr="00D412E0" w:rsidRDefault="00391AFE" w:rsidP="0051341D">
            <w:pPr>
              <w:pStyle w:val="Tabletext"/>
              <w:tabs>
                <w:tab w:val="clear" w:pos="284"/>
              </w:tabs>
              <w:rPr>
                <w:lang w:val="es-ES"/>
              </w:rPr>
            </w:pPr>
            <w:r w:rsidRPr="00391AFE">
              <w:rPr>
                <w:lang w:val="es-ES"/>
              </w:rPr>
              <w:t>•</w:t>
            </w:r>
            <w:r>
              <w:rPr>
                <w:lang w:val="es-ES"/>
              </w:rPr>
              <w:tab/>
            </w:r>
            <w:r w:rsidR="00D412E0" w:rsidRPr="00D412E0">
              <w:rPr>
                <w:lang w:val="es-ES"/>
              </w:rPr>
              <w:t>Kenya y Tanzan</w:t>
            </w:r>
            <w:r w:rsidR="00152E97">
              <w:rPr>
                <w:lang w:val="es-ES"/>
              </w:rPr>
              <w:t>í</w:t>
            </w:r>
            <w:r w:rsidR="00D412E0" w:rsidRPr="00D412E0">
              <w:rPr>
                <w:lang w:val="es-ES"/>
              </w:rPr>
              <w:t>a: 1 de mayo – 3 de junio (ciclones tropicales Hidaya e Idaly)</w:t>
            </w:r>
            <w:r w:rsidR="008F3B07">
              <w:rPr>
                <w:lang w:val="es-ES"/>
              </w:rPr>
              <w:t>;</w:t>
            </w:r>
          </w:p>
          <w:p w14:paraId="6DEB2B55" w14:textId="4C4306D0" w:rsidR="00D412E0" w:rsidRPr="00D412E0" w:rsidRDefault="00391AFE" w:rsidP="008F3B07">
            <w:pPr>
              <w:pStyle w:val="Tabletext"/>
              <w:tabs>
                <w:tab w:val="clear" w:pos="284"/>
              </w:tabs>
              <w:rPr>
                <w:lang w:val="es-ES"/>
              </w:rPr>
            </w:pPr>
            <w:r w:rsidRPr="00391AFE">
              <w:rPr>
                <w:lang w:val="es-ES"/>
              </w:rPr>
              <w:t>•</w:t>
            </w:r>
            <w:r>
              <w:rPr>
                <w:lang w:val="es-ES"/>
              </w:rPr>
              <w:tab/>
            </w:r>
            <w:r w:rsidR="00D412E0" w:rsidRPr="00D412E0">
              <w:rPr>
                <w:lang w:val="es-ES"/>
              </w:rPr>
              <w:t>Myanmar y Tailandia:</w:t>
            </w:r>
            <w:r w:rsidR="00D412E0" w:rsidRPr="00D412E0">
              <w:rPr>
                <w:lang w:val="hu"/>
              </w:rPr>
              <w:t xml:space="preserve"> 28 de marzo de 2025 (terremoto de magnitud</w:t>
            </w:r>
            <w:r w:rsidR="008F3B07">
              <w:rPr>
                <w:lang w:val="hu"/>
              </w:rPr>
              <w:t> </w:t>
            </w:r>
            <w:r w:rsidR="00D412E0" w:rsidRPr="00D412E0">
              <w:rPr>
                <w:lang w:val="hu"/>
              </w:rPr>
              <w:t>7,7 en Myanmar</w:t>
            </w:r>
            <w:r w:rsidR="00D412E0" w:rsidRPr="00D412E0">
              <w:rPr>
                <w:lang w:val="es-ES"/>
              </w:rPr>
              <w:t>)</w:t>
            </w:r>
            <w:r w:rsidR="008F3B07">
              <w:rPr>
                <w:lang w:val="es-ES"/>
              </w:rPr>
              <w:t>.</w:t>
            </w:r>
          </w:p>
        </w:tc>
        <w:tc>
          <w:tcPr>
            <w:tcW w:w="2999" w:type="dxa"/>
          </w:tcPr>
          <w:p w14:paraId="71EA400E" w14:textId="77777777" w:rsidR="00D412E0" w:rsidRPr="00CE0D86" w:rsidRDefault="00D412E0" w:rsidP="00391AFE">
            <w:pPr>
              <w:pStyle w:val="Tabletext"/>
              <w:rPr>
                <w:b/>
                <w:bCs/>
                <w:color w:val="0070C0"/>
                <w:lang w:val="es-ES"/>
              </w:rPr>
            </w:pPr>
            <w:r w:rsidRPr="00CE0D86">
              <w:rPr>
                <w:b/>
                <w:bCs/>
                <w:color w:val="0070C0"/>
                <w:lang w:val="es-ES"/>
              </w:rPr>
              <w:lastRenderedPageBreak/>
              <w:t>PNTE</w:t>
            </w:r>
          </w:p>
          <w:p w14:paraId="42A853BE" w14:textId="2B964BDB"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Estados Árabes:</w:t>
            </w:r>
            <w:r w:rsidR="00D412E0" w:rsidRPr="00D412E0">
              <w:rPr>
                <w:lang w:val="es-ES"/>
              </w:rPr>
              <w:t xml:space="preserve"> Libia, Mauritania, Comoras y Djibouti</w:t>
            </w:r>
          </w:p>
          <w:p w14:paraId="4EA18733" w14:textId="4B7614C8" w:rsidR="00D412E0" w:rsidRPr="00391AFE" w:rsidRDefault="004C3ECC" w:rsidP="00391AFE">
            <w:pPr>
              <w:pStyle w:val="Tabletext"/>
              <w:rPr>
                <w:lang w:val="es-ES"/>
              </w:rPr>
            </w:pPr>
            <w:r w:rsidRPr="004C3ECC">
              <w:rPr>
                <w:lang w:val="es-ES"/>
              </w:rPr>
              <w:t>–</w:t>
            </w:r>
            <w:r w:rsidR="00391AFE" w:rsidRPr="00391AFE">
              <w:rPr>
                <w:lang w:val="es-ES"/>
              </w:rPr>
              <w:tab/>
            </w:r>
            <w:r w:rsidR="00D412E0" w:rsidRPr="00391AFE">
              <w:rPr>
                <w:b/>
                <w:bCs/>
                <w:lang w:val="es-ES"/>
              </w:rPr>
              <w:t>Asia-Pacífico:</w:t>
            </w:r>
            <w:r w:rsidR="00D412E0" w:rsidRPr="00391AFE">
              <w:rPr>
                <w:lang w:val="es-ES"/>
              </w:rPr>
              <w:t xml:space="preserve"> Tuvalu</w:t>
            </w:r>
          </w:p>
          <w:p w14:paraId="25CC8DF0" w14:textId="28331CA8"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Europa:</w:t>
            </w:r>
            <w:r w:rsidR="00D412E0" w:rsidRPr="00D412E0">
              <w:rPr>
                <w:lang w:val="es-ES"/>
              </w:rPr>
              <w:t xml:space="preserve"> países de los Balcanes Occidentales</w:t>
            </w:r>
          </w:p>
          <w:p w14:paraId="336E04EF" w14:textId="0F71C0C8"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África:</w:t>
            </w:r>
            <w:r w:rsidR="00D412E0" w:rsidRPr="00D412E0">
              <w:rPr>
                <w:lang w:val="es-ES"/>
              </w:rPr>
              <w:t xml:space="preserve"> SADC y países de África Occidental</w:t>
            </w:r>
          </w:p>
          <w:p w14:paraId="482676CE" w14:textId="0AE61F59" w:rsidR="00D412E0" w:rsidRPr="00391AFE" w:rsidRDefault="00D412E0" w:rsidP="00391AFE">
            <w:pPr>
              <w:pStyle w:val="Tabletext"/>
              <w:rPr>
                <w:b/>
                <w:bCs/>
                <w:lang w:val="es-ES"/>
              </w:rPr>
            </w:pPr>
            <w:r w:rsidRPr="00CE0D86">
              <w:rPr>
                <w:b/>
                <w:bCs/>
                <w:color w:val="0070C0"/>
                <w:lang w:val="es-ES"/>
              </w:rPr>
              <w:t>EW4ALL</w:t>
            </w:r>
          </w:p>
          <w:p w14:paraId="06A897F4" w14:textId="15D56EF3"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África:</w:t>
            </w:r>
            <w:r w:rsidR="00D412E0" w:rsidRPr="00D412E0">
              <w:rPr>
                <w:lang w:val="es-ES"/>
              </w:rPr>
              <w:t xml:space="preserve"> Liberia, Seychelles, Mozambique, Tanzanía</w:t>
            </w:r>
            <w:r w:rsidR="00C77552">
              <w:rPr>
                <w:lang w:val="es-ES"/>
              </w:rPr>
              <w:t xml:space="preserve"> y</w:t>
            </w:r>
            <w:r w:rsidR="00D412E0" w:rsidRPr="00D412E0">
              <w:rPr>
                <w:lang w:val="es-ES"/>
              </w:rPr>
              <w:t xml:space="preserve"> Uganda</w:t>
            </w:r>
          </w:p>
          <w:p w14:paraId="0CDA1A53" w14:textId="05158150" w:rsidR="00D412E0" w:rsidRPr="00391AFE" w:rsidRDefault="004C3ECC" w:rsidP="00391AFE">
            <w:pPr>
              <w:pStyle w:val="Tabletext"/>
              <w:rPr>
                <w:lang w:val="es-ES"/>
              </w:rPr>
            </w:pPr>
            <w:r w:rsidRPr="004C3ECC">
              <w:rPr>
                <w:lang w:val="es-ES"/>
              </w:rPr>
              <w:t>–</w:t>
            </w:r>
            <w:r w:rsidR="00391AFE">
              <w:rPr>
                <w:lang w:val="es-ES"/>
              </w:rPr>
              <w:tab/>
            </w:r>
            <w:r w:rsidR="00D412E0" w:rsidRPr="00391AFE">
              <w:rPr>
                <w:b/>
                <w:bCs/>
                <w:lang w:val="es-ES"/>
              </w:rPr>
              <w:t>Américas</w:t>
            </w:r>
          </w:p>
          <w:p w14:paraId="26309BD9" w14:textId="3CFC3A6A"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Asia-Pacífico:</w:t>
            </w:r>
            <w:r w:rsidR="00D412E0" w:rsidRPr="00D412E0">
              <w:rPr>
                <w:lang w:val="es-ES"/>
              </w:rPr>
              <w:t xml:space="preserve"> Bangladesh, Camboya, Fiji, R.D.P. Lao, Maldivas, Nepal</w:t>
            </w:r>
            <w:r w:rsidR="00C77552">
              <w:rPr>
                <w:lang w:val="es-ES"/>
              </w:rPr>
              <w:t xml:space="preserve"> y</w:t>
            </w:r>
            <w:r w:rsidR="00D412E0" w:rsidRPr="00D412E0">
              <w:rPr>
                <w:lang w:val="es-ES"/>
              </w:rPr>
              <w:t xml:space="preserve"> Tuvalu</w:t>
            </w:r>
          </w:p>
          <w:p w14:paraId="31D7A86D" w14:textId="7D7CD386" w:rsidR="00D412E0" w:rsidRPr="00391AFE" w:rsidRDefault="004C3ECC" w:rsidP="00391AFE">
            <w:pPr>
              <w:pStyle w:val="Tabletext"/>
              <w:rPr>
                <w:lang w:val="es-ES"/>
              </w:rPr>
            </w:pPr>
            <w:r w:rsidRPr="004C3ECC">
              <w:rPr>
                <w:lang w:val="es-ES"/>
              </w:rPr>
              <w:t>–</w:t>
            </w:r>
            <w:r w:rsidR="00391AFE">
              <w:rPr>
                <w:lang w:val="es-ES"/>
              </w:rPr>
              <w:tab/>
            </w:r>
            <w:r w:rsidR="00D412E0" w:rsidRPr="00391AFE">
              <w:rPr>
                <w:b/>
                <w:bCs/>
                <w:lang w:val="es-ES"/>
              </w:rPr>
              <w:t>Estados Árabes:</w:t>
            </w:r>
            <w:r w:rsidR="00D412E0" w:rsidRPr="00391AFE">
              <w:rPr>
                <w:lang w:val="es-ES"/>
              </w:rPr>
              <w:t xml:space="preserve"> Somalia</w:t>
            </w:r>
          </w:p>
          <w:p w14:paraId="39653A36" w14:textId="7AF95E96" w:rsidR="00D412E0" w:rsidRPr="00391AFE" w:rsidRDefault="004C3ECC" w:rsidP="00391AFE">
            <w:pPr>
              <w:pStyle w:val="Tabletext"/>
              <w:rPr>
                <w:lang w:val="es-ES"/>
              </w:rPr>
            </w:pPr>
            <w:r w:rsidRPr="004C3ECC">
              <w:rPr>
                <w:lang w:val="es-ES"/>
              </w:rPr>
              <w:t>–</w:t>
            </w:r>
            <w:r w:rsidR="00391AFE">
              <w:rPr>
                <w:lang w:val="es-ES"/>
              </w:rPr>
              <w:tab/>
            </w:r>
            <w:r w:rsidR="00D412E0" w:rsidRPr="00391AFE">
              <w:rPr>
                <w:b/>
                <w:bCs/>
                <w:lang w:val="es-ES"/>
              </w:rPr>
              <w:t>CEI:</w:t>
            </w:r>
            <w:r w:rsidR="00D412E0" w:rsidRPr="00391AFE">
              <w:rPr>
                <w:lang w:val="es-ES"/>
              </w:rPr>
              <w:t xml:space="preserve"> Tayikistán</w:t>
            </w:r>
          </w:p>
          <w:p w14:paraId="1CF811C5" w14:textId="4160F144" w:rsidR="00D412E0" w:rsidRPr="00391AFE" w:rsidRDefault="00D412E0" w:rsidP="00391AFE">
            <w:pPr>
              <w:pStyle w:val="Tabletext"/>
              <w:rPr>
                <w:b/>
                <w:bCs/>
                <w:lang w:val="es-ES"/>
              </w:rPr>
            </w:pPr>
            <w:r w:rsidRPr="00CE0D86">
              <w:rPr>
                <w:b/>
                <w:bCs/>
                <w:color w:val="0070C0"/>
                <w:lang w:val="es-ES"/>
              </w:rPr>
              <w:t>Equipos desplegados</w:t>
            </w:r>
          </w:p>
          <w:p w14:paraId="73CE6870" w14:textId="52AF1A72"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África:</w:t>
            </w:r>
            <w:r w:rsidR="00D412E0" w:rsidRPr="00D412E0">
              <w:rPr>
                <w:lang w:val="es-ES"/>
              </w:rPr>
              <w:t xml:space="preserve"> Zimbabwe (concentrador para los países de la SADC)</w:t>
            </w:r>
          </w:p>
          <w:p w14:paraId="50898187" w14:textId="32BFA945" w:rsidR="00D412E0" w:rsidRPr="00D412E0" w:rsidRDefault="004C3ECC" w:rsidP="00391AFE">
            <w:pPr>
              <w:pStyle w:val="Tabletext"/>
              <w:ind w:left="284" w:hanging="284"/>
              <w:rPr>
                <w:lang w:val="es-ES"/>
              </w:rPr>
            </w:pPr>
            <w:r w:rsidRPr="004C3ECC">
              <w:rPr>
                <w:lang w:val="es-ES"/>
              </w:rPr>
              <w:lastRenderedPageBreak/>
              <w:t>–</w:t>
            </w:r>
            <w:r w:rsidR="00391AFE">
              <w:rPr>
                <w:lang w:val="es-ES"/>
              </w:rPr>
              <w:tab/>
            </w:r>
            <w:r w:rsidR="00D412E0" w:rsidRPr="00391AFE">
              <w:rPr>
                <w:b/>
                <w:bCs/>
                <w:lang w:val="es-ES"/>
              </w:rPr>
              <w:t>Américas:</w:t>
            </w:r>
            <w:r w:rsidR="00D412E0" w:rsidRPr="00D412E0">
              <w:rPr>
                <w:lang w:val="es-ES"/>
              </w:rPr>
              <w:t xml:space="preserve"> Barbados (cobertura a la región del Caribe)</w:t>
            </w:r>
            <w:r w:rsidR="00C77552">
              <w:rPr>
                <w:lang w:val="es-ES"/>
              </w:rPr>
              <w:t xml:space="preserve"> y</w:t>
            </w:r>
            <w:r w:rsidR="00D412E0" w:rsidRPr="00D412E0">
              <w:rPr>
                <w:lang w:val="es-ES"/>
              </w:rPr>
              <w:t xml:space="preserve"> Granada</w:t>
            </w:r>
          </w:p>
          <w:p w14:paraId="463B0729" w14:textId="405642DB" w:rsidR="00D412E0" w:rsidRPr="00D412E0" w:rsidRDefault="004C3ECC" w:rsidP="00391AFE">
            <w:pPr>
              <w:pStyle w:val="Tabletext"/>
              <w:ind w:left="284" w:hanging="284"/>
              <w:rPr>
                <w:lang w:val="es-ES"/>
              </w:rPr>
            </w:pPr>
            <w:r w:rsidRPr="004C3ECC">
              <w:rPr>
                <w:lang w:val="es-ES"/>
              </w:rPr>
              <w:t>–</w:t>
            </w:r>
            <w:r w:rsidR="00391AFE">
              <w:rPr>
                <w:lang w:val="es-ES"/>
              </w:rPr>
              <w:tab/>
            </w:r>
            <w:r w:rsidR="00D412E0" w:rsidRPr="00391AFE">
              <w:rPr>
                <w:b/>
                <w:bCs/>
                <w:lang w:val="es-ES"/>
              </w:rPr>
              <w:t>Estados Árabes:</w:t>
            </w:r>
            <w:r w:rsidR="00D412E0" w:rsidRPr="00D412E0">
              <w:rPr>
                <w:lang w:val="es-ES"/>
              </w:rPr>
              <w:t xml:space="preserve"> Dubái (cobertura a Estados Árabes, África</w:t>
            </w:r>
            <w:r w:rsidR="00C77552">
              <w:rPr>
                <w:lang w:val="es-ES"/>
              </w:rPr>
              <w:t xml:space="preserve"> y</w:t>
            </w:r>
            <w:r w:rsidR="00D412E0" w:rsidRPr="00D412E0">
              <w:rPr>
                <w:lang w:val="es-ES"/>
              </w:rPr>
              <w:t xml:space="preserve"> Asia</w:t>
            </w:r>
            <w:r w:rsidR="0061116D">
              <w:rPr>
                <w:lang w:val="es-ES"/>
              </w:rPr>
              <w:noBreakHyphen/>
            </w:r>
            <w:r w:rsidR="00D412E0" w:rsidRPr="00D412E0">
              <w:rPr>
                <w:lang w:val="es-ES"/>
              </w:rPr>
              <w:t>Pacífico)</w:t>
            </w:r>
          </w:p>
          <w:p w14:paraId="366BCA45" w14:textId="30BC4E6B" w:rsidR="00D412E0" w:rsidRPr="00CE1459" w:rsidRDefault="005F4E06" w:rsidP="00391AFE">
            <w:pPr>
              <w:pStyle w:val="Tabletext"/>
              <w:rPr>
                <w:b/>
                <w:bCs/>
                <w:color w:val="0070C0"/>
                <w:lang w:val="es-ES"/>
              </w:rPr>
            </w:pPr>
            <w:r>
              <w:rPr>
                <w:b/>
                <w:bCs/>
                <w:color w:val="0070C0"/>
                <w:lang w:val="es-ES"/>
              </w:rPr>
              <w:t>Países menos adelantados (</w:t>
            </w:r>
            <w:r w:rsidR="00D412E0" w:rsidRPr="00CE1459">
              <w:rPr>
                <w:b/>
                <w:bCs/>
                <w:color w:val="0070C0"/>
                <w:lang w:val="es-ES"/>
              </w:rPr>
              <w:t>PMA</w:t>
            </w:r>
            <w:r>
              <w:rPr>
                <w:b/>
                <w:bCs/>
                <w:color w:val="0070C0"/>
                <w:lang w:val="es-ES"/>
              </w:rPr>
              <w:t>)</w:t>
            </w:r>
            <w:r w:rsidR="00D412E0" w:rsidRPr="00CE1459">
              <w:rPr>
                <w:b/>
                <w:bCs/>
                <w:color w:val="0070C0"/>
                <w:lang w:val="es-ES"/>
              </w:rPr>
              <w:t>/</w:t>
            </w:r>
            <w:r w:rsidRPr="005F4E06">
              <w:rPr>
                <w:b/>
                <w:bCs/>
                <w:color w:val="0070C0"/>
                <w:lang w:val="es-ES"/>
              </w:rPr>
              <w:t>países en desarrollo sin litoral</w:t>
            </w:r>
            <w:r>
              <w:rPr>
                <w:b/>
                <w:bCs/>
                <w:color w:val="0070C0"/>
                <w:lang w:val="es-ES"/>
              </w:rPr>
              <w:t xml:space="preserve"> (</w:t>
            </w:r>
            <w:r w:rsidR="00D412E0" w:rsidRPr="00CE1459">
              <w:rPr>
                <w:b/>
                <w:bCs/>
                <w:color w:val="0070C0"/>
                <w:lang w:val="es-ES"/>
              </w:rPr>
              <w:t>PDSL</w:t>
            </w:r>
            <w:r>
              <w:rPr>
                <w:b/>
                <w:bCs/>
                <w:color w:val="0070C0"/>
                <w:lang w:val="es-ES"/>
              </w:rPr>
              <w:t>)</w:t>
            </w:r>
            <w:r w:rsidR="00D412E0" w:rsidRPr="00CE1459">
              <w:rPr>
                <w:b/>
                <w:bCs/>
                <w:color w:val="0070C0"/>
                <w:lang w:val="es-ES"/>
              </w:rPr>
              <w:t xml:space="preserve"> y </w:t>
            </w:r>
            <w:r w:rsidRPr="005F4E06">
              <w:rPr>
                <w:b/>
                <w:bCs/>
                <w:color w:val="0070C0"/>
                <w:lang w:val="es-ES"/>
              </w:rPr>
              <w:t>pequeños Estados insulares en desarrollo</w:t>
            </w:r>
            <w:r w:rsidRPr="005F4E06">
              <w:rPr>
                <w:b/>
                <w:bCs/>
                <w:color w:val="0070C0"/>
                <w:lang w:val="es-ES"/>
              </w:rPr>
              <w:t xml:space="preserve"> </w:t>
            </w:r>
            <w:r>
              <w:rPr>
                <w:b/>
                <w:bCs/>
                <w:color w:val="0070C0"/>
                <w:lang w:val="es-ES"/>
              </w:rPr>
              <w:t>(</w:t>
            </w:r>
            <w:r w:rsidR="00D412E0" w:rsidRPr="00CE1459">
              <w:rPr>
                <w:b/>
                <w:bCs/>
                <w:color w:val="0070C0"/>
                <w:lang w:val="es-ES"/>
              </w:rPr>
              <w:t>PEID</w:t>
            </w:r>
            <w:r>
              <w:rPr>
                <w:b/>
                <w:bCs/>
                <w:color w:val="0070C0"/>
                <w:lang w:val="es-ES"/>
              </w:rPr>
              <w:t>)</w:t>
            </w:r>
            <w:r w:rsidR="00D412E0" w:rsidRPr="00CE1459">
              <w:rPr>
                <w:b/>
                <w:bCs/>
                <w:color w:val="0070C0"/>
                <w:lang w:val="es-ES"/>
              </w:rPr>
              <w:t xml:space="preserve"> implicados/asistidos – Conectividad asequible</w:t>
            </w:r>
          </w:p>
          <w:p w14:paraId="603B7E99" w14:textId="55BA2E96" w:rsidR="00D412E0" w:rsidRPr="00D412E0" w:rsidRDefault="00D412E0" w:rsidP="00391AFE">
            <w:pPr>
              <w:pStyle w:val="Tabletext"/>
              <w:rPr>
                <w:lang w:val="es-ES"/>
              </w:rPr>
            </w:pPr>
            <w:r w:rsidRPr="00391AFE">
              <w:rPr>
                <w:b/>
                <w:bCs/>
                <w:lang w:val="es-ES"/>
              </w:rPr>
              <w:t>46</w:t>
            </w:r>
            <w:r w:rsidR="0061116D">
              <w:rPr>
                <w:b/>
                <w:bCs/>
                <w:lang w:val="es-ES"/>
              </w:rPr>
              <w:t> </w:t>
            </w:r>
            <w:r w:rsidRPr="00391AFE">
              <w:rPr>
                <w:b/>
                <w:bCs/>
                <w:lang w:val="es-ES"/>
              </w:rPr>
              <w:t>PMA, PDSL y PEID</w:t>
            </w:r>
            <w:r w:rsidRPr="00D412E0">
              <w:rPr>
                <w:lang w:val="es-ES"/>
              </w:rPr>
              <w:t>, de los cuales 27</w:t>
            </w:r>
            <w:r w:rsidR="0061116D">
              <w:rPr>
                <w:lang w:val="es-ES"/>
              </w:rPr>
              <w:t> </w:t>
            </w:r>
            <w:r w:rsidRPr="00D412E0">
              <w:rPr>
                <w:lang w:val="es-ES"/>
              </w:rPr>
              <w:t>recibieron asistencia técnica</w:t>
            </w:r>
            <w:r w:rsidR="0021193B">
              <w:rPr>
                <w:lang w:val="es-ES"/>
              </w:rPr>
              <w:t>:</w:t>
            </w:r>
          </w:p>
          <w:p w14:paraId="01B93E43" w14:textId="3B91951F" w:rsidR="00C77552" w:rsidRDefault="004C3ECC" w:rsidP="00391AFE">
            <w:pPr>
              <w:pStyle w:val="Tabletext"/>
              <w:ind w:left="284" w:hanging="284"/>
              <w:rPr>
                <w:lang w:val="es-ES"/>
              </w:rPr>
            </w:pPr>
            <w:r w:rsidRPr="004C3ECC">
              <w:rPr>
                <w:lang w:val="es-ES"/>
              </w:rPr>
              <w:t>–</w:t>
            </w:r>
            <w:r w:rsidR="0021193B">
              <w:rPr>
                <w:lang w:val="es-ES"/>
              </w:rPr>
              <w:tab/>
              <w:t>s</w:t>
            </w:r>
            <w:r w:rsidR="00D412E0" w:rsidRPr="00D412E0">
              <w:rPr>
                <w:lang w:val="es-ES"/>
              </w:rPr>
              <w:t>e elaboraron 26</w:t>
            </w:r>
            <w:r w:rsidR="0061116D">
              <w:rPr>
                <w:lang w:val="es-ES"/>
              </w:rPr>
              <w:t> </w:t>
            </w:r>
            <w:r w:rsidR="00D412E0" w:rsidRPr="00D412E0">
              <w:rPr>
                <w:lang w:val="es-ES"/>
              </w:rPr>
              <w:t>marcos políticos y documentos</w:t>
            </w:r>
            <w:r w:rsidR="0021193B">
              <w:rPr>
                <w:lang w:val="es-ES"/>
              </w:rPr>
              <w:t>;</w:t>
            </w:r>
            <w:r w:rsidR="00C77552">
              <w:rPr>
                <w:lang w:val="es-ES"/>
              </w:rPr>
              <w:t xml:space="preserve"> y</w:t>
            </w:r>
          </w:p>
          <w:p w14:paraId="469E14A9" w14:textId="74109D10" w:rsidR="00D412E0" w:rsidRPr="00D412E0" w:rsidRDefault="004C3ECC" w:rsidP="00391AFE">
            <w:pPr>
              <w:pStyle w:val="Tabletext"/>
              <w:ind w:left="284" w:hanging="284"/>
              <w:rPr>
                <w:lang w:val="es-ES"/>
              </w:rPr>
            </w:pPr>
            <w:r w:rsidRPr="004C3ECC">
              <w:rPr>
                <w:lang w:val="es-ES"/>
              </w:rPr>
              <w:t>–</w:t>
            </w:r>
            <w:r w:rsidR="0021193B">
              <w:rPr>
                <w:lang w:val="es-ES"/>
              </w:rPr>
              <w:tab/>
            </w:r>
            <w:r w:rsidR="00D412E0" w:rsidRPr="00D412E0">
              <w:rPr>
                <w:lang w:val="es-ES"/>
              </w:rPr>
              <w:t xml:space="preserve">se prestó asistencia a </w:t>
            </w:r>
            <w:r w:rsidR="0061116D">
              <w:rPr>
                <w:lang w:val="es-ES"/>
              </w:rPr>
              <w:t>seis</w:t>
            </w:r>
            <w:r w:rsidR="00391AFE">
              <w:rPr>
                <w:lang w:val="es-ES"/>
              </w:rPr>
              <w:t> </w:t>
            </w:r>
            <w:r w:rsidR="00D412E0" w:rsidRPr="00D412E0">
              <w:rPr>
                <w:lang w:val="es-ES"/>
              </w:rPr>
              <w:t xml:space="preserve">países con datos y estadísticas. </w:t>
            </w:r>
            <w:r w:rsidR="0061116D" w:rsidRPr="00FD2021">
              <w:rPr>
                <w:b/>
                <w:bCs/>
                <w:lang w:val="es-ES"/>
              </w:rPr>
              <w:t>Cuatro</w:t>
            </w:r>
            <w:r w:rsidR="00D412E0" w:rsidRPr="00FD2021">
              <w:rPr>
                <w:b/>
                <w:bCs/>
                <w:lang w:val="es-ES"/>
              </w:rPr>
              <w:t xml:space="preserve"> proyectos del área temática Conectividad asequible están en curso</w:t>
            </w:r>
            <w:r w:rsidR="0021193B">
              <w:rPr>
                <w:b/>
                <w:bCs/>
                <w:lang w:val="es-ES"/>
              </w:rPr>
              <w:t>.</w:t>
            </w:r>
          </w:p>
        </w:tc>
      </w:tr>
      <w:tr w:rsidR="00D412E0" w:rsidRPr="002F5AC1" w14:paraId="6091770B" w14:textId="77777777" w:rsidTr="004711CF">
        <w:trPr>
          <w:jc w:val="center"/>
        </w:trPr>
        <w:tc>
          <w:tcPr>
            <w:tcW w:w="14556" w:type="dxa"/>
            <w:gridSpan w:val="3"/>
            <w:shd w:val="clear" w:color="auto" w:fill="E5DFEC"/>
          </w:tcPr>
          <w:p w14:paraId="35CE991B" w14:textId="036CA949" w:rsidR="00D412E0" w:rsidRPr="006D1283" w:rsidRDefault="00D412E0" w:rsidP="00391AFE">
            <w:pPr>
              <w:pStyle w:val="Tabletext"/>
              <w:rPr>
                <w:b/>
                <w:bCs/>
                <w:color w:val="1F497D"/>
                <w:lang w:val="es-ES"/>
              </w:rPr>
            </w:pPr>
            <w:bookmarkStart w:id="9" w:name="_Hlk162438207"/>
            <w:r w:rsidRPr="006D1283">
              <w:rPr>
                <w:b/>
                <w:bCs/>
                <w:color w:val="1F497D"/>
                <w:lang w:val="es-ES"/>
              </w:rPr>
              <w:lastRenderedPageBreak/>
              <w:t>Infraestructura digital y de red</w:t>
            </w:r>
          </w:p>
          <w:p w14:paraId="51D48224" w14:textId="589B8EF6" w:rsidR="00D412E0" w:rsidRPr="00D412E0" w:rsidRDefault="00D412E0" w:rsidP="00391AFE">
            <w:pPr>
              <w:pStyle w:val="Tabletext"/>
              <w:rPr>
                <w:lang w:val="es-ES"/>
              </w:rPr>
            </w:pPr>
            <w:r w:rsidRPr="00391AFE">
              <w:rPr>
                <w:b/>
                <w:bCs/>
                <w:i/>
                <w:iCs/>
                <w:lang w:val="es-ES"/>
              </w:rPr>
              <w:t>Realización:</w:t>
            </w:r>
            <w:r w:rsidRPr="00D412E0">
              <w:rPr>
                <w:i/>
                <w:iCs/>
                <w:lang w:val="es-ES"/>
              </w:rPr>
              <w:t xml:space="preserve"> Mejora de la infraestructura y los servicios de telecomunicaciones/TIC, en particular la cobertura de la banda ancha</w:t>
            </w:r>
            <w:r w:rsidR="00A20ED8">
              <w:rPr>
                <w:i/>
                <w:iCs/>
                <w:lang w:val="es-ES"/>
              </w:rPr>
              <w:t>.</w:t>
            </w:r>
          </w:p>
        </w:tc>
      </w:tr>
      <w:bookmarkEnd w:id="9"/>
      <w:tr w:rsidR="00E7494F" w:rsidRPr="00E7494F" w14:paraId="3AB95B1F" w14:textId="77777777" w:rsidTr="004711CF">
        <w:trPr>
          <w:jc w:val="center"/>
        </w:trPr>
        <w:tc>
          <w:tcPr>
            <w:tcW w:w="11557" w:type="dxa"/>
            <w:gridSpan w:val="2"/>
            <w:tcBorders>
              <w:bottom w:val="dotted" w:sz="4" w:space="0" w:color="0070C0"/>
            </w:tcBorders>
          </w:tcPr>
          <w:p w14:paraId="4790C447" w14:textId="77777777" w:rsidR="00D412E0" w:rsidRPr="00E7494F" w:rsidDel="00CC7F87" w:rsidRDefault="00D412E0" w:rsidP="00391AFE">
            <w:pPr>
              <w:pStyle w:val="Tablehead"/>
              <w:rPr>
                <w:color w:val="0070C0"/>
                <w:lang w:val="es-ES"/>
              </w:rPr>
            </w:pPr>
            <w:r w:rsidRPr="00E7494F">
              <w:rPr>
                <w:color w:val="0070C0"/>
                <w:lang w:val="es-ES"/>
              </w:rPr>
              <w:t>Productos</w:t>
            </w:r>
          </w:p>
        </w:tc>
        <w:tc>
          <w:tcPr>
            <w:tcW w:w="2999" w:type="dxa"/>
          </w:tcPr>
          <w:p w14:paraId="17C6A51F" w14:textId="77777777" w:rsidR="00D412E0" w:rsidRPr="00E7494F" w:rsidRDefault="00D412E0" w:rsidP="00391AFE">
            <w:pPr>
              <w:pStyle w:val="Tablehead"/>
              <w:rPr>
                <w:color w:val="0070C0"/>
                <w:lang w:val="es-ES"/>
              </w:rPr>
            </w:pPr>
            <w:r w:rsidRPr="00E7494F">
              <w:rPr>
                <w:color w:val="0070C0"/>
                <w:lang w:val="es-ES"/>
              </w:rPr>
              <w:t>Datos destacados</w:t>
            </w:r>
          </w:p>
        </w:tc>
      </w:tr>
      <w:tr w:rsidR="0061116D" w:rsidRPr="002F5AC1" w14:paraId="7969E604" w14:textId="77777777" w:rsidTr="004711CF">
        <w:trPr>
          <w:jc w:val="center"/>
        </w:trPr>
        <w:tc>
          <w:tcPr>
            <w:tcW w:w="11557" w:type="dxa"/>
            <w:gridSpan w:val="2"/>
          </w:tcPr>
          <w:p w14:paraId="73E98B53" w14:textId="10F0C1FB" w:rsidR="00D412E0" w:rsidRPr="00D412E0" w:rsidRDefault="00D412E0" w:rsidP="008E2F46">
            <w:pPr>
              <w:pStyle w:val="Tabletext"/>
              <w:rPr>
                <w:lang w:val="es-ES"/>
              </w:rPr>
            </w:pPr>
            <w:r w:rsidRPr="00D412E0">
              <w:rPr>
                <w:lang w:val="es-ES"/>
              </w:rPr>
              <w:t xml:space="preserve">Gracias a la cartografía y el análisis de infraestructuras, la BDT ha efectuado importantes contribuciones en todas las regiones, que han dado lugar a un mejor reconocimiento de las deficiencias de las infraestructuras de TIC </w:t>
            </w:r>
            <w:r w:rsidRPr="00D412E0">
              <w:rPr>
                <w:b/>
                <w:bCs/>
                <w:lang w:val="es-ES"/>
              </w:rPr>
              <w:t>en más de 25</w:t>
            </w:r>
            <w:r w:rsidR="0061116D">
              <w:rPr>
                <w:b/>
                <w:bCs/>
                <w:lang w:val="es-ES"/>
              </w:rPr>
              <w:t> </w:t>
            </w:r>
            <w:r w:rsidRPr="00D412E0">
              <w:rPr>
                <w:b/>
                <w:bCs/>
                <w:lang w:val="es-ES"/>
              </w:rPr>
              <w:t>países de todas las regiones, lo que a su vez permite tomar mejores decisiones en cuanto a la cobertura de banda ancha y resiliencia</w:t>
            </w:r>
            <w:r w:rsidRPr="00D412E0">
              <w:rPr>
                <w:lang w:val="es-ES"/>
              </w:rPr>
              <w:t>. Se han emprendido iniciativas de investigación, recopilación y procesamiento de datos relativos a las infraestructuras de TIC en las regiones de África, las Américas, los Estados Árabes, Asia</w:t>
            </w:r>
            <w:r w:rsidR="00E16C6B">
              <w:rPr>
                <w:lang w:val="es-ES"/>
              </w:rPr>
              <w:noBreakHyphen/>
            </w:r>
            <w:r w:rsidRPr="00D412E0">
              <w:rPr>
                <w:lang w:val="es-ES"/>
              </w:rPr>
              <w:t>Pacífico y la CEI.</w:t>
            </w:r>
          </w:p>
          <w:p w14:paraId="6192F1E7" w14:textId="5777DEF3" w:rsidR="00D412E0" w:rsidRPr="00152E97" w:rsidRDefault="00D412E0" w:rsidP="008E2F46">
            <w:pPr>
              <w:pStyle w:val="Tabletext"/>
              <w:rPr>
                <w:lang w:val="es-ES"/>
              </w:rPr>
            </w:pPr>
            <w:r w:rsidRPr="00D412E0">
              <w:rPr>
                <w:lang w:val="es-ES"/>
              </w:rPr>
              <w:t xml:space="preserve">Se han presentado a los Estados Miembros análisis de la conectividad y las infraestructuras, con mapas de infraestructuras personalizados, como los que ilustran las necesidades en materia de </w:t>
            </w:r>
            <w:hyperlink r:id="rId20" w:history="1">
              <w:r w:rsidRPr="00D412E0">
                <w:rPr>
                  <w:rStyle w:val="Hyperlink"/>
                  <w:lang w:val="es-ES"/>
                </w:rPr>
                <w:t>conectividad escolar</w:t>
              </w:r>
            </w:hyperlink>
            <w:r w:rsidRPr="00D412E0">
              <w:rPr>
                <w:lang w:val="es-ES"/>
              </w:rPr>
              <w:t>, para algunos países participantes en los proyectos de la</w:t>
            </w:r>
            <w:r w:rsidR="008F3B07">
              <w:rPr>
                <w:lang w:val="es-ES"/>
              </w:rPr>
              <w:t> </w:t>
            </w:r>
            <w:r w:rsidRPr="00D412E0">
              <w:rPr>
                <w:lang w:val="es-ES"/>
              </w:rPr>
              <w:t xml:space="preserve">BDT, potenciando así los </w:t>
            </w:r>
            <w:r w:rsidRPr="00D412E0">
              <w:rPr>
                <w:b/>
                <w:bCs/>
                <w:lang w:val="es-ES"/>
              </w:rPr>
              <w:t>esfuerzos de cartografía de la banda ancha a escala mundial</w:t>
            </w:r>
            <w:r w:rsidRPr="00152E97">
              <w:rPr>
                <w:lang w:val="es-ES"/>
              </w:rPr>
              <w:t>.</w:t>
            </w:r>
          </w:p>
          <w:p w14:paraId="5D570368" w14:textId="4495AFD4" w:rsidR="00D412E0" w:rsidRPr="00D412E0" w:rsidRDefault="00D412E0" w:rsidP="008E2F46">
            <w:pPr>
              <w:pStyle w:val="Tabletext"/>
              <w:rPr>
                <w:lang w:val="es-ES"/>
              </w:rPr>
            </w:pPr>
            <w:r w:rsidRPr="00D412E0">
              <w:rPr>
                <w:lang w:val="es-ES"/>
              </w:rPr>
              <w:t xml:space="preserve">Entre mayo de 2024 y marzo de 2025, con la ayuda del Ministerio de Ciencia y TIC </w:t>
            </w:r>
            <w:r w:rsidR="00BE5471" w:rsidRPr="00D412E0">
              <w:rPr>
                <w:lang w:val="es-ES"/>
              </w:rPr>
              <w:t>(MSIT)</w:t>
            </w:r>
            <w:r w:rsidR="00BE5471">
              <w:rPr>
                <w:lang w:val="es-ES"/>
              </w:rPr>
              <w:t xml:space="preserve"> </w:t>
            </w:r>
            <w:r w:rsidRPr="00D412E0">
              <w:rPr>
                <w:lang w:val="es-ES"/>
              </w:rPr>
              <w:t>de la República de Corea, la</w:t>
            </w:r>
            <w:r w:rsidR="008F3B07">
              <w:rPr>
                <w:lang w:val="es-ES"/>
              </w:rPr>
              <w:t> </w:t>
            </w:r>
            <w:r w:rsidRPr="00D412E0">
              <w:rPr>
                <w:lang w:val="es-ES"/>
              </w:rPr>
              <w:t xml:space="preserve">BDT realizó talleres y sesiones de formación práctica sobre cartografía, análisis y planificación de infraestructuras de TIC en Uruguay, Argelia, Indonesia, Malasia, República Dominicana y Tayikistán. Los talleres </w:t>
            </w:r>
            <w:r w:rsidRPr="00D412E0">
              <w:rPr>
                <w:b/>
                <w:bCs/>
                <w:lang w:val="es-ES"/>
              </w:rPr>
              <w:t xml:space="preserve">mejoraron tanto los conocimientos técnicos como las competencias prácticas </w:t>
            </w:r>
            <w:r w:rsidRPr="00D412E0">
              <w:rPr>
                <w:lang w:val="es-ES"/>
              </w:rPr>
              <w:t xml:space="preserve">de los participantes a la hora de aplicar las herramientas </w:t>
            </w:r>
            <w:r w:rsidR="00E11BBD" w:rsidRPr="00E11BBD">
              <w:rPr>
                <w:lang w:val="es-ES"/>
              </w:rPr>
              <w:t xml:space="preserve">de </w:t>
            </w:r>
            <w:r w:rsidR="00595059" w:rsidRPr="00E11BBD">
              <w:rPr>
                <w:lang w:val="es-ES"/>
              </w:rPr>
              <w:t xml:space="preserve">Sistemas </w:t>
            </w:r>
            <w:r w:rsidR="00E11BBD" w:rsidRPr="00E11BBD">
              <w:rPr>
                <w:lang w:val="es-ES"/>
              </w:rPr>
              <w:t xml:space="preserve">de </w:t>
            </w:r>
            <w:r w:rsidR="00595059" w:rsidRPr="00E11BBD">
              <w:rPr>
                <w:lang w:val="es-ES"/>
              </w:rPr>
              <w:t xml:space="preserve">Información Geográfica </w:t>
            </w:r>
            <w:r w:rsidR="00E11BBD" w:rsidRPr="00E11BBD">
              <w:rPr>
                <w:lang w:val="es-ES"/>
              </w:rPr>
              <w:t>(</w:t>
            </w:r>
            <w:r w:rsidRPr="00D412E0">
              <w:rPr>
                <w:lang w:val="es-ES"/>
              </w:rPr>
              <w:t>S</w:t>
            </w:r>
            <w:r w:rsidR="008F3B07">
              <w:rPr>
                <w:lang w:val="es-ES"/>
              </w:rPr>
              <w:t>IG</w:t>
            </w:r>
            <w:r w:rsidR="00E11BBD">
              <w:rPr>
                <w:lang w:val="es-ES"/>
              </w:rPr>
              <w:t>)</w:t>
            </w:r>
            <w:r w:rsidRPr="00D412E0">
              <w:rPr>
                <w:lang w:val="es-ES"/>
              </w:rPr>
              <w:t xml:space="preserve"> al análisis y la planificación de la conectividad. Los talleres realizados en Uruguay y la República Dominicana </w:t>
            </w:r>
            <w:r w:rsidRPr="00D412E0">
              <w:rPr>
                <w:b/>
                <w:bCs/>
                <w:lang w:val="es-ES"/>
              </w:rPr>
              <w:t>reforzaron la capacidad de los Estados Miembros para elaborar marcos de cartografía de infraestructuras de TIC e incluyeron análisis de las infraestructuras nacionales</w:t>
            </w:r>
            <w:r w:rsidRPr="00D412E0">
              <w:rPr>
                <w:lang w:val="es-ES"/>
              </w:rPr>
              <w:t>. Además, se prestó asistencia inicial en el análisis de las infraestructuras escolares a Santo Tomé y Príncipe, que posteriormente se convirtió en un proyecto independiente.</w:t>
            </w:r>
          </w:p>
          <w:p w14:paraId="6E2A9A79" w14:textId="10CDBA2A" w:rsidR="00D412E0" w:rsidRPr="00D412E0" w:rsidRDefault="00D412E0" w:rsidP="008E2F46">
            <w:pPr>
              <w:pStyle w:val="Tabletext"/>
              <w:rPr>
                <w:lang w:val="es-ES"/>
              </w:rPr>
            </w:pPr>
            <w:r w:rsidRPr="00D412E0">
              <w:rPr>
                <w:lang w:val="es-ES"/>
              </w:rPr>
              <w:t xml:space="preserve">En </w:t>
            </w:r>
            <w:r w:rsidRPr="00D412E0">
              <w:rPr>
                <w:b/>
                <w:bCs/>
                <w:lang w:val="es-ES"/>
              </w:rPr>
              <w:t>Á</w:t>
            </w:r>
            <w:r w:rsidRPr="00D412E0">
              <w:rPr>
                <w:b/>
                <w:lang w:val="es-ES"/>
              </w:rPr>
              <w:t>frica</w:t>
            </w:r>
            <w:r w:rsidRPr="00D412E0">
              <w:rPr>
                <w:lang w:val="es-ES"/>
              </w:rPr>
              <w:t>, en el marco del proyecto de conectividad escolar Giga de la</w:t>
            </w:r>
            <w:r w:rsidR="008F3B07">
              <w:rPr>
                <w:lang w:val="es-ES"/>
              </w:rPr>
              <w:t> </w:t>
            </w:r>
            <w:r w:rsidRPr="00D412E0">
              <w:rPr>
                <w:lang w:val="es-ES"/>
              </w:rPr>
              <w:t>BDT – Santo Tomé y Príncipe, la</w:t>
            </w:r>
            <w:r w:rsidR="008F3B07">
              <w:rPr>
                <w:lang w:val="es-ES"/>
              </w:rPr>
              <w:t> </w:t>
            </w:r>
            <w:r w:rsidRPr="00D412E0">
              <w:rPr>
                <w:lang w:val="es-ES"/>
              </w:rPr>
              <w:t xml:space="preserve">BDT llevó a cabo un estudio de viabilidad de diferentes soluciones de conectividad en el que se evaluaron y analizaron los costes y precios de la conectividad, incluido un presupuesto completo sobre el coste de conectar todas las escuelas a Internet. En el marco del mismo proyecto se impartió en Santo Tomé y Príncipe una formación sobre cartografía de infraestructuras digitales para </w:t>
            </w:r>
            <w:r w:rsidRPr="00D412E0">
              <w:rPr>
                <w:b/>
                <w:bCs/>
                <w:lang w:val="es-ES"/>
              </w:rPr>
              <w:t xml:space="preserve">sensibilizar sobre la importancia de la utilización de datos de telecomunicaciones/TIC y transferir conocimientos al respecto para impulsar la inversión en conectividad universal y efectiva </w:t>
            </w:r>
            <w:r w:rsidRPr="00D412E0">
              <w:rPr>
                <w:lang w:val="es-ES"/>
              </w:rPr>
              <w:t>en el país. En el evento, al que asistieron los principales interesados del regulador, AGER, el Gobierno y los sectores educativo y de telecomunicaciones, se destacó la importancia de organizar y utilizar datos geoespaciales de telecomunicaciones/TIC y se facilitó el examen y la validación de la información ya disponible en colaboración con AGER y los operadores nacionales del país.</w:t>
            </w:r>
          </w:p>
          <w:p w14:paraId="73751129" w14:textId="4F2E1427" w:rsidR="00D412E0" w:rsidRPr="00D412E0" w:rsidRDefault="00D412E0" w:rsidP="008E2F46">
            <w:pPr>
              <w:pStyle w:val="Tabletext"/>
              <w:rPr>
                <w:lang w:val="es-ES"/>
              </w:rPr>
            </w:pPr>
            <w:r w:rsidRPr="00D412E0">
              <w:rPr>
                <w:lang w:val="es-ES"/>
              </w:rPr>
              <w:lastRenderedPageBreak/>
              <w:t>La</w:t>
            </w:r>
            <w:r w:rsidR="008F3B07">
              <w:rPr>
                <w:lang w:val="es-ES"/>
              </w:rPr>
              <w:t> </w:t>
            </w:r>
            <w:r w:rsidRPr="00D412E0">
              <w:rPr>
                <w:lang w:val="es-ES"/>
              </w:rPr>
              <w:t>BDT ha desempeñado un papel decisivo en la promoción de la utilización de herramientas</w:t>
            </w:r>
            <w:r w:rsidR="00B86850">
              <w:rPr>
                <w:lang w:val="es-ES"/>
              </w:rPr>
              <w:t> </w:t>
            </w:r>
            <w:r w:rsidRPr="00D412E0">
              <w:rPr>
                <w:lang w:val="es-ES"/>
              </w:rPr>
              <w:t>S</w:t>
            </w:r>
            <w:r w:rsidR="008F3B07">
              <w:rPr>
                <w:lang w:val="es-ES"/>
              </w:rPr>
              <w:t>IG</w:t>
            </w:r>
            <w:r w:rsidRPr="00D412E0">
              <w:rPr>
                <w:lang w:val="es-ES"/>
              </w:rPr>
              <w:t xml:space="preserve"> para solventar problemas complejos relacionados con llevar la conectividad a los lugares más difíciles. Puede encontrarse una herramienta de cartografía de infraestructuras de TIC en </w:t>
            </w:r>
            <w:hyperlink r:id="rId21" w:history="1">
              <w:r w:rsidRPr="00D412E0">
                <w:rPr>
                  <w:rStyle w:val="Hyperlink"/>
                  <w:lang w:val="es-ES"/>
                </w:rPr>
                <w:t>https://bbmaps.itu.int/toolkit</w:t>
              </w:r>
            </w:hyperlink>
            <w:r w:rsidR="00152E97" w:rsidRPr="00D412E0">
              <w:rPr>
                <w:lang w:val="es-ES"/>
              </w:rPr>
              <w:t>.</w:t>
            </w:r>
          </w:p>
          <w:p w14:paraId="6D203FD0" w14:textId="3D4EA7D2" w:rsidR="00D412E0" w:rsidRPr="00D412E0" w:rsidRDefault="00D412E0" w:rsidP="008E2F46">
            <w:pPr>
              <w:pStyle w:val="Tabletext"/>
              <w:rPr>
                <w:lang w:val="es-ES"/>
              </w:rPr>
            </w:pPr>
            <w:r w:rsidRPr="00D412E0">
              <w:rPr>
                <w:lang w:val="es-ES"/>
              </w:rPr>
              <w:t>En el ámbito de la adopción por los países en desarrollo de tecnologías incipientes en beneficio de la sociedad, con el apoyo del proyecto del MSIT/Corea, la</w:t>
            </w:r>
            <w:r w:rsidR="00B86850">
              <w:rPr>
                <w:lang w:val="es-ES"/>
              </w:rPr>
              <w:t> </w:t>
            </w:r>
            <w:r w:rsidRPr="00D412E0">
              <w:rPr>
                <w:lang w:val="es-ES"/>
              </w:rPr>
              <w:t xml:space="preserve">BDT está llevando a cabo un </w:t>
            </w:r>
            <w:hyperlink r:id="rId22">
              <w:r w:rsidRPr="00D412E0">
                <w:rPr>
                  <w:rStyle w:val="Hyperlink"/>
                  <w:lang w:val="es-ES"/>
                </w:rPr>
                <w:t>nuevo programa</w:t>
              </w:r>
            </w:hyperlink>
            <w:r w:rsidRPr="00D412E0">
              <w:rPr>
                <w:lang w:val="es-ES"/>
              </w:rPr>
              <w:t xml:space="preserve"> centrado en la preparación de formaciones en IA y la promoción de casos de uso de</w:t>
            </w:r>
            <w:r w:rsidR="00B86850">
              <w:rPr>
                <w:lang w:val="es-ES"/>
              </w:rPr>
              <w:t> </w:t>
            </w:r>
            <w:r w:rsidRPr="00D412E0">
              <w:rPr>
                <w:lang w:val="es-ES"/>
              </w:rPr>
              <w:t xml:space="preserve">IA para el desarrollo de las redes. El programa propició la sesión </w:t>
            </w:r>
            <w:hyperlink r:id="rId23">
              <w:r w:rsidRPr="00D412E0">
                <w:rPr>
                  <w:rStyle w:val="Hyperlink"/>
                  <w:lang w:val="es-ES"/>
                </w:rPr>
                <w:t>Transformative Tech: A Deep Dive into AI for connectivity</w:t>
              </w:r>
            </w:hyperlink>
            <w:r w:rsidRPr="00D412E0">
              <w:rPr>
                <w:lang w:val="es-ES"/>
              </w:rPr>
              <w:t xml:space="preserve"> durante la Cumbre Mundial de la Juventud de la</w:t>
            </w:r>
            <w:r w:rsidR="00B86850">
              <w:rPr>
                <w:lang w:val="es-ES"/>
              </w:rPr>
              <w:t> </w:t>
            </w:r>
            <w:r w:rsidRPr="00D412E0">
              <w:rPr>
                <w:lang w:val="es-ES"/>
              </w:rPr>
              <w:t xml:space="preserve">UIT de 2025 (GYS-25), celebrada en Varadero </w:t>
            </w:r>
            <w:r w:rsidR="004711CF">
              <w:rPr>
                <w:lang w:val="es-ES"/>
              </w:rPr>
              <w:t>(</w:t>
            </w:r>
            <w:r w:rsidRPr="00D412E0">
              <w:rPr>
                <w:lang w:val="es-ES"/>
              </w:rPr>
              <w:t>Cuba</w:t>
            </w:r>
            <w:r w:rsidR="004711CF">
              <w:rPr>
                <w:lang w:val="es-ES"/>
              </w:rPr>
              <w:t>)</w:t>
            </w:r>
            <w:r w:rsidRPr="00D412E0">
              <w:rPr>
                <w:lang w:val="es-ES"/>
              </w:rPr>
              <w:t>. Los oradores transmitieron información de utilidad, cada uno de ellos desde un ángulo distinto sobre cómo la</w:t>
            </w:r>
            <w:r w:rsidR="00C24B6D">
              <w:rPr>
                <w:lang w:val="es-ES"/>
              </w:rPr>
              <w:t> </w:t>
            </w:r>
            <w:r w:rsidRPr="00D412E0">
              <w:rPr>
                <w:lang w:val="es-ES"/>
              </w:rPr>
              <w:t>IA está remodelando el mundo.</w:t>
            </w:r>
          </w:p>
          <w:p w14:paraId="093CFA63" w14:textId="60946439" w:rsidR="00D412E0" w:rsidRPr="00D412E0" w:rsidRDefault="00D412E0" w:rsidP="008E2F46">
            <w:pPr>
              <w:pStyle w:val="Tabletext"/>
              <w:rPr>
                <w:lang w:val="es-ES"/>
              </w:rPr>
            </w:pPr>
            <w:r w:rsidRPr="00D412E0">
              <w:rPr>
                <w:lang w:val="es-ES"/>
              </w:rPr>
              <w:t>La BDT está preparando el primer curso técnico sobre inteligencia artificial, destinado a presentar a los Miembros de la Unión una introducción a esta tecnología aplicada al desarrollo de infraestructuras de redes, cuya impartición está prevista para el segundo trimestre de 2025.</w:t>
            </w:r>
          </w:p>
          <w:p w14:paraId="035E6A21" w14:textId="440F2E2A" w:rsidR="00D412E0" w:rsidRPr="00D412E0" w:rsidRDefault="00D412E0" w:rsidP="008E2F46">
            <w:pPr>
              <w:pStyle w:val="Tabletext"/>
              <w:rPr>
                <w:lang w:val="es-ES"/>
              </w:rPr>
            </w:pPr>
            <w:r w:rsidRPr="00D412E0">
              <w:rPr>
                <w:lang w:val="es-ES"/>
              </w:rPr>
              <w:t xml:space="preserve">En relación con la capacitación en materia de </w:t>
            </w:r>
            <w:r w:rsidRPr="00D412E0">
              <w:rPr>
                <w:b/>
                <w:bCs/>
                <w:lang w:val="es-ES"/>
              </w:rPr>
              <w:t>infraestructura y espectro</w:t>
            </w:r>
            <w:r w:rsidRPr="00D412E0">
              <w:rPr>
                <w:lang w:val="es-ES"/>
              </w:rPr>
              <w:t>, la</w:t>
            </w:r>
            <w:r w:rsidR="00B86850">
              <w:rPr>
                <w:lang w:val="es-ES"/>
              </w:rPr>
              <w:t> </w:t>
            </w:r>
            <w:r w:rsidRPr="00D412E0">
              <w:rPr>
                <w:lang w:val="es-ES"/>
              </w:rPr>
              <w:t>BDT ha puesto a disposición a través de la Academia de la UIT diversos cursos en línea autogestionados gratuitos, entre los que se cuentan los siguientes:</w:t>
            </w:r>
          </w:p>
          <w:p w14:paraId="581A3660" w14:textId="0355FCDB"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hyperlink r:id="rId24" w:history="1">
              <w:r w:rsidR="00D412E0" w:rsidRPr="00D412E0">
                <w:rPr>
                  <w:rStyle w:val="Hyperlink"/>
                  <w:lang w:val="es-ES"/>
                </w:rPr>
                <w:t>Introduction to Broadband Mapping</w:t>
              </w:r>
            </w:hyperlink>
            <w:r w:rsidR="00D412E0" w:rsidRPr="00D412E0">
              <w:rPr>
                <w:lang w:val="es-ES"/>
              </w:rPr>
              <w:t xml:space="preserve">: </w:t>
            </w:r>
            <w:r w:rsidR="006E0892" w:rsidRPr="00D412E0">
              <w:rPr>
                <w:lang w:val="es-ES"/>
              </w:rPr>
              <w:t>e</w:t>
            </w:r>
            <w:r w:rsidR="00D412E0" w:rsidRPr="00D412E0">
              <w:rPr>
                <w:lang w:val="es-ES"/>
              </w:rPr>
              <w:t>sta formación reúne información sobre cómo iniciarse en los S</w:t>
            </w:r>
            <w:r w:rsidR="008F3B07">
              <w:rPr>
                <w:lang w:val="es-ES"/>
              </w:rPr>
              <w:t>IG</w:t>
            </w:r>
            <w:r w:rsidR="00D412E0" w:rsidRPr="00D412E0">
              <w:rPr>
                <w:lang w:val="es-ES"/>
              </w:rPr>
              <w:t xml:space="preserve"> aplicados al análisis de carencias y la planificación de redes de TIC, entre otros conceptos introductorios y la compartición de prácticas.</w:t>
            </w:r>
          </w:p>
          <w:p w14:paraId="00A4D82C" w14:textId="1D3C9589"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hyperlink r:id="rId25">
              <w:r w:rsidR="00D412E0" w:rsidRPr="00D412E0">
                <w:rPr>
                  <w:rStyle w:val="Hyperlink"/>
                  <w:lang w:val="es-ES"/>
                </w:rPr>
                <w:t xml:space="preserve">Advanced Broadband Mapping training </w:t>
              </w:r>
              <w:r w:rsidR="006E0892" w:rsidRPr="006E0892">
                <w:rPr>
                  <w:rStyle w:val="Hyperlink"/>
                  <w:lang w:val="es-ES"/>
                </w:rPr>
                <w:t>–</w:t>
              </w:r>
              <w:r w:rsidR="00D412E0" w:rsidRPr="00D412E0">
                <w:rPr>
                  <w:rStyle w:val="Hyperlink"/>
                  <w:lang w:val="es-ES"/>
                </w:rPr>
                <w:t xml:space="preserve"> Self-paced</w:t>
              </w:r>
            </w:hyperlink>
            <w:r w:rsidR="00D412E0" w:rsidRPr="00D412E0">
              <w:rPr>
                <w:lang w:val="es-ES"/>
              </w:rPr>
              <w:t xml:space="preserve">: </w:t>
            </w:r>
            <w:r w:rsidR="006E0892" w:rsidRPr="00D412E0">
              <w:rPr>
                <w:lang w:val="es-ES"/>
              </w:rPr>
              <w:t>e</w:t>
            </w:r>
            <w:r w:rsidR="00D412E0" w:rsidRPr="00D412E0">
              <w:rPr>
                <w:lang w:val="es-ES"/>
              </w:rPr>
              <w:t>sta formación añade temas avanzados y da seguimiento a la formación "Introduction to Broadband Mapping". Los temas añadidos versan sobre 1</w:t>
            </w:r>
            <w:r w:rsidR="004711CF">
              <w:rPr>
                <w:lang w:val="es-ES"/>
              </w:rPr>
              <w:t>)</w:t>
            </w:r>
            <w:r w:rsidR="00220AA2">
              <w:rPr>
                <w:lang w:val="es-ES"/>
              </w:rPr>
              <w:t> </w:t>
            </w:r>
            <w:r w:rsidR="00D412E0" w:rsidRPr="00D412E0">
              <w:rPr>
                <w:lang w:val="es-ES"/>
              </w:rPr>
              <w:t>gestión de datos geoespaciales; 2</w:t>
            </w:r>
            <w:r w:rsidR="004711CF">
              <w:rPr>
                <w:lang w:val="es-ES"/>
              </w:rPr>
              <w:t>) </w:t>
            </w:r>
            <w:r w:rsidR="00E11BBD" w:rsidRPr="00D412E0">
              <w:rPr>
                <w:lang w:val="es-ES"/>
              </w:rPr>
              <w:t>h</w:t>
            </w:r>
            <w:r w:rsidR="00D412E0" w:rsidRPr="00D412E0">
              <w:rPr>
                <w:lang w:val="es-ES"/>
              </w:rPr>
              <w:t>erramientas geoespaciales avanzadas para el análisis de infraestructuras, y 3</w:t>
            </w:r>
            <w:r w:rsidR="004711CF">
              <w:rPr>
                <w:lang w:val="es-ES"/>
              </w:rPr>
              <w:t>) </w:t>
            </w:r>
            <w:r w:rsidR="00E11BBD" w:rsidRPr="00D412E0">
              <w:rPr>
                <w:lang w:val="es-ES"/>
              </w:rPr>
              <w:t>m</w:t>
            </w:r>
            <w:r w:rsidR="00D412E0" w:rsidRPr="00D412E0">
              <w:rPr>
                <w:lang w:val="es-ES"/>
              </w:rPr>
              <w:t>arco de datos de fibra abiertos.</w:t>
            </w:r>
          </w:p>
          <w:p w14:paraId="4F05B48C" w14:textId="25F1A57F"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hyperlink r:id="rId26">
              <w:r w:rsidR="00D412E0" w:rsidRPr="00D412E0">
                <w:rPr>
                  <w:rStyle w:val="Hyperlink"/>
                  <w:lang w:val="es-ES"/>
                </w:rPr>
                <w:t>Business planning for ICT infrastructure development</w:t>
              </w:r>
            </w:hyperlink>
            <w:r w:rsidR="00D412E0" w:rsidRPr="00D412E0">
              <w:rPr>
                <w:lang w:val="es-ES"/>
              </w:rPr>
              <w:t xml:space="preserve">: </w:t>
            </w:r>
            <w:r w:rsidR="006E0892" w:rsidRPr="00D412E0">
              <w:rPr>
                <w:lang w:val="es-ES"/>
              </w:rPr>
              <w:t>e</w:t>
            </w:r>
            <w:r w:rsidR="00D412E0" w:rsidRPr="00D412E0">
              <w:rPr>
                <w:lang w:val="es-ES"/>
              </w:rPr>
              <w:t>ste curso ofrece a los reguladores, responsables políticos y partes interesadas un enfoque práctico a la evaluación económica precisa de los planes de instalación y despliegue de la infraestructura de banda ancha con la herramienta de planificación comercial de infraestructuras de TIC de la UIT – Redes 5G.</w:t>
            </w:r>
          </w:p>
          <w:p w14:paraId="28EC5147" w14:textId="38416024"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hyperlink r:id="rId27" w:history="1">
              <w:r w:rsidR="006E0892">
                <w:rPr>
                  <w:rStyle w:val="Hyperlink"/>
                  <w:lang w:val="es-ES"/>
                </w:rPr>
                <w:t>Global satellite regulation essentials: key principles, institutional landscape and the role of ITU | ITU Academy</w:t>
              </w:r>
            </w:hyperlink>
            <w:r w:rsidR="00D412E0" w:rsidRPr="00D412E0">
              <w:rPr>
                <w:lang w:val="es-ES"/>
              </w:rPr>
              <w:t xml:space="preserve">: </w:t>
            </w:r>
            <w:r w:rsidR="006E0892" w:rsidRPr="00D412E0">
              <w:rPr>
                <w:lang w:val="es-ES"/>
              </w:rPr>
              <w:t>e</w:t>
            </w:r>
            <w:r w:rsidR="00D412E0" w:rsidRPr="00D412E0">
              <w:rPr>
                <w:lang w:val="es-ES"/>
              </w:rPr>
              <w:t>n este curso se presentan los principios básicos de la reglamentación que rige</w:t>
            </w:r>
            <w:r w:rsidR="00E11BBD">
              <w:rPr>
                <w:lang w:val="es-ES"/>
              </w:rPr>
              <w:t>n</w:t>
            </w:r>
            <w:r w:rsidR="00D412E0" w:rsidRPr="00D412E0">
              <w:rPr>
                <w:lang w:val="es-ES"/>
              </w:rPr>
              <w:t xml:space="preserve"> los proyectos de satélites y la utilización y gestión del espectro de radiofrecuencias y las órbitas asociadas. La aplicación de los reglamentos se ilustra mediante casos de estudio y prácticos de la vida real.</w:t>
            </w:r>
          </w:p>
          <w:p w14:paraId="0CF6DDBF" w14:textId="146A122E"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hyperlink r:id="rId28" w:history="1">
              <w:r w:rsidR="00D412E0" w:rsidRPr="00D412E0">
                <w:rPr>
                  <w:rStyle w:val="Hyperlink"/>
                  <w:lang w:val="es-ES"/>
                </w:rPr>
                <w:t>Introduction to spectrum management</w:t>
              </w:r>
            </w:hyperlink>
            <w:r w:rsidR="00D412E0" w:rsidRPr="00D412E0">
              <w:rPr>
                <w:lang w:val="es-ES"/>
              </w:rPr>
              <w:t xml:space="preserve">: </w:t>
            </w:r>
            <w:r w:rsidR="006E0892" w:rsidRPr="00D412E0">
              <w:rPr>
                <w:lang w:val="es-ES"/>
              </w:rPr>
              <w:t>e</w:t>
            </w:r>
            <w:r w:rsidR="00D412E0" w:rsidRPr="00D412E0">
              <w:rPr>
                <w:lang w:val="es-ES"/>
              </w:rPr>
              <w:t>sta formación es una introducción a la gestión de los recursos de espectro radioeléctrico y los fundamentos de todas las aplicaciones móviles, 2024.</w:t>
            </w:r>
          </w:p>
          <w:p w14:paraId="75A5B0C4" w14:textId="0DA3D6C1"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r w:rsidR="00D412E0" w:rsidRPr="00D412E0">
              <w:rPr>
                <w:lang w:val="es-ES"/>
              </w:rPr>
              <w:t>Presentación sobre cartografía de infraestructuras del curso "Digital regulation for the Africa region" de la Academia de la</w:t>
            </w:r>
            <w:r w:rsidR="00220AA2">
              <w:rPr>
                <w:lang w:val="es-ES"/>
              </w:rPr>
              <w:t> </w:t>
            </w:r>
            <w:r w:rsidR="00D412E0" w:rsidRPr="00D412E0">
              <w:rPr>
                <w:lang w:val="es-ES"/>
              </w:rPr>
              <w:t xml:space="preserve">UIT: </w:t>
            </w:r>
            <w:hyperlink r:id="rId29" w:history="1">
              <w:r w:rsidR="00D412E0" w:rsidRPr="00D412E0">
                <w:rPr>
                  <w:rStyle w:val="Hyperlink"/>
                  <w:lang w:val="es-ES"/>
                </w:rPr>
                <w:t>https://academycourses.itu.int/course/view.php?id=1832&amp;section=2</w:t>
              </w:r>
            </w:hyperlink>
            <w:r w:rsidR="006E0892" w:rsidRPr="00D412E0">
              <w:rPr>
                <w:lang w:val="es-ES"/>
              </w:rPr>
              <w:t>.</w:t>
            </w:r>
          </w:p>
          <w:p w14:paraId="707B3ADF" w14:textId="2BFF20F3" w:rsidR="00D412E0" w:rsidRPr="00D412E0" w:rsidRDefault="00D412E0" w:rsidP="008E2F46">
            <w:pPr>
              <w:pStyle w:val="Tabletext"/>
              <w:rPr>
                <w:lang w:val="es-ES"/>
              </w:rPr>
            </w:pPr>
            <w:r w:rsidRPr="00D412E0">
              <w:rPr>
                <w:lang w:val="es-ES"/>
              </w:rPr>
              <w:lastRenderedPageBreak/>
              <w:t>Además, la</w:t>
            </w:r>
            <w:r w:rsidR="00220AA2">
              <w:rPr>
                <w:lang w:val="es-ES"/>
              </w:rPr>
              <w:t> </w:t>
            </w:r>
            <w:r w:rsidRPr="00D412E0">
              <w:rPr>
                <w:lang w:val="es-ES"/>
              </w:rPr>
              <w:t xml:space="preserve">BDT ha llevado a cabo iniciativas de capacitación, incluidos talleres de cartografía de las TIC y formaciones autogestionadas sobre </w:t>
            </w:r>
            <w:hyperlink r:id="rId30" w:history="1">
              <w:r w:rsidRPr="00D412E0">
                <w:rPr>
                  <w:rStyle w:val="Hyperlink"/>
                  <w:lang w:val="es-ES"/>
                </w:rPr>
                <w:t>planificación y cartografía de infraestructuras</w:t>
              </w:r>
            </w:hyperlink>
            <w:r w:rsidRPr="00D412E0">
              <w:rPr>
                <w:lang w:val="es-ES"/>
              </w:rPr>
              <w:t xml:space="preserve"> en el marco del proyecto conjunto de la UIT</w:t>
            </w:r>
            <w:r w:rsidR="00C16A45">
              <w:rPr>
                <w:lang w:val="es-ES"/>
              </w:rPr>
              <w:noBreakHyphen/>
            </w:r>
            <w:r w:rsidRPr="00D412E0">
              <w:rPr>
                <w:lang w:val="es-ES"/>
              </w:rPr>
              <w:t xml:space="preserve">Oficina de Relaciones Exteriores, del Commonwealth y de Desarrollo (FCDO), </w:t>
            </w:r>
            <w:r w:rsidRPr="00D412E0">
              <w:rPr>
                <w:b/>
                <w:bCs/>
                <w:lang w:val="es-ES"/>
              </w:rPr>
              <w:t>reforzando así la capacidad de los Estados Miembros para ampliar la conectividad a las zonas rurales e insuficientemente atendidas</w:t>
            </w:r>
            <w:r w:rsidRPr="00227DC1">
              <w:rPr>
                <w:lang w:val="es-ES"/>
              </w:rPr>
              <w:t>.</w:t>
            </w:r>
          </w:p>
          <w:p w14:paraId="428E7DF7" w14:textId="7716B7D6" w:rsidR="00D412E0" w:rsidRPr="00D412E0" w:rsidRDefault="00D412E0" w:rsidP="008E2F46">
            <w:pPr>
              <w:pStyle w:val="Tabletext"/>
              <w:rPr>
                <w:lang w:val="es-ES"/>
              </w:rPr>
            </w:pPr>
            <w:r w:rsidRPr="00D412E0">
              <w:rPr>
                <w:lang w:val="es-ES"/>
              </w:rPr>
              <w:t xml:space="preserve">Además, a través del proyecto </w:t>
            </w:r>
            <w:r w:rsidRPr="00B86850">
              <w:rPr>
                <w:lang w:val="es-ES"/>
              </w:rPr>
              <w:t>UIT-FCDO</w:t>
            </w:r>
            <w:r w:rsidRPr="00D412E0">
              <w:rPr>
                <w:lang w:val="es-ES"/>
              </w:rPr>
              <w:t xml:space="preserve">, la Academia de la UIT puso en marcha una formación autogestionada sobre </w:t>
            </w:r>
            <w:hyperlink r:id="rId31" w:history="1">
              <w:r w:rsidRPr="00D412E0">
                <w:rPr>
                  <w:rStyle w:val="Hyperlink"/>
                  <w:lang w:val="es-ES"/>
                </w:rPr>
                <w:t>planificación y cartografía de infraestructuras</w:t>
              </w:r>
            </w:hyperlink>
            <w:r w:rsidRPr="00D412E0">
              <w:rPr>
                <w:lang w:val="es-ES"/>
              </w:rPr>
              <w:t xml:space="preserve">, </w:t>
            </w:r>
            <w:r w:rsidRPr="00D412E0">
              <w:rPr>
                <w:b/>
                <w:bCs/>
                <w:lang w:val="es-ES"/>
              </w:rPr>
              <w:t>que ya han hecho 440</w:t>
            </w:r>
            <w:r w:rsidR="006E0892">
              <w:rPr>
                <w:b/>
                <w:bCs/>
                <w:lang w:val="es-ES"/>
              </w:rPr>
              <w:t> </w:t>
            </w:r>
            <w:r w:rsidRPr="00D412E0">
              <w:rPr>
                <w:b/>
                <w:bCs/>
                <w:lang w:val="es-ES"/>
              </w:rPr>
              <w:t>profesionales de las TIC</w:t>
            </w:r>
            <w:r w:rsidRPr="00D412E0">
              <w:rPr>
                <w:lang w:val="es-ES"/>
              </w:rPr>
              <w:t>.</w:t>
            </w:r>
          </w:p>
          <w:p w14:paraId="6F83376E" w14:textId="799A5140" w:rsidR="00D412E0" w:rsidRPr="00D412E0" w:rsidRDefault="00D412E0" w:rsidP="008E2F46">
            <w:pPr>
              <w:pStyle w:val="Tabletext"/>
              <w:rPr>
                <w:lang w:val="es-ES"/>
              </w:rPr>
            </w:pPr>
            <w:r w:rsidRPr="00D412E0">
              <w:rPr>
                <w:lang w:val="es-ES"/>
              </w:rPr>
              <w:t>La</w:t>
            </w:r>
            <w:r w:rsidR="00220AA2">
              <w:rPr>
                <w:lang w:val="es-ES"/>
              </w:rPr>
              <w:t> </w:t>
            </w:r>
            <w:r w:rsidRPr="00D412E0">
              <w:rPr>
                <w:lang w:val="es-ES"/>
              </w:rPr>
              <w:t xml:space="preserve">BDT sigue prestando asistencia a los Estados Miembros para la implementación de las decisiones de las conferencias mundiales y regionales de la UIT, incluso en materia de planificación de espectro, la coordinación de actividades entre Miembros de la UIT, la compartición de conocimientos, el mantenimiento de las herramientas de </w:t>
            </w:r>
            <w:r w:rsidRPr="006E0892">
              <w:rPr>
                <w:i/>
                <w:iCs/>
                <w:lang w:val="es-ES"/>
              </w:rPr>
              <w:t>software</w:t>
            </w:r>
            <w:r w:rsidRPr="00D412E0">
              <w:rPr>
                <w:lang w:val="es-ES"/>
              </w:rPr>
              <w:t xml:space="preserve"> y el cumplimiento efectivo de las responsabilidades incumbentes a las Administraciones de los Estados Miembros en materia de gestión del espectro.</w:t>
            </w:r>
          </w:p>
          <w:p w14:paraId="17F27AD6" w14:textId="23E76590" w:rsidR="00D412E0" w:rsidRDefault="00D412E0" w:rsidP="008E2F46">
            <w:pPr>
              <w:pStyle w:val="Tabletext"/>
              <w:rPr>
                <w:lang w:val="es-ES"/>
              </w:rPr>
            </w:pPr>
            <w:r w:rsidRPr="00D412E0">
              <w:rPr>
                <w:lang w:val="es-ES"/>
              </w:rPr>
              <w:t>En el marco de los preparativos de la CMDT-25, a través de las reuniones de las Comisiones de Estudio y los Grupos de Trabajo, la</w:t>
            </w:r>
            <w:r w:rsidR="00220AA2">
              <w:rPr>
                <w:lang w:val="es-ES"/>
              </w:rPr>
              <w:t> </w:t>
            </w:r>
            <w:r w:rsidRPr="00D412E0">
              <w:rPr>
                <w:lang w:val="es-ES"/>
              </w:rPr>
              <w:t>BDT recaba periódicamente la información pertinente y prepara documentos y demás contribuciones/productos pertinentes para la CMDT y las reuniones de las CE y GT de la UIT que responden a las necesidades específicas de los países en desarrollo en materia de gestión del espectro. La presentación de propuestas a la CMDT-25 es un modo de garantizar que se tienen en cuenta las necesidades actuales de los países en desarrollo en materia de gestión del espectro.</w:t>
            </w:r>
          </w:p>
          <w:p w14:paraId="0BAB12FF" w14:textId="0056811B" w:rsidR="005D057F" w:rsidRPr="005D057F" w:rsidRDefault="005D057F" w:rsidP="005D057F">
            <w:pPr>
              <w:pStyle w:val="Tabletext"/>
              <w:rPr>
                <w:lang w:val="es-ES"/>
              </w:rPr>
            </w:pPr>
            <w:r w:rsidRPr="005D057F">
              <w:rPr>
                <w:lang w:val="es-ES"/>
              </w:rPr>
              <w:t xml:space="preserve">A través de la </w:t>
            </w:r>
            <w:r w:rsidRPr="006D1283">
              <w:rPr>
                <w:b/>
                <w:bCs/>
                <w:color w:val="1F497D"/>
                <w:lang w:val="es-ES"/>
              </w:rPr>
              <w:t xml:space="preserve">Asistencia directa a los Estados Miembros sobre la problemática de la </w:t>
            </w:r>
            <w:r w:rsidR="00E11BBD" w:rsidRPr="006D1283">
              <w:rPr>
                <w:b/>
                <w:bCs/>
                <w:color w:val="1F497D"/>
                <w:lang w:val="es-ES"/>
              </w:rPr>
              <w:t>g</w:t>
            </w:r>
            <w:r w:rsidRPr="006D1283">
              <w:rPr>
                <w:b/>
                <w:bCs/>
                <w:color w:val="1F497D"/>
                <w:lang w:val="es-ES"/>
              </w:rPr>
              <w:t xml:space="preserve">estión del </w:t>
            </w:r>
            <w:r w:rsidR="00E11BBD" w:rsidRPr="006D1283">
              <w:rPr>
                <w:b/>
                <w:bCs/>
                <w:color w:val="1F497D"/>
                <w:lang w:val="es-ES"/>
              </w:rPr>
              <w:t>e</w:t>
            </w:r>
            <w:r w:rsidRPr="006D1283">
              <w:rPr>
                <w:b/>
                <w:bCs/>
                <w:color w:val="1F497D"/>
                <w:lang w:val="es-ES"/>
              </w:rPr>
              <w:t>spectro</w:t>
            </w:r>
            <w:r w:rsidRPr="005D057F">
              <w:rPr>
                <w:lang w:val="es-ES"/>
              </w:rPr>
              <w:t xml:space="preserve"> la</w:t>
            </w:r>
            <w:r w:rsidR="00E11BBD">
              <w:rPr>
                <w:lang w:val="es-ES"/>
              </w:rPr>
              <w:t> </w:t>
            </w:r>
            <w:r w:rsidRPr="005D057F">
              <w:rPr>
                <w:lang w:val="es-ES"/>
              </w:rPr>
              <w:t xml:space="preserve">BDT </w:t>
            </w:r>
            <w:r w:rsidRPr="005D057F">
              <w:rPr>
                <w:b/>
                <w:bCs/>
                <w:lang w:val="es-ES"/>
              </w:rPr>
              <w:t>ha sensibilizado a los responsables políticos nacionales</w:t>
            </w:r>
            <w:r w:rsidRPr="005D057F">
              <w:rPr>
                <w:lang w:val="es-ES"/>
              </w:rPr>
              <w:t xml:space="preserve"> acerca de las vías para </w:t>
            </w:r>
            <w:r w:rsidRPr="005D057F">
              <w:rPr>
                <w:b/>
                <w:bCs/>
                <w:lang w:val="es-ES"/>
              </w:rPr>
              <w:t>garantizar una gestión efectiva del espectro en pro del desarrollo socioeconómico</w:t>
            </w:r>
            <w:r w:rsidRPr="005D057F">
              <w:rPr>
                <w:lang w:val="es-ES"/>
              </w:rPr>
              <w:t>.</w:t>
            </w:r>
          </w:p>
          <w:p w14:paraId="7AFE637D" w14:textId="3E6C51EF" w:rsidR="00D412E0" w:rsidRPr="00D412E0" w:rsidRDefault="00D412E0" w:rsidP="00391AFE">
            <w:pPr>
              <w:pStyle w:val="Tabletext"/>
              <w:rPr>
                <w:lang w:val="es-ES"/>
              </w:rPr>
            </w:pPr>
            <w:r w:rsidRPr="00D412E0">
              <w:rPr>
                <w:lang w:val="es-ES"/>
              </w:rPr>
              <w:t>En 2024 se prestó asistencia a Gambia para la definición de una estrategia y una reglamentación del espectro. Se ha iniciado un proyecto de planificación de frecuencias DAB en la banda 174-230</w:t>
            </w:r>
            <w:r w:rsidR="006E0892">
              <w:rPr>
                <w:lang w:val="es-ES"/>
              </w:rPr>
              <w:t> </w:t>
            </w:r>
            <w:r w:rsidRPr="00D412E0">
              <w:rPr>
                <w:lang w:val="es-ES"/>
              </w:rPr>
              <w:t>MHz en Armenia, Azerbaiyán y Georgia, dentro del cual se está creando un grupo de trabajo técnico formado por la</w:t>
            </w:r>
            <w:r w:rsidR="00220AA2">
              <w:rPr>
                <w:lang w:val="es-ES"/>
              </w:rPr>
              <w:t> </w:t>
            </w:r>
            <w:r w:rsidRPr="00D412E0">
              <w:rPr>
                <w:lang w:val="es-ES"/>
              </w:rPr>
              <w:t xml:space="preserve">BDT y los tres países concernidos. Se ha iniciado un proyecto de mejora del entorno reglamentario de la gestión del espectro, destinado principalmente a la elaboración de cuadros nacionales de atribución de bandas de frecuencias, para los países de </w:t>
            </w:r>
            <w:r w:rsidR="00595059">
              <w:rPr>
                <w:lang w:val="es-ES"/>
              </w:rPr>
              <w:t xml:space="preserve">la </w:t>
            </w:r>
            <w:r w:rsidRPr="00D412E0">
              <w:rPr>
                <w:lang w:val="es-ES"/>
              </w:rPr>
              <w:t>ASEAN y algunos países insulares del Pacífico (Nauru, Vanuatu y Palao).</w:t>
            </w:r>
          </w:p>
          <w:p w14:paraId="0C3BB95C" w14:textId="71F4F97A" w:rsidR="00D412E0" w:rsidRPr="005D057F" w:rsidRDefault="00D412E0" w:rsidP="005D057F">
            <w:pPr>
              <w:pStyle w:val="Tabletext"/>
              <w:rPr>
                <w:lang w:val="es-ES"/>
              </w:rPr>
            </w:pPr>
            <w:r w:rsidRPr="005D057F">
              <w:rPr>
                <w:lang w:val="es-ES"/>
              </w:rPr>
              <w:t xml:space="preserve">En lo que respecta a los </w:t>
            </w:r>
            <w:r w:rsidRPr="006D1283">
              <w:rPr>
                <w:b/>
                <w:bCs/>
                <w:color w:val="1F497D"/>
                <w:lang w:val="es-ES"/>
              </w:rPr>
              <w:t>Sistemas automatizados de gestión y control de las frecuencias</w:t>
            </w:r>
            <w:r w:rsidRPr="005D057F">
              <w:rPr>
                <w:lang w:val="es-ES"/>
              </w:rPr>
              <w:t>, la</w:t>
            </w:r>
            <w:r w:rsidR="00220AA2">
              <w:rPr>
                <w:lang w:val="es-ES"/>
              </w:rPr>
              <w:t> </w:t>
            </w:r>
            <w:r w:rsidRPr="005D057F">
              <w:rPr>
                <w:lang w:val="es-ES"/>
              </w:rPr>
              <w:t xml:space="preserve">BDT sigue mejorando el </w:t>
            </w:r>
            <w:r w:rsidRPr="006E0892">
              <w:rPr>
                <w:i/>
                <w:iCs/>
                <w:lang w:val="es-ES"/>
              </w:rPr>
              <w:t>software</w:t>
            </w:r>
            <w:r w:rsidRPr="005D057F">
              <w:rPr>
                <w:lang w:val="es-ES"/>
              </w:rPr>
              <w:t xml:space="preserve"> Sistema de gestión del espectro para países en desarrollo (SMS4DC) y ofreciendo la asistencia y la formación necesarias para la utilización del </w:t>
            </w:r>
            <w:r w:rsidRPr="006E0892">
              <w:rPr>
                <w:i/>
                <w:iCs/>
                <w:lang w:val="es-ES"/>
              </w:rPr>
              <w:t>software</w:t>
            </w:r>
            <w:r w:rsidRPr="005D057F">
              <w:rPr>
                <w:lang w:val="es-ES"/>
              </w:rPr>
              <w:t xml:space="preserve">. La BDT sigue también asesorando a los países en desarrollo acerca de su participación en actividades de comprobación técnica internacionales y regionales y prestándoles asistencia para la puesta en marcha de sistemas de comprobación técnica regionales. En 2024 y principios de 2025se finalizó la actualización del </w:t>
            </w:r>
            <w:r w:rsidRPr="006E0892">
              <w:rPr>
                <w:i/>
                <w:iCs/>
                <w:lang w:val="es-ES"/>
              </w:rPr>
              <w:t>software</w:t>
            </w:r>
            <w:r w:rsidRPr="005D057F">
              <w:rPr>
                <w:lang w:val="es-ES"/>
              </w:rPr>
              <w:t xml:space="preserve"> SMS4DC con los resultados de la CMR</w:t>
            </w:r>
            <w:r w:rsidR="00595059">
              <w:rPr>
                <w:lang w:val="es-ES"/>
              </w:rPr>
              <w:noBreakHyphen/>
            </w:r>
            <w:r w:rsidRPr="005D057F">
              <w:rPr>
                <w:lang w:val="es-ES"/>
              </w:rPr>
              <w:t>23. Se están evaluando los requisitos y condiciones de la migración de la base de datos</w:t>
            </w:r>
            <w:r w:rsidR="00595059">
              <w:rPr>
                <w:lang w:val="es-ES"/>
              </w:rPr>
              <w:t> </w:t>
            </w:r>
            <w:r w:rsidRPr="005D057F">
              <w:rPr>
                <w:lang w:val="es-ES"/>
              </w:rPr>
              <w:t>SMS4DC Oracle a la plataforma</w:t>
            </w:r>
            <w:r w:rsidR="00595059">
              <w:rPr>
                <w:lang w:val="es-ES"/>
              </w:rPr>
              <w:t> </w:t>
            </w:r>
            <w:r w:rsidRPr="005D057F">
              <w:rPr>
                <w:lang w:val="es-ES"/>
              </w:rPr>
              <w:t>SQL.</w:t>
            </w:r>
          </w:p>
          <w:p w14:paraId="6A42B724" w14:textId="0BF8233F" w:rsidR="00D412E0" w:rsidRPr="00D412E0" w:rsidRDefault="00D412E0" w:rsidP="004C5054">
            <w:pPr>
              <w:pStyle w:val="Tabletext"/>
              <w:keepNext/>
              <w:keepLines/>
              <w:rPr>
                <w:lang w:val="es-ES"/>
              </w:rPr>
            </w:pPr>
            <w:r w:rsidRPr="00D412E0">
              <w:rPr>
                <w:lang w:val="es-ES"/>
              </w:rPr>
              <w:lastRenderedPageBreak/>
              <w:t>La</w:t>
            </w:r>
            <w:r w:rsidR="00220AA2">
              <w:rPr>
                <w:lang w:val="es-ES"/>
              </w:rPr>
              <w:t> </w:t>
            </w:r>
            <w:r w:rsidRPr="00D412E0">
              <w:rPr>
                <w:lang w:val="es-ES"/>
              </w:rPr>
              <w:t xml:space="preserve">BDT sigue colaborando en el desarrollo de la herramienta de </w:t>
            </w:r>
            <w:r w:rsidRPr="006E0892">
              <w:rPr>
                <w:i/>
                <w:iCs/>
                <w:lang w:val="es-ES"/>
              </w:rPr>
              <w:t>software</w:t>
            </w:r>
            <w:r w:rsidRPr="00D412E0">
              <w:rPr>
                <w:lang w:val="es-ES"/>
              </w:rPr>
              <w:t xml:space="preserve"> Método de cálculo armonizado para África (HCM4A), cuya primera serie de módulos ya se ha publicado; la formación a las administraciones africanas interesadas se realizó en marzo de 2025. El principal objetivo del HCM4A es la realización de seminarios especializados para ayudar a los gestores de frecuencias a conocer las tendencias reglamentarias modernas de la gestión</w:t>
            </w:r>
            <w:r w:rsidR="005D057F">
              <w:rPr>
                <w:lang w:val="es-ES"/>
              </w:rPr>
              <w:t xml:space="preserve"> </w:t>
            </w:r>
            <w:r w:rsidRPr="00D412E0">
              <w:rPr>
                <w:lang w:val="es-ES"/>
              </w:rPr>
              <w:t>del espectro y permitirles compartir conocimientos sobre nuevas tecnologías y métodos de utilización del espectro destinados a aumentar su eficacia y rentabilidad a través de formaciones, seminarios y experiencias nacionales.</w:t>
            </w:r>
          </w:p>
          <w:p w14:paraId="1C78CD2D" w14:textId="343326C1" w:rsidR="00D412E0" w:rsidRPr="00D412E0" w:rsidRDefault="00D412E0" w:rsidP="00391AFE">
            <w:pPr>
              <w:pStyle w:val="Tabletext"/>
              <w:rPr>
                <w:lang w:val="es-ES"/>
              </w:rPr>
            </w:pPr>
            <w:r w:rsidRPr="00D412E0">
              <w:rPr>
                <w:lang w:val="es-ES"/>
              </w:rPr>
              <w:t>En colaboración con la Academia de la UIT y los Centros de Excelencia, la</w:t>
            </w:r>
            <w:r w:rsidR="00220AA2">
              <w:rPr>
                <w:lang w:val="es-ES"/>
              </w:rPr>
              <w:t> </w:t>
            </w:r>
            <w:r w:rsidRPr="00D412E0">
              <w:rPr>
                <w:lang w:val="es-ES"/>
              </w:rPr>
              <w:t xml:space="preserve">BDT lanzó el </w:t>
            </w:r>
            <w:bookmarkStart w:id="10" w:name="_Hlk197072106"/>
            <w:r w:rsidR="00595059" w:rsidRPr="00D412E0">
              <w:rPr>
                <w:lang w:val="es-ES"/>
              </w:rPr>
              <w:t xml:space="preserve">Programa </w:t>
            </w:r>
            <w:r w:rsidRPr="00D412E0">
              <w:rPr>
                <w:lang w:val="es-ES"/>
              </w:rPr>
              <w:t>integral de formación en gestión del espectro (SMTP)</w:t>
            </w:r>
            <w:bookmarkEnd w:id="10"/>
            <w:r w:rsidRPr="00D412E0">
              <w:rPr>
                <w:lang w:val="es-ES"/>
              </w:rPr>
              <w:t xml:space="preserve">. En septiembre de 2024 se puso en marcha el proyecto de modificación de las </w:t>
            </w:r>
            <w:r w:rsidR="00CB53AE">
              <w:rPr>
                <w:lang w:val="es-ES"/>
              </w:rPr>
              <w:t>"</w:t>
            </w:r>
            <w:r w:rsidRPr="00D412E0">
              <w:rPr>
                <w:b/>
                <w:bCs/>
                <w:lang w:val="es-ES"/>
              </w:rPr>
              <w:t xml:space="preserve">Directrices para un sistema de gestión del espectro destinado </w:t>
            </w:r>
            <w:r w:rsidRPr="006E0892">
              <w:rPr>
                <w:b/>
                <w:bCs/>
                <w:lang w:val="es-ES"/>
              </w:rPr>
              <w:t>a los países en desarrollo</w:t>
            </w:r>
            <w:r w:rsidR="00CB53AE">
              <w:rPr>
                <w:lang w:val="es-ES"/>
              </w:rPr>
              <w:t>"</w:t>
            </w:r>
            <w:r w:rsidRPr="00D412E0">
              <w:rPr>
                <w:lang w:val="es-ES"/>
              </w:rPr>
              <w:t>, dentro del que la</w:t>
            </w:r>
            <w:r w:rsidR="00220AA2">
              <w:rPr>
                <w:lang w:val="es-ES"/>
              </w:rPr>
              <w:t> </w:t>
            </w:r>
            <w:r w:rsidRPr="00D412E0">
              <w:rPr>
                <w:lang w:val="es-ES"/>
              </w:rPr>
              <w:t>BDT se ha implicado notablemente en la comunicación de conocimientos y experiencias sobre la creación y mantenimiento de cuadros nacionales de atribución de bandas de frecuencias a través de tres Talleres Regionales de la</w:t>
            </w:r>
            <w:r w:rsidR="00220AA2">
              <w:rPr>
                <w:lang w:val="es-ES"/>
              </w:rPr>
              <w:t> </w:t>
            </w:r>
            <w:r w:rsidRPr="00D412E0">
              <w:rPr>
                <w:lang w:val="es-ES"/>
              </w:rPr>
              <w:t>UIT.</w:t>
            </w:r>
          </w:p>
          <w:p w14:paraId="6163FCCE" w14:textId="48EDAF80" w:rsidR="00D412E0" w:rsidRPr="00D412E0" w:rsidRDefault="00D412E0" w:rsidP="005D057F">
            <w:pPr>
              <w:pStyle w:val="Tabletext"/>
              <w:rPr>
                <w:lang w:val="es-ES"/>
              </w:rPr>
            </w:pPr>
            <w:r w:rsidRPr="00D412E0">
              <w:rPr>
                <w:lang w:val="es-ES"/>
              </w:rPr>
              <w:t>En lo que respecta a la conectividad espacial y por satélite, la</w:t>
            </w:r>
            <w:r w:rsidR="00220AA2">
              <w:rPr>
                <w:lang w:val="es-ES"/>
              </w:rPr>
              <w:t> </w:t>
            </w:r>
            <w:r w:rsidRPr="00D412E0">
              <w:rPr>
                <w:lang w:val="es-ES"/>
              </w:rPr>
              <w:t xml:space="preserve">BDT impartió un curso de formación en línea sobre </w:t>
            </w:r>
            <w:r w:rsidR="003C4DD2" w:rsidRPr="005D057F">
              <w:rPr>
                <w:b/>
                <w:bCs/>
                <w:lang w:val="es-ES"/>
              </w:rPr>
              <w:t>f</w:t>
            </w:r>
            <w:r w:rsidRPr="005D057F">
              <w:rPr>
                <w:b/>
                <w:bCs/>
                <w:lang w:val="es-ES"/>
              </w:rPr>
              <w:t>undamentos de la reglamentación mundial de satélites: principios fundamentales, panorama institucional y papel de la</w:t>
            </w:r>
            <w:r w:rsidR="00220AA2">
              <w:rPr>
                <w:b/>
                <w:bCs/>
                <w:lang w:val="es-ES"/>
              </w:rPr>
              <w:t> </w:t>
            </w:r>
            <w:r w:rsidRPr="005D057F">
              <w:rPr>
                <w:b/>
                <w:bCs/>
                <w:lang w:val="es-ES"/>
              </w:rPr>
              <w:t>UIT</w:t>
            </w:r>
            <w:r w:rsidRPr="00D412E0">
              <w:rPr>
                <w:lang w:val="es-ES"/>
              </w:rPr>
              <w:t>.</w:t>
            </w:r>
          </w:p>
          <w:p w14:paraId="53E65349" w14:textId="7DA8633F" w:rsidR="00D412E0" w:rsidRPr="00D412E0" w:rsidRDefault="00D412E0" w:rsidP="005D057F">
            <w:pPr>
              <w:pStyle w:val="Tabletext"/>
              <w:rPr>
                <w:lang w:val="es-ES"/>
              </w:rPr>
            </w:pPr>
            <w:r w:rsidRPr="00D412E0">
              <w:rPr>
                <w:lang w:val="es-ES"/>
              </w:rPr>
              <w:t>La</w:t>
            </w:r>
            <w:r w:rsidR="00220AA2">
              <w:rPr>
                <w:lang w:val="es-ES"/>
              </w:rPr>
              <w:t> </w:t>
            </w:r>
            <w:r w:rsidRPr="00D412E0">
              <w:rPr>
                <w:lang w:val="es-ES"/>
              </w:rPr>
              <w:t>BDT también organizó talleres de conectividad espacial y por satélite en colaboración con el sector de radiocomunicaciones de San Jorge, Granada y Mongolia, y participó en eventos relacionados con el espacio en Arabia Saudita.</w:t>
            </w:r>
          </w:p>
          <w:p w14:paraId="4615F94D" w14:textId="5E6F1BFB"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r w:rsidR="00D412E0" w:rsidRPr="005D057F">
              <w:rPr>
                <w:lang w:val="es-ES"/>
              </w:rPr>
              <w:t>En</w:t>
            </w:r>
            <w:r w:rsidR="00D412E0" w:rsidRPr="005D057F">
              <w:rPr>
                <w:b/>
                <w:bCs/>
                <w:lang w:val="es-ES"/>
              </w:rPr>
              <w:t xml:space="preserve"> África</w:t>
            </w:r>
            <w:r w:rsidR="00D412E0" w:rsidRPr="005D057F">
              <w:rPr>
                <w:lang w:val="es-ES"/>
              </w:rPr>
              <w:t xml:space="preserve"> </w:t>
            </w:r>
            <w:r w:rsidR="00D412E0" w:rsidRPr="00D412E0">
              <w:rPr>
                <w:lang w:val="es-ES"/>
              </w:rPr>
              <w:t xml:space="preserve">se puso en marcha el proyecto </w:t>
            </w:r>
            <w:r w:rsidR="009C68FA">
              <w:rPr>
                <w:lang w:val="es-ES"/>
              </w:rPr>
              <w:t>"</w:t>
            </w:r>
            <w:r w:rsidR="00D412E0" w:rsidRPr="00D412E0">
              <w:rPr>
                <w:lang w:val="es-ES"/>
              </w:rPr>
              <w:t>Sistemas de cartografía de la banda ancha en África</w:t>
            </w:r>
            <w:r w:rsidR="009C68FA">
              <w:rPr>
                <w:lang w:val="es-ES"/>
              </w:rPr>
              <w:t>"</w:t>
            </w:r>
            <w:r w:rsidR="00D412E0" w:rsidRPr="00D412E0">
              <w:rPr>
                <w:lang w:val="es-ES"/>
              </w:rPr>
              <w:t>, con el apoyo de la Comisión Europea, cuyo objetivo es ayudar a los países a crear y mejorar sus sistemas de cartografía de la infraestructura para alentar la inversión y la transformación digital en África. En un principio el proyecto se llevará a cabo en 11</w:t>
            </w:r>
            <w:r w:rsidR="00220AA2">
              <w:rPr>
                <w:lang w:val="es-ES"/>
              </w:rPr>
              <w:t> </w:t>
            </w:r>
            <w:r w:rsidR="00D412E0" w:rsidRPr="00D412E0">
              <w:rPr>
                <w:lang w:val="es-ES"/>
              </w:rPr>
              <w:t>países: Ben</w:t>
            </w:r>
            <w:r w:rsidR="006E0892">
              <w:rPr>
                <w:lang w:val="es-ES"/>
              </w:rPr>
              <w:t>i</w:t>
            </w:r>
            <w:r w:rsidR="00D412E0" w:rsidRPr="00D412E0">
              <w:rPr>
                <w:lang w:val="es-ES"/>
              </w:rPr>
              <w:t>n, Botswana, Burundi, Côte d'Ivoire, Etiopía, Kenya, Malawi, Nigeria, Uganda, Zambia y Zimbabwe. La reunión de lanzamiento de las actividades del proyecto se celebró los días 26 y 27 de marzo de 2025 y en ella se presentó la situación en que se encuentra la cartografía de infraestructuras de cada país y se determinaron las etapas posteriores para cada uno de ellos.</w:t>
            </w:r>
          </w:p>
          <w:p w14:paraId="5409DA62" w14:textId="61B1E6C0" w:rsidR="00D412E0" w:rsidRPr="00D412E0" w:rsidRDefault="00D412E0" w:rsidP="0051341D">
            <w:pPr>
              <w:pStyle w:val="Tabletext"/>
              <w:ind w:left="567"/>
              <w:rPr>
                <w:lang w:val="es-ES"/>
              </w:rPr>
            </w:pPr>
            <w:r w:rsidRPr="00D412E0">
              <w:rPr>
                <w:lang w:val="es-ES"/>
              </w:rPr>
              <w:t>Con miras a mejorar la colaboración con las asociaciones de reglamentación regionales sobre las áreas de interés comunes, la</w:t>
            </w:r>
            <w:r w:rsidR="00220AA2">
              <w:rPr>
                <w:lang w:val="es-ES"/>
              </w:rPr>
              <w:t> </w:t>
            </w:r>
            <w:r w:rsidRPr="00D412E0">
              <w:rPr>
                <w:lang w:val="es-ES"/>
              </w:rPr>
              <w:t>UIT y la Asamblea de Organismos Reguladores del África Occidental (WATRA) firmaron una carga conjunta en pro de una colaboración concreta y una promoción conjunta en materia de recopilación y gestión de los datos de infraestructuras y cartografía para la toma de decisiones que permitan conseguir una conectividad asequible para todas las personas. En el marco de la colaboración se seguirá examinando la posibilidad de compartir información sobre los recursos disponibles para fomentar la capacidad en materia de cartografía de la infraestructura y la banda ancha e impartir formación conjunta a los Estados Miembros. Se llevó a cabo un taller técnico conjunto durante la reunión del Grupo de Trabajo sobre el Desarrollo de Infraestructuras de la WATRA celebrada en Gambia en junio de 2024.</w:t>
            </w:r>
          </w:p>
          <w:p w14:paraId="190BD285" w14:textId="050BC6CA" w:rsidR="00D412E0" w:rsidRPr="00D412E0" w:rsidRDefault="0051341D" w:rsidP="00220AA2">
            <w:pPr>
              <w:pStyle w:val="Tabletext"/>
              <w:keepNext/>
              <w:keepLines/>
              <w:tabs>
                <w:tab w:val="clear" w:pos="284"/>
              </w:tabs>
              <w:ind w:left="567" w:hanging="567"/>
              <w:rPr>
                <w:lang w:val="es-ES"/>
              </w:rPr>
            </w:pPr>
            <w:r w:rsidRPr="0051341D">
              <w:rPr>
                <w:lang w:val="es-ES"/>
              </w:rPr>
              <w:t>–</w:t>
            </w:r>
            <w:r w:rsidR="005D057F">
              <w:rPr>
                <w:lang w:val="es-ES"/>
              </w:rPr>
              <w:tab/>
            </w:r>
            <w:r w:rsidR="00D412E0" w:rsidRPr="00D412E0">
              <w:rPr>
                <w:b/>
                <w:bCs/>
                <w:lang w:val="es-ES"/>
              </w:rPr>
              <w:t>En los Estados Árabes</w:t>
            </w:r>
            <w:r w:rsidR="00D412E0" w:rsidRPr="004265A8">
              <w:rPr>
                <w:lang w:val="es-ES"/>
              </w:rPr>
              <w:t xml:space="preserve">, </w:t>
            </w:r>
            <w:r w:rsidR="00D412E0" w:rsidRPr="00D412E0">
              <w:rPr>
                <w:lang w:val="es-ES"/>
              </w:rPr>
              <w:t>la BDT</w:t>
            </w:r>
            <w:r w:rsidR="007966C4">
              <w:rPr>
                <w:lang w:val="es-ES"/>
              </w:rPr>
              <w:t xml:space="preserve"> de la UIT</w:t>
            </w:r>
            <w:r w:rsidR="00D412E0" w:rsidRPr="00D412E0">
              <w:rPr>
                <w:lang w:val="es-ES"/>
              </w:rPr>
              <w:t>, en colaboración con Algérie Télécom, organizó en Argel el Taller Regional de la</w:t>
            </w:r>
            <w:r w:rsidR="003C4DD2">
              <w:rPr>
                <w:lang w:val="es-ES"/>
              </w:rPr>
              <w:t> </w:t>
            </w:r>
            <w:r w:rsidR="00D412E0" w:rsidRPr="00D412E0">
              <w:rPr>
                <w:lang w:val="es-ES"/>
              </w:rPr>
              <w:t xml:space="preserve">UIT para la conectividad universal y efectiva en la </w:t>
            </w:r>
            <w:r w:rsidR="00036CC8" w:rsidRPr="00D412E0">
              <w:rPr>
                <w:lang w:val="es-ES"/>
              </w:rPr>
              <w:t>r</w:t>
            </w:r>
            <w:r w:rsidR="00D412E0" w:rsidRPr="00D412E0">
              <w:rPr>
                <w:lang w:val="es-ES"/>
              </w:rPr>
              <w:t xml:space="preserve">egión </w:t>
            </w:r>
            <w:r w:rsidR="00CB705F" w:rsidRPr="00D412E0">
              <w:rPr>
                <w:lang w:val="es-ES"/>
              </w:rPr>
              <w:t>á</w:t>
            </w:r>
            <w:r w:rsidR="00D412E0" w:rsidRPr="00D412E0">
              <w:rPr>
                <w:lang w:val="es-ES"/>
              </w:rPr>
              <w:t>rabe, bajo los distinguidos auspicios del Ministerio de Correos y Telecomunicaciones. El taller reunió a 278</w:t>
            </w:r>
            <w:r w:rsidR="004711CF">
              <w:rPr>
                <w:lang w:val="es-ES"/>
              </w:rPr>
              <w:t> </w:t>
            </w:r>
            <w:r w:rsidR="00D412E0" w:rsidRPr="00D412E0">
              <w:rPr>
                <w:lang w:val="es-ES"/>
              </w:rPr>
              <w:t>participantes (24</w:t>
            </w:r>
            <w:r w:rsidR="00CB53AE">
              <w:rPr>
                <w:lang w:val="es-ES"/>
              </w:rPr>
              <w:t> </w:t>
            </w:r>
            <w:r w:rsidR="00D412E0" w:rsidRPr="00D412E0">
              <w:rPr>
                <w:lang w:val="es-ES"/>
              </w:rPr>
              <w:t xml:space="preserve">% de ellos mujeres), incluidos representantes de alto nivel de un amplio abanico de diversas partes interesadas, entre ellos responsables políticos, reguladores, líderes </w:t>
            </w:r>
            <w:r w:rsidR="00D412E0" w:rsidRPr="00D412E0">
              <w:rPr>
                <w:lang w:val="es-ES"/>
              </w:rPr>
              <w:lastRenderedPageBreak/>
              <w:t xml:space="preserve">del sector privado, instituciones académicas y organizaciones regionales e internacionales, con el fin de abordar el desarrollo de infraestructuras y los apremiantes desafíos y oportunidades para conseguir una conectividad universal y efectiva en la </w:t>
            </w:r>
            <w:r w:rsidR="00036CC8" w:rsidRPr="00D412E0">
              <w:rPr>
                <w:lang w:val="es-ES"/>
              </w:rPr>
              <w:t>r</w:t>
            </w:r>
            <w:r w:rsidR="00D412E0" w:rsidRPr="00D412E0">
              <w:rPr>
                <w:lang w:val="es-ES"/>
              </w:rPr>
              <w:t xml:space="preserve">egión </w:t>
            </w:r>
            <w:r w:rsidR="00CB705F" w:rsidRPr="00D412E0">
              <w:rPr>
                <w:lang w:val="es-ES"/>
              </w:rPr>
              <w:t>á</w:t>
            </w:r>
            <w:r w:rsidR="00D412E0" w:rsidRPr="00D412E0">
              <w:rPr>
                <w:lang w:val="es-ES"/>
              </w:rPr>
              <w:t xml:space="preserve">rabe. En el evento se fomentó la compartición de conocimientos, se analizaron soluciones colaborativas, se destacaron enfoques innovadores y se </w:t>
            </w:r>
            <w:r w:rsidR="00D412E0" w:rsidRPr="00D412E0">
              <w:rPr>
                <w:b/>
                <w:bCs/>
                <w:lang w:val="es-ES"/>
              </w:rPr>
              <w:t>promovió la cartografía de la banda ancha y la colaboración multipartita para impulsar la transformación digital por conducto de los datos empíricos y la participación de múltiples partes interesadas</w:t>
            </w:r>
            <w:r w:rsidR="00D412E0" w:rsidRPr="00D412E0">
              <w:rPr>
                <w:lang w:val="es-ES"/>
              </w:rPr>
              <w:t>. En este taller se sentaron las bases para conseguir alianzas eficaces y estrategias viables para fomentar y promover la conectividad universal y efectiva sostenible en la región.</w:t>
            </w:r>
          </w:p>
          <w:p w14:paraId="759807E3" w14:textId="48B1923E"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r w:rsidR="00D412E0" w:rsidRPr="00D412E0">
              <w:rPr>
                <w:b/>
                <w:bCs/>
                <w:lang w:val="es-ES"/>
              </w:rPr>
              <w:t>En Asia-Pacífico</w:t>
            </w:r>
            <w:r w:rsidR="00D412E0" w:rsidRPr="004711CF">
              <w:rPr>
                <w:lang w:val="es-ES"/>
              </w:rPr>
              <w:t xml:space="preserve">, </w:t>
            </w:r>
            <w:r w:rsidR="00D412E0" w:rsidRPr="00D412E0">
              <w:rPr>
                <w:lang w:val="es-ES"/>
              </w:rPr>
              <w:t>con la ayuda del MSIT de la República de Corea, se impartieron formaciones nacionales sobre planificación, cartografía y análisis de la infraestructura de banda ancha en Indonesia (17-18</w:t>
            </w:r>
            <w:r w:rsidR="004711CF">
              <w:rPr>
                <w:lang w:val="es-ES"/>
              </w:rPr>
              <w:t> </w:t>
            </w:r>
            <w:r w:rsidR="00D412E0" w:rsidRPr="00D412E0">
              <w:rPr>
                <w:lang w:val="es-ES"/>
              </w:rPr>
              <w:t>de febrero de 2025) y Malasia (20-21 de febrero de 2025). Utilizando un enfoque práctico con herramientas de código abierto, los participantes de diversos departamentos del Gobierno adquirieron competencias en materia de recopilación, análisis y visualización de los datos de infraestructuras de TIC y para la planificación y optimización de las redes de banda ancha. Gracias a la formación, los participantes mejoraron sus competencias para identificar carencias de conectividad, planificar proyectos infraestructurales y tomar, basándose en los datos, decisiones para ampliar el acceso a la banda ancha en zonas sin conexión o insuficientemente conectadas.</w:t>
            </w:r>
          </w:p>
          <w:p w14:paraId="64738BEB" w14:textId="7AD1B315" w:rsidR="00D412E0" w:rsidRPr="00D412E0" w:rsidRDefault="00D412E0" w:rsidP="0051341D">
            <w:pPr>
              <w:pStyle w:val="Tabletext"/>
              <w:ind w:left="567"/>
              <w:rPr>
                <w:lang w:val="es-ES"/>
              </w:rPr>
            </w:pPr>
            <w:r w:rsidRPr="00D412E0">
              <w:rPr>
                <w:lang w:val="es-ES"/>
              </w:rPr>
              <w:t>Con el apoyo del Departamento de Infraestructura, Transporte, Desarrollo Regional, Comunicaciones y Artes (DIRDCA) de Australia, la OR-ASP organizó una clase magistral sobre el desarrollo inclusivo y resiliente de la radiodifusión en el marco de la 19</w:t>
            </w:r>
            <w:r w:rsidR="00B41069">
              <w:rPr>
                <w:lang w:val="es-ES"/>
              </w:rPr>
              <w:t>.</w:t>
            </w:r>
            <w:r w:rsidRPr="00D412E0">
              <w:rPr>
                <w:lang w:val="es-ES"/>
              </w:rPr>
              <w:t>ª</w:t>
            </w:r>
            <w:r w:rsidR="00B41069">
              <w:rPr>
                <w:lang w:val="es-ES"/>
              </w:rPr>
              <w:t> </w:t>
            </w:r>
            <w:r w:rsidRPr="00D412E0">
              <w:rPr>
                <w:lang w:val="es-ES"/>
              </w:rPr>
              <w:t>Cumbre de Medios de Asia de 2024. El evento fue acogido por el AIBD. En el evento se fomentó la adopción de nuevas tecnologías y estrategias en la producción, distribución y otros departamentos de radiodifusión para el desarrollo sostenible.</w:t>
            </w:r>
          </w:p>
          <w:p w14:paraId="3FCBAB56" w14:textId="156A8CBB" w:rsidR="00D412E0" w:rsidRPr="00D412E0" w:rsidRDefault="00D412E0" w:rsidP="0051341D">
            <w:pPr>
              <w:pStyle w:val="Tabletext"/>
              <w:ind w:left="567"/>
              <w:rPr>
                <w:lang w:val="es-ES"/>
              </w:rPr>
            </w:pPr>
            <w:r w:rsidRPr="00D412E0">
              <w:rPr>
                <w:lang w:val="es-ES"/>
              </w:rPr>
              <w:t>Taller de la UIT sobre cuadros nacionales de atribución de bandas de frecuencias para la Región</w:t>
            </w:r>
            <w:r w:rsidR="008C47AB">
              <w:rPr>
                <w:lang w:val="es-ES"/>
              </w:rPr>
              <w:t> </w:t>
            </w:r>
            <w:r w:rsidRPr="00D412E0">
              <w:rPr>
                <w:lang w:val="es-ES"/>
              </w:rPr>
              <w:t>3 (RR), 28-31 de mayo de</w:t>
            </w:r>
            <w:r w:rsidR="00836C5A">
              <w:rPr>
                <w:lang w:val="es-ES"/>
              </w:rPr>
              <w:t> </w:t>
            </w:r>
            <w:r w:rsidRPr="00D412E0">
              <w:rPr>
                <w:lang w:val="es-ES"/>
              </w:rPr>
              <w:t xml:space="preserve">2024, Shanghái </w:t>
            </w:r>
            <w:r w:rsidR="008C47AB">
              <w:rPr>
                <w:lang w:val="es-ES"/>
              </w:rPr>
              <w:t>(</w:t>
            </w:r>
            <w:r w:rsidRPr="00D412E0">
              <w:rPr>
                <w:lang w:val="es-ES"/>
              </w:rPr>
              <w:t>República Popular de China</w:t>
            </w:r>
            <w:r w:rsidR="008C47AB">
              <w:rPr>
                <w:lang w:val="es-ES"/>
              </w:rPr>
              <w:t>)</w:t>
            </w:r>
            <w:r w:rsidRPr="00D412E0">
              <w:rPr>
                <w:lang w:val="es-ES"/>
              </w:rPr>
              <w:t>. El taller reunió a 70</w:t>
            </w:r>
            <w:r w:rsidR="004711CF">
              <w:rPr>
                <w:lang w:val="es-ES"/>
              </w:rPr>
              <w:t> </w:t>
            </w:r>
            <w:r w:rsidRPr="00D412E0">
              <w:rPr>
                <w:lang w:val="es-ES"/>
              </w:rPr>
              <w:t>participantes de diez países para examinar los desafíos relativos a la atribución regional de frecuencias. El principal resultado fue el compromiso de armonizar los cuadros nacionales de atribución de bandas de frecuencias, que mejorará la conectividad transfronteriza en la Región</w:t>
            </w:r>
            <w:r w:rsidR="00F07B92">
              <w:rPr>
                <w:lang w:val="es-ES"/>
              </w:rPr>
              <w:t> </w:t>
            </w:r>
            <w:r w:rsidRPr="00D412E0">
              <w:rPr>
                <w:lang w:val="es-ES"/>
              </w:rPr>
              <w:t>3 y beneficiará a más de 500</w:t>
            </w:r>
            <w:r w:rsidR="00F07B92">
              <w:rPr>
                <w:lang w:val="es-ES"/>
              </w:rPr>
              <w:t> </w:t>
            </w:r>
            <w:r w:rsidRPr="00D412E0">
              <w:rPr>
                <w:lang w:val="es-ES"/>
              </w:rPr>
              <w:t>millones de usuarios de aquí a 2030. La OR-ASP se aseguró de que la labor de la</w:t>
            </w:r>
            <w:r w:rsidR="00F07B92">
              <w:rPr>
                <w:lang w:val="es-ES"/>
              </w:rPr>
              <w:t> </w:t>
            </w:r>
            <w:r w:rsidRPr="00D412E0">
              <w:rPr>
                <w:lang w:val="es-ES"/>
              </w:rPr>
              <w:t>BDT sobre la gestión nacional del espectro se presentarse debidamente destacando el</w:t>
            </w:r>
            <w:r w:rsidR="00F07B92">
              <w:rPr>
                <w:lang w:val="es-ES"/>
              </w:rPr>
              <w:t> </w:t>
            </w:r>
            <w:r w:rsidRPr="00D412E0">
              <w:rPr>
                <w:lang w:val="es-ES"/>
              </w:rPr>
              <w:t>SMS4DC como la principal herramienta nacional de automatización de la gestión del espectro, y compartiendo las actividades clave de la OR-ASP y la asistencia directa prestada a los países sobre las cuestiones relativas a la gestión nacional del espectro y la comprobación técnica de</w:t>
            </w:r>
            <w:r w:rsidR="00F07B92">
              <w:rPr>
                <w:lang w:val="es-ES"/>
              </w:rPr>
              <w:t> </w:t>
            </w:r>
            <w:r w:rsidRPr="00D412E0">
              <w:rPr>
                <w:lang w:val="es-ES"/>
              </w:rPr>
              <w:t>RF.</w:t>
            </w:r>
          </w:p>
          <w:p w14:paraId="0378CA7A" w14:textId="50ED6596" w:rsidR="00D412E0" w:rsidRPr="00D412E0" w:rsidRDefault="00D412E0" w:rsidP="0051341D">
            <w:pPr>
              <w:pStyle w:val="Tabletext"/>
              <w:ind w:left="567"/>
              <w:rPr>
                <w:lang w:val="es-ES"/>
              </w:rPr>
            </w:pPr>
            <w:r w:rsidRPr="00D412E0">
              <w:rPr>
                <w:lang w:val="es-ES"/>
              </w:rPr>
              <w:t xml:space="preserve">Formación sobre el SMS4DC, 29 de abril </w:t>
            </w:r>
            <w:r w:rsidR="008C47AB" w:rsidRPr="008C47AB">
              <w:rPr>
                <w:lang w:val="es-ES"/>
              </w:rPr>
              <w:t>–</w:t>
            </w:r>
            <w:r w:rsidRPr="00D412E0">
              <w:rPr>
                <w:lang w:val="es-ES"/>
              </w:rPr>
              <w:t xml:space="preserve"> 2 de mayo de</w:t>
            </w:r>
            <w:r w:rsidR="008C47AB">
              <w:rPr>
                <w:lang w:val="es-ES"/>
              </w:rPr>
              <w:t> </w:t>
            </w:r>
            <w:r w:rsidRPr="00D412E0">
              <w:rPr>
                <w:lang w:val="es-ES"/>
              </w:rPr>
              <w:t>2024, Vanuatu. La UIT organizó una formación sobre el SMS4DC durante la 28</w:t>
            </w:r>
            <w:r w:rsidR="00B41069">
              <w:rPr>
                <w:lang w:val="es-ES"/>
              </w:rPr>
              <w:t>.</w:t>
            </w:r>
            <w:r w:rsidRPr="00D412E0">
              <w:rPr>
                <w:lang w:val="es-ES"/>
              </w:rPr>
              <w:t>ª</w:t>
            </w:r>
            <w:r w:rsidR="00B41069">
              <w:rPr>
                <w:lang w:val="es-ES"/>
              </w:rPr>
              <w:t> </w:t>
            </w:r>
            <w:r w:rsidRPr="00D412E0">
              <w:rPr>
                <w:lang w:val="es-ES"/>
              </w:rPr>
              <w:t>Asamblea General Anual de la PITA celebrada en Vanuatu. En este contexto se impartió formación a participantes de diez PEID del Pacífico en materia de automatización de procesos de gestión del espectro. Se recibieron comentarios positivos y los participantes mejoraron sus capacidades técnicas para gestionar eficazmente el espectro utilizando el SMS4DC.</w:t>
            </w:r>
          </w:p>
          <w:p w14:paraId="4BFC61B1" w14:textId="7458570D" w:rsidR="00D412E0" w:rsidRPr="00D412E0" w:rsidRDefault="00D412E0" w:rsidP="0051341D">
            <w:pPr>
              <w:pStyle w:val="Tabletext"/>
              <w:ind w:left="567"/>
              <w:rPr>
                <w:lang w:val="es-ES"/>
              </w:rPr>
            </w:pPr>
            <w:r w:rsidRPr="00D412E0">
              <w:rPr>
                <w:lang w:val="es-ES"/>
              </w:rPr>
              <w:lastRenderedPageBreak/>
              <w:t>Reunión del Grupo de Usuarios de Syniverse en la región de Asia</w:t>
            </w:r>
            <w:r w:rsidR="0061116D">
              <w:rPr>
                <w:lang w:val="es-ES"/>
              </w:rPr>
              <w:noBreakHyphen/>
            </w:r>
            <w:r w:rsidRPr="00D412E0">
              <w:rPr>
                <w:lang w:val="es-ES"/>
              </w:rPr>
              <w:t xml:space="preserve">Pacífico, 8-9 de mayo de 2024, Bangkok </w:t>
            </w:r>
            <w:r w:rsidR="008C47AB">
              <w:rPr>
                <w:lang w:val="es-ES"/>
              </w:rPr>
              <w:t>(</w:t>
            </w:r>
            <w:r w:rsidRPr="00D412E0">
              <w:rPr>
                <w:lang w:val="es-ES"/>
              </w:rPr>
              <w:t>Tailandia</w:t>
            </w:r>
            <w:r w:rsidR="008C47AB">
              <w:rPr>
                <w:lang w:val="es-ES"/>
              </w:rPr>
              <w:t>)</w:t>
            </w:r>
            <w:r w:rsidRPr="00D412E0">
              <w:rPr>
                <w:lang w:val="es-ES"/>
              </w:rPr>
              <w:t>. La</w:t>
            </w:r>
            <w:r w:rsidR="008C47AB">
              <w:rPr>
                <w:lang w:val="es-ES"/>
              </w:rPr>
              <w:t> </w:t>
            </w:r>
            <w:r w:rsidRPr="00D412E0">
              <w:rPr>
                <w:lang w:val="es-ES"/>
              </w:rPr>
              <w:t>UIT estuvo presente en la Reunión del Grupo de Usuarios de Syniverse en la región de Asia</w:t>
            </w:r>
            <w:r w:rsidR="0061116D">
              <w:rPr>
                <w:lang w:val="es-ES"/>
              </w:rPr>
              <w:noBreakHyphen/>
            </w:r>
            <w:r w:rsidRPr="00D412E0">
              <w:rPr>
                <w:lang w:val="es-ES"/>
              </w:rPr>
              <w:t>Pacífico, en la que se examinaron los principales factores para lograr el despliegue de la 5G en Asia</w:t>
            </w:r>
            <w:r w:rsidR="00E16C6B">
              <w:rPr>
                <w:lang w:val="es-ES"/>
              </w:rPr>
              <w:noBreakHyphen/>
            </w:r>
            <w:r w:rsidRPr="00D412E0">
              <w:rPr>
                <w:lang w:val="es-ES"/>
              </w:rPr>
              <w:t>Pacífico y se intercambiaron análisis de datos y experiencias en la región. El evento fue organizado por Syniverse Technologies (China) Limited, nuevo Miembro del</w:t>
            </w:r>
            <w:r w:rsidR="008C47AB">
              <w:rPr>
                <w:lang w:val="es-ES"/>
              </w:rPr>
              <w:t> </w:t>
            </w:r>
            <w:r w:rsidRPr="00D412E0">
              <w:rPr>
                <w:lang w:val="es-ES"/>
              </w:rPr>
              <w:t>UIT</w:t>
            </w:r>
            <w:r w:rsidR="008C47AB">
              <w:rPr>
                <w:lang w:val="es-ES"/>
              </w:rPr>
              <w:noBreakHyphen/>
            </w:r>
            <w:r w:rsidRPr="00D412E0">
              <w:rPr>
                <w:lang w:val="es-ES"/>
              </w:rPr>
              <w:t>D. La UIT destacó la importancia de utilizar datos estadísticos para orientar la adopción de la 5G y la toma de decisiones reglamentarias.</w:t>
            </w:r>
          </w:p>
          <w:p w14:paraId="2C3CA60F" w14:textId="3446DDB4" w:rsidR="00D412E0" w:rsidRPr="00D412E0" w:rsidRDefault="00D412E0" w:rsidP="0051341D">
            <w:pPr>
              <w:pStyle w:val="Tabletext"/>
              <w:ind w:left="567"/>
              <w:rPr>
                <w:lang w:val="es-ES"/>
              </w:rPr>
            </w:pPr>
            <w:r w:rsidRPr="00D412E0">
              <w:rPr>
                <w:lang w:val="es-ES"/>
              </w:rPr>
              <w:t xml:space="preserve">Cumbre de las TIC en Asia-Pacífico, 14 de agosto de 2024, Bangkok </w:t>
            </w:r>
            <w:r w:rsidR="008C47AB">
              <w:rPr>
                <w:lang w:val="es-ES"/>
              </w:rPr>
              <w:t>(</w:t>
            </w:r>
            <w:r w:rsidRPr="00D412E0">
              <w:rPr>
                <w:lang w:val="es-ES"/>
              </w:rPr>
              <w:t>Tailandia</w:t>
            </w:r>
            <w:r w:rsidR="008C47AB">
              <w:rPr>
                <w:lang w:val="es-ES"/>
              </w:rPr>
              <w:t>)</w:t>
            </w:r>
            <w:r w:rsidRPr="00D412E0">
              <w:rPr>
                <w:lang w:val="es-ES"/>
              </w:rPr>
              <w:t xml:space="preserve">. La UIT presentó las concusiones principales del Informe sobre los </w:t>
            </w:r>
            <w:r w:rsidR="00F07B92" w:rsidRPr="00D412E0">
              <w:rPr>
                <w:lang w:val="es-ES"/>
              </w:rPr>
              <w:t>f</w:t>
            </w:r>
            <w:r w:rsidRPr="00D412E0">
              <w:rPr>
                <w:lang w:val="es-ES"/>
              </w:rPr>
              <w:t xml:space="preserve">actores </w:t>
            </w:r>
            <w:r w:rsidR="00F07B92" w:rsidRPr="00D412E0">
              <w:rPr>
                <w:lang w:val="es-ES"/>
              </w:rPr>
              <w:t>h</w:t>
            </w:r>
            <w:r w:rsidRPr="00D412E0">
              <w:rPr>
                <w:lang w:val="es-ES"/>
              </w:rPr>
              <w:t>abilitadores de la 5G, en el que se examinan los factores esenciales que influyen en el desarrollo de la 5G en la región de Asia</w:t>
            </w:r>
            <w:r w:rsidR="0061116D">
              <w:rPr>
                <w:lang w:val="es-ES"/>
              </w:rPr>
              <w:noBreakHyphen/>
            </w:r>
            <w:r w:rsidRPr="00D412E0">
              <w:rPr>
                <w:lang w:val="es-ES"/>
              </w:rPr>
              <w:t>Pacífico. La sesión estrechó la colaboración entre la UIT y Huawei en materia de apoyo a la transformación digital en la región.</w:t>
            </w:r>
          </w:p>
          <w:p w14:paraId="2DBB505D" w14:textId="1CB29E4C" w:rsidR="00D412E0" w:rsidRPr="00D412E0" w:rsidRDefault="00D412E0" w:rsidP="0051341D">
            <w:pPr>
              <w:pStyle w:val="Tabletext"/>
              <w:ind w:left="567"/>
              <w:rPr>
                <w:lang w:val="es-ES"/>
              </w:rPr>
            </w:pPr>
            <w:r w:rsidRPr="00541986">
              <w:rPr>
                <w:lang w:val="es-ES"/>
              </w:rPr>
              <w:t>Reunión</w:t>
            </w:r>
            <w:r w:rsidRPr="00D412E0">
              <w:rPr>
                <w:lang w:val="es-ES"/>
              </w:rPr>
              <w:t xml:space="preserve"> del </w:t>
            </w:r>
            <w:r w:rsidR="00541986">
              <w:rPr>
                <w:lang w:val="es-ES"/>
              </w:rPr>
              <w:t>e</w:t>
            </w:r>
            <w:r w:rsidRPr="00D412E0">
              <w:rPr>
                <w:lang w:val="es-ES"/>
              </w:rPr>
              <w:t xml:space="preserve">quipo </w:t>
            </w:r>
            <w:r w:rsidR="00541986">
              <w:rPr>
                <w:lang w:val="es-ES"/>
              </w:rPr>
              <w:t>e</w:t>
            </w:r>
            <w:r w:rsidRPr="00D412E0">
              <w:rPr>
                <w:lang w:val="es-ES"/>
              </w:rPr>
              <w:t xml:space="preserve">stratégico del AIBD, 14 de marzo de 2024, </w:t>
            </w:r>
            <w:r w:rsidR="00541986">
              <w:rPr>
                <w:lang w:val="es-ES"/>
              </w:rPr>
              <w:t>v</w:t>
            </w:r>
            <w:r w:rsidRPr="00D412E0">
              <w:rPr>
                <w:lang w:val="es-ES"/>
              </w:rPr>
              <w:t xml:space="preserve">irtual. La UIT participó como asesora en la </w:t>
            </w:r>
            <w:r w:rsidR="00541986">
              <w:rPr>
                <w:lang w:val="es-ES"/>
              </w:rPr>
              <w:t>r</w:t>
            </w:r>
            <w:r w:rsidRPr="00D412E0">
              <w:rPr>
                <w:lang w:val="es-ES"/>
              </w:rPr>
              <w:t xml:space="preserve">eunión del </w:t>
            </w:r>
            <w:r w:rsidR="00541986">
              <w:rPr>
                <w:lang w:val="es-ES"/>
              </w:rPr>
              <w:t>e</w:t>
            </w:r>
            <w:r w:rsidRPr="00D412E0">
              <w:rPr>
                <w:lang w:val="es-ES"/>
              </w:rPr>
              <w:t xml:space="preserve">quipo </w:t>
            </w:r>
            <w:r w:rsidR="00541986">
              <w:rPr>
                <w:lang w:val="es-ES"/>
              </w:rPr>
              <w:t>e</w:t>
            </w:r>
            <w:r w:rsidRPr="00D412E0">
              <w:rPr>
                <w:lang w:val="es-ES"/>
              </w:rPr>
              <w:t>stratégico del AIBD, que congregó a entidades de radiodifusión y asociados de Asia</w:t>
            </w:r>
            <w:r w:rsidR="00E16C6B">
              <w:rPr>
                <w:lang w:val="es-ES"/>
              </w:rPr>
              <w:noBreakHyphen/>
            </w:r>
            <w:r w:rsidRPr="00D412E0">
              <w:rPr>
                <w:lang w:val="es-ES"/>
              </w:rPr>
              <w:t>Pacífico. Los debates se centraron en el examen de las actividades y proyectos llevados a cabo por el AIBD y en la definición de iniciativas futuras. En el marco de su participación, la UIT hizo énfasis en la colaboración en el sector de la radiodifusión a fin de mejorar la transformación digital y la formulación de políticas en la región.</w:t>
            </w:r>
          </w:p>
          <w:p w14:paraId="0606BB22" w14:textId="1B177451" w:rsidR="00D412E0" w:rsidRPr="00D412E0" w:rsidRDefault="00D412E0" w:rsidP="0051341D">
            <w:pPr>
              <w:pStyle w:val="Tabletext"/>
              <w:ind w:left="567"/>
              <w:rPr>
                <w:lang w:val="es-ES"/>
              </w:rPr>
            </w:pPr>
            <w:r w:rsidRPr="00D412E0">
              <w:rPr>
                <w:lang w:val="es-ES"/>
              </w:rPr>
              <w:t xml:space="preserve">Del 1 al 2 de octubre de 2024, sobre la base de la fructífera colaboración de 2023, la UIT y el Grupo Internacional de </w:t>
            </w:r>
            <w:r w:rsidR="00541986">
              <w:rPr>
                <w:lang w:val="es-ES"/>
              </w:rPr>
              <w:t>e</w:t>
            </w:r>
            <w:r w:rsidRPr="00D412E0">
              <w:rPr>
                <w:lang w:val="es-ES"/>
              </w:rPr>
              <w:t xml:space="preserve">studios para los países en desarrollo sin litoral (ITTLLDC) coorganizaron un seminario en Ulán Bator </w:t>
            </w:r>
            <w:r w:rsidR="008C47AB">
              <w:rPr>
                <w:lang w:val="es-ES"/>
              </w:rPr>
              <w:t>(</w:t>
            </w:r>
            <w:r w:rsidRPr="00D412E0">
              <w:rPr>
                <w:lang w:val="es-ES"/>
              </w:rPr>
              <w:t>Mongolia</w:t>
            </w:r>
            <w:r w:rsidR="008C47AB">
              <w:rPr>
                <w:lang w:val="es-ES"/>
              </w:rPr>
              <w:t>)</w:t>
            </w:r>
            <w:r w:rsidRPr="00D412E0">
              <w:rPr>
                <w:lang w:val="es-ES"/>
              </w:rPr>
              <w:t>, con el apoyo del DIRDCA de Australia, a fin de resaltar y examinar la manera en que los servicios por satélite y espaciales pueden facilitar una conectividad asequible, resiliente y universal. El evento incluyó 10</w:t>
            </w:r>
            <w:r w:rsidR="008C47AB">
              <w:rPr>
                <w:lang w:val="es-ES"/>
              </w:rPr>
              <w:t> </w:t>
            </w:r>
            <w:r w:rsidRPr="00D412E0">
              <w:rPr>
                <w:lang w:val="es-ES"/>
              </w:rPr>
              <w:t>estudios de casos de países y sesiones relacionadas con la reglamentación de los satélites y las políticas espaciales. En torno a 50</w:t>
            </w:r>
            <w:r w:rsidR="008C47AB">
              <w:rPr>
                <w:lang w:val="es-ES"/>
              </w:rPr>
              <w:t> </w:t>
            </w:r>
            <w:r w:rsidRPr="00D412E0">
              <w:rPr>
                <w:lang w:val="es-ES"/>
              </w:rPr>
              <w:t>participantes de más de 15</w:t>
            </w:r>
            <w:r w:rsidR="008C47AB">
              <w:rPr>
                <w:lang w:val="es-ES"/>
              </w:rPr>
              <w:t> </w:t>
            </w:r>
            <w:r w:rsidRPr="00D412E0">
              <w:rPr>
                <w:lang w:val="es-ES"/>
              </w:rPr>
              <w:t>países asistieron presencialmente al evento. La sesión también contó con un segmento dedicado a P2C en el que, por primera vez, se presentaron nuevos compromisos de entidades mongolas. También se resaltaron compromisos relacionados con la conectividad y los satélites para que los delegados y los países manifestasen su interés, a fin de facilitar posibles correspondencias entre los ponentes y los demás participantes.</w:t>
            </w:r>
          </w:p>
          <w:p w14:paraId="4B45B56F" w14:textId="79D6DB52" w:rsidR="00D412E0" w:rsidRPr="00D412E0" w:rsidRDefault="00D412E0" w:rsidP="00836C5A">
            <w:pPr>
              <w:pStyle w:val="Tabletext"/>
              <w:ind w:left="567"/>
              <w:rPr>
                <w:lang w:val="es-ES"/>
              </w:rPr>
            </w:pPr>
            <w:r w:rsidRPr="00D412E0">
              <w:rPr>
                <w:lang w:val="es-ES"/>
              </w:rPr>
              <w:t>Por invitación de la Comisión de Comunicaciones y Multimedios de Malasia, la</w:t>
            </w:r>
            <w:r w:rsidR="008C47AB">
              <w:rPr>
                <w:lang w:val="es-ES"/>
              </w:rPr>
              <w:t> </w:t>
            </w:r>
            <w:r w:rsidRPr="00D412E0">
              <w:rPr>
                <w:lang w:val="es-ES"/>
              </w:rPr>
              <w:t xml:space="preserve">BDT participó en la serie Perspectivas Digitales de 2024, cuyo tema era </w:t>
            </w:r>
            <w:r w:rsidR="00CB53AE">
              <w:rPr>
                <w:lang w:val="es-ES"/>
              </w:rPr>
              <w:t>"</w:t>
            </w:r>
            <w:r w:rsidRPr="00D412E0">
              <w:rPr>
                <w:lang w:val="es-ES"/>
              </w:rPr>
              <w:t xml:space="preserve">Innovaciones en órbita: </w:t>
            </w:r>
            <w:r w:rsidR="00541986" w:rsidRPr="00D412E0">
              <w:rPr>
                <w:lang w:val="es-ES"/>
              </w:rPr>
              <w:t>d</w:t>
            </w:r>
            <w:r w:rsidRPr="00D412E0">
              <w:rPr>
                <w:lang w:val="es-ES"/>
              </w:rPr>
              <w:t>escubrir el futuro de las comunicaciones por satélite</w:t>
            </w:r>
            <w:r w:rsidR="00CB53AE">
              <w:rPr>
                <w:lang w:val="es-ES"/>
              </w:rPr>
              <w:t>"</w:t>
            </w:r>
            <w:r w:rsidRPr="00D412E0">
              <w:rPr>
                <w:lang w:val="es-ES"/>
              </w:rPr>
              <w:t>, celebrada en octubre de 2024. La</w:t>
            </w:r>
            <w:r w:rsidR="00220AA2">
              <w:rPr>
                <w:lang w:val="es-ES"/>
              </w:rPr>
              <w:t> </w:t>
            </w:r>
            <w:r w:rsidRPr="00D412E0">
              <w:rPr>
                <w:lang w:val="es-ES"/>
              </w:rPr>
              <w:t>BDT presentó los mecanismos reguladores internacionales de las comunicaciones por satélite, incluidas las decisiones de la CMR-23 y los puntos del orden del día de la</w:t>
            </w:r>
            <w:r w:rsidR="00541986">
              <w:rPr>
                <w:lang w:val="es-ES"/>
              </w:rPr>
              <w:t> </w:t>
            </w:r>
            <w:r w:rsidRPr="00D412E0">
              <w:rPr>
                <w:lang w:val="es-ES"/>
              </w:rPr>
              <w:t>CMR-27 relacionados con las comunicaciones por satélite, en particular los sistemas no</w:t>
            </w:r>
            <w:r w:rsidR="008C47AB">
              <w:rPr>
                <w:lang w:val="es-ES"/>
              </w:rPr>
              <w:t> </w:t>
            </w:r>
            <w:r w:rsidRPr="00D412E0">
              <w:rPr>
                <w:lang w:val="es-ES"/>
              </w:rPr>
              <w:t>OSG, las redes no terrenales y las HIBS. Entre los resultados de la sesión también se comunicaron los principales resultados del evento UIT-ITTLLDC</w:t>
            </w:r>
            <w:r w:rsidR="00541986">
              <w:rPr>
                <w:lang w:val="es-ES"/>
              </w:rPr>
              <w:t> </w:t>
            </w:r>
            <w:r w:rsidRPr="00D412E0">
              <w:rPr>
                <w:lang w:val="es-ES"/>
              </w:rPr>
              <w:t>2024 en relación con las políticas y normas espaciales nacionales.</w:t>
            </w:r>
          </w:p>
          <w:p w14:paraId="4C4E3200" w14:textId="4ECC1BBA" w:rsidR="00D412E0" w:rsidRPr="00D412E0" w:rsidRDefault="00D412E0" w:rsidP="003C4DD2">
            <w:pPr>
              <w:pStyle w:val="Tabletext"/>
              <w:keepNext/>
              <w:keepLines/>
              <w:ind w:left="567"/>
              <w:rPr>
                <w:lang w:val="es-ES"/>
              </w:rPr>
            </w:pPr>
            <w:r w:rsidRPr="00D412E0">
              <w:rPr>
                <w:lang w:val="es-ES"/>
              </w:rPr>
              <w:lastRenderedPageBreak/>
              <w:t>En octubre de 2024, la</w:t>
            </w:r>
            <w:r w:rsidR="00220AA2">
              <w:rPr>
                <w:lang w:val="es-ES"/>
              </w:rPr>
              <w:t> </w:t>
            </w:r>
            <w:r w:rsidRPr="00D412E0">
              <w:rPr>
                <w:lang w:val="es-ES"/>
              </w:rPr>
              <w:t xml:space="preserve">BDT participó en el taller final del proyecto de </w:t>
            </w:r>
            <w:r w:rsidR="00595059">
              <w:rPr>
                <w:lang w:val="es-ES"/>
              </w:rPr>
              <w:t xml:space="preserve">la </w:t>
            </w:r>
            <w:r w:rsidRPr="00D412E0">
              <w:rPr>
                <w:lang w:val="es-ES"/>
              </w:rPr>
              <w:t xml:space="preserve">ASEAN relativo a las </w:t>
            </w:r>
            <w:r w:rsidR="00541986" w:rsidRPr="00D412E0">
              <w:rPr>
                <w:lang w:val="es-ES"/>
              </w:rPr>
              <w:t>o</w:t>
            </w:r>
            <w:r w:rsidRPr="00D412E0">
              <w:rPr>
                <w:lang w:val="es-ES"/>
              </w:rPr>
              <w:t xml:space="preserve">rientaciones en materia de </w:t>
            </w:r>
            <w:r w:rsidR="00541986" w:rsidRPr="00D412E0">
              <w:rPr>
                <w:lang w:val="es-ES"/>
              </w:rPr>
              <w:t>c</w:t>
            </w:r>
            <w:r w:rsidRPr="00D412E0">
              <w:rPr>
                <w:lang w:val="es-ES"/>
              </w:rPr>
              <w:t xml:space="preserve">omprobación </w:t>
            </w:r>
            <w:r w:rsidR="00541986" w:rsidRPr="00D412E0">
              <w:rPr>
                <w:lang w:val="es-ES"/>
              </w:rPr>
              <w:t>t</w:t>
            </w:r>
            <w:r w:rsidRPr="00D412E0">
              <w:rPr>
                <w:lang w:val="es-ES"/>
              </w:rPr>
              <w:t xml:space="preserve">écnica </w:t>
            </w:r>
            <w:r w:rsidR="00541986" w:rsidRPr="00D412E0">
              <w:rPr>
                <w:lang w:val="es-ES"/>
              </w:rPr>
              <w:t>a</w:t>
            </w:r>
            <w:r w:rsidRPr="00D412E0">
              <w:rPr>
                <w:lang w:val="es-ES"/>
              </w:rPr>
              <w:t xml:space="preserve">vanzada del </w:t>
            </w:r>
            <w:r w:rsidR="00541986" w:rsidRPr="00D412E0">
              <w:rPr>
                <w:lang w:val="es-ES"/>
              </w:rPr>
              <w:t>e</w:t>
            </w:r>
            <w:r w:rsidRPr="00D412E0">
              <w:rPr>
                <w:lang w:val="es-ES"/>
              </w:rPr>
              <w:t xml:space="preserve">spectro respecto de la </w:t>
            </w:r>
            <w:r w:rsidR="00541986" w:rsidRPr="00D412E0">
              <w:rPr>
                <w:lang w:val="es-ES"/>
              </w:rPr>
              <w:t>t</w:t>
            </w:r>
            <w:r w:rsidRPr="00D412E0">
              <w:rPr>
                <w:lang w:val="es-ES"/>
              </w:rPr>
              <w:t xml:space="preserve">ecnología de </w:t>
            </w:r>
            <w:r w:rsidR="00541986" w:rsidRPr="00D412E0">
              <w:rPr>
                <w:lang w:val="es-ES"/>
              </w:rPr>
              <w:t>b</w:t>
            </w:r>
            <w:r w:rsidRPr="00D412E0">
              <w:rPr>
                <w:lang w:val="es-ES"/>
              </w:rPr>
              <w:t xml:space="preserve">anda </w:t>
            </w:r>
            <w:r w:rsidR="00541986" w:rsidRPr="00D412E0">
              <w:rPr>
                <w:lang w:val="es-ES"/>
              </w:rPr>
              <w:t>a</w:t>
            </w:r>
            <w:r w:rsidRPr="00D412E0">
              <w:rPr>
                <w:lang w:val="es-ES"/>
              </w:rPr>
              <w:t xml:space="preserve">ncha </w:t>
            </w:r>
            <w:r w:rsidR="00541986" w:rsidRPr="00D412E0">
              <w:rPr>
                <w:lang w:val="es-ES"/>
              </w:rPr>
              <w:t>m</w:t>
            </w:r>
            <w:r w:rsidRPr="00D412E0">
              <w:rPr>
                <w:lang w:val="es-ES"/>
              </w:rPr>
              <w:t>óvil para los Estados miembros de la ASEAN (Mon MBT), iniciado por Indonesia en 2022. La</w:t>
            </w:r>
            <w:r w:rsidR="00220AA2">
              <w:rPr>
                <w:lang w:val="es-ES"/>
              </w:rPr>
              <w:t> </w:t>
            </w:r>
            <w:r w:rsidRPr="00D412E0">
              <w:rPr>
                <w:lang w:val="es-ES"/>
              </w:rPr>
              <w:t>BDT presentó las últimas tendencias en materia de comprobación técnica RF, por ejemplo, el uso de la IA, los análisis basados en el aprendizaje profundo y la comprobación técnica en la nube y colectiva. La UIT presentó también las recomendaciones de la Unión relacionadas con la formulación de acuerdos regionales para mitigar los problemas de interferencia transfronteriza de RF. Los resultados del taller y el proyecto se presentarán a los Ministros de Telecomunicaciones y TI a fin de elaborar el marco de desarrollo de las TIC de la</w:t>
            </w:r>
            <w:r w:rsidR="00220AA2">
              <w:rPr>
                <w:lang w:val="es-ES"/>
              </w:rPr>
              <w:t> </w:t>
            </w:r>
            <w:r w:rsidRPr="00D412E0">
              <w:rPr>
                <w:lang w:val="es-ES"/>
              </w:rPr>
              <w:t>ASEAN para 2025.</w:t>
            </w:r>
          </w:p>
          <w:p w14:paraId="6EE0F932" w14:textId="1BA67441" w:rsidR="00D412E0" w:rsidRPr="00D412E0" w:rsidRDefault="00D412E0" w:rsidP="0051341D">
            <w:pPr>
              <w:pStyle w:val="Tabletext"/>
              <w:ind w:left="567"/>
              <w:rPr>
                <w:lang w:val="es-ES"/>
              </w:rPr>
            </w:pPr>
            <w:r w:rsidRPr="00D412E0">
              <w:rPr>
                <w:lang w:val="es-ES"/>
              </w:rPr>
              <w:t xml:space="preserve">A fin de alcanzar el objetivo de la Iniciativa </w:t>
            </w:r>
            <w:r w:rsidR="00541986" w:rsidRPr="00D412E0">
              <w:rPr>
                <w:lang w:val="es-ES"/>
              </w:rPr>
              <w:t>Regional</w:t>
            </w:r>
            <w:r w:rsidR="00541986">
              <w:rPr>
                <w:lang w:val="es-ES"/>
              </w:rPr>
              <w:t> </w:t>
            </w:r>
            <w:r w:rsidRPr="00D412E0">
              <w:rPr>
                <w:lang w:val="es-ES"/>
              </w:rPr>
              <w:t>3 para Asia-Pacífico y especialmente el resultado previsto</w:t>
            </w:r>
            <w:r w:rsidR="008C47AB">
              <w:rPr>
                <w:lang w:val="es-ES"/>
              </w:rPr>
              <w:t> </w:t>
            </w:r>
            <w:r w:rsidRPr="00D412E0">
              <w:rPr>
                <w:lang w:val="es-ES"/>
              </w:rPr>
              <w:t>6, la</w:t>
            </w:r>
            <w:r w:rsidR="008C47AB">
              <w:rPr>
                <w:lang w:val="es-ES"/>
              </w:rPr>
              <w:t> </w:t>
            </w:r>
            <w:r w:rsidRPr="00D412E0">
              <w:rPr>
                <w:lang w:val="es-ES"/>
              </w:rPr>
              <w:t>BDT prestó apoyo a la</w:t>
            </w:r>
            <w:r w:rsidR="00541986">
              <w:rPr>
                <w:lang w:val="es-ES"/>
              </w:rPr>
              <w:t> </w:t>
            </w:r>
            <w:r w:rsidRPr="00D412E0">
              <w:rPr>
                <w:lang w:val="es-ES"/>
              </w:rPr>
              <w:t xml:space="preserve">BR para organizar el </w:t>
            </w:r>
            <w:hyperlink r:id="rId32" w:history="1">
              <w:r w:rsidRPr="00D412E0">
                <w:rPr>
                  <w:rStyle w:val="Hyperlink"/>
                  <w:lang w:val="es-ES"/>
                </w:rPr>
                <w:t>Seminario Regional de Radiocomunicaciones para la región de Asia</w:t>
              </w:r>
              <w:r w:rsidR="0061116D">
                <w:rPr>
                  <w:rStyle w:val="Hyperlink"/>
                  <w:lang w:val="es-ES"/>
                </w:rPr>
                <w:noBreakHyphen/>
              </w:r>
              <w:r w:rsidRPr="00D412E0">
                <w:rPr>
                  <w:rStyle w:val="Hyperlink"/>
                  <w:lang w:val="es-ES"/>
                </w:rPr>
                <w:t>Pacífico en septiembre de 2024 en Samoa</w:t>
              </w:r>
            </w:hyperlink>
            <w:r w:rsidRPr="00D412E0">
              <w:rPr>
                <w:lang w:val="es-ES"/>
              </w:rPr>
              <w:t>. Además de prestar apoyo a la organización, la</w:t>
            </w:r>
            <w:r w:rsidR="008C47AB">
              <w:rPr>
                <w:lang w:val="es-ES"/>
              </w:rPr>
              <w:t> </w:t>
            </w:r>
            <w:r w:rsidRPr="00D412E0">
              <w:rPr>
                <w:lang w:val="es-ES"/>
              </w:rPr>
              <w:t>BDT compartió prácticas idóneas basadas en la asistencia prestada en materia de transición de la radiodifusión analógica a la digital y presentó los servicios que presta en relación con la gestión nacional del espectro, incluida la automatización gracias al</w:t>
            </w:r>
            <w:r w:rsidR="007F7F0C">
              <w:rPr>
                <w:lang w:val="es-ES"/>
              </w:rPr>
              <w:t> </w:t>
            </w:r>
            <w:r w:rsidRPr="00D412E0">
              <w:rPr>
                <w:lang w:val="es-ES"/>
              </w:rPr>
              <w:t>SMS4DC.</w:t>
            </w:r>
          </w:p>
          <w:p w14:paraId="47C4F324" w14:textId="465A951C" w:rsidR="00D412E0" w:rsidRPr="00D412E0" w:rsidRDefault="0051341D" w:rsidP="0051341D">
            <w:pPr>
              <w:pStyle w:val="Tabletext"/>
              <w:tabs>
                <w:tab w:val="clear" w:pos="284"/>
              </w:tabs>
              <w:ind w:left="567" w:hanging="567"/>
              <w:rPr>
                <w:lang w:val="es-ES"/>
              </w:rPr>
            </w:pPr>
            <w:r w:rsidRPr="0051341D">
              <w:rPr>
                <w:lang w:val="es-ES"/>
              </w:rPr>
              <w:t>–</w:t>
            </w:r>
            <w:r w:rsidR="005D057F">
              <w:rPr>
                <w:lang w:val="es-ES"/>
              </w:rPr>
              <w:tab/>
            </w:r>
            <w:r w:rsidR="00D412E0" w:rsidRPr="005D057F">
              <w:rPr>
                <w:b/>
                <w:bCs/>
                <w:lang w:val="es-ES"/>
              </w:rPr>
              <w:t>En la CEI se mejoró la capacidad de los Estados Miembros para gestionar el espectro</w:t>
            </w:r>
            <w:r w:rsidR="00D412E0" w:rsidRPr="005D057F">
              <w:rPr>
                <w:lang w:val="es-ES"/>
              </w:rPr>
              <w:t xml:space="preserve"> </w:t>
            </w:r>
            <w:r w:rsidR="00D412E0" w:rsidRPr="00D412E0">
              <w:rPr>
                <w:lang w:val="es-ES"/>
              </w:rPr>
              <w:t xml:space="preserve">por conducto del primer Seminario Regional de la UIT/OMM titulado </w:t>
            </w:r>
            <w:r w:rsidR="00CB53AE">
              <w:rPr>
                <w:lang w:val="es-ES"/>
              </w:rPr>
              <w:t>"</w:t>
            </w:r>
            <w:r w:rsidR="00D412E0" w:rsidRPr="00D412E0">
              <w:rPr>
                <w:lang w:val="es-ES"/>
              </w:rPr>
              <w:t>Observación de la Tierra para la consecución de los Objetivos de Desarrollo Sostenible: tecnologías, espectro, aplicaciones y efectos". El seminario contó con la participación de más de 100</w:t>
            </w:r>
            <w:r w:rsidR="008C47AB">
              <w:rPr>
                <w:lang w:val="es-ES"/>
              </w:rPr>
              <w:t> </w:t>
            </w:r>
            <w:r w:rsidR="00D412E0" w:rsidRPr="00D412E0">
              <w:rPr>
                <w:lang w:val="es-ES"/>
              </w:rPr>
              <w:t>especialistas y se organizó paralelamente a la reunión de los Grupos de Trabajo de la Comisión de Estudio</w:t>
            </w:r>
            <w:r w:rsidR="008C47AB">
              <w:rPr>
                <w:lang w:val="es-ES"/>
              </w:rPr>
              <w:t> </w:t>
            </w:r>
            <w:r w:rsidR="00D412E0" w:rsidRPr="00D412E0">
              <w:rPr>
                <w:lang w:val="es-ES"/>
              </w:rPr>
              <w:t>7 del</w:t>
            </w:r>
            <w:r w:rsidR="008C47AB">
              <w:rPr>
                <w:lang w:val="es-ES"/>
              </w:rPr>
              <w:t> </w:t>
            </w:r>
            <w:r w:rsidR="00D412E0" w:rsidRPr="00D412E0">
              <w:rPr>
                <w:lang w:val="es-ES"/>
              </w:rPr>
              <w:t>UIT</w:t>
            </w:r>
            <w:r w:rsidR="008C47AB">
              <w:rPr>
                <w:lang w:val="es-ES"/>
              </w:rPr>
              <w:noBreakHyphen/>
            </w:r>
            <w:r w:rsidR="00D412E0" w:rsidRPr="00D412E0">
              <w:rPr>
                <w:lang w:val="es-ES"/>
              </w:rPr>
              <w:t xml:space="preserve">R en Almaty </w:t>
            </w:r>
            <w:r w:rsidR="008C47AB">
              <w:rPr>
                <w:lang w:val="es-ES"/>
              </w:rPr>
              <w:t>(</w:t>
            </w:r>
            <w:r w:rsidR="00D412E0" w:rsidRPr="00D412E0">
              <w:rPr>
                <w:lang w:val="es-ES"/>
              </w:rPr>
              <w:t>Kazajstán</w:t>
            </w:r>
            <w:r w:rsidR="008C47AB">
              <w:rPr>
                <w:lang w:val="es-ES"/>
              </w:rPr>
              <w:t>)</w:t>
            </w:r>
            <w:r w:rsidR="00D412E0" w:rsidRPr="00D412E0">
              <w:rPr>
                <w:lang w:val="es-ES"/>
              </w:rPr>
              <w:t>.</w:t>
            </w:r>
          </w:p>
          <w:p w14:paraId="69B08F35" w14:textId="29FB7313" w:rsidR="00D412E0" w:rsidRPr="00D412E0" w:rsidRDefault="00D412E0" w:rsidP="0051341D">
            <w:pPr>
              <w:pStyle w:val="Tabletext"/>
              <w:ind w:left="567"/>
              <w:rPr>
                <w:lang w:val="es-ES"/>
              </w:rPr>
            </w:pPr>
            <w:r w:rsidRPr="00D412E0">
              <w:rPr>
                <w:b/>
                <w:bCs/>
                <w:lang w:val="es-ES"/>
              </w:rPr>
              <w:t xml:space="preserve">Se organizó una mesa redonda sobre VoLTE (voz por LTE) en Tashkent </w:t>
            </w:r>
            <w:r w:rsidR="008C47AB">
              <w:rPr>
                <w:b/>
                <w:bCs/>
                <w:lang w:val="es-ES"/>
              </w:rPr>
              <w:t>(</w:t>
            </w:r>
            <w:r w:rsidRPr="00D412E0">
              <w:rPr>
                <w:b/>
                <w:bCs/>
                <w:lang w:val="es-ES"/>
              </w:rPr>
              <w:t>Uzbekistán</w:t>
            </w:r>
            <w:r w:rsidR="008C47AB">
              <w:rPr>
                <w:b/>
                <w:bCs/>
                <w:lang w:val="es-ES"/>
              </w:rPr>
              <w:t>)</w:t>
            </w:r>
            <w:r w:rsidRPr="008C47AB">
              <w:rPr>
                <w:b/>
                <w:bCs/>
                <w:lang w:val="es-ES"/>
              </w:rPr>
              <w:t>.</w:t>
            </w:r>
            <w:r w:rsidRPr="00D412E0">
              <w:rPr>
                <w:lang w:val="es-ES"/>
              </w:rPr>
              <w:t xml:space="preserve"> Durante la mesa redonda, los operadores proporcionaron información sobre la situación actual de los servicios VoLTE y examinaron la introducción de los nuevos servicios de voz por Wi-Fi (VoWiFi) en el mercado. En la reunión también se examinaron aspectos técnicos y estrategias de aplicación de los modelos de itinerancia en VoLTE, con énfasis en el encaminamiento en red doméstica S8 (S8HR) y la salida directa local (LBO).</w:t>
            </w:r>
          </w:p>
          <w:p w14:paraId="3572CA02" w14:textId="4F510F35" w:rsidR="00D412E0" w:rsidRPr="00D412E0" w:rsidRDefault="00D412E0" w:rsidP="0051341D">
            <w:pPr>
              <w:pStyle w:val="Tabletext"/>
              <w:ind w:left="567"/>
              <w:rPr>
                <w:lang w:val="es-ES"/>
              </w:rPr>
            </w:pPr>
            <w:r w:rsidRPr="00D412E0">
              <w:rPr>
                <w:lang w:val="es-ES"/>
              </w:rPr>
              <w:t xml:space="preserve">A petición de los Estados Miembros, la UIT ha empezado a desarrollar un </w:t>
            </w:r>
            <w:r w:rsidRPr="005D057F">
              <w:rPr>
                <w:b/>
                <w:bCs/>
                <w:lang w:val="es-ES"/>
              </w:rPr>
              <w:t xml:space="preserve">programa de capacitación titulado </w:t>
            </w:r>
            <w:r w:rsidR="00CB53AE">
              <w:rPr>
                <w:b/>
                <w:bCs/>
                <w:lang w:val="es-ES"/>
              </w:rPr>
              <w:t>"</w:t>
            </w:r>
            <w:r w:rsidRPr="005D057F">
              <w:rPr>
                <w:b/>
                <w:bCs/>
                <w:lang w:val="es-ES"/>
              </w:rPr>
              <w:t>El futuro de la conectividad</w:t>
            </w:r>
            <w:r w:rsidR="00CB53AE">
              <w:rPr>
                <w:b/>
                <w:bCs/>
                <w:lang w:val="es-ES"/>
              </w:rPr>
              <w:t>"</w:t>
            </w:r>
            <w:r w:rsidRPr="005D057F">
              <w:rPr>
                <w:lang w:val="es-ES"/>
              </w:rPr>
              <w:t xml:space="preserve">. </w:t>
            </w:r>
            <w:r w:rsidRPr="00D412E0">
              <w:rPr>
                <w:lang w:val="es-ES"/>
              </w:rPr>
              <w:t>Entre otras cosas, en</w:t>
            </w:r>
            <w:r w:rsidR="00F50664">
              <w:rPr>
                <w:lang w:val="es-ES"/>
              </w:rPr>
              <w:t> </w:t>
            </w:r>
            <w:r w:rsidRPr="00D412E0">
              <w:rPr>
                <w:lang w:val="es-ES"/>
              </w:rPr>
              <w:t>2024 se celebraron consultas exhaustivas con las partes interesadas de la región y se prepararon materiales para la formación. Se prevé impartir las formaciones a los países en</w:t>
            </w:r>
            <w:r w:rsidR="00F50664">
              <w:rPr>
                <w:lang w:val="es-ES"/>
              </w:rPr>
              <w:t> </w:t>
            </w:r>
            <w:r w:rsidRPr="00D412E0">
              <w:rPr>
                <w:lang w:val="es-ES"/>
              </w:rPr>
              <w:t>2025; el primer taller, destinado a las autoridades políticas y reglamentarias, se celebró en marzo de 2025 en Armenia.</w:t>
            </w:r>
          </w:p>
          <w:p w14:paraId="0FBC7BD5" w14:textId="1F0FF27C" w:rsidR="00D412E0" w:rsidRPr="00D412E0" w:rsidRDefault="00D412E0" w:rsidP="00836C5A">
            <w:pPr>
              <w:pStyle w:val="Tabletext"/>
              <w:ind w:left="567"/>
              <w:rPr>
                <w:lang w:val="es-ES"/>
              </w:rPr>
            </w:pPr>
            <w:r w:rsidRPr="00D412E0">
              <w:rPr>
                <w:lang w:val="es-ES"/>
              </w:rPr>
              <w:t>En el marco de la Conferencia Digital Almaty anual, la</w:t>
            </w:r>
            <w:r w:rsidR="00836C5A">
              <w:rPr>
                <w:lang w:val="es-ES"/>
              </w:rPr>
              <w:t> </w:t>
            </w:r>
            <w:r w:rsidRPr="00D412E0">
              <w:rPr>
                <w:lang w:val="es-ES"/>
              </w:rPr>
              <w:t xml:space="preserve">BDT ayudó a Intersputnik a organizar un taller sobre actividades espaciales en la realidad moderna. El evento ofreció una oportunidad única de compartir prácticas idóneas en materia de formulación o mejora de la legislación nacional para actividades espaciales, considerando al mismo tiempo los retos que plantean las políticas de acceso al mercado nacional para sistemas de satélites. El evento contó con la asistencia </w:t>
            </w:r>
            <w:r w:rsidR="007F7F0C">
              <w:rPr>
                <w:lang w:val="es-ES"/>
              </w:rPr>
              <w:t xml:space="preserve">de </w:t>
            </w:r>
            <w:r w:rsidRPr="00D412E0">
              <w:rPr>
                <w:lang w:val="es-ES"/>
              </w:rPr>
              <w:t xml:space="preserve">numerosos representantes de la comunidad de las comunicaciones por satélite y recibió una gran acogida por los </w:t>
            </w:r>
            <w:r w:rsidR="009378F6">
              <w:rPr>
                <w:lang w:val="es-ES"/>
              </w:rPr>
              <w:t>m</w:t>
            </w:r>
            <w:r w:rsidRPr="00D412E0">
              <w:rPr>
                <w:lang w:val="es-ES"/>
              </w:rPr>
              <w:t>iembros.</w:t>
            </w:r>
          </w:p>
          <w:p w14:paraId="4CE74A55" w14:textId="15DDE8CA" w:rsidR="00D412E0" w:rsidRPr="00D412E0" w:rsidRDefault="00D412E0" w:rsidP="0051341D">
            <w:pPr>
              <w:pStyle w:val="Tabletext"/>
              <w:ind w:left="567"/>
              <w:rPr>
                <w:lang w:val="es-ES"/>
              </w:rPr>
            </w:pPr>
            <w:r w:rsidRPr="00D412E0">
              <w:rPr>
                <w:lang w:val="es-ES"/>
              </w:rPr>
              <w:lastRenderedPageBreak/>
              <w:t>En marzo de</w:t>
            </w:r>
            <w:r w:rsidR="00F50664">
              <w:rPr>
                <w:lang w:val="es-ES"/>
              </w:rPr>
              <w:t> </w:t>
            </w:r>
            <w:r w:rsidRPr="00D412E0">
              <w:rPr>
                <w:lang w:val="es-ES"/>
              </w:rPr>
              <w:t>2025 se organizó en Tayikistán un taller y formación sobre infraestructuras de TIC. El evento tuvo por objetivo ayudar a la República de Tayikistán a lograr una conectividad plena y sostenible. El taller se diseñó específicamente para concentrarse en la cartografía, el análisis y la planificación de la infraestructura de TIC y logró mejorar las competencias teóricas y prácticas de los participantes en lo relativo a la recopilación de datos de infraestructuras de TIC, la identificación de las zonas insuficientemente atendidas, la aplicación de las herramientas</w:t>
            </w:r>
            <w:r w:rsidR="007F7F0C">
              <w:rPr>
                <w:lang w:val="es-ES"/>
              </w:rPr>
              <w:t> </w:t>
            </w:r>
            <w:r w:rsidRPr="00D412E0">
              <w:rPr>
                <w:lang w:val="es-ES"/>
              </w:rPr>
              <w:t>S</w:t>
            </w:r>
            <w:r w:rsidR="008F3B07">
              <w:rPr>
                <w:lang w:val="es-ES"/>
              </w:rPr>
              <w:t>IG</w:t>
            </w:r>
            <w:r w:rsidRPr="00D412E0">
              <w:rPr>
                <w:lang w:val="es-ES"/>
              </w:rPr>
              <w:t xml:space="preserve"> y la utilización de modelos de conectividad para probar y comparar distintas hipótesis de conectividad. Los participantes recibieron una gran cantidad de datos sobre cómo estudiar soluciones de conectividad viables y tomar decisiones con conocimiento de causa sobre la base de los datos disponibles.</w:t>
            </w:r>
          </w:p>
          <w:p w14:paraId="601B824F" w14:textId="36BD7B35" w:rsidR="00D412E0" w:rsidRPr="00D412E0" w:rsidRDefault="00D412E0" w:rsidP="0051341D">
            <w:pPr>
              <w:pStyle w:val="Tabletext"/>
              <w:ind w:left="567"/>
              <w:rPr>
                <w:lang w:val="es-ES"/>
              </w:rPr>
            </w:pPr>
            <w:r w:rsidRPr="00D412E0">
              <w:rPr>
                <w:lang w:val="es-ES"/>
              </w:rPr>
              <w:t>Se organizó un taller sobre el despliegue de la</w:t>
            </w:r>
            <w:r w:rsidR="00F50664">
              <w:rPr>
                <w:lang w:val="es-ES"/>
              </w:rPr>
              <w:t> </w:t>
            </w:r>
            <w:r w:rsidRPr="00D412E0">
              <w:rPr>
                <w:lang w:val="es-ES"/>
              </w:rPr>
              <w:t>5G para educadores y profesores de la Universidad Técnica Estatal de Kirguistán en abril de</w:t>
            </w:r>
            <w:r w:rsidR="00F50664">
              <w:rPr>
                <w:lang w:val="es-ES"/>
              </w:rPr>
              <w:t> </w:t>
            </w:r>
            <w:r w:rsidRPr="00D412E0">
              <w:rPr>
                <w:lang w:val="es-ES"/>
              </w:rPr>
              <w:t>2025, gracias al que los participantes ganaron conocimientos sobre las especificaciones técnicas y el despliegue de las tecnologías</w:t>
            </w:r>
            <w:r w:rsidR="00F50664">
              <w:rPr>
                <w:lang w:val="es-ES"/>
              </w:rPr>
              <w:t> </w:t>
            </w:r>
            <w:r w:rsidRPr="00D412E0">
              <w:rPr>
                <w:lang w:val="es-ES"/>
              </w:rPr>
              <w:t>5G, además de la capacidad de actualizar su material docente.</w:t>
            </w:r>
          </w:p>
          <w:p w14:paraId="1A62EBF7" w14:textId="639CD302" w:rsidR="00D412E0" w:rsidRPr="00D412E0" w:rsidRDefault="003C4DD2" w:rsidP="003C4DD2">
            <w:pPr>
              <w:pStyle w:val="Tabletext"/>
              <w:tabs>
                <w:tab w:val="clear" w:pos="284"/>
              </w:tabs>
              <w:ind w:left="567" w:hanging="567"/>
              <w:rPr>
                <w:lang w:val="es-ES"/>
              </w:rPr>
            </w:pPr>
            <w:r w:rsidRPr="0051341D">
              <w:rPr>
                <w:lang w:val="es-ES"/>
              </w:rPr>
              <w:t>–</w:t>
            </w:r>
            <w:r>
              <w:rPr>
                <w:lang w:val="es-ES"/>
              </w:rPr>
              <w:tab/>
            </w:r>
            <w:r w:rsidR="00D412E0" w:rsidRPr="005D057F">
              <w:rPr>
                <w:b/>
                <w:bCs/>
                <w:lang w:val="es-ES"/>
              </w:rPr>
              <w:t>En las Américas</w:t>
            </w:r>
            <w:r w:rsidR="00D412E0" w:rsidRPr="005D057F">
              <w:rPr>
                <w:lang w:val="es-ES"/>
              </w:rPr>
              <w:t>,</w:t>
            </w:r>
            <w:r w:rsidR="00D412E0" w:rsidRPr="00D412E0">
              <w:rPr>
                <w:lang w:val="es-ES"/>
              </w:rPr>
              <w:t xml:space="preserve"> como parte del programa de conectividad escolar Giga, se examinó la mejora de la cartografía escolar en Trinidad y Tabago, Belice, Suriname y los miembros de la </w:t>
            </w:r>
            <w:r w:rsidR="006F1183" w:rsidRPr="006F1183">
              <w:rPr>
                <w:lang w:val="es-ES"/>
              </w:rPr>
              <w:t>Organización de Estados del Caribe Oriental (</w:t>
            </w:r>
            <w:r w:rsidR="00D412E0" w:rsidRPr="004053CD">
              <w:rPr>
                <w:lang w:val="es-ES"/>
              </w:rPr>
              <w:t>OECO</w:t>
            </w:r>
            <w:r w:rsidR="006F1183">
              <w:rPr>
                <w:lang w:val="es-ES"/>
              </w:rPr>
              <w:t>)</w:t>
            </w:r>
            <w:r w:rsidR="00D412E0" w:rsidRPr="00D412E0">
              <w:rPr>
                <w:lang w:val="es-ES"/>
              </w:rPr>
              <w:t>. En Uruguay se celebró un taller de formación nacional sobre los mapas de banda ancha y los sistemas de información geográfica de la UIT.</w:t>
            </w:r>
          </w:p>
          <w:p w14:paraId="60031F59" w14:textId="73987885" w:rsidR="00D412E0" w:rsidRPr="00D412E0" w:rsidRDefault="00D412E0" w:rsidP="0051341D">
            <w:pPr>
              <w:pStyle w:val="Tabletext"/>
              <w:ind w:left="567"/>
              <w:rPr>
                <w:lang w:val="es-ES"/>
              </w:rPr>
            </w:pPr>
            <w:r w:rsidRPr="00D412E0">
              <w:rPr>
                <w:lang w:val="es-ES"/>
              </w:rPr>
              <w:t>En este contexto se organizó una serie de talleres en línea seguidos del taller TAIEX de la UIT-CE sobre la implementación de la</w:t>
            </w:r>
            <w:r w:rsidR="007F7F0C">
              <w:rPr>
                <w:lang w:val="es-ES"/>
              </w:rPr>
              <w:t> </w:t>
            </w:r>
            <w:r w:rsidRPr="00D412E0">
              <w:rPr>
                <w:lang w:val="es-ES"/>
              </w:rPr>
              <w:t>5G.</w:t>
            </w:r>
          </w:p>
          <w:p w14:paraId="72D67125" w14:textId="1257D3CA" w:rsidR="00D412E0" w:rsidRPr="00D412E0" w:rsidRDefault="003C4DD2" w:rsidP="003C4DD2">
            <w:pPr>
              <w:pStyle w:val="Tabletext"/>
              <w:tabs>
                <w:tab w:val="clear" w:pos="284"/>
              </w:tabs>
              <w:ind w:left="567" w:hanging="567"/>
              <w:rPr>
                <w:lang w:val="es-ES"/>
              </w:rPr>
            </w:pPr>
            <w:r w:rsidRPr="0051341D">
              <w:rPr>
                <w:lang w:val="es-ES"/>
              </w:rPr>
              <w:t>–</w:t>
            </w:r>
            <w:r>
              <w:rPr>
                <w:lang w:val="es-ES"/>
              </w:rPr>
              <w:tab/>
            </w:r>
            <w:r w:rsidR="00D412E0" w:rsidRPr="00D412E0">
              <w:rPr>
                <w:b/>
                <w:bCs/>
                <w:lang w:val="es-ES"/>
              </w:rPr>
              <w:t>En Europa</w:t>
            </w:r>
            <w:r w:rsidR="00D412E0" w:rsidRPr="00D412E0">
              <w:rPr>
                <w:lang w:val="es-ES"/>
              </w:rPr>
              <w:t xml:space="preserve"> se prestó asistencia a Montenegro mediante la elaboración de un </w:t>
            </w:r>
            <w:r w:rsidR="0046761E" w:rsidRPr="00D412E0">
              <w:rPr>
                <w:lang w:val="es-ES"/>
              </w:rPr>
              <w:t xml:space="preserve">plan nacional </w:t>
            </w:r>
            <w:r w:rsidR="00D412E0" w:rsidRPr="00D412E0">
              <w:rPr>
                <w:lang w:val="es-ES"/>
              </w:rPr>
              <w:t xml:space="preserve">para el </w:t>
            </w:r>
            <w:r w:rsidR="000E4B62">
              <w:rPr>
                <w:lang w:val="es-ES"/>
              </w:rPr>
              <w:t>d</w:t>
            </w:r>
            <w:r w:rsidR="00D412E0" w:rsidRPr="00D412E0">
              <w:rPr>
                <w:lang w:val="es-ES"/>
              </w:rPr>
              <w:t xml:space="preserve">esarrollo de </w:t>
            </w:r>
            <w:r w:rsidR="000E4B62">
              <w:rPr>
                <w:lang w:val="es-ES"/>
              </w:rPr>
              <w:t>r</w:t>
            </w:r>
            <w:r w:rsidR="00D412E0" w:rsidRPr="00D412E0">
              <w:rPr>
                <w:lang w:val="es-ES"/>
              </w:rPr>
              <w:t xml:space="preserve">edes para el </w:t>
            </w:r>
            <w:r w:rsidR="000E4B62">
              <w:rPr>
                <w:lang w:val="es-ES"/>
              </w:rPr>
              <w:t>a</w:t>
            </w:r>
            <w:r w:rsidR="00D412E0" w:rsidRPr="00D412E0">
              <w:rPr>
                <w:lang w:val="es-ES"/>
              </w:rPr>
              <w:t xml:space="preserve">cceso a Internet de </w:t>
            </w:r>
            <w:r w:rsidR="000E4B62">
              <w:rPr>
                <w:lang w:val="es-ES"/>
              </w:rPr>
              <w:t>b</w:t>
            </w:r>
            <w:r w:rsidR="00D412E0" w:rsidRPr="00D412E0">
              <w:rPr>
                <w:lang w:val="es-ES"/>
              </w:rPr>
              <w:t xml:space="preserve">anda </w:t>
            </w:r>
            <w:r w:rsidR="000E4B62">
              <w:rPr>
                <w:lang w:val="es-ES"/>
              </w:rPr>
              <w:t>a</w:t>
            </w:r>
            <w:r w:rsidR="00D412E0" w:rsidRPr="00D412E0">
              <w:rPr>
                <w:lang w:val="es-ES"/>
              </w:rPr>
              <w:t xml:space="preserve">ncha. El Plan se presentó oficialmente al Ministerio de Desarrollo Económico el pasado mes de septiembre y en él se expusieron la visión estratégica, los objetivos y los resultados previstos. Desarrollado sobre la base de las investigaciones realizadas y las consultas con las partes interesadas, el </w:t>
            </w:r>
            <w:r w:rsidR="0046761E" w:rsidRPr="00D412E0">
              <w:rPr>
                <w:lang w:val="es-ES"/>
              </w:rPr>
              <w:t>p</w:t>
            </w:r>
            <w:r w:rsidR="00D412E0" w:rsidRPr="00D412E0">
              <w:rPr>
                <w:lang w:val="es-ES"/>
              </w:rPr>
              <w:t xml:space="preserve">lan </w:t>
            </w:r>
            <w:r w:rsidR="0046761E" w:rsidRPr="00D412E0">
              <w:rPr>
                <w:lang w:val="es-ES"/>
              </w:rPr>
              <w:t>n</w:t>
            </w:r>
            <w:r w:rsidR="00D412E0" w:rsidRPr="00D412E0">
              <w:rPr>
                <w:lang w:val="es-ES"/>
              </w:rPr>
              <w:t>acional se centra en el objetivo de ampliar el acceso a Internet de banda ancha de alta capacidad en todo el país entre 2025 y</w:t>
            </w:r>
            <w:r w:rsidR="008C47AB">
              <w:rPr>
                <w:lang w:val="es-ES"/>
              </w:rPr>
              <w:t> </w:t>
            </w:r>
            <w:r w:rsidR="00D412E0" w:rsidRPr="00D412E0">
              <w:rPr>
                <w:lang w:val="es-ES"/>
              </w:rPr>
              <w:t>2029, teniendo e la vez en cuenta la modernización de las infraestructuras, la conformidad reglamentaria, la facilitación de las inversiones y la necesidad de proporcionar conexión a las zonas rurales e insuficientemente atendidas.</w:t>
            </w:r>
          </w:p>
        </w:tc>
        <w:tc>
          <w:tcPr>
            <w:tcW w:w="2999" w:type="dxa"/>
          </w:tcPr>
          <w:p w14:paraId="27BF9426" w14:textId="7B9250D4" w:rsidR="00D412E0" w:rsidRPr="005D057F" w:rsidRDefault="00D412E0" w:rsidP="00391AFE">
            <w:pPr>
              <w:pStyle w:val="Tabletext"/>
              <w:rPr>
                <w:b/>
                <w:bCs/>
                <w:lang w:val="es-ES"/>
              </w:rPr>
            </w:pPr>
            <w:r w:rsidRPr="0051341D">
              <w:rPr>
                <w:b/>
                <w:bCs/>
                <w:color w:val="0070C0"/>
                <w:lang w:val="es-ES"/>
              </w:rPr>
              <w:lastRenderedPageBreak/>
              <w:t>Mapas de banda ancha</w:t>
            </w:r>
          </w:p>
          <w:p w14:paraId="7BA34B72" w14:textId="732F2145" w:rsidR="00D412E0" w:rsidRPr="005D057F" w:rsidRDefault="004C3ECC" w:rsidP="00391AFE">
            <w:pPr>
              <w:pStyle w:val="Tabletext"/>
              <w:rPr>
                <w:lang w:val="es-ES"/>
              </w:rPr>
            </w:pPr>
            <w:r w:rsidRPr="004C3ECC">
              <w:rPr>
                <w:lang w:val="es-ES"/>
              </w:rPr>
              <w:t>–</w:t>
            </w:r>
            <w:r w:rsidR="005D057F">
              <w:rPr>
                <w:lang w:val="es-ES"/>
              </w:rPr>
              <w:tab/>
            </w:r>
            <w:r w:rsidR="00D412E0" w:rsidRPr="005D057F">
              <w:rPr>
                <w:b/>
                <w:bCs/>
                <w:lang w:val="es-ES"/>
              </w:rPr>
              <w:t>Américas:</w:t>
            </w:r>
            <w:r w:rsidR="00D412E0" w:rsidRPr="00D412E0">
              <w:rPr>
                <w:lang w:val="es-ES"/>
              </w:rPr>
              <w:t xml:space="preserve"> </w:t>
            </w:r>
            <w:r w:rsidR="00D412E0" w:rsidRPr="005D057F">
              <w:rPr>
                <w:lang w:val="es-ES"/>
              </w:rPr>
              <w:t>Uruguay</w:t>
            </w:r>
          </w:p>
          <w:p w14:paraId="429245DB" w14:textId="40A391CD" w:rsidR="00D412E0" w:rsidRPr="005D057F" w:rsidRDefault="004C3ECC" w:rsidP="00391AFE">
            <w:pPr>
              <w:pStyle w:val="Tabletext"/>
              <w:rPr>
                <w:lang w:val="es-ES"/>
              </w:rPr>
            </w:pPr>
            <w:r w:rsidRPr="004C3ECC">
              <w:rPr>
                <w:lang w:val="es-ES"/>
              </w:rPr>
              <w:t>–</w:t>
            </w:r>
            <w:r w:rsidR="005D057F">
              <w:rPr>
                <w:lang w:val="es-ES"/>
              </w:rPr>
              <w:tab/>
            </w:r>
            <w:r w:rsidR="00D412E0" w:rsidRPr="005D057F">
              <w:rPr>
                <w:b/>
                <w:bCs/>
                <w:lang w:val="es-ES"/>
              </w:rPr>
              <w:t>Estados Árabes:</w:t>
            </w:r>
            <w:r w:rsidR="00D412E0" w:rsidRPr="005D057F">
              <w:rPr>
                <w:lang w:val="es-ES"/>
              </w:rPr>
              <w:t xml:space="preserve"> Argelia</w:t>
            </w:r>
          </w:p>
          <w:p w14:paraId="008EBCB4" w14:textId="227778B8" w:rsidR="00D412E0" w:rsidRPr="005D057F" w:rsidRDefault="004C3ECC" w:rsidP="005D057F">
            <w:pPr>
              <w:pStyle w:val="Tabletext"/>
              <w:ind w:left="284" w:hanging="284"/>
              <w:rPr>
                <w:lang w:val="es-ES"/>
              </w:rPr>
            </w:pPr>
            <w:r w:rsidRPr="004C3ECC">
              <w:rPr>
                <w:lang w:val="es-ES"/>
              </w:rPr>
              <w:t>–</w:t>
            </w:r>
            <w:r w:rsidR="005D057F">
              <w:rPr>
                <w:lang w:val="es-ES"/>
              </w:rPr>
              <w:tab/>
            </w:r>
            <w:r w:rsidR="00D412E0" w:rsidRPr="005D057F">
              <w:rPr>
                <w:b/>
                <w:bCs/>
                <w:lang w:val="es-ES"/>
              </w:rPr>
              <w:t>Asia</w:t>
            </w:r>
            <w:r w:rsidR="005D057F">
              <w:rPr>
                <w:b/>
                <w:bCs/>
                <w:lang w:val="es-ES"/>
              </w:rPr>
              <w:noBreakHyphen/>
            </w:r>
            <w:r w:rsidR="00D412E0" w:rsidRPr="005D057F">
              <w:rPr>
                <w:b/>
                <w:bCs/>
                <w:lang w:val="es-ES"/>
              </w:rPr>
              <w:t>Pacífico:</w:t>
            </w:r>
            <w:r w:rsidR="00D412E0" w:rsidRPr="005D057F">
              <w:rPr>
                <w:lang w:val="es-ES"/>
              </w:rPr>
              <w:t xml:space="preserve"> Indonesia</w:t>
            </w:r>
            <w:r w:rsidR="00C0373F">
              <w:rPr>
                <w:lang w:val="es-ES"/>
              </w:rPr>
              <w:t xml:space="preserve"> y </w:t>
            </w:r>
            <w:r w:rsidR="00D412E0" w:rsidRPr="005D057F">
              <w:rPr>
                <w:lang w:val="es-ES"/>
              </w:rPr>
              <w:t>Malasia</w:t>
            </w:r>
          </w:p>
          <w:p w14:paraId="7EE9E635" w14:textId="430D0D37" w:rsidR="00D412E0" w:rsidRPr="00C0373F" w:rsidRDefault="004C3ECC" w:rsidP="005D057F">
            <w:pPr>
              <w:pStyle w:val="Tabletext"/>
              <w:ind w:left="284" w:hanging="284"/>
              <w:rPr>
                <w:lang w:val="it-IT"/>
              </w:rPr>
            </w:pPr>
            <w:r w:rsidRPr="004C3ECC">
              <w:rPr>
                <w:lang w:val="it-IT"/>
              </w:rPr>
              <w:t>–</w:t>
            </w:r>
            <w:r w:rsidR="005D057F" w:rsidRPr="00C0373F">
              <w:rPr>
                <w:lang w:val="it-IT"/>
              </w:rPr>
              <w:tab/>
            </w:r>
            <w:r w:rsidR="00D412E0" w:rsidRPr="00C0373F">
              <w:rPr>
                <w:b/>
                <w:bCs/>
                <w:lang w:val="it-IT"/>
              </w:rPr>
              <w:t>Europa:</w:t>
            </w:r>
            <w:r w:rsidR="00D412E0" w:rsidRPr="00C0373F">
              <w:rPr>
                <w:lang w:val="it-IT"/>
              </w:rPr>
              <w:t xml:space="preserve"> Albania, Moldova, Francia, Italia, Portugal, Rumania, Chipre, Croacia, Eslovenia</w:t>
            </w:r>
            <w:r w:rsidR="00C0373F" w:rsidRPr="00C0373F">
              <w:rPr>
                <w:lang w:val="it-IT"/>
              </w:rPr>
              <w:t xml:space="preserve"> </w:t>
            </w:r>
            <w:r w:rsidR="00C0373F">
              <w:rPr>
                <w:lang w:val="it-IT"/>
              </w:rPr>
              <w:t>y</w:t>
            </w:r>
            <w:r w:rsidR="00D412E0" w:rsidRPr="00C0373F">
              <w:rPr>
                <w:lang w:val="it-IT"/>
              </w:rPr>
              <w:t xml:space="preserve"> Lituania</w:t>
            </w:r>
          </w:p>
          <w:p w14:paraId="6E316E85" w14:textId="0BBC351F" w:rsidR="00D412E0" w:rsidRPr="00C0373F" w:rsidRDefault="004C3ECC" w:rsidP="005D057F">
            <w:pPr>
              <w:pStyle w:val="Tabletext"/>
              <w:ind w:left="284" w:hanging="284"/>
              <w:rPr>
                <w:lang w:val="es-ES"/>
              </w:rPr>
            </w:pPr>
            <w:r w:rsidRPr="004C3ECC">
              <w:rPr>
                <w:lang w:val="es-ES"/>
              </w:rPr>
              <w:t>–</w:t>
            </w:r>
            <w:r w:rsidR="005D057F" w:rsidRPr="00C0373F">
              <w:rPr>
                <w:lang w:val="es-ES"/>
              </w:rPr>
              <w:tab/>
            </w:r>
            <w:r w:rsidR="00D412E0" w:rsidRPr="00C0373F">
              <w:rPr>
                <w:b/>
                <w:bCs/>
                <w:lang w:val="es-ES"/>
              </w:rPr>
              <w:t>CEI:</w:t>
            </w:r>
            <w:r w:rsidR="00D412E0" w:rsidRPr="00C0373F">
              <w:rPr>
                <w:lang w:val="es-ES"/>
              </w:rPr>
              <w:t xml:space="preserve"> Azerbaiyán, Armenia, Kazajstán, Kirguistán, Federación de Rusia, Tayikistán</w:t>
            </w:r>
            <w:r w:rsidR="00C0373F" w:rsidRPr="00C0373F">
              <w:rPr>
                <w:lang w:val="es-ES"/>
              </w:rPr>
              <w:t xml:space="preserve"> y</w:t>
            </w:r>
            <w:r w:rsidR="00D412E0" w:rsidRPr="00C0373F">
              <w:rPr>
                <w:lang w:val="es-ES"/>
              </w:rPr>
              <w:t xml:space="preserve"> Uzbekistán</w:t>
            </w:r>
          </w:p>
        </w:tc>
      </w:tr>
      <w:tr w:rsidR="0061116D" w:rsidRPr="00D412E0" w14:paraId="35A52817" w14:textId="77777777" w:rsidTr="00E07C78">
        <w:trPr>
          <w:jc w:val="center"/>
        </w:trPr>
        <w:tc>
          <w:tcPr>
            <w:tcW w:w="4111" w:type="dxa"/>
          </w:tcPr>
          <w:p w14:paraId="6EAA1179" w14:textId="04C390E3" w:rsidR="00D412E0" w:rsidRPr="005D057F" w:rsidRDefault="00D412E0" w:rsidP="005D057F">
            <w:pPr>
              <w:pStyle w:val="Tabletext"/>
              <w:rPr>
                <w:b/>
                <w:bCs/>
                <w:lang w:val="es-ES"/>
              </w:rPr>
            </w:pPr>
            <w:r w:rsidRPr="005D057F">
              <w:rPr>
                <w:b/>
                <w:bCs/>
                <w:lang w:val="es-ES"/>
              </w:rPr>
              <w:lastRenderedPageBreak/>
              <w:t xml:space="preserve">Contribución a las metas de los </w:t>
            </w:r>
            <w:r w:rsidR="00BE1F7F" w:rsidRPr="00BE1F7F">
              <w:rPr>
                <w:b/>
                <w:bCs/>
                <w:lang w:val="es-ES"/>
              </w:rPr>
              <w:t>Objetivos de Desarrollo Sostenible (</w:t>
            </w:r>
            <w:r w:rsidRPr="005D057F">
              <w:rPr>
                <w:b/>
                <w:bCs/>
                <w:lang w:val="es-ES"/>
              </w:rPr>
              <w:t>ODS</w:t>
            </w:r>
            <w:r w:rsidR="00BE1F7F">
              <w:rPr>
                <w:b/>
                <w:bCs/>
                <w:lang w:val="es-ES"/>
              </w:rPr>
              <w:t>)</w:t>
            </w:r>
          </w:p>
        </w:tc>
        <w:tc>
          <w:tcPr>
            <w:tcW w:w="10445" w:type="dxa"/>
            <w:gridSpan w:val="2"/>
          </w:tcPr>
          <w:p w14:paraId="0D6D5010" w14:textId="35627922" w:rsidR="00D412E0" w:rsidRPr="00D412E0" w:rsidRDefault="00D412E0" w:rsidP="005D057F">
            <w:pPr>
              <w:pStyle w:val="Tabletext"/>
            </w:pPr>
            <w:r w:rsidRPr="00D412E0">
              <w:t>ODS 1, 3, 4, 5, 8, 9, 10, 11, 16</w:t>
            </w:r>
            <w:r w:rsidR="007F7F0C">
              <w:t xml:space="preserve"> y</w:t>
            </w:r>
            <w:r w:rsidRPr="00D412E0">
              <w:t xml:space="preserve"> 17</w:t>
            </w:r>
          </w:p>
        </w:tc>
      </w:tr>
      <w:tr w:rsidR="0061116D" w:rsidRPr="00D412E0" w14:paraId="35E1D6CD" w14:textId="77777777" w:rsidTr="00E07C78">
        <w:trPr>
          <w:jc w:val="center"/>
        </w:trPr>
        <w:tc>
          <w:tcPr>
            <w:tcW w:w="4111" w:type="dxa"/>
          </w:tcPr>
          <w:p w14:paraId="1BFFCFA0" w14:textId="77777777" w:rsidR="00D412E0" w:rsidRPr="005D057F" w:rsidRDefault="00D412E0" w:rsidP="005D057F">
            <w:pPr>
              <w:pStyle w:val="Tabletext"/>
              <w:rPr>
                <w:b/>
                <w:bCs/>
                <w:lang w:val="es-ES"/>
              </w:rPr>
            </w:pPr>
            <w:r w:rsidRPr="005D057F">
              <w:rPr>
                <w:b/>
                <w:bCs/>
                <w:lang w:val="es-ES"/>
              </w:rPr>
              <w:t>Líneas de Acción de la CMSI</w:t>
            </w:r>
          </w:p>
        </w:tc>
        <w:tc>
          <w:tcPr>
            <w:tcW w:w="10445" w:type="dxa"/>
            <w:gridSpan w:val="2"/>
          </w:tcPr>
          <w:p w14:paraId="3FCCFBBA" w14:textId="4EF232A1" w:rsidR="00D412E0" w:rsidRPr="00D412E0" w:rsidRDefault="00D412E0" w:rsidP="005D057F">
            <w:pPr>
              <w:pStyle w:val="Tabletext"/>
            </w:pPr>
            <w:r w:rsidRPr="00D412E0">
              <w:t>C1, C2, C3, C4, C5, C6, C7</w:t>
            </w:r>
            <w:r w:rsidR="007F7F0C">
              <w:t xml:space="preserve"> y</w:t>
            </w:r>
            <w:r w:rsidRPr="00D412E0">
              <w:t xml:space="preserve"> C11</w:t>
            </w:r>
          </w:p>
        </w:tc>
      </w:tr>
      <w:tr w:rsidR="0061116D" w:rsidRPr="002F5AC1" w14:paraId="54A62E00" w14:textId="77777777" w:rsidTr="00E07C78">
        <w:trPr>
          <w:jc w:val="center"/>
        </w:trPr>
        <w:tc>
          <w:tcPr>
            <w:tcW w:w="4111" w:type="dxa"/>
          </w:tcPr>
          <w:p w14:paraId="33FA5436" w14:textId="77777777" w:rsidR="00D412E0" w:rsidRPr="006E0892" w:rsidRDefault="00D412E0" w:rsidP="005D057F">
            <w:pPr>
              <w:pStyle w:val="Tabletext"/>
              <w:rPr>
                <w:b/>
                <w:bCs/>
                <w:lang w:val="es-ES"/>
              </w:rPr>
            </w:pPr>
            <w:r w:rsidRPr="006E0892">
              <w:rPr>
                <w:b/>
                <w:bCs/>
                <w:lang w:val="es-ES"/>
              </w:rPr>
              <w:t>Resoluciones</w:t>
            </w:r>
          </w:p>
        </w:tc>
        <w:tc>
          <w:tcPr>
            <w:tcW w:w="10445" w:type="dxa"/>
            <w:gridSpan w:val="2"/>
          </w:tcPr>
          <w:p w14:paraId="257D5803" w14:textId="6E5886AA" w:rsidR="00D412E0" w:rsidRPr="00D412E0" w:rsidRDefault="00D412E0" w:rsidP="005D057F">
            <w:pPr>
              <w:pStyle w:val="Tabletext"/>
              <w:rPr>
                <w:lang w:val="es-ES"/>
              </w:rPr>
            </w:pPr>
            <w:r w:rsidRPr="00D412E0">
              <w:rPr>
                <w:lang w:val="es-ES"/>
              </w:rPr>
              <w:t>136 de la PP; 34, 43 y 66 de la CMDT; 646 y 647 de la CMR; Cuestiones</w:t>
            </w:r>
            <w:r w:rsidR="00220AA2">
              <w:rPr>
                <w:lang w:val="es-ES"/>
              </w:rPr>
              <w:t> </w:t>
            </w:r>
            <w:r w:rsidRPr="00D412E0">
              <w:rPr>
                <w:lang w:val="es-ES"/>
              </w:rPr>
              <w:t>1/1, 3/1, 5/1</w:t>
            </w:r>
            <w:r w:rsidR="007F7F0C">
              <w:rPr>
                <w:lang w:val="es-ES"/>
              </w:rPr>
              <w:t xml:space="preserve"> y</w:t>
            </w:r>
            <w:r w:rsidRPr="00D412E0">
              <w:rPr>
                <w:lang w:val="es-ES"/>
              </w:rPr>
              <w:t xml:space="preserve"> 4/2</w:t>
            </w:r>
          </w:p>
        </w:tc>
      </w:tr>
    </w:tbl>
    <w:p w14:paraId="13F0A5F5" w14:textId="3FC7C163" w:rsidR="00ED244A" w:rsidRDefault="00ED244A" w:rsidP="00ED244A">
      <w:pPr>
        <w:rPr>
          <w:lang w:val="es-ES"/>
        </w:rPr>
      </w:pPr>
      <w:r>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D54BCC" w:rsidRPr="002F5AC1" w14:paraId="1A4CE818" w14:textId="77777777" w:rsidTr="00106B0D">
        <w:trPr>
          <w:jc w:val="center"/>
        </w:trPr>
        <w:tc>
          <w:tcPr>
            <w:tcW w:w="14556" w:type="dxa"/>
            <w:gridSpan w:val="3"/>
            <w:shd w:val="clear" w:color="auto" w:fill="365F91"/>
          </w:tcPr>
          <w:p w14:paraId="50ABCF33" w14:textId="0CAFD144" w:rsidR="00D412E0" w:rsidRPr="000C49B1" w:rsidRDefault="00D412E0" w:rsidP="000C49B1">
            <w:pPr>
              <w:pStyle w:val="Heading1"/>
              <w:spacing w:before="80" w:after="80"/>
              <w:jc w:val="center"/>
              <w:rPr>
                <w:color w:val="FFFFFF" w:themeColor="background1"/>
                <w:sz w:val="22"/>
                <w:szCs w:val="22"/>
                <w:lang w:val="es-ES"/>
              </w:rPr>
            </w:pPr>
            <w:bookmarkStart w:id="11" w:name="_Toc196911804"/>
            <w:r w:rsidRPr="000C49B1">
              <w:rPr>
                <w:color w:val="FFFFFF" w:themeColor="background1"/>
                <w:sz w:val="22"/>
                <w:szCs w:val="22"/>
                <w:lang w:val="es-ES"/>
              </w:rPr>
              <w:lastRenderedPageBreak/>
              <w:t>Prioridad 2 del UIT-D: Transformación digital</w:t>
            </w:r>
            <w:bookmarkEnd w:id="11"/>
          </w:p>
          <w:p w14:paraId="6A38A633" w14:textId="77777777" w:rsidR="00D412E0" w:rsidRPr="00D54BCC" w:rsidRDefault="00D412E0" w:rsidP="00CE0D86">
            <w:pPr>
              <w:pStyle w:val="Tablehead"/>
              <w:rPr>
                <w:i/>
                <w:iCs/>
                <w:color w:val="FFFFFF" w:themeColor="background1"/>
                <w:lang w:val="es-ES"/>
              </w:rPr>
            </w:pPr>
            <w:r w:rsidRPr="00D54BCC">
              <w:rPr>
                <w:i/>
                <w:iCs/>
                <w:color w:val="FFFFFF" w:themeColor="background1"/>
                <w:lang w:val="es-ES"/>
              </w:rPr>
              <w:t>Impulsar la transformación digital a través del emprendimiento en las TIC y una mayor innovación en el ecosistema de TIC</w:t>
            </w:r>
          </w:p>
        </w:tc>
      </w:tr>
      <w:tr w:rsidR="00D412E0" w:rsidRPr="002F5AC1" w14:paraId="771C9475" w14:textId="77777777" w:rsidTr="00106B0D">
        <w:trPr>
          <w:jc w:val="center"/>
        </w:trPr>
        <w:tc>
          <w:tcPr>
            <w:tcW w:w="14556" w:type="dxa"/>
            <w:gridSpan w:val="3"/>
            <w:shd w:val="clear" w:color="auto" w:fill="E5DFEC"/>
          </w:tcPr>
          <w:p w14:paraId="137093F9" w14:textId="77777777" w:rsidR="00D412E0" w:rsidRPr="00C16A45" w:rsidRDefault="00D412E0" w:rsidP="005D057F">
            <w:pPr>
              <w:pStyle w:val="Tabletext"/>
              <w:rPr>
                <w:b/>
                <w:bCs/>
                <w:color w:val="1F497D"/>
                <w:lang w:val="es-ES"/>
              </w:rPr>
            </w:pPr>
            <w:r w:rsidRPr="00C16A45">
              <w:rPr>
                <w:b/>
                <w:bCs/>
                <w:color w:val="1F497D"/>
                <w:lang w:val="es-ES"/>
              </w:rPr>
              <w:t>Ecosistema de innovación</w:t>
            </w:r>
            <w:r w:rsidRPr="006D1283">
              <w:rPr>
                <w:b/>
                <w:bCs/>
                <w:color w:val="1F497D"/>
                <w:lang w:val="es-ES"/>
              </w:rPr>
              <w:t xml:space="preserve"> digital</w:t>
            </w:r>
          </w:p>
          <w:p w14:paraId="60E97439" w14:textId="62C84DCE" w:rsidR="00D412E0" w:rsidRPr="00D412E0" w:rsidRDefault="00D412E0" w:rsidP="005D057F">
            <w:pPr>
              <w:pStyle w:val="Tabletext"/>
              <w:rPr>
                <w:lang w:val="es-ES"/>
              </w:rPr>
            </w:pPr>
            <w:r w:rsidRPr="005D057F">
              <w:rPr>
                <w:b/>
                <w:bCs/>
                <w:i/>
                <w:iCs/>
                <w:lang w:val="es-ES"/>
              </w:rPr>
              <w:t>Realización:</w:t>
            </w:r>
            <w:r w:rsidRPr="00D412E0">
              <w:rPr>
                <w:i/>
                <w:iCs/>
                <w:lang w:val="es-ES"/>
              </w:rPr>
              <w:t xml:space="preserve"> </w:t>
            </w:r>
            <w:r w:rsidRPr="00C16A45">
              <w:rPr>
                <w:i/>
                <w:iCs/>
                <w:lang w:val="es-ES"/>
              </w:rPr>
              <w:t xml:space="preserve">Refuerzo de la capacidad de los </w:t>
            </w:r>
            <w:r w:rsidR="009378F6" w:rsidRPr="00C16A45">
              <w:rPr>
                <w:i/>
                <w:iCs/>
                <w:lang w:val="es-ES"/>
              </w:rPr>
              <w:t>m</w:t>
            </w:r>
            <w:r w:rsidRPr="00C16A45">
              <w:rPr>
                <w:i/>
                <w:iCs/>
                <w:lang w:val="es-ES"/>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w:t>
            </w:r>
            <w:r w:rsidR="00C16A45">
              <w:rPr>
                <w:i/>
                <w:iCs/>
                <w:lang w:val="es-ES"/>
              </w:rPr>
              <w:noBreakHyphen/>
            </w:r>
            <w:r w:rsidRPr="00C16A45">
              <w:rPr>
                <w:i/>
                <w:iCs/>
                <w:lang w:val="es-ES"/>
              </w:rPr>
              <w:t>privadas</w:t>
            </w:r>
            <w:r w:rsidR="00A20ED8">
              <w:rPr>
                <w:i/>
                <w:iCs/>
                <w:lang w:val="es-ES"/>
              </w:rPr>
              <w:t>.</w:t>
            </w:r>
          </w:p>
        </w:tc>
      </w:tr>
      <w:tr w:rsidR="00E7494F" w:rsidRPr="00E7494F" w14:paraId="1C35F673" w14:textId="77777777" w:rsidTr="00106B0D">
        <w:trPr>
          <w:jc w:val="center"/>
        </w:trPr>
        <w:tc>
          <w:tcPr>
            <w:tcW w:w="11557" w:type="dxa"/>
            <w:gridSpan w:val="2"/>
          </w:tcPr>
          <w:p w14:paraId="1E783FF9" w14:textId="382A793A" w:rsidR="00D412E0" w:rsidRPr="00E7494F" w:rsidRDefault="00D412E0" w:rsidP="005D057F">
            <w:pPr>
              <w:pStyle w:val="Tablehead"/>
              <w:rPr>
                <w:color w:val="0070C0"/>
                <w:lang w:val="es-ES"/>
              </w:rPr>
            </w:pPr>
            <w:r w:rsidRPr="00E7494F">
              <w:rPr>
                <w:color w:val="0070C0"/>
                <w:lang w:val="es-ES"/>
              </w:rPr>
              <w:t>Productos</w:t>
            </w:r>
          </w:p>
        </w:tc>
        <w:tc>
          <w:tcPr>
            <w:tcW w:w="2999" w:type="dxa"/>
          </w:tcPr>
          <w:p w14:paraId="063AE37D" w14:textId="77777777" w:rsidR="00D412E0" w:rsidRPr="00E7494F" w:rsidRDefault="00D412E0" w:rsidP="005D057F">
            <w:pPr>
              <w:pStyle w:val="Tablehead"/>
              <w:rPr>
                <w:color w:val="0070C0"/>
                <w:lang w:val="es-ES"/>
              </w:rPr>
            </w:pPr>
            <w:r w:rsidRPr="00E7494F">
              <w:rPr>
                <w:color w:val="0070C0"/>
                <w:lang w:val="es-ES"/>
              </w:rPr>
              <w:t>Datos destacados</w:t>
            </w:r>
          </w:p>
        </w:tc>
      </w:tr>
      <w:tr w:rsidR="00106B0D" w:rsidRPr="00382D54" w14:paraId="0EB5FBDC" w14:textId="77777777" w:rsidTr="00106B0D">
        <w:trPr>
          <w:jc w:val="center"/>
        </w:trPr>
        <w:tc>
          <w:tcPr>
            <w:tcW w:w="11557" w:type="dxa"/>
            <w:gridSpan w:val="2"/>
          </w:tcPr>
          <w:p w14:paraId="5D3C4A8E" w14:textId="10FDFB06" w:rsidR="00106B0D" w:rsidRPr="00D412E0" w:rsidRDefault="00106B0D" w:rsidP="005D057F">
            <w:pPr>
              <w:pStyle w:val="Tabletext"/>
              <w:rPr>
                <w:lang w:val="es-ES"/>
              </w:rPr>
            </w:pPr>
            <w:r w:rsidRPr="00D412E0">
              <w:rPr>
                <w:lang w:val="es-ES"/>
              </w:rPr>
              <w:t xml:space="preserve">La BDT ha seguido ayudando a los Estados Miembros a </w:t>
            </w:r>
            <w:r w:rsidRPr="00D412E0">
              <w:rPr>
                <w:b/>
                <w:bCs/>
                <w:lang w:val="es-ES"/>
              </w:rPr>
              <w:t>acelerar sus iniciativas de transformación digital</w:t>
            </w:r>
            <w:r w:rsidRPr="00D412E0">
              <w:rPr>
                <w:lang w:val="es-ES"/>
              </w:rPr>
              <w:t xml:space="preserve">, proporcionando herramientas de marcos políticos para la innovación y el desarrollo del ecosistema, impartiendo capacitación, facilitando asistencia técnica y ejecutando proyectos a favor de la innovación. La BDT terminó de preparar </w:t>
            </w:r>
            <w:r>
              <w:rPr>
                <w:lang w:val="es-ES"/>
              </w:rPr>
              <w:t>siete</w:t>
            </w:r>
            <w:r w:rsidRPr="00D412E0">
              <w:rPr>
                <w:lang w:val="es-ES"/>
              </w:rPr>
              <w:t xml:space="preserve"> guías, que son marcos y herramientas integrales para el desarrollo de ecosistemas y el fomento de la innovación y el espíritu empresarial, incluidas la previsión estratégica, la experimentación política, el desarrollo de iniciativas para el ecosistema, el crecimiento de las pyme</w:t>
            </w:r>
            <w:r>
              <w:rPr>
                <w:lang w:val="es-ES"/>
              </w:rPr>
              <w:t>s</w:t>
            </w:r>
            <w:r w:rsidRPr="00D412E0">
              <w:rPr>
                <w:lang w:val="es-ES"/>
              </w:rPr>
              <w:t xml:space="preserve"> y las nuevas empresas tecnológicas, la innovación de tecnologías abiertas, las asociaciones y la movilización de recursos.</w:t>
            </w:r>
          </w:p>
          <w:p w14:paraId="6D050CF0" w14:textId="5CEDE4DB" w:rsidR="00106B0D" w:rsidRPr="00D412E0" w:rsidDel="008310DF" w:rsidRDefault="00106B0D" w:rsidP="0055791D">
            <w:pPr>
              <w:pStyle w:val="Tabletext"/>
              <w:tabs>
                <w:tab w:val="clear" w:pos="284"/>
              </w:tabs>
              <w:ind w:left="567" w:hanging="567"/>
              <w:rPr>
                <w:lang w:val="es-ES"/>
              </w:rPr>
            </w:pPr>
            <w:r w:rsidRPr="0055791D">
              <w:rPr>
                <w:lang w:val="es-ES"/>
              </w:rPr>
              <w:t>–</w:t>
            </w:r>
            <w:r>
              <w:rPr>
                <w:lang w:val="es-ES"/>
              </w:rPr>
              <w:tab/>
            </w:r>
            <w:r w:rsidRPr="00D412E0">
              <w:rPr>
                <w:b/>
                <w:lang w:val="es-ES"/>
              </w:rPr>
              <w:t xml:space="preserve">En los Estados Árabes </w:t>
            </w:r>
            <w:r w:rsidRPr="00D412E0">
              <w:rPr>
                <w:bCs/>
                <w:lang w:val="es-ES"/>
              </w:rPr>
              <w:t xml:space="preserve">se </w:t>
            </w:r>
            <w:r w:rsidRPr="0055791D">
              <w:rPr>
                <w:lang w:val="es-ES"/>
              </w:rPr>
              <w:t>ultimó</w:t>
            </w:r>
            <w:r w:rsidRPr="00D412E0">
              <w:rPr>
                <w:bCs/>
                <w:lang w:val="es-ES"/>
              </w:rPr>
              <w:t xml:space="preserve"> el Perfil de Innovación Digital de Bahr</w:t>
            </w:r>
            <w:r>
              <w:rPr>
                <w:bCs/>
                <w:lang w:val="es-ES"/>
              </w:rPr>
              <w:t>e</w:t>
            </w:r>
            <w:r w:rsidRPr="00D412E0">
              <w:rPr>
                <w:bCs/>
                <w:lang w:val="es-ES"/>
              </w:rPr>
              <w:t>in respecto del que se presentaron una evaluación exhaustiva del ecosistema y recomendaciones clave para llevar dicho ecosistema al siguiente nivel. Además, se están preparando actualmente los Perfiles de Innovación Digital de</w:t>
            </w:r>
            <w:r w:rsidRPr="00D412E0">
              <w:rPr>
                <w:lang w:val="es-ES"/>
              </w:rPr>
              <w:t xml:space="preserve"> Qatar y Jordania, que se espera estén terminados respectivamente en el primer y el segundo trimestres de 2025. También se ha empezado a definir el Perfil de Innovación Digital de Palestina.</w:t>
            </w:r>
          </w:p>
          <w:p w14:paraId="75CE4DD8" w14:textId="24D20CE1" w:rsidR="00106B0D" w:rsidRPr="00D412E0" w:rsidRDefault="00106B0D" w:rsidP="0055791D">
            <w:pPr>
              <w:pStyle w:val="Tabletext"/>
              <w:tabs>
                <w:tab w:val="clear" w:pos="284"/>
              </w:tabs>
              <w:ind w:left="567" w:hanging="567"/>
              <w:rPr>
                <w:lang w:val="es-ES"/>
              </w:rPr>
            </w:pPr>
            <w:r w:rsidRPr="0055791D">
              <w:rPr>
                <w:lang w:val="es-ES"/>
              </w:rPr>
              <w:t>–</w:t>
            </w:r>
            <w:r>
              <w:rPr>
                <w:lang w:val="es-ES"/>
              </w:rPr>
              <w:tab/>
            </w:r>
            <w:r w:rsidRPr="00F82529">
              <w:rPr>
                <w:b/>
                <w:bCs/>
                <w:lang w:val="es-ES"/>
              </w:rPr>
              <w:t>En la CEI</w:t>
            </w:r>
            <w:r w:rsidRPr="00F82529">
              <w:rPr>
                <w:lang w:val="es-ES"/>
              </w:rPr>
              <w:t xml:space="preserve"> se prestó asistencia experta sobre innovación digital y creación de un ecosistema de nuevas empresas tecnológicas a Kirguistán. El Servicio de Propiedad Intelectual e Innovación de Kirguistán, como autoridad estatal responsable, está evaluando con la ayuda de expertos de la UIT el estado general de la innovación y el ecosistema de nuevas empresas tecnológicas del país, y está preparando un programa de formación dedicado a los gestores de aceleradores de empresas, que serán los encargados de formular y poner en marcha los programas de aceleración. Los resultados de este programa se presentarán en el Foro Regional de Desarrollo para la </w:t>
            </w:r>
            <w:r>
              <w:rPr>
                <w:lang w:val="es-ES"/>
              </w:rPr>
              <w:t>r</w:t>
            </w:r>
            <w:r w:rsidRPr="00F82529">
              <w:rPr>
                <w:lang w:val="es-ES"/>
              </w:rPr>
              <w:t>egión de la CEI de</w:t>
            </w:r>
            <w:r w:rsidRPr="00D412E0">
              <w:rPr>
                <w:lang w:val="es-ES"/>
              </w:rPr>
              <w:t xml:space="preserve"> 2025.</w:t>
            </w:r>
          </w:p>
          <w:p w14:paraId="068D3EA6" w14:textId="784DA569" w:rsidR="00106B0D" w:rsidRPr="00D412E0" w:rsidRDefault="00106B0D" w:rsidP="0055791D">
            <w:pPr>
              <w:pStyle w:val="Tabletext"/>
              <w:tabs>
                <w:tab w:val="clear" w:pos="284"/>
              </w:tabs>
              <w:ind w:left="567" w:hanging="567"/>
              <w:rPr>
                <w:lang w:val="es-ES"/>
              </w:rPr>
            </w:pPr>
            <w:r w:rsidRPr="0055791D">
              <w:rPr>
                <w:lang w:val="es-ES"/>
              </w:rPr>
              <w:t>–</w:t>
            </w:r>
            <w:r>
              <w:rPr>
                <w:lang w:val="es-ES"/>
              </w:rPr>
              <w:tab/>
            </w:r>
            <w:r w:rsidRPr="00F82529">
              <w:rPr>
                <w:b/>
                <w:bCs/>
                <w:lang w:val="es-ES"/>
              </w:rPr>
              <w:t>En Europa</w:t>
            </w:r>
            <w:r w:rsidRPr="00F82529">
              <w:rPr>
                <w:lang w:val="es-ES"/>
              </w:rPr>
              <w:t>,</w:t>
            </w:r>
            <w:r w:rsidRPr="00D412E0">
              <w:rPr>
                <w:lang w:val="es-ES"/>
              </w:rPr>
              <w:t xml:space="preserve"> a fin de respaldar a Albania en su progresión hacia la innovación digital, también se está finalizando un informe sobre la aplicación del Perfil de Innovación Digital, destacando en particular las sugerencias prácticas de armonización del Perfil de Innovación Digital con la Estrategia de Especialización Inteligente del país y su Agenda de Reforma 2024</w:t>
            </w:r>
            <w:r w:rsidR="001C3730">
              <w:rPr>
                <w:lang w:val="es-ES"/>
              </w:rPr>
              <w:noBreakHyphen/>
            </w:r>
            <w:r w:rsidRPr="00D412E0">
              <w:rPr>
                <w:lang w:val="es-ES"/>
              </w:rPr>
              <w:t>2027.</w:t>
            </w:r>
          </w:p>
          <w:p w14:paraId="73A91E6C" w14:textId="4EF476A5" w:rsidR="00106B0D" w:rsidRPr="00D412E0" w:rsidRDefault="00106B0D" w:rsidP="00A811C7">
            <w:pPr>
              <w:pStyle w:val="Tabletext"/>
              <w:tabs>
                <w:tab w:val="clear" w:pos="284"/>
              </w:tabs>
              <w:ind w:left="567" w:hanging="567"/>
              <w:rPr>
                <w:lang w:val="es-ES"/>
              </w:rPr>
            </w:pPr>
            <w:r w:rsidRPr="0055791D">
              <w:rPr>
                <w:lang w:val="es-ES"/>
              </w:rPr>
              <w:t>–</w:t>
            </w:r>
            <w:r>
              <w:rPr>
                <w:lang w:val="es-ES"/>
              </w:rPr>
              <w:tab/>
            </w:r>
            <w:r w:rsidRPr="00D412E0">
              <w:rPr>
                <w:lang w:val="es-ES"/>
              </w:rPr>
              <w:t xml:space="preserve">Con el fin de apoyar al ecosistema de innovación de Malta, se está ultimando un informe titulado </w:t>
            </w:r>
            <w:r w:rsidRPr="001C3730">
              <w:rPr>
                <w:i/>
                <w:iCs/>
                <w:lang w:val="es-ES"/>
              </w:rPr>
              <w:t>Panorama de la innovación de Malta: prácticas idóneas y futuras direcciones</w:t>
            </w:r>
            <w:r w:rsidRPr="00D412E0">
              <w:rPr>
                <w:lang w:val="es-ES"/>
              </w:rPr>
              <w:t>, preparado junto con el Foro Mundial de la Innovación de</w:t>
            </w:r>
            <w:r>
              <w:rPr>
                <w:lang w:val="es-ES"/>
              </w:rPr>
              <w:t> </w:t>
            </w:r>
            <w:r w:rsidRPr="00D412E0">
              <w:rPr>
                <w:lang w:val="es-ES"/>
              </w:rPr>
              <w:t xml:space="preserve">2024. El informe se centra en la visión económica de Malta para 2031 y detalla su adaptación a las prioridades nacionales y regionales, así como su enfoque de cara a la innovación, el crecimiento económico, la sostenibilidad y la </w:t>
            </w:r>
            <w:r w:rsidRPr="00D412E0">
              <w:rPr>
                <w:lang w:val="es-ES"/>
              </w:rPr>
              <w:lastRenderedPageBreak/>
              <w:t>agilidad. Asimismo, el informe profundiza en las prácticas idóneas del ecosistema de la innovación de Malta, analizando las contribuciones de seis grupos de partes interesadas clave, a saber, el sector público, el sector privado, las instituciones financieras, las instituciones académicas, las redes de apoyo al emprendimiento y los empresarios. Por último, el informe proporciona información sobre la dirección futura de Malta, que es fuente de inspiración para otras naciones respecto de la elaboración de ecosistemas competitivos y resilientes capaces de tener una influencia mundial.</w:t>
            </w:r>
          </w:p>
          <w:p w14:paraId="3A011750" w14:textId="4D041129" w:rsidR="00106B0D" w:rsidRPr="00D412E0" w:rsidRDefault="00106B0D" w:rsidP="0055791D">
            <w:pPr>
              <w:pStyle w:val="Tabletext"/>
              <w:tabs>
                <w:tab w:val="clear" w:pos="284"/>
              </w:tabs>
              <w:ind w:left="567" w:hanging="567"/>
              <w:rPr>
                <w:lang w:val="es-ES"/>
              </w:rPr>
            </w:pPr>
            <w:r w:rsidRPr="0055791D">
              <w:rPr>
                <w:lang w:val="es-ES"/>
              </w:rPr>
              <w:t>–</w:t>
            </w:r>
            <w:r>
              <w:rPr>
                <w:lang w:val="es-ES"/>
              </w:rPr>
              <w:tab/>
            </w:r>
            <w:r w:rsidRPr="00F82529">
              <w:rPr>
                <w:b/>
                <w:bCs/>
                <w:lang w:val="es-ES"/>
              </w:rPr>
              <w:t>En África</w:t>
            </w:r>
            <w:r w:rsidRPr="00F82529">
              <w:rPr>
                <w:lang w:val="es-ES"/>
              </w:rPr>
              <w:t>,</w:t>
            </w:r>
            <w:r w:rsidRPr="00D412E0">
              <w:rPr>
                <w:lang w:val="es-ES"/>
              </w:rPr>
              <w:t xml:space="preserve"> en septiembre de</w:t>
            </w:r>
            <w:r w:rsidR="001C3730">
              <w:rPr>
                <w:lang w:val="es-ES"/>
              </w:rPr>
              <w:t> </w:t>
            </w:r>
            <w:r w:rsidRPr="00D412E0">
              <w:rPr>
                <w:lang w:val="es-ES"/>
              </w:rPr>
              <w:t xml:space="preserve">2024 la UIT organizó un taller de creación conjunta y validación sobre el ecosistema de innovación de Zimbabwe, dentro del marco de la participación activa de las partes interesadas. Se iniciaron los trabajos de evaluación de los perfiles digitales de Mozambique y Zambia. En marzo de 2025 en el marco del proyecto </w:t>
            </w:r>
            <w:r w:rsidR="009C68FA">
              <w:rPr>
                <w:lang w:val="es-ES"/>
              </w:rPr>
              <w:t>"</w:t>
            </w:r>
            <w:r w:rsidRPr="00D412E0">
              <w:rPr>
                <w:lang w:val="es-ES"/>
              </w:rPr>
              <w:t>Laying the foundation for VaMoz Digital!</w:t>
            </w:r>
            <w:r w:rsidR="009C68FA">
              <w:rPr>
                <w:lang w:val="es-ES"/>
              </w:rPr>
              <w:t>"</w:t>
            </w:r>
            <w:r w:rsidRPr="00D412E0">
              <w:rPr>
                <w:lang w:val="es-ES"/>
              </w:rPr>
              <w:t xml:space="preserve"> se celebró un taller técnico sobre los Perfiles de Innovación Digital nacionales en Maputo a fin de finalizar el Perfil de Innovación Digital de Mozambique.</w:t>
            </w:r>
          </w:p>
          <w:p w14:paraId="56E81820" w14:textId="31F2C686" w:rsidR="00106B0D" w:rsidRPr="00D412E0" w:rsidRDefault="00106B0D" w:rsidP="0055791D">
            <w:pPr>
              <w:pStyle w:val="Tabletext"/>
              <w:tabs>
                <w:tab w:val="clear" w:pos="284"/>
              </w:tabs>
              <w:ind w:left="567" w:hanging="567"/>
              <w:rPr>
                <w:lang w:val="es-ES"/>
              </w:rPr>
            </w:pPr>
            <w:r w:rsidRPr="0055791D">
              <w:rPr>
                <w:lang w:val="es-ES"/>
              </w:rPr>
              <w:t>–</w:t>
            </w:r>
            <w:r>
              <w:rPr>
                <w:lang w:val="es-ES"/>
              </w:rPr>
              <w:tab/>
            </w:r>
            <w:r w:rsidRPr="00D412E0">
              <w:rPr>
                <w:lang w:val="es-ES"/>
              </w:rPr>
              <w:t>La</w:t>
            </w:r>
            <w:r w:rsidR="001C3730">
              <w:rPr>
                <w:lang w:val="es-ES"/>
              </w:rPr>
              <w:t> </w:t>
            </w:r>
            <w:r w:rsidRPr="00D412E0">
              <w:rPr>
                <w:lang w:val="es-ES"/>
              </w:rPr>
              <w:t>BDT ha lanzado una nueva serie de Informes de previsión estratégica, el primero de los cuales se centra en la definición del futuro de la educación. Se prevé realizar otros informes, incluidos dos para el G20 y uno para la Comisión de Comunicación, Ciencias y Tecnologías de Arabia Saudita. Dichos informes contendrán capacidades mejoradas de investigación de tendencias que ayudarán a los países a adaptarse a la evolución del entorno.</w:t>
            </w:r>
          </w:p>
        </w:tc>
        <w:tc>
          <w:tcPr>
            <w:tcW w:w="2999" w:type="dxa"/>
          </w:tcPr>
          <w:p w14:paraId="703763A8" w14:textId="77777777" w:rsidR="00106B0D" w:rsidRPr="00D62EA8" w:rsidRDefault="00106B0D" w:rsidP="00106B0D">
            <w:pPr>
              <w:pStyle w:val="Tabletext"/>
              <w:rPr>
                <w:b/>
                <w:bCs/>
                <w:color w:val="0070C0"/>
                <w:lang w:val="es-ES"/>
              </w:rPr>
            </w:pPr>
            <w:r w:rsidRPr="00D62EA8">
              <w:rPr>
                <w:b/>
                <w:bCs/>
                <w:color w:val="0070C0"/>
                <w:lang w:val="es-ES"/>
              </w:rPr>
              <w:lastRenderedPageBreak/>
              <w:t>Estrategias, políticas y hojas de ruta de desarrollo del ecosistema digital y Perfiles de Innovación Digital</w:t>
            </w:r>
          </w:p>
          <w:p w14:paraId="17F71972" w14:textId="3C251C29" w:rsidR="00106B0D" w:rsidRPr="005D057F" w:rsidRDefault="004C3ECC" w:rsidP="00106B0D">
            <w:pPr>
              <w:pStyle w:val="Tabletext"/>
              <w:ind w:left="284" w:hanging="284"/>
              <w:rPr>
                <w:lang w:val="es-ES"/>
              </w:rPr>
            </w:pPr>
            <w:r w:rsidRPr="004C3ECC">
              <w:rPr>
                <w:lang w:val="es-ES"/>
              </w:rPr>
              <w:t>–</w:t>
            </w:r>
            <w:r w:rsidR="00106B0D">
              <w:rPr>
                <w:lang w:val="es-ES"/>
              </w:rPr>
              <w:tab/>
            </w:r>
            <w:r w:rsidR="00106B0D" w:rsidRPr="005D057F">
              <w:rPr>
                <w:b/>
                <w:bCs/>
                <w:lang w:val="es-ES"/>
              </w:rPr>
              <w:t>África:</w:t>
            </w:r>
            <w:r w:rsidR="00106B0D" w:rsidRPr="005D057F">
              <w:rPr>
                <w:lang w:val="es-ES"/>
              </w:rPr>
              <w:t xml:space="preserve"> Zambia </w:t>
            </w:r>
            <w:r w:rsidR="001C3730">
              <w:rPr>
                <w:lang w:val="es-ES"/>
              </w:rPr>
              <w:t xml:space="preserve">y </w:t>
            </w:r>
            <w:r w:rsidR="00106B0D" w:rsidRPr="005D057F">
              <w:rPr>
                <w:lang w:val="es-ES"/>
              </w:rPr>
              <w:t>Mozambique</w:t>
            </w:r>
          </w:p>
          <w:p w14:paraId="7D97F62A" w14:textId="4208C8B5" w:rsidR="00106B0D" w:rsidRPr="005D057F" w:rsidRDefault="004C3ECC" w:rsidP="00106B0D">
            <w:pPr>
              <w:pStyle w:val="Tabletext"/>
              <w:ind w:left="284" w:hanging="284"/>
              <w:rPr>
                <w:lang w:val="es-ES"/>
              </w:rPr>
            </w:pPr>
            <w:r w:rsidRPr="004C3ECC">
              <w:rPr>
                <w:lang w:val="es-ES"/>
              </w:rPr>
              <w:t>–</w:t>
            </w:r>
            <w:r w:rsidR="00106B0D">
              <w:rPr>
                <w:lang w:val="es-ES"/>
              </w:rPr>
              <w:tab/>
            </w:r>
            <w:r w:rsidR="00106B0D" w:rsidRPr="005D057F">
              <w:rPr>
                <w:b/>
                <w:bCs/>
                <w:lang w:val="es-ES"/>
              </w:rPr>
              <w:t>Estados Árabes:</w:t>
            </w:r>
            <w:r w:rsidR="00106B0D" w:rsidRPr="005D057F">
              <w:rPr>
                <w:lang w:val="es-ES"/>
              </w:rPr>
              <w:t xml:space="preserve"> Bahr</w:t>
            </w:r>
            <w:r w:rsidR="00106B0D">
              <w:rPr>
                <w:lang w:val="es-ES"/>
              </w:rPr>
              <w:t>e</w:t>
            </w:r>
            <w:r w:rsidR="00106B0D" w:rsidRPr="005D057F">
              <w:rPr>
                <w:lang w:val="es-ES"/>
              </w:rPr>
              <w:t>in, Qatar, Jordania</w:t>
            </w:r>
            <w:r w:rsidR="001C3730">
              <w:rPr>
                <w:lang w:val="es-ES"/>
              </w:rPr>
              <w:t xml:space="preserve"> y</w:t>
            </w:r>
            <w:r w:rsidR="00106B0D" w:rsidRPr="005D057F">
              <w:rPr>
                <w:lang w:val="es-ES"/>
              </w:rPr>
              <w:t xml:space="preserve"> Palestina</w:t>
            </w:r>
          </w:p>
          <w:p w14:paraId="49CB9B99" w14:textId="77777777" w:rsidR="00106B0D" w:rsidRPr="00D62EA8" w:rsidRDefault="00106B0D" w:rsidP="00106B0D">
            <w:pPr>
              <w:pStyle w:val="Tabletext"/>
              <w:rPr>
                <w:b/>
                <w:bCs/>
                <w:color w:val="0070C0"/>
                <w:lang w:val="es-ES"/>
              </w:rPr>
            </w:pPr>
            <w:r w:rsidRPr="00D62EA8">
              <w:rPr>
                <w:b/>
                <w:bCs/>
                <w:color w:val="0070C0"/>
                <w:lang w:val="es-ES"/>
              </w:rPr>
              <w:t>PMA/PDSL y PEID implicados/asistidos – Transformación digital</w:t>
            </w:r>
          </w:p>
          <w:p w14:paraId="231D1D9E" w14:textId="6DF94CC7" w:rsidR="00106B0D" w:rsidRPr="00D412E0" w:rsidRDefault="004C3ECC" w:rsidP="00106B0D">
            <w:pPr>
              <w:pStyle w:val="Tabletext"/>
              <w:ind w:left="284" w:hanging="284"/>
              <w:rPr>
                <w:lang w:val="es-ES"/>
              </w:rPr>
            </w:pPr>
            <w:r w:rsidRPr="004C3ECC">
              <w:rPr>
                <w:lang w:val="es-ES"/>
              </w:rPr>
              <w:t>–</w:t>
            </w:r>
            <w:r w:rsidR="00106B0D">
              <w:rPr>
                <w:lang w:val="es-ES"/>
              </w:rPr>
              <w:tab/>
            </w:r>
            <w:r w:rsidR="00106B0D" w:rsidRPr="00D412E0">
              <w:rPr>
                <w:lang w:val="es-ES"/>
              </w:rPr>
              <w:t>37 PMA, PDSL y PEID asistidos</w:t>
            </w:r>
            <w:r w:rsidR="00025E6B">
              <w:rPr>
                <w:lang w:val="es-ES"/>
              </w:rPr>
              <w:t>.</w:t>
            </w:r>
          </w:p>
          <w:p w14:paraId="2F05F27E" w14:textId="75F4BBEA" w:rsidR="00106B0D" w:rsidRPr="00D412E0" w:rsidRDefault="004C3ECC" w:rsidP="00106B0D">
            <w:pPr>
              <w:pStyle w:val="Tabletext"/>
              <w:ind w:left="284" w:hanging="284"/>
              <w:rPr>
                <w:lang w:val="es-ES"/>
              </w:rPr>
            </w:pPr>
            <w:r w:rsidRPr="004C3ECC">
              <w:rPr>
                <w:lang w:val="es-ES"/>
              </w:rPr>
              <w:t>–</w:t>
            </w:r>
            <w:r w:rsidR="00106B0D">
              <w:rPr>
                <w:lang w:val="es-ES"/>
              </w:rPr>
              <w:tab/>
            </w:r>
            <w:r w:rsidR="00106B0D" w:rsidRPr="00D412E0">
              <w:rPr>
                <w:lang w:val="es-ES"/>
              </w:rPr>
              <w:t>17 recibieron asistencia técnica</w:t>
            </w:r>
            <w:r w:rsidR="00025E6B">
              <w:rPr>
                <w:lang w:val="es-ES"/>
              </w:rPr>
              <w:t>.</w:t>
            </w:r>
          </w:p>
          <w:p w14:paraId="1234992D" w14:textId="60791B51" w:rsidR="00106B0D" w:rsidRPr="00D412E0" w:rsidRDefault="004C3ECC" w:rsidP="00106B0D">
            <w:pPr>
              <w:pStyle w:val="Tabletext"/>
              <w:ind w:left="284" w:hanging="284"/>
              <w:rPr>
                <w:lang w:val="es-ES"/>
              </w:rPr>
            </w:pPr>
            <w:r w:rsidRPr="004C3ECC">
              <w:rPr>
                <w:lang w:val="es-ES"/>
              </w:rPr>
              <w:t>–</w:t>
            </w:r>
            <w:r w:rsidR="00106B0D">
              <w:rPr>
                <w:lang w:val="es-ES"/>
              </w:rPr>
              <w:tab/>
            </w:r>
            <w:r w:rsidR="00025E6B">
              <w:rPr>
                <w:lang w:val="es-ES"/>
              </w:rPr>
              <w:t>S</w:t>
            </w:r>
            <w:r w:rsidR="00025E6B" w:rsidRPr="00D412E0">
              <w:rPr>
                <w:lang w:val="es-ES"/>
              </w:rPr>
              <w:t xml:space="preserve">e </w:t>
            </w:r>
            <w:r w:rsidR="00106B0D" w:rsidRPr="00D412E0">
              <w:rPr>
                <w:lang w:val="es-ES"/>
              </w:rPr>
              <w:t>han preparado marcos políticos y productos de conocimiento para 22</w:t>
            </w:r>
            <w:r w:rsidR="00106B0D">
              <w:rPr>
                <w:lang w:val="es-ES"/>
              </w:rPr>
              <w:t> </w:t>
            </w:r>
            <w:r w:rsidR="00106B0D" w:rsidRPr="00D412E0">
              <w:rPr>
                <w:lang w:val="es-ES"/>
              </w:rPr>
              <w:t>países</w:t>
            </w:r>
            <w:r w:rsidR="00025E6B">
              <w:rPr>
                <w:lang w:val="es-ES"/>
              </w:rPr>
              <w:t>.</w:t>
            </w:r>
          </w:p>
          <w:p w14:paraId="06E51F2E" w14:textId="7A11B4D6" w:rsidR="00106B0D" w:rsidRPr="00D412E0" w:rsidRDefault="004C3ECC" w:rsidP="00106B0D">
            <w:pPr>
              <w:pStyle w:val="Tabletext"/>
              <w:ind w:left="284" w:hanging="284"/>
              <w:rPr>
                <w:lang w:val="es-ES"/>
              </w:rPr>
            </w:pPr>
            <w:r w:rsidRPr="004C3ECC">
              <w:rPr>
                <w:lang w:val="es-ES"/>
              </w:rPr>
              <w:t>–</w:t>
            </w:r>
            <w:r w:rsidR="00106B0D">
              <w:rPr>
                <w:lang w:val="es-ES"/>
              </w:rPr>
              <w:tab/>
            </w:r>
            <w:r w:rsidR="00025E6B">
              <w:rPr>
                <w:lang w:val="es-ES"/>
              </w:rPr>
              <w:t>S</w:t>
            </w:r>
            <w:r w:rsidR="00025E6B" w:rsidRPr="00D412E0">
              <w:rPr>
                <w:lang w:val="es-ES"/>
              </w:rPr>
              <w:t xml:space="preserve">e </w:t>
            </w:r>
            <w:r w:rsidR="00106B0D" w:rsidRPr="00D412E0">
              <w:rPr>
                <w:lang w:val="es-ES"/>
              </w:rPr>
              <w:t xml:space="preserve">han celebrado sesiones de sensibilización en </w:t>
            </w:r>
            <w:r w:rsidR="006E78CC">
              <w:rPr>
                <w:lang w:val="es-ES"/>
              </w:rPr>
              <w:t>seis</w:t>
            </w:r>
            <w:r w:rsidR="00106B0D">
              <w:rPr>
                <w:lang w:val="es-ES"/>
              </w:rPr>
              <w:t> </w:t>
            </w:r>
            <w:r w:rsidR="00106B0D" w:rsidRPr="00D412E0">
              <w:rPr>
                <w:lang w:val="es-ES"/>
              </w:rPr>
              <w:t>países</w:t>
            </w:r>
            <w:r w:rsidR="00025E6B">
              <w:rPr>
                <w:lang w:val="es-ES"/>
              </w:rPr>
              <w:t>.</w:t>
            </w:r>
          </w:p>
          <w:p w14:paraId="20F26915" w14:textId="10036A3A" w:rsidR="00106B0D" w:rsidRPr="00D412E0" w:rsidRDefault="004C3ECC" w:rsidP="00106B0D">
            <w:pPr>
              <w:pStyle w:val="Tabletext"/>
              <w:rPr>
                <w:lang w:val="es-ES"/>
              </w:rPr>
            </w:pPr>
            <w:r w:rsidRPr="004C3ECC">
              <w:rPr>
                <w:lang w:val="es-ES"/>
              </w:rPr>
              <w:t>–</w:t>
            </w:r>
            <w:r w:rsidR="00106B0D">
              <w:rPr>
                <w:lang w:val="es-ES"/>
              </w:rPr>
              <w:tab/>
            </w:r>
            <w:r w:rsidR="00025E6B">
              <w:rPr>
                <w:lang w:val="es-ES"/>
              </w:rPr>
              <w:t>Ocho</w:t>
            </w:r>
            <w:r w:rsidR="00025E6B" w:rsidRPr="005D057F">
              <w:rPr>
                <w:lang w:val="es-ES"/>
              </w:rPr>
              <w:t xml:space="preserve"> </w:t>
            </w:r>
            <w:r w:rsidR="00106B0D" w:rsidRPr="005D057F">
              <w:rPr>
                <w:lang w:val="es-ES"/>
              </w:rPr>
              <w:t>proyectos en curso</w:t>
            </w:r>
            <w:r w:rsidR="00025E6B">
              <w:rPr>
                <w:lang w:val="es-ES"/>
              </w:rPr>
              <w:t>.</w:t>
            </w:r>
          </w:p>
        </w:tc>
      </w:tr>
      <w:tr w:rsidR="0061116D" w:rsidRPr="002F5AC1" w14:paraId="64B6F23D" w14:textId="77777777" w:rsidTr="00106B0D">
        <w:trPr>
          <w:jc w:val="center"/>
        </w:trPr>
        <w:tc>
          <w:tcPr>
            <w:tcW w:w="11557" w:type="dxa"/>
            <w:gridSpan w:val="2"/>
          </w:tcPr>
          <w:p w14:paraId="1AB77ACB" w14:textId="4A9EA2F9" w:rsidR="00D412E0" w:rsidRPr="00D412E0" w:rsidRDefault="00D412E0" w:rsidP="00F82529">
            <w:pPr>
              <w:pStyle w:val="Tabletext"/>
              <w:rPr>
                <w:lang w:val="es-ES"/>
              </w:rPr>
            </w:pPr>
            <w:r w:rsidRPr="00D412E0">
              <w:rPr>
                <w:lang w:val="es-ES"/>
              </w:rPr>
              <w:t>La BDT ha proseguido sus actividades en el marco de la Alianza sobre innovación e iniciativa empresarial en aras del desarrollo digital. A través de los Centros de Aceleración de la UIT se impartió en Malawi una formación sobre el servicio de diseño, validación y desarrollo de iniciativas de ecosistemas para la transformación digital transversal. El plan para los Centros se ha debatido en colaboración con las partes interesadas del ecosistema para establecer su visión, misión, modelo de prestación de servicios, estrategia empresarial, recursos humanos, asociaciones, movilización de recursos y marcos de gobernanza. También se procedió al diseño y validación de los Centros de Aceleración de la UIT de Tanzanía, Zambia, Kenya, China, la República Dominicana y Argentina. Asimismo, en colaboración con la</w:t>
            </w:r>
            <w:r w:rsidR="003A5C3C">
              <w:rPr>
                <w:lang w:val="es-ES"/>
              </w:rPr>
              <w:t> </w:t>
            </w:r>
            <w:r w:rsidRPr="00D412E0">
              <w:rPr>
                <w:lang w:val="es-ES"/>
              </w:rPr>
              <w:t>BDT, Gabón lanzó oficialmente su Centro de Aceleración de la UIT en septiembre de 2024. Se está trabajando en la finalización de todos los centros a fin de poner en marcha sus servicios en</w:t>
            </w:r>
            <w:r w:rsidR="007C7776">
              <w:rPr>
                <w:lang w:val="es-ES"/>
              </w:rPr>
              <w:t> </w:t>
            </w:r>
            <w:r w:rsidRPr="00D412E0">
              <w:rPr>
                <w:lang w:val="es-ES"/>
              </w:rPr>
              <w:t>2025.</w:t>
            </w:r>
          </w:p>
          <w:p w14:paraId="0BEE76C5" w14:textId="5D663BCA" w:rsidR="00D412E0" w:rsidRPr="00D412E0" w:rsidRDefault="00D412E0" w:rsidP="00F82529">
            <w:pPr>
              <w:pStyle w:val="Tabletext"/>
              <w:rPr>
                <w:lang w:val="es-ES"/>
              </w:rPr>
            </w:pPr>
            <w:r w:rsidRPr="00D412E0">
              <w:rPr>
                <w:lang w:val="es-ES"/>
              </w:rPr>
              <w:t>En respuesta a las solicitudes de los países y tras la correspondiente validación, la</w:t>
            </w:r>
            <w:r w:rsidR="003A5C3C">
              <w:rPr>
                <w:lang w:val="es-ES"/>
              </w:rPr>
              <w:t> </w:t>
            </w:r>
            <w:r w:rsidRPr="00D412E0">
              <w:rPr>
                <w:lang w:val="es-ES"/>
              </w:rPr>
              <w:t>BDT ha aceptado dos nuevos centros en la Alianza: uno del Departamento de Comunicaciones y Tecnologías Digitales de Sudáfrica y otro de la Comisión de Comunicaciones, Espacio y Tecnología de Arabia Saudita. La aceptación de candidatos a nuevos centros por la BDT sigue un nuevo enfoque continuo en función de la capacidad y el apoyo que se les pueda prestar para su despliegue.</w:t>
            </w:r>
          </w:p>
          <w:p w14:paraId="564F1FCF" w14:textId="50D61868" w:rsidR="00D412E0" w:rsidRPr="00D412E0" w:rsidRDefault="00D412E0" w:rsidP="00F82529">
            <w:pPr>
              <w:pStyle w:val="Tabletext"/>
              <w:rPr>
                <w:lang w:val="es-ES"/>
              </w:rPr>
            </w:pPr>
            <w:r w:rsidRPr="00D412E0">
              <w:rPr>
                <w:lang w:val="es-ES"/>
              </w:rPr>
              <w:t xml:space="preserve">Puede encontrarse el informe completo sobre el trabajo de la Alianza en el </w:t>
            </w:r>
            <w:hyperlink r:id="rId33" w:history="1">
              <w:r w:rsidRPr="00D412E0">
                <w:rPr>
                  <w:rStyle w:val="Hyperlink"/>
                  <w:lang w:val="es-ES"/>
                </w:rPr>
                <w:t>Informe del</w:t>
              </w:r>
              <w:r w:rsidR="000B7F0F">
                <w:rPr>
                  <w:rStyle w:val="Hyperlink"/>
                  <w:lang w:val="es-ES"/>
                </w:rPr>
                <w:t> </w:t>
              </w:r>
              <w:r w:rsidRPr="00D412E0">
                <w:rPr>
                  <w:rStyle w:val="Hyperlink"/>
                  <w:lang w:val="es-ES"/>
                </w:rPr>
                <w:t>GADT</w:t>
              </w:r>
            </w:hyperlink>
            <w:r w:rsidRPr="00D412E0">
              <w:rPr>
                <w:lang w:val="es-ES"/>
              </w:rPr>
              <w:t>.</w:t>
            </w:r>
          </w:p>
          <w:p w14:paraId="3484238A" w14:textId="28FEEC70" w:rsidR="00D412E0" w:rsidRPr="00D412E0" w:rsidRDefault="00D412E0" w:rsidP="00F82529">
            <w:pPr>
              <w:pStyle w:val="Tabletext"/>
              <w:rPr>
                <w:lang w:val="es-ES"/>
              </w:rPr>
            </w:pPr>
            <w:r w:rsidRPr="00D412E0">
              <w:rPr>
                <w:lang w:val="es-ES"/>
              </w:rPr>
              <w:t xml:space="preserve">El Acelerador de </w:t>
            </w:r>
            <w:r w:rsidR="00A551F6" w:rsidRPr="00D412E0">
              <w:rPr>
                <w:lang w:val="es-ES"/>
              </w:rPr>
              <w:t>i</w:t>
            </w:r>
            <w:r w:rsidRPr="00D412E0">
              <w:rPr>
                <w:lang w:val="es-ES"/>
              </w:rPr>
              <w:t xml:space="preserve">niciativas </w:t>
            </w:r>
            <w:r w:rsidR="00A551F6" w:rsidRPr="00D412E0">
              <w:rPr>
                <w:lang w:val="es-ES"/>
              </w:rPr>
              <w:t>r</w:t>
            </w:r>
            <w:r w:rsidRPr="00D412E0">
              <w:rPr>
                <w:lang w:val="es-ES"/>
              </w:rPr>
              <w:t xml:space="preserve">egionales, financiado por el fondo de colaboración UIT-MIIT de China, se puso en marcha en Chongqing </w:t>
            </w:r>
            <w:r w:rsidR="007A6B7B">
              <w:rPr>
                <w:lang w:val="es-ES"/>
              </w:rPr>
              <w:t>(</w:t>
            </w:r>
            <w:r w:rsidRPr="00D412E0">
              <w:rPr>
                <w:lang w:val="es-ES"/>
              </w:rPr>
              <w:t>China</w:t>
            </w:r>
            <w:r w:rsidR="007A6B7B">
              <w:rPr>
                <w:lang w:val="es-ES"/>
              </w:rPr>
              <w:t>)</w:t>
            </w:r>
            <w:r w:rsidRPr="00D412E0">
              <w:rPr>
                <w:lang w:val="es-ES"/>
              </w:rPr>
              <w:t xml:space="preserve">, en el marco de la conferencia anual UIT-MIIT. Esta iniciativa piloto tiene por objetivo dar a conocer nuevas capacidades para mejorar la implementación de las prioridades regionales impulsando la concepción y definición de </w:t>
            </w:r>
            <w:r w:rsidR="00A551F6" w:rsidRPr="00D412E0">
              <w:rPr>
                <w:lang w:val="es-ES"/>
              </w:rPr>
              <w:t>i</w:t>
            </w:r>
            <w:r w:rsidRPr="00D412E0">
              <w:rPr>
                <w:lang w:val="es-ES"/>
              </w:rPr>
              <w:t xml:space="preserve">niciativas </w:t>
            </w:r>
            <w:r w:rsidR="00A551F6" w:rsidRPr="00D412E0">
              <w:rPr>
                <w:lang w:val="es-ES"/>
              </w:rPr>
              <w:t>r</w:t>
            </w:r>
            <w:r w:rsidR="003A5C3C" w:rsidRPr="00D412E0">
              <w:rPr>
                <w:lang w:val="es-ES"/>
              </w:rPr>
              <w:t xml:space="preserve">egionales </w:t>
            </w:r>
            <w:r w:rsidRPr="00D412E0">
              <w:rPr>
                <w:lang w:val="es-ES"/>
              </w:rPr>
              <w:t>(IR) y conceptos de proyectos. La primera edición, centrada en la IR-EUR2, se llevó a cabo del 3 al 5 de febrero de</w:t>
            </w:r>
            <w:r w:rsidR="007C7776">
              <w:rPr>
                <w:lang w:val="es-ES"/>
              </w:rPr>
              <w:t> </w:t>
            </w:r>
            <w:r w:rsidRPr="00D412E0">
              <w:rPr>
                <w:lang w:val="es-ES"/>
              </w:rPr>
              <w:t xml:space="preserve">2025 en Podgorica </w:t>
            </w:r>
            <w:r w:rsidR="007C7776">
              <w:rPr>
                <w:lang w:val="es-ES"/>
              </w:rPr>
              <w:t>(</w:t>
            </w:r>
            <w:r w:rsidRPr="00D412E0">
              <w:rPr>
                <w:lang w:val="es-ES"/>
              </w:rPr>
              <w:t>Montenegro</w:t>
            </w:r>
            <w:r w:rsidR="007C7776">
              <w:rPr>
                <w:lang w:val="es-ES"/>
              </w:rPr>
              <w:t>)</w:t>
            </w:r>
            <w:r w:rsidRPr="00D412E0">
              <w:rPr>
                <w:lang w:val="es-ES"/>
              </w:rPr>
              <w:t>, y a ella asistieron 45</w:t>
            </w:r>
            <w:r w:rsidR="007C7776">
              <w:rPr>
                <w:lang w:val="es-ES"/>
              </w:rPr>
              <w:t> </w:t>
            </w:r>
            <w:r w:rsidRPr="00D412E0">
              <w:rPr>
                <w:lang w:val="es-ES"/>
              </w:rPr>
              <w:t>participantes de cinco países de los Balcanes Occidentales. El proyecto dio como resultado la elaboración de cinco conceptos de proyectos por valor de 20</w:t>
            </w:r>
            <w:r w:rsidR="007C7776">
              <w:rPr>
                <w:lang w:val="es-ES"/>
              </w:rPr>
              <w:t> </w:t>
            </w:r>
            <w:r w:rsidRPr="00D412E0">
              <w:rPr>
                <w:lang w:val="es-ES"/>
              </w:rPr>
              <w:t>millones</w:t>
            </w:r>
            <w:r w:rsidR="007C7776">
              <w:rPr>
                <w:lang w:val="es-ES"/>
              </w:rPr>
              <w:t> </w:t>
            </w:r>
            <w:r w:rsidRPr="00D412E0">
              <w:rPr>
                <w:lang w:val="es-ES"/>
              </w:rPr>
              <w:t xml:space="preserve">USD. La próxima edición </w:t>
            </w:r>
            <w:r w:rsidRPr="00D412E0">
              <w:rPr>
                <w:lang w:val="es-ES"/>
              </w:rPr>
              <w:lastRenderedPageBreak/>
              <w:t xml:space="preserve">se celebrará en la región </w:t>
            </w:r>
            <w:r w:rsidR="007A6B7B">
              <w:rPr>
                <w:lang w:val="es-ES"/>
              </w:rPr>
              <w:t xml:space="preserve">de </w:t>
            </w:r>
            <w:r w:rsidRPr="00D412E0">
              <w:rPr>
                <w:lang w:val="es-ES"/>
              </w:rPr>
              <w:t>Asia-Pacífico en abril de</w:t>
            </w:r>
            <w:r w:rsidR="003A5C3C">
              <w:rPr>
                <w:lang w:val="es-ES"/>
              </w:rPr>
              <w:t> </w:t>
            </w:r>
            <w:r w:rsidRPr="00D412E0">
              <w:rPr>
                <w:lang w:val="es-ES"/>
              </w:rPr>
              <w:t>2027 y la</w:t>
            </w:r>
            <w:r w:rsidR="003A5C3C">
              <w:rPr>
                <w:lang w:val="es-ES"/>
              </w:rPr>
              <w:t> </w:t>
            </w:r>
            <w:r w:rsidRPr="00D412E0">
              <w:rPr>
                <w:lang w:val="es-ES"/>
              </w:rPr>
              <w:t>BDT tiene previsto celebrar otras ediciones con países en desarrollo.</w:t>
            </w:r>
          </w:p>
          <w:p w14:paraId="4C5428B8" w14:textId="6772207E" w:rsidR="00D412E0" w:rsidRPr="00D412E0" w:rsidRDefault="00D412E0" w:rsidP="00F82529">
            <w:pPr>
              <w:pStyle w:val="Tabletext"/>
              <w:rPr>
                <w:lang w:val="es-ES"/>
              </w:rPr>
            </w:pPr>
            <w:r w:rsidRPr="00D412E0">
              <w:rPr>
                <w:lang w:val="es-ES"/>
              </w:rPr>
              <w:t>La</w:t>
            </w:r>
            <w:r w:rsidR="007A6B7B">
              <w:rPr>
                <w:lang w:val="es-ES"/>
              </w:rPr>
              <w:t> </w:t>
            </w:r>
            <w:r w:rsidRPr="00D412E0">
              <w:rPr>
                <w:lang w:val="es-ES"/>
              </w:rPr>
              <w:t xml:space="preserve">BDT presta también apoyo al Gobierno de Sudáfrica para su Presidencia del G20 en el marco de la prioridad del ecosistema de innovación digital y está preparando dos informes de previsión sobre el futuro de las </w:t>
            </w:r>
            <w:r w:rsidR="004E0ABE" w:rsidRPr="00D412E0">
              <w:rPr>
                <w:lang w:val="es-ES"/>
              </w:rPr>
              <w:t>pyme</w:t>
            </w:r>
            <w:r w:rsidR="004E0ABE">
              <w:rPr>
                <w:lang w:val="es-ES"/>
              </w:rPr>
              <w:t>s</w:t>
            </w:r>
            <w:r w:rsidR="004E0ABE" w:rsidRPr="00D412E0">
              <w:rPr>
                <w:lang w:val="es-ES"/>
              </w:rPr>
              <w:t xml:space="preserve"> </w:t>
            </w:r>
            <w:r w:rsidRPr="00D412E0">
              <w:rPr>
                <w:lang w:val="es-ES"/>
              </w:rPr>
              <w:t xml:space="preserve">y la definición de un ecosistema de capital riesgo africano para una financiación equitativa. </w:t>
            </w:r>
          </w:p>
          <w:p w14:paraId="53AAEE8A" w14:textId="082F2A9D" w:rsidR="00D412E0" w:rsidRPr="00D412E0" w:rsidRDefault="00D412E0" w:rsidP="00F82529">
            <w:pPr>
              <w:pStyle w:val="Tabletext"/>
              <w:rPr>
                <w:lang w:val="es-ES"/>
              </w:rPr>
            </w:pPr>
            <w:r w:rsidRPr="00D412E0">
              <w:rPr>
                <w:lang w:val="es-ES"/>
              </w:rPr>
              <w:t>La</w:t>
            </w:r>
            <w:r w:rsidR="007A6B7B">
              <w:rPr>
                <w:lang w:val="es-ES"/>
              </w:rPr>
              <w:t> </w:t>
            </w:r>
            <w:r w:rsidRPr="00D412E0">
              <w:rPr>
                <w:lang w:val="es-ES"/>
              </w:rPr>
              <w:t xml:space="preserve">UIT, en asociación con el UNFPA de Benin, codiseñó y formalizó con éxito la hoja de ruta de implementación y las próximas etapas del proyecto </w:t>
            </w:r>
            <w:r w:rsidR="00CB53AE">
              <w:rPr>
                <w:lang w:val="es-ES"/>
              </w:rPr>
              <w:t>"</w:t>
            </w:r>
            <w:r w:rsidRPr="00D412E0">
              <w:rPr>
                <w:lang w:val="es-ES"/>
              </w:rPr>
              <w:t>Desarrollar y fomentar ecosistemas sostenibles de innovación digital que aceleren la resiliencia y el empoderamiento de los jóvenes en Benin con un sólido enfoque de género</w:t>
            </w:r>
            <w:r w:rsidR="00CB53AE">
              <w:rPr>
                <w:lang w:val="es-ES"/>
              </w:rPr>
              <w:t>"</w:t>
            </w:r>
            <w:r w:rsidRPr="00D412E0">
              <w:rPr>
                <w:lang w:val="es-ES"/>
              </w:rPr>
              <w:t>. Se ha aprobado el conjunto de herramientas sobre procedimientos operativos normalizados.</w:t>
            </w:r>
          </w:p>
        </w:tc>
        <w:tc>
          <w:tcPr>
            <w:tcW w:w="2999" w:type="dxa"/>
          </w:tcPr>
          <w:p w14:paraId="5F8DF9D9" w14:textId="77777777" w:rsidR="00D412E0" w:rsidRPr="00F82529" w:rsidRDefault="00D412E0" w:rsidP="00F82529">
            <w:pPr>
              <w:pStyle w:val="Tabletext"/>
              <w:rPr>
                <w:b/>
                <w:bCs/>
                <w:lang w:val="es-ES"/>
              </w:rPr>
            </w:pPr>
            <w:r w:rsidRPr="006D1283">
              <w:rPr>
                <w:b/>
                <w:bCs/>
                <w:color w:val="0070C0"/>
                <w:lang w:val="es-ES"/>
              </w:rPr>
              <w:lastRenderedPageBreak/>
              <w:t>Proyectos e iniciativas de aceleración de la innovación digital</w:t>
            </w:r>
          </w:p>
        </w:tc>
      </w:tr>
      <w:tr w:rsidR="00D412E0" w:rsidRPr="002F5AC1" w14:paraId="6B8190B0" w14:textId="77777777" w:rsidTr="00106B0D">
        <w:trPr>
          <w:jc w:val="center"/>
        </w:trPr>
        <w:tc>
          <w:tcPr>
            <w:tcW w:w="14556" w:type="dxa"/>
            <w:gridSpan w:val="3"/>
            <w:shd w:val="clear" w:color="auto" w:fill="E5DFEC"/>
          </w:tcPr>
          <w:p w14:paraId="59780A64" w14:textId="77777777" w:rsidR="00D412E0" w:rsidRPr="006D1283" w:rsidRDefault="00D412E0" w:rsidP="00F82529">
            <w:pPr>
              <w:pStyle w:val="Tabletext"/>
              <w:rPr>
                <w:b/>
                <w:bCs/>
                <w:color w:val="1F497D"/>
                <w:lang w:val="es-ES"/>
              </w:rPr>
            </w:pPr>
            <w:r w:rsidRPr="006D1283">
              <w:rPr>
                <w:b/>
                <w:bCs/>
                <w:color w:val="1F497D"/>
                <w:lang w:val="es-ES"/>
              </w:rPr>
              <w:t>Ecosistema de innovación digital</w:t>
            </w:r>
          </w:p>
          <w:p w14:paraId="6D337E4F" w14:textId="395DBAE4" w:rsidR="00D412E0" w:rsidRPr="00D412E0" w:rsidRDefault="00D412E0" w:rsidP="00F82529">
            <w:pPr>
              <w:pStyle w:val="Tabletext"/>
              <w:rPr>
                <w:i/>
                <w:iCs/>
                <w:lang w:val="es-ES"/>
              </w:rPr>
            </w:pPr>
            <w:r w:rsidRPr="00F82529">
              <w:rPr>
                <w:b/>
                <w:bCs/>
                <w:i/>
                <w:iCs/>
                <w:lang w:val="es-ES"/>
              </w:rPr>
              <w:t>Realización:</w:t>
            </w:r>
            <w:r w:rsidRPr="00D412E0">
              <w:rPr>
                <w:i/>
                <w:iCs/>
                <w:lang w:val="es-ES"/>
              </w:rPr>
              <w:t xml:space="preserve"> Mejora de las capacidades personales e institucionales de los </w:t>
            </w:r>
            <w:r w:rsidR="009378F6">
              <w:rPr>
                <w:i/>
                <w:iCs/>
                <w:lang w:val="es-ES"/>
              </w:rPr>
              <w:t>m</w:t>
            </w:r>
            <w:r w:rsidRPr="00D412E0">
              <w:rPr>
                <w:i/>
                <w:iCs/>
                <w:lang w:val="es-ES"/>
              </w:rPr>
              <w:t>iembros de la UIT en materia de telecomunicaciones/TIC para fomentar la transformación digital</w:t>
            </w:r>
            <w:r w:rsidR="00A20ED8">
              <w:rPr>
                <w:i/>
                <w:iCs/>
                <w:lang w:val="es-ES"/>
              </w:rPr>
              <w:t>.</w:t>
            </w:r>
          </w:p>
        </w:tc>
      </w:tr>
      <w:tr w:rsidR="0061116D" w:rsidRPr="002F5AC1" w14:paraId="33737B93" w14:textId="77777777" w:rsidTr="00106B0D">
        <w:trPr>
          <w:jc w:val="center"/>
        </w:trPr>
        <w:tc>
          <w:tcPr>
            <w:tcW w:w="11557" w:type="dxa"/>
            <w:gridSpan w:val="2"/>
          </w:tcPr>
          <w:p w14:paraId="649890AB" w14:textId="76AF3ADA" w:rsidR="00D412E0" w:rsidRPr="00D412E0" w:rsidRDefault="00D412E0" w:rsidP="00F82529">
            <w:pPr>
              <w:pStyle w:val="Tabletext"/>
              <w:rPr>
                <w:lang w:val="es-ES"/>
              </w:rPr>
            </w:pPr>
            <w:r w:rsidRPr="00D412E0">
              <w:rPr>
                <w:lang w:val="es-ES"/>
              </w:rPr>
              <w:t>La</w:t>
            </w:r>
            <w:r w:rsidR="003F0C8D">
              <w:rPr>
                <w:lang w:val="es-ES"/>
              </w:rPr>
              <w:t> </w:t>
            </w:r>
            <w:r w:rsidRPr="00D412E0">
              <w:rPr>
                <w:lang w:val="es-ES"/>
              </w:rPr>
              <w:t>BDT sigue mejorando las capacidades personales e institucionales de los Estados Miembros para innovar y fomentar la transformación digital.</w:t>
            </w:r>
          </w:p>
          <w:p w14:paraId="4BF2DD24" w14:textId="4D133832" w:rsidR="00D412E0" w:rsidRPr="00F82529" w:rsidRDefault="00D412E0" w:rsidP="00F82529">
            <w:pPr>
              <w:pStyle w:val="Tabletext"/>
              <w:rPr>
                <w:lang w:val="es-ES"/>
              </w:rPr>
            </w:pPr>
            <w:r w:rsidRPr="00D412E0">
              <w:rPr>
                <w:lang w:val="es-ES"/>
              </w:rPr>
              <w:t>Se hace especial énfasis en la capacitación de los jóvenes mediante actividades cooperativas con el apoyo de las Instituciones Académicas Miembros y otras partes interesadas.</w:t>
            </w:r>
          </w:p>
          <w:p w14:paraId="3F1A92EF" w14:textId="1672F8AF" w:rsidR="00D412E0" w:rsidRPr="00D412E0" w:rsidRDefault="00F82529" w:rsidP="00F82529">
            <w:pPr>
              <w:pStyle w:val="Tabletext"/>
              <w:rPr>
                <w:lang w:val="es-ES"/>
              </w:rPr>
            </w:pPr>
            <w:r w:rsidRPr="00F82529">
              <w:rPr>
                <w:b/>
                <w:bCs/>
                <w:lang w:val="es-ES"/>
              </w:rPr>
              <w:t xml:space="preserve">En </w:t>
            </w:r>
            <w:r w:rsidR="00D412E0" w:rsidRPr="00F82529">
              <w:rPr>
                <w:b/>
                <w:bCs/>
                <w:lang w:val="es-ES"/>
              </w:rPr>
              <w:t>la CEI</w:t>
            </w:r>
            <w:r w:rsidR="00D412E0" w:rsidRPr="00F82529">
              <w:rPr>
                <w:lang w:val="es-ES"/>
              </w:rPr>
              <w:t xml:space="preserve"> </w:t>
            </w:r>
            <w:r w:rsidR="00D412E0" w:rsidRPr="00D412E0">
              <w:rPr>
                <w:lang w:val="es-ES"/>
              </w:rPr>
              <w:t xml:space="preserve">la UIT organizó en mayo de 2024 un </w:t>
            </w:r>
            <w:r w:rsidR="003F0C8D" w:rsidRPr="00F82529">
              <w:rPr>
                <w:b/>
                <w:bCs/>
                <w:lang w:val="es-ES"/>
              </w:rPr>
              <w:t>i</w:t>
            </w:r>
            <w:r w:rsidR="00D412E0" w:rsidRPr="00F82529">
              <w:rPr>
                <w:b/>
                <w:bCs/>
                <w:lang w:val="es-ES"/>
              </w:rPr>
              <w:t xml:space="preserve">deatón centrado en la creación de nuevas empresas para estudiantes y jóvenes profesionales en Juyand </w:t>
            </w:r>
            <w:r w:rsidR="007C7776">
              <w:rPr>
                <w:b/>
                <w:bCs/>
                <w:lang w:val="es-ES"/>
              </w:rPr>
              <w:t>(</w:t>
            </w:r>
            <w:r w:rsidR="00D412E0" w:rsidRPr="00F82529">
              <w:rPr>
                <w:b/>
                <w:bCs/>
                <w:lang w:val="es-ES"/>
              </w:rPr>
              <w:t>Tayikistán</w:t>
            </w:r>
            <w:r w:rsidR="007C7776">
              <w:rPr>
                <w:b/>
                <w:bCs/>
                <w:lang w:val="es-ES"/>
              </w:rPr>
              <w:t>)</w:t>
            </w:r>
            <w:r w:rsidR="00D412E0" w:rsidRPr="00F82529">
              <w:rPr>
                <w:lang w:val="es-ES"/>
              </w:rPr>
              <w:t xml:space="preserve">. </w:t>
            </w:r>
            <w:r w:rsidR="00D412E0" w:rsidRPr="00D412E0">
              <w:rPr>
                <w:lang w:val="es-ES"/>
              </w:rPr>
              <w:t>Durante dos días se impartió formación intensiva a los participantes en materia de generación de ideas, construcción de modelos de negocio, elaboración de discursos convincentes, colaboración con los inversores y conexión con su público meta. Expertos de Kazajstán, Uzbekistán y Tayikistán compartieron sus observaciones sobre los ecosistemas de las empresas de reciente creación en sus respectivos países, destacando las oportunidades de nuevas empresas en diferentes etapas, desde la concepción hasta la obtención de un producto viable mínimo y los usuarios iniciales. Durante el segundo día, los participantes presentaron sus ideas en el marco de una sesión de lanzamiento. Seis equipos expusieron sus conceptos de negocio a un jurado y otros asistentes. En total, más de 30</w:t>
            </w:r>
            <w:r w:rsidR="007C7776">
              <w:rPr>
                <w:lang w:val="es-ES"/>
              </w:rPr>
              <w:t> </w:t>
            </w:r>
            <w:r w:rsidR="00D412E0" w:rsidRPr="00D412E0">
              <w:rPr>
                <w:lang w:val="es-ES"/>
              </w:rPr>
              <w:t>jóvenes innovadores de Tayikistán participaron en el evento.</w:t>
            </w:r>
          </w:p>
          <w:p w14:paraId="7983A107" w14:textId="03EC91DD" w:rsidR="00D412E0" w:rsidRPr="00D412E0" w:rsidRDefault="00D412E0" w:rsidP="00106B0D">
            <w:pPr>
              <w:pStyle w:val="Tabletext"/>
              <w:keepNext/>
              <w:keepLines/>
              <w:rPr>
                <w:lang w:val="es-ES"/>
              </w:rPr>
            </w:pPr>
            <w:r w:rsidRPr="003F0C8D">
              <w:rPr>
                <w:b/>
                <w:bCs/>
                <w:lang w:val="es-ES"/>
              </w:rPr>
              <w:t>Se celebró un hackat</w:t>
            </w:r>
            <w:r w:rsidR="00A811C7" w:rsidRPr="003F0C8D">
              <w:rPr>
                <w:b/>
                <w:bCs/>
                <w:lang w:val="es-ES"/>
              </w:rPr>
              <w:t>ó</w:t>
            </w:r>
            <w:r w:rsidRPr="003F0C8D">
              <w:rPr>
                <w:b/>
                <w:bCs/>
                <w:lang w:val="es-ES"/>
              </w:rPr>
              <w:t>n centrado en la creación de nuevas empresas en ciudades inteligentes para estudiantes de universidades técnicas de Belarús en octubre y noviembre de 2024</w:t>
            </w:r>
            <w:r w:rsidRPr="00D412E0">
              <w:rPr>
                <w:lang w:val="es-ES"/>
              </w:rPr>
              <w:t xml:space="preserve">. Parte de un programa de dos meses, </w:t>
            </w:r>
            <w:r w:rsidRPr="00F82529">
              <w:rPr>
                <w:lang w:val="es-ES"/>
              </w:rPr>
              <w:t xml:space="preserve">el </w:t>
            </w:r>
            <w:r w:rsidRPr="004265A8">
              <w:rPr>
                <w:lang w:val="es-ES"/>
              </w:rPr>
              <w:t>hackat</w:t>
            </w:r>
            <w:r w:rsidR="00A811C7" w:rsidRPr="004265A8">
              <w:rPr>
                <w:lang w:val="es-ES"/>
              </w:rPr>
              <w:t>ó</w:t>
            </w:r>
            <w:r w:rsidRPr="004265A8">
              <w:rPr>
                <w:lang w:val="es-ES"/>
              </w:rPr>
              <w:t>n</w:t>
            </w:r>
            <w:r w:rsidRPr="00F82529">
              <w:rPr>
                <w:lang w:val="es-ES"/>
              </w:rPr>
              <w:t xml:space="preserve"> contó con sesiones de formación con ponentes expertos y consultas personalizadas con mentores, y concluyó con un evento de lanzamiento en el que los participantes presentaron sus ideas de nuevas empresas. En total participaron 107</w:t>
            </w:r>
            <w:r w:rsidR="00E16C6B">
              <w:rPr>
                <w:lang w:val="es-ES"/>
              </w:rPr>
              <w:t> </w:t>
            </w:r>
            <w:r w:rsidRPr="00F82529">
              <w:rPr>
                <w:lang w:val="es-ES"/>
              </w:rPr>
              <w:t>estudiantes de seis universidades de Belarús y una universidad de Rusia</w:t>
            </w:r>
            <w:r w:rsidRPr="00D412E0">
              <w:rPr>
                <w:lang w:val="es-ES"/>
              </w:rPr>
              <w:t>.</w:t>
            </w:r>
          </w:p>
          <w:p w14:paraId="49C59150" w14:textId="2B5D8EE6" w:rsidR="00D412E0" w:rsidRPr="00063775" w:rsidRDefault="00D412E0" w:rsidP="00F82529">
            <w:pPr>
              <w:pStyle w:val="Tabletext"/>
              <w:rPr>
                <w:lang w:val="es-ES"/>
              </w:rPr>
            </w:pPr>
            <w:r w:rsidRPr="00D412E0">
              <w:rPr>
                <w:lang w:val="es-ES"/>
              </w:rPr>
              <w:t>En 2025 se organizaron programas similares en asociación con Instituciones Académicas Miembros de la UIT:</w:t>
            </w:r>
          </w:p>
          <w:p w14:paraId="3B6488FF" w14:textId="6BE42B49" w:rsidR="00D412E0" w:rsidRPr="00D412E0" w:rsidRDefault="006D1283" w:rsidP="006D1283">
            <w:pPr>
              <w:pStyle w:val="Tabletext"/>
              <w:tabs>
                <w:tab w:val="clear" w:pos="284"/>
              </w:tabs>
              <w:ind w:left="567" w:hanging="567"/>
              <w:rPr>
                <w:lang w:val="es-ES"/>
              </w:rPr>
            </w:pPr>
            <w:r w:rsidRPr="006D1283">
              <w:rPr>
                <w:lang w:val="es-ES"/>
              </w:rPr>
              <w:t>–</w:t>
            </w:r>
            <w:r w:rsidR="00F82529">
              <w:rPr>
                <w:lang w:val="es-ES"/>
              </w:rPr>
              <w:tab/>
            </w:r>
            <w:r w:rsidR="007C7776" w:rsidRPr="00D412E0">
              <w:rPr>
                <w:lang w:val="es-ES"/>
              </w:rPr>
              <w:t>m</w:t>
            </w:r>
            <w:r w:rsidR="00D412E0" w:rsidRPr="00D412E0">
              <w:rPr>
                <w:lang w:val="es-ES"/>
              </w:rPr>
              <w:t>ás de 60</w:t>
            </w:r>
            <w:r w:rsidR="007A6B7B">
              <w:rPr>
                <w:lang w:val="es-ES"/>
              </w:rPr>
              <w:t> </w:t>
            </w:r>
            <w:r w:rsidR="00D412E0" w:rsidRPr="00D412E0">
              <w:rPr>
                <w:lang w:val="es-ES"/>
              </w:rPr>
              <w:t>jóvenes de la Universidad de Ingeniería y Economía de Kostanay participaron en el Concurso IA; 26 llegaron a la final, donde pudieron exponer y presentar sus propias soluciones de IA;</w:t>
            </w:r>
          </w:p>
          <w:p w14:paraId="1AE87DCC" w14:textId="4DFD8653" w:rsidR="00D412E0" w:rsidRPr="00D412E0" w:rsidRDefault="006D1283" w:rsidP="006D1283">
            <w:pPr>
              <w:pStyle w:val="Tabletext"/>
              <w:tabs>
                <w:tab w:val="clear" w:pos="284"/>
              </w:tabs>
              <w:ind w:left="567" w:hanging="567"/>
              <w:rPr>
                <w:lang w:val="es-ES"/>
              </w:rPr>
            </w:pPr>
            <w:r w:rsidRPr="006D1283">
              <w:rPr>
                <w:lang w:val="es-ES"/>
              </w:rPr>
              <w:lastRenderedPageBreak/>
              <w:t>–</w:t>
            </w:r>
            <w:r w:rsidR="00F82529">
              <w:rPr>
                <w:lang w:val="es-ES"/>
              </w:rPr>
              <w:tab/>
            </w:r>
            <w:r w:rsidR="007C7776" w:rsidRPr="00D412E0">
              <w:rPr>
                <w:lang w:val="es-ES"/>
              </w:rPr>
              <w:t>l</w:t>
            </w:r>
            <w:r w:rsidR="00D412E0" w:rsidRPr="00D412E0">
              <w:rPr>
                <w:lang w:val="es-ES"/>
              </w:rPr>
              <w:t>a Universidad Técnica Estatal de Kirguistán, en asociación con las autoridades regionales de Batken y la Universidad Estatal de Batken, reunió a más de 100</w:t>
            </w:r>
            <w:r w:rsidR="00B41069">
              <w:rPr>
                <w:lang w:val="es-ES"/>
              </w:rPr>
              <w:t> </w:t>
            </w:r>
            <w:r w:rsidR="00D412E0" w:rsidRPr="00D412E0">
              <w:rPr>
                <w:lang w:val="es-ES"/>
              </w:rPr>
              <w:t xml:space="preserve">participantes en el </w:t>
            </w:r>
            <w:r w:rsidR="00A811C7" w:rsidRPr="00D412E0">
              <w:rPr>
                <w:lang w:val="es-ES"/>
              </w:rPr>
              <w:t>hackatón</w:t>
            </w:r>
            <w:r w:rsidR="00D412E0" w:rsidRPr="00D412E0">
              <w:rPr>
                <w:lang w:val="es-ES"/>
              </w:rPr>
              <w:t xml:space="preserve"> "Batken 4.0 – Soluciones digitales para la región de Batken".</w:t>
            </w:r>
          </w:p>
          <w:p w14:paraId="642EC8CF" w14:textId="59E9CD95" w:rsidR="00D412E0" w:rsidRPr="00D412E0" w:rsidRDefault="00D412E0" w:rsidP="00F82529">
            <w:pPr>
              <w:pStyle w:val="Tabletext"/>
              <w:rPr>
                <w:lang w:val="es-ES"/>
              </w:rPr>
            </w:pPr>
            <w:r w:rsidRPr="00D412E0">
              <w:rPr>
                <w:b/>
                <w:bCs/>
                <w:lang w:val="es-ES"/>
              </w:rPr>
              <w:t>En África</w:t>
            </w:r>
            <w:r w:rsidRPr="007C7776">
              <w:rPr>
                <w:lang w:val="es-ES"/>
              </w:rPr>
              <w:t>,</w:t>
            </w:r>
            <w:r w:rsidRPr="00D412E0">
              <w:rPr>
                <w:lang w:val="es-ES"/>
              </w:rPr>
              <w:t xml:space="preserve"> la BDT contribuyó a la organización de la 4</w:t>
            </w:r>
            <w:r w:rsidR="00B41069">
              <w:rPr>
                <w:lang w:val="es-ES"/>
              </w:rPr>
              <w:t>.</w:t>
            </w:r>
            <w:r w:rsidRPr="00D412E0">
              <w:rPr>
                <w:lang w:val="es-ES"/>
              </w:rPr>
              <w:t>ª</w:t>
            </w:r>
            <w:r w:rsidR="00B41069">
              <w:rPr>
                <w:lang w:val="es-ES"/>
              </w:rPr>
              <w:t> </w:t>
            </w:r>
            <w:r w:rsidRPr="00D412E0">
              <w:rPr>
                <w:lang w:val="es-ES"/>
              </w:rPr>
              <w:t xml:space="preserve">edición del Concurso de Innovación de la Unión Africana de Telecomunicaciones, concurso anual destinado a identificar y apoyar a los jóvenes innovadores e instituciones africanos. El objetivo es idear soluciones y crear un entorno habilitador para solucionar problemas críticos en todo el continente. La edición de este año se concentró en encontrar innovadores con soluciones de IA </w:t>
            </w:r>
            <w:r w:rsidR="00B42C75">
              <w:rPr>
                <w:lang w:val="es-ES"/>
              </w:rPr>
              <w:t>r</w:t>
            </w:r>
            <w:r w:rsidR="00B42C75" w:rsidRPr="00D412E0">
              <w:rPr>
                <w:lang w:val="es-ES"/>
              </w:rPr>
              <w:t>evolucionarias</w:t>
            </w:r>
            <w:r w:rsidRPr="00D412E0">
              <w:rPr>
                <w:lang w:val="es-ES"/>
              </w:rPr>
              <w:t>.</w:t>
            </w:r>
          </w:p>
          <w:p w14:paraId="71DA94E6" w14:textId="77777777" w:rsidR="00D412E0" w:rsidRPr="00D412E0" w:rsidRDefault="00D412E0" w:rsidP="00F82529">
            <w:pPr>
              <w:pStyle w:val="Tabletext"/>
              <w:rPr>
                <w:lang w:val="es-ES"/>
              </w:rPr>
            </w:pPr>
            <w:r w:rsidRPr="00D412E0">
              <w:rPr>
                <w:b/>
                <w:bCs/>
                <w:lang w:val="es-ES"/>
              </w:rPr>
              <w:t>En Asia-Pacífico</w:t>
            </w:r>
            <w:r w:rsidRPr="007C7776">
              <w:rPr>
                <w:lang w:val="es-ES"/>
              </w:rPr>
              <w:t>,</w:t>
            </w:r>
            <w:r w:rsidRPr="00D412E0">
              <w:rPr>
                <w:lang w:val="es-ES"/>
              </w:rPr>
              <w:t xml:space="preserve"> celebró una reunión de consulta con algunos Estados Miembros (India, Nepal, Bhután, Bangladesh y Maldivas) y otras partes interesadas para examinar su labor y sus futuras actividades. La reunión facilitó los debates sobre las oportunidades de cooperación en materia de innovación y sus conclusiones se utilizaron para planificar las actividades futuras del Centro de Innovación de India. La UIT y sus socios exploraron nuevos métodos para mejorar la innovación digital en la región.</w:t>
            </w:r>
          </w:p>
        </w:tc>
        <w:tc>
          <w:tcPr>
            <w:tcW w:w="2999" w:type="dxa"/>
          </w:tcPr>
          <w:p w14:paraId="698F2461" w14:textId="77777777" w:rsidR="00D412E0" w:rsidRPr="005F4E06" w:rsidRDefault="00D412E0" w:rsidP="00F82529">
            <w:pPr>
              <w:pStyle w:val="Tabletext"/>
              <w:rPr>
                <w:b/>
                <w:bCs/>
                <w:color w:val="0070C0"/>
                <w:lang w:val="es-ES"/>
              </w:rPr>
            </w:pPr>
            <w:r w:rsidRPr="005F4E06">
              <w:rPr>
                <w:b/>
                <w:bCs/>
                <w:color w:val="0070C0"/>
                <w:lang w:val="es-ES"/>
              </w:rPr>
              <w:lastRenderedPageBreak/>
              <w:t>Ayuda al ecosistema de nuevas empresas</w:t>
            </w:r>
          </w:p>
        </w:tc>
      </w:tr>
      <w:tr w:rsidR="0061116D" w:rsidRPr="002F5AC1" w14:paraId="22F45653" w14:textId="77777777" w:rsidTr="00106B0D">
        <w:trPr>
          <w:jc w:val="center"/>
        </w:trPr>
        <w:tc>
          <w:tcPr>
            <w:tcW w:w="11557" w:type="dxa"/>
            <w:gridSpan w:val="2"/>
          </w:tcPr>
          <w:p w14:paraId="7058842D" w14:textId="4858F9EC" w:rsidR="00D412E0" w:rsidRPr="00D412E0" w:rsidRDefault="00D412E0" w:rsidP="00F82529">
            <w:pPr>
              <w:pStyle w:val="Tabletext"/>
              <w:rPr>
                <w:lang w:val="es-ES"/>
              </w:rPr>
            </w:pPr>
            <w:r w:rsidRPr="00D412E0">
              <w:rPr>
                <w:lang w:val="es-ES"/>
              </w:rPr>
              <w:t xml:space="preserve">El Foro Mundial de la Innovación (GIF) de 2024 se celebró en </w:t>
            </w:r>
            <w:bookmarkStart w:id="12" w:name="_Hlk196913859"/>
            <w:r w:rsidRPr="00D412E0">
              <w:rPr>
                <w:lang w:val="es-ES"/>
              </w:rPr>
              <w:t>La Vale</w:t>
            </w:r>
            <w:r w:rsidR="007C7776">
              <w:rPr>
                <w:lang w:val="es-ES"/>
              </w:rPr>
              <w:t>t</w:t>
            </w:r>
            <w:r w:rsidRPr="00D412E0">
              <w:rPr>
                <w:lang w:val="es-ES"/>
              </w:rPr>
              <w:t>ta</w:t>
            </w:r>
            <w:bookmarkEnd w:id="12"/>
            <w:r w:rsidRPr="00D412E0">
              <w:rPr>
                <w:lang w:val="es-ES"/>
              </w:rPr>
              <w:t xml:space="preserve"> </w:t>
            </w:r>
            <w:r w:rsidR="007C7776">
              <w:rPr>
                <w:lang w:val="es-ES"/>
              </w:rPr>
              <w:t>(</w:t>
            </w:r>
            <w:r w:rsidRPr="00D412E0">
              <w:rPr>
                <w:lang w:val="es-ES"/>
              </w:rPr>
              <w:t>Malta</w:t>
            </w:r>
            <w:r w:rsidR="007C7776">
              <w:rPr>
                <w:lang w:val="es-ES"/>
              </w:rPr>
              <w:t>)</w:t>
            </w:r>
            <w:r w:rsidRPr="00D412E0">
              <w:rPr>
                <w:lang w:val="es-ES"/>
              </w:rPr>
              <w:t xml:space="preserve">, del 23 al 30 de octubre. El tema del </w:t>
            </w:r>
            <w:r w:rsidR="003F0C8D">
              <w:rPr>
                <w:lang w:val="es-ES"/>
              </w:rPr>
              <w:t>f</w:t>
            </w:r>
            <w:r w:rsidRPr="00D412E0">
              <w:rPr>
                <w:lang w:val="es-ES"/>
              </w:rPr>
              <w:t xml:space="preserve">oro fue </w:t>
            </w:r>
            <w:r w:rsidR="00CB53AE">
              <w:rPr>
                <w:lang w:val="es-ES"/>
              </w:rPr>
              <w:t>"</w:t>
            </w:r>
            <w:r w:rsidRPr="00D412E0">
              <w:rPr>
                <w:lang w:val="es-ES"/>
              </w:rPr>
              <w:t>La conformación de nuestros futuros digitales para la prosperidad y el bienestar de todas las personas</w:t>
            </w:r>
            <w:r w:rsidR="00CB53AE">
              <w:rPr>
                <w:lang w:val="es-ES"/>
              </w:rPr>
              <w:t>"</w:t>
            </w:r>
            <w:r w:rsidRPr="00D412E0">
              <w:rPr>
                <w:lang w:val="es-ES"/>
              </w:rPr>
              <w:t xml:space="preserve"> y en él se permitió el intercambio de conocimientos, el establecimiento de contactos y la promoción de la innovación. El Foro proporcionó una plataforma importante para reducir la brecha de innovación digital por diversos medios, como la compartición de conocimientos sobre la aceleración normativa y el empoderamiento de las partes interesadas. El Foro fue inaugurado por el Presidente de Malta y acogió a participantes de múltiples organizaciones y países, incluidos representantes de alto nivel de numerosos gobiernos.</w:t>
            </w:r>
          </w:p>
          <w:p w14:paraId="0ED3A105" w14:textId="77777777" w:rsidR="00D412E0" w:rsidRPr="00D412E0" w:rsidRDefault="00D412E0" w:rsidP="00F82529">
            <w:pPr>
              <w:pStyle w:val="Tabletext"/>
              <w:rPr>
                <w:lang w:val="es-ES"/>
              </w:rPr>
            </w:pPr>
            <w:r w:rsidRPr="00D412E0">
              <w:rPr>
                <w:lang w:val="es-ES"/>
              </w:rPr>
              <w:t>La BDT ha seguido aumentado su programa de desarrollo del ecosistema de innovación con la adición de dos nuevos cursos avanzados sobre previsión estratégica y desarrollo de iniciativas ecosistémicas.</w:t>
            </w:r>
          </w:p>
          <w:p w14:paraId="67D4FB3B" w14:textId="620DD688" w:rsidR="00D412E0" w:rsidRPr="00D412E0" w:rsidRDefault="00D412E0" w:rsidP="00F82529">
            <w:pPr>
              <w:pStyle w:val="Tabletext"/>
              <w:rPr>
                <w:lang w:val="es-ES"/>
              </w:rPr>
            </w:pPr>
            <w:r w:rsidRPr="00D412E0">
              <w:rPr>
                <w:lang w:val="es-ES"/>
              </w:rPr>
              <w:t xml:space="preserve">La BDT impartió una formación regional I-codi utilizando las guías de previsión estratégica de la Alianza y presentó un modelo experimental que permite delimitar mejor las prioridades regionales. Este proceso se presentó en el Foro Regional de Desarrollo para la </w:t>
            </w:r>
            <w:r w:rsidR="00036CC8" w:rsidRPr="00D412E0">
              <w:rPr>
                <w:lang w:val="es-ES"/>
              </w:rPr>
              <w:t>r</w:t>
            </w:r>
            <w:r w:rsidRPr="00D412E0">
              <w:rPr>
                <w:lang w:val="es-ES"/>
              </w:rPr>
              <w:t xml:space="preserve">egión </w:t>
            </w:r>
            <w:r w:rsidR="00CB705F" w:rsidRPr="00D412E0">
              <w:rPr>
                <w:lang w:val="es-ES"/>
              </w:rPr>
              <w:t>á</w:t>
            </w:r>
            <w:r w:rsidRPr="00D412E0">
              <w:rPr>
                <w:lang w:val="es-ES"/>
              </w:rPr>
              <w:t>rabe con la contribución de los EAU.</w:t>
            </w:r>
          </w:p>
          <w:p w14:paraId="70B6EC09" w14:textId="77777777" w:rsidR="00D412E0" w:rsidRPr="00D412E0" w:rsidRDefault="00D412E0" w:rsidP="00F82529">
            <w:pPr>
              <w:pStyle w:val="Tabletext"/>
              <w:rPr>
                <w:lang w:val="es-ES"/>
              </w:rPr>
            </w:pPr>
            <w:r w:rsidRPr="00D412E0">
              <w:rPr>
                <w:lang w:val="es-ES"/>
              </w:rPr>
              <w:t>La BDT apoyó el lanzamiento de los productos y servicios Innovation Café en Fiji, donde la Oficina Regional dirige las actividades de creación conjunta con los Estados Miembros. ITU Innovation Café es una plataforma dinámica diseñada para fomentar la creación conjunta, el intercambio de conocimientos y la resolución colaborativa de problemas entre varios interesados del ecosistema de innovación digital. En el marco del compromiso de la UIT para con la innovación, el Café ofrece un entorno estructurado y participativo donde los responsables políticos, los líderes de la industria, las instituciones académicas y los empresarios pueden implicarse en el diseño común y adoptar enfoques antropocéntricos.</w:t>
            </w:r>
          </w:p>
        </w:tc>
        <w:tc>
          <w:tcPr>
            <w:tcW w:w="2999" w:type="dxa"/>
          </w:tcPr>
          <w:p w14:paraId="3489FACC" w14:textId="75E36903" w:rsidR="00D412E0" w:rsidRPr="006D1283" w:rsidRDefault="00D412E0" w:rsidP="00F82529">
            <w:pPr>
              <w:pStyle w:val="Tabletext"/>
              <w:rPr>
                <w:b/>
                <w:bCs/>
                <w:color w:val="0070C0"/>
                <w:lang w:val="es-ES"/>
              </w:rPr>
            </w:pPr>
            <w:r w:rsidRPr="006D1283">
              <w:rPr>
                <w:b/>
                <w:bCs/>
                <w:color w:val="0070C0"/>
                <w:lang w:val="es-ES"/>
              </w:rPr>
              <w:t xml:space="preserve">Foro Mundial de </w:t>
            </w:r>
            <w:r w:rsidR="00E67021">
              <w:rPr>
                <w:b/>
                <w:bCs/>
                <w:color w:val="0070C0"/>
                <w:lang w:val="es-ES"/>
              </w:rPr>
              <w:t xml:space="preserve">la </w:t>
            </w:r>
            <w:r w:rsidRPr="006D1283">
              <w:rPr>
                <w:b/>
                <w:bCs/>
                <w:color w:val="0070C0"/>
                <w:lang w:val="es-ES"/>
              </w:rPr>
              <w:t>Innovación y desarrollo de la capacidad innovadora</w:t>
            </w:r>
          </w:p>
          <w:p w14:paraId="2C6742BF" w14:textId="77777777" w:rsidR="00D412E0" w:rsidRPr="00D412E0" w:rsidRDefault="00D412E0" w:rsidP="00F82529">
            <w:pPr>
              <w:pStyle w:val="Tabletext"/>
              <w:rPr>
                <w:lang w:val="it-IT"/>
              </w:rPr>
            </w:pPr>
            <w:r w:rsidRPr="00F82529">
              <w:rPr>
                <w:b/>
                <w:bCs/>
                <w:lang w:val="it-IT"/>
              </w:rPr>
              <w:t>Europa:</w:t>
            </w:r>
            <w:r w:rsidRPr="00D412E0">
              <w:rPr>
                <w:lang w:val="it-IT"/>
              </w:rPr>
              <w:t xml:space="preserve"> Malta</w:t>
            </w:r>
          </w:p>
          <w:p w14:paraId="10785CAD" w14:textId="77777777" w:rsidR="00D412E0" w:rsidRPr="00D412E0" w:rsidRDefault="00D412E0" w:rsidP="00F82529">
            <w:pPr>
              <w:pStyle w:val="Tabletext"/>
              <w:rPr>
                <w:lang w:val="it-IT"/>
              </w:rPr>
            </w:pPr>
            <w:r w:rsidRPr="00F82529">
              <w:rPr>
                <w:b/>
                <w:bCs/>
                <w:lang w:val="it-IT"/>
              </w:rPr>
              <w:t>ASP:</w:t>
            </w:r>
            <w:r w:rsidRPr="00D412E0">
              <w:rPr>
                <w:lang w:val="it-IT"/>
              </w:rPr>
              <w:t xml:space="preserve"> Fiji</w:t>
            </w:r>
          </w:p>
          <w:p w14:paraId="748810AB" w14:textId="77777777" w:rsidR="00D412E0" w:rsidRPr="00D412E0" w:rsidRDefault="00D412E0" w:rsidP="00F82529">
            <w:pPr>
              <w:pStyle w:val="Tabletext"/>
              <w:rPr>
                <w:lang w:val="it-IT"/>
              </w:rPr>
            </w:pPr>
            <w:r w:rsidRPr="00F82529">
              <w:rPr>
                <w:b/>
                <w:bCs/>
                <w:lang w:val="it-IT"/>
              </w:rPr>
              <w:t>ARB</w:t>
            </w:r>
            <w:r w:rsidRPr="003F0C8D">
              <w:rPr>
                <w:b/>
                <w:bCs/>
                <w:lang w:val="it-IT"/>
              </w:rPr>
              <w:t>:</w:t>
            </w:r>
            <w:r w:rsidRPr="00D412E0">
              <w:rPr>
                <w:lang w:val="it-IT"/>
              </w:rPr>
              <w:t xml:space="preserve"> Dubái</w:t>
            </w:r>
          </w:p>
        </w:tc>
      </w:tr>
      <w:tr w:rsidR="00D412E0" w:rsidRPr="002F5AC1" w14:paraId="7CAC8EDC" w14:textId="77777777" w:rsidTr="00106B0D">
        <w:trPr>
          <w:jc w:val="center"/>
        </w:trPr>
        <w:tc>
          <w:tcPr>
            <w:tcW w:w="14556" w:type="dxa"/>
            <w:gridSpan w:val="3"/>
            <w:shd w:val="clear" w:color="auto" w:fill="E5DFEC"/>
          </w:tcPr>
          <w:p w14:paraId="12A07EB4" w14:textId="77777777" w:rsidR="00D412E0" w:rsidRPr="00D412E0" w:rsidRDefault="00D412E0" w:rsidP="00A811C7">
            <w:pPr>
              <w:pStyle w:val="Tabletext"/>
              <w:keepNext/>
              <w:keepLines/>
              <w:rPr>
                <w:b/>
                <w:bCs/>
                <w:color w:val="1F497D"/>
                <w:lang w:val="es-ES"/>
              </w:rPr>
            </w:pPr>
            <w:r w:rsidRPr="00D412E0">
              <w:rPr>
                <w:b/>
                <w:bCs/>
                <w:color w:val="1F497D"/>
                <w:lang w:val="es-ES"/>
              </w:rPr>
              <w:lastRenderedPageBreak/>
              <w:t>Aplicaciones y servicios digitales</w:t>
            </w:r>
          </w:p>
          <w:p w14:paraId="32297CFC" w14:textId="5BD79B9C" w:rsidR="00D412E0" w:rsidRPr="00D412E0" w:rsidRDefault="00D412E0" w:rsidP="00A811C7">
            <w:pPr>
              <w:pStyle w:val="Tabletext"/>
              <w:keepNext/>
              <w:keepLines/>
              <w:rPr>
                <w:i/>
                <w:iCs/>
                <w:lang w:val="es-ES"/>
              </w:rPr>
            </w:pPr>
            <w:r w:rsidRPr="00D412E0">
              <w:rPr>
                <w:b/>
                <w:bCs/>
                <w:i/>
                <w:iCs/>
                <w:lang w:val="es-ES"/>
              </w:rPr>
              <w:t>Realización:</w:t>
            </w:r>
            <w:r w:rsidRPr="00D412E0">
              <w:rPr>
                <w:i/>
                <w:iCs/>
                <w:lang w:val="es-ES"/>
              </w:rPr>
              <w:t xml:space="preserve"> Mejora de la capacidad de los </w:t>
            </w:r>
            <w:r w:rsidR="009378F6">
              <w:rPr>
                <w:i/>
                <w:iCs/>
                <w:lang w:val="es-ES"/>
              </w:rPr>
              <w:t>m</w:t>
            </w:r>
            <w:r w:rsidRPr="00D412E0">
              <w:rPr>
                <w:i/>
                <w:iCs/>
                <w:lang w:val="es-ES"/>
              </w:rPr>
              <w:t>iembros de la UIT para acelerar la transformación digital y el desarrollo socioeconómico aprovechando y utilizando las telecomunicaciones/TIC y los servicios nuevos e incipientes</w:t>
            </w:r>
            <w:r w:rsidR="00A20ED8">
              <w:rPr>
                <w:i/>
                <w:iCs/>
                <w:lang w:val="es-ES"/>
              </w:rPr>
              <w:t>.</w:t>
            </w:r>
          </w:p>
        </w:tc>
      </w:tr>
      <w:tr w:rsidR="0061116D" w:rsidRPr="002F5AC1" w14:paraId="585EB573" w14:textId="77777777" w:rsidTr="00106B0D">
        <w:trPr>
          <w:jc w:val="center"/>
        </w:trPr>
        <w:tc>
          <w:tcPr>
            <w:tcW w:w="11557" w:type="dxa"/>
            <w:gridSpan w:val="2"/>
          </w:tcPr>
          <w:p w14:paraId="02F17A6C" w14:textId="25A472B3" w:rsidR="00D412E0" w:rsidRPr="00D412E0" w:rsidRDefault="00D412E0" w:rsidP="00A4300E">
            <w:pPr>
              <w:pStyle w:val="Tabletext"/>
              <w:rPr>
                <w:lang w:val="es-ES"/>
              </w:rPr>
            </w:pPr>
            <w:r w:rsidRPr="00D412E0">
              <w:rPr>
                <w:lang w:val="es-ES"/>
              </w:rPr>
              <w:t>La BDT ha seguido apoyando a los Estados Miembros en desarrollo y promocionando soluciones digitales para responder a las necesidades del desarrollo sostenible:</w:t>
            </w:r>
          </w:p>
          <w:p w14:paraId="04F23550" w14:textId="3A77909B" w:rsidR="00D412E0" w:rsidRPr="00D412E0"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D412E0">
              <w:rPr>
                <w:b/>
                <w:bCs/>
                <w:lang w:val="es-ES"/>
              </w:rPr>
              <w:t xml:space="preserve">En los Estados Árabes </w:t>
            </w:r>
            <w:r w:rsidR="00D412E0" w:rsidRPr="00D412E0">
              <w:rPr>
                <w:lang w:val="es-ES"/>
              </w:rPr>
              <w:t xml:space="preserve">se celebró los días 10 y 11 de diciembre de 2024 un foro nacional sobre la </w:t>
            </w:r>
            <w:r w:rsidR="00CB53AE">
              <w:rPr>
                <w:lang w:val="es-ES"/>
              </w:rPr>
              <w:t>"</w:t>
            </w:r>
            <w:r w:rsidR="00D412E0" w:rsidRPr="00D412E0">
              <w:rPr>
                <w:lang w:val="es-ES"/>
              </w:rPr>
              <w:t>5G y tecnologías ulteriores: propiciar las ciudades y comunidades inteligentes y sostenibles</w:t>
            </w:r>
            <w:r w:rsidR="00CB53AE">
              <w:rPr>
                <w:lang w:val="es-ES"/>
              </w:rPr>
              <w:t>"</w:t>
            </w:r>
            <w:r w:rsidR="00D412E0" w:rsidRPr="00D412E0">
              <w:rPr>
                <w:lang w:val="es-ES"/>
              </w:rPr>
              <w:t xml:space="preserve"> en Smart Village, Egipto, con el objetivo de impulsar resultados tangibles reuniendo a expertos mundiales, responsables políticos, líderes de la industria y partes interesadas. El foro se centró en el aprovechamiento del potencial transformador de la 5G y las tecnologías incipientes para fomentar el desarrollo urbano inteligente y sostenible, impulsando la colaboración y la innovación para un futuro conectado.</w:t>
            </w:r>
          </w:p>
          <w:p w14:paraId="5AF3FAC1" w14:textId="77777777" w:rsidR="00D412E0" w:rsidRPr="00D412E0" w:rsidRDefault="00D412E0" w:rsidP="006D1283">
            <w:pPr>
              <w:pStyle w:val="Tabletext"/>
              <w:ind w:left="567"/>
              <w:rPr>
                <w:lang w:val="es-ES"/>
              </w:rPr>
            </w:pPr>
            <w:r w:rsidRPr="00D412E0">
              <w:rPr>
                <w:lang w:val="es-ES"/>
              </w:rPr>
              <w:t>En Jordania se llevó a cabo un estudio de evaluación sobre el entorno propicio para las tecnologías inmersivas en asociación con el Ministerio de Economía Digital y Emprendimiento y la CESAO. El estudio tuvo por objeto identificar los puntos fuertes y débiles, las oportunidades y amenazas del ecosistema con el objetivo de crear nuevos empleos en este prometedor sector y presentar recomendaciones al respecto.</w:t>
            </w:r>
          </w:p>
          <w:p w14:paraId="5CE7B3E4" w14:textId="668E2B18" w:rsidR="00D412E0" w:rsidRPr="00A4300E"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A4300E">
              <w:rPr>
                <w:b/>
                <w:bCs/>
                <w:lang w:val="es-ES"/>
              </w:rPr>
              <w:t>En África</w:t>
            </w:r>
            <w:r w:rsidR="00D412E0" w:rsidRPr="00D412E0">
              <w:rPr>
                <w:lang w:val="es-ES"/>
              </w:rPr>
              <w:t xml:space="preserve"> la BDT entabló consultas estratégicas con varios países de África Occidental, incluidos Guinea-Bissau, Gambia, Guinea, Senegal y Nigeria. Estas consultas están respaldadas por proyectos financiados por el Banco Mundial cuyo objeto es adoptar el enfoque de GovStack y la Arquitectura de Referencia del Ecosistema de la Administración Pública (AREAP) con el fin de facilitar la digitalización coordinada y eficiente de los servicios públicos y gubernamentales. Las consultas abordaron varios aspectos importantes, como el desarrollo de marcos de interoperabilidad, la implementación de una arquitectura institucional, las especificaciones técnicas de las plataformas de intercambio de datos de servicio y los programas de capacitación exhaustivos. En el centro de estas conversaciones estuvo la visión de GovStack relativa a la aceleración de la transformación digital por conducto de bloques constitutivos digitales reutilizables e interoperables. Este enfoque tiene por objeto reducir costes, simplificar las arquitecturas de las soluciones y acortar los plazos necesarios para implementar los programas de digitalización. La iniciativa hace énfasis en la adopción sostenible mediante una gestión del cambio específica tanto en el plano de la administración gubernamental como en el de la administración pública.</w:t>
            </w:r>
          </w:p>
          <w:p w14:paraId="3FED1110" w14:textId="695C6A28" w:rsidR="00D412E0" w:rsidRPr="00D412E0" w:rsidRDefault="00D412E0" w:rsidP="006D1283">
            <w:pPr>
              <w:pStyle w:val="Tabletext"/>
              <w:ind w:left="567"/>
              <w:rPr>
                <w:lang w:val="es-ES"/>
              </w:rPr>
            </w:pPr>
            <w:r w:rsidRPr="00D412E0">
              <w:rPr>
                <w:lang w:val="es-ES"/>
              </w:rPr>
              <w:t xml:space="preserve">En Kenya la BDT ha emprendido un esfuerzo estratégico de capacitación nacional en código abierto con el lanzamiento del proyecto </w:t>
            </w:r>
            <w:r w:rsidR="009C68FA">
              <w:rPr>
                <w:lang w:val="es-ES"/>
              </w:rPr>
              <w:t>"</w:t>
            </w:r>
            <w:r w:rsidRPr="00D412E0">
              <w:rPr>
                <w:lang w:val="es-ES"/>
              </w:rPr>
              <w:t>Facilitador de ecosistema de código abierto (OSEE)</w:t>
            </w:r>
            <w:r w:rsidR="009C68FA">
              <w:rPr>
                <w:lang w:val="es-ES"/>
              </w:rPr>
              <w:t>"</w:t>
            </w:r>
            <w:r w:rsidRPr="00D412E0">
              <w:rPr>
                <w:lang w:val="es-ES"/>
              </w:rPr>
              <w:t>, que marca el inicio de la creación de una Oficina de programas de código abierto (OSPO) nacional cuyo objetivo es empoderar el ecosistema digital de Kenya y acelerar el desarrollo de infraestructuras y bienes públicos digitales. La OSPO de Ken</w:t>
            </w:r>
            <w:r w:rsidR="006E0892">
              <w:rPr>
                <w:lang w:val="es-ES"/>
              </w:rPr>
              <w:t>y</w:t>
            </w:r>
            <w:r w:rsidRPr="00D412E0">
              <w:rPr>
                <w:lang w:val="es-ES"/>
              </w:rPr>
              <w:t xml:space="preserve">a impartirá una serie de programas de formación integral, desde el nivel básico al experto, diseñados para la creación de expertos locales y catalizar los servicios públicos digitales de código abierto a gran escala. Gracias a esta iniciativa Kenya se encuentra en una posición privilegiada para convertirse en líder regional de la transformación digital sostenible, abierta e inclusiva. En paralelo, y </w:t>
            </w:r>
            <w:r w:rsidRPr="00D412E0">
              <w:rPr>
                <w:lang w:val="es-ES"/>
              </w:rPr>
              <w:lastRenderedPageBreak/>
              <w:t xml:space="preserve">en estrecha colaboración con GIZ, la BDT presta también apoyo al Gobierno de Kenya en la definición de su hoja de ruta de infraestructura pública digital, reforzando así las ambiciones digitales estratégicas del país. La BDT colabora asimismo con el PNUD en los que respecta a las salvaguardas de la infraestructura pública digital del G20 y aporta su contribución a la próxima Cumbre sobre infraestructura pública digital, que se celebrará este año en Ciudad del Cabo </w:t>
            </w:r>
            <w:r w:rsidR="007C7776">
              <w:rPr>
                <w:lang w:val="es-ES"/>
              </w:rPr>
              <w:t>(</w:t>
            </w:r>
            <w:r w:rsidRPr="00D412E0">
              <w:rPr>
                <w:lang w:val="es-ES"/>
              </w:rPr>
              <w:t>Sudáfrica</w:t>
            </w:r>
            <w:r w:rsidR="007C7776">
              <w:rPr>
                <w:lang w:val="es-ES"/>
              </w:rPr>
              <w:t>)</w:t>
            </w:r>
            <w:r w:rsidRPr="00D412E0">
              <w:rPr>
                <w:lang w:val="es-ES"/>
              </w:rPr>
              <w:t>.</w:t>
            </w:r>
          </w:p>
          <w:p w14:paraId="04B4677C" w14:textId="368B5029" w:rsidR="00D412E0" w:rsidRPr="00D412E0" w:rsidRDefault="006D1283" w:rsidP="006D1283">
            <w:pPr>
              <w:pStyle w:val="Tabletext"/>
              <w:tabs>
                <w:tab w:val="clear" w:pos="284"/>
              </w:tabs>
              <w:ind w:left="567" w:hanging="567"/>
              <w:rPr>
                <w:lang w:val="es-ES"/>
              </w:rPr>
            </w:pPr>
            <w:r w:rsidRPr="006D1283">
              <w:rPr>
                <w:lang w:val="es-ES"/>
              </w:rPr>
              <w:t>–</w:t>
            </w:r>
            <w:r>
              <w:rPr>
                <w:lang w:val="es-ES"/>
              </w:rPr>
              <w:tab/>
            </w:r>
            <w:r w:rsidR="00D412E0" w:rsidRPr="00D412E0">
              <w:rPr>
                <w:lang w:val="es-ES"/>
              </w:rPr>
              <w:t xml:space="preserve">En reconocimiento de la cada vez mayor convergencia de las telecomunicaciones y los servicios financieros, en el marco de su iniciativa </w:t>
            </w:r>
            <w:r w:rsidR="00CB53AE">
              <w:rPr>
                <w:lang w:val="es-ES"/>
              </w:rPr>
              <w:t>"</w:t>
            </w:r>
            <w:r w:rsidR="00D412E0" w:rsidRPr="00D412E0">
              <w:rPr>
                <w:lang w:val="es-ES"/>
              </w:rPr>
              <w:t>Servicios financieros digitales (SFD)</w:t>
            </w:r>
            <w:r w:rsidR="00CB53AE">
              <w:rPr>
                <w:lang w:val="es-ES"/>
              </w:rPr>
              <w:t>"</w:t>
            </w:r>
            <w:r w:rsidR="00D412E0" w:rsidRPr="00D412E0">
              <w:rPr>
                <w:lang w:val="es-ES"/>
              </w:rPr>
              <w:t>, la UIT sigue brindando su apoyo a las autoridades nacionales de reglamentación (ANR) para facilitar la interacción y colaboración con los reguladores financieros a fin de garantizar la integridad, seguridad, estabilidad y protección de los participantes y usuarios extremos en lo que respecta a la prestación de estos servicios.</w:t>
            </w:r>
          </w:p>
          <w:p w14:paraId="17F2BD44" w14:textId="77777777" w:rsidR="00D412E0" w:rsidRPr="00D412E0" w:rsidRDefault="00D412E0" w:rsidP="006D1283">
            <w:pPr>
              <w:pStyle w:val="Tabletext"/>
              <w:ind w:left="567"/>
              <w:rPr>
                <w:lang w:val="es-ES"/>
              </w:rPr>
            </w:pPr>
            <w:r w:rsidRPr="00D412E0">
              <w:rPr>
                <w:lang w:val="es-ES"/>
              </w:rPr>
              <w:t>Otros países africanos han seguido analizando la infraestructura pública digital en sus contextos con los recursos de GovStack y las lecciones extraídas a modo de orientación.</w:t>
            </w:r>
          </w:p>
          <w:p w14:paraId="56539C8A" w14:textId="323F0AA7" w:rsidR="00D412E0" w:rsidRPr="00D412E0"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D412E0">
              <w:rPr>
                <w:b/>
                <w:bCs/>
                <w:lang w:val="es-ES"/>
              </w:rPr>
              <w:t>En las Américas</w:t>
            </w:r>
            <w:r w:rsidR="00D412E0" w:rsidRPr="00D412E0">
              <w:rPr>
                <w:lang w:val="es-ES"/>
              </w:rPr>
              <w:t xml:space="preserve">, en el marco de un Programa Conjunto de las Naciones Unidas titulado </w:t>
            </w:r>
            <w:r w:rsidR="00CB53AE">
              <w:rPr>
                <w:lang w:val="es-ES"/>
              </w:rPr>
              <w:t>"</w:t>
            </w:r>
            <w:r w:rsidR="00D412E0" w:rsidRPr="00D412E0">
              <w:rPr>
                <w:lang w:val="es-ES"/>
              </w:rPr>
              <w:t>Financiación innovadora para grupos desatendidos</w:t>
            </w:r>
            <w:r w:rsidR="00CB53AE">
              <w:rPr>
                <w:lang w:val="es-ES"/>
              </w:rPr>
              <w:t>"</w:t>
            </w:r>
            <w:r w:rsidR="00D412E0" w:rsidRPr="00D412E0">
              <w:rPr>
                <w:lang w:val="es-ES"/>
              </w:rPr>
              <w:t xml:space="preserve">, la BDT, en colaboración con los Gobiernos de Antigua y Barbuda y Santa Lucía, está reforzando el ecosistema de </w:t>
            </w:r>
            <w:r w:rsidR="00D412E0" w:rsidRPr="004053CD">
              <w:rPr>
                <w:lang w:val="es-ES"/>
              </w:rPr>
              <w:t>SFD</w:t>
            </w:r>
            <w:r w:rsidR="00D412E0" w:rsidRPr="00D412E0">
              <w:rPr>
                <w:lang w:val="es-ES"/>
              </w:rPr>
              <w:t xml:space="preserve"> por conducto de un enfoque exhaustivo que abarca los aspectos normativos, reglamentarios y de ciberseguridad. Se presentaron un conjunto de herramientas y recomendaciones para la seguridad móvil de los SFD a más de 65</w:t>
            </w:r>
            <w:r w:rsidR="00E16C6B">
              <w:rPr>
                <w:lang w:val="es-ES"/>
              </w:rPr>
              <w:t> </w:t>
            </w:r>
            <w:r w:rsidR="00D412E0" w:rsidRPr="00D412E0">
              <w:rPr>
                <w:lang w:val="es-ES"/>
              </w:rPr>
              <w:t>personas de la comunidad de estos servicios y más de 15</w:t>
            </w:r>
            <w:r w:rsidR="00E73ED2">
              <w:rPr>
                <w:lang w:val="es-ES"/>
              </w:rPr>
              <w:t> </w:t>
            </w:r>
            <w:r w:rsidR="00D412E0" w:rsidRPr="00D412E0">
              <w:rPr>
                <w:lang w:val="es-ES"/>
              </w:rPr>
              <w:t>personas recibieron formación práctica para supervisar la seguridad móvil, incluso mediante auditorías de las aplicaciones e infraestructuras utilizadas para los pagos móviles.</w:t>
            </w:r>
          </w:p>
          <w:p w14:paraId="60A934DF" w14:textId="759A1AEA" w:rsidR="00D412E0" w:rsidRPr="00D412E0"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A4300E">
              <w:rPr>
                <w:b/>
                <w:bCs/>
                <w:lang w:val="es-ES"/>
              </w:rPr>
              <w:t>En Asia-Pacífico</w:t>
            </w:r>
            <w:r w:rsidR="00D412E0" w:rsidRPr="00D412E0">
              <w:rPr>
                <w:lang w:val="es-ES"/>
              </w:rPr>
              <w:t xml:space="preserve">, las iniciativas Islas Inteligentes y Aldeas Inteligentes, junto con el programa STREIT de la </w:t>
            </w:r>
            <w:r w:rsidR="00076E74" w:rsidRPr="00076E74">
              <w:rPr>
                <w:lang w:val="es-ES"/>
              </w:rPr>
              <w:t xml:space="preserve">Unión </w:t>
            </w:r>
            <w:r w:rsidR="00076E74" w:rsidRPr="00145586">
              <w:rPr>
                <w:lang w:val="es-ES"/>
              </w:rPr>
              <w:t>Europea (</w:t>
            </w:r>
            <w:r w:rsidR="00D412E0" w:rsidRPr="00145586">
              <w:rPr>
                <w:lang w:val="es-ES"/>
              </w:rPr>
              <w:t>UE</w:t>
            </w:r>
            <w:r w:rsidR="00076E74" w:rsidRPr="00145586">
              <w:rPr>
                <w:lang w:val="es-ES"/>
              </w:rPr>
              <w:t>)</w:t>
            </w:r>
            <w:r w:rsidR="00D412E0" w:rsidRPr="00D412E0">
              <w:rPr>
                <w:lang w:val="es-ES"/>
              </w:rPr>
              <w:t>, han permitido formar a más de 2 000</w:t>
            </w:r>
            <w:r w:rsidR="007C7776">
              <w:rPr>
                <w:lang w:val="es-ES"/>
              </w:rPr>
              <w:t> </w:t>
            </w:r>
            <w:r w:rsidR="00D412E0" w:rsidRPr="00D412E0">
              <w:rPr>
                <w:lang w:val="es-ES"/>
              </w:rPr>
              <w:t>miembros de la comunidad en el Pacífico en materia de competencias digitales esenciales, que transformaron las vidas y las comunidades en</w:t>
            </w:r>
            <w:r w:rsidR="007C7776">
              <w:rPr>
                <w:lang w:val="es-ES"/>
              </w:rPr>
              <w:t> </w:t>
            </w:r>
            <w:r w:rsidR="00D412E0" w:rsidRPr="00D412E0">
              <w:rPr>
                <w:lang w:val="es-ES"/>
              </w:rPr>
              <w:t>2024. Más de 1</w:t>
            </w:r>
            <w:r w:rsidR="007C7776">
              <w:rPr>
                <w:lang w:val="es-ES"/>
              </w:rPr>
              <w:t> </w:t>
            </w:r>
            <w:r w:rsidR="00D412E0" w:rsidRPr="00D412E0">
              <w:rPr>
                <w:lang w:val="es-ES"/>
              </w:rPr>
              <w:t>623</w:t>
            </w:r>
            <w:r w:rsidR="007C7776">
              <w:rPr>
                <w:lang w:val="es-ES"/>
              </w:rPr>
              <w:t> </w:t>
            </w:r>
            <w:r w:rsidR="00D412E0" w:rsidRPr="00D412E0">
              <w:rPr>
                <w:lang w:val="es-ES"/>
              </w:rPr>
              <w:t xml:space="preserve">participantes del Pacífico adquirieron habilidades críticas, lo que permitió desbloquear nuevas oportunidades en materia de educación, agricultura y economía en el marco de dichas iniciativas. Además, el proyecto </w:t>
            </w:r>
            <w:r w:rsidR="009C68FA">
              <w:rPr>
                <w:lang w:val="es-ES"/>
              </w:rPr>
              <w:t>"</w:t>
            </w:r>
            <w:r w:rsidR="00D412E0" w:rsidRPr="00D412E0">
              <w:rPr>
                <w:lang w:val="es-ES"/>
              </w:rPr>
              <w:t>STREIT PNG</w:t>
            </w:r>
            <w:r w:rsidR="009C68FA">
              <w:rPr>
                <w:lang w:val="es-ES"/>
              </w:rPr>
              <w:t>"</w:t>
            </w:r>
            <w:r w:rsidR="00D412E0" w:rsidRPr="00D412E0">
              <w:rPr>
                <w:lang w:val="es-ES"/>
              </w:rPr>
              <w:t xml:space="preserve"> de la </w:t>
            </w:r>
            <w:r w:rsidR="00D412E0" w:rsidRPr="00145586">
              <w:rPr>
                <w:lang w:val="es-ES"/>
              </w:rPr>
              <w:t>UE</w:t>
            </w:r>
            <w:r w:rsidR="00D412E0" w:rsidRPr="00D412E0">
              <w:rPr>
                <w:lang w:val="es-ES"/>
              </w:rPr>
              <w:t xml:space="preserve"> empoderó a más de 450</w:t>
            </w:r>
            <w:r w:rsidR="00E73ED2">
              <w:rPr>
                <w:lang w:val="es-ES"/>
              </w:rPr>
              <w:t> </w:t>
            </w:r>
            <w:r w:rsidR="00D412E0" w:rsidRPr="00D412E0">
              <w:rPr>
                <w:lang w:val="es-ES"/>
              </w:rPr>
              <w:t>personas de Pap</w:t>
            </w:r>
            <w:r w:rsidR="007C7776">
              <w:rPr>
                <w:lang w:val="es-ES"/>
              </w:rPr>
              <w:t>u</w:t>
            </w:r>
            <w:r w:rsidR="00D412E0" w:rsidRPr="00D412E0">
              <w:rPr>
                <w:lang w:val="es-ES"/>
              </w:rPr>
              <w:t xml:space="preserve">a Nueva Guinea con herramientas digitales para mejorar los medios de subsistencia en los sectores de la agricultura y la pesca. Estos logros de 2024 se consiguieron gracias a la colaboración con las comunidades de las Islas Inteligentes, los gobiernos del Pacífico, las partes interesadas nacionales, los organismos de las Naciones Unidas, el Fondo Conjunto para los ODS, la Unión Europea, el Banco Asiático de Desarrollo, las instituciones académicas y los socios de la sociedad civil, que demostraron el poder de la acción colectiva para llevar la transformación digital a las comunidades rurales y remotas del Pacífico. Tras su implementación en Gokina, el programa Aldeas Inteligentes Pakistán siguió desplegándose en las aldeas de Sambrial y Swabi mediante servicios y competencias digitales. </w:t>
            </w:r>
            <w:r w:rsidR="00D412E0" w:rsidRPr="00A4300E">
              <w:rPr>
                <w:lang w:val="es-ES"/>
              </w:rPr>
              <w:t>En 2024, 65</w:t>
            </w:r>
            <w:r w:rsidR="00E16C6B">
              <w:rPr>
                <w:lang w:val="es-ES"/>
              </w:rPr>
              <w:t> </w:t>
            </w:r>
            <w:r w:rsidR="00D412E0" w:rsidRPr="00A4300E">
              <w:rPr>
                <w:lang w:val="es-ES"/>
              </w:rPr>
              <w:t>participantes mejoraron sus competencias</w:t>
            </w:r>
            <w:r w:rsidR="00D412E0" w:rsidRPr="00D412E0">
              <w:rPr>
                <w:lang w:val="es-ES"/>
              </w:rPr>
              <w:t>.</w:t>
            </w:r>
          </w:p>
          <w:p w14:paraId="565E2793" w14:textId="11441099" w:rsidR="00D412E0" w:rsidRPr="00D412E0" w:rsidRDefault="00D412E0" w:rsidP="006D1283">
            <w:pPr>
              <w:pStyle w:val="Tabletext"/>
              <w:ind w:left="567"/>
              <w:rPr>
                <w:lang w:val="es-ES"/>
              </w:rPr>
            </w:pPr>
            <w:r w:rsidRPr="00D412E0">
              <w:rPr>
                <w:lang w:val="es-ES"/>
              </w:rPr>
              <w:t>En 2024 más de 800</w:t>
            </w:r>
            <w:r w:rsidR="00E16C6B">
              <w:rPr>
                <w:lang w:val="es-ES"/>
              </w:rPr>
              <w:t> </w:t>
            </w:r>
            <w:r w:rsidRPr="00D412E0">
              <w:rPr>
                <w:lang w:val="es-ES"/>
              </w:rPr>
              <w:t>participantes aumentaron sus conocimientos y competencias para adoptar un enfoque de gobierno integral utilizando GovStack a través de formaciones y talleres en línea y fuera de línea (se brindó asistencia específica a Bangladesh, Camboya, Lao y Pap</w:t>
            </w:r>
            <w:r w:rsidR="007C7776">
              <w:rPr>
                <w:lang w:val="es-ES"/>
              </w:rPr>
              <w:t>u</w:t>
            </w:r>
            <w:r w:rsidRPr="00D412E0">
              <w:rPr>
                <w:lang w:val="es-ES"/>
              </w:rPr>
              <w:t xml:space="preserve">a Nueva Guinea en el desarrollo de su capacidad para implementar GovStack, </w:t>
            </w:r>
            <w:r w:rsidRPr="00D412E0">
              <w:rPr>
                <w:lang w:val="es-ES"/>
              </w:rPr>
              <w:lastRenderedPageBreak/>
              <w:t>incluidas su misiones en línea y físicas</w:t>
            </w:r>
            <w:r w:rsidR="00E73ED2" w:rsidRPr="00076E74">
              <w:rPr>
                <w:lang w:val="es-ES"/>
              </w:rPr>
              <w:t>)</w:t>
            </w:r>
            <w:r w:rsidRPr="00D412E0">
              <w:rPr>
                <w:lang w:val="es-ES"/>
              </w:rPr>
              <w:t>. La UIT colaboró y sigue colaborando con la Secretaría de la ASEAN para el desarrollo de un marco técnico pangubernamental aplicable en toda la ASEAN.</w:t>
            </w:r>
          </w:p>
          <w:p w14:paraId="75212710" w14:textId="2B045048" w:rsidR="00D412E0" w:rsidRPr="00D412E0" w:rsidRDefault="00D412E0" w:rsidP="006D1283">
            <w:pPr>
              <w:pStyle w:val="Tabletext"/>
              <w:ind w:left="567"/>
              <w:rPr>
                <w:lang w:val="es-ES"/>
              </w:rPr>
            </w:pPr>
            <w:r w:rsidRPr="00D412E0">
              <w:rPr>
                <w:lang w:val="es-ES"/>
              </w:rPr>
              <w:t>A través de la Oficina Zonal para Asia Meridional y el Centro de Innovación de la UIT en Nueva Delhi, la BDT impartió una serie de formaciones específicas en asociación con varias partes interesadas de India entre mayo y julio como parte de la celebración del Día de las Niñas en las TIC en el país. Asistieron al evento más de 1 000</w:t>
            </w:r>
            <w:r w:rsidR="00E16C6B">
              <w:rPr>
                <w:lang w:val="es-ES"/>
              </w:rPr>
              <w:t> </w:t>
            </w:r>
            <w:r w:rsidRPr="00D412E0">
              <w:rPr>
                <w:lang w:val="es-ES"/>
              </w:rPr>
              <w:t>participantes. El objetivo era aumentar la implicación de las mujeres indias en las TIC, potenciar el papel de las TIC para el fomento de la igualdad de género y empoderar a las mujeres para que participen activamente en la construcción de un futuro digital inclusivo y sostenible. En asociación con el Centro para el Desarrollo de la Telemática (C-DOT), a través de varios talleres de formación se empoderó a alumnos de toda India con competencias en codificación con Python y Java, que culminaron en un concurso nacional de codificación.</w:t>
            </w:r>
          </w:p>
          <w:p w14:paraId="13E489E6" w14:textId="77777777" w:rsidR="00D412E0" w:rsidRPr="00D412E0" w:rsidRDefault="00D412E0" w:rsidP="006D1283">
            <w:pPr>
              <w:pStyle w:val="Tabletext"/>
              <w:ind w:left="567"/>
              <w:rPr>
                <w:lang w:val="es-ES"/>
              </w:rPr>
            </w:pPr>
            <w:r w:rsidRPr="00D412E0">
              <w:rPr>
                <w:lang w:val="es-ES"/>
              </w:rPr>
              <w:t>Se celebró en Bangladesh los días 26 y 27 de junio un taller Govstack sobre transformación digital pangubernamental gracias a Govstack. En el taller se reunieron partes interesadas pertinentes de Bangladesh y se examinaron los últimos debates en materia de gobernanza digital, tendencias mundiales e innovaciones locales para una infraestructura digital segura e interoperable.</w:t>
            </w:r>
          </w:p>
          <w:p w14:paraId="418B0469" w14:textId="61F0D762" w:rsidR="00D412E0" w:rsidRPr="00D412E0"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D412E0">
              <w:rPr>
                <w:b/>
                <w:bCs/>
                <w:lang w:val="es-ES"/>
              </w:rPr>
              <w:t>En la CEI</w:t>
            </w:r>
            <w:r w:rsidR="00D412E0" w:rsidRPr="006E4551">
              <w:rPr>
                <w:lang w:val="es-ES"/>
              </w:rPr>
              <w:t xml:space="preserve">, </w:t>
            </w:r>
            <w:r w:rsidR="00D412E0" w:rsidRPr="00D412E0">
              <w:rPr>
                <w:lang w:val="es-ES"/>
              </w:rPr>
              <w:t xml:space="preserve">para asistir a los Estados Miembros en el avance de los servicios digitales, la UIT y la CMN de Tecnología de la Información de la República de Kazajstán firmaron un </w:t>
            </w:r>
            <w:r w:rsidR="007C3AE1" w:rsidRPr="00D412E0">
              <w:rPr>
                <w:lang w:val="es-ES"/>
              </w:rPr>
              <w:t>a</w:t>
            </w:r>
            <w:r w:rsidR="00D412E0" w:rsidRPr="00D412E0">
              <w:rPr>
                <w:lang w:val="es-ES"/>
              </w:rPr>
              <w:t xml:space="preserve">cuerdo Marco de </w:t>
            </w:r>
            <w:r w:rsidR="007C3AE1">
              <w:rPr>
                <w:lang w:val="es-ES"/>
              </w:rPr>
              <w:t>c</w:t>
            </w:r>
            <w:r w:rsidR="00D412E0" w:rsidRPr="00D412E0">
              <w:rPr>
                <w:lang w:val="es-ES"/>
              </w:rPr>
              <w:t xml:space="preserve">ooperación y el </w:t>
            </w:r>
            <w:r w:rsidR="005B5272">
              <w:rPr>
                <w:lang w:val="es-ES"/>
              </w:rPr>
              <w:t>p</w:t>
            </w:r>
            <w:r w:rsidR="00D412E0" w:rsidRPr="00D412E0">
              <w:rPr>
                <w:lang w:val="es-ES"/>
              </w:rPr>
              <w:t xml:space="preserve">royecto </w:t>
            </w:r>
            <w:r w:rsidR="00CB53AE">
              <w:rPr>
                <w:lang w:val="es-ES"/>
              </w:rPr>
              <w:t>"</w:t>
            </w:r>
            <w:r w:rsidR="00D412E0" w:rsidRPr="00D412E0">
              <w:rPr>
                <w:lang w:val="es-ES"/>
              </w:rPr>
              <w:t>Cooperación en materia de gobierno digital en los países de Asia Central y el Cáucaso</w:t>
            </w:r>
            <w:r w:rsidR="00CB53AE">
              <w:rPr>
                <w:lang w:val="es-ES"/>
              </w:rPr>
              <w:t>"</w:t>
            </w:r>
            <w:r w:rsidR="00D412E0" w:rsidRPr="00D412E0">
              <w:rPr>
                <w:lang w:val="es-ES"/>
              </w:rPr>
              <w:t xml:space="preserve">. Este proyecto cuenta con el apoyo del Banco Eurasiático de Desarrollo. Se trata de un proyecto de dos años, que se inició en enero de 2025, y es conforme con la Iniciativa </w:t>
            </w:r>
            <w:r w:rsidR="005B5272" w:rsidRPr="00D412E0">
              <w:rPr>
                <w:lang w:val="es-ES"/>
              </w:rPr>
              <w:t>Regional</w:t>
            </w:r>
            <w:r w:rsidR="005B5272">
              <w:rPr>
                <w:lang w:val="es-ES"/>
              </w:rPr>
              <w:t> </w:t>
            </w:r>
            <w:r w:rsidR="00D412E0" w:rsidRPr="00D412E0">
              <w:rPr>
                <w:lang w:val="es-ES"/>
              </w:rPr>
              <w:t>3 para la CEI, Creación de un entorno jurídico y reglamentario propicio para acelerar la transformación digital.</w:t>
            </w:r>
          </w:p>
          <w:p w14:paraId="0D351168" w14:textId="428522B5" w:rsidR="00D412E0" w:rsidRPr="00D412E0" w:rsidRDefault="006D1283" w:rsidP="006D1283">
            <w:pPr>
              <w:pStyle w:val="Tabletext"/>
              <w:tabs>
                <w:tab w:val="clear" w:pos="284"/>
              </w:tabs>
              <w:ind w:left="567" w:hanging="567"/>
              <w:rPr>
                <w:lang w:val="es-ES"/>
              </w:rPr>
            </w:pPr>
            <w:r w:rsidRPr="006D1283">
              <w:rPr>
                <w:lang w:val="es-ES"/>
              </w:rPr>
              <w:t>–</w:t>
            </w:r>
            <w:r w:rsidR="00A4300E">
              <w:rPr>
                <w:lang w:val="es-ES"/>
              </w:rPr>
              <w:tab/>
            </w:r>
            <w:r w:rsidR="00D412E0" w:rsidRPr="00D412E0">
              <w:rPr>
                <w:b/>
                <w:bCs/>
                <w:lang w:val="es-ES"/>
              </w:rPr>
              <w:t xml:space="preserve">En Europa </w:t>
            </w:r>
            <w:r w:rsidR="00D412E0" w:rsidRPr="00D412E0">
              <w:rPr>
                <w:lang w:val="es-ES"/>
              </w:rPr>
              <w:t>la adopción del enfoque basado en bloques constitutivos se facilita mediante asociaciones estratégicas con organismos de las Naciones Unidas, en el m</w:t>
            </w:r>
            <w:r w:rsidR="005B5272">
              <w:rPr>
                <w:lang w:val="es-ES"/>
              </w:rPr>
              <w:t>a</w:t>
            </w:r>
            <w:r w:rsidR="00D412E0" w:rsidRPr="00D412E0">
              <w:rPr>
                <w:lang w:val="es-ES"/>
              </w:rPr>
              <w:t>rco de los tres proyectos de la Ventana Digital del Fondo Conjunto para los</w:t>
            </w:r>
            <w:r w:rsidR="00E16C6B">
              <w:rPr>
                <w:lang w:val="es-ES"/>
              </w:rPr>
              <w:t> </w:t>
            </w:r>
            <w:r w:rsidR="00D412E0" w:rsidRPr="00D412E0">
              <w:rPr>
                <w:lang w:val="es-ES"/>
              </w:rPr>
              <w:t>ODS dirigidos a Albania, Montenegro y Serbia.</w:t>
            </w:r>
          </w:p>
          <w:p w14:paraId="47E96D6A" w14:textId="794CF39A" w:rsidR="00D412E0" w:rsidRPr="00D412E0" w:rsidRDefault="00D412E0" w:rsidP="006D1283">
            <w:pPr>
              <w:pStyle w:val="Tabletext"/>
              <w:ind w:left="567"/>
              <w:rPr>
                <w:lang w:val="es-ES"/>
              </w:rPr>
            </w:pPr>
            <w:r w:rsidRPr="00D412E0">
              <w:rPr>
                <w:lang w:val="es-ES"/>
              </w:rPr>
              <w:t xml:space="preserve">El evento de lanzamiento del proyecto, que tuvo lugar el 8 de noviembre de 2024 en Albania, reunió a los asociados clave para lograr el efecto deseado. Además, los asociados al proyecto se incorporaron exitosamente en el Programa de </w:t>
            </w:r>
            <w:r w:rsidR="009A4FD4" w:rsidRPr="00D412E0">
              <w:rPr>
                <w:lang w:val="es-ES"/>
              </w:rPr>
              <w:t>a</w:t>
            </w:r>
            <w:r w:rsidRPr="00D412E0">
              <w:rPr>
                <w:lang w:val="es-ES"/>
              </w:rPr>
              <w:t>rquitectos de GovStack, lo que garantizó su adaptación a los valores y principios fundamentales que guiarán las fases de implementación del proyecto.</w:t>
            </w:r>
          </w:p>
          <w:p w14:paraId="611762E8" w14:textId="64EF1A5C" w:rsidR="00D412E0" w:rsidRPr="00D412E0" w:rsidRDefault="00D412E0" w:rsidP="006D1283">
            <w:pPr>
              <w:pStyle w:val="Tabletext"/>
              <w:ind w:left="567"/>
              <w:rPr>
                <w:lang w:val="es-ES"/>
              </w:rPr>
            </w:pPr>
            <w:r w:rsidRPr="00D412E0">
              <w:rPr>
                <w:lang w:val="es-ES"/>
              </w:rPr>
              <w:t xml:space="preserve">En Serbia se puso en marcha el proyecto </w:t>
            </w:r>
            <w:r w:rsidRPr="00D412E0">
              <w:rPr>
                <w:b/>
                <w:bCs/>
                <w:lang w:val="es-ES"/>
              </w:rPr>
              <w:t>"Centro de diseño de servicios digitales y colaboración con los ciudadanos"</w:t>
            </w:r>
            <w:r w:rsidRPr="00D412E0">
              <w:rPr>
                <w:lang w:val="es-ES"/>
              </w:rPr>
              <w:t xml:space="preserve"> conjuntamente con los socios en octubre de</w:t>
            </w:r>
            <w:r w:rsidR="005B5272">
              <w:rPr>
                <w:lang w:val="es-ES"/>
              </w:rPr>
              <w:t> </w:t>
            </w:r>
            <w:r w:rsidRPr="00D412E0">
              <w:rPr>
                <w:lang w:val="es-ES"/>
              </w:rPr>
              <w:t>2024. En su calidad de socio para el conocimiento, la UIT proporcionó toda la información y las herramientas necesarias para mejorar los servicios públicos a través de una metodología de diseño centrada en el usuario y está aprovechando la experiencia del país para impulsar la transformación tecnológica. En este contexto, los asociados se beneficiaron de un taller de introducción de GovStack y de un conjunto de herramientas con recursos, guías, listas de eventos, etc. para implementar el enfoque de los bloques constitutivos.</w:t>
            </w:r>
          </w:p>
          <w:p w14:paraId="593A5198" w14:textId="4350F4A3" w:rsidR="00D412E0" w:rsidRPr="00D412E0" w:rsidRDefault="00D412E0" w:rsidP="006D1283">
            <w:pPr>
              <w:pStyle w:val="Tabletext"/>
              <w:ind w:left="567"/>
              <w:rPr>
                <w:lang w:val="es-ES"/>
              </w:rPr>
            </w:pPr>
            <w:r w:rsidRPr="00D412E0">
              <w:rPr>
                <w:lang w:val="es-ES"/>
              </w:rPr>
              <w:lastRenderedPageBreak/>
              <w:t xml:space="preserve">En diciembre de 2024 se puso en marcha el proyecto </w:t>
            </w:r>
            <w:r w:rsidR="00CB53AE">
              <w:rPr>
                <w:b/>
                <w:bCs/>
                <w:lang w:val="es-ES"/>
              </w:rPr>
              <w:t>"</w:t>
            </w:r>
            <w:r w:rsidRPr="00D412E0">
              <w:rPr>
                <w:b/>
                <w:bCs/>
                <w:lang w:val="es-ES"/>
              </w:rPr>
              <w:t>Transformación digital de los gobiernos locales autónomos de Montenegro</w:t>
            </w:r>
            <w:r w:rsidR="00CB53AE">
              <w:rPr>
                <w:b/>
                <w:bCs/>
                <w:lang w:val="es-ES"/>
              </w:rPr>
              <w:t>"</w:t>
            </w:r>
            <w:r w:rsidRPr="00D412E0">
              <w:rPr>
                <w:b/>
                <w:bCs/>
                <w:lang w:val="es-ES"/>
              </w:rPr>
              <w:t xml:space="preserve"> </w:t>
            </w:r>
            <w:r w:rsidRPr="00D412E0">
              <w:rPr>
                <w:lang w:val="es-ES"/>
              </w:rPr>
              <w:t>cuyo objetivo es apoyar la digitalización de los gobiernos locales y el establecimiento de una gobernanza electrónica local, sentando así las bases necesarias para el marco de Ciudades inteligentes y sostenibles. La UIT se encarga de la capacitación de seis administraciones locales para desarrollar servicios rentables y de fácil utilización gracias al enfoque GovStack. Esto se conseguirá mediante una serie de actividades en línea y presenciales que darán lugar al desarrollo de tres prototipos de servicio.</w:t>
            </w:r>
          </w:p>
          <w:p w14:paraId="2D5922F7" w14:textId="5B685EA2" w:rsidR="00D412E0" w:rsidRPr="00D412E0" w:rsidRDefault="00D412E0" w:rsidP="00A4300E">
            <w:pPr>
              <w:pStyle w:val="Tabletext"/>
              <w:rPr>
                <w:lang w:val="es-ES"/>
              </w:rPr>
            </w:pPr>
            <w:r w:rsidRPr="00D412E0">
              <w:rPr>
                <w:lang w:val="es-ES"/>
              </w:rPr>
              <w:t xml:space="preserve">La Cumbre Mundial sobre </w:t>
            </w:r>
            <w:r w:rsidRPr="00145586">
              <w:rPr>
                <w:lang w:val="es-ES"/>
              </w:rPr>
              <w:t>Infraestructura Pública Digital</w:t>
            </w:r>
            <w:r w:rsidRPr="00D412E0">
              <w:rPr>
                <w:lang w:val="es-ES"/>
              </w:rPr>
              <w:t xml:space="preserve"> (IPD) se celebró en El Cairo del 1 al 3 de octubre de 2024, convocada por representantes de más de 100</w:t>
            </w:r>
            <w:r w:rsidR="00E16C6B">
              <w:rPr>
                <w:lang w:val="es-ES"/>
              </w:rPr>
              <w:t> </w:t>
            </w:r>
            <w:r w:rsidRPr="00D412E0">
              <w:rPr>
                <w:lang w:val="es-ES"/>
              </w:rPr>
              <w:t>países, junto con partes interesadas del sector público, el sector privado y la sociedad civil, a fin de debatir de los efectos transformadores de la IPD en la infraestructura pública y fomentar la conclusión de asociaciones estratégicas para el desarrollo sostenible.</w:t>
            </w:r>
          </w:p>
          <w:p w14:paraId="4F9F230A" w14:textId="6BAF3C5B" w:rsidR="00D412E0" w:rsidRPr="00D412E0" w:rsidRDefault="00D412E0" w:rsidP="00A4300E">
            <w:pPr>
              <w:pStyle w:val="Tabletext"/>
              <w:rPr>
                <w:lang w:val="es-ES"/>
              </w:rPr>
            </w:pPr>
            <w:r w:rsidRPr="00D412E0">
              <w:rPr>
                <w:lang w:val="es-ES"/>
              </w:rPr>
              <w:t>La</w:t>
            </w:r>
            <w:r w:rsidR="00A811C7">
              <w:rPr>
                <w:lang w:val="es-ES"/>
              </w:rPr>
              <w:t> </w:t>
            </w:r>
            <w:r w:rsidRPr="00D412E0">
              <w:rPr>
                <w:lang w:val="es-ES"/>
              </w:rPr>
              <w:t>BDT ha participado activamente en numerosos eventos de la IPD a fin de promover ecosistemas digitales seguros e inclusivos. En mayo de 2024 la UIT coorganizó el Evento de Alto Nivel del Foro de la CMSI+20 en Ginebra, dedicando una vía especial a la IPD en la que se integraron diversas perspectivas sobre su potencial para las agendas nacionales (</w:t>
            </w:r>
            <w:hyperlink r:id="rId34">
              <w:r w:rsidRPr="00D412E0">
                <w:rPr>
                  <w:rStyle w:val="Hyperlink"/>
                  <w:lang w:val="es-ES"/>
                </w:rPr>
                <w:t>itu.int</w:t>
              </w:r>
            </w:hyperlink>
            <w:r w:rsidRPr="00D412E0">
              <w:rPr>
                <w:lang w:val="es-ES"/>
              </w:rPr>
              <w:t>)</w:t>
            </w:r>
            <w:r w:rsidR="00E16C6B">
              <w:rPr>
                <w:lang w:val="es-ES"/>
              </w:rPr>
              <w:t>.</w:t>
            </w:r>
          </w:p>
          <w:p w14:paraId="27101126" w14:textId="1581ED76" w:rsidR="00D412E0" w:rsidRPr="00D412E0" w:rsidRDefault="00D412E0" w:rsidP="00A4300E">
            <w:pPr>
              <w:pStyle w:val="Tabletext"/>
              <w:rPr>
                <w:lang w:val="es-ES"/>
              </w:rPr>
            </w:pPr>
            <w:r w:rsidRPr="00D412E0">
              <w:rPr>
                <w:lang w:val="es-ES"/>
              </w:rPr>
              <w:t xml:space="preserve">La BDT también contribuyó a la </w:t>
            </w:r>
            <w:r w:rsidR="00281F03" w:rsidRPr="00D412E0">
              <w:rPr>
                <w:lang w:val="es-ES"/>
              </w:rPr>
              <w:t>r</w:t>
            </w:r>
            <w:r w:rsidRPr="00D412E0">
              <w:rPr>
                <w:lang w:val="es-ES"/>
              </w:rPr>
              <w:t xml:space="preserve">eunión </w:t>
            </w:r>
            <w:r w:rsidR="00281F03" w:rsidRPr="00D412E0">
              <w:rPr>
                <w:lang w:val="es-ES"/>
              </w:rPr>
              <w:t>a</w:t>
            </w:r>
            <w:r w:rsidRPr="00D412E0">
              <w:rPr>
                <w:lang w:val="es-ES"/>
              </w:rPr>
              <w:t>nual de Miembros de la Alianza de Bienes Públicos Digitales (DPGA), celebrada del 13</w:t>
            </w:r>
            <w:r w:rsidR="00F1150F">
              <w:rPr>
                <w:lang w:val="es-ES"/>
              </w:rPr>
              <w:t> </w:t>
            </w:r>
            <w:r w:rsidRPr="00D412E0">
              <w:rPr>
                <w:lang w:val="es-ES"/>
              </w:rPr>
              <w:t>al 15 de noviembre de</w:t>
            </w:r>
            <w:r w:rsidR="00836C5A">
              <w:rPr>
                <w:lang w:val="es-ES"/>
              </w:rPr>
              <w:t> </w:t>
            </w:r>
            <w:r w:rsidRPr="00D412E0">
              <w:rPr>
                <w:lang w:val="es-ES"/>
              </w:rPr>
              <w:t>2024 en Singapur, y organizó varias sesiones sobre los bienes públicos digitales y el código abierto, gracias a la representación local de los proyectos GovStack y OSEE.</w:t>
            </w:r>
          </w:p>
          <w:p w14:paraId="2E6EA277" w14:textId="3960CE04" w:rsidR="00D412E0" w:rsidRPr="00D412E0" w:rsidRDefault="00D412E0" w:rsidP="00A4300E">
            <w:pPr>
              <w:pStyle w:val="Tabletext"/>
              <w:rPr>
                <w:u w:val="single"/>
                <w:lang w:val="es-ES"/>
              </w:rPr>
            </w:pPr>
            <w:r w:rsidRPr="00D412E0">
              <w:rPr>
                <w:lang w:val="es-ES"/>
              </w:rPr>
              <w:t>En octubre de 2024, en el marco de la Cumbre Mundial IPD de El Cairo, las sesiones organizadas por la BDT destacaron iniciativas como el Plan IPD de África, así como las normas abiertas para la interoperabilidad (</w:t>
            </w:r>
            <w:hyperlink r:id="rId35" w:history="1">
              <w:r w:rsidRPr="00D412E0">
                <w:rPr>
                  <w:rStyle w:val="Hyperlink"/>
                  <w:lang w:val="es-ES"/>
                </w:rPr>
                <w:t>itu.int</w:t>
              </w:r>
            </w:hyperlink>
            <w:r w:rsidRPr="00D412E0">
              <w:rPr>
                <w:lang w:val="es-ES"/>
              </w:rPr>
              <w:t>)</w:t>
            </w:r>
            <w:r w:rsidR="00E16C6B">
              <w:rPr>
                <w:lang w:val="es-ES"/>
              </w:rPr>
              <w:t>.</w:t>
            </w:r>
          </w:p>
          <w:p w14:paraId="655B89E4" w14:textId="2250FA24" w:rsidR="00D412E0" w:rsidRPr="00D412E0" w:rsidRDefault="00D412E0" w:rsidP="00A4300E">
            <w:pPr>
              <w:pStyle w:val="Tabletext"/>
              <w:rPr>
                <w:lang w:val="es-ES"/>
              </w:rPr>
            </w:pPr>
            <w:r w:rsidRPr="00D412E0">
              <w:rPr>
                <w:lang w:val="es-ES"/>
              </w:rPr>
              <w:t>Por otra parte, la</w:t>
            </w:r>
            <w:r w:rsidR="00836C5A">
              <w:rPr>
                <w:lang w:val="es-ES"/>
              </w:rPr>
              <w:t> </w:t>
            </w:r>
            <w:r w:rsidRPr="00D412E0">
              <w:rPr>
                <w:lang w:val="es-ES"/>
              </w:rPr>
              <w:t xml:space="preserve">BDT lanzó la iniciativa Inversión en infraestructura digital en colaboración con la comunidad financiera internacional y la </w:t>
            </w:r>
            <w:r w:rsidR="003F0C8D" w:rsidRPr="00D412E0">
              <w:rPr>
                <w:lang w:val="es-ES"/>
              </w:rPr>
              <w:t xml:space="preserve">Presidencia </w:t>
            </w:r>
            <w:r w:rsidRPr="00D412E0">
              <w:rPr>
                <w:lang w:val="es-ES"/>
              </w:rPr>
              <w:t>brasileña del G20 a fin de cerrar la brecha digital (</w:t>
            </w:r>
            <w:hyperlink r:id="rId36" w:history="1">
              <w:hyperlink r:id="rId37" w:history="1">
                <w:r w:rsidRPr="00D412E0">
                  <w:rPr>
                    <w:rStyle w:val="Hyperlink"/>
                    <w:lang w:val="es-ES"/>
                  </w:rPr>
                  <w:t>itu.int</w:t>
                </w:r>
              </w:hyperlink>
            </w:hyperlink>
            <w:r w:rsidRPr="00D412E0">
              <w:rPr>
                <w:lang w:val="es-ES"/>
              </w:rPr>
              <w:t>)</w:t>
            </w:r>
            <w:r w:rsidR="00E16C6B">
              <w:rPr>
                <w:lang w:val="es-ES"/>
              </w:rPr>
              <w:t>.</w:t>
            </w:r>
          </w:p>
          <w:p w14:paraId="03C5E7CB" w14:textId="06FD5F95" w:rsidR="00D412E0" w:rsidRPr="00D412E0" w:rsidRDefault="00D412E0" w:rsidP="00A4300E">
            <w:pPr>
              <w:pStyle w:val="Tabletext"/>
              <w:rPr>
                <w:lang w:val="es-ES"/>
              </w:rPr>
            </w:pPr>
            <w:r w:rsidRPr="00D412E0">
              <w:rPr>
                <w:lang w:val="es-ES"/>
              </w:rPr>
              <w:t>En enero de 2025, la</w:t>
            </w:r>
            <w:r w:rsidR="00836C5A">
              <w:rPr>
                <w:lang w:val="es-ES"/>
              </w:rPr>
              <w:t> </w:t>
            </w:r>
            <w:r w:rsidRPr="00D412E0">
              <w:rPr>
                <w:lang w:val="es-ES"/>
              </w:rPr>
              <w:t>UIT coorganizó en Ginebra la conferencia "Citizen Stack 2025", centrada en las transformaciones digitales centradas en el ciudadano y las experiencias de India en materia de IPD (</w:t>
            </w:r>
            <w:hyperlink r:id="rId38" w:history="1">
              <w:hyperlink r:id="rId39" w:history="1">
                <w:r w:rsidRPr="00D412E0">
                  <w:rPr>
                    <w:rStyle w:val="Hyperlink"/>
                    <w:lang w:val="es-ES"/>
                  </w:rPr>
                  <w:t>itu.int</w:t>
                </w:r>
              </w:hyperlink>
            </w:hyperlink>
            <w:r w:rsidRPr="00D412E0">
              <w:rPr>
                <w:lang w:val="es-ES"/>
              </w:rPr>
              <w:t>)</w:t>
            </w:r>
            <w:r w:rsidR="00E16C6B">
              <w:rPr>
                <w:lang w:val="es-ES"/>
              </w:rPr>
              <w:t>.</w:t>
            </w:r>
          </w:p>
          <w:p w14:paraId="5A5A02CD" w14:textId="3ED76EC0" w:rsidR="00D412E0" w:rsidRPr="00E16C6B" w:rsidRDefault="00D412E0" w:rsidP="00A4300E">
            <w:pPr>
              <w:pStyle w:val="Tabletext"/>
              <w:rPr>
                <w:lang w:val="es-ES"/>
              </w:rPr>
            </w:pPr>
            <w:r w:rsidRPr="00D412E0">
              <w:rPr>
                <w:lang w:val="es-ES"/>
              </w:rPr>
              <w:t xml:space="preserve">Además, la UIT ha desempeñado un papel destacado en la elaboración de políticas y marcos de IPD en ciudades inteligentes y sostenibles a través de la iniciativa </w:t>
            </w:r>
            <w:bookmarkStart w:id="13" w:name="_Hlk197082273"/>
            <w:r w:rsidRPr="00D412E0">
              <w:rPr>
                <w:lang w:val="es-ES"/>
              </w:rPr>
              <w:t>Unidos por las Ciudades Inteligentes y Sostenibles (U4SSC)</w:t>
            </w:r>
            <w:bookmarkEnd w:id="13"/>
            <w:r w:rsidRPr="00D412E0">
              <w:rPr>
                <w:lang w:val="es-ES"/>
              </w:rPr>
              <w:t xml:space="preserve"> </w:t>
            </w:r>
            <w:r w:rsidRPr="00E16C6B">
              <w:rPr>
                <w:lang w:val="es-ES"/>
              </w:rPr>
              <w:t>(</w:t>
            </w:r>
            <w:hyperlink r:id="rId40" w:history="1">
              <w:hyperlink r:id="rId41" w:history="1">
                <w:r w:rsidRPr="00E16C6B">
                  <w:rPr>
                    <w:rStyle w:val="Hyperlink"/>
                    <w:lang w:val="es-ES"/>
                  </w:rPr>
                  <w:t>u4ssc.itu.int</w:t>
                </w:r>
              </w:hyperlink>
            </w:hyperlink>
            <w:r w:rsidRPr="00E16C6B">
              <w:rPr>
                <w:lang w:val="es-ES"/>
              </w:rPr>
              <w:t>)</w:t>
            </w:r>
            <w:r w:rsidR="00E16C6B" w:rsidRPr="00D412E0">
              <w:rPr>
                <w:lang w:val="es-ES"/>
              </w:rPr>
              <w:t>.</w:t>
            </w:r>
          </w:p>
        </w:tc>
        <w:tc>
          <w:tcPr>
            <w:tcW w:w="2999" w:type="dxa"/>
          </w:tcPr>
          <w:p w14:paraId="4A2A6B2F" w14:textId="77777777" w:rsidR="00D412E0" w:rsidRPr="00D412E0" w:rsidRDefault="00D412E0" w:rsidP="00E67021">
            <w:pPr>
              <w:pStyle w:val="Tabletext"/>
              <w:rPr>
                <w:lang w:val="es-ES"/>
              </w:rPr>
            </w:pPr>
          </w:p>
        </w:tc>
      </w:tr>
      <w:tr w:rsidR="0061116D" w:rsidRPr="00D412E0" w14:paraId="0E6B680A" w14:textId="77777777" w:rsidTr="00E07C78">
        <w:trPr>
          <w:jc w:val="center"/>
        </w:trPr>
        <w:tc>
          <w:tcPr>
            <w:tcW w:w="4111" w:type="dxa"/>
          </w:tcPr>
          <w:p w14:paraId="4463F2A4" w14:textId="77777777" w:rsidR="00D412E0" w:rsidRPr="00A4300E" w:rsidRDefault="00D412E0" w:rsidP="00A4300E">
            <w:pPr>
              <w:pStyle w:val="Tabletext"/>
              <w:rPr>
                <w:b/>
                <w:bCs/>
                <w:lang w:val="es-ES"/>
              </w:rPr>
            </w:pPr>
            <w:r w:rsidRPr="00A4300E">
              <w:rPr>
                <w:b/>
                <w:bCs/>
                <w:lang w:val="es-ES"/>
              </w:rPr>
              <w:lastRenderedPageBreak/>
              <w:t>Contribución a las metas de los ODS</w:t>
            </w:r>
          </w:p>
        </w:tc>
        <w:tc>
          <w:tcPr>
            <w:tcW w:w="10445" w:type="dxa"/>
            <w:gridSpan w:val="2"/>
          </w:tcPr>
          <w:p w14:paraId="49604CB4" w14:textId="34EEA68D" w:rsidR="00D412E0" w:rsidRPr="00D412E0" w:rsidRDefault="00D412E0" w:rsidP="00A4300E">
            <w:pPr>
              <w:pStyle w:val="Tabletext"/>
            </w:pPr>
            <w:r w:rsidRPr="00D412E0">
              <w:t>ODS 1, 3, 4, 5, 8, 9, 10, 11, 16</w:t>
            </w:r>
            <w:r w:rsidR="00F1150F">
              <w:t xml:space="preserve"> y</w:t>
            </w:r>
            <w:r w:rsidRPr="00D412E0">
              <w:t xml:space="preserve"> 17</w:t>
            </w:r>
          </w:p>
        </w:tc>
      </w:tr>
      <w:tr w:rsidR="0061116D" w:rsidRPr="00D412E0" w14:paraId="422F6C49" w14:textId="77777777" w:rsidTr="00E07C78">
        <w:trPr>
          <w:jc w:val="center"/>
        </w:trPr>
        <w:tc>
          <w:tcPr>
            <w:tcW w:w="4111" w:type="dxa"/>
          </w:tcPr>
          <w:p w14:paraId="49830885" w14:textId="77777777" w:rsidR="00D412E0" w:rsidRPr="00A4300E" w:rsidRDefault="00D412E0" w:rsidP="00A4300E">
            <w:pPr>
              <w:pStyle w:val="Tabletext"/>
              <w:rPr>
                <w:b/>
                <w:bCs/>
                <w:lang w:val="es-ES"/>
              </w:rPr>
            </w:pPr>
            <w:r w:rsidRPr="00A4300E">
              <w:rPr>
                <w:b/>
                <w:bCs/>
                <w:lang w:val="es-ES"/>
              </w:rPr>
              <w:t>Líneas de Acción de la CMSI</w:t>
            </w:r>
          </w:p>
        </w:tc>
        <w:tc>
          <w:tcPr>
            <w:tcW w:w="10445" w:type="dxa"/>
            <w:gridSpan w:val="2"/>
          </w:tcPr>
          <w:p w14:paraId="42EABBB2" w14:textId="5479B24B" w:rsidR="00D412E0" w:rsidRPr="00D412E0" w:rsidRDefault="00D412E0" w:rsidP="00A4300E">
            <w:pPr>
              <w:pStyle w:val="Tabletext"/>
            </w:pPr>
            <w:r w:rsidRPr="00D412E0">
              <w:t>C1, C2, C3, C4, C5, C6, C7</w:t>
            </w:r>
            <w:r w:rsidR="00F1150F">
              <w:t xml:space="preserve"> y</w:t>
            </w:r>
            <w:r w:rsidRPr="00D412E0">
              <w:t xml:space="preserve"> C11</w:t>
            </w:r>
          </w:p>
        </w:tc>
      </w:tr>
      <w:tr w:rsidR="0061116D" w:rsidRPr="002F5AC1" w14:paraId="048FC62F" w14:textId="77777777" w:rsidTr="00E07C78">
        <w:trPr>
          <w:jc w:val="center"/>
        </w:trPr>
        <w:tc>
          <w:tcPr>
            <w:tcW w:w="4111" w:type="dxa"/>
          </w:tcPr>
          <w:p w14:paraId="305A1772" w14:textId="77777777" w:rsidR="00D412E0" w:rsidRPr="0061116D" w:rsidRDefault="00D412E0" w:rsidP="00A4300E">
            <w:pPr>
              <w:pStyle w:val="Tabletext"/>
              <w:rPr>
                <w:lang w:val="es-ES"/>
              </w:rPr>
            </w:pPr>
            <w:r w:rsidRPr="0061116D">
              <w:rPr>
                <w:b/>
                <w:bCs/>
                <w:lang w:val="es-ES"/>
              </w:rPr>
              <w:t>Resoluciones</w:t>
            </w:r>
          </w:p>
        </w:tc>
        <w:tc>
          <w:tcPr>
            <w:tcW w:w="10445" w:type="dxa"/>
            <w:gridSpan w:val="2"/>
          </w:tcPr>
          <w:p w14:paraId="0B422B9C" w14:textId="711FBD4C" w:rsidR="00D412E0" w:rsidRPr="0061116D" w:rsidRDefault="00D412E0" w:rsidP="00A4300E">
            <w:pPr>
              <w:pStyle w:val="Tabletext"/>
              <w:rPr>
                <w:lang w:val="es-ES"/>
              </w:rPr>
            </w:pPr>
            <w:r w:rsidRPr="0061116D">
              <w:rPr>
                <w:lang w:val="es-ES"/>
              </w:rPr>
              <w:t>205 de la PP; 16, 30, 37, 85 y 90 de la CMDT; Cuestiones</w:t>
            </w:r>
            <w:r w:rsidR="00836C5A">
              <w:rPr>
                <w:lang w:val="es-ES"/>
              </w:rPr>
              <w:t> </w:t>
            </w:r>
            <w:r w:rsidRPr="0061116D">
              <w:rPr>
                <w:lang w:val="es-ES"/>
              </w:rPr>
              <w:t>2/1, 4/1, 1/2</w:t>
            </w:r>
            <w:r w:rsidR="00F1150F">
              <w:rPr>
                <w:lang w:val="es-ES"/>
              </w:rPr>
              <w:t xml:space="preserve"> y</w:t>
            </w:r>
            <w:r w:rsidRPr="0061116D">
              <w:rPr>
                <w:lang w:val="es-ES"/>
              </w:rPr>
              <w:t xml:space="preserve"> 2/2</w:t>
            </w:r>
          </w:p>
        </w:tc>
      </w:tr>
    </w:tbl>
    <w:p w14:paraId="231F8D5F" w14:textId="673F9C65" w:rsidR="00ED244A" w:rsidRPr="004265A8" w:rsidRDefault="00ED244A" w:rsidP="00ED244A">
      <w:pPr>
        <w:rPr>
          <w:lang w:val="es-ES"/>
        </w:rPr>
      </w:pPr>
      <w:r w:rsidRPr="004265A8">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6D1283" w:rsidRPr="002F5AC1" w14:paraId="6982E19D" w14:textId="77777777" w:rsidTr="004711CF">
        <w:trPr>
          <w:jc w:val="center"/>
        </w:trPr>
        <w:tc>
          <w:tcPr>
            <w:tcW w:w="14556" w:type="dxa"/>
            <w:gridSpan w:val="3"/>
            <w:shd w:val="clear" w:color="auto" w:fill="365F91"/>
          </w:tcPr>
          <w:p w14:paraId="0B605453" w14:textId="53949C30" w:rsidR="00D412E0" w:rsidRPr="00D412E0" w:rsidRDefault="00D412E0" w:rsidP="000C49B1">
            <w:pPr>
              <w:pStyle w:val="Heading1"/>
              <w:spacing w:before="80" w:after="80"/>
              <w:jc w:val="center"/>
              <w:rPr>
                <w:color w:val="FFFFFF" w:themeColor="background1"/>
                <w:sz w:val="22"/>
                <w:szCs w:val="22"/>
                <w:lang w:val="es-ES"/>
              </w:rPr>
            </w:pPr>
            <w:bookmarkStart w:id="14" w:name="_Toc196911805"/>
            <w:r w:rsidRPr="00D412E0">
              <w:rPr>
                <w:color w:val="FFFFFF" w:themeColor="background1"/>
                <w:sz w:val="22"/>
                <w:szCs w:val="22"/>
                <w:lang w:val="es-ES"/>
              </w:rPr>
              <w:lastRenderedPageBreak/>
              <w:t>Prioridad 3 del UIT-D: Entorno político y reglamentario propicio</w:t>
            </w:r>
            <w:bookmarkEnd w:id="14"/>
          </w:p>
          <w:p w14:paraId="098FB797" w14:textId="77777777" w:rsidR="00D412E0" w:rsidRPr="00D412E0" w:rsidRDefault="00D412E0" w:rsidP="00CE0D86">
            <w:pPr>
              <w:pStyle w:val="Tablehead"/>
              <w:rPr>
                <w:i/>
                <w:iCs/>
                <w:color w:val="FFFFFF" w:themeColor="background1"/>
                <w:lang w:val="es-ES"/>
              </w:rPr>
            </w:pPr>
            <w:r w:rsidRPr="00D412E0">
              <w:rPr>
                <w:i/>
                <w:iCs/>
                <w:color w:val="FFFFFF" w:themeColor="background1"/>
                <w:lang w:val="es-ES"/>
              </w:rPr>
              <w:t>Fomento de un entorno político y reglamentario propicio para el desarrollo sostenible de las telecomunicaciones/TIC</w:t>
            </w:r>
          </w:p>
        </w:tc>
      </w:tr>
      <w:tr w:rsidR="00D412E0" w:rsidRPr="002F5AC1" w14:paraId="1B8121BD" w14:textId="77777777" w:rsidTr="004711CF">
        <w:trPr>
          <w:jc w:val="center"/>
        </w:trPr>
        <w:tc>
          <w:tcPr>
            <w:tcW w:w="14556" w:type="dxa"/>
            <w:gridSpan w:val="3"/>
            <w:shd w:val="clear" w:color="auto" w:fill="E5DFEC"/>
          </w:tcPr>
          <w:p w14:paraId="5D1621FE" w14:textId="27886459" w:rsidR="00D412E0" w:rsidRPr="006D1283" w:rsidRDefault="00D412E0" w:rsidP="002139FC">
            <w:pPr>
              <w:pStyle w:val="Tabletext"/>
              <w:rPr>
                <w:b/>
                <w:bCs/>
                <w:color w:val="1F497D"/>
                <w:lang w:val="es-ES"/>
              </w:rPr>
            </w:pPr>
            <w:r w:rsidRPr="006D1283">
              <w:rPr>
                <w:b/>
                <w:bCs/>
                <w:color w:val="1F497D"/>
                <w:lang w:val="es-ES"/>
              </w:rPr>
              <w:t>Desarrollo de capacidades</w:t>
            </w:r>
          </w:p>
          <w:p w14:paraId="352304EF" w14:textId="7979A741" w:rsidR="00D412E0" w:rsidRPr="00D412E0" w:rsidRDefault="004265A8" w:rsidP="002139FC">
            <w:pPr>
              <w:pStyle w:val="Tabletext"/>
              <w:rPr>
                <w:lang w:val="es-ES"/>
              </w:rPr>
            </w:pPr>
            <w:r w:rsidRPr="004265A8">
              <w:rPr>
                <w:b/>
                <w:bCs/>
                <w:i/>
                <w:iCs/>
                <w:lang w:val="es-ES"/>
              </w:rPr>
              <w:t>Realización</w:t>
            </w:r>
            <w:r w:rsidR="00D412E0" w:rsidRPr="002139FC">
              <w:rPr>
                <w:b/>
                <w:bCs/>
                <w:i/>
                <w:iCs/>
                <w:lang w:val="es-ES"/>
              </w:rPr>
              <w:t>:</w:t>
            </w:r>
            <w:r w:rsidR="00D412E0" w:rsidRPr="00D412E0">
              <w:rPr>
                <w:i/>
                <w:iCs/>
                <w:lang w:val="es-ES"/>
              </w:rPr>
              <w:t xml:space="preserve"> Mayor capacidad humana e institucional de los </w:t>
            </w:r>
            <w:r w:rsidR="009378F6">
              <w:rPr>
                <w:i/>
                <w:iCs/>
                <w:lang w:val="es-ES"/>
              </w:rPr>
              <w:t>m</w:t>
            </w:r>
            <w:r w:rsidR="00D412E0" w:rsidRPr="00D412E0">
              <w:rPr>
                <w:i/>
                <w:iCs/>
                <w:lang w:val="es-ES"/>
              </w:rPr>
              <w:t>iembros de la UIT para aprovechar plenamente el potencial de las telecomunicaciones/TIC</w:t>
            </w:r>
            <w:r w:rsidR="00A20ED8">
              <w:rPr>
                <w:i/>
                <w:iCs/>
                <w:lang w:val="es-ES"/>
              </w:rPr>
              <w:t>.</w:t>
            </w:r>
          </w:p>
        </w:tc>
      </w:tr>
      <w:tr w:rsidR="00D412E0" w:rsidRPr="00D412E0" w14:paraId="04FE7D3D" w14:textId="77777777" w:rsidTr="004711CF">
        <w:trPr>
          <w:jc w:val="center"/>
        </w:trPr>
        <w:tc>
          <w:tcPr>
            <w:tcW w:w="11557" w:type="dxa"/>
            <w:gridSpan w:val="2"/>
          </w:tcPr>
          <w:p w14:paraId="43F80C21" w14:textId="26F26999" w:rsidR="00D412E0" w:rsidRPr="006D1283" w:rsidRDefault="00D412E0" w:rsidP="002139FC">
            <w:pPr>
              <w:pStyle w:val="Tablehead"/>
              <w:rPr>
                <w:color w:val="0070C0"/>
                <w:lang w:val="es-ES"/>
              </w:rPr>
            </w:pPr>
            <w:r w:rsidRPr="006D1283">
              <w:rPr>
                <w:color w:val="0070C0"/>
                <w:lang w:val="es-ES"/>
              </w:rPr>
              <w:t>Producto</w:t>
            </w:r>
            <w:r w:rsidR="004265A8">
              <w:rPr>
                <w:color w:val="0070C0"/>
                <w:lang w:val="es-ES"/>
              </w:rPr>
              <w:t>s</w:t>
            </w:r>
          </w:p>
        </w:tc>
        <w:tc>
          <w:tcPr>
            <w:tcW w:w="2999" w:type="dxa"/>
          </w:tcPr>
          <w:p w14:paraId="1DF617DF" w14:textId="06DEB092" w:rsidR="00D412E0" w:rsidRPr="006D1283" w:rsidRDefault="004265A8" w:rsidP="002139FC">
            <w:pPr>
              <w:pStyle w:val="Tablehead"/>
              <w:rPr>
                <w:color w:val="0070C0"/>
                <w:lang w:val="es-ES"/>
              </w:rPr>
            </w:pPr>
            <w:r w:rsidRPr="004265A8">
              <w:rPr>
                <w:color w:val="0070C0"/>
                <w:lang w:val="es-ES"/>
              </w:rPr>
              <w:t>Datos destacados</w:t>
            </w:r>
          </w:p>
        </w:tc>
      </w:tr>
      <w:tr w:rsidR="00D412E0" w:rsidRPr="00D412E0" w14:paraId="05B50FD4" w14:textId="77777777" w:rsidTr="004711CF">
        <w:trPr>
          <w:jc w:val="center"/>
        </w:trPr>
        <w:tc>
          <w:tcPr>
            <w:tcW w:w="11557" w:type="dxa"/>
            <w:gridSpan w:val="2"/>
            <w:vMerge w:val="restart"/>
          </w:tcPr>
          <w:p w14:paraId="32173B9E" w14:textId="6053F8CA" w:rsidR="00D412E0" w:rsidRPr="00D412E0" w:rsidRDefault="00D412E0" w:rsidP="00B03640">
            <w:pPr>
              <w:pStyle w:val="Tabletext"/>
              <w:rPr>
                <w:lang w:val="es-ES"/>
              </w:rPr>
            </w:pPr>
            <w:r w:rsidRPr="00D412E0">
              <w:rPr>
                <w:lang w:val="es-ES"/>
              </w:rPr>
              <w:t xml:space="preserve">Con su compromiso de mejorar la capacidad humana e institucional de sus </w:t>
            </w:r>
            <w:r w:rsidR="009378F6">
              <w:rPr>
                <w:lang w:val="es-ES"/>
              </w:rPr>
              <w:t>m</w:t>
            </w:r>
            <w:r w:rsidRPr="00D412E0">
              <w:rPr>
                <w:lang w:val="es-ES"/>
              </w:rPr>
              <w:t xml:space="preserve">iembros, la UIT siguió impartiendo programas de formación de alta calidad. Los cursos de formación se impartieron a través de la </w:t>
            </w:r>
            <w:hyperlink r:id="rId42" w:history="1">
              <w:r w:rsidRPr="00D412E0">
                <w:rPr>
                  <w:rStyle w:val="Hyperlink"/>
                  <w:b/>
                  <w:bCs/>
                  <w:lang w:val="es-ES"/>
                </w:rPr>
                <w:t>Academia de la UIT</w:t>
              </w:r>
            </w:hyperlink>
            <w:r w:rsidRPr="00D412E0">
              <w:rPr>
                <w:lang w:val="es-ES"/>
              </w:rPr>
              <w:t xml:space="preserve"> y los </w:t>
            </w:r>
            <w:hyperlink r:id="rId43" w:history="1">
              <w:r w:rsidRPr="00D412E0">
                <w:rPr>
                  <w:rStyle w:val="Hyperlink"/>
                  <w:b/>
                  <w:bCs/>
                  <w:lang w:val="es-ES"/>
                </w:rPr>
                <w:t>Centros de Formación de la Academia de la UIT (CFA)</w:t>
              </w:r>
            </w:hyperlink>
            <w:r w:rsidRPr="00D412E0">
              <w:rPr>
                <w:lang w:val="es-ES"/>
              </w:rPr>
              <w:t xml:space="preserve">, con el objetivo de lograr resultados significativos para los </w:t>
            </w:r>
            <w:r w:rsidR="00C8557A" w:rsidRPr="00D412E0">
              <w:rPr>
                <w:lang w:val="es-ES"/>
              </w:rPr>
              <w:t>m</w:t>
            </w:r>
            <w:r w:rsidRPr="00D412E0">
              <w:rPr>
                <w:lang w:val="es-ES"/>
              </w:rPr>
              <w:t xml:space="preserve">iembros de la UIT. De mayo de 2024 a abril de 2025, la Academia de la UIT registró </w:t>
            </w:r>
            <w:r w:rsidRPr="00C8557A">
              <w:rPr>
                <w:b/>
                <w:bCs/>
                <w:lang w:val="es-ES"/>
              </w:rPr>
              <w:t>15 200</w:t>
            </w:r>
            <w:r w:rsidR="00CB53AE">
              <w:rPr>
                <w:lang w:val="es-ES"/>
              </w:rPr>
              <w:t> </w:t>
            </w:r>
            <w:r w:rsidRPr="00C8557A">
              <w:rPr>
                <w:b/>
                <w:bCs/>
                <w:lang w:val="es-ES"/>
              </w:rPr>
              <w:t>usuarios adicionales, con lo que el número total de alumnos ascendió a más de 63 000, de entre todos los Estados Miembros</w:t>
            </w:r>
            <w:r w:rsidRPr="00D412E0">
              <w:rPr>
                <w:lang w:val="es-ES"/>
              </w:rPr>
              <w:t>, de los cuales más del 70 % procedían de países en desarrollo. Durante este periodo, se impartieron más de 160</w:t>
            </w:r>
            <w:r w:rsidR="00CB53AE">
              <w:rPr>
                <w:lang w:val="es-ES"/>
              </w:rPr>
              <w:t> </w:t>
            </w:r>
            <w:r w:rsidRPr="00D412E0">
              <w:rPr>
                <w:lang w:val="es-ES"/>
              </w:rPr>
              <w:t>cursos a través de la plataforma a más de 22 000</w:t>
            </w:r>
            <w:r w:rsidR="00B41069">
              <w:rPr>
                <w:lang w:val="es-ES"/>
              </w:rPr>
              <w:t> </w:t>
            </w:r>
            <w:r w:rsidRPr="00D412E0">
              <w:rPr>
                <w:lang w:val="es-ES"/>
              </w:rPr>
              <w:t>participantes registrados, de los cuales más de 6 200 habían finalizado sus cursos en marzo de 2025. Asimismo, más de 4 000</w:t>
            </w:r>
            <w:r w:rsidR="00B41069">
              <w:rPr>
                <w:lang w:val="es-ES"/>
              </w:rPr>
              <w:t> </w:t>
            </w:r>
            <w:r w:rsidRPr="00D412E0">
              <w:rPr>
                <w:lang w:val="es-ES"/>
              </w:rPr>
              <w:t>participantes completaron las encuestas de evaluación de los cursos y el 95</w:t>
            </w:r>
            <w:r w:rsidR="00CB53AE">
              <w:rPr>
                <w:lang w:val="es-ES"/>
              </w:rPr>
              <w:t> </w:t>
            </w:r>
            <w:r w:rsidRPr="00D412E0">
              <w:rPr>
                <w:lang w:val="es-ES"/>
              </w:rPr>
              <w:t>% se declararon satisfechos o muy satisfechos con su experiencia</w:t>
            </w:r>
            <w:r w:rsidR="004C3ECC">
              <w:rPr>
                <w:lang w:val="es-ES"/>
              </w:rPr>
              <w:t>.</w:t>
            </w:r>
          </w:p>
          <w:p w14:paraId="4056E78D" w14:textId="779D42A6" w:rsidR="00D412E0" w:rsidRPr="00D412E0" w:rsidRDefault="00D412E0" w:rsidP="00B03640">
            <w:pPr>
              <w:pStyle w:val="Tabletext"/>
              <w:rPr>
                <w:lang w:val="es-ES"/>
              </w:rPr>
            </w:pPr>
            <w:r w:rsidRPr="00D412E0">
              <w:rPr>
                <w:lang w:val="es-ES"/>
              </w:rPr>
              <w:t xml:space="preserve">Durante ese mismo periodo (mayo de 2024 </w:t>
            </w:r>
            <w:r w:rsidR="00B41069" w:rsidRPr="00B41069">
              <w:rPr>
                <w:lang w:val="es-ES"/>
              </w:rPr>
              <w:t>–</w:t>
            </w:r>
            <w:r w:rsidRPr="00D412E0">
              <w:rPr>
                <w:lang w:val="es-ES"/>
              </w:rPr>
              <w:t xml:space="preserve"> abril de 2025) del segundo año de ejecución, </w:t>
            </w:r>
            <w:r w:rsidRPr="004C3ECC">
              <w:rPr>
                <w:b/>
                <w:bCs/>
                <w:lang w:val="es-ES"/>
              </w:rPr>
              <w:t>los CFA impartieron 64</w:t>
            </w:r>
            <w:r w:rsidR="00E16C6B" w:rsidRPr="004C3ECC">
              <w:rPr>
                <w:b/>
                <w:bCs/>
                <w:lang w:val="es-ES"/>
              </w:rPr>
              <w:t> </w:t>
            </w:r>
            <w:r w:rsidRPr="004C3ECC">
              <w:rPr>
                <w:b/>
                <w:bCs/>
                <w:lang w:val="es-ES"/>
              </w:rPr>
              <w:t>cursos con más de 3 000</w:t>
            </w:r>
            <w:r w:rsidR="00E16C6B" w:rsidRPr="004C3ECC">
              <w:rPr>
                <w:b/>
                <w:bCs/>
                <w:lang w:val="es-ES"/>
              </w:rPr>
              <w:t> </w:t>
            </w:r>
            <w:r w:rsidRPr="004C3ECC">
              <w:rPr>
                <w:b/>
                <w:bCs/>
                <w:lang w:val="es-ES"/>
              </w:rPr>
              <w:t>inscripciones</w:t>
            </w:r>
            <w:r w:rsidRPr="00D412E0">
              <w:rPr>
                <w:lang w:val="es-ES"/>
              </w:rPr>
              <w:t xml:space="preserve"> y más de 1 200</w:t>
            </w:r>
            <w:r w:rsidR="00E16C6B">
              <w:rPr>
                <w:lang w:val="es-ES"/>
              </w:rPr>
              <w:t> </w:t>
            </w:r>
            <w:r w:rsidRPr="00D412E0">
              <w:rPr>
                <w:lang w:val="es-ES"/>
              </w:rPr>
              <w:t>cursos finalizados al mes de abril de 2025. En 2024 y 2025, la BDT organizó varias sesiones de formación sobre cómo impartir una formación en línea atractiva, dirigidas a los instructores de los 14</w:t>
            </w:r>
            <w:r w:rsidR="00E16C6B">
              <w:rPr>
                <w:lang w:val="es-ES"/>
              </w:rPr>
              <w:t> </w:t>
            </w:r>
            <w:r w:rsidRPr="00D412E0">
              <w:rPr>
                <w:lang w:val="es-ES"/>
              </w:rPr>
              <w:t xml:space="preserve">CFA. El objetivo de la iniciativa era mejorar la calidad de los cursos de formación, mediante una mejora de la facilitación y de las aptitudes didácticas virtuales y el intercambio de prácticas idóneas entre las instituciones participantes. Durante la </w:t>
            </w:r>
            <w:hyperlink r:id="rId44" w:history="1">
              <w:r w:rsidRPr="00D412E0">
                <w:rPr>
                  <w:rStyle w:val="Hyperlink"/>
                  <w:lang w:val="es-ES"/>
                </w:rPr>
                <w:t>segunda reunión general anual de los CFA</w:t>
              </w:r>
            </w:hyperlink>
            <w:r w:rsidRPr="00D412E0">
              <w:rPr>
                <w:lang w:val="es-ES"/>
              </w:rPr>
              <w:t>, los representantes de los 14</w:t>
            </w:r>
            <w:r w:rsidR="006E4551">
              <w:rPr>
                <w:lang w:val="es-ES"/>
              </w:rPr>
              <w:t> </w:t>
            </w:r>
            <w:r w:rsidRPr="00D412E0">
              <w:rPr>
                <w:lang w:val="es-ES"/>
              </w:rPr>
              <w:t>CFA tuvieron la oportunidad de compartir las lecciones extraídas y las prácticas idóneas en materia de gestión y ampliación de los cursos de formación, seguir ajustándose a los métodos óptimos en cuanto a calidad de la formación, metodología de impartición y medición de los resultados, así como de estrechar la colaboración con las instituciones participantes en el programa.</w:t>
            </w:r>
          </w:p>
          <w:p w14:paraId="60FDED2E" w14:textId="301B91AC" w:rsidR="00D412E0" w:rsidRPr="00D412E0" w:rsidRDefault="00D412E0" w:rsidP="00B03640">
            <w:pPr>
              <w:pStyle w:val="Tabletext"/>
              <w:rPr>
                <w:lang w:val="es-ES"/>
              </w:rPr>
            </w:pPr>
            <w:r w:rsidRPr="00D412E0">
              <w:rPr>
                <w:lang w:val="es-ES"/>
              </w:rPr>
              <w:t xml:space="preserve">A principios de 2024, la UIT, en colaboración con el PNUD, inició la ejecución de un </w:t>
            </w:r>
            <w:r w:rsidRPr="004C3ECC">
              <w:rPr>
                <w:b/>
                <w:bCs/>
                <w:lang w:val="es-ES"/>
              </w:rPr>
              <w:t xml:space="preserve">nuevo proyecto sobre </w:t>
            </w:r>
            <w:r w:rsidR="00CB53AE" w:rsidRPr="004C3ECC">
              <w:rPr>
                <w:b/>
                <w:bCs/>
                <w:lang w:val="es-ES"/>
              </w:rPr>
              <w:t>"</w:t>
            </w:r>
            <w:r w:rsidRPr="004C3ECC">
              <w:rPr>
                <w:b/>
                <w:bCs/>
                <w:lang w:val="es-ES"/>
              </w:rPr>
              <w:t>Desarrollo de capacidades para la transformación digital</w:t>
            </w:r>
            <w:r w:rsidR="00CB53AE" w:rsidRPr="004C3ECC">
              <w:rPr>
                <w:b/>
                <w:bCs/>
                <w:lang w:val="es-ES"/>
              </w:rPr>
              <w:t>"</w:t>
            </w:r>
            <w:r w:rsidRPr="00D412E0">
              <w:rPr>
                <w:lang w:val="es-ES"/>
              </w:rPr>
              <w:t>. El proyecto está financiado por la iniciativa Global Gateway de la Comisión Europea por un periodo de cuatro años. El proyecto promueve la impartición de formación a responsables políticos y funcionarios gubernamentales a través de la plataforma de la Academia de la UIT. Desde el inicio del proyecto, se han completado 27</w:t>
            </w:r>
            <w:r w:rsidR="00CB53AE">
              <w:rPr>
                <w:lang w:val="es-ES"/>
              </w:rPr>
              <w:t> </w:t>
            </w:r>
            <w:r w:rsidRPr="00D412E0">
              <w:rPr>
                <w:lang w:val="es-ES"/>
              </w:rPr>
              <w:t>cursos en las modalidades presencial, en línea con instructor y a propio ritmo. Se formó a 1 390 participantes, procedentes de 160</w:t>
            </w:r>
            <w:r w:rsidR="006E4551">
              <w:rPr>
                <w:lang w:val="es-ES"/>
              </w:rPr>
              <w:t> </w:t>
            </w:r>
            <w:r w:rsidRPr="00D412E0">
              <w:rPr>
                <w:lang w:val="es-ES"/>
              </w:rPr>
              <w:t>países (en su mayoría en desarrollo), con un índice de satisfacción de los participantes del 97 %.</w:t>
            </w:r>
          </w:p>
          <w:p w14:paraId="0880D934" w14:textId="41352781" w:rsidR="00D412E0" w:rsidRPr="00D412E0" w:rsidRDefault="00D412E0" w:rsidP="00A811C7">
            <w:pPr>
              <w:pStyle w:val="Tabletext"/>
              <w:keepNext/>
              <w:keepLines/>
              <w:rPr>
                <w:lang w:val="es-ES"/>
              </w:rPr>
            </w:pPr>
            <w:r w:rsidRPr="00076E74">
              <w:rPr>
                <w:lang w:val="es-ES"/>
              </w:rPr>
              <w:lastRenderedPageBreak/>
              <w:t>En</w:t>
            </w:r>
            <w:r w:rsidRPr="00D412E0">
              <w:rPr>
                <w:lang w:val="es-ES"/>
              </w:rPr>
              <w:t xml:space="preserve"> colaboración con </w:t>
            </w:r>
            <w:r w:rsidRPr="00D412E0">
              <w:rPr>
                <w:b/>
                <w:bCs/>
                <w:lang w:val="es-ES"/>
              </w:rPr>
              <w:t>Cisco</w:t>
            </w:r>
            <w:r w:rsidRPr="00D412E0">
              <w:rPr>
                <w:lang w:val="es-ES"/>
              </w:rPr>
              <w:t xml:space="preserve">, la iniciativa </w:t>
            </w:r>
            <w:hyperlink r:id="rId45">
              <w:r w:rsidRPr="00D412E0">
                <w:rPr>
                  <w:rStyle w:val="Hyperlink"/>
                  <w:b/>
                  <w:bCs/>
                  <w:lang w:val="es-ES"/>
                </w:rPr>
                <w:t>Centros de Transformación Digital (CTD)</w:t>
              </w:r>
            </w:hyperlink>
            <w:r w:rsidRPr="00D412E0">
              <w:rPr>
                <w:lang w:val="es-ES"/>
              </w:rPr>
              <w:t xml:space="preserve"> sigue ampliando sus actividades con un apoyo continuo a los CTD. Desde el inicio de la iniciativa</w:t>
            </w:r>
            <w:r w:rsidR="002E4FD0">
              <w:rPr>
                <w:lang w:val="es-ES"/>
              </w:rPr>
              <w:t> </w:t>
            </w:r>
            <w:r w:rsidRPr="00D412E0">
              <w:rPr>
                <w:lang w:val="es-ES"/>
              </w:rPr>
              <w:t>CT</w:t>
            </w:r>
            <w:r w:rsidR="002E4FD0" w:rsidRPr="00D412E0">
              <w:rPr>
                <w:lang w:val="es-ES"/>
              </w:rPr>
              <w:t>D</w:t>
            </w:r>
            <w:r w:rsidRPr="00D412E0">
              <w:rPr>
                <w:lang w:val="es-ES"/>
              </w:rPr>
              <w:t>, el número total de participantes en cursos de formación en competencias digitales básicas e intermedias asciende a 435 760, de los cuales el 54 % eran mujeres. Durante el periodo considerado, se beneficiaron 80 699</w:t>
            </w:r>
            <w:r w:rsidR="006E4551">
              <w:rPr>
                <w:lang w:val="es-ES"/>
              </w:rPr>
              <w:t> </w:t>
            </w:r>
            <w:r w:rsidRPr="00D412E0">
              <w:rPr>
                <w:lang w:val="es-ES"/>
              </w:rPr>
              <w:t xml:space="preserve">participantes (56 % mujeres) a través de las actividades de los </w:t>
            </w:r>
            <w:r w:rsidR="002E4FD0">
              <w:rPr>
                <w:lang w:val="es-ES"/>
              </w:rPr>
              <w:t>CTD</w:t>
            </w:r>
            <w:r w:rsidRPr="00D412E0">
              <w:rPr>
                <w:lang w:val="es-ES"/>
              </w:rPr>
              <w:t>.</w:t>
            </w:r>
          </w:p>
          <w:p w14:paraId="52194B0C" w14:textId="626022A4" w:rsidR="00D412E0" w:rsidRPr="00D412E0" w:rsidRDefault="00D412E0" w:rsidP="00B03640">
            <w:pPr>
              <w:pStyle w:val="Tabletext"/>
              <w:rPr>
                <w:lang w:val="es-ES"/>
              </w:rPr>
            </w:pPr>
            <w:r w:rsidRPr="00D412E0">
              <w:rPr>
                <w:lang w:val="es-ES"/>
              </w:rPr>
              <w:t xml:space="preserve">En el marco del proyecto </w:t>
            </w:r>
            <w:r w:rsidR="00CB53AE">
              <w:rPr>
                <w:lang w:val="es-ES"/>
              </w:rPr>
              <w:t>"</w:t>
            </w:r>
            <w:r w:rsidRPr="00D412E0">
              <w:rPr>
                <w:lang w:val="es-ES"/>
              </w:rPr>
              <w:t>Fomento de las competencias digitales a través de los Centros de Transformación Digital</w:t>
            </w:r>
            <w:r w:rsidR="00CB53AE">
              <w:rPr>
                <w:lang w:val="es-ES"/>
              </w:rPr>
              <w:t>"</w:t>
            </w:r>
            <w:r w:rsidRPr="00D412E0">
              <w:rPr>
                <w:lang w:val="es-ES"/>
              </w:rPr>
              <w:t xml:space="preserve"> la BDT y el </w:t>
            </w:r>
            <w:r w:rsidRPr="002E4FD0">
              <w:rPr>
                <w:b/>
                <w:bCs/>
                <w:lang w:val="es-ES"/>
              </w:rPr>
              <w:t>Gobierno de Noruega</w:t>
            </w:r>
            <w:r w:rsidRPr="00D412E0">
              <w:rPr>
                <w:lang w:val="es-ES"/>
              </w:rPr>
              <w:t xml:space="preserve"> apoyaron las actividades de los CTD en Ghana, que permitieron impartir formación a más de 22 000</w:t>
            </w:r>
            <w:r w:rsidR="00CB53AE">
              <w:rPr>
                <w:lang w:val="es-ES"/>
              </w:rPr>
              <w:t> </w:t>
            </w:r>
            <w:r w:rsidRPr="00D412E0">
              <w:rPr>
                <w:lang w:val="es-ES"/>
              </w:rPr>
              <w:t>ciudadanos, de los cuales el 68 % eran mujeres, a lo largo de los tres años que duró el proyecto. El CT</w:t>
            </w:r>
            <w:r w:rsidR="002E4FD0" w:rsidRPr="00D412E0">
              <w:rPr>
                <w:lang w:val="es-ES"/>
              </w:rPr>
              <w:t>D</w:t>
            </w:r>
            <w:r w:rsidRPr="00D412E0">
              <w:rPr>
                <w:lang w:val="es-ES"/>
              </w:rPr>
              <w:t xml:space="preserve"> de Ghana superó casi todos los objetivos fijados para el proyecto y tuvo un efecto positivo en la vida de los ciudadanos de las 16</w:t>
            </w:r>
            <w:r w:rsidR="006E4551">
              <w:rPr>
                <w:lang w:val="es-ES"/>
              </w:rPr>
              <w:t> </w:t>
            </w:r>
            <w:r w:rsidRPr="00D412E0">
              <w:rPr>
                <w:lang w:val="es-ES"/>
              </w:rPr>
              <w:t>regiones del país. Este proyecto se cerró en septiembre de 2024. A principios de este año, la UIT recibió nuevos fondos del Gobierno de Noruega para apoyar la iniciativa</w:t>
            </w:r>
            <w:r w:rsidR="002E4FD0">
              <w:rPr>
                <w:lang w:val="es-ES"/>
              </w:rPr>
              <w:t> </w:t>
            </w:r>
            <w:r w:rsidRPr="00D412E0">
              <w:rPr>
                <w:lang w:val="es-ES"/>
              </w:rPr>
              <w:t xml:space="preserve">CTD. Este proyecto brindará apoyo a las actividades de formación del CTD y a la </w:t>
            </w:r>
            <w:r w:rsidR="002E4FD0">
              <w:rPr>
                <w:lang w:val="es-ES"/>
              </w:rPr>
              <w:t>i</w:t>
            </w:r>
            <w:r w:rsidRPr="00D412E0">
              <w:rPr>
                <w:lang w:val="es-ES"/>
              </w:rPr>
              <w:t>niciativa</w:t>
            </w:r>
            <w:r w:rsidR="002E4FD0">
              <w:rPr>
                <w:lang w:val="es-ES"/>
              </w:rPr>
              <w:t> </w:t>
            </w:r>
            <w:r w:rsidRPr="00D412E0">
              <w:rPr>
                <w:lang w:val="es-ES"/>
              </w:rPr>
              <w:t>CTD a nivel mundial hasta finales de diciembre de 2025.</w:t>
            </w:r>
          </w:p>
          <w:p w14:paraId="2F60FD2D" w14:textId="324B00D5" w:rsidR="00D412E0" w:rsidRPr="00D412E0" w:rsidRDefault="00D412E0" w:rsidP="00B03640">
            <w:pPr>
              <w:pStyle w:val="Tabletext"/>
              <w:rPr>
                <w:lang w:val="es-ES"/>
              </w:rPr>
            </w:pPr>
            <w:r w:rsidRPr="00D412E0">
              <w:rPr>
                <w:lang w:val="es-ES"/>
              </w:rPr>
              <w:t>La UIT y los asociados de la iniciativa</w:t>
            </w:r>
            <w:r w:rsidR="002E4FD0">
              <w:rPr>
                <w:lang w:val="es-ES"/>
              </w:rPr>
              <w:t> </w:t>
            </w:r>
            <w:r w:rsidRPr="00D412E0">
              <w:rPr>
                <w:lang w:val="es-ES"/>
              </w:rPr>
              <w:t xml:space="preserve">CTD prestaron apoyo a cinco CTD de Côte d'Ivoire, la República Democrática del Congo, Pakistán, Filipinas y Senegal con el fin de </w:t>
            </w:r>
            <w:r w:rsidRPr="002E4FD0">
              <w:rPr>
                <w:b/>
                <w:bCs/>
                <w:lang w:val="es-ES"/>
              </w:rPr>
              <w:t>fomentar de sus capacidades institucionales mediante iniciativas de formación de instructores</w:t>
            </w:r>
            <w:r w:rsidRPr="00D412E0">
              <w:rPr>
                <w:lang w:val="es-ES"/>
              </w:rPr>
              <w:t>, con las que se formó a 144</w:t>
            </w:r>
            <w:r w:rsidR="006E4551">
              <w:rPr>
                <w:lang w:val="es-ES"/>
              </w:rPr>
              <w:t> </w:t>
            </w:r>
            <w:r w:rsidRPr="00D412E0">
              <w:rPr>
                <w:lang w:val="es-ES"/>
              </w:rPr>
              <w:t>instructores (47</w:t>
            </w:r>
            <w:r w:rsidR="006E4551">
              <w:rPr>
                <w:lang w:val="es-ES"/>
              </w:rPr>
              <w:t> </w:t>
            </w:r>
            <w:r w:rsidRPr="00D412E0">
              <w:rPr>
                <w:lang w:val="es-ES"/>
              </w:rPr>
              <w:t xml:space="preserve">mujeres). El CTD de Pakistán recibió apoyo para formar a instructores con discapacidad visual junto con instructores con visión sobre la </w:t>
            </w:r>
            <w:r w:rsidRPr="002E4FD0">
              <w:rPr>
                <w:b/>
                <w:bCs/>
                <w:lang w:val="es-ES"/>
              </w:rPr>
              <w:t>''Introducción a la informática básica para personas con discapacidad visual (ICBVI)''</w:t>
            </w:r>
            <w:r w:rsidRPr="00D412E0">
              <w:rPr>
                <w:lang w:val="es-ES"/>
              </w:rPr>
              <w:t>, lo cual elevó a cuatro (</w:t>
            </w:r>
            <w:r w:rsidR="002E4FD0">
              <w:rPr>
                <w:lang w:val="es-ES"/>
              </w:rPr>
              <w:t>4</w:t>
            </w:r>
            <w:r w:rsidRPr="00D412E0">
              <w:rPr>
                <w:lang w:val="es-ES"/>
              </w:rPr>
              <w:t>) el número total de CTD que completaron la formación. El CTD de Uganda está a punto de poner en marcha el programa</w:t>
            </w:r>
            <w:r w:rsidR="002E4FD0">
              <w:rPr>
                <w:lang w:val="es-ES"/>
              </w:rPr>
              <w:t> </w:t>
            </w:r>
            <w:r w:rsidRPr="00D412E0">
              <w:rPr>
                <w:lang w:val="es-ES"/>
              </w:rPr>
              <w:t xml:space="preserve">ICBVI, con una primera actividad de formación de instructores prevista para abril-mayo de 2025. El CTD de Uganda, a saber, el Instituto de Tecnología de la Información y las Comunicaciones de Uganda (UICT), también fue beneficiario de los cursos de formación de instructores organizados con el apoyo del proyecto conjunto de la UIT y el Gobierno de Uganda y el Fondo para el Desarrollo Mundial y la Cooperación Sur-Sur </w:t>
            </w:r>
            <w:r w:rsidR="00CB53AE">
              <w:rPr>
                <w:lang w:val="es-ES"/>
              </w:rPr>
              <w:t>"</w:t>
            </w:r>
            <w:r w:rsidRPr="00D412E0">
              <w:rPr>
                <w:lang w:val="es-ES"/>
              </w:rPr>
              <w:t>Asistencia técnica y formación a Uganda sobre la estrategia nacional de desarrollo de las TIC</w:t>
            </w:r>
            <w:r w:rsidR="00CB53AE">
              <w:rPr>
                <w:lang w:val="es-ES"/>
              </w:rPr>
              <w:t>"</w:t>
            </w:r>
            <w:r w:rsidRPr="00D412E0">
              <w:rPr>
                <w:lang w:val="es-ES"/>
              </w:rPr>
              <w:t xml:space="preserve"> en 2024 y 2025. Los CTD de Senegal y Zambia llevaron a cabo actividades de divulgación comunitaria para aumentar la sensibilización sobre la importancia de las competencias digitales, incluidas las de las personas con discapacidad visual. Los CTD de los siete (7) países siguientes: Côte</w:t>
            </w:r>
            <w:r w:rsidR="002E4FD0">
              <w:rPr>
                <w:lang w:val="es-ES"/>
              </w:rPr>
              <w:t> </w:t>
            </w:r>
            <w:r w:rsidRPr="00D412E0">
              <w:rPr>
                <w:lang w:val="es-ES"/>
              </w:rPr>
              <w:t>d'Ivoire, Filipinas, Marruecos, Pakistán, República Dominicana, Senegal y Zambia recibieron apoyo para formar en competencias digitales básicas e intermedias a las comunidades desatendidas.</w:t>
            </w:r>
          </w:p>
          <w:p w14:paraId="36DD7DD1" w14:textId="5A324F13" w:rsidR="00D412E0" w:rsidRPr="00D412E0" w:rsidRDefault="00D412E0" w:rsidP="00B03640">
            <w:pPr>
              <w:pStyle w:val="Tabletext"/>
              <w:rPr>
                <w:lang w:val="es-ES"/>
              </w:rPr>
            </w:pPr>
            <w:r w:rsidRPr="00D412E0">
              <w:rPr>
                <w:lang w:val="es-ES"/>
              </w:rPr>
              <w:t xml:space="preserve">El </w:t>
            </w:r>
            <w:hyperlink r:id="rId46" w:history="1">
              <w:r w:rsidR="00CB705F">
                <w:rPr>
                  <w:rStyle w:val="Hyperlink"/>
                  <w:b/>
                  <w:lang w:val="es-ES"/>
                </w:rPr>
                <w:t>Foro de Competencias Digitales de la UIT</w:t>
              </w:r>
            </w:hyperlink>
            <w:r w:rsidRPr="00D412E0">
              <w:rPr>
                <w:lang w:val="es-ES"/>
              </w:rPr>
              <w:t>, que tuvo lugar en Bahr</w:t>
            </w:r>
            <w:r w:rsidR="008C47AB">
              <w:rPr>
                <w:lang w:val="es-ES"/>
              </w:rPr>
              <w:t>e</w:t>
            </w:r>
            <w:r w:rsidRPr="00D412E0">
              <w:rPr>
                <w:lang w:val="es-ES"/>
              </w:rPr>
              <w:t xml:space="preserve">in en septiembre de 2024 sobre el tema </w:t>
            </w:r>
            <w:r w:rsidR="00CB53AE" w:rsidRPr="002E4FD0">
              <w:rPr>
                <w:b/>
                <w:bCs/>
                <w:lang w:val="es-ES"/>
              </w:rPr>
              <w:t>"</w:t>
            </w:r>
            <w:r w:rsidRPr="002E4FD0">
              <w:rPr>
                <w:b/>
                <w:bCs/>
                <w:lang w:val="es-ES"/>
              </w:rPr>
              <w:t>Desarrollar competencias para la transformación digital</w:t>
            </w:r>
            <w:r w:rsidR="00CB53AE" w:rsidRPr="002E4FD0">
              <w:rPr>
                <w:b/>
                <w:bCs/>
                <w:lang w:val="es-ES"/>
              </w:rPr>
              <w:t>"</w:t>
            </w:r>
            <w:r w:rsidRPr="00D412E0">
              <w:rPr>
                <w:lang w:val="es-ES"/>
              </w:rPr>
              <w:t>, congregó a más de 700</w:t>
            </w:r>
            <w:r w:rsidR="00CB53AE">
              <w:rPr>
                <w:lang w:val="es-ES"/>
              </w:rPr>
              <w:t> </w:t>
            </w:r>
            <w:r w:rsidRPr="00D412E0">
              <w:rPr>
                <w:lang w:val="es-ES"/>
              </w:rPr>
              <w:t>participantes de 66</w:t>
            </w:r>
            <w:r w:rsidR="006E4551">
              <w:rPr>
                <w:lang w:val="es-ES"/>
              </w:rPr>
              <w:t> </w:t>
            </w:r>
            <w:r w:rsidRPr="00D412E0">
              <w:rPr>
                <w:lang w:val="es-ES"/>
              </w:rPr>
              <w:t xml:space="preserve">países que representaban a diferentes grupos de partes interesadas. Se abordaron en el </w:t>
            </w:r>
            <w:r w:rsidR="00CB705F">
              <w:rPr>
                <w:lang w:val="es-ES"/>
              </w:rPr>
              <w:t>f</w:t>
            </w:r>
            <w:r w:rsidRPr="00D412E0">
              <w:rPr>
                <w:lang w:val="es-ES"/>
              </w:rPr>
              <w:t>oro cuestiones fundamentales relacionadas con la brecha de competencias digitales y la forma de paliarla, desde la reducción de la brecha de competencias digitales, las competencias digitales para el empleo y la incidencia de la IA, hasta las competencias en materia de ciberseguridad y seguridad en línea. Los principales resultados del Foro, junto con las recomendaciones sobre cómo abordar la incipiente brecha de competencias, se incluyen en el informe resumido del Presidente.</w:t>
            </w:r>
          </w:p>
          <w:p w14:paraId="1B94286A" w14:textId="0BFA0DDE" w:rsidR="00D412E0" w:rsidRPr="00D412E0" w:rsidRDefault="00D412E0" w:rsidP="00E274D9">
            <w:pPr>
              <w:pStyle w:val="Tabletext"/>
              <w:keepNext/>
              <w:keepLines/>
              <w:rPr>
                <w:lang w:val="es-ES"/>
              </w:rPr>
            </w:pPr>
            <w:r w:rsidRPr="00D412E0">
              <w:rPr>
                <w:lang w:val="es-ES"/>
              </w:rPr>
              <w:lastRenderedPageBreak/>
              <w:t xml:space="preserve">El </w:t>
            </w:r>
            <w:hyperlink r:id="rId47" w:history="1">
              <w:r w:rsidR="00CB705F">
                <w:rPr>
                  <w:rStyle w:val="Hyperlink"/>
                  <w:b/>
                  <w:lang w:val="es-ES"/>
                </w:rPr>
                <w:t>Conjunto de herramientas sobre competencias digitales de 2024 de la UIT</w:t>
              </w:r>
            </w:hyperlink>
            <w:r w:rsidRPr="00D412E0">
              <w:rPr>
                <w:lang w:val="es-ES"/>
              </w:rPr>
              <w:t xml:space="preserve">, que se publicó en septiembre, </w:t>
            </w:r>
            <w:r w:rsidRPr="00CB705F">
              <w:rPr>
                <w:lang w:val="es-ES"/>
              </w:rPr>
              <w:t xml:space="preserve">ofrece </w:t>
            </w:r>
            <w:r w:rsidRPr="00CB705F">
              <w:rPr>
                <w:b/>
                <w:bCs/>
                <w:lang w:val="es-ES"/>
              </w:rPr>
              <w:t xml:space="preserve">una guía completa y detallada para ayudar a los </w:t>
            </w:r>
            <w:r w:rsidR="009378F6" w:rsidRPr="00CB705F">
              <w:rPr>
                <w:b/>
                <w:bCs/>
                <w:lang w:val="es-ES"/>
              </w:rPr>
              <w:t>m</w:t>
            </w:r>
            <w:r w:rsidRPr="00CB705F">
              <w:rPr>
                <w:b/>
                <w:bCs/>
                <w:lang w:val="es-ES"/>
              </w:rPr>
              <w:t>iembros de la UIT a crear estrategias y políticas nacionales eficaces en materia de competencias digitales</w:t>
            </w:r>
            <w:r w:rsidRPr="00D412E0">
              <w:rPr>
                <w:lang w:val="es-ES"/>
              </w:rPr>
              <w:t xml:space="preserve">. Se trata de una actualización exhaustiva de la versión anterior de 2018 e incluye tres partes: </w:t>
            </w:r>
            <w:r w:rsidR="00CB705F">
              <w:rPr>
                <w:lang w:val="es-ES"/>
              </w:rPr>
              <w:t>l</w:t>
            </w:r>
            <w:r w:rsidRPr="00D412E0">
              <w:rPr>
                <w:lang w:val="es-ES"/>
              </w:rPr>
              <w:t>a Parte</w:t>
            </w:r>
            <w:r w:rsidR="00E16C6B">
              <w:rPr>
                <w:lang w:val="es-ES"/>
              </w:rPr>
              <w:t> </w:t>
            </w:r>
            <w:r w:rsidRPr="00D412E0">
              <w:rPr>
                <w:lang w:val="es-ES"/>
              </w:rPr>
              <w:t>1 trata sobre la comprensión de las competencias digitales, y abarca los marcos y conceptos de las competencias digitales, la Parte</w:t>
            </w:r>
            <w:r w:rsidR="006E4551">
              <w:rPr>
                <w:lang w:val="es-ES"/>
              </w:rPr>
              <w:t> </w:t>
            </w:r>
            <w:r w:rsidRPr="00D412E0">
              <w:rPr>
                <w:lang w:val="es-ES"/>
              </w:rPr>
              <w:t>2 contiene una hoja de ruta detallada para crear una estrategia nacional de competencias digitales y la Parte</w:t>
            </w:r>
            <w:r w:rsidR="00E16C6B">
              <w:rPr>
                <w:lang w:val="es-ES"/>
              </w:rPr>
              <w:t> </w:t>
            </w:r>
            <w:r w:rsidRPr="00D412E0">
              <w:rPr>
                <w:lang w:val="es-ES"/>
              </w:rPr>
              <w:t>3 recoge numerosos ejemplos de estrategias y programas de competencias digitales de todo el mundo.</w:t>
            </w:r>
          </w:p>
          <w:p w14:paraId="1DDF3B48" w14:textId="22989C67" w:rsidR="00D412E0" w:rsidRPr="00D412E0" w:rsidRDefault="009C68FA" w:rsidP="00C41BDE">
            <w:pPr>
              <w:pStyle w:val="Tabletext"/>
              <w:tabs>
                <w:tab w:val="clear" w:pos="284"/>
              </w:tabs>
              <w:ind w:left="567" w:hanging="567"/>
              <w:rPr>
                <w:lang w:val="es-ES"/>
              </w:rPr>
            </w:pPr>
            <w:r w:rsidRPr="009C68FA">
              <w:rPr>
                <w:lang w:val="es-ES"/>
              </w:rPr>
              <w:t>–</w:t>
            </w:r>
            <w:r w:rsidR="004F1716">
              <w:rPr>
                <w:lang w:val="es-ES"/>
              </w:rPr>
              <w:tab/>
            </w:r>
            <w:r w:rsidR="00D412E0" w:rsidRPr="004F1716">
              <w:rPr>
                <w:b/>
                <w:bCs/>
                <w:lang w:val="es-ES"/>
              </w:rPr>
              <w:t>En África:</w:t>
            </w:r>
            <w:r w:rsidR="00D412E0" w:rsidRPr="00D412E0">
              <w:rPr>
                <w:lang w:val="es-ES"/>
              </w:rPr>
              <w:t xml:space="preserve"> la UIT puso en marcha una serie de programas de formación en competencias digitales por conducto de los</w:t>
            </w:r>
            <w:r w:rsidR="00C030C5">
              <w:rPr>
                <w:lang w:val="es-ES"/>
              </w:rPr>
              <w:t> </w:t>
            </w:r>
            <w:r w:rsidR="00D412E0" w:rsidRPr="00D412E0">
              <w:rPr>
                <w:lang w:val="es-ES"/>
              </w:rPr>
              <w:t>CTD en la región africana a fin de empoderar a los jóvenes, reducir la brecha digital de género y las carencias en materia de competencias digitales, y fomentar los ecosistemas locales de desarrollo de competencias digitales en las comunidades rurales y de difícil acceso. En la República Democrática del Congo, Zambia y Côte</w:t>
            </w:r>
            <w:r w:rsidR="00CB705F">
              <w:rPr>
                <w:lang w:val="es-ES"/>
              </w:rPr>
              <w:t> </w:t>
            </w:r>
            <w:r w:rsidR="00D412E0" w:rsidRPr="00D412E0">
              <w:rPr>
                <w:lang w:val="es-ES"/>
              </w:rPr>
              <w:t>d'Ivoire se impartió formación a 270</w:t>
            </w:r>
            <w:r w:rsidR="006E0892">
              <w:rPr>
                <w:lang w:val="es-ES"/>
              </w:rPr>
              <w:t> </w:t>
            </w:r>
            <w:r w:rsidR="00D412E0" w:rsidRPr="00D412E0">
              <w:rPr>
                <w:lang w:val="es-ES"/>
              </w:rPr>
              <w:t>beneficiarios. En el marco de la iniciativa African Girls Can Code (AGCCI) y en un esfuerzo por ampliar su alcance, la</w:t>
            </w:r>
            <w:r w:rsidR="00CB705F">
              <w:rPr>
                <w:lang w:val="es-ES"/>
              </w:rPr>
              <w:t> </w:t>
            </w:r>
            <w:r w:rsidR="00D412E0" w:rsidRPr="00D412E0">
              <w:rPr>
                <w:lang w:val="es-ES"/>
              </w:rPr>
              <w:t xml:space="preserve">UIT ha actualizado el curso de formación autodidacta disponible en la Academia de la UIT, con seis módulos y submódulos sobre competencias tanto técnicas como interpersonales en inglés, francés y portugués con el fin de llegar a un mayor número de personas. Siguiendo las orientaciones de la </w:t>
            </w:r>
            <w:r w:rsidR="00D412E0" w:rsidRPr="00CB705F">
              <w:rPr>
                <w:i/>
                <w:iCs/>
                <w:lang w:val="es-ES"/>
              </w:rPr>
              <w:t>Guía para la evaluación de las competencias digitales</w:t>
            </w:r>
            <w:r w:rsidR="00D412E0" w:rsidRPr="00D412E0">
              <w:rPr>
                <w:lang w:val="es-ES"/>
              </w:rPr>
              <w:t xml:space="preserve"> de la UIT, el nuevo conjunto de herramientas y los recursos conexos, se concluyó la evaluación nacional de las competencias de Uganda, Kenya y Sudán del Sur.</w:t>
            </w:r>
          </w:p>
          <w:p w14:paraId="17F20BA8" w14:textId="6B75C138" w:rsidR="00D412E0" w:rsidRPr="00D412E0" w:rsidRDefault="00D412E0" w:rsidP="00C41BDE">
            <w:pPr>
              <w:pStyle w:val="Tabletext"/>
              <w:ind w:left="567"/>
              <w:rPr>
                <w:lang w:val="es-ES"/>
              </w:rPr>
            </w:pPr>
            <w:r w:rsidRPr="00D412E0">
              <w:rPr>
                <w:lang w:val="es-ES"/>
              </w:rPr>
              <w:t xml:space="preserve">La BDT apoyó el desarrollo de competencias digitales a través del </w:t>
            </w:r>
            <w:r w:rsidR="00145586">
              <w:rPr>
                <w:b/>
                <w:bCs/>
                <w:lang w:val="es-ES"/>
              </w:rPr>
              <w:t>CTD</w:t>
            </w:r>
            <w:r w:rsidRPr="007B4C11">
              <w:rPr>
                <w:b/>
                <w:bCs/>
                <w:lang w:val="es-ES"/>
              </w:rPr>
              <w:t xml:space="preserve"> en Sierra Leona</w:t>
            </w:r>
            <w:r w:rsidRPr="00D412E0">
              <w:rPr>
                <w:lang w:val="es-ES"/>
              </w:rPr>
              <w:t xml:space="preserve">. El programa impartió formación en competencias digitales básicas e intermedias a </w:t>
            </w:r>
            <w:r w:rsidRPr="007B4C11">
              <w:rPr>
                <w:b/>
                <w:bCs/>
                <w:lang w:val="es-ES"/>
              </w:rPr>
              <w:t>480</w:t>
            </w:r>
            <w:r w:rsidR="006E0892" w:rsidRPr="007B4C11">
              <w:rPr>
                <w:b/>
                <w:bCs/>
                <w:lang w:val="es-ES"/>
              </w:rPr>
              <w:t> </w:t>
            </w:r>
            <w:r w:rsidRPr="007B4C11">
              <w:rPr>
                <w:b/>
                <w:bCs/>
                <w:lang w:val="es-ES"/>
              </w:rPr>
              <w:t>jóvenes de ambos sexos de comunidades marginadas</w:t>
            </w:r>
            <w:r w:rsidRPr="00D412E0">
              <w:rPr>
                <w:lang w:val="es-ES"/>
              </w:rPr>
              <w:t xml:space="preserve">, asociándose con una ONG que gestiona una red de centros de formación debidamente equipados en ambos países. Entre los principales logros cabe destacar un aumento notable de la alfabetización digital entre los jóvenes participantes, ya que al menos el 80 % demostró un dominio de las competencias digitales básicas a intermedias. Estas competencias consistían en el uso del computador, la navegación por Internet y los programas informáticos corrientes. El éxito del programa se vio reforzado por dos componentes esenciales: campañas de sensibilización dirigidas a la comunidad y a la administración local, y la estrategia de formación de instructores </w:t>
            </w:r>
            <w:r w:rsidRPr="00C030C5">
              <w:rPr>
                <w:lang w:val="es-ES"/>
              </w:rPr>
              <w:t>(Fd</w:t>
            </w:r>
            <w:r w:rsidR="00C030C5" w:rsidRPr="00C030C5">
              <w:rPr>
                <w:lang w:val="es-ES"/>
              </w:rPr>
              <w:t>I</w:t>
            </w:r>
            <w:r w:rsidRPr="00C030C5">
              <w:rPr>
                <w:lang w:val="es-ES"/>
              </w:rPr>
              <w:t>)</w:t>
            </w:r>
            <w:r w:rsidRPr="00D412E0">
              <w:rPr>
                <w:lang w:val="es-ES"/>
              </w:rPr>
              <w:t>. La metodología aplicada en esta estrategia resultó especialmente eficaz para garantizar la sostenibilidad a largo plazo gracias a la creación de capacidad local que haga posible la transferencia continua de conocimientos.</w:t>
            </w:r>
          </w:p>
          <w:p w14:paraId="3BB5DEFC" w14:textId="0BEA4880" w:rsidR="00D412E0" w:rsidRPr="00D412E0" w:rsidRDefault="00D412E0" w:rsidP="00C41BDE">
            <w:pPr>
              <w:pStyle w:val="Tabletext"/>
              <w:ind w:left="567"/>
              <w:rPr>
                <w:lang w:val="es-ES"/>
              </w:rPr>
            </w:pPr>
            <w:r w:rsidRPr="00D412E0">
              <w:rPr>
                <w:lang w:val="es-ES"/>
              </w:rPr>
              <w:t xml:space="preserve">En 2024 se llevaron a cabo evaluaciones de las competencias digitales nacionales en Uganda, en el contexto del proyecto </w:t>
            </w:r>
            <w:r w:rsidR="00CB53AE">
              <w:rPr>
                <w:lang w:val="es-ES"/>
              </w:rPr>
              <w:t>"</w:t>
            </w:r>
            <w:r w:rsidRPr="00D412E0">
              <w:rPr>
                <w:lang w:val="es-ES"/>
              </w:rPr>
              <w:t>Asistencia técnica y formación a Uganda sobre la estrategia nacional de desarrollo de las TIC</w:t>
            </w:r>
            <w:r w:rsidR="00CB53AE">
              <w:rPr>
                <w:lang w:val="es-ES"/>
              </w:rPr>
              <w:t>"</w:t>
            </w:r>
            <w:r w:rsidRPr="00D412E0">
              <w:rPr>
                <w:lang w:val="es-ES"/>
              </w:rPr>
              <w:t xml:space="preserve"> [9UGA21008], utilizando el conjunto de herramientas perfeccionado de competencias digitales de la UIT para 2024 y marcos complementarios, y en 2025 en Sudán del Sur. También se llevó a cabo una evaluación nacional de competencias digitales en Kenya en 2024 con el apoyo financiero del proyecto de Acceso Digital FCDO de la UIT y el Reino Unido.</w:t>
            </w:r>
          </w:p>
          <w:p w14:paraId="4B3830CE" w14:textId="1ABE1EDB" w:rsidR="00D412E0" w:rsidRPr="00D412E0" w:rsidRDefault="009C68FA" w:rsidP="00E274D9">
            <w:pPr>
              <w:pStyle w:val="Tabletext"/>
              <w:keepNext/>
              <w:keepLines/>
              <w:tabs>
                <w:tab w:val="clear" w:pos="284"/>
              </w:tabs>
              <w:ind w:left="567" w:hanging="567"/>
              <w:rPr>
                <w:lang w:val="es-ES"/>
              </w:rPr>
            </w:pPr>
            <w:r w:rsidRPr="009C68FA">
              <w:rPr>
                <w:lang w:val="es-ES"/>
              </w:rPr>
              <w:lastRenderedPageBreak/>
              <w:t>–</w:t>
            </w:r>
            <w:r w:rsidR="004F1716">
              <w:rPr>
                <w:lang w:val="es-ES"/>
              </w:rPr>
              <w:tab/>
            </w:r>
            <w:r w:rsidR="00D412E0" w:rsidRPr="00D412E0">
              <w:rPr>
                <w:b/>
                <w:bCs/>
                <w:lang w:val="es-ES"/>
              </w:rPr>
              <w:t xml:space="preserve">En las Américas: </w:t>
            </w:r>
            <w:r w:rsidR="006E4551" w:rsidRPr="00D412E0">
              <w:rPr>
                <w:lang w:val="es-ES"/>
              </w:rPr>
              <w:t>l</w:t>
            </w:r>
            <w:r w:rsidR="00D412E0" w:rsidRPr="00D412E0">
              <w:rPr>
                <w:lang w:val="es-ES"/>
              </w:rPr>
              <w:t>a</w:t>
            </w:r>
            <w:r w:rsidR="007B4C11">
              <w:rPr>
                <w:b/>
                <w:bCs/>
                <w:lang w:val="es-ES"/>
              </w:rPr>
              <w:t> </w:t>
            </w:r>
            <w:r w:rsidR="00D412E0" w:rsidRPr="00D412E0">
              <w:rPr>
                <w:lang w:val="es-ES"/>
              </w:rPr>
              <w:t xml:space="preserve">BDT reforzó los conocimientos de los pequeños empresarios a través de una serie de talleres de transformación digital en el marco de la </w:t>
            </w:r>
            <w:r w:rsidR="007B4C11">
              <w:rPr>
                <w:lang w:val="es-ES"/>
              </w:rPr>
              <w:t>i</w:t>
            </w:r>
            <w:r w:rsidR="00D412E0" w:rsidRPr="00D412E0">
              <w:rPr>
                <w:lang w:val="es-ES"/>
              </w:rPr>
              <w:t xml:space="preserve">niciativa de </w:t>
            </w:r>
            <w:r w:rsidR="007B4C11" w:rsidRPr="00D412E0">
              <w:rPr>
                <w:lang w:val="es-ES"/>
              </w:rPr>
              <w:t>r</w:t>
            </w:r>
            <w:r w:rsidR="00D412E0" w:rsidRPr="00D412E0">
              <w:rPr>
                <w:lang w:val="es-ES"/>
              </w:rPr>
              <w:t xml:space="preserve">ecursos </w:t>
            </w:r>
            <w:r w:rsidR="007B4C11" w:rsidRPr="00D412E0">
              <w:rPr>
                <w:lang w:val="es-ES"/>
              </w:rPr>
              <w:t>d</w:t>
            </w:r>
            <w:r w:rsidR="00D412E0" w:rsidRPr="00D412E0">
              <w:rPr>
                <w:lang w:val="es-ES"/>
              </w:rPr>
              <w:t xml:space="preserve">igitales para </w:t>
            </w:r>
            <w:r w:rsidR="007B4C11" w:rsidRPr="00D412E0">
              <w:rPr>
                <w:lang w:val="es-ES"/>
              </w:rPr>
              <w:t>e</w:t>
            </w:r>
            <w:r w:rsidR="00D412E0" w:rsidRPr="00D412E0">
              <w:rPr>
                <w:lang w:val="es-ES"/>
              </w:rPr>
              <w:t xml:space="preserve">mpresarios, </w:t>
            </w:r>
            <w:r w:rsidR="007B4C11" w:rsidRPr="00D412E0">
              <w:rPr>
                <w:lang w:val="es-ES"/>
              </w:rPr>
              <w:t>m</w:t>
            </w:r>
            <w:r w:rsidR="00D412E0" w:rsidRPr="00D412E0">
              <w:rPr>
                <w:lang w:val="es-ES"/>
              </w:rPr>
              <w:t xml:space="preserve">icroempresas y </w:t>
            </w:r>
            <w:r w:rsidR="007B4C11" w:rsidRPr="00D412E0">
              <w:rPr>
                <w:lang w:val="es-ES"/>
              </w:rPr>
              <w:t>p</w:t>
            </w:r>
            <w:r w:rsidR="00D412E0" w:rsidRPr="00D412E0">
              <w:rPr>
                <w:lang w:val="es-ES"/>
              </w:rPr>
              <w:t xml:space="preserve">equeñas </w:t>
            </w:r>
            <w:r w:rsidR="007B4C11">
              <w:rPr>
                <w:lang w:val="es-ES"/>
              </w:rPr>
              <w:t>e</w:t>
            </w:r>
            <w:r w:rsidR="00D412E0" w:rsidRPr="00D412E0">
              <w:rPr>
                <w:lang w:val="es-ES"/>
              </w:rPr>
              <w:t>mpresas, de los que se beneficiaron 206</w:t>
            </w:r>
            <w:r w:rsidR="006E4551">
              <w:rPr>
                <w:lang w:val="es-ES"/>
              </w:rPr>
              <w:t> </w:t>
            </w:r>
            <w:r w:rsidR="00D412E0" w:rsidRPr="00D412E0">
              <w:rPr>
                <w:lang w:val="es-ES"/>
              </w:rPr>
              <w:t xml:space="preserve">pequeños empresarios de América Latina, procedentes de </w:t>
            </w:r>
            <w:r w:rsidR="00D412E0" w:rsidRPr="00D412E0">
              <w:rPr>
                <w:b/>
                <w:bCs/>
                <w:lang w:val="es-ES"/>
              </w:rPr>
              <w:t>Cuba</w:t>
            </w:r>
            <w:r w:rsidR="00D412E0" w:rsidRPr="006E4551">
              <w:rPr>
                <w:lang w:val="es-ES"/>
              </w:rPr>
              <w:t xml:space="preserve">, </w:t>
            </w:r>
            <w:r w:rsidR="00D412E0" w:rsidRPr="00D412E0">
              <w:rPr>
                <w:b/>
                <w:bCs/>
                <w:lang w:val="es-ES"/>
              </w:rPr>
              <w:t>Honduras</w:t>
            </w:r>
            <w:r w:rsidR="00D412E0" w:rsidRPr="006E4551">
              <w:rPr>
                <w:lang w:val="es-ES"/>
              </w:rPr>
              <w:t xml:space="preserve">, </w:t>
            </w:r>
            <w:r w:rsidR="00D412E0" w:rsidRPr="00D412E0">
              <w:rPr>
                <w:b/>
                <w:bCs/>
                <w:lang w:val="es-ES"/>
              </w:rPr>
              <w:t xml:space="preserve">Paraguay </w:t>
            </w:r>
            <w:r w:rsidR="00D412E0" w:rsidRPr="006E4551">
              <w:rPr>
                <w:lang w:val="es-ES"/>
              </w:rPr>
              <w:t xml:space="preserve">y </w:t>
            </w:r>
            <w:r w:rsidR="00D412E0" w:rsidRPr="00D412E0">
              <w:rPr>
                <w:b/>
                <w:bCs/>
                <w:lang w:val="es-ES"/>
              </w:rPr>
              <w:t>Uruguay</w:t>
            </w:r>
            <w:r w:rsidR="00D412E0" w:rsidRPr="00D412E0">
              <w:rPr>
                <w:lang w:val="es-ES"/>
              </w:rPr>
              <w:t xml:space="preserve">. Estas actividades forman parte de la </w:t>
            </w:r>
            <w:r w:rsidR="007B4C11">
              <w:rPr>
                <w:lang w:val="es-ES"/>
              </w:rPr>
              <w:t>i</w:t>
            </w:r>
            <w:r w:rsidR="00D412E0" w:rsidRPr="00D412E0">
              <w:rPr>
                <w:lang w:val="es-ES"/>
              </w:rPr>
              <w:t xml:space="preserve">niciativa </w:t>
            </w:r>
            <w:hyperlink r:id="rId48" w:history="1">
              <w:r w:rsidR="00D412E0" w:rsidRPr="007B4C11">
                <w:rPr>
                  <w:rStyle w:val="Hyperlink"/>
                  <w:lang w:val="es-ES"/>
                </w:rPr>
                <w:t>Recursos digitales</w:t>
              </w:r>
            </w:hyperlink>
            <w:r w:rsidR="00D412E0" w:rsidRPr="007B4C11">
              <w:rPr>
                <w:lang w:val="es-ES"/>
              </w:rPr>
              <w:t xml:space="preserve"> para la transformación digital</w:t>
            </w:r>
            <w:r w:rsidR="00D412E0" w:rsidRPr="00D412E0">
              <w:rPr>
                <w:lang w:val="es-ES"/>
              </w:rPr>
              <w:t xml:space="preserve">, que se ejecuta actualmente en el marco del </w:t>
            </w:r>
            <w:r w:rsidR="00D412E0" w:rsidRPr="007B4C11">
              <w:rPr>
                <w:b/>
                <w:bCs/>
                <w:lang w:val="es-ES"/>
              </w:rPr>
              <w:t>proyecto conjunto de la UIT y Huawei</w:t>
            </w:r>
            <w:r w:rsidR="00D412E0" w:rsidRPr="00D412E0">
              <w:rPr>
                <w:lang w:val="es-ES"/>
              </w:rPr>
              <w:t xml:space="preserve"> en apoyo a las Iniciativas Regionales para las Américas</w:t>
            </w:r>
            <w:r w:rsidR="006E4551">
              <w:rPr>
                <w:lang w:val="es-ES"/>
              </w:rPr>
              <w:t>.</w:t>
            </w:r>
          </w:p>
          <w:p w14:paraId="45B51EB6" w14:textId="59127F0D" w:rsidR="00D412E0" w:rsidRPr="00D412E0" w:rsidRDefault="00D412E0" w:rsidP="00C41BDE">
            <w:pPr>
              <w:pStyle w:val="Tabletext"/>
              <w:ind w:left="567"/>
              <w:rPr>
                <w:lang w:val="es-ES"/>
              </w:rPr>
            </w:pPr>
            <w:r w:rsidRPr="00D412E0">
              <w:rPr>
                <w:lang w:val="es-ES"/>
              </w:rPr>
              <w:t>La</w:t>
            </w:r>
            <w:r w:rsidR="007B4C11">
              <w:rPr>
                <w:lang w:val="es-ES"/>
              </w:rPr>
              <w:t> </w:t>
            </w:r>
            <w:r w:rsidRPr="00D412E0">
              <w:rPr>
                <w:lang w:val="es-ES"/>
              </w:rPr>
              <w:t xml:space="preserve">BDT también mejoró las </w:t>
            </w:r>
            <w:r w:rsidRPr="00D412E0">
              <w:rPr>
                <w:b/>
                <w:bCs/>
                <w:lang w:val="es-ES"/>
              </w:rPr>
              <w:t>competencias de gestión de proyectos de los pueblos indígenas y las comunidades rurales</w:t>
            </w:r>
            <w:r w:rsidRPr="00D412E0">
              <w:rPr>
                <w:lang w:val="es-ES"/>
              </w:rPr>
              <w:t xml:space="preserve"> a través de una formación en línea de la Academia de la UIT articulada en torno a cinco módulos, que incluyó un campamento sobre redes comunitarias celebrado en Guatemala, y </w:t>
            </w:r>
            <w:r w:rsidRPr="00D412E0">
              <w:rPr>
                <w:b/>
                <w:bCs/>
                <w:lang w:val="es-ES"/>
              </w:rPr>
              <w:t>amplió los conocimientos relacionados con la accesibilidad de las TIC</w:t>
            </w:r>
            <w:r w:rsidRPr="00D412E0">
              <w:rPr>
                <w:lang w:val="es-ES"/>
              </w:rPr>
              <w:t xml:space="preserve"> a través de una formación ejecutiva impartida con ocasión del evento América Accesible 2024: TIC para TODOS (Ciudad de México, 12</w:t>
            </w:r>
            <w:r w:rsidR="009C68FA">
              <w:rPr>
                <w:lang w:val="es-ES"/>
              </w:rPr>
              <w:t>-</w:t>
            </w:r>
            <w:r w:rsidRPr="00D412E0">
              <w:rPr>
                <w:lang w:val="es-ES"/>
              </w:rPr>
              <w:t>14 de noviembre de 2024).</w:t>
            </w:r>
          </w:p>
          <w:p w14:paraId="5067F7B8" w14:textId="67A4E309" w:rsidR="00D412E0" w:rsidRPr="004F1716" w:rsidRDefault="00D412E0" w:rsidP="00C41BDE">
            <w:pPr>
              <w:pStyle w:val="Tabletext"/>
              <w:ind w:left="567"/>
              <w:rPr>
                <w:lang w:val="es-ES"/>
              </w:rPr>
            </w:pPr>
            <w:r w:rsidRPr="00D412E0">
              <w:rPr>
                <w:lang w:val="es-ES"/>
              </w:rPr>
              <w:t>La UIT ha trabajado para ultimar con el organismo regulador local (la Autoridad de Telecomunicaciones de Trinidad y Tabago) y el Ministerio de Transformación Digital de Trinidad y Tabago un proyecto sobre competencias digitales que comenzará en 2025. Este proyecto tiene por objeto apoyar los esfuerzos del Ministerio para reforzar la capacidad de los impactos horizontales y verticales de la transformación digital y equipar a las personas con las competencias digitales básicas, intermedias y avanzadas necesarias para adaptarse a las tendencias actuales y futuras de la economía digital. Se espera que el proyecto forme a 40</w:t>
            </w:r>
            <w:r w:rsidR="006E4551">
              <w:rPr>
                <w:lang w:val="es-ES"/>
              </w:rPr>
              <w:t> </w:t>
            </w:r>
            <w:r w:rsidRPr="00D412E0">
              <w:rPr>
                <w:lang w:val="es-ES"/>
              </w:rPr>
              <w:t>mentores y beneficie a 10 000</w:t>
            </w:r>
            <w:r w:rsidR="00B41069">
              <w:rPr>
                <w:lang w:val="es-ES"/>
              </w:rPr>
              <w:t> </w:t>
            </w:r>
            <w:r w:rsidRPr="00D412E0">
              <w:rPr>
                <w:lang w:val="es-ES"/>
              </w:rPr>
              <w:t>personas (50</w:t>
            </w:r>
            <w:r w:rsidR="00B41069">
              <w:rPr>
                <w:lang w:val="es-ES"/>
              </w:rPr>
              <w:t> </w:t>
            </w:r>
            <w:r w:rsidRPr="00D412E0">
              <w:rPr>
                <w:lang w:val="es-ES"/>
              </w:rPr>
              <w:t>%</w:t>
            </w:r>
            <w:r w:rsidR="00B41069">
              <w:rPr>
                <w:lang w:val="es-ES"/>
              </w:rPr>
              <w:t> </w:t>
            </w:r>
            <w:r w:rsidRPr="00D412E0">
              <w:rPr>
                <w:lang w:val="es-ES"/>
              </w:rPr>
              <w:t>mujeres y 50</w:t>
            </w:r>
            <w:r w:rsidR="00B41069">
              <w:rPr>
                <w:lang w:val="es-ES"/>
              </w:rPr>
              <w:t> </w:t>
            </w:r>
            <w:r w:rsidRPr="00D412E0">
              <w:rPr>
                <w:lang w:val="es-ES"/>
              </w:rPr>
              <w:t>%</w:t>
            </w:r>
            <w:r w:rsidR="00B41069">
              <w:rPr>
                <w:lang w:val="es-ES"/>
              </w:rPr>
              <w:t> </w:t>
            </w:r>
            <w:r w:rsidRPr="00D412E0">
              <w:rPr>
                <w:lang w:val="es-ES"/>
              </w:rPr>
              <w:t>hombres).</w:t>
            </w:r>
          </w:p>
          <w:p w14:paraId="3F97323F" w14:textId="799BAB9F" w:rsidR="00D412E0" w:rsidRPr="00D412E0" w:rsidRDefault="009C68FA" w:rsidP="00C41BDE">
            <w:pPr>
              <w:pStyle w:val="Tabletext"/>
              <w:tabs>
                <w:tab w:val="clear" w:pos="284"/>
              </w:tabs>
              <w:ind w:left="567" w:hanging="567"/>
              <w:rPr>
                <w:lang w:val="es-ES"/>
              </w:rPr>
            </w:pPr>
            <w:r w:rsidRPr="009C68FA">
              <w:rPr>
                <w:lang w:val="es-ES"/>
              </w:rPr>
              <w:t>–</w:t>
            </w:r>
            <w:r w:rsidR="004F1716">
              <w:rPr>
                <w:lang w:val="es-ES"/>
              </w:rPr>
              <w:tab/>
            </w:r>
            <w:r w:rsidR="00D412E0" w:rsidRPr="004F1716">
              <w:rPr>
                <w:b/>
                <w:bCs/>
                <w:lang w:val="es-ES"/>
              </w:rPr>
              <w:t>En los Estados Árabes:</w:t>
            </w:r>
            <w:r w:rsidR="00D412E0" w:rsidRPr="00D412E0">
              <w:rPr>
                <w:lang w:val="es-ES"/>
              </w:rPr>
              <w:t xml:space="preserve"> </w:t>
            </w:r>
            <w:r w:rsidR="006E4551" w:rsidRPr="00D412E0">
              <w:rPr>
                <w:lang w:val="es-ES"/>
              </w:rPr>
              <w:t>a</w:t>
            </w:r>
            <w:r w:rsidR="00D412E0" w:rsidRPr="00D412E0">
              <w:rPr>
                <w:lang w:val="es-ES"/>
              </w:rPr>
              <w:t>demás, en Túnez concluyó el proyecto colaborativo, en asociación con Deutsche Gesellschaft für Internationale Zusammenarbeit (GiZ), que tenía por objeto acelerar la transformación digital en el país. El objetivo general es impulsar las iniciativas del Gobierno en dos ámbitos estratégicos, a saber, el desarrollo de la capacidad digital y la mejora de las infraestructuras. Por conducto de una estrecha colaboración con todas las partes interesadas en el proyecto, la UIT consiguió con éxito el objetivo del proyecto formando a 217</w:t>
            </w:r>
            <w:r w:rsidR="006E4551">
              <w:rPr>
                <w:lang w:val="es-ES"/>
              </w:rPr>
              <w:t> </w:t>
            </w:r>
            <w:r w:rsidR="00D412E0" w:rsidRPr="00D412E0">
              <w:rPr>
                <w:lang w:val="es-ES"/>
              </w:rPr>
              <w:t>empleados del sector público mediante los cursos de la Academia de la UIT.</w:t>
            </w:r>
          </w:p>
          <w:p w14:paraId="266F8403" w14:textId="31E0F162" w:rsidR="00D412E0" w:rsidRPr="00D412E0" w:rsidRDefault="009C68FA" w:rsidP="00C41BDE">
            <w:pPr>
              <w:pStyle w:val="Tabletext"/>
              <w:tabs>
                <w:tab w:val="clear" w:pos="284"/>
              </w:tabs>
              <w:ind w:left="567" w:hanging="567"/>
              <w:rPr>
                <w:lang w:val="es-ES"/>
              </w:rPr>
            </w:pPr>
            <w:r w:rsidRPr="009C68FA">
              <w:rPr>
                <w:lang w:val="es-ES"/>
              </w:rPr>
              <w:t>–</w:t>
            </w:r>
            <w:r w:rsidR="004F1716">
              <w:rPr>
                <w:lang w:val="es-ES"/>
              </w:rPr>
              <w:tab/>
            </w:r>
            <w:r w:rsidR="00D412E0" w:rsidRPr="004F1716">
              <w:rPr>
                <w:b/>
                <w:bCs/>
                <w:lang w:val="es-ES"/>
              </w:rPr>
              <w:t>En Asia-Pacífico:</w:t>
            </w:r>
            <w:r w:rsidR="00D412E0" w:rsidRPr="00D412E0">
              <w:rPr>
                <w:lang w:val="es-ES"/>
              </w:rPr>
              <w:t xml:space="preserve"> </w:t>
            </w:r>
            <w:r w:rsidR="006E4551" w:rsidRPr="00D412E0">
              <w:rPr>
                <w:lang w:val="es-ES"/>
              </w:rPr>
              <w:t>l</w:t>
            </w:r>
            <w:r w:rsidR="00D412E0" w:rsidRPr="00D412E0">
              <w:rPr>
                <w:lang w:val="es-ES"/>
              </w:rPr>
              <w:t xml:space="preserve">a UIT colaboró con la Oficina del </w:t>
            </w:r>
            <w:bookmarkStart w:id="15" w:name="_Hlk197088746"/>
            <w:r w:rsidR="00D412E0" w:rsidRPr="00D412E0">
              <w:rPr>
                <w:lang w:val="es-ES"/>
              </w:rPr>
              <w:t xml:space="preserve">Alto Comisionado de las Naciones Unidas para los Refugiados </w:t>
            </w:r>
            <w:bookmarkEnd w:id="15"/>
            <w:r w:rsidR="00D412E0" w:rsidRPr="00D412E0">
              <w:rPr>
                <w:lang w:val="es-ES"/>
              </w:rPr>
              <w:t xml:space="preserve">(ACNUR) a fin de llevar a cabo una evaluación exhaustiva de las competencias digitales de los refugiados en India, prestando especial atención a la identificación de las deficiencias en materia de alfabetización digital con el fin de mejorar su inclusión y participación a través de la plataforma de la </w:t>
            </w:r>
            <w:r w:rsidR="00D412E0" w:rsidRPr="00145586">
              <w:rPr>
                <w:lang w:val="es-ES"/>
              </w:rPr>
              <w:t xml:space="preserve">Pasarela </w:t>
            </w:r>
            <w:r w:rsidR="00145586" w:rsidRPr="00145586">
              <w:rPr>
                <w:lang w:val="es-ES"/>
              </w:rPr>
              <w:t>d</w:t>
            </w:r>
            <w:r w:rsidR="00D412E0" w:rsidRPr="00145586">
              <w:rPr>
                <w:lang w:val="es-ES"/>
              </w:rPr>
              <w:t>igital</w:t>
            </w:r>
            <w:r w:rsidR="00D412E0" w:rsidRPr="00D412E0">
              <w:rPr>
                <w:lang w:val="es-ES"/>
              </w:rPr>
              <w:t>. Esta iniciativa responde a las necesidades de más de 47 000</w:t>
            </w:r>
            <w:r w:rsidR="006E4551">
              <w:rPr>
                <w:lang w:val="es-ES"/>
              </w:rPr>
              <w:t> </w:t>
            </w:r>
            <w:r w:rsidR="00D412E0" w:rsidRPr="00D412E0">
              <w:rPr>
                <w:lang w:val="es-ES"/>
              </w:rPr>
              <w:t xml:space="preserve">refugiados y solicitantes de asilo registrados por el ACNUR en India. Este estudio de dos etapas implicó el desarrollo de una metodología adaptada al contexto único de los refugiados, garantizando la conformidad con las </w:t>
            </w:r>
            <w:r w:rsidR="00D412E0" w:rsidRPr="00C030C5">
              <w:rPr>
                <w:lang w:val="es-ES"/>
              </w:rPr>
              <w:t>prácticas</w:t>
            </w:r>
            <w:r w:rsidR="00D00FA5">
              <w:rPr>
                <w:lang w:val="es-ES"/>
              </w:rPr>
              <w:t xml:space="preserve"> idóneas</w:t>
            </w:r>
            <w:r w:rsidR="00D412E0" w:rsidRPr="00D412E0">
              <w:rPr>
                <w:lang w:val="es-ES"/>
              </w:rPr>
              <w:t xml:space="preserve"> y las normas éticas a nivel mundial. Esta evaluación tiene por objeto reducir las brechas digitales y apoyar el empoderamiento de los refugiados mediante la mejora del acceso a las herramientas y competencias digitales. Esta colaboración refleja el compromiso de la UIT con la transformación digital inclusiva y el fomento de los</w:t>
            </w:r>
            <w:r w:rsidR="00C030C5">
              <w:rPr>
                <w:lang w:val="es-ES"/>
              </w:rPr>
              <w:t> </w:t>
            </w:r>
            <w:r w:rsidR="00BE1F7F">
              <w:rPr>
                <w:lang w:val="es-ES"/>
              </w:rPr>
              <w:t>ODS</w:t>
            </w:r>
            <w:r w:rsidR="00D412E0" w:rsidRPr="00D412E0">
              <w:rPr>
                <w:lang w:val="es-ES"/>
              </w:rPr>
              <w:t>.</w:t>
            </w:r>
          </w:p>
          <w:p w14:paraId="1F283ADD" w14:textId="6F4EF424" w:rsidR="00D412E0" w:rsidRPr="00D412E0" w:rsidRDefault="009C68FA" w:rsidP="00C41BDE">
            <w:pPr>
              <w:pStyle w:val="Tabletext"/>
              <w:tabs>
                <w:tab w:val="clear" w:pos="284"/>
              </w:tabs>
              <w:ind w:left="567" w:hanging="567"/>
              <w:rPr>
                <w:lang w:val="es-ES"/>
              </w:rPr>
            </w:pPr>
            <w:r w:rsidRPr="009C68FA">
              <w:rPr>
                <w:lang w:val="es-ES"/>
              </w:rPr>
              <w:lastRenderedPageBreak/>
              <w:t>–</w:t>
            </w:r>
            <w:r w:rsidR="004F1716">
              <w:rPr>
                <w:lang w:val="es-ES"/>
              </w:rPr>
              <w:tab/>
            </w:r>
            <w:r w:rsidR="00D412E0" w:rsidRPr="00D412E0">
              <w:rPr>
                <w:b/>
                <w:bCs/>
                <w:lang w:val="es-ES"/>
              </w:rPr>
              <w:t>En la CEI:</w:t>
            </w:r>
            <w:r w:rsidR="00D412E0" w:rsidRPr="00D412E0">
              <w:rPr>
                <w:lang w:val="es-ES"/>
              </w:rPr>
              <w:t xml:space="preserve"> </w:t>
            </w:r>
            <w:r w:rsidR="006E4551" w:rsidRPr="00D412E0">
              <w:rPr>
                <w:lang w:val="es-ES"/>
              </w:rPr>
              <w:t>e</w:t>
            </w:r>
            <w:r w:rsidR="00D412E0" w:rsidRPr="00D412E0">
              <w:rPr>
                <w:lang w:val="es-ES"/>
              </w:rPr>
              <w:t>n mayo de 2024 se finalizó la evaluación de las competencias digitales en Azerbaiyán y se presentaron las conclusiones y los resultados a los asociados del país en una sesión especial celebrada durante la Conferencia M360 en Bakú. El Informe final, publicado en noviembre de 2024, constituye un valioso recurso para orientar las intervenciones basadas en datos y específicas necesarias para mejorar la alfabetización digital en Azerbaiyán. La publicación también puede servir de modelo para una evaluación más sistemática de la alfabetización digital en Azerbaiyán. Además, las recomendaciones sirven de base para diseñar y planificar las intervenciones, políticas y estrategias pertinentes, incluidas las actividades específicas de la industria, las campañas de sensibilización y la promoción.</w:t>
            </w:r>
          </w:p>
          <w:p w14:paraId="6566E69B" w14:textId="2710428E" w:rsidR="004F1716" w:rsidRPr="00D412E0" w:rsidRDefault="009C68FA" w:rsidP="00C41BDE">
            <w:pPr>
              <w:pStyle w:val="Tabletext"/>
              <w:tabs>
                <w:tab w:val="clear" w:pos="284"/>
              </w:tabs>
              <w:ind w:left="567" w:hanging="567"/>
              <w:rPr>
                <w:lang w:val="es-ES"/>
              </w:rPr>
            </w:pPr>
            <w:r w:rsidRPr="009C68FA">
              <w:rPr>
                <w:lang w:val="es-ES"/>
              </w:rPr>
              <w:t>–</w:t>
            </w:r>
            <w:r w:rsidR="004F1716">
              <w:rPr>
                <w:lang w:val="es-ES"/>
              </w:rPr>
              <w:tab/>
            </w:r>
            <w:r w:rsidR="00D412E0" w:rsidRPr="00D412E0">
              <w:rPr>
                <w:b/>
                <w:bCs/>
                <w:lang w:val="es-ES"/>
              </w:rPr>
              <w:t>En Europa:</w:t>
            </w:r>
            <w:r w:rsidR="00D412E0" w:rsidRPr="00D412E0">
              <w:rPr>
                <w:lang w:val="es-ES"/>
              </w:rPr>
              <w:t xml:space="preserve"> las negociaciones con los asociados de las Naciones Unidas hicieron que la Evaluación de la Alfabetización Digital de la Población Adulta se llevase a cabo conjuntamente con la Organización Internacional del Trabajo (OIT) en Moldova. El acuerdo entre organismos de las Naciones Unidas se encuentra actualmente en la última etapa de preparación, y se está definiendo el marco para la acción conjunta con la OIT en Moldova en el contexto del proyecto titulado "Empleo inclusivo y productivo en Moldova", que se está llevando a cabo actualmente en el país. El proyecto tiene por objeto evaluar los niveles de alfabetización digital entre los adultos mayores de 45</w:t>
            </w:r>
            <w:r w:rsidR="006E4551">
              <w:rPr>
                <w:lang w:val="es-ES"/>
              </w:rPr>
              <w:t> </w:t>
            </w:r>
            <w:r w:rsidR="00D412E0" w:rsidRPr="00D412E0">
              <w:rPr>
                <w:lang w:val="es-ES"/>
              </w:rPr>
              <w:t>años de las zonas rurales, prestando especial atención a las mujeres y grupos desfavorecidos e identificando las deficiencias en materia de competencias que afectan al empleo. El objetivo es mejorar la inserción laboral subsanando dichas deficiencias y proporcionando información sobre las competencias tecnológicas necesarias.</w:t>
            </w:r>
          </w:p>
        </w:tc>
        <w:tc>
          <w:tcPr>
            <w:tcW w:w="2999" w:type="dxa"/>
          </w:tcPr>
          <w:p w14:paraId="37A9BC99" w14:textId="6DDE682F" w:rsidR="00D412E0" w:rsidRPr="006D1283" w:rsidRDefault="00D412E0" w:rsidP="00B03640">
            <w:pPr>
              <w:pStyle w:val="Tabletext"/>
              <w:rPr>
                <w:b/>
                <w:bCs/>
                <w:color w:val="0070C0"/>
                <w:lang w:val="es-ES"/>
              </w:rPr>
            </w:pPr>
            <w:r w:rsidRPr="006D1283">
              <w:rPr>
                <w:b/>
                <w:bCs/>
                <w:color w:val="0070C0"/>
                <w:lang w:val="es-ES"/>
              </w:rPr>
              <w:lastRenderedPageBreak/>
              <w:t>Desarrollo de capacidades</w:t>
            </w:r>
          </w:p>
        </w:tc>
      </w:tr>
      <w:tr w:rsidR="00D412E0" w:rsidRPr="00D412E0" w14:paraId="6AA917A0" w14:textId="77777777" w:rsidTr="004711CF">
        <w:trPr>
          <w:jc w:val="center"/>
        </w:trPr>
        <w:tc>
          <w:tcPr>
            <w:tcW w:w="11557" w:type="dxa"/>
            <w:gridSpan w:val="2"/>
            <w:vMerge/>
          </w:tcPr>
          <w:p w14:paraId="0E2CEE1E" w14:textId="77777777" w:rsidR="00D412E0" w:rsidRPr="00D412E0" w:rsidRDefault="00D412E0" w:rsidP="00D412E0">
            <w:pPr>
              <w:numPr>
                <w:ilvl w:val="0"/>
                <w:numId w:val="18"/>
              </w:numPr>
              <w:rPr>
                <w:lang w:val="es-ES"/>
              </w:rPr>
            </w:pPr>
          </w:p>
        </w:tc>
        <w:tc>
          <w:tcPr>
            <w:tcW w:w="2999" w:type="dxa"/>
          </w:tcPr>
          <w:p w14:paraId="6CB7ADEB" w14:textId="43BC75E3" w:rsidR="00D412E0" w:rsidRPr="006D1283" w:rsidRDefault="00D412E0" w:rsidP="00B03640">
            <w:pPr>
              <w:pStyle w:val="Tabletext"/>
              <w:rPr>
                <w:b/>
                <w:bCs/>
                <w:color w:val="0070C0"/>
                <w:lang w:val="es-ES"/>
              </w:rPr>
            </w:pPr>
            <w:r w:rsidRPr="006D1283">
              <w:rPr>
                <w:b/>
                <w:bCs/>
                <w:color w:val="0070C0"/>
                <w:lang w:val="es-ES"/>
              </w:rPr>
              <w:t>Academia de la UIT</w:t>
            </w:r>
          </w:p>
          <w:p w14:paraId="5D97F2FA" w14:textId="1C6E70CC" w:rsidR="00D412E0" w:rsidRPr="00D412E0" w:rsidRDefault="004C3ECC" w:rsidP="00B03640">
            <w:pPr>
              <w:pStyle w:val="Tabletext"/>
              <w:rPr>
                <w:lang w:val="es-ES"/>
              </w:rPr>
            </w:pPr>
            <w:r w:rsidRPr="004C3ECC">
              <w:rPr>
                <w:lang w:val="es-ES"/>
              </w:rPr>
              <w:t>–</w:t>
            </w:r>
            <w:r w:rsidR="00B03640">
              <w:rPr>
                <w:lang w:val="es-ES"/>
              </w:rPr>
              <w:tab/>
            </w:r>
            <w:r w:rsidR="00D412E0" w:rsidRPr="00D412E0">
              <w:rPr>
                <w:lang w:val="es-ES"/>
              </w:rPr>
              <w:t>15 200</w:t>
            </w:r>
            <w:r w:rsidR="006E4551">
              <w:rPr>
                <w:lang w:val="es-ES"/>
              </w:rPr>
              <w:t> </w:t>
            </w:r>
            <w:r w:rsidR="00D412E0" w:rsidRPr="00D412E0">
              <w:rPr>
                <w:lang w:val="es-ES"/>
              </w:rPr>
              <w:t>nuevos usuarios</w:t>
            </w:r>
          </w:p>
          <w:p w14:paraId="29513C29" w14:textId="5398EBFB" w:rsidR="00D412E0" w:rsidRPr="00D412E0" w:rsidRDefault="004C3ECC" w:rsidP="00B03640">
            <w:pPr>
              <w:pStyle w:val="Tabletext"/>
              <w:rPr>
                <w:lang w:val="es-ES"/>
              </w:rPr>
            </w:pPr>
            <w:r w:rsidRPr="004C3ECC">
              <w:rPr>
                <w:lang w:val="es-ES"/>
              </w:rPr>
              <w:t>–</w:t>
            </w:r>
            <w:r w:rsidR="00B03640">
              <w:rPr>
                <w:lang w:val="es-ES"/>
              </w:rPr>
              <w:tab/>
            </w:r>
            <w:r w:rsidR="00D412E0" w:rsidRPr="00D412E0">
              <w:rPr>
                <w:lang w:val="es-ES"/>
              </w:rPr>
              <w:t>160</w:t>
            </w:r>
            <w:r w:rsidR="006E4551">
              <w:rPr>
                <w:lang w:val="es-ES"/>
              </w:rPr>
              <w:t> </w:t>
            </w:r>
            <w:r w:rsidR="00D412E0" w:rsidRPr="00D412E0">
              <w:rPr>
                <w:lang w:val="es-ES"/>
              </w:rPr>
              <w:t>cursos impartidos</w:t>
            </w:r>
          </w:p>
          <w:p w14:paraId="2C7DB47B" w14:textId="5B6DC9E1" w:rsidR="00D412E0" w:rsidRPr="00D412E0" w:rsidRDefault="004C3ECC" w:rsidP="00B03640">
            <w:pPr>
              <w:pStyle w:val="Tabletext"/>
              <w:ind w:left="284" w:hanging="284"/>
              <w:rPr>
                <w:lang w:val="es-ES"/>
              </w:rPr>
            </w:pPr>
            <w:r w:rsidRPr="004C3ECC">
              <w:rPr>
                <w:lang w:val="es-ES"/>
              </w:rPr>
              <w:t>–</w:t>
            </w:r>
            <w:r w:rsidR="00B03640">
              <w:rPr>
                <w:lang w:val="es-ES"/>
              </w:rPr>
              <w:tab/>
            </w:r>
            <w:r w:rsidR="00D412E0" w:rsidRPr="00D412E0">
              <w:rPr>
                <w:lang w:val="es-ES"/>
              </w:rPr>
              <w:t>14</w:t>
            </w:r>
            <w:r w:rsidR="006E4551">
              <w:rPr>
                <w:lang w:val="es-ES"/>
              </w:rPr>
              <w:t> </w:t>
            </w:r>
            <w:r w:rsidR="00D412E0" w:rsidRPr="00D412E0">
              <w:rPr>
                <w:lang w:val="es-ES"/>
              </w:rPr>
              <w:t>CFA que imparten cursos de gran Calidad en todas las regiones</w:t>
            </w:r>
          </w:p>
          <w:p w14:paraId="6D81A660" w14:textId="34D79EA9" w:rsidR="00D412E0" w:rsidRPr="00D412E0" w:rsidRDefault="004C3ECC" w:rsidP="00B03640">
            <w:pPr>
              <w:pStyle w:val="Tabletext"/>
              <w:ind w:left="284" w:hanging="284"/>
              <w:rPr>
                <w:lang w:val="es-ES"/>
              </w:rPr>
            </w:pPr>
            <w:r w:rsidRPr="004C3ECC">
              <w:rPr>
                <w:lang w:val="es-ES"/>
              </w:rPr>
              <w:t>–</w:t>
            </w:r>
            <w:r w:rsidR="00B03640">
              <w:rPr>
                <w:lang w:val="es-ES"/>
              </w:rPr>
              <w:tab/>
            </w:r>
            <w:r w:rsidR="00D412E0" w:rsidRPr="00D412E0">
              <w:rPr>
                <w:lang w:val="es-ES"/>
              </w:rPr>
              <w:t>Todos los Estados Miembros de la UIT se han beneficiado de los cursos de formación</w:t>
            </w:r>
          </w:p>
          <w:p w14:paraId="21D8ACF5" w14:textId="2E405CC0" w:rsidR="00D412E0" w:rsidRPr="00D412E0" w:rsidRDefault="004C3ECC" w:rsidP="00B03640">
            <w:pPr>
              <w:pStyle w:val="Tabletext"/>
              <w:ind w:left="284" w:hanging="284"/>
              <w:rPr>
                <w:lang w:val="es-ES"/>
              </w:rPr>
            </w:pPr>
            <w:r w:rsidRPr="004C3ECC">
              <w:rPr>
                <w:lang w:val="es-ES"/>
              </w:rPr>
              <w:t>–</w:t>
            </w:r>
            <w:r w:rsidR="00B03640">
              <w:rPr>
                <w:lang w:val="es-ES"/>
              </w:rPr>
              <w:tab/>
            </w:r>
            <w:r w:rsidR="00D412E0" w:rsidRPr="00D412E0">
              <w:rPr>
                <w:lang w:val="es-ES"/>
              </w:rPr>
              <w:t>Alto nivel de satisfacción de los participantes</w:t>
            </w:r>
          </w:p>
          <w:p w14:paraId="347E9997" w14:textId="19BEB1EC" w:rsidR="00D412E0" w:rsidRPr="00C41BDE" w:rsidRDefault="00D412E0" w:rsidP="00B03640">
            <w:pPr>
              <w:pStyle w:val="Tabletext"/>
              <w:rPr>
                <w:b/>
                <w:bCs/>
                <w:color w:val="0070C0"/>
                <w:lang w:val="es-ES"/>
              </w:rPr>
            </w:pPr>
            <w:r w:rsidRPr="00C41BDE">
              <w:rPr>
                <w:b/>
                <w:bCs/>
                <w:color w:val="0070C0"/>
                <w:lang w:val="es-ES"/>
              </w:rPr>
              <w:t>CFA</w:t>
            </w:r>
          </w:p>
          <w:p w14:paraId="77D715D6" w14:textId="01DA842D" w:rsidR="00D412E0" w:rsidRPr="00D412E0" w:rsidRDefault="004C3ECC" w:rsidP="00C41BDE">
            <w:pPr>
              <w:pStyle w:val="Tabletext"/>
              <w:ind w:left="284" w:hanging="284"/>
              <w:rPr>
                <w:lang w:val="es-ES"/>
              </w:rPr>
            </w:pPr>
            <w:r w:rsidRPr="004C3ECC">
              <w:rPr>
                <w:lang w:val="es-ES"/>
              </w:rPr>
              <w:t>–</w:t>
            </w:r>
            <w:r w:rsidR="00B03640">
              <w:rPr>
                <w:lang w:val="es-ES"/>
              </w:rPr>
              <w:tab/>
            </w:r>
            <w:r w:rsidR="00D412E0" w:rsidRPr="00D412E0">
              <w:rPr>
                <w:lang w:val="es-ES"/>
              </w:rPr>
              <w:t>14</w:t>
            </w:r>
            <w:r w:rsidR="006E4551">
              <w:rPr>
                <w:lang w:val="es-ES"/>
              </w:rPr>
              <w:t> </w:t>
            </w:r>
            <w:r w:rsidR="00D412E0" w:rsidRPr="00D412E0">
              <w:rPr>
                <w:lang w:val="es-ES"/>
              </w:rPr>
              <w:t>entidades de todas las regiones</w:t>
            </w:r>
          </w:p>
          <w:p w14:paraId="116DA6BC" w14:textId="3CE4F73F" w:rsidR="00D412E0" w:rsidRPr="00D412E0" w:rsidRDefault="004C3ECC" w:rsidP="00C41BDE">
            <w:pPr>
              <w:pStyle w:val="Tabletext"/>
              <w:ind w:left="284" w:hanging="284"/>
              <w:rPr>
                <w:lang w:val="es-ES"/>
              </w:rPr>
            </w:pPr>
            <w:r w:rsidRPr="004C3ECC">
              <w:rPr>
                <w:lang w:val="es-ES"/>
              </w:rPr>
              <w:t>–</w:t>
            </w:r>
            <w:r w:rsidR="00B03640">
              <w:rPr>
                <w:lang w:val="es-ES"/>
              </w:rPr>
              <w:tab/>
            </w:r>
            <w:r w:rsidR="00D412E0" w:rsidRPr="00D412E0">
              <w:rPr>
                <w:lang w:val="es-ES"/>
              </w:rPr>
              <w:t>3 099</w:t>
            </w:r>
            <w:r w:rsidR="006E4551">
              <w:rPr>
                <w:lang w:val="es-ES"/>
              </w:rPr>
              <w:t> </w:t>
            </w:r>
            <w:r w:rsidR="00D412E0" w:rsidRPr="00D412E0">
              <w:rPr>
                <w:lang w:val="es-ES"/>
              </w:rPr>
              <w:t>participantes en 64</w:t>
            </w:r>
            <w:r w:rsidR="006E4551">
              <w:rPr>
                <w:lang w:val="es-ES"/>
              </w:rPr>
              <w:t> </w:t>
            </w:r>
            <w:r w:rsidR="00D412E0" w:rsidRPr="00D412E0">
              <w:rPr>
                <w:lang w:val="es-ES"/>
              </w:rPr>
              <w:t>cursos de formación sobre mejora de las competencias digitales en materia de:</w:t>
            </w:r>
          </w:p>
          <w:p w14:paraId="36A234AB" w14:textId="3C860976" w:rsidR="00D412E0" w:rsidRPr="00D412E0" w:rsidRDefault="004C3ECC" w:rsidP="00C41BDE">
            <w:pPr>
              <w:pStyle w:val="Tabletext"/>
              <w:ind w:left="567" w:hanging="284"/>
              <w:rPr>
                <w:lang w:val="es-ES"/>
              </w:rPr>
            </w:pPr>
            <w:r w:rsidRPr="004C3ECC">
              <w:rPr>
                <w:lang w:val="es-ES"/>
              </w:rPr>
              <w:t>•</w:t>
            </w:r>
            <w:r w:rsidR="00B03640">
              <w:rPr>
                <w:lang w:val="es-ES"/>
              </w:rPr>
              <w:tab/>
            </w:r>
            <w:r w:rsidR="00D412E0" w:rsidRPr="00D412E0">
              <w:rPr>
                <w:lang w:val="es-ES"/>
              </w:rPr>
              <w:t>política y reglamentación</w:t>
            </w:r>
            <w:r w:rsidR="00CE1459">
              <w:rPr>
                <w:lang w:val="es-ES"/>
              </w:rPr>
              <w:t>;</w:t>
            </w:r>
          </w:p>
          <w:p w14:paraId="07CB4AB5" w14:textId="6AA3FD9A" w:rsidR="00D412E0" w:rsidRPr="00D412E0" w:rsidRDefault="004C3ECC" w:rsidP="00C41BDE">
            <w:pPr>
              <w:pStyle w:val="Tabletext"/>
              <w:ind w:left="283"/>
              <w:rPr>
                <w:lang w:val="es-ES"/>
              </w:rPr>
            </w:pPr>
            <w:r w:rsidRPr="004C3ECC">
              <w:rPr>
                <w:lang w:val="es-ES"/>
              </w:rPr>
              <w:t>•</w:t>
            </w:r>
            <w:r w:rsidR="00C41BDE">
              <w:rPr>
                <w:lang w:val="es-ES"/>
              </w:rPr>
              <w:tab/>
            </w:r>
            <w:r w:rsidR="00D412E0" w:rsidRPr="00D412E0">
              <w:rPr>
                <w:lang w:val="es-ES"/>
              </w:rPr>
              <w:t>infraestructura de red</w:t>
            </w:r>
            <w:r w:rsidR="00CE1459">
              <w:rPr>
                <w:lang w:val="es-ES"/>
              </w:rPr>
              <w:t>;</w:t>
            </w:r>
          </w:p>
          <w:p w14:paraId="1CFDB947" w14:textId="5B44D203" w:rsidR="00D412E0" w:rsidRPr="00D412E0" w:rsidRDefault="004C3ECC" w:rsidP="00C41BDE">
            <w:pPr>
              <w:pStyle w:val="Tabletext"/>
              <w:ind w:left="283"/>
              <w:rPr>
                <w:lang w:val="es-ES"/>
              </w:rPr>
            </w:pPr>
            <w:r w:rsidRPr="004C3ECC">
              <w:rPr>
                <w:lang w:val="es-ES"/>
              </w:rPr>
              <w:t>•</w:t>
            </w:r>
            <w:r w:rsidR="00B03640">
              <w:rPr>
                <w:lang w:val="es-ES"/>
              </w:rPr>
              <w:tab/>
            </w:r>
            <w:r w:rsidR="00D412E0" w:rsidRPr="00D412E0">
              <w:rPr>
                <w:lang w:val="es-ES"/>
              </w:rPr>
              <w:t>gestión del espectro</w:t>
            </w:r>
            <w:r w:rsidR="00CE1459">
              <w:rPr>
                <w:lang w:val="es-ES"/>
              </w:rPr>
              <w:t>;</w:t>
            </w:r>
          </w:p>
          <w:p w14:paraId="4CB9A31F" w14:textId="02210A4C" w:rsidR="00D412E0" w:rsidRPr="00D412E0" w:rsidRDefault="004C3ECC" w:rsidP="00C41BDE">
            <w:pPr>
              <w:pStyle w:val="Tabletext"/>
              <w:ind w:left="283"/>
              <w:rPr>
                <w:lang w:val="es-ES"/>
              </w:rPr>
            </w:pPr>
            <w:r w:rsidRPr="004C3ECC">
              <w:rPr>
                <w:lang w:val="es-ES"/>
              </w:rPr>
              <w:lastRenderedPageBreak/>
              <w:t>•</w:t>
            </w:r>
            <w:r w:rsidR="00B03640">
              <w:rPr>
                <w:lang w:val="es-ES"/>
              </w:rPr>
              <w:tab/>
            </w:r>
            <w:r w:rsidR="00D412E0" w:rsidRPr="00D412E0">
              <w:rPr>
                <w:lang w:val="es-ES"/>
              </w:rPr>
              <w:t>ciberseguridad</w:t>
            </w:r>
            <w:r w:rsidR="00CE1459">
              <w:rPr>
                <w:lang w:val="es-ES"/>
              </w:rPr>
              <w:t>;</w:t>
            </w:r>
          </w:p>
          <w:p w14:paraId="08B3BD4C" w14:textId="40F0F0C6" w:rsidR="00D412E0" w:rsidRPr="00D412E0" w:rsidRDefault="004C3ECC" w:rsidP="00C41BDE">
            <w:pPr>
              <w:pStyle w:val="Tabletext"/>
              <w:ind w:left="283"/>
              <w:rPr>
                <w:lang w:val="es-ES"/>
              </w:rPr>
            </w:pPr>
            <w:r w:rsidRPr="004C3ECC">
              <w:rPr>
                <w:lang w:val="es-ES"/>
              </w:rPr>
              <w:t>•</w:t>
            </w:r>
            <w:r w:rsidR="00B03640">
              <w:rPr>
                <w:lang w:val="es-ES"/>
              </w:rPr>
              <w:tab/>
            </w:r>
            <w:r>
              <w:rPr>
                <w:lang w:val="es-ES"/>
              </w:rPr>
              <w:t>i</w:t>
            </w:r>
            <w:r w:rsidR="00D412E0" w:rsidRPr="00D412E0">
              <w:rPr>
                <w:lang w:val="es-ES"/>
              </w:rPr>
              <w:t>nclusión digital</w:t>
            </w:r>
            <w:r w:rsidR="00CE1459">
              <w:rPr>
                <w:lang w:val="es-ES"/>
              </w:rPr>
              <w:t>;</w:t>
            </w:r>
          </w:p>
          <w:p w14:paraId="7271C8B3" w14:textId="7651A3B5" w:rsidR="00D412E0" w:rsidRPr="00D412E0" w:rsidRDefault="004C3ECC" w:rsidP="00C41BDE">
            <w:pPr>
              <w:pStyle w:val="Tabletext"/>
              <w:ind w:left="283"/>
              <w:rPr>
                <w:lang w:val="es-ES"/>
              </w:rPr>
            </w:pPr>
            <w:r w:rsidRPr="004C3ECC">
              <w:rPr>
                <w:lang w:val="es-ES"/>
              </w:rPr>
              <w:t>•</w:t>
            </w:r>
            <w:r w:rsidR="00B03640">
              <w:rPr>
                <w:lang w:val="es-ES"/>
              </w:rPr>
              <w:tab/>
            </w:r>
            <w:r>
              <w:rPr>
                <w:lang w:val="es-ES"/>
              </w:rPr>
              <w:t>s</w:t>
            </w:r>
            <w:r w:rsidR="00D412E0" w:rsidRPr="00D412E0">
              <w:rPr>
                <w:lang w:val="es-ES"/>
              </w:rPr>
              <w:t>ervicios digitales</w:t>
            </w:r>
            <w:r w:rsidR="00CE1459">
              <w:rPr>
                <w:lang w:val="es-ES"/>
              </w:rPr>
              <w:t>.</w:t>
            </w:r>
          </w:p>
          <w:p w14:paraId="74002DA5" w14:textId="574ECB63" w:rsidR="00D412E0" w:rsidRPr="00C41BDE" w:rsidRDefault="00D412E0" w:rsidP="00B03640">
            <w:pPr>
              <w:pStyle w:val="Tabletext"/>
              <w:rPr>
                <w:b/>
                <w:bCs/>
                <w:color w:val="0070C0"/>
                <w:lang w:val="es-ES"/>
              </w:rPr>
            </w:pPr>
            <w:r w:rsidRPr="00C41BDE">
              <w:rPr>
                <w:b/>
                <w:bCs/>
                <w:color w:val="0070C0"/>
                <w:lang w:val="es-ES"/>
              </w:rPr>
              <w:t>CTD</w:t>
            </w:r>
          </w:p>
          <w:p w14:paraId="45E41338" w14:textId="42CF597D" w:rsidR="00D412E0" w:rsidRPr="00D412E0" w:rsidRDefault="004C3ECC" w:rsidP="00C41BDE">
            <w:pPr>
              <w:pStyle w:val="Tabletext"/>
              <w:ind w:left="284" w:hanging="284"/>
              <w:rPr>
                <w:lang w:val="es-ES"/>
              </w:rPr>
            </w:pPr>
            <w:r w:rsidRPr="004C3ECC">
              <w:rPr>
                <w:lang w:val="es-ES"/>
              </w:rPr>
              <w:t>–</w:t>
            </w:r>
            <w:r w:rsidR="00B03640">
              <w:rPr>
                <w:lang w:val="es-ES"/>
              </w:rPr>
              <w:tab/>
            </w:r>
            <w:r w:rsidR="00D412E0" w:rsidRPr="00D412E0">
              <w:rPr>
                <w:lang w:val="es-ES"/>
              </w:rPr>
              <w:t>352</w:t>
            </w:r>
            <w:r w:rsidR="006E4551">
              <w:rPr>
                <w:lang w:val="es-ES"/>
              </w:rPr>
              <w:t> </w:t>
            </w:r>
            <w:r w:rsidR="00D412E0" w:rsidRPr="00D412E0">
              <w:rPr>
                <w:lang w:val="es-ES"/>
              </w:rPr>
              <w:t>cursos impartidos en 14</w:t>
            </w:r>
            <w:r w:rsidR="00CB53AE">
              <w:rPr>
                <w:lang w:val="es-ES"/>
              </w:rPr>
              <w:t> </w:t>
            </w:r>
            <w:r w:rsidR="00D412E0" w:rsidRPr="00D412E0">
              <w:rPr>
                <w:lang w:val="es-ES"/>
              </w:rPr>
              <w:t>CTD de todas las regiones</w:t>
            </w:r>
          </w:p>
          <w:p w14:paraId="59C223FC" w14:textId="167747B1" w:rsidR="00D412E0" w:rsidRPr="00D412E0" w:rsidRDefault="004C3ECC" w:rsidP="00C41BDE">
            <w:pPr>
              <w:pStyle w:val="Tabletext"/>
              <w:ind w:left="284" w:hanging="284"/>
              <w:rPr>
                <w:lang w:val="es-ES"/>
              </w:rPr>
            </w:pPr>
            <w:r w:rsidRPr="004C3ECC">
              <w:rPr>
                <w:lang w:val="es-ES"/>
              </w:rPr>
              <w:t>–</w:t>
            </w:r>
            <w:r w:rsidR="00B03640">
              <w:rPr>
                <w:lang w:val="es-ES"/>
              </w:rPr>
              <w:tab/>
            </w:r>
            <w:r w:rsidR="00D412E0" w:rsidRPr="00D412E0">
              <w:rPr>
                <w:lang w:val="es-ES"/>
              </w:rPr>
              <w:t>80 699 participantes (56</w:t>
            </w:r>
            <w:r w:rsidR="00CB53AE">
              <w:rPr>
                <w:lang w:val="es-ES"/>
              </w:rPr>
              <w:t> </w:t>
            </w:r>
            <w:r w:rsidR="00D412E0" w:rsidRPr="00D412E0">
              <w:rPr>
                <w:lang w:val="es-ES"/>
              </w:rPr>
              <w:t>% mujeres) en los cursos de los CTD procedentes de comunidades rurales y distantes</w:t>
            </w:r>
          </w:p>
          <w:p w14:paraId="6961D386" w14:textId="5A0A2194" w:rsidR="00D412E0" w:rsidRPr="00CE1459" w:rsidRDefault="00D412E0" w:rsidP="00B03640">
            <w:pPr>
              <w:pStyle w:val="Tabletext"/>
              <w:rPr>
                <w:b/>
                <w:bCs/>
                <w:color w:val="0070C0"/>
                <w:lang w:val="es-ES"/>
              </w:rPr>
            </w:pPr>
            <w:r w:rsidRPr="00CE1459">
              <w:rPr>
                <w:b/>
                <w:bCs/>
                <w:color w:val="0070C0"/>
                <w:lang w:val="es-ES"/>
              </w:rPr>
              <w:t>Desarrollo de competencias digitales destinadas a</w:t>
            </w:r>
            <w:r w:rsidR="00CC18C4" w:rsidRPr="00CE1459">
              <w:rPr>
                <w:b/>
                <w:bCs/>
                <w:color w:val="0070C0"/>
                <w:lang w:val="es-ES"/>
              </w:rPr>
              <w:t>:</w:t>
            </w:r>
          </w:p>
          <w:p w14:paraId="68FCAA46" w14:textId="51B71FCE" w:rsidR="00D412E0" w:rsidRPr="00D412E0" w:rsidRDefault="004C3ECC" w:rsidP="00B03640">
            <w:pPr>
              <w:pStyle w:val="Tabletext"/>
              <w:rPr>
                <w:lang w:val="es-ES"/>
              </w:rPr>
            </w:pPr>
            <w:r w:rsidRPr="004C3ECC">
              <w:rPr>
                <w:lang w:val="es-ES"/>
              </w:rPr>
              <w:t>–</w:t>
            </w:r>
            <w:r w:rsidR="00B03640">
              <w:rPr>
                <w:lang w:val="es-ES"/>
              </w:rPr>
              <w:tab/>
            </w:r>
            <w:r w:rsidR="00CB0CFE">
              <w:rPr>
                <w:lang w:val="es-ES"/>
              </w:rPr>
              <w:t>p</w:t>
            </w:r>
            <w:r w:rsidR="002E4FD0" w:rsidRPr="00D412E0">
              <w:rPr>
                <w:lang w:val="es-ES"/>
              </w:rPr>
              <w:t xml:space="preserve">rofesionales </w:t>
            </w:r>
            <w:r w:rsidR="00D412E0" w:rsidRPr="00D412E0">
              <w:rPr>
                <w:lang w:val="es-ES"/>
              </w:rPr>
              <w:t>de las TIC</w:t>
            </w:r>
            <w:r w:rsidR="00CC18C4">
              <w:rPr>
                <w:lang w:val="es-ES"/>
              </w:rPr>
              <w:t>;</w:t>
            </w:r>
          </w:p>
          <w:p w14:paraId="401D1D2A" w14:textId="794BF108" w:rsidR="00D412E0" w:rsidRPr="00D412E0" w:rsidRDefault="004C3ECC" w:rsidP="00C41BDE">
            <w:pPr>
              <w:pStyle w:val="Tabletext"/>
              <w:ind w:left="284" w:hanging="284"/>
              <w:rPr>
                <w:lang w:val="es-ES"/>
              </w:rPr>
            </w:pPr>
            <w:r w:rsidRPr="004C3ECC">
              <w:rPr>
                <w:lang w:val="es-ES"/>
              </w:rPr>
              <w:t>–</w:t>
            </w:r>
            <w:r w:rsidR="00B03640">
              <w:rPr>
                <w:lang w:val="es-ES"/>
              </w:rPr>
              <w:tab/>
            </w:r>
            <w:r w:rsidR="00CB0CFE">
              <w:rPr>
                <w:lang w:val="es-ES"/>
              </w:rPr>
              <w:t>p</w:t>
            </w:r>
            <w:r w:rsidR="002E4FD0" w:rsidRPr="00D412E0">
              <w:rPr>
                <w:lang w:val="es-ES"/>
              </w:rPr>
              <w:t xml:space="preserve">ueblos </w:t>
            </w:r>
            <w:r w:rsidR="00D412E0" w:rsidRPr="00D412E0">
              <w:rPr>
                <w:lang w:val="es-ES"/>
              </w:rPr>
              <w:t>indígenas y comunidades remotas</w:t>
            </w:r>
            <w:r w:rsidR="00CC18C4">
              <w:rPr>
                <w:lang w:val="es-ES"/>
              </w:rPr>
              <w:t>;</w:t>
            </w:r>
          </w:p>
          <w:p w14:paraId="37F4B704" w14:textId="716ABFE2" w:rsidR="00D412E0" w:rsidRPr="00D412E0" w:rsidRDefault="004C3ECC" w:rsidP="00B03640">
            <w:pPr>
              <w:pStyle w:val="Tabletext"/>
              <w:rPr>
                <w:lang w:val="es-ES"/>
              </w:rPr>
            </w:pPr>
            <w:r w:rsidRPr="004C3ECC">
              <w:rPr>
                <w:lang w:val="es-ES"/>
              </w:rPr>
              <w:t>–</w:t>
            </w:r>
            <w:r w:rsidR="00B03640">
              <w:rPr>
                <w:lang w:val="es-ES"/>
              </w:rPr>
              <w:tab/>
            </w:r>
            <w:r w:rsidR="00CB0CFE">
              <w:rPr>
                <w:lang w:val="es-ES"/>
              </w:rPr>
              <w:t>n</w:t>
            </w:r>
            <w:r w:rsidR="002E4FD0" w:rsidRPr="00D412E0">
              <w:rPr>
                <w:lang w:val="es-ES"/>
              </w:rPr>
              <w:t xml:space="preserve">iñas </w:t>
            </w:r>
            <w:r w:rsidR="00D412E0" w:rsidRPr="00D412E0">
              <w:rPr>
                <w:lang w:val="es-ES"/>
              </w:rPr>
              <w:t>y mujeres</w:t>
            </w:r>
            <w:r w:rsidR="00CC18C4">
              <w:rPr>
                <w:lang w:val="es-ES"/>
              </w:rPr>
              <w:t>;</w:t>
            </w:r>
          </w:p>
          <w:p w14:paraId="421DD75D" w14:textId="2750243C" w:rsidR="00D412E0" w:rsidRPr="00D412E0" w:rsidRDefault="004C3ECC" w:rsidP="00B03640">
            <w:pPr>
              <w:pStyle w:val="Tabletext"/>
              <w:rPr>
                <w:lang w:val="es-ES"/>
              </w:rPr>
            </w:pPr>
            <w:r w:rsidRPr="004C3ECC">
              <w:rPr>
                <w:lang w:val="es-ES"/>
              </w:rPr>
              <w:t>–</w:t>
            </w:r>
            <w:r w:rsidR="00B03640">
              <w:rPr>
                <w:lang w:val="es-ES"/>
              </w:rPr>
              <w:tab/>
            </w:r>
            <w:r w:rsidR="00D412E0" w:rsidRPr="00D412E0">
              <w:rPr>
                <w:lang w:val="es-ES"/>
              </w:rPr>
              <w:t>jóvenes</w:t>
            </w:r>
            <w:r w:rsidR="00CC18C4">
              <w:rPr>
                <w:lang w:val="es-ES"/>
              </w:rPr>
              <w:t>;</w:t>
            </w:r>
          </w:p>
          <w:p w14:paraId="0DDBEC7F" w14:textId="488AD143" w:rsidR="00D412E0" w:rsidRPr="00D412E0" w:rsidRDefault="004C3ECC" w:rsidP="00C41BDE">
            <w:pPr>
              <w:pStyle w:val="Tabletext"/>
              <w:ind w:left="284" w:hanging="284"/>
              <w:rPr>
                <w:lang w:val="es-ES"/>
              </w:rPr>
            </w:pPr>
            <w:r w:rsidRPr="004C3ECC">
              <w:rPr>
                <w:lang w:val="es-ES"/>
              </w:rPr>
              <w:t>–</w:t>
            </w:r>
            <w:r w:rsidR="00B03640">
              <w:rPr>
                <w:lang w:val="es-ES"/>
              </w:rPr>
              <w:tab/>
            </w:r>
            <w:r w:rsidR="00CB0CFE">
              <w:rPr>
                <w:lang w:val="es-ES"/>
              </w:rPr>
              <w:t>p</w:t>
            </w:r>
            <w:r w:rsidR="002E4FD0" w:rsidRPr="00D412E0">
              <w:rPr>
                <w:lang w:val="es-ES"/>
              </w:rPr>
              <w:t xml:space="preserve">ersonas </w:t>
            </w:r>
            <w:r w:rsidR="00D412E0" w:rsidRPr="00D412E0">
              <w:rPr>
                <w:lang w:val="es-ES"/>
              </w:rPr>
              <w:t>con discapacidades</w:t>
            </w:r>
            <w:r w:rsidR="00CC18C4">
              <w:rPr>
                <w:lang w:val="es-ES"/>
              </w:rPr>
              <w:t>;</w:t>
            </w:r>
          </w:p>
          <w:p w14:paraId="490C7238" w14:textId="108ACB6A" w:rsidR="00D412E0" w:rsidRPr="00D412E0" w:rsidRDefault="004C3ECC" w:rsidP="00B03640">
            <w:pPr>
              <w:pStyle w:val="Tabletext"/>
              <w:rPr>
                <w:lang w:val="es-ES"/>
              </w:rPr>
            </w:pPr>
            <w:r w:rsidRPr="004C3ECC">
              <w:rPr>
                <w:lang w:val="es-ES"/>
              </w:rPr>
              <w:t>–</w:t>
            </w:r>
            <w:r w:rsidR="00B03640">
              <w:rPr>
                <w:lang w:val="es-ES"/>
              </w:rPr>
              <w:tab/>
            </w:r>
            <w:r w:rsidR="00CB0CFE">
              <w:rPr>
                <w:lang w:val="es-ES"/>
              </w:rPr>
              <w:t>p</w:t>
            </w:r>
            <w:r w:rsidR="002E4FD0" w:rsidRPr="00D412E0">
              <w:rPr>
                <w:lang w:val="es-ES"/>
              </w:rPr>
              <w:t xml:space="preserve">equeños </w:t>
            </w:r>
            <w:r w:rsidR="00D412E0" w:rsidRPr="00D412E0">
              <w:rPr>
                <w:lang w:val="es-ES"/>
              </w:rPr>
              <w:t>emprendedores</w:t>
            </w:r>
            <w:r w:rsidR="00CC18C4">
              <w:rPr>
                <w:lang w:val="es-ES"/>
              </w:rPr>
              <w:t>.</w:t>
            </w:r>
          </w:p>
          <w:p w14:paraId="30429804" w14:textId="35E005FA" w:rsidR="00D412E0" w:rsidRPr="00D412E0" w:rsidRDefault="00D412E0" w:rsidP="00B03640">
            <w:pPr>
              <w:pStyle w:val="Tabletext"/>
              <w:rPr>
                <w:lang w:val="es-ES"/>
              </w:rPr>
            </w:pPr>
            <w:r w:rsidRPr="00CE1459">
              <w:rPr>
                <w:b/>
                <w:bCs/>
                <w:color w:val="0070C0"/>
                <w:lang w:val="es-ES"/>
              </w:rPr>
              <w:t>Compromiso y asistencia prestada a PMA/PDSL y PEID – Entorno político y reglamentario propicio:</w:t>
            </w:r>
            <w:r w:rsidRPr="00D412E0">
              <w:rPr>
                <w:lang w:val="es-ES"/>
              </w:rPr>
              <w:t xml:space="preserve"> un número total de 47</w:t>
            </w:r>
            <w:r w:rsidR="006E4551">
              <w:rPr>
                <w:lang w:val="es-ES"/>
              </w:rPr>
              <w:t> </w:t>
            </w:r>
            <w:r w:rsidRPr="00D412E0">
              <w:rPr>
                <w:lang w:val="es-ES"/>
              </w:rPr>
              <w:t>PMA/PDSL y PEID</w:t>
            </w:r>
          </w:p>
          <w:p w14:paraId="05CEAB25" w14:textId="6EEA5B80" w:rsidR="00D412E0" w:rsidRPr="00D412E0" w:rsidRDefault="004C3ECC" w:rsidP="00860D32">
            <w:pPr>
              <w:pStyle w:val="Tabletext"/>
              <w:ind w:left="284" w:hanging="284"/>
              <w:rPr>
                <w:lang w:val="es-ES"/>
              </w:rPr>
            </w:pPr>
            <w:r w:rsidRPr="004C3ECC">
              <w:rPr>
                <w:lang w:val="es-ES"/>
              </w:rPr>
              <w:t>–</w:t>
            </w:r>
            <w:r w:rsidR="00B03640">
              <w:rPr>
                <w:lang w:val="es-ES"/>
              </w:rPr>
              <w:tab/>
            </w:r>
            <w:r w:rsidR="00D412E0" w:rsidRPr="00D412E0">
              <w:rPr>
                <w:lang w:val="es-ES"/>
              </w:rPr>
              <w:t>32</w:t>
            </w:r>
            <w:r w:rsidR="006E4551">
              <w:rPr>
                <w:lang w:val="es-ES"/>
              </w:rPr>
              <w:t> </w:t>
            </w:r>
            <w:r w:rsidR="00D412E0" w:rsidRPr="00D412E0">
              <w:rPr>
                <w:lang w:val="es-ES"/>
              </w:rPr>
              <w:t>recibieron asistencia técnica</w:t>
            </w:r>
            <w:r w:rsidR="00CC18C4">
              <w:rPr>
                <w:lang w:val="es-ES"/>
              </w:rPr>
              <w:t>;</w:t>
            </w:r>
          </w:p>
          <w:p w14:paraId="64886E2D" w14:textId="3EBF6F94" w:rsidR="00D412E0" w:rsidRPr="00D412E0" w:rsidRDefault="004C3ECC" w:rsidP="00860D32">
            <w:pPr>
              <w:pStyle w:val="Tabletext"/>
              <w:ind w:left="284" w:hanging="284"/>
              <w:rPr>
                <w:lang w:val="es-ES"/>
              </w:rPr>
            </w:pPr>
            <w:r w:rsidRPr="004C3ECC">
              <w:rPr>
                <w:lang w:val="es-ES"/>
              </w:rPr>
              <w:t>–</w:t>
            </w:r>
            <w:r w:rsidR="00B03640">
              <w:rPr>
                <w:lang w:val="es-ES"/>
              </w:rPr>
              <w:tab/>
            </w:r>
            <w:r w:rsidR="00D412E0" w:rsidRPr="00D412E0">
              <w:rPr>
                <w:lang w:val="es-ES"/>
              </w:rPr>
              <w:t>14</w:t>
            </w:r>
            <w:r w:rsidR="006E4551">
              <w:rPr>
                <w:lang w:val="es-ES"/>
              </w:rPr>
              <w:t> </w:t>
            </w:r>
            <w:r w:rsidR="00D412E0" w:rsidRPr="00D412E0">
              <w:rPr>
                <w:lang w:val="es-ES"/>
              </w:rPr>
              <w:t>elaboraron marcos políticos y productos de conocimiento</w:t>
            </w:r>
            <w:r w:rsidR="00CC18C4">
              <w:rPr>
                <w:lang w:val="es-ES"/>
              </w:rPr>
              <w:t>;</w:t>
            </w:r>
          </w:p>
          <w:p w14:paraId="60F795FA" w14:textId="6CE403EB" w:rsidR="00D412E0" w:rsidRPr="00D412E0" w:rsidRDefault="004C3ECC" w:rsidP="00860D32">
            <w:pPr>
              <w:pStyle w:val="Tabletext"/>
              <w:ind w:left="284" w:hanging="284"/>
              <w:rPr>
                <w:lang w:val="es-ES"/>
              </w:rPr>
            </w:pPr>
            <w:r w:rsidRPr="004C3ECC">
              <w:rPr>
                <w:lang w:val="es-ES"/>
              </w:rPr>
              <w:lastRenderedPageBreak/>
              <w:t>–</w:t>
            </w:r>
            <w:r w:rsidR="00B03640">
              <w:rPr>
                <w:lang w:val="es-ES"/>
              </w:rPr>
              <w:tab/>
            </w:r>
            <w:r w:rsidR="00CB0CFE">
              <w:rPr>
                <w:lang w:val="es-ES"/>
              </w:rPr>
              <w:t>seis</w:t>
            </w:r>
            <w:r w:rsidR="006E4551">
              <w:rPr>
                <w:lang w:val="es-ES"/>
              </w:rPr>
              <w:t> </w:t>
            </w:r>
            <w:r w:rsidR="00D412E0" w:rsidRPr="00D412E0">
              <w:rPr>
                <w:lang w:val="es-ES"/>
              </w:rPr>
              <w:t>países organizaron sesiones de sensibilización</w:t>
            </w:r>
            <w:r w:rsidR="00CC18C4">
              <w:rPr>
                <w:lang w:val="es-ES"/>
              </w:rPr>
              <w:t>;</w:t>
            </w:r>
          </w:p>
          <w:p w14:paraId="15418BAA" w14:textId="1B65E66A" w:rsidR="00D412E0" w:rsidRPr="00D412E0" w:rsidRDefault="004C3ECC" w:rsidP="00860D32">
            <w:pPr>
              <w:pStyle w:val="Tabletext"/>
              <w:ind w:left="284" w:hanging="284"/>
              <w:rPr>
                <w:lang w:val="es-ES"/>
              </w:rPr>
            </w:pPr>
            <w:r w:rsidRPr="004C3ECC">
              <w:rPr>
                <w:lang w:val="es-ES"/>
              </w:rPr>
              <w:t>–</w:t>
            </w:r>
            <w:r w:rsidR="00B03640">
              <w:rPr>
                <w:lang w:val="es-ES"/>
              </w:rPr>
              <w:tab/>
            </w:r>
            <w:r w:rsidR="00CB0CFE">
              <w:rPr>
                <w:lang w:val="es-ES"/>
              </w:rPr>
              <w:t>un</w:t>
            </w:r>
            <w:r w:rsidR="006E4551">
              <w:rPr>
                <w:lang w:val="es-ES"/>
              </w:rPr>
              <w:t> </w:t>
            </w:r>
            <w:r w:rsidR="00D412E0" w:rsidRPr="00D412E0">
              <w:rPr>
                <w:lang w:val="es-ES"/>
              </w:rPr>
              <w:t>país organizó una plataforma de encuentro</w:t>
            </w:r>
            <w:r w:rsidR="00CC18C4">
              <w:rPr>
                <w:lang w:val="es-ES"/>
              </w:rPr>
              <w:t>;</w:t>
            </w:r>
          </w:p>
          <w:p w14:paraId="0E97A532" w14:textId="37AA4D57" w:rsidR="00D412E0" w:rsidRPr="00D412E0" w:rsidRDefault="004C3ECC" w:rsidP="00B03640">
            <w:pPr>
              <w:pStyle w:val="Tabletext"/>
              <w:rPr>
                <w:lang w:val="es-ES"/>
              </w:rPr>
            </w:pPr>
            <w:r w:rsidRPr="004C3ECC">
              <w:rPr>
                <w:lang w:val="es-ES"/>
              </w:rPr>
              <w:t>–</w:t>
            </w:r>
            <w:r w:rsidR="00B03640">
              <w:rPr>
                <w:lang w:val="es-ES"/>
              </w:rPr>
              <w:tab/>
            </w:r>
            <w:r w:rsidR="00CB0CFE">
              <w:rPr>
                <w:lang w:val="es-ES"/>
              </w:rPr>
              <w:t>dos</w:t>
            </w:r>
            <w:r w:rsidR="006E4551">
              <w:rPr>
                <w:lang w:val="es-ES"/>
              </w:rPr>
              <w:t> </w:t>
            </w:r>
            <w:r w:rsidR="00D412E0" w:rsidRPr="00D412E0">
              <w:rPr>
                <w:lang w:val="es-ES"/>
              </w:rPr>
              <w:t>proyectos en curso</w:t>
            </w:r>
            <w:r w:rsidR="00CC18C4">
              <w:rPr>
                <w:lang w:val="es-ES"/>
              </w:rPr>
              <w:t>.</w:t>
            </w:r>
          </w:p>
        </w:tc>
      </w:tr>
      <w:tr w:rsidR="00D412E0" w:rsidRPr="002F5AC1" w14:paraId="2D2105B7" w14:textId="77777777" w:rsidTr="004711CF">
        <w:trPr>
          <w:jc w:val="center"/>
        </w:trPr>
        <w:tc>
          <w:tcPr>
            <w:tcW w:w="14556" w:type="dxa"/>
            <w:gridSpan w:val="3"/>
            <w:shd w:val="clear" w:color="auto" w:fill="E5DFEC"/>
          </w:tcPr>
          <w:p w14:paraId="73FC3242" w14:textId="4B1264EB" w:rsidR="00D412E0" w:rsidRPr="00D412E0" w:rsidRDefault="004265A8" w:rsidP="004F1716">
            <w:pPr>
              <w:pStyle w:val="Tabletext"/>
              <w:rPr>
                <w:i/>
                <w:iCs/>
                <w:lang w:val="es-ES"/>
              </w:rPr>
            </w:pPr>
            <w:r w:rsidRPr="0073435C">
              <w:rPr>
                <w:b/>
                <w:bCs/>
                <w:i/>
                <w:iCs/>
                <w:lang w:val="es-ES"/>
              </w:rPr>
              <w:lastRenderedPageBreak/>
              <w:t>Realización</w:t>
            </w:r>
            <w:r w:rsidR="00D412E0" w:rsidRPr="0073435C">
              <w:rPr>
                <w:b/>
                <w:bCs/>
                <w:i/>
                <w:iCs/>
                <w:lang w:val="es-ES"/>
              </w:rPr>
              <w:t>:</w:t>
            </w:r>
            <w:r w:rsidR="00D412E0" w:rsidRPr="0073435C">
              <w:rPr>
                <w:i/>
                <w:iCs/>
                <w:lang w:val="es-ES"/>
              </w:rPr>
              <w:t xml:space="preserve"> Refuerzo de la capacidad de los Estados Miembros para mejorar sus marcos políticos, jurídicos y reglamentarios en materia de telecomunicaciones/TIC, de tal manera que favorezcan el desarrollo sostenible y la transformación digital</w:t>
            </w:r>
            <w:r w:rsidR="00A20ED8">
              <w:rPr>
                <w:i/>
                <w:iCs/>
                <w:lang w:val="es-ES"/>
              </w:rPr>
              <w:t>.</w:t>
            </w:r>
          </w:p>
        </w:tc>
      </w:tr>
      <w:tr w:rsidR="00D412E0" w:rsidRPr="004C3ECC" w14:paraId="20B2DF91" w14:textId="77777777" w:rsidTr="004711CF">
        <w:trPr>
          <w:jc w:val="center"/>
        </w:trPr>
        <w:tc>
          <w:tcPr>
            <w:tcW w:w="11557" w:type="dxa"/>
            <w:gridSpan w:val="2"/>
          </w:tcPr>
          <w:p w14:paraId="66E4FB25" w14:textId="0CFB32A5" w:rsidR="00D412E0" w:rsidRPr="00C41BDE" w:rsidRDefault="00D412E0" w:rsidP="00F53C12">
            <w:pPr>
              <w:pStyle w:val="Tabletext"/>
              <w:rPr>
                <w:b/>
                <w:bCs/>
                <w:color w:val="1F497D"/>
                <w:lang w:val="es-ES"/>
              </w:rPr>
            </w:pPr>
            <w:r w:rsidRPr="00C41BDE">
              <w:rPr>
                <w:b/>
                <w:bCs/>
                <w:color w:val="1F497D"/>
                <w:lang w:val="es-ES"/>
              </w:rPr>
              <w:t>Política y reglamentación</w:t>
            </w:r>
          </w:p>
          <w:p w14:paraId="7983A716" w14:textId="066A68CE" w:rsidR="00D412E0" w:rsidRPr="00F53C12" w:rsidRDefault="00D412E0" w:rsidP="00F53C12">
            <w:pPr>
              <w:pStyle w:val="Tabletext"/>
              <w:rPr>
                <w:b/>
                <w:bCs/>
                <w:lang w:val="es-ES"/>
              </w:rPr>
            </w:pPr>
            <w:r w:rsidRPr="00F53C12">
              <w:rPr>
                <w:b/>
                <w:bCs/>
                <w:lang w:val="es-ES"/>
              </w:rPr>
              <w:t xml:space="preserve">Refuerzo de la capacidad de los </w:t>
            </w:r>
            <w:r w:rsidR="009378F6" w:rsidRPr="00F53C12">
              <w:rPr>
                <w:b/>
                <w:bCs/>
                <w:lang w:val="es-ES"/>
              </w:rPr>
              <w:t>m</w:t>
            </w:r>
            <w:r w:rsidRPr="00F53C12">
              <w:rPr>
                <w:b/>
                <w:bCs/>
                <w:lang w:val="es-ES"/>
              </w:rPr>
              <w:t xml:space="preserve">iembros de la UIT para mejorar sus marcos políticos, jurídicos y reglamentarios mediante la ampliación de conocimientos y el acceso a herramientas para ayudar a los </w:t>
            </w:r>
            <w:r w:rsidR="00834274" w:rsidRPr="00F53C12">
              <w:rPr>
                <w:b/>
                <w:bCs/>
                <w:lang w:val="es-ES"/>
              </w:rPr>
              <w:t>m</w:t>
            </w:r>
            <w:r w:rsidRPr="00F53C12">
              <w:rPr>
                <w:b/>
                <w:bCs/>
                <w:lang w:val="es-ES"/>
              </w:rPr>
              <w:t>iembros a entender el vertiginoso panorama del ecosistema digital y abordar los nuevos retos conexos, incentivar la inversión y propiciar un mayor crecimiento del mercado. También se ampliación de los conocimientos y el acceso a los datos y análisis normativos y económicos, en favor de los procesos de toma de decisiones con base empírica.</w:t>
            </w:r>
          </w:p>
          <w:p w14:paraId="4AADDF5E" w14:textId="398C31C1" w:rsidR="00D412E0" w:rsidRPr="00F53C12" w:rsidRDefault="00D412E0" w:rsidP="00F53C12">
            <w:pPr>
              <w:pStyle w:val="Tabletext"/>
              <w:rPr>
                <w:b/>
                <w:bCs/>
                <w:lang w:val="es-ES"/>
              </w:rPr>
            </w:pPr>
            <w:r w:rsidRPr="00F53C12">
              <w:rPr>
                <w:b/>
                <w:bCs/>
                <w:lang w:val="es-ES"/>
              </w:rPr>
              <w:t>Mejora del suministro de investigación y análisis económicos y reglamentarios</w:t>
            </w:r>
          </w:p>
          <w:p w14:paraId="0B5EF40A" w14:textId="6B8188CD" w:rsidR="00D412E0" w:rsidRPr="00D412E0" w:rsidRDefault="00D412E0" w:rsidP="00F53C12">
            <w:pPr>
              <w:pStyle w:val="Tabletext"/>
              <w:rPr>
                <w:lang w:val="es-ES"/>
              </w:rPr>
            </w:pPr>
            <w:r w:rsidRPr="00D412E0">
              <w:rPr>
                <w:lang w:val="es-ES"/>
              </w:rPr>
              <w:t>En el marco de las actividades globales, durante el periodo considerado se facilitaron los siguientes productos:</w:t>
            </w:r>
          </w:p>
          <w:p w14:paraId="54C4E3C5" w14:textId="18BED606"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Se llevaron a cabo dos nuevos estudios de la </w:t>
            </w:r>
            <w:hyperlink r:id="rId49">
              <w:r w:rsidR="00D412E0" w:rsidRPr="00D412E0">
                <w:rPr>
                  <w:rStyle w:val="Hyperlink"/>
                  <w:lang w:val="es-ES"/>
                </w:rPr>
                <w:t>serie de estudios nacionales en materia de reglamentación digital colaborativa</w:t>
              </w:r>
            </w:hyperlink>
            <w:r w:rsidR="00D412E0" w:rsidRPr="00D412E0">
              <w:rPr>
                <w:lang w:val="es-ES"/>
              </w:rPr>
              <w:t>, en colaboración con los organismos reguladores de las TIC de Qatar y Omán.</w:t>
            </w:r>
            <w:r w:rsidR="00D412E0" w:rsidRPr="00D412E0" w:rsidDel="00771097">
              <w:rPr>
                <w:lang w:val="es-ES"/>
              </w:rPr>
              <w:t xml:space="preserve"> </w:t>
            </w:r>
            <w:r w:rsidR="00D412E0" w:rsidRPr="00D412E0">
              <w:rPr>
                <w:lang w:val="es-ES"/>
              </w:rPr>
              <w:t xml:space="preserve">Asimismo, se publicó un </w:t>
            </w:r>
            <w:hyperlink r:id="rId50" w:history="1">
              <w:r w:rsidR="00D412E0" w:rsidRPr="00D412E0">
                <w:rPr>
                  <w:rStyle w:val="Hyperlink"/>
                  <w:lang w:val="es-ES"/>
                </w:rPr>
                <w:t>estudio sobre Sudáfrica</w:t>
              </w:r>
            </w:hyperlink>
            <w:r w:rsidR="00D412E0" w:rsidRPr="00D412E0">
              <w:rPr>
                <w:lang w:val="es-ES"/>
              </w:rPr>
              <w:t xml:space="preserve"> en el marco del proyecto </w:t>
            </w:r>
            <w:r w:rsidR="00D412E0" w:rsidRPr="00B86850">
              <w:rPr>
                <w:lang w:val="es-ES"/>
              </w:rPr>
              <w:t>UIT</w:t>
            </w:r>
            <w:r w:rsidR="00834274" w:rsidRPr="00B86850">
              <w:rPr>
                <w:lang w:val="es-ES"/>
              </w:rPr>
              <w:noBreakHyphen/>
            </w:r>
            <w:r w:rsidR="00D412E0" w:rsidRPr="00B86850">
              <w:rPr>
                <w:lang w:val="es-ES"/>
              </w:rPr>
              <w:t>FCDO (Ministerio de Relaciones Exteriores, del Commonwealth y de Desarrollo, Reino Unido)</w:t>
            </w:r>
            <w:r w:rsidR="00D412E0" w:rsidRPr="00D412E0">
              <w:rPr>
                <w:lang w:val="es-ES"/>
              </w:rPr>
              <w:t>. Todos los estudios nacionales siguen una metodología normalizada y presentan una serie de recomendaciones prácticas para desarrollar una mejor comprensión de la función y la repercusión de la colaboración y la gobernanza colaborativa, así como la utilización de nuevas herramientas para la reglamentación de los mercados de las TIC y las tecnologías digitales.</w:t>
            </w:r>
          </w:p>
          <w:p w14:paraId="2062E8FD" w14:textId="14DF2026" w:rsidR="00D412E0" w:rsidRPr="00D412E0" w:rsidDel="00771097" w:rsidRDefault="009C68FA" w:rsidP="00C41BDE">
            <w:pPr>
              <w:pStyle w:val="Tabletext"/>
              <w:tabs>
                <w:tab w:val="clear" w:pos="284"/>
              </w:tabs>
              <w:ind w:left="567" w:hanging="567"/>
              <w:rPr>
                <w:lang w:val="es-ES"/>
              </w:rPr>
            </w:pPr>
            <w:r w:rsidRPr="009C68FA">
              <w:rPr>
                <w:lang w:val="es-ES"/>
              </w:rPr>
              <w:lastRenderedPageBreak/>
              <w:t>–</w:t>
            </w:r>
            <w:r w:rsidR="00F53C12">
              <w:rPr>
                <w:lang w:val="es-ES"/>
              </w:rPr>
              <w:tab/>
            </w:r>
            <w:r w:rsidR="00D412E0" w:rsidRPr="00D412E0">
              <w:rPr>
                <w:lang w:val="es-ES"/>
              </w:rPr>
              <w:t xml:space="preserve">Se adoptaron y compartieron las Directrices de </w:t>
            </w:r>
            <w:r w:rsidR="00834274">
              <w:rPr>
                <w:lang w:val="es-ES"/>
              </w:rPr>
              <w:t>p</w:t>
            </w:r>
            <w:r w:rsidR="00D412E0" w:rsidRPr="00D412E0">
              <w:rPr>
                <w:lang w:val="es-ES"/>
              </w:rPr>
              <w:t xml:space="preserve">rácticas </w:t>
            </w:r>
            <w:r w:rsidR="00834274">
              <w:rPr>
                <w:lang w:val="es-ES"/>
              </w:rPr>
              <w:t>idóneas</w:t>
            </w:r>
            <w:r w:rsidR="00D412E0" w:rsidRPr="00D412E0">
              <w:rPr>
                <w:lang w:val="es-ES"/>
              </w:rPr>
              <w:t xml:space="preserve"> del GSR-24 sobre "Trazar el rumbo de las tecnologías transformadoras para lograr efectos positivos</w:t>
            </w:r>
            <w:r w:rsidR="00CB53AE">
              <w:rPr>
                <w:lang w:val="es-ES"/>
              </w:rPr>
              <w:t>"</w:t>
            </w:r>
            <w:r w:rsidR="00D412E0" w:rsidRPr="00D412E0" w:rsidDel="00771097">
              <w:rPr>
                <w:lang w:val="es-ES"/>
              </w:rPr>
              <w:t>.</w:t>
            </w:r>
          </w:p>
          <w:p w14:paraId="0D910562" w14:textId="7F09FCAD"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Se actualizaron los artículos existentes sobre la gestión del espectro y en 2025 se publicó un nuevo artículo sobre la tecnología de redes móviles 6G y dos documentos y artículos en mayo de 2024, sobre la Plataforma de Reglamentación Digital destinada a mejorar las capacidades humanas e institucionales de los </w:t>
            </w:r>
            <w:r w:rsidR="00834274">
              <w:rPr>
                <w:lang w:val="es-ES"/>
              </w:rPr>
              <w:t>m</w:t>
            </w:r>
            <w:r w:rsidR="00D412E0" w:rsidRPr="00D412E0">
              <w:rPr>
                <w:lang w:val="es-ES"/>
              </w:rPr>
              <w:t>iembros de la UIT. En estos artículos se aborda la gestión de la gobernanza de datos, así como los retos y principios de la reglamentación de las tecnologías de transformación (</w:t>
            </w:r>
            <w:r w:rsidR="00834274">
              <w:rPr>
                <w:lang w:val="es-ES"/>
              </w:rPr>
              <w:t>IA</w:t>
            </w:r>
            <w:r w:rsidR="00D412E0" w:rsidRPr="00D412E0">
              <w:rPr>
                <w:lang w:val="es-ES"/>
              </w:rPr>
              <w:t>), y se está ultimando otro, que se publicará en breve, sobre una guía para incorporar los aspectos medioambientales, sociales y de gobernanza en la formulación de políticas y la reglamentación a efectos de conformidad</w:t>
            </w:r>
            <w:r w:rsidR="006E4551">
              <w:rPr>
                <w:lang w:val="es-ES"/>
              </w:rPr>
              <w:t>.</w:t>
            </w:r>
          </w:p>
          <w:p w14:paraId="0F88416B" w14:textId="7EF08093"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Se lanzaron dos nuevos módulos en la </w:t>
            </w:r>
            <w:hyperlink r:id="rId51" w:history="1">
              <w:r w:rsidR="00D412E0" w:rsidRPr="00D412E0">
                <w:rPr>
                  <w:rStyle w:val="Hyperlink"/>
                  <w:lang w:val="es-ES"/>
                </w:rPr>
                <w:t>Plataforma de Reglamentación Digital</w:t>
              </w:r>
            </w:hyperlink>
            <w:r w:rsidR="00D412E0" w:rsidRPr="00D412E0">
              <w:rPr>
                <w:lang w:val="es-ES"/>
              </w:rPr>
              <w:t xml:space="preserve"> sobre la adopción de decisiones con base empírica y la gobernanza digital colaborativa para ayudar a los reguladores y a los responsables de adoptar decisiones a abordar los retos y las oportunidades de la transformación digital. Se está finalizando la revisión de todos los módulos, en el marco del proyecto financiado por la UIT y la </w:t>
            </w:r>
            <w:r w:rsidR="00D412E0" w:rsidRPr="00145586">
              <w:rPr>
                <w:lang w:val="es-ES"/>
              </w:rPr>
              <w:t>U</w:t>
            </w:r>
            <w:r w:rsidR="00F74E31" w:rsidRPr="00145586">
              <w:rPr>
                <w:lang w:val="es-ES"/>
              </w:rPr>
              <w:t>E</w:t>
            </w:r>
            <w:r w:rsidR="00D412E0" w:rsidRPr="00D412E0">
              <w:rPr>
                <w:lang w:val="es-ES"/>
              </w:rPr>
              <w:t xml:space="preserve"> en África Central con el apoyo de la Delegación de la UE en la República Democrática del Congo (COFED).</w:t>
            </w:r>
          </w:p>
          <w:p w14:paraId="79425DEA" w14:textId="31A10C9D" w:rsidR="00D412E0" w:rsidRPr="00D412E0" w:rsidDel="00C007C2"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Tras la participación de la BDT en la Cuarta Conferencia Internacional sobre PEID, se ha preparado un </w:t>
            </w:r>
            <w:hyperlink r:id="rId52" w:anchor="p=1" w:history="1">
              <w:r w:rsidR="00D412E0" w:rsidRPr="00D412E0" w:rsidDel="00C007C2">
                <w:rPr>
                  <w:rStyle w:val="Hyperlink"/>
                  <w:lang w:val="es-ES"/>
                </w:rPr>
                <w:t xml:space="preserve">plan </w:t>
              </w:r>
              <w:r w:rsidR="00D412E0" w:rsidRPr="00D412E0">
                <w:rPr>
                  <w:rStyle w:val="Hyperlink"/>
                  <w:lang w:val="es-ES"/>
                </w:rPr>
                <w:t>de 10</w:t>
              </w:r>
              <w:r w:rsidR="006E4551">
                <w:rPr>
                  <w:rStyle w:val="Hyperlink"/>
                  <w:lang w:val="es-ES"/>
                </w:rPr>
                <w:t> </w:t>
              </w:r>
              <w:r w:rsidR="00D412E0" w:rsidRPr="00D412E0">
                <w:rPr>
                  <w:rStyle w:val="Hyperlink"/>
                  <w:lang w:val="es-ES"/>
                </w:rPr>
                <w:t>etapas para acelerar la transformación digital en los PEID</w:t>
              </w:r>
            </w:hyperlink>
            <w:r w:rsidR="00D412E0" w:rsidRPr="00D412E0">
              <w:rPr>
                <w:lang w:val="es-ES"/>
              </w:rPr>
              <w:t>, en el que se esbozan las principales esferas de acción en las que la</w:t>
            </w:r>
            <w:r w:rsidR="00A811C7">
              <w:rPr>
                <w:lang w:val="es-ES"/>
              </w:rPr>
              <w:t> </w:t>
            </w:r>
            <w:r w:rsidR="00D412E0" w:rsidRPr="00D412E0">
              <w:rPr>
                <w:lang w:val="es-ES"/>
              </w:rPr>
              <w:t>UIT puede ayudar a los PEID a acelerar la aplicación de la Agenda de Antigua y Barbuda para los PEID</w:t>
            </w:r>
            <w:r w:rsidR="006E4551">
              <w:rPr>
                <w:lang w:val="es-ES"/>
              </w:rPr>
              <w:t>.</w:t>
            </w:r>
          </w:p>
          <w:p w14:paraId="0219D51E" w14:textId="4EE10BCC"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África</w:t>
            </w:r>
            <w:r w:rsidR="00D412E0" w:rsidRPr="00D412E0">
              <w:rPr>
                <w:lang w:val="es-ES"/>
              </w:rPr>
              <w:t>, en el marco del proyecto llevado a cabo por la CE, la COFED y la UIT en África Central mediante el Programa para la Gobernanza de las Infraestructuras Regionales y Nacionales (PAGIRN), la UIT está llevando a cabo la Evaluación Comparativa de las</w:t>
            </w:r>
            <w:r w:rsidR="00E20332">
              <w:rPr>
                <w:lang w:val="es-ES"/>
              </w:rPr>
              <w:t> </w:t>
            </w:r>
            <w:r w:rsidR="00D412E0" w:rsidRPr="00D412E0">
              <w:rPr>
                <w:lang w:val="es-ES"/>
              </w:rPr>
              <w:t>TIC en África Central con el fin de mejorar la gobernanza en materia de TIC en la región de África Central y promover la formulación de políticas con base empírica. La evaluación de los marcos de política y reglamentarios de las</w:t>
            </w:r>
            <w:r w:rsidR="00E20332">
              <w:rPr>
                <w:lang w:val="es-ES"/>
              </w:rPr>
              <w:t> </w:t>
            </w:r>
            <w:r w:rsidR="00D412E0" w:rsidRPr="00D412E0">
              <w:rPr>
                <w:lang w:val="es-ES"/>
              </w:rPr>
              <w:t>TIC en los 11</w:t>
            </w:r>
            <w:r w:rsidR="00E20332">
              <w:rPr>
                <w:lang w:val="es-ES"/>
              </w:rPr>
              <w:t> </w:t>
            </w:r>
            <w:r w:rsidR="00D412E0" w:rsidRPr="00D412E0">
              <w:rPr>
                <w:lang w:val="es-ES"/>
              </w:rPr>
              <w:t xml:space="preserve">países de Comunidad Económica de los Estados de África Central (CEEAC) ha concluido. Tuvo por objeto evaluar su eficacia, identificar las deficiencias y destacar las áreas de mejora. Se insistió en la necesidad de entender la manera en que estos marcos apoyan la transformación digital, la reglamentación colaborativa y el acceso universal a los servicios, así como su conformidad con las </w:t>
            </w:r>
            <w:r w:rsidR="00D412E0" w:rsidRPr="00C030C5">
              <w:rPr>
                <w:lang w:val="es-ES"/>
              </w:rPr>
              <w:t>prácticas</w:t>
            </w:r>
            <w:r w:rsidR="00D412E0" w:rsidRPr="00D412E0">
              <w:rPr>
                <w:lang w:val="es-ES"/>
              </w:rPr>
              <w:t xml:space="preserve"> </w:t>
            </w:r>
            <w:r w:rsidR="00D00FA5">
              <w:rPr>
                <w:lang w:val="es-ES"/>
              </w:rPr>
              <w:t xml:space="preserve">idóneas </w:t>
            </w:r>
            <w:r w:rsidR="00D412E0" w:rsidRPr="00D412E0">
              <w:rPr>
                <w:lang w:val="es-ES"/>
              </w:rPr>
              <w:t>a nivel internacional. Las principales conclusiones se presentaron a las partes interesadas en línea a principios de octubre de</w:t>
            </w:r>
            <w:r w:rsidR="00E20332">
              <w:rPr>
                <w:lang w:val="es-ES"/>
              </w:rPr>
              <w:t> </w:t>
            </w:r>
            <w:r w:rsidR="00D412E0" w:rsidRPr="00D412E0">
              <w:rPr>
                <w:lang w:val="es-ES"/>
              </w:rPr>
              <w:t xml:space="preserve">2024 y a continuación se impartió un taller presencial en Guinea Ecuatorial en noviembre de 2024 para examinar las recomendaciones y las hojas de ruta, que se transmitirán a los beneficiarios en junio de 2025. Se prestó asistencia técnica a Lesotho y Sudán del Sur para la elaboración de sus estrategias nacionales de transformación digital y a la Asociación de Organismos Reguladores de las Comunicaciones de África Meridional (CRASA) para la revisión y actualización del Conjunto de </w:t>
            </w:r>
            <w:r w:rsidR="00E20332" w:rsidRPr="00D412E0">
              <w:rPr>
                <w:lang w:val="es-ES"/>
              </w:rPr>
              <w:t>h</w:t>
            </w:r>
            <w:r w:rsidR="00D412E0" w:rsidRPr="00D412E0">
              <w:rPr>
                <w:lang w:val="es-ES"/>
              </w:rPr>
              <w:t xml:space="preserve">erramientas de la SADC sobre la </w:t>
            </w:r>
            <w:r w:rsidR="00E20332" w:rsidRPr="00D412E0">
              <w:rPr>
                <w:lang w:val="es-ES"/>
              </w:rPr>
              <w:t>f</w:t>
            </w:r>
            <w:r w:rsidR="00D412E0" w:rsidRPr="00D412E0">
              <w:rPr>
                <w:lang w:val="es-ES"/>
              </w:rPr>
              <w:t xml:space="preserve">inanciación del </w:t>
            </w:r>
            <w:r w:rsidR="00E20332" w:rsidRPr="00D412E0">
              <w:rPr>
                <w:lang w:val="es-ES"/>
              </w:rPr>
              <w:t>a</w:t>
            </w:r>
            <w:r w:rsidR="00D412E0" w:rsidRPr="00D412E0">
              <w:rPr>
                <w:lang w:val="es-ES"/>
              </w:rPr>
              <w:t xml:space="preserve">cceso </w:t>
            </w:r>
            <w:r w:rsidR="00E20332" w:rsidRPr="00D412E0">
              <w:rPr>
                <w:lang w:val="es-ES"/>
              </w:rPr>
              <w:t>u</w:t>
            </w:r>
            <w:r w:rsidR="00D412E0" w:rsidRPr="00D412E0">
              <w:rPr>
                <w:lang w:val="es-ES"/>
              </w:rPr>
              <w:t>niversal, en el marco del proyecto llevado a cabo entre la UIT y el FCDO</w:t>
            </w:r>
            <w:r w:rsidR="006E4551">
              <w:rPr>
                <w:lang w:val="es-ES"/>
              </w:rPr>
              <w:t>.</w:t>
            </w:r>
          </w:p>
          <w:p w14:paraId="3411A429" w14:textId="2F1EFF71" w:rsidR="00D412E0" w:rsidRPr="00D412E0" w:rsidRDefault="009C68FA" w:rsidP="00E274D9">
            <w:pPr>
              <w:pStyle w:val="Tabletext"/>
              <w:keepNext/>
              <w:keepLines/>
              <w:tabs>
                <w:tab w:val="clear" w:pos="284"/>
              </w:tabs>
              <w:ind w:left="567" w:hanging="567"/>
              <w:rPr>
                <w:lang w:val="es-ES"/>
              </w:rPr>
            </w:pPr>
            <w:r w:rsidRPr="009C68FA">
              <w:rPr>
                <w:lang w:val="es-ES"/>
              </w:rPr>
              <w:lastRenderedPageBreak/>
              <w:t>–</w:t>
            </w:r>
            <w:r w:rsidR="00F53C12">
              <w:rPr>
                <w:lang w:val="es-ES"/>
              </w:rPr>
              <w:tab/>
            </w:r>
            <w:r w:rsidR="00D412E0" w:rsidRPr="00D412E0">
              <w:rPr>
                <w:b/>
                <w:bCs/>
                <w:lang w:val="es-ES"/>
              </w:rPr>
              <w:t>En las Américas</w:t>
            </w:r>
            <w:r w:rsidR="00D412E0" w:rsidRPr="00D412E0">
              <w:rPr>
                <w:lang w:val="es-ES"/>
              </w:rPr>
              <w:t>, se prestó asistencia técnica al Gobierno de Honduras en el contexto del proyecto de modernización del marco jurídico de las TIC, que se está implementando durante el primer año del proyecto firmado con CONATEL, el organismo regulador de las telecomunicaciones. Por otro lado, se presentó al Gobierno de Panamá un diagnóstico inicial del marco jurídico y reglamentario de las telecomunicaciones como base para la modernización de la legislación nacional sobre el sector.</w:t>
            </w:r>
          </w:p>
          <w:p w14:paraId="23D37E95" w14:textId="788BC378" w:rsidR="00D412E0" w:rsidRPr="00D412E0" w:rsidRDefault="00D412E0" w:rsidP="00A811C7">
            <w:pPr>
              <w:pStyle w:val="Tabletext"/>
              <w:keepNext/>
              <w:keepLines/>
              <w:ind w:left="567"/>
              <w:rPr>
                <w:lang w:val="es-ES"/>
              </w:rPr>
            </w:pPr>
            <w:r w:rsidRPr="00D412E0">
              <w:rPr>
                <w:lang w:val="es-ES"/>
              </w:rPr>
              <w:t>En Saint Kitts y Nevis y Dominica, se hizo una evaluación de la manera en que el marco normativo y legislativo de identificación electrónica reforzó las capacidades de elaboración de normas y reglamentos. Esto contribuirá a aumentar el número de personas con acceso a las aplicaciones en línea y los servicios digitales, y el grado de confianza de dichas personas en su utilización.</w:t>
            </w:r>
          </w:p>
          <w:p w14:paraId="03ABE1C4" w14:textId="02416767"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los Estados Árabes</w:t>
            </w:r>
            <w:r w:rsidR="00D412E0" w:rsidRPr="00D412E0">
              <w:rPr>
                <w:lang w:val="es-ES"/>
              </w:rPr>
              <w:t>, la BDT prestó asistencia técnica a Siria, ultimó los informes correspondientes a la segunda fase del examen y análisis del mercado de las TIC, y también elaboró un marco regulador de precios para la Autoridad de Reglamentación de las Telecomunicaciones y los Servicios Postales (SyTPRA). Esta fase tuvo por objeto apoyar al Ministerio y al organismo regulador de Siria en el proceso de consulta llevado a cabo para ultimar los resultados del examen y análisis del mercado y en la preparación de un informe de recomendaciones para el marco regulador de precios de los servicios de TIC.</w:t>
            </w:r>
          </w:p>
          <w:p w14:paraId="7400C230" w14:textId="081AA468" w:rsidR="00D412E0" w:rsidRPr="00D412E0" w:rsidRDefault="009C68FA" w:rsidP="00C41BDE">
            <w:pPr>
              <w:pStyle w:val="Tabletext"/>
              <w:tabs>
                <w:tab w:val="clear" w:pos="284"/>
              </w:tabs>
              <w:ind w:left="567" w:hanging="567"/>
              <w:rPr>
                <w:b/>
                <w:bCs/>
                <w:lang w:val="es-ES"/>
              </w:rPr>
            </w:pPr>
            <w:r w:rsidRPr="009C68FA">
              <w:rPr>
                <w:lang w:val="es-ES"/>
              </w:rPr>
              <w:t>–</w:t>
            </w:r>
            <w:r w:rsidR="00F53C12">
              <w:rPr>
                <w:lang w:val="es-ES"/>
              </w:rPr>
              <w:tab/>
            </w:r>
            <w:r w:rsidR="00D412E0" w:rsidRPr="00D412E0">
              <w:rPr>
                <w:b/>
                <w:bCs/>
                <w:lang w:val="es-ES"/>
              </w:rPr>
              <w:t>En Asia-Pacífico</w:t>
            </w:r>
            <w:r w:rsidR="00D412E0" w:rsidRPr="00D412E0">
              <w:rPr>
                <w:lang w:val="es-ES"/>
              </w:rPr>
              <w:t xml:space="preserve">, la colaboración con la ASEAN siguió reforzándose a través del Marco relativo a las Esferas de Cooperación Prioritarias (PCA), por ejemplo, mediante el desarrollo de un marco de referencia para la colaboración con los miembros de la ASEAN, que abarca productos y servicios clave de la BDT. La BDT también </w:t>
            </w:r>
            <w:r w:rsidR="00D412E0" w:rsidRPr="00D412E0">
              <w:rPr>
                <w:b/>
                <w:bCs/>
                <w:lang w:val="es-ES"/>
              </w:rPr>
              <w:t>proporcionó asistencia técnica para la formulación de una política de servicio universal y una política de uso compartido de infraestructuras</w:t>
            </w:r>
            <w:r w:rsidR="00D412E0" w:rsidRPr="00D412E0">
              <w:rPr>
                <w:lang w:val="es-ES"/>
              </w:rPr>
              <w:t>, con inclusión de las actividades en curso destinadas a mejorar la conectividad en las zonas rurales y remotas de Tonga y Vanuatu. Para seguir apoyando a los Estados Miembros, se está desarrollando un repositorio de políticas y reglamentos en la región de Asia</w:t>
            </w:r>
            <w:r w:rsidR="0061116D">
              <w:rPr>
                <w:lang w:val="es-ES"/>
              </w:rPr>
              <w:noBreakHyphen/>
            </w:r>
            <w:r w:rsidR="00D412E0" w:rsidRPr="00D412E0">
              <w:rPr>
                <w:lang w:val="es-ES"/>
              </w:rPr>
              <w:t>Pacífico, que permitirá a los Estados Miembros consultar fácilmente las prácticas normativas de los países de la región.</w:t>
            </w:r>
          </w:p>
          <w:p w14:paraId="5C26AF29" w14:textId="44319479" w:rsidR="00D412E0" w:rsidRPr="00F53C12" w:rsidRDefault="00D412E0" w:rsidP="00F53C12">
            <w:pPr>
              <w:pStyle w:val="Tabletext"/>
              <w:rPr>
                <w:b/>
                <w:bCs/>
                <w:lang w:val="es-ES"/>
              </w:rPr>
            </w:pPr>
            <w:r w:rsidRPr="00F53C12">
              <w:rPr>
                <w:b/>
                <w:bCs/>
                <w:lang w:val="es-ES"/>
              </w:rPr>
              <w:t>Mejora del suministro de datos y estadísticas económicos y de reglamentación</w:t>
            </w:r>
          </w:p>
          <w:p w14:paraId="531A9E52" w14:textId="25E877F0"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Las encuestas sobre políticas de reglamentación y tarificación se distribuyeron a los miembros en 2024. Los datos recogidos se están analizando, integrando y publicando en el </w:t>
            </w:r>
            <w:hyperlink r:id="rId53" w:history="1">
              <w:r w:rsidR="00D412E0" w:rsidRPr="00D412E0">
                <w:rPr>
                  <w:rStyle w:val="Hyperlink"/>
                  <w:lang w:val="es-ES"/>
                </w:rPr>
                <w:t xml:space="preserve">Centro de </w:t>
              </w:r>
              <w:r w:rsidR="00BD752D" w:rsidRPr="00D412E0">
                <w:rPr>
                  <w:rStyle w:val="Hyperlink"/>
                  <w:lang w:val="es-ES"/>
                </w:rPr>
                <w:t>d</w:t>
              </w:r>
              <w:r w:rsidR="00D412E0" w:rsidRPr="00D412E0">
                <w:rPr>
                  <w:rStyle w:val="Hyperlink"/>
                  <w:lang w:val="es-ES"/>
                </w:rPr>
                <w:t>atos de la UIT</w:t>
              </w:r>
            </w:hyperlink>
            <w:r w:rsidR="00D412E0" w:rsidRPr="00D412E0">
              <w:rPr>
                <w:lang w:val="es-ES"/>
              </w:rPr>
              <w:t>.</w:t>
            </w:r>
          </w:p>
          <w:p w14:paraId="3F38953E" w14:textId="79D3C5AF" w:rsidR="00D412E0" w:rsidRPr="00D412E0" w:rsidRDefault="009C68FA" w:rsidP="00E20332">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Se ha publicado en línea la edición </w:t>
            </w:r>
            <w:r w:rsidR="00E85689">
              <w:rPr>
                <w:lang w:val="es-ES"/>
              </w:rPr>
              <w:t xml:space="preserve">de </w:t>
            </w:r>
            <w:r w:rsidR="00D412E0" w:rsidRPr="00D412E0">
              <w:rPr>
                <w:lang w:val="es-ES"/>
              </w:rPr>
              <w:t>2024 del Rastreador de la regulación de las TIC. Como uno de los valores de referencia más completos para evaluar el grado de madurez de la reglamentación de las TIC y la capacidad reguladora desde 2007, los reguladores, las organizaciones de las Naciones Unidas y los investigadores utilizan ampliamente el Rastreador. Está disponible en la plataforma del Acelerador</w:t>
            </w:r>
            <w:r w:rsidR="00E85689">
              <w:rPr>
                <w:lang w:val="es-ES"/>
              </w:rPr>
              <w:t> </w:t>
            </w:r>
            <w:r w:rsidR="00D412E0" w:rsidRPr="00D412E0">
              <w:rPr>
                <w:lang w:val="es-ES"/>
              </w:rPr>
              <w:t>G5, donde están disponibles todos los valores de referencia de la UIT en materia de reglamentación, lo que permite realizar análisis personalizados y explorar en profundidad los datos de más de 100</w:t>
            </w:r>
            <w:r w:rsidR="006E4551">
              <w:rPr>
                <w:lang w:val="es-ES"/>
              </w:rPr>
              <w:t> </w:t>
            </w:r>
            <w:r w:rsidR="00D412E0" w:rsidRPr="00D412E0">
              <w:rPr>
                <w:lang w:val="es-ES"/>
              </w:rPr>
              <w:t>indicadores por región o país.</w:t>
            </w:r>
          </w:p>
          <w:p w14:paraId="78C2431D" w14:textId="292590BF" w:rsidR="00D412E0" w:rsidRPr="00F53C12" w:rsidRDefault="00D412E0" w:rsidP="00F53C12">
            <w:pPr>
              <w:pStyle w:val="Tabletext"/>
              <w:rPr>
                <w:b/>
                <w:bCs/>
                <w:lang w:val="es-ES"/>
              </w:rPr>
            </w:pPr>
            <w:r w:rsidRPr="00F53C12">
              <w:rPr>
                <w:b/>
                <w:bCs/>
                <w:lang w:val="es-ES"/>
              </w:rPr>
              <w:lastRenderedPageBreak/>
              <w:t>La BDT también proporciona plataformas de reunión, herramientas y servicios, así como asistencia técnica para el fortalecimiento de la capacidad de las personas y entidades a través del intercambio de conocimientos y la capacidad para hacer frente a los retos y oportunidades de la transformación digital.</w:t>
            </w:r>
          </w:p>
          <w:p w14:paraId="4F959656" w14:textId="625DA1C2"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África</w:t>
            </w:r>
            <w:r w:rsidR="00D412E0" w:rsidRPr="006E4551">
              <w:rPr>
                <w:lang w:val="es-ES"/>
              </w:rPr>
              <w:t xml:space="preserve">, </w:t>
            </w:r>
            <w:r w:rsidR="00D412E0" w:rsidRPr="00D412E0">
              <w:rPr>
                <w:lang w:val="es-ES"/>
              </w:rPr>
              <w:t xml:space="preserve">se organizó una </w:t>
            </w:r>
            <w:r w:rsidR="00D412E0" w:rsidRPr="00D412E0">
              <w:rPr>
                <w:b/>
                <w:bCs/>
                <w:lang w:val="es-ES"/>
              </w:rPr>
              <w:t xml:space="preserve">formación sobre reglamentación digital para la región de África </w:t>
            </w:r>
            <w:r w:rsidR="00D412E0" w:rsidRPr="00D412E0">
              <w:rPr>
                <w:lang w:val="es-ES"/>
              </w:rPr>
              <w:t>en colaboración con la Comisión de las Comunicaciones, el Espacio y la Tecnología (CST) de Arabia Saudita, el Banco Islámico de Desarrollo (BIsD) y el proyecto de la UIT y el FCDO, entre otros La formación se impartió en dos etapas, en línea (los días 12 y 14 de noviembre) y de forma presencial (del 18 al 20 de noviembre) en Abuja (Nigeria), y fue acogida por la Comisión de Comunicaciones de Nigeria (NCC). Con énfasis en las estrategias de transformación digital, la gobernanza reglamentaria, la toma de decisiones con base empírica, los bancos de pruebas reglamentarias, la competencia y la economía (análisis de mercado), la compartición de infraestructuras y la eficiencia del acceso universal y la financiación del servicio, la formación de dos etapas reunió a 44</w:t>
            </w:r>
            <w:r w:rsidR="00B41069">
              <w:rPr>
                <w:lang w:val="es-ES"/>
              </w:rPr>
              <w:t> </w:t>
            </w:r>
            <w:r w:rsidR="00D412E0" w:rsidRPr="00D412E0">
              <w:rPr>
                <w:lang w:val="es-ES"/>
              </w:rPr>
              <w:t>participantes de 16</w:t>
            </w:r>
            <w:r w:rsidR="00B41069">
              <w:rPr>
                <w:lang w:val="es-ES"/>
              </w:rPr>
              <w:t> </w:t>
            </w:r>
            <w:r w:rsidR="00D412E0" w:rsidRPr="00D412E0">
              <w:rPr>
                <w:lang w:val="es-ES"/>
              </w:rPr>
              <w:t>países (32 % de ellos mujeres), de los cuales 39</w:t>
            </w:r>
            <w:r w:rsidR="00E16C6B">
              <w:rPr>
                <w:lang w:val="es-ES"/>
              </w:rPr>
              <w:t> </w:t>
            </w:r>
            <w:r w:rsidR="00D412E0" w:rsidRPr="00D412E0">
              <w:rPr>
                <w:lang w:val="es-ES"/>
              </w:rPr>
              <w:t>recibieron un certificado.</w:t>
            </w:r>
          </w:p>
          <w:p w14:paraId="38B5432D" w14:textId="3056D096"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E85689">
              <w:rPr>
                <w:b/>
                <w:bCs/>
                <w:lang w:val="es-ES"/>
              </w:rPr>
              <w:t>En Asia</w:t>
            </w:r>
            <w:r w:rsidR="00E16C6B" w:rsidRPr="00E85689">
              <w:rPr>
                <w:b/>
                <w:bCs/>
                <w:lang w:val="es-ES"/>
              </w:rPr>
              <w:noBreakHyphen/>
            </w:r>
            <w:r w:rsidR="00D412E0" w:rsidRPr="00E85689">
              <w:rPr>
                <w:b/>
                <w:bCs/>
                <w:lang w:val="es-ES"/>
              </w:rPr>
              <w:t>Pacífico</w:t>
            </w:r>
            <w:r w:rsidR="00D412E0" w:rsidRPr="00D412E0">
              <w:rPr>
                <w:lang w:val="es-ES"/>
              </w:rPr>
              <w:t>, la Formación Ejecutiva de la IMDA para pequeñas naciones (FOSS digital) sobre el liderazgo de futuros digitales, que se impartió en Singapur en noviembre de 2024, puso de relieve el compromiso con la transformación digital de los pequeños Estados, en consonancia con la iniciativa de la Coalición Digital de Partner2Connect (P2C) y en beneficio de miembros de todo el mundo. La formación permitió reforzar las capacidades en materia de reglamentación digital de los responsables de la elaboración de políticas y reguladores de varios Estados pequeños y contó con 25</w:t>
            </w:r>
            <w:r w:rsidR="00E16C6B">
              <w:rPr>
                <w:lang w:val="es-ES"/>
              </w:rPr>
              <w:t> </w:t>
            </w:r>
            <w:r w:rsidR="00D412E0" w:rsidRPr="00D412E0">
              <w:rPr>
                <w:lang w:val="es-ES"/>
              </w:rPr>
              <w:t>participantes, cada uno de ellos de un país diferente.</w:t>
            </w:r>
          </w:p>
          <w:p w14:paraId="1CDED856" w14:textId="6F4C724B"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las Américas</w:t>
            </w:r>
            <w:r w:rsidR="00D412E0" w:rsidRPr="00E16C6B">
              <w:rPr>
                <w:lang w:val="es-ES"/>
              </w:rPr>
              <w:t xml:space="preserve">, </w:t>
            </w:r>
            <w:r w:rsidR="00D412E0" w:rsidRPr="00D412E0">
              <w:rPr>
                <w:lang w:val="es-ES"/>
              </w:rPr>
              <w:t xml:space="preserve">la BDT prestó asistencia técnica a Nicaragua sobre los </w:t>
            </w:r>
            <w:r w:rsidR="006D1DD3" w:rsidRPr="00D412E0">
              <w:rPr>
                <w:lang w:val="es-ES"/>
              </w:rPr>
              <w:t>b</w:t>
            </w:r>
            <w:r w:rsidR="00D412E0" w:rsidRPr="00D412E0">
              <w:rPr>
                <w:lang w:val="es-ES"/>
              </w:rPr>
              <w:t xml:space="preserve">ancos de </w:t>
            </w:r>
            <w:r w:rsidR="006D1DD3" w:rsidRPr="00D412E0">
              <w:rPr>
                <w:lang w:val="es-ES"/>
              </w:rPr>
              <w:t>p</w:t>
            </w:r>
            <w:r w:rsidR="00D412E0" w:rsidRPr="00D412E0">
              <w:rPr>
                <w:lang w:val="es-ES"/>
              </w:rPr>
              <w:t xml:space="preserve">rueba en materia de </w:t>
            </w:r>
            <w:r w:rsidR="006D1DD3" w:rsidRPr="00D412E0">
              <w:rPr>
                <w:lang w:val="es-ES"/>
              </w:rPr>
              <w:t>i</w:t>
            </w:r>
            <w:r w:rsidR="00D412E0" w:rsidRPr="00D412E0">
              <w:rPr>
                <w:lang w:val="es-ES"/>
              </w:rPr>
              <w:t xml:space="preserve">nnovación </w:t>
            </w:r>
            <w:r w:rsidR="006D1DD3" w:rsidRPr="00D412E0">
              <w:rPr>
                <w:lang w:val="es-ES"/>
              </w:rPr>
              <w:t>r</w:t>
            </w:r>
            <w:r w:rsidR="00D412E0" w:rsidRPr="00D412E0">
              <w:rPr>
                <w:lang w:val="es-ES"/>
              </w:rPr>
              <w:t xml:space="preserve">eglamentaria y </w:t>
            </w:r>
            <w:r w:rsidR="006D1DD3" w:rsidRPr="00D412E0">
              <w:rPr>
                <w:lang w:val="es-ES"/>
              </w:rPr>
              <w:t>r</w:t>
            </w:r>
            <w:r w:rsidR="00D412E0" w:rsidRPr="00D412E0">
              <w:rPr>
                <w:lang w:val="es-ES"/>
              </w:rPr>
              <w:t>eglamentación, y proporcionó además un documento técnico y una propuesta reglamentaria. En Haití, una evaluación de la resiliencia de la red, apoyada por la C2R, permitió reforzar las competencias de los participantes formados para elaborar nuevas políticas y normativas y tomar mejores decisiones en lo que respecta a la gestión del riesgo de catástrofes y el aprovechamiento de los servicios digitales.</w:t>
            </w:r>
          </w:p>
          <w:p w14:paraId="2C1E1D8E" w14:textId="54F368F2"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los Estados Árabes</w:t>
            </w:r>
            <w:r w:rsidR="00D412E0" w:rsidRPr="00D412E0">
              <w:rPr>
                <w:lang w:val="es-ES"/>
              </w:rPr>
              <w:t>, la UIT organizó talleres nacionales sobre Reglamentación Digital Colaborativa en colaboración con las Autoridades de Reglamentación de las Telecomunicaciones de Omán y Qatar los días 21 de febrero y 24 de julio de</w:t>
            </w:r>
            <w:r w:rsidR="00E85689">
              <w:rPr>
                <w:lang w:val="es-ES"/>
              </w:rPr>
              <w:t> </w:t>
            </w:r>
            <w:r w:rsidR="00D412E0" w:rsidRPr="00D412E0">
              <w:rPr>
                <w:lang w:val="es-ES"/>
              </w:rPr>
              <w:t>2024, respectivamente. Los talleres tuvieron por objeto fomentar la capacidad del personal dotándolo de las herramientas necesarias para conseguir una reglamentación colaborativa eficaz. Además, los días 28 de octubre y 26 de noviembre de 2024, la UIT organizó talleres nacionales virtuales multipartit</w:t>
            </w:r>
            <w:r w:rsidR="00E85689">
              <w:rPr>
                <w:lang w:val="es-ES"/>
              </w:rPr>
              <w:t>os</w:t>
            </w:r>
            <w:r w:rsidR="00D412E0" w:rsidRPr="00D412E0">
              <w:rPr>
                <w:lang w:val="es-ES"/>
              </w:rPr>
              <w:t xml:space="preserve"> sobre el examen, el análisis y la regulación de los precios del mercado de las TIC, en los que participaron todos los operadores de redes móviles y los proveedores de servicios de Internet con actividades en Siria, así como representantes del Ministerio y la SyTPRA.</w:t>
            </w:r>
          </w:p>
          <w:p w14:paraId="1A60A0E9" w14:textId="6F0A7EC8"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Europa</w:t>
            </w:r>
            <w:r w:rsidR="00D412E0" w:rsidRPr="00D412E0">
              <w:rPr>
                <w:lang w:val="es-ES"/>
              </w:rPr>
              <w:t xml:space="preserve">, en aras del objetivo de reducir la brecha de reglamentación digital, la </w:t>
            </w:r>
            <w:r w:rsidR="00D412E0" w:rsidRPr="00D412E0">
              <w:rPr>
                <w:b/>
                <w:bCs/>
                <w:lang w:val="es-ES"/>
              </w:rPr>
              <w:t>formación conjunta UIT</w:t>
            </w:r>
            <w:r w:rsidR="00E85689">
              <w:rPr>
                <w:b/>
                <w:bCs/>
                <w:lang w:val="es-ES"/>
              </w:rPr>
              <w:noBreakHyphen/>
            </w:r>
            <w:r w:rsidR="00D412E0" w:rsidRPr="00D412E0">
              <w:rPr>
                <w:b/>
                <w:bCs/>
                <w:lang w:val="es-ES"/>
              </w:rPr>
              <w:t>EMERG</w:t>
            </w:r>
            <w:r w:rsidR="00E85689">
              <w:rPr>
                <w:b/>
                <w:bCs/>
                <w:lang w:val="es-ES"/>
              </w:rPr>
              <w:noBreakHyphen/>
            </w:r>
            <w:r w:rsidR="00D412E0" w:rsidRPr="00D412E0">
              <w:rPr>
                <w:b/>
                <w:bCs/>
                <w:lang w:val="es-ES"/>
              </w:rPr>
              <w:t>EAPEREG en reglamentación de la transformación digital</w:t>
            </w:r>
            <w:r w:rsidR="00D412E0" w:rsidRPr="00D412E0">
              <w:rPr>
                <w:lang w:val="es-ES"/>
              </w:rPr>
              <w:t xml:space="preserve">, impartida entre el 10 de abril y el 30 de mayo de 2024, permitió ampliar los conocimientos de profesionales en el campo de las estrategias de reglamentación digital, la toma de decisiones con base empírica y las últimas novedades de la esfera reglamentaria. La formación en línea estuvo </w:t>
            </w:r>
            <w:r w:rsidR="00D412E0" w:rsidRPr="00D412E0">
              <w:rPr>
                <w:lang w:val="es-ES"/>
              </w:rPr>
              <w:lastRenderedPageBreak/>
              <w:t>abierta a la participación de interesados de Europa y de todo el mundo, y contó con la asistencia de 139</w:t>
            </w:r>
            <w:r w:rsidR="00E85689">
              <w:rPr>
                <w:lang w:val="es-ES"/>
              </w:rPr>
              <w:t> </w:t>
            </w:r>
            <w:r w:rsidR="00D412E0" w:rsidRPr="00D412E0">
              <w:rPr>
                <w:lang w:val="es-ES"/>
              </w:rPr>
              <w:t>personas de 57</w:t>
            </w:r>
            <w:r w:rsidR="00E85689">
              <w:rPr>
                <w:lang w:val="es-ES"/>
              </w:rPr>
              <w:t> </w:t>
            </w:r>
            <w:r w:rsidR="00D412E0" w:rsidRPr="00D412E0">
              <w:rPr>
                <w:lang w:val="es-ES"/>
              </w:rPr>
              <w:t>países. En total, 98</w:t>
            </w:r>
            <w:r w:rsidR="00E85689">
              <w:rPr>
                <w:lang w:val="es-ES"/>
              </w:rPr>
              <w:t> </w:t>
            </w:r>
            <w:r w:rsidR="00D412E0" w:rsidRPr="00D412E0">
              <w:rPr>
                <w:lang w:val="es-ES"/>
              </w:rPr>
              <w:t>participantes recibieron un certificado.</w:t>
            </w:r>
          </w:p>
          <w:p w14:paraId="0809D9B3" w14:textId="00AEADA1" w:rsidR="00D412E0" w:rsidRPr="00F53C12" w:rsidRDefault="00D412E0" w:rsidP="00F53C12">
            <w:pPr>
              <w:pStyle w:val="Tabletext"/>
              <w:rPr>
                <w:b/>
                <w:bCs/>
                <w:lang w:val="es-ES"/>
              </w:rPr>
            </w:pPr>
            <w:r w:rsidRPr="00F53C12">
              <w:rPr>
                <w:b/>
                <w:bCs/>
                <w:lang w:val="es-ES"/>
              </w:rPr>
              <w:t>Prestación de asistencia técnica</w:t>
            </w:r>
          </w:p>
          <w:p w14:paraId="7CF14D57" w14:textId="178FB91A"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b/>
                <w:bCs/>
                <w:lang w:val="es-ES"/>
              </w:rPr>
              <w:t>En África</w:t>
            </w:r>
            <w:r w:rsidR="00D412E0" w:rsidRPr="00D412E0">
              <w:rPr>
                <w:lang w:val="es-ES"/>
              </w:rPr>
              <w:t>, se prestó asistencia técnica para una serie de prioridades técnicas identificadas por el Gobierno de Uganda, desde la elaboración de orientaciones políticas en materia de conectividad de último kilómetro, la compartición de infraestructura, la aplicación y uso de macrodatos, y la evaluación del panorama de la</w:t>
            </w:r>
            <w:r w:rsidR="00A95E5C">
              <w:rPr>
                <w:lang w:val="es-ES"/>
              </w:rPr>
              <w:t> IA</w:t>
            </w:r>
            <w:r w:rsidR="00D412E0" w:rsidRPr="00D412E0">
              <w:rPr>
                <w:lang w:val="es-ES"/>
              </w:rPr>
              <w:t>, hasta la preparación de una estrategia para la implementación de la 5G y los centros de datos ecológicos en Uganda, en el marco del proyecto de transformación llevado a cabo conjuntamente entre el Gobierno de Uganda y la UIT, con el apoyo financiero del Fondo de Asistencia para la Cooperación Sur-Sur y el Desarrollo Mundial de China. Asimismo, se llevaron a cabo cuatro pruebas piloto para apoyar la aplicación de las recomendaciones conexas, en particular para cartografiar la cobertura de Internet móvil en las zonas rurales con los conductores de Bod Boda, desarrollar un portal de datos de educación abierta y capacitar a los tecnoemprendedores con competencias digitales y empresariales para ampliar sus negocios digitales. Se ha prestado asistencia técnica a Namibia con miras a la elaboración de una política nacional de TIC y a Lesotho en favor de la elaboración de una estrategia de transformación digital. También se prestó asistencia técnica a la CRASA para la actualización de su conjunto de herramientas de servicio universal en el marco del proyecto</w:t>
            </w:r>
            <w:r w:rsidR="006E4551">
              <w:rPr>
                <w:lang w:val="es-ES"/>
              </w:rPr>
              <w:t> </w:t>
            </w:r>
            <w:r w:rsidR="00D412E0" w:rsidRPr="00D412E0">
              <w:rPr>
                <w:lang w:val="es-ES"/>
              </w:rPr>
              <w:t>UIT</w:t>
            </w:r>
            <w:r w:rsidR="006E4551">
              <w:rPr>
                <w:lang w:val="es-ES"/>
              </w:rPr>
              <w:noBreakHyphen/>
            </w:r>
            <w:r w:rsidR="00D412E0" w:rsidRPr="00D412E0">
              <w:rPr>
                <w:lang w:val="es-ES"/>
              </w:rPr>
              <w:t>FCDO.</w:t>
            </w:r>
          </w:p>
          <w:p w14:paraId="5030EDFA" w14:textId="1042D999" w:rsidR="00D412E0" w:rsidRPr="00D412E0" w:rsidRDefault="009C68FA" w:rsidP="00C41BDE">
            <w:pPr>
              <w:pStyle w:val="Tabletext"/>
              <w:tabs>
                <w:tab w:val="clear" w:pos="284"/>
              </w:tabs>
              <w:ind w:left="567" w:hanging="567"/>
              <w:rPr>
                <w:lang w:val="es-ES"/>
              </w:rPr>
            </w:pPr>
            <w:r w:rsidRPr="009C68FA">
              <w:rPr>
                <w:lang w:val="es-ES"/>
              </w:rPr>
              <w:t>–</w:t>
            </w:r>
            <w:r w:rsidR="00F53C12">
              <w:rPr>
                <w:lang w:val="es-ES"/>
              </w:rPr>
              <w:tab/>
            </w:r>
            <w:r w:rsidR="00D412E0" w:rsidRPr="00D412E0">
              <w:rPr>
                <w:lang w:val="es-ES"/>
              </w:rPr>
              <w:t xml:space="preserve">En el marco del proyecto </w:t>
            </w:r>
            <w:r>
              <w:rPr>
                <w:lang w:val="es-ES"/>
              </w:rPr>
              <w:t>"</w:t>
            </w:r>
            <w:r w:rsidR="00D412E0" w:rsidRPr="00D412E0">
              <w:rPr>
                <w:lang w:val="es-ES"/>
              </w:rPr>
              <w:t>Iniciativa de Política y Reglamentación para África Digital (PRIDA)</w:t>
            </w:r>
            <w:r>
              <w:rPr>
                <w:lang w:val="es-ES"/>
              </w:rPr>
              <w:t>"</w:t>
            </w:r>
            <w:r w:rsidR="00D412E0" w:rsidRPr="00D412E0">
              <w:rPr>
                <w:lang w:val="es-ES"/>
              </w:rPr>
              <w:t>, la UIT, en colaboración con la Autoridad Nacional de Comunicaciones (NCA) de Somalia, ha ayudado a desarrollar el marco metodológico de tarificación del espectro para proporcionar un enfoque estructurado, transparente y adaptable a los precios del espectro en Somalia. Con este marco se pretende establecer un modelo de tarificación del espectro justo, coherente y económicamente sostenible que equilibre las necesidades de los operadores comerciales, el interés público y los consumidores, y ayudará al país a garantizar que los recursos del espectro de radiofrecuencias se gestionan de forma eficiente, lo que favorecerá el crecimiento económico, la innovación tecnológica y la inclusión digital. Además, en febrero de 2025 se completó la asistencia técnica a Guinea Ecuatorial sobre la valoración del dividendo digital.</w:t>
            </w:r>
          </w:p>
          <w:p w14:paraId="002674E7" w14:textId="380DD6E5" w:rsidR="00D412E0" w:rsidRPr="00D412E0"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lang w:val="es-ES"/>
              </w:rPr>
              <w:t xml:space="preserve">Por otra parte, se desarrolló el </w:t>
            </w:r>
            <w:r w:rsidR="00D412E0" w:rsidRPr="006E0892">
              <w:rPr>
                <w:i/>
                <w:iCs/>
                <w:lang w:val="es-ES"/>
              </w:rPr>
              <w:t>software</w:t>
            </w:r>
            <w:r w:rsidR="00D412E0" w:rsidRPr="00D412E0">
              <w:rPr>
                <w:lang w:val="es-ES"/>
              </w:rPr>
              <w:t xml:space="preserve"> HCM4A y del 3 al 7 de marzo de</w:t>
            </w:r>
            <w:r w:rsidR="004711CF">
              <w:rPr>
                <w:lang w:val="es-ES"/>
              </w:rPr>
              <w:t> </w:t>
            </w:r>
            <w:r w:rsidR="00D412E0" w:rsidRPr="00D412E0">
              <w:rPr>
                <w:lang w:val="es-ES"/>
              </w:rPr>
              <w:t xml:space="preserve">2025 se impartió una formación técnica sobre el HCM4A en Addis Abeba (Etiopía). Asistieron a la formación sobre el funcionamiento y el mantenimiento del </w:t>
            </w:r>
            <w:r w:rsidR="00D412E0" w:rsidRPr="006E0892">
              <w:rPr>
                <w:i/>
                <w:iCs/>
                <w:lang w:val="es-ES"/>
              </w:rPr>
              <w:t>software</w:t>
            </w:r>
            <w:r w:rsidR="00D412E0" w:rsidRPr="00D412E0">
              <w:rPr>
                <w:lang w:val="es-ES"/>
              </w:rPr>
              <w:t xml:space="preserve"> HCM4A (sobre la coordinación de frecuencias entre 29,7</w:t>
            </w:r>
            <w:r w:rsidR="006E0892">
              <w:rPr>
                <w:lang w:val="es-ES"/>
              </w:rPr>
              <w:t> </w:t>
            </w:r>
            <w:r w:rsidR="00D412E0" w:rsidRPr="00D412E0">
              <w:rPr>
                <w:lang w:val="es-ES"/>
              </w:rPr>
              <w:t>MHz y 43,5</w:t>
            </w:r>
            <w:r w:rsidR="006E0892">
              <w:rPr>
                <w:lang w:val="es-ES"/>
              </w:rPr>
              <w:t> </w:t>
            </w:r>
            <w:r w:rsidR="00D412E0" w:rsidRPr="00D412E0">
              <w:rPr>
                <w:lang w:val="es-ES"/>
              </w:rPr>
              <w:t>GHz) para el servicio fijo y el servicio móvil terrestre representantes de 45</w:t>
            </w:r>
            <w:r w:rsidR="006E0892">
              <w:rPr>
                <w:lang w:val="es-ES"/>
              </w:rPr>
              <w:t> </w:t>
            </w:r>
            <w:r w:rsidR="00D412E0" w:rsidRPr="00D412E0">
              <w:rPr>
                <w:lang w:val="es-ES"/>
              </w:rPr>
              <w:t>Estados Miembros, de los cuales 41</w:t>
            </w:r>
            <w:r w:rsidR="006E0892">
              <w:rPr>
                <w:lang w:val="es-ES"/>
              </w:rPr>
              <w:t> </w:t>
            </w:r>
            <w:r w:rsidR="00D412E0" w:rsidRPr="00D412E0">
              <w:rPr>
                <w:lang w:val="es-ES"/>
              </w:rPr>
              <w:t>estuvieron representados por 55</w:t>
            </w:r>
            <w:r w:rsidR="00CB53AE">
              <w:rPr>
                <w:lang w:val="es-ES"/>
              </w:rPr>
              <w:t> </w:t>
            </w:r>
            <w:r w:rsidR="00D412E0" w:rsidRPr="00D412E0">
              <w:rPr>
                <w:lang w:val="es-ES"/>
              </w:rPr>
              <w:t xml:space="preserve">participantes presenciales y </w:t>
            </w:r>
            <w:r w:rsidR="00A95E5C">
              <w:rPr>
                <w:lang w:val="es-ES"/>
              </w:rPr>
              <w:t>cuatro</w:t>
            </w:r>
            <w:r w:rsidR="006E4551">
              <w:rPr>
                <w:lang w:val="es-ES"/>
              </w:rPr>
              <w:t> </w:t>
            </w:r>
            <w:r w:rsidR="00D412E0" w:rsidRPr="00D412E0">
              <w:rPr>
                <w:lang w:val="es-ES"/>
              </w:rPr>
              <w:t>participaron en línea; se inscribieron en esta formación híbrida un total de 70</w:t>
            </w:r>
            <w:r w:rsidR="00CB53AE">
              <w:rPr>
                <w:lang w:val="es-ES"/>
              </w:rPr>
              <w:t> </w:t>
            </w:r>
            <w:r w:rsidR="00D412E0" w:rsidRPr="00D412E0">
              <w:rPr>
                <w:lang w:val="es-ES"/>
              </w:rPr>
              <w:t>participantes.</w:t>
            </w:r>
          </w:p>
          <w:p w14:paraId="5E5F76AA" w14:textId="4C28530C" w:rsidR="00D412E0" w:rsidRPr="00D412E0" w:rsidRDefault="009C68FA" w:rsidP="003609C9">
            <w:pPr>
              <w:pStyle w:val="Tabletext"/>
              <w:tabs>
                <w:tab w:val="clear" w:pos="284"/>
              </w:tabs>
              <w:ind w:left="567" w:hanging="567"/>
              <w:rPr>
                <w:lang w:val="es-ES"/>
              </w:rPr>
            </w:pPr>
            <w:r w:rsidRPr="009C68FA">
              <w:rPr>
                <w:lang w:val="es-ES"/>
              </w:rPr>
              <w:t>–</w:t>
            </w:r>
            <w:r w:rsidR="004629FC">
              <w:rPr>
                <w:lang w:val="es-ES"/>
              </w:rPr>
              <w:tab/>
            </w:r>
            <w:r w:rsidR="00D412E0" w:rsidRPr="00D412E0">
              <w:rPr>
                <w:lang w:val="es-ES"/>
              </w:rPr>
              <w:t xml:space="preserve">El taller sobre competencia y regulación del mercado en el sector de las telecomunicaciones, los mercados digitales y el tránsito de IP se celebró en Gaborone (Botswana) del 4 al 8 de noviembre de 2024 para los miembros de CRASA. Estuvo enfocado a la evaluación de las características del mercado, los impedimentos y las barreras de entrada que pueden dificultar la competencia, en particular los efectos de la red, el coste del capital, las políticas de mercado y de costes y las normativas que pueden afectar a la competencia (restricciones, incentivos, etc.) en los mercados digitales, entre otros. Asimismo, se analizaron las estrategias reguladoras para la fijación de precios de los servicios digitales al por </w:t>
            </w:r>
            <w:r w:rsidR="00D412E0" w:rsidRPr="00D412E0">
              <w:rPr>
                <w:lang w:val="es-ES"/>
              </w:rPr>
              <w:lastRenderedPageBreak/>
              <w:t>mayor, de tránsito de interconexión y para el usuario final, y se estudió un punto de referencia de las prácticas a nivel nacional y regional para orientar la revisión de las directrices de fijación de precios al por mayor para los miembros de</w:t>
            </w:r>
            <w:r w:rsidR="006E4551">
              <w:rPr>
                <w:lang w:val="es-ES"/>
              </w:rPr>
              <w:t> </w:t>
            </w:r>
            <w:r w:rsidR="00D412E0" w:rsidRPr="00D412E0">
              <w:rPr>
                <w:lang w:val="es-ES"/>
              </w:rPr>
              <w:t>CRASA.</w:t>
            </w:r>
          </w:p>
          <w:p w14:paraId="0F58532B" w14:textId="77777777" w:rsidR="00D412E0" w:rsidRPr="004629FC" w:rsidRDefault="00D412E0" w:rsidP="00A811C7">
            <w:pPr>
              <w:pStyle w:val="Tabletext"/>
              <w:keepNext/>
              <w:keepLines/>
              <w:rPr>
                <w:b/>
                <w:bCs/>
                <w:lang w:val="es-ES"/>
              </w:rPr>
            </w:pPr>
            <w:r w:rsidRPr="004629FC">
              <w:rPr>
                <w:b/>
                <w:bCs/>
                <w:lang w:val="es-ES"/>
              </w:rPr>
              <w:t>Plataformas de reunión</w:t>
            </w:r>
          </w:p>
          <w:p w14:paraId="4A7B60B4" w14:textId="05F9D7A7" w:rsidR="00D412E0" w:rsidRPr="00D412E0"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lang w:val="es-ES"/>
              </w:rPr>
              <w:t xml:space="preserve">La edición de 2024 del </w:t>
            </w:r>
            <w:hyperlink r:id="rId54" w:history="1">
              <w:bookmarkStart w:id="16" w:name="_Hlk197094577"/>
              <w:r w:rsidR="00D412E0" w:rsidRPr="00D412E0">
                <w:rPr>
                  <w:rStyle w:val="Hyperlink"/>
                  <w:b/>
                  <w:lang w:val="es-ES"/>
                </w:rPr>
                <w:t>Simposio Mundial para Organismos Reguladores</w:t>
              </w:r>
              <w:bookmarkEnd w:id="16"/>
              <w:r w:rsidR="00D412E0" w:rsidRPr="00D412E0">
                <w:rPr>
                  <w:rStyle w:val="Hyperlink"/>
                  <w:b/>
                  <w:lang w:val="es-ES"/>
                </w:rPr>
                <w:t xml:space="preserve"> (GSR-24)</w:t>
              </w:r>
            </w:hyperlink>
            <w:r w:rsidR="00D412E0" w:rsidRPr="00D412E0">
              <w:rPr>
                <w:lang w:val="es-ES"/>
              </w:rPr>
              <w:t xml:space="preserve"> fue organizado por la UIT en colaboración con el </w:t>
            </w:r>
            <w:r w:rsidR="00112A2E" w:rsidRPr="00D412E0">
              <w:rPr>
                <w:lang w:val="es-ES"/>
              </w:rPr>
              <w:t xml:space="preserve">Gobierno </w:t>
            </w:r>
            <w:r w:rsidR="00D412E0" w:rsidRPr="00D412E0">
              <w:rPr>
                <w:lang w:val="es-ES"/>
              </w:rPr>
              <w:t>de Uganda. Tuvo lugar del 1 al 4 de julio de 2024 bajo el lema "Regular para generar impacto", atrajo a más de 600</w:t>
            </w:r>
            <w:r w:rsidR="006E4551">
              <w:rPr>
                <w:lang w:val="es-ES"/>
              </w:rPr>
              <w:t> </w:t>
            </w:r>
            <w:r w:rsidR="00D412E0" w:rsidRPr="00D412E0">
              <w:rPr>
                <w:lang w:val="es-ES"/>
              </w:rPr>
              <w:t>participantes de más de 75</w:t>
            </w:r>
            <w:r w:rsidR="006E4551">
              <w:rPr>
                <w:lang w:val="es-ES"/>
              </w:rPr>
              <w:t> </w:t>
            </w:r>
            <w:r w:rsidR="00D412E0" w:rsidRPr="00D412E0">
              <w:rPr>
                <w:lang w:val="es-ES"/>
              </w:rPr>
              <w:t>países, entre ellos ministros de gobierno, jefes de organismos reguladores y directores ejecutivos de la industria</w:t>
            </w:r>
            <w:r w:rsidR="00D412E0" w:rsidRPr="00D412E0" w:rsidDel="00B025FF">
              <w:rPr>
                <w:lang w:val="es-ES"/>
              </w:rPr>
              <w:t xml:space="preserve">. </w:t>
            </w:r>
            <w:r w:rsidR="00D412E0" w:rsidRPr="00D412E0">
              <w:rPr>
                <w:lang w:val="es-ES"/>
              </w:rPr>
              <w:t>El GSR</w:t>
            </w:r>
            <w:r w:rsidR="00A95E5C">
              <w:rPr>
                <w:lang w:val="es-ES"/>
              </w:rPr>
              <w:noBreakHyphen/>
            </w:r>
            <w:r w:rsidR="00D412E0" w:rsidRPr="00D412E0">
              <w:rPr>
                <w:lang w:val="es-ES"/>
              </w:rPr>
              <w:t xml:space="preserve">24 contó con sesiones temáticas que reunieron a reguladores, responsables políticos y partes interesadas en el ámbito digital de todo el mundo y constituyó una plataforma mundial para el intercambio de conocimientos. Se celebraron dos eventos especiales sobre las herramientas para lograr un espacio sostenible, y la IA y la robótica en acción respectivamente, que fomentaron el intercambio de conocimientos y el diálogo sobre cuestiones incipientes. Algunos de los eventos previos al GSR-24 fueron la </w:t>
            </w:r>
            <w:r w:rsidR="00A95E5C" w:rsidRPr="00D412E0">
              <w:rPr>
                <w:lang w:val="es-ES"/>
              </w:rPr>
              <w:t>r</w:t>
            </w:r>
            <w:r w:rsidR="00D412E0" w:rsidRPr="00D412E0">
              <w:rPr>
                <w:lang w:val="es-ES"/>
              </w:rPr>
              <w:t xml:space="preserve">eunión de </w:t>
            </w:r>
            <w:r w:rsidR="0094774F" w:rsidRPr="00D412E0">
              <w:rPr>
                <w:lang w:val="es-ES"/>
              </w:rPr>
              <w:t>a</w:t>
            </w:r>
            <w:r w:rsidR="00D412E0" w:rsidRPr="00D412E0">
              <w:rPr>
                <w:lang w:val="es-ES"/>
              </w:rPr>
              <w:t xml:space="preserve">sociaciones de </w:t>
            </w:r>
            <w:r w:rsidR="0094774F" w:rsidRPr="00D412E0">
              <w:rPr>
                <w:lang w:val="es-ES"/>
              </w:rPr>
              <w:t>r</w:t>
            </w:r>
            <w:r w:rsidR="00D412E0" w:rsidRPr="00D412E0">
              <w:rPr>
                <w:lang w:val="es-ES"/>
              </w:rPr>
              <w:t xml:space="preserve">eglamentación </w:t>
            </w:r>
            <w:r w:rsidR="0094774F" w:rsidRPr="00D412E0">
              <w:rPr>
                <w:lang w:val="es-ES"/>
              </w:rPr>
              <w:t>r</w:t>
            </w:r>
            <w:r w:rsidR="00D412E0" w:rsidRPr="00D412E0">
              <w:rPr>
                <w:lang w:val="es-ES"/>
              </w:rPr>
              <w:t xml:space="preserve">egionales y la Red de Reglamentación Digital, la Mesa </w:t>
            </w:r>
            <w:r w:rsidR="00281F03" w:rsidRPr="00D412E0">
              <w:rPr>
                <w:lang w:val="es-ES"/>
              </w:rPr>
              <w:t>r</w:t>
            </w:r>
            <w:r w:rsidR="00D412E0" w:rsidRPr="00D412E0">
              <w:rPr>
                <w:lang w:val="es-ES"/>
              </w:rPr>
              <w:t xml:space="preserve">edonda </w:t>
            </w:r>
            <w:r w:rsidR="00281F03" w:rsidRPr="00D412E0">
              <w:rPr>
                <w:lang w:val="es-ES"/>
              </w:rPr>
              <w:t>e</w:t>
            </w:r>
            <w:r w:rsidR="00D412E0" w:rsidRPr="00D412E0">
              <w:rPr>
                <w:lang w:val="es-ES"/>
              </w:rPr>
              <w:t xml:space="preserve">jecutiva de Directores de </w:t>
            </w:r>
            <w:r w:rsidR="0094774F" w:rsidRPr="00D412E0">
              <w:rPr>
                <w:lang w:val="es-ES"/>
              </w:rPr>
              <w:t>o</w:t>
            </w:r>
            <w:r w:rsidR="00D412E0" w:rsidRPr="00D412E0">
              <w:rPr>
                <w:lang w:val="es-ES"/>
              </w:rPr>
              <w:t xml:space="preserve">rganismos </w:t>
            </w:r>
            <w:r w:rsidR="0094774F" w:rsidRPr="00D412E0">
              <w:rPr>
                <w:lang w:val="es-ES"/>
              </w:rPr>
              <w:t>r</w:t>
            </w:r>
            <w:r w:rsidR="00D412E0" w:rsidRPr="00D412E0">
              <w:rPr>
                <w:lang w:val="es-ES"/>
              </w:rPr>
              <w:t xml:space="preserve">eguladores, la reunión del </w:t>
            </w:r>
            <w:r w:rsidR="00D412E0" w:rsidRPr="00C030C5">
              <w:rPr>
                <w:lang w:val="es-ES"/>
              </w:rPr>
              <w:t>Grupo Asesor de la Industria sobre Desarrollo Digital – Directores de Reglamentación</w:t>
            </w:r>
            <w:r w:rsidR="00D412E0" w:rsidRPr="00D412E0">
              <w:rPr>
                <w:lang w:val="es-ES"/>
              </w:rPr>
              <w:t xml:space="preserve"> (IAGDI</w:t>
            </w:r>
            <w:r w:rsidR="00836C5A">
              <w:rPr>
                <w:lang w:val="es-ES"/>
              </w:rPr>
              <w:noBreakHyphen/>
            </w:r>
            <w:r w:rsidR="00D412E0" w:rsidRPr="00D412E0">
              <w:rPr>
                <w:lang w:val="es-ES"/>
              </w:rPr>
              <w:t>CRO) y una sesión de la Red de Mujeres (NoW) en la BDT.</w:t>
            </w:r>
          </w:p>
          <w:p w14:paraId="7A39A930" w14:textId="3DEEA74A" w:rsidR="00D412E0" w:rsidRPr="00D412E0" w:rsidDel="006D2E13"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lang w:val="es-ES"/>
              </w:rPr>
              <w:t>En el marco del Evento de Alto Nivel del Foro de la Cumbre Mundial sobre la Sociedad de la Información (CMSI)+20 de</w:t>
            </w:r>
            <w:r w:rsidR="006E4551">
              <w:rPr>
                <w:lang w:val="es-ES"/>
              </w:rPr>
              <w:t> </w:t>
            </w:r>
            <w:r w:rsidR="00D412E0" w:rsidRPr="00D412E0">
              <w:rPr>
                <w:lang w:val="es-ES"/>
              </w:rPr>
              <w:t xml:space="preserve">2024, la </w:t>
            </w:r>
            <w:r w:rsidR="00D412E0" w:rsidRPr="003609C9">
              <w:rPr>
                <w:b/>
                <w:bCs/>
                <w:lang w:val="es-ES"/>
              </w:rPr>
              <w:t>sesión interactiva de este año de la Línea de Acción</w:t>
            </w:r>
            <w:r w:rsidR="006E4551" w:rsidRPr="003609C9">
              <w:rPr>
                <w:b/>
                <w:bCs/>
                <w:lang w:val="es-ES"/>
              </w:rPr>
              <w:t> </w:t>
            </w:r>
            <w:r w:rsidR="00D412E0" w:rsidRPr="003609C9">
              <w:rPr>
                <w:b/>
                <w:bCs/>
                <w:lang w:val="es-ES"/>
              </w:rPr>
              <w:t>C6 (Entorno propicio)</w:t>
            </w:r>
            <w:r w:rsidR="00D412E0" w:rsidRPr="00D412E0">
              <w:rPr>
                <w:lang w:val="es-ES"/>
              </w:rPr>
              <w:t xml:space="preserve"> se centró en el tema "Colaboración para generar impacto".</w:t>
            </w:r>
            <w:r w:rsidR="00D412E0" w:rsidRPr="00D412E0" w:rsidDel="006D2E13">
              <w:rPr>
                <w:lang w:val="es-ES"/>
              </w:rPr>
              <w:t xml:space="preserve"> </w:t>
            </w:r>
            <w:r w:rsidR="00D412E0" w:rsidRPr="00D412E0">
              <w:rPr>
                <w:lang w:val="es-ES"/>
              </w:rPr>
              <w:t xml:space="preserve">El objetivo de la sesión era facilitar un debate con las </w:t>
            </w:r>
            <w:r w:rsidR="0094774F" w:rsidRPr="00D412E0">
              <w:rPr>
                <w:lang w:val="es-ES"/>
              </w:rPr>
              <w:t>a</w:t>
            </w:r>
            <w:r w:rsidR="00D412E0" w:rsidRPr="00D412E0">
              <w:rPr>
                <w:lang w:val="es-ES"/>
              </w:rPr>
              <w:t xml:space="preserve">sociaciones de </w:t>
            </w:r>
            <w:r w:rsidR="0094774F" w:rsidRPr="00D412E0">
              <w:rPr>
                <w:lang w:val="es-ES"/>
              </w:rPr>
              <w:t>r</w:t>
            </w:r>
            <w:r w:rsidR="00D412E0" w:rsidRPr="00D412E0">
              <w:rPr>
                <w:lang w:val="es-ES"/>
              </w:rPr>
              <w:t>eglamentación (RA) regionales y sus miembros para abordar cuestiones críticas a las que se enfrentan las partes interesadas en las TIC al adoptar tecnologías transformadoras para lograr un mayor impacto</w:t>
            </w:r>
            <w:r w:rsidR="00D412E0" w:rsidRPr="00D412E0" w:rsidDel="006D2E13">
              <w:rPr>
                <w:lang w:val="es-ES"/>
              </w:rPr>
              <w:t>.</w:t>
            </w:r>
          </w:p>
          <w:p w14:paraId="111C8170" w14:textId="3B9DEF1E" w:rsidR="00D412E0" w:rsidRPr="00D412E0"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lang w:val="es-ES"/>
              </w:rPr>
              <w:t xml:space="preserve">La </w:t>
            </w:r>
            <w:hyperlink r:id="rId55" w:history="1">
              <w:r w:rsidR="00D412E0" w:rsidRPr="00D412E0">
                <w:rPr>
                  <w:rStyle w:val="Hyperlink"/>
                  <w:lang w:val="es-ES"/>
                </w:rPr>
                <w:t>Red de Reglamentación Digital (DRN)</w:t>
              </w:r>
            </w:hyperlink>
            <w:r w:rsidR="00D412E0" w:rsidRPr="00382D54">
              <w:rPr>
                <w:lang w:val="es-ES"/>
              </w:rPr>
              <w:t xml:space="preserve"> </w:t>
            </w:r>
            <w:r w:rsidR="00D412E0" w:rsidRPr="00D412E0">
              <w:rPr>
                <w:lang w:val="es-ES"/>
              </w:rPr>
              <w:t>es una nueva iniciativa, lanzada por el Dr.</w:t>
            </w:r>
            <w:r w:rsidR="00B41069">
              <w:rPr>
                <w:lang w:val="es-ES"/>
              </w:rPr>
              <w:t> </w:t>
            </w:r>
            <w:r w:rsidR="00D412E0" w:rsidRPr="00D412E0">
              <w:rPr>
                <w:lang w:val="es-ES"/>
              </w:rPr>
              <w:t>Cosmas Luckyson Zavazava, Director de la</w:t>
            </w:r>
            <w:r w:rsidR="006E4551">
              <w:rPr>
                <w:lang w:val="es-ES"/>
              </w:rPr>
              <w:t> </w:t>
            </w:r>
            <w:r w:rsidR="00D412E0" w:rsidRPr="00D412E0">
              <w:rPr>
                <w:lang w:val="es-ES"/>
              </w:rPr>
              <w:t>BDT, en junio de 2023 durante la reunión regional de asociaciones de reglamentación del GSR-23. La</w:t>
            </w:r>
            <w:r w:rsidR="00C030C5">
              <w:rPr>
                <w:lang w:val="es-ES"/>
              </w:rPr>
              <w:t> </w:t>
            </w:r>
            <w:r w:rsidR="0094774F">
              <w:rPr>
                <w:lang w:val="es-ES"/>
              </w:rPr>
              <w:t>DRN</w:t>
            </w:r>
            <w:r w:rsidR="00D412E0" w:rsidRPr="00D412E0">
              <w:rPr>
                <w:lang w:val="es-ES"/>
              </w:rPr>
              <w:t>, facilitada por diversas asociaciones de reglamentación de alcance regional y mundial, aprovecha la cooperación Sur</w:t>
            </w:r>
            <w:r w:rsidR="006E0892">
              <w:rPr>
                <w:lang w:val="es-ES"/>
              </w:rPr>
              <w:noBreakHyphen/>
            </w:r>
            <w:r w:rsidR="00D412E0" w:rsidRPr="00D412E0">
              <w:rPr>
                <w:lang w:val="es-ES"/>
              </w:rPr>
              <w:t>Sur, Norte</w:t>
            </w:r>
            <w:r w:rsidR="0094774F">
              <w:rPr>
                <w:lang w:val="es-ES"/>
              </w:rPr>
              <w:noBreakHyphen/>
            </w:r>
            <w:r w:rsidR="00D412E0" w:rsidRPr="00D412E0">
              <w:rPr>
                <w:lang w:val="es-ES"/>
              </w:rPr>
              <w:t xml:space="preserve">Sur y triangular. Su labor se articula en torno a tres componentes principales: liderazgo intelectual, capacitación y experiencia e innovación en materia de reglamentación. La iniciativa ayudará a acelerar la transformación digital gracias a la adopción de enfoques comunes para la colaboración en materia de política, reglamentación y gobernanza digitales en todos los sectores económicos y de manera transfronteriza. La sesión específica con las Asociaciones Regionales de Reguladores se centró en maximizar las oportunidades digitales en la </w:t>
            </w:r>
            <w:r w:rsidR="0061116D" w:rsidRPr="00D412E0">
              <w:rPr>
                <w:lang w:val="es-ES"/>
              </w:rPr>
              <w:t>r</w:t>
            </w:r>
            <w:r w:rsidR="00D412E0" w:rsidRPr="00D412E0">
              <w:rPr>
                <w:lang w:val="es-ES"/>
              </w:rPr>
              <w:t xml:space="preserve">egión de las Américas: el papel de los gobiernos, los reguladores y las Asociaciones Regionales de Reguladores para lograr enfoques coherentes ante retos complejos. Estas sesiones se centraron en las principales actividades que las Asociaciones de Reguladores están llevando a cabo y en cómo la iniciativa de la </w:t>
            </w:r>
            <w:r w:rsidR="00D412E0" w:rsidRPr="00DE1EE9">
              <w:rPr>
                <w:lang w:val="es-ES"/>
              </w:rPr>
              <w:t>DRN</w:t>
            </w:r>
            <w:r w:rsidR="00D412E0" w:rsidRPr="00D412E0">
              <w:rPr>
                <w:lang w:val="es-ES"/>
              </w:rPr>
              <w:t xml:space="preserve"> podría apoyarlas.</w:t>
            </w:r>
          </w:p>
          <w:p w14:paraId="0D9E67DA" w14:textId="69E56DB6" w:rsidR="00D412E0" w:rsidRPr="00D412E0"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b/>
                <w:bCs/>
                <w:lang w:val="es-ES"/>
              </w:rPr>
              <w:t>En las Américas</w:t>
            </w:r>
            <w:r w:rsidR="00D412E0" w:rsidRPr="00D412E0">
              <w:rPr>
                <w:lang w:val="es-ES"/>
              </w:rPr>
              <w:t>, el</w:t>
            </w:r>
            <w:r w:rsidR="00D412E0" w:rsidRPr="00D412E0">
              <w:rPr>
                <w:b/>
                <w:lang w:val="es-ES"/>
              </w:rPr>
              <w:t xml:space="preserve"> </w:t>
            </w:r>
            <w:hyperlink r:id="rId56">
              <w:r w:rsidR="00D412E0" w:rsidRPr="00D412E0">
                <w:rPr>
                  <w:rStyle w:val="Hyperlink"/>
                  <w:lang w:val="es-ES"/>
                </w:rPr>
                <w:t xml:space="preserve">Coloquio de </w:t>
              </w:r>
              <w:r w:rsidR="00F91811" w:rsidRPr="00D412E0">
                <w:rPr>
                  <w:rStyle w:val="Hyperlink"/>
                  <w:lang w:val="es-ES"/>
                </w:rPr>
                <w:t>p</w:t>
              </w:r>
              <w:r w:rsidR="00D412E0" w:rsidRPr="00D412E0">
                <w:rPr>
                  <w:rStyle w:val="Hyperlink"/>
                  <w:lang w:val="es-ES"/>
                </w:rPr>
                <w:t xml:space="preserve">olítica y </w:t>
              </w:r>
              <w:r w:rsidR="00F91811" w:rsidRPr="00D412E0">
                <w:rPr>
                  <w:rStyle w:val="Hyperlink"/>
                  <w:lang w:val="es-ES"/>
                </w:rPr>
                <w:t>e</w:t>
              </w:r>
              <w:r w:rsidR="00D412E0" w:rsidRPr="00D412E0">
                <w:rPr>
                  <w:rStyle w:val="Hyperlink"/>
                  <w:lang w:val="es-ES"/>
                </w:rPr>
                <w:t>conomía de la UIT (IPEC-24)</w:t>
              </w:r>
            </w:hyperlink>
            <w:r w:rsidR="00D412E0" w:rsidRPr="00D412E0">
              <w:rPr>
                <w:lang w:val="es-ES"/>
              </w:rPr>
              <w:t xml:space="preserve"> se celebró en Perú del 2 al 6 de septiembre </w:t>
            </w:r>
            <w:r w:rsidR="00F91811">
              <w:rPr>
                <w:lang w:val="es-ES"/>
              </w:rPr>
              <w:t xml:space="preserve">de 2024 </w:t>
            </w:r>
            <w:r w:rsidR="00D412E0" w:rsidRPr="00D412E0">
              <w:rPr>
                <w:lang w:val="es-ES"/>
              </w:rPr>
              <w:t>y se centró en las deficiencias de financiación para garantizar las inversiones y lograr un desarrollo digital inclusivo y sostenible en la región de las Américas. Este evento atrajo a más de 150</w:t>
            </w:r>
            <w:r w:rsidR="00CB53AE">
              <w:rPr>
                <w:lang w:val="es-ES"/>
              </w:rPr>
              <w:t> </w:t>
            </w:r>
            <w:r w:rsidR="00D412E0" w:rsidRPr="00D412E0">
              <w:rPr>
                <w:lang w:val="es-ES"/>
              </w:rPr>
              <w:t>delegados de 21</w:t>
            </w:r>
            <w:r w:rsidR="00CB53AE">
              <w:rPr>
                <w:lang w:val="es-ES"/>
              </w:rPr>
              <w:t> </w:t>
            </w:r>
            <w:r w:rsidR="00D412E0" w:rsidRPr="00D412E0">
              <w:rPr>
                <w:lang w:val="es-ES"/>
              </w:rPr>
              <w:t xml:space="preserve">países. </w:t>
            </w:r>
            <w:r w:rsidR="00F91811">
              <w:rPr>
                <w:lang w:val="es-ES"/>
              </w:rPr>
              <w:t>E</w:t>
            </w:r>
            <w:r w:rsidR="00D412E0" w:rsidRPr="00D412E0">
              <w:rPr>
                <w:lang w:val="es-ES"/>
              </w:rPr>
              <w:t xml:space="preserve">n el marco </w:t>
            </w:r>
            <w:r w:rsidR="00D412E0" w:rsidRPr="00D412E0">
              <w:rPr>
                <w:lang w:val="es-ES"/>
              </w:rPr>
              <w:lastRenderedPageBreak/>
              <w:t xml:space="preserve">del </w:t>
            </w:r>
            <w:r w:rsidR="00D412E0" w:rsidRPr="00D412E0">
              <w:rPr>
                <w:b/>
                <w:bCs/>
                <w:lang w:val="es-ES"/>
              </w:rPr>
              <w:t>Diálogo Económico Regional (DER-AMS)</w:t>
            </w:r>
            <w:r w:rsidR="00D412E0" w:rsidRPr="00D412E0">
              <w:rPr>
                <w:lang w:val="es-ES"/>
              </w:rPr>
              <w:t xml:space="preserve"> se examinaron las </w:t>
            </w:r>
            <w:r w:rsidR="00D412E0" w:rsidRPr="00C030C5">
              <w:rPr>
                <w:lang w:val="es-ES"/>
              </w:rPr>
              <w:t>prácticas</w:t>
            </w:r>
            <w:r w:rsidR="00D412E0" w:rsidRPr="00D412E0">
              <w:rPr>
                <w:lang w:val="es-ES"/>
              </w:rPr>
              <w:t xml:space="preserve"> </w:t>
            </w:r>
            <w:r w:rsidR="00D00FA5">
              <w:rPr>
                <w:lang w:val="es-ES"/>
              </w:rPr>
              <w:t xml:space="preserve">idóneas </w:t>
            </w:r>
            <w:r w:rsidR="00D412E0" w:rsidRPr="00D412E0">
              <w:rPr>
                <w:lang w:val="es-ES"/>
              </w:rPr>
              <w:t>existentes en materia de políticas y reglamentación económicas y se hizo una evaluación de los requisitos relativos a la infraestructura y los servicios de TIC, así como los mecanismos de financiación y la inversión en las Américas</w:t>
            </w:r>
            <w:r w:rsidR="00D412E0" w:rsidRPr="00D412E0" w:rsidDel="00AD1A92">
              <w:rPr>
                <w:lang w:val="es-ES"/>
              </w:rPr>
              <w:t>.</w:t>
            </w:r>
            <w:r w:rsidR="00D412E0" w:rsidRPr="00D412E0">
              <w:rPr>
                <w:lang w:val="es-ES"/>
              </w:rPr>
              <w:t xml:space="preserve"> Se celebró una sesión específica sobre los avances y las </w:t>
            </w:r>
            <w:r w:rsidR="00D412E0" w:rsidRPr="00C030C5">
              <w:rPr>
                <w:lang w:val="es-ES"/>
              </w:rPr>
              <w:t>diferentes prácticas</w:t>
            </w:r>
            <w:r w:rsidR="00D412E0" w:rsidRPr="00D412E0">
              <w:rPr>
                <w:lang w:val="es-ES"/>
              </w:rPr>
              <w:t xml:space="preserve"> en la región en materia de estrategias reglamentarias de costes y precios.</w:t>
            </w:r>
          </w:p>
          <w:p w14:paraId="1102D896" w14:textId="78523DBF" w:rsidR="00D412E0" w:rsidRPr="00D412E0" w:rsidRDefault="009C68FA" w:rsidP="00C41BDE">
            <w:pPr>
              <w:pStyle w:val="Tabletext"/>
              <w:tabs>
                <w:tab w:val="clear" w:pos="284"/>
              </w:tabs>
              <w:ind w:left="567" w:hanging="567"/>
              <w:rPr>
                <w:lang w:val="es-ES"/>
              </w:rPr>
            </w:pPr>
            <w:r w:rsidRPr="009C68FA">
              <w:rPr>
                <w:lang w:val="es-ES"/>
              </w:rPr>
              <w:t>–</w:t>
            </w:r>
            <w:r w:rsidR="004629FC">
              <w:rPr>
                <w:lang w:val="es-ES"/>
              </w:rPr>
              <w:tab/>
            </w:r>
            <w:r w:rsidR="00D412E0" w:rsidRPr="00D412E0">
              <w:rPr>
                <w:b/>
                <w:bCs/>
                <w:lang w:val="es-ES"/>
              </w:rPr>
              <w:t>En Europa</w:t>
            </w:r>
            <w:r w:rsidR="00D412E0" w:rsidRPr="009C68FA">
              <w:rPr>
                <w:lang w:val="es-ES"/>
              </w:rPr>
              <w:t xml:space="preserve">, </w:t>
            </w:r>
            <w:r w:rsidR="00D412E0" w:rsidRPr="00D412E0">
              <w:rPr>
                <w:lang w:val="es-ES"/>
              </w:rPr>
              <w:t>la Conferencia Reglamentaria Internacional de 2024 tuvo lugar en Macedonia del Norte en mayo. El evento titulado "Cierre de la brecha – Comienzo de una nueva era" ofreció una plataforma de debate sobre las comunicaciones electrónicas, reduciendo las disparidades en materia de tecnologías y conectando a las sociedades y economías. El evento contó con tres paneles dedicados a la gestión y comprobación técnica del espectro, la ciberseguridad y las cuestiones reglamentarias y de la banda ancha.</w:t>
            </w:r>
          </w:p>
          <w:p w14:paraId="353BA36C" w14:textId="0F25F5A8" w:rsidR="00D412E0" w:rsidRPr="00D412E0" w:rsidRDefault="00D412E0" w:rsidP="00C41BDE">
            <w:pPr>
              <w:pStyle w:val="Tabletext"/>
              <w:ind w:left="567"/>
              <w:rPr>
                <w:lang w:val="es-ES"/>
              </w:rPr>
            </w:pPr>
            <w:r w:rsidRPr="00D412E0">
              <w:rPr>
                <w:lang w:val="es-ES"/>
              </w:rPr>
              <w:t>El Foro Regional UIT-EKIP sobre Reglamentación se celebró en septiembre en Budva (Montenegro) y brindó a más de 150</w:t>
            </w:r>
            <w:r w:rsidR="008B4FB2">
              <w:rPr>
                <w:lang w:val="es-ES"/>
              </w:rPr>
              <w:t> </w:t>
            </w:r>
            <w:r w:rsidRPr="00D412E0">
              <w:rPr>
                <w:lang w:val="es-ES"/>
              </w:rPr>
              <w:t>expertos en reglamentación de más de 20</w:t>
            </w:r>
            <w:r w:rsidR="008B4FB2">
              <w:rPr>
                <w:lang w:val="es-ES"/>
              </w:rPr>
              <w:t> </w:t>
            </w:r>
            <w:r w:rsidRPr="00D412E0">
              <w:rPr>
                <w:lang w:val="es-ES"/>
              </w:rPr>
              <w:t>países un espacio para descubrir las últimas tendencias mundiales y regionales e intercambiar experiencias nacionales. Algunos de los temas abordados por los 35</w:t>
            </w:r>
            <w:r w:rsidR="008B4FB2">
              <w:rPr>
                <w:lang w:val="es-ES"/>
              </w:rPr>
              <w:t> </w:t>
            </w:r>
            <w:r w:rsidRPr="00D412E0">
              <w:rPr>
                <w:lang w:val="es-ES"/>
              </w:rPr>
              <w:t xml:space="preserve">ponentes en el </w:t>
            </w:r>
            <w:r w:rsidR="00F91811">
              <w:rPr>
                <w:lang w:val="es-ES"/>
              </w:rPr>
              <w:t>f</w:t>
            </w:r>
            <w:r w:rsidRPr="00D412E0">
              <w:rPr>
                <w:lang w:val="es-ES"/>
              </w:rPr>
              <w:t>oro fueron las estrategias reglamentarias para las tecnologías de telecomunicaciones emergentes, las tendencias y avances en materia de infraestructura digital, la calidad y los derechos en los servicios de telecomunicaciones, la ciberseguridad y privacidad, la sostenibilidad y la respuesta a catástrofes.</w:t>
            </w:r>
          </w:p>
          <w:p w14:paraId="4BF9312A" w14:textId="28139EA4" w:rsidR="00D412E0" w:rsidRPr="00D412E0" w:rsidRDefault="00D412E0" w:rsidP="00C41BDE">
            <w:pPr>
              <w:pStyle w:val="Tabletext"/>
              <w:ind w:left="567"/>
              <w:rPr>
                <w:lang w:val="es-ES"/>
              </w:rPr>
            </w:pPr>
            <w:r w:rsidRPr="00D412E0">
              <w:rPr>
                <w:lang w:val="es-ES"/>
              </w:rPr>
              <w:t>La Conferencia 5G Techritory fue coorganizada por la UIT y tuvo lugar en Riga (Letonia) del 30 al 31 de octubre. La Conferencia constituye un importante espacio de debate para la región y alberga a oradores procedentes de gobiernos, organismos internacionales, instituciones académicas y el sector privado. Durante esos dos días, a la edición de 2024 asistieron más de 1 000</w:t>
            </w:r>
            <w:r w:rsidR="008B4FB2">
              <w:rPr>
                <w:lang w:val="es-ES"/>
              </w:rPr>
              <w:t> </w:t>
            </w:r>
            <w:r w:rsidRPr="00D412E0">
              <w:rPr>
                <w:lang w:val="es-ES"/>
              </w:rPr>
              <w:t>participantes procedentes de más de 40</w:t>
            </w:r>
            <w:r w:rsidR="00B41069">
              <w:rPr>
                <w:lang w:val="es-ES"/>
              </w:rPr>
              <w:t> </w:t>
            </w:r>
            <w:r w:rsidRPr="00D412E0">
              <w:rPr>
                <w:lang w:val="es-ES"/>
              </w:rPr>
              <w:t>países diferentes. Entre los temas abordados en los 26 paneles figuraron también las prioridades de la conectividad europea, la ciberseguridad, la conectividad marítima y la inclusión digital.</w:t>
            </w:r>
          </w:p>
          <w:p w14:paraId="31DFE450" w14:textId="651FB32D" w:rsidR="00D412E0" w:rsidRPr="00D412E0" w:rsidRDefault="00D412E0" w:rsidP="00C41BDE">
            <w:pPr>
              <w:pStyle w:val="Tabletext"/>
              <w:ind w:left="567"/>
              <w:rPr>
                <w:lang w:val="es-ES"/>
              </w:rPr>
            </w:pPr>
            <w:r w:rsidRPr="00D412E0">
              <w:rPr>
                <w:lang w:val="es-ES"/>
              </w:rPr>
              <w:t xml:space="preserve">El taller sobre el </w:t>
            </w:r>
            <w:r w:rsidR="00F91811" w:rsidRPr="00D412E0">
              <w:rPr>
                <w:lang w:val="es-ES"/>
              </w:rPr>
              <w:t>f</w:t>
            </w:r>
            <w:r w:rsidRPr="00D412E0">
              <w:rPr>
                <w:lang w:val="es-ES"/>
              </w:rPr>
              <w:t xml:space="preserve">uturo de la </w:t>
            </w:r>
            <w:r w:rsidR="00F91811" w:rsidRPr="00D412E0">
              <w:rPr>
                <w:lang w:val="es-ES"/>
              </w:rPr>
              <w:t>t</w:t>
            </w:r>
            <w:r w:rsidRPr="00D412E0">
              <w:rPr>
                <w:lang w:val="es-ES"/>
              </w:rPr>
              <w:t>elevisión para Europa, celebrado en cooperación con la</w:t>
            </w:r>
            <w:r w:rsidR="008B4FB2">
              <w:rPr>
                <w:lang w:val="es-ES"/>
              </w:rPr>
              <w:t> </w:t>
            </w:r>
            <w:r w:rsidRPr="00D412E0">
              <w:rPr>
                <w:lang w:val="es-ES"/>
              </w:rPr>
              <w:t>BR y la</w:t>
            </w:r>
            <w:r w:rsidR="008B4FB2">
              <w:rPr>
                <w:lang w:val="es-ES"/>
              </w:rPr>
              <w:t> </w:t>
            </w:r>
            <w:r w:rsidRPr="00D412E0">
              <w:rPr>
                <w:lang w:val="es-ES"/>
              </w:rPr>
              <w:t>TSB, se celebró en noviembre con el objeto de examinar el tema con las partes interesadas pertinentes y abordó los marcos reglamentarios y políticos, las infraestructuras y los servicios de las TIC incipientes y convergentes, así como las cuestiones relativas a las interfaces de usuario y los factores humanos. Algunos de los puntos examinados fueron la experiencia del usuario, las normas y políticas, y la radiodifusión resiliente y sostenible. El taller se organizó en colaboración con la Cuestión</w:t>
            </w:r>
            <w:r w:rsidR="00CB53AE">
              <w:rPr>
                <w:lang w:val="es-ES"/>
              </w:rPr>
              <w:t> </w:t>
            </w:r>
            <w:r w:rsidRPr="00D412E0">
              <w:rPr>
                <w:lang w:val="es-ES"/>
              </w:rPr>
              <w:t>2/1 de la Comisión de Estudio</w:t>
            </w:r>
            <w:r w:rsidR="00CB53AE">
              <w:rPr>
                <w:lang w:val="es-ES"/>
              </w:rPr>
              <w:t> </w:t>
            </w:r>
            <w:r w:rsidRPr="00D412E0">
              <w:rPr>
                <w:lang w:val="es-ES"/>
              </w:rPr>
              <w:t>1 del UIT-D.</w:t>
            </w:r>
          </w:p>
          <w:p w14:paraId="7546928C" w14:textId="77777777" w:rsidR="00D412E0" w:rsidRPr="00D412E0" w:rsidRDefault="00D412E0" w:rsidP="004629FC">
            <w:pPr>
              <w:pStyle w:val="Tabletext"/>
              <w:rPr>
                <w:lang w:val="es-ES"/>
              </w:rPr>
            </w:pPr>
            <w:r w:rsidRPr="00D412E0">
              <w:rPr>
                <w:lang w:val="es-ES"/>
              </w:rPr>
              <w:t>Estas iniciativas han permitido afianzar las asociaciones, el compromiso y la colaboración de los organismos reguladores, las asociaciones de reglamentación, el sector privado y los responsables políticos de diferentes sectores, enriqueciendo las conversaciones y mostrando la colaboración entre sectores para acelerar la transformación digital.</w:t>
            </w:r>
          </w:p>
        </w:tc>
        <w:tc>
          <w:tcPr>
            <w:tcW w:w="2999" w:type="dxa"/>
          </w:tcPr>
          <w:p w14:paraId="2F70FB9F" w14:textId="1B5066D9" w:rsidR="00D412E0" w:rsidRPr="00C41BDE" w:rsidRDefault="00D412E0" w:rsidP="004F1716">
            <w:pPr>
              <w:pStyle w:val="Tabletext"/>
              <w:rPr>
                <w:b/>
                <w:bCs/>
                <w:color w:val="0070C0"/>
                <w:lang w:val="es-ES"/>
              </w:rPr>
            </w:pPr>
            <w:r w:rsidRPr="00C41BDE">
              <w:rPr>
                <w:b/>
                <w:bCs/>
                <w:color w:val="0070C0"/>
                <w:lang w:val="es-ES"/>
              </w:rPr>
              <w:lastRenderedPageBreak/>
              <w:t>Mejora de la política y reglamentación nacional</w:t>
            </w:r>
          </w:p>
          <w:p w14:paraId="1C71D8DB" w14:textId="636154A6" w:rsidR="00D412E0" w:rsidRPr="00D412E0" w:rsidRDefault="004C3ECC" w:rsidP="004F1716">
            <w:pPr>
              <w:pStyle w:val="Tabletext"/>
              <w:ind w:left="284" w:hanging="284"/>
              <w:rPr>
                <w:lang w:val="es-ES"/>
              </w:rPr>
            </w:pPr>
            <w:r w:rsidRPr="004C3ECC">
              <w:rPr>
                <w:lang w:val="es-ES"/>
              </w:rPr>
              <w:t>–</w:t>
            </w:r>
            <w:r w:rsidR="004F1716">
              <w:rPr>
                <w:lang w:val="es-ES"/>
              </w:rPr>
              <w:tab/>
            </w:r>
            <w:r w:rsidR="00D412E0" w:rsidRPr="00D412E0">
              <w:rPr>
                <w:lang w:val="es-ES"/>
              </w:rPr>
              <w:t>Directrices sobre prácticas idóneas del GSR</w:t>
            </w:r>
          </w:p>
          <w:p w14:paraId="56991815" w14:textId="24C58A15" w:rsidR="00D412E0" w:rsidRPr="00D412E0" w:rsidRDefault="004C3ECC" w:rsidP="004F1716">
            <w:pPr>
              <w:pStyle w:val="Tabletext"/>
              <w:ind w:left="284" w:hanging="284"/>
              <w:rPr>
                <w:lang w:val="es-ES"/>
              </w:rPr>
            </w:pPr>
            <w:r w:rsidRPr="004C3ECC">
              <w:rPr>
                <w:lang w:val="es-ES"/>
              </w:rPr>
              <w:t>–</w:t>
            </w:r>
            <w:r w:rsidR="004F1716">
              <w:rPr>
                <w:lang w:val="es-ES"/>
              </w:rPr>
              <w:tab/>
            </w:r>
            <w:r w:rsidR="00D412E0" w:rsidRPr="00D412E0">
              <w:rPr>
                <w:lang w:val="es-ES"/>
              </w:rPr>
              <w:t>Artículos publicados en la Plataforma de Reglamentación Digital sobre temas de actualidad</w:t>
            </w:r>
          </w:p>
          <w:p w14:paraId="3EC53078" w14:textId="55ACE157" w:rsidR="00D412E0" w:rsidRPr="004F1716" w:rsidRDefault="00D412E0" w:rsidP="004F1716">
            <w:pPr>
              <w:pStyle w:val="Tabletext"/>
              <w:rPr>
                <w:b/>
                <w:bCs/>
                <w:lang w:val="es-ES"/>
              </w:rPr>
            </w:pPr>
            <w:r w:rsidRPr="004F1716">
              <w:rPr>
                <w:b/>
                <w:bCs/>
                <w:lang w:val="es-ES"/>
              </w:rPr>
              <w:t>África</w:t>
            </w:r>
          </w:p>
          <w:p w14:paraId="2DE14DFA" w14:textId="798D83BD" w:rsidR="00D412E0" w:rsidRPr="00D412E0" w:rsidRDefault="004C3ECC" w:rsidP="004F1716">
            <w:pPr>
              <w:pStyle w:val="Tabletext"/>
              <w:ind w:left="284" w:hanging="284"/>
              <w:rPr>
                <w:lang w:val="es-ES"/>
              </w:rPr>
            </w:pPr>
            <w:r w:rsidRPr="004C3ECC">
              <w:rPr>
                <w:lang w:val="es-ES"/>
              </w:rPr>
              <w:t>–</w:t>
            </w:r>
            <w:r w:rsidR="004F1716">
              <w:rPr>
                <w:lang w:val="es-ES"/>
              </w:rPr>
              <w:tab/>
            </w:r>
            <w:r w:rsidR="00D412E0" w:rsidRPr="00D412E0">
              <w:rPr>
                <w:lang w:val="es-ES"/>
              </w:rPr>
              <w:t>Proyecto de evaluación comparativa de las TIC en África Central</w:t>
            </w:r>
          </w:p>
          <w:p w14:paraId="37793641" w14:textId="430CEB00" w:rsidR="00D412E0" w:rsidRPr="00D412E0" w:rsidRDefault="004C3ECC" w:rsidP="004F1716">
            <w:pPr>
              <w:pStyle w:val="Tabletext"/>
              <w:ind w:left="284" w:hanging="284"/>
              <w:rPr>
                <w:lang w:val="es-ES"/>
              </w:rPr>
            </w:pPr>
            <w:r w:rsidRPr="004C3ECC">
              <w:rPr>
                <w:lang w:val="es-ES"/>
              </w:rPr>
              <w:t>–</w:t>
            </w:r>
            <w:r w:rsidR="004F1716">
              <w:rPr>
                <w:lang w:val="es-ES"/>
              </w:rPr>
              <w:tab/>
            </w:r>
            <w:r w:rsidR="00D412E0" w:rsidRPr="00D412E0">
              <w:rPr>
                <w:lang w:val="es-ES"/>
              </w:rPr>
              <w:t xml:space="preserve">Asistencia técnica y formación a Uganda sobre </w:t>
            </w:r>
            <w:r w:rsidR="00D412E0" w:rsidRPr="00D412E0">
              <w:rPr>
                <w:lang w:val="es-ES"/>
              </w:rPr>
              <w:lastRenderedPageBreak/>
              <w:t>la estrategia nacional de desarrollo de las TIC</w:t>
            </w:r>
          </w:p>
          <w:p w14:paraId="204B05E3" w14:textId="4114CA97" w:rsidR="00D412E0" w:rsidRPr="004F1716" w:rsidRDefault="00D412E0" w:rsidP="004F1716">
            <w:pPr>
              <w:pStyle w:val="Tabletext"/>
              <w:rPr>
                <w:b/>
                <w:bCs/>
                <w:lang w:val="es-ES"/>
              </w:rPr>
            </w:pPr>
            <w:r w:rsidRPr="004F1716">
              <w:rPr>
                <w:b/>
                <w:bCs/>
                <w:lang w:val="es-ES"/>
              </w:rPr>
              <w:t>Américas</w:t>
            </w:r>
          </w:p>
          <w:p w14:paraId="792D8F62" w14:textId="59109487" w:rsidR="00D412E0" w:rsidRPr="00D412E0" w:rsidRDefault="004C3ECC" w:rsidP="004F1716">
            <w:pPr>
              <w:pStyle w:val="Tabletext"/>
              <w:ind w:left="284" w:hanging="284"/>
              <w:rPr>
                <w:lang w:val="es-ES"/>
              </w:rPr>
            </w:pPr>
            <w:r w:rsidRPr="004C3ECC">
              <w:rPr>
                <w:lang w:val="es-ES"/>
              </w:rPr>
              <w:t>–</w:t>
            </w:r>
            <w:r w:rsidR="004F1716">
              <w:rPr>
                <w:lang w:val="es-ES"/>
              </w:rPr>
              <w:tab/>
            </w:r>
            <w:r w:rsidR="00D412E0" w:rsidRPr="00D412E0">
              <w:rPr>
                <w:lang w:val="es-ES"/>
              </w:rPr>
              <w:t>Asistencia a Honduras para mejorar la reglamentación</w:t>
            </w:r>
          </w:p>
          <w:p w14:paraId="63E28C19" w14:textId="16331762" w:rsidR="00D412E0" w:rsidRPr="004F1716" w:rsidRDefault="00D412E0" w:rsidP="004F1716">
            <w:pPr>
              <w:pStyle w:val="Tabletext"/>
              <w:rPr>
                <w:b/>
                <w:bCs/>
                <w:lang w:val="es-ES"/>
              </w:rPr>
            </w:pPr>
            <w:r w:rsidRPr="004F1716">
              <w:rPr>
                <w:b/>
                <w:bCs/>
                <w:lang w:val="es-ES"/>
              </w:rPr>
              <w:t>Estados Árabes</w:t>
            </w:r>
          </w:p>
          <w:p w14:paraId="052591B3" w14:textId="79B1E265" w:rsidR="00D412E0" w:rsidRPr="00D412E0" w:rsidRDefault="004C3ECC" w:rsidP="004F1716">
            <w:pPr>
              <w:pStyle w:val="Tabletext"/>
              <w:rPr>
                <w:lang w:val="es-ES"/>
              </w:rPr>
            </w:pPr>
            <w:r w:rsidRPr="004C3ECC">
              <w:rPr>
                <w:lang w:val="es-ES"/>
              </w:rPr>
              <w:t>–</w:t>
            </w:r>
            <w:r w:rsidR="004F1716">
              <w:rPr>
                <w:lang w:val="es-ES"/>
              </w:rPr>
              <w:tab/>
            </w:r>
            <w:r w:rsidR="00D412E0" w:rsidRPr="00D412E0">
              <w:rPr>
                <w:lang w:val="es-ES"/>
              </w:rPr>
              <w:t>Omán, Qatar y Siria</w:t>
            </w:r>
          </w:p>
          <w:p w14:paraId="49426C2F" w14:textId="1C3AC8B9" w:rsidR="00D412E0" w:rsidRPr="004F1716" w:rsidRDefault="00D412E0" w:rsidP="004F1716">
            <w:pPr>
              <w:pStyle w:val="Tabletext"/>
              <w:rPr>
                <w:b/>
                <w:bCs/>
                <w:lang w:val="es-ES"/>
              </w:rPr>
            </w:pPr>
            <w:r w:rsidRPr="004F1716">
              <w:rPr>
                <w:b/>
                <w:bCs/>
                <w:lang w:val="es-ES"/>
              </w:rPr>
              <w:t>Europa</w:t>
            </w:r>
          </w:p>
          <w:p w14:paraId="143D3213" w14:textId="1FA77290" w:rsidR="00D412E0" w:rsidRPr="00D412E0" w:rsidRDefault="004C3ECC" w:rsidP="004F1716">
            <w:pPr>
              <w:pStyle w:val="Tabletext"/>
              <w:rPr>
                <w:lang w:val="es-ES"/>
              </w:rPr>
            </w:pPr>
            <w:r w:rsidRPr="004C3ECC">
              <w:rPr>
                <w:lang w:val="es-ES"/>
              </w:rPr>
              <w:t>–</w:t>
            </w:r>
            <w:r w:rsidR="004F1716">
              <w:rPr>
                <w:lang w:val="es-ES"/>
              </w:rPr>
              <w:tab/>
            </w:r>
            <w:r w:rsidR="00D412E0" w:rsidRPr="00D412E0">
              <w:rPr>
                <w:lang w:val="es-ES"/>
              </w:rPr>
              <w:t>Ucrania</w:t>
            </w:r>
          </w:p>
          <w:p w14:paraId="0AB6C511" w14:textId="15D0F84A" w:rsidR="00D412E0" w:rsidRPr="00D412E0" w:rsidRDefault="004C3ECC" w:rsidP="004F1716">
            <w:pPr>
              <w:pStyle w:val="Tabletext"/>
              <w:rPr>
                <w:lang w:val="es-ES"/>
              </w:rPr>
            </w:pPr>
            <w:r w:rsidRPr="004C3ECC">
              <w:rPr>
                <w:lang w:val="es-ES"/>
              </w:rPr>
              <w:t>–</w:t>
            </w:r>
            <w:r w:rsidR="004F1716">
              <w:rPr>
                <w:lang w:val="es-ES"/>
              </w:rPr>
              <w:tab/>
            </w:r>
            <w:r w:rsidR="00D412E0" w:rsidRPr="00D412E0">
              <w:rPr>
                <w:lang w:val="es-ES"/>
              </w:rPr>
              <w:t>Letonia</w:t>
            </w:r>
          </w:p>
        </w:tc>
      </w:tr>
      <w:tr w:rsidR="00D412E0" w:rsidRPr="002F5AC1" w14:paraId="0AA51F37" w14:textId="77777777" w:rsidTr="004711CF">
        <w:trPr>
          <w:jc w:val="center"/>
        </w:trPr>
        <w:tc>
          <w:tcPr>
            <w:tcW w:w="14556" w:type="dxa"/>
            <w:gridSpan w:val="3"/>
            <w:shd w:val="clear" w:color="auto" w:fill="E5DFEC"/>
          </w:tcPr>
          <w:p w14:paraId="09376E9C" w14:textId="77777777" w:rsidR="00D412E0" w:rsidRPr="00C41BDE" w:rsidRDefault="00D412E0" w:rsidP="00E274D9">
            <w:pPr>
              <w:pStyle w:val="Tabletext"/>
              <w:keepNext/>
              <w:keepLines/>
              <w:rPr>
                <w:b/>
                <w:bCs/>
                <w:color w:val="1F497D"/>
                <w:lang w:val="es-ES"/>
              </w:rPr>
            </w:pPr>
            <w:r w:rsidRPr="00C41BDE">
              <w:rPr>
                <w:b/>
                <w:bCs/>
                <w:color w:val="1F497D"/>
                <w:lang w:val="es-ES"/>
              </w:rPr>
              <w:lastRenderedPageBreak/>
              <w:t>Estadísticas</w:t>
            </w:r>
          </w:p>
          <w:p w14:paraId="2E9AFB3D" w14:textId="1D9B56AF" w:rsidR="00D412E0" w:rsidRPr="00D412E0" w:rsidRDefault="004265A8" w:rsidP="00E274D9">
            <w:pPr>
              <w:pStyle w:val="Tabletext"/>
              <w:rPr>
                <w:i/>
                <w:iCs/>
                <w:lang w:val="es-ES"/>
              </w:rPr>
            </w:pPr>
            <w:r w:rsidRPr="004265A8">
              <w:rPr>
                <w:b/>
                <w:bCs/>
                <w:i/>
                <w:iCs/>
                <w:lang w:val="es-ES"/>
              </w:rPr>
              <w:t>Realización</w:t>
            </w:r>
            <w:r w:rsidR="00D412E0" w:rsidRPr="004629FC">
              <w:rPr>
                <w:b/>
                <w:bCs/>
                <w:i/>
                <w:iCs/>
                <w:lang w:val="es-ES"/>
              </w:rPr>
              <w:t>:</w:t>
            </w:r>
            <w:r w:rsidR="00D412E0" w:rsidRPr="00D412E0">
              <w:rPr>
                <w:i/>
                <w:iCs/>
                <w:lang w:val="es-ES"/>
              </w:rPr>
              <w:t xml:space="preserve"> Mayor capacidad de los Estados Miembros para producir estadísticas de telecomunicaciones/TIC de alta calidad y comparables a escala internacional que reflejen la evolución y las tendencias de las telecomunicaciones/TIC sobre la base de normas y métodos concertados</w:t>
            </w:r>
            <w:r w:rsidR="00A20ED8">
              <w:rPr>
                <w:i/>
                <w:iCs/>
                <w:lang w:val="es-ES"/>
              </w:rPr>
              <w:t>.</w:t>
            </w:r>
          </w:p>
        </w:tc>
      </w:tr>
      <w:tr w:rsidR="00D412E0" w:rsidRPr="002F5AC1" w14:paraId="2668320A" w14:textId="77777777" w:rsidTr="004711CF">
        <w:trPr>
          <w:jc w:val="center"/>
        </w:trPr>
        <w:tc>
          <w:tcPr>
            <w:tcW w:w="11557" w:type="dxa"/>
            <w:gridSpan w:val="2"/>
          </w:tcPr>
          <w:p w14:paraId="7BAB4277" w14:textId="77777777" w:rsidR="00D412E0" w:rsidRPr="004629FC" w:rsidRDefault="00D412E0" w:rsidP="00E274D9">
            <w:pPr>
              <w:pStyle w:val="Tabletext"/>
              <w:rPr>
                <w:b/>
                <w:bCs/>
                <w:lang w:val="es-ES"/>
              </w:rPr>
            </w:pPr>
            <w:r w:rsidRPr="004629FC">
              <w:rPr>
                <w:b/>
                <w:bCs/>
                <w:lang w:val="es-ES"/>
              </w:rPr>
              <w:t>Serie de medición del desarrollo digital</w:t>
            </w:r>
          </w:p>
          <w:p w14:paraId="7421C5FD" w14:textId="52116109" w:rsidR="00D412E0" w:rsidRPr="00D412E0" w:rsidRDefault="00D412E0" w:rsidP="00E274D9">
            <w:pPr>
              <w:pStyle w:val="Tabletext"/>
              <w:rPr>
                <w:lang w:val="es-ES"/>
              </w:rPr>
            </w:pPr>
            <w:r w:rsidRPr="00D412E0">
              <w:rPr>
                <w:lang w:val="es-ES"/>
              </w:rPr>
              <w:t>Nuevos productos de información contribuyeron a fomentar la conciencia entre los Estados Miembros acerca de la conectividad universal y efectiva como un imperativo político, y a mejorar la capacidad de los Estados Miembros.</w:t>
            </w:r>
          </w:p>
          <w:p w14:paraId="4EB5775E" w14:textId="5FF1D866" w:rsidR="00D412E0" w:rsidRPr="00D412E0" w:rsidRDefault="00C41BDE" w:rsidP="00E274D9">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En 2024 se publicaron dos ediciones especiales de </w:t>
            </w:r>
            <w:r w:rsidR="00D412E0" w:rsidRPr="00D412E0">
              <w:rPr>
                <w:i/>
                <w:iCs/>
                <w:lang w:val="es-ES"/>
              </w:rPr>
              <w:t>Hechos y Cifras</w:t>
            </w:r>
            <w:r w:rsidR="00D412E0" w:rsidRPr="00D412E0">
              <w:rPr>
                <w:lang w:val="es-ES"/>
              </w:rPr>
              <w:t xml:space="preserve">, una sobre los </w:t>
            </w:r>
            <w:hyperlink r:id="rId57" w:history="1">
              <w:r w:rsidR="00D412E0" w:rsidRPr="00C030C5">
                <w:rPr>
                  <w:rStyle w:val="Hyperlink"/>
                  <w:lang w:val="es-ES"/>
                </w:rPr>
                <w:t>pequeños Estados insulares en desarrollo</w:t>
              </w:r>
            </w:hyperlink>
            <w:r w:rsidR="00D412E0" w:rsidRPr="00D412E0">
              <w:rPr>
                <w:lang w:val="es-ES"/>
              </w:rPr>
              <w:t xml:space="preserve"> (PEID) y otra sobre los </w:t>
            </w:r>
            <w:hyperlink r:id="rId58" w:history="1">
              <w:r w:rsidR="00D412E0" w:rsidRPr="00A25164">
                <w:rPr>
                  <w:rStyle w:val="Hyperlink"/>
                  <w:lang w:val="es-ES"/>
                </w:rPr>
                <w:t>países en desarrollo sin litoral</w:t>
              </w:r>
            </w:hyperlink>
            <w:r w:rsidR="00D412E0" w:rsidRPr="00D412E0">
              <w:rPr>
                <w:lang w:val="es-ES"/>
              </w:rPr>
              <w:t xml:space="preserve"> (PDSL) antes de las conferencias mundiales dedicadas a estos países. Según las estimaciones de 2023, las publicaciones evalúan el estado de la conectividad en los</w:t>
            </w:r>
            <w:r w:rsidR="00A25164">
              <w:rPr>
                <w:lang w:val="es-ES"/>
              </w:rPr>
              <w:t> </w:t>
            </w:r>
            <w:r w:rsidR="00D412E0" w:rsidRPr="00D412E0">
              <w:rPr>
                <w:lang w:val="es-ES"/>
              </w:rPr>
              <w:t>PEID y los</w:t>
            </w:r>
            <w:r w:rsidR="00A25164">
              <w:rPr>
                <w:lang w:val="es-ES"/>
              </w:rPr>
              <w:t> </w:t>
            </w:r>
            <w:r w:rsidR="00D412E0" w:rsidRPr="00D412E0">
              <w:rPr>
                <w:lang w:val="es-ES"/>
              </w:rPr>
              <w:t>PDSL, y destacan su diversidad, sus desafíos comunes y sus puntos fuertes en los que deben basarse</w:t>
            </w:r>
            <w:r w:rsidR="008B4FB2">
              <w:rPr>
                <w:lang w:val="es-ES"/>
              </w:rPr>
              <w:t>.</w:t>
            </w:r>
          </w:p>
          <w:p w14:paraId="22B11FC0" w14:textId="45E59B98" w:rsidR="00D412E0" w:rsidRPr="00D412E0" w:rsidRDefault="00C41BDE" w:rsidP="00E274D9">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El </w:t>
            </w:r>
            <w:hyperlink r:id="rId59">
              <w:r w:rsidR="00D412E0" w:rsidRPr="00D412E0">
                <w:rPr>
                  <w:rStyle w:val="Hyperlink"/>
                  <w:lang w:val="es-ES"/>
                </w:rPr>
                <w:t xml:space="preserve">Informe de </w:t>
              </w:r>
              <w:r w:rsidR="00F91811" w:rsidRPr="00D412E0">
                <w:rPr>
                  <w:rStyle w:val="Hyperlink"/>
                  <w:lang w:val="es-ES"/>
                </w:rPr>
                <w:t>p</w:t>
              </w:r>
              <w:r w:rsidR="00D412E0" w:rsidRPr="00D412E0">
                <w:rPr>
                  <w:rStyle w:val="Hyperlink"/>
                  <w:lang w:val="es-ES"/>
                </w:rPr>
                <w:t xml:space="preserve">olíticas sobre la </w:t>
              </w:r>
              <w:r w:rsidR="00F91811" w:rsidRPr="00D412E0">
                <w:rPr>
                  <w:rStyle w:val="Hyperlink"/>
                  <w:lang w:val="es-ES"/>
                </w:rPr>
                <w:t>a</w:t>
              </w:r>
              <w:r w:rsidR="00D412E0" w:rsidRPr="00D412E0">
                <w:rPr>
                  <w:rStyle w:val="Hyperlink"/>
                  <w:lang w:val="es-ES"/>
                </w:rPr>
                <w:t xml:space="preserve">sequibilidad de los </w:t>
              </w:r>
              <w:r w:rsidR="00F91811" w:rsidRPr="00D412E0">
                <w:rPr>
                  <w:rStyle w:val="Hyperlink"/>
                  <w:lang w:val="es-ES"/>
                </w:rPr>
                <w:t xml:space="preserve">servicios </w:t>
              </w:r>
              <w:r w:rsidR="00D412E0" w:rsidRPr="00D412E0">
                <w:rPr>
                  <w:rStyle w:val="Hyperlink"/>
                  <w:lang w:val="es-ES"/>
                </w:rPr>
                <w:t>de TIC de 2023</w:t>
              </w:r>
            </w:hyperlink>
            <w:r w:rsidR="00D412E0" w:rsidRPr="00D412E0">
              <w:rPr>
                <w:lang w:val="es-ES"/>
              </w:rPr>
              <w:t xml:space="preserve"> desgranó las ideas fundamentales del </w:t>
            </w:r>
            <w:hyperlink r:id="rId60">
              <w:r w:rsidR="00D412E0" w:rsidRPr="00D412E0">
                <w:rPr>
                  <w:rStyle w:val="Hyperlink"/>
                  <w:lang w:val="es-ES"/>
                </w:rPr>
                <w:t>conjunto de datos relativos a los precios de las TIC de 2023</w:t>
              </w:r>
            </w:hyperlink>
            <w:r w:rsidR="00D412E0" w:rsidRPr="00D412E0">
              <w:rPr>
                <w:lang w:val="es-ES"/>
              </w:rPr>
              <w:t>.</w:t>
            </w:r>
          </w:p>
          <w:p w14:paraId="001BD0FC" w14:textId="38BB18D1" w:rsidR="00D412E0" w:rsidRPr="00D412E0" w:rsidRDefault="00C41BDE" w:rsidP="00E274D9">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En junio se publicó el </w:t>
            </w:r>
            <w:hyperlink r:id="rId61" w:history="1">
              <w:r w:rsidR="00D412E0" w:rsidRPr="00F91811">
                <w:rPr>
                  <w:rStyle w:val="Hyperlink"/>
                  <w:i/>
                  <w:iCs/>
                  <w:lang w:val="es-ES"/>
                </w:rPr>
                <w:t>Índice de Desarrollo de las TIC de 2024</w:t>
              </w:r>
            </w:hyperlink>
            <w:r w:rsidR="00D412E0" w:rsidRPr="00D412E0">
              <w:rPr>
                <w:lang w:val="es-ES"/>
              </w:rPr>
              <w:t xml:space="preserve">, la segunda edición basada en la nueva </w:t>
            </w:r>
            <w:hyperlink r:id="rId62" w:history="1">
              <w:r w:rsidR="00D412E0" w:rsidRPr="00D412E0">
                <w:rPr>
                  <w:rStyle w:val="Hyperlink"/>
                  <w:lang w:val="es-ES"/>
                </w:rPr>
                <w:t>metodología del IDT</w:t>
              </w:r>
            </w:hyperlink>
            <w:r w:rsidR="00D412E0" w:rsidRPr="00D412E0">
              <w:rPr>
                <w:lang w:val="es-ES"/>
              </w:rPr>
              <w:t xml:space="preserve"> adoptada en</w:t>
            </w:r>
            <w:r w:rsidR="008B4FB2">
              <w:rPr>
                <w:lang w:val="es-ES"/>
              </w:rPr>
              <w:t> </w:t>
            </w:r>
            <w:r w:rsidR="00D412E0" w:rsidRPr="00D412E0">
              <w:rPr>
                <w:lang w:val="es-ES"/>
              </w:rPr>
              <w:t xml:space="preserve">2023, y se puso en marcha un nuevo </w:t>
            </w:r>
            <w:hyperlink r:id="rId63" w:history="1">
              <w:r w:rsidR="00D412E0" w:rsidRPr="00D412E0">
                <w:rPr>
                  <w:rStyle w:val="Hyperlink"/>
                  <w:lang w:val="es-ES"/>
                </w:rPr>
                <w:t>Panel del IDT</w:t>
              </w:r>
            </w:hyperlink>
            <w:r w:rsidR="00D412E0" w:rsidRPr="00D412E0">
              <w:rPr>
                <w:lang w:val="es-ES"/>
              </w:rPr>
              <w:t xml:space="preserve"> integrado en el Centro de </w:t>
            </w:r>
            <w:r w:rsidR="00BD752D" w:rsidRPr="00D412E0">
              <w:rPr>
                <w:lang w:val="es-ES"/>
              </w:rPr>
              <w:t>d</w:t>
            </w:r>
            <w:r w:rsidR="00D412E0" w:rsidRPr="00D412E0">
              <w:rPr>
                <w:lang w:val="es-ES"/>
              </w:rPr>
              <w:t>atos de la</w:t>
            </w:r>
            <w:r w:rsidR="008B4FB2">
              <w:rPr>
                <w:lang w:val="es-ES"/>
              </w:rPr>
              <w:t> </w:t>
            </w:r>
            <w:r w:rsidR="00D412E0" w:rsidRPr="00D412E0">
              <w:rPr>
                <w:lang w:val="es-ES"/>
              </w:rPr>
              <w:t>UIT.</w:t>
            </w:r>
          </w:p>
          <w:p w14:paraId="462D0AEB" w14:textId="49CD1078" w:rsidR="00D412E0" w:rsidRPr="00D412E0" w:rsidRDefault="00C41BDE" w:rsidP="00E274D9">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La </w:t>
            </w:r>
            <w:hyperlink r:id="rId64" w:history="1">
              <w:r w:rsidR="00D412E0" w:rsidRPr="00D412E0">
                <w:rPr>
                  <w:rStyle w:val="Hyperlink"/>
                  <w:lang w:val="es-ES"/>
                </w:rPr>
                <w:t>edición de 2024</w:t>
              </w:r>
            </w:hyperlink>
            <w:r w:rsidR="00D412E0" w:rsidRPr="00D412E0">
              <w:rPr>
                <w:lang w:val="es-ES"/>
              </w:rPr>
              <w:t xml:space="preserve"> de la publicación mundial </w:t>
            </w:r>
            <w:r w:rsidR="00D412E0" w:rsidRPr="00D412E0">
              <w:rPr>
                <w:i/>
                <w:iCs/>
                <w:lang w:val="es-ES"/>
              </w:rPr>
              <w:t>Hechos y Cifras</w:t>
            </w:r>
            <w:r w:rsidR="00D412E0" w:rsidRPr="00D412E0">
              <w:rPr>
                <w:lang w:val="es-ES"/>
              </w:rPr>
              <w:t xml:space="preserve"> salió a la luz en noviembre e incluye estimaciones de los principales indicadores de las TIC a nivel mundial y desglosados por regiones de la</w:t>
            </w:r>
            <w:r w:rsidR="00A25164">
              <w:rPr>
                <w:lang w:val="es-ES"/>
              </w:rPr>
              <w:t> </w:t>
            </w:r>
            <w:r w:rsidR="00D412E0" w:rsidRPr="00D412E0">
              <w:rPr>
                <w:lang w:val="es-ES"/>
              </w:rPr>
              <w:t>UIT, grupos de ingresos y grupos especiales de las Naciones Unidas.</w:t>
            </w:r>
          </w:p>
          <w:p w14:paraId="4908BC21" w14:textId="4E34D4FF" w:rsidR="00D412E0" w:rsidRPr="00D412E0" w:rsidRDefault="00C41BDE" w:rsidP="00E274D9">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En los respectivos Foros de Desarrollo Regional se editó una serie de </w:t>
            </w:r>
            <w:hyperlink r:id="rId65" w:history="1">
              <w:r w:rsidR="00D412E0" w:rsidRPr="00D412E0">
                <w:rPr>
                  <w:rStyle w:val="Hyperlink"/>
                  <w:lang w:val="es-ES"/>
                </w:rPr>
                <w:t>seis</w:t>
              </w:r>
              <w:r w:rsidR="004321F9">
                <w:rPr>
                  <w:rStyle w:val="Hyperlink"/>
                  <w:lang w:val="es-ES"/>
                </w:rPr>
                <w:t> </w:t>
              </w:r>
              <w:r w:rsidR="00D412E0" w:rsidRPr="00D412E0">
                <w:rPr>
                  <w:rStyle w:val="Hyperlink"/>
                  <w:lang w:val="es-ES"/>
                </w:rPr>
                <w:t>publicaciones sobre el estado del desarrollo digital y las tendencias</w:t>
              </w:r>
            </w:hyperlink>
            <w:r w:rsidR="00D412E0" w:rsidRPr="00D412E0">
              <w:rPr>
                <w:lang w:val="es-ES"/>
              </w:rPr>
              <w:t>, cada una de ellas centrada en una región de la</w:t>
            </w:r>
            <w:r w:rsidR="008B4FB2">
              <w:rPr>
                <w:lang w:val="es-ES"/>
              </w:rPr>
              <w:t> </w:t>
            </w:r>
            <w:r w:rsidR="00D412E0" w:rsidRPr="00D412E0">
              <w:rPr>
                <w:lang w:val="es-ES"/>
              </w:rPr>
              <w:t>UIT.</w:t>
            </w:r>
          </w:p>
          <w:p w14:paraId="6F260F48" w14:textId="77777777" w:rsidR="00D412E0" w:rsidRPr="004629FC" w:rsidRDefault="00D412E0" w:rsidP="00A811C7">
            <w:pPr>
              <w:pStyle w:val="Tabletext"/>
              <w:rPr>
                <w:b/>
                <w:bCs/>
                <w:lang w:val="es-ES"/>
              </w:rPr>
            </w:pPr>
            <w:r w:rsidRPr="004629FC">
              <w:rPr>
                <w:b/>
                <w:bCs/>
                <w:lang w:val="es-ES"/>
              </w:rPr>
              <w:t>Presencia digital y herramientas de productividad</w:t>
            </w:r>
          </w:p>
          <w:p w14:paraId="2225406F" w14:textId="77777777" w:rsidR="00D412E0" w:rsidRPr="00D412E0" w:rsidRDefault="00D412E0" w:rsidP="004629FC">
            <w:pPr>
              <w:pStyle w:val="Tabletext"/>
              <w:rPr>
                <w:lang w:val="es-ES"/>
              </w:rPr>
            </w:pPr>
            <w:r w:rsidRPr="00D412E0">
              <w:rPr>
                <w:lang w:val="es-ES"/>
              </w:rPr>
              <w:t>La mejora de la presencia en línea contribuyó a mejorar la capacidad de los Estados Miembros para presentar datos de calidad, y a mejorar el acceso a las estadísticas y la información reglamentaria en materia de TIC.</w:t>
            </w:r>
          </w:p>
          <w:p w14:paraId="0A259ECC" w14:textId="06D74F3C" w:rsidR="00D412E0" w:rsidRPr="00D412E0" w:rsidRDefault="00C41BDE" w:rsidP="00C41BDE">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El Cuestionario sobre los </w:t>
            </w:r>
            <w:r w:rsidR="00732CB0" w:rsidRPr="00D412E0">
              <w:rPr>
                <w:lang w:val="es-ES"/>
              </w:rPr>
              <w:t>i</w:t>
            </w:r>
            <w:r w:rsidR="00D412E0" w:rsidRPr="00D412E0">
              <w:rPr>
                <w:lang w:val="es-ES"/>
              </w:rPr>
              <w:t xml:space="preserve">ndicadores </w:t>
            </w:r>
            <w:r w:rsidR="00732CB0" w:rsidRPr="00D412E0">
              <w:rPr>
                <w:lang w:val="es-ES"/>
              </w:rPr>
              <w:t>m</w:t>
            </w:r>
            <w:r w:rsidR="00D412E0" w:rsidRPr="00D412E0">
              <w:rPr>
                <w:lang w:val="es-ES"/>
              </w:rPr>
              <w:t xml:space="preserve">undiales de las </w:t>
            </w:r>
            <w:r w:rsidR="00732CB0" w:rsidRPr="00D412E0">
              <w:rPr>
                <w:lang w:val="es-ES"/>
              </w:rPr>
              <w:t>t</w:t>
            </w:r>
            <w:r w:rsidR="00D412E0" w:rsidRPr="00D412E0">
              <w:rPr>
                <w:lang w:val="es-ES"/>
              </w:rPr>
              <w:t>elecomunicaciones/TIC está ahora disponible en los seis idiomas oficiales.</w:t>
            </w:r>
          </w:p>
          <w:p w14:paraId="60499BA0" w14:textId="6D524E55" w:rsidR="00D412E0" w:rsidRPr="00D412E0" w:rsidRDefault="00C41BDE" w:rsidP="00C41BDE">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Se añadieron nuevas herramientas al </w:t>
            </w:r>
            <w:hyperlink r:id="rId66">
              <w:r w:rsidR="00D412E0" w:rsidRPr="00D412E0">
                <w:rPr>
                  <w:rStyle w:val="Hyperlink"/>
                  <w:lang w:val="es-ES"/>
                </w:rPr>
                <w:t xml:space="preserve">Centro de </w:t>
              </w:r>
              <w:r w:rsidR="00BD752D" w:rsidRPr="00D412E0">
                <w:rPr>
                  <w:rStyle w:val="Hyperlink"/>
                  <w:lang w:val="es-ES"/>
                </w:rPr>
                <w:t>d</w:t>
              </w:r>
              <w:r w:rsidR="00D412E0" w:rsidRPr="00D412E0">
                <w:rPr>
                  <w:rStyle w:val="Hyperlink"/>
                  <w:lang w:val="es-ES"/>
                </w:rPr>
                <w:t>atos de la UIT</w:t>
              </w:r>
            </w:hyperlink>
            <w:r w:rsidR="00D412E0" w:rsidRPr="00D412E0">
              <w:rPr>
                <w:lang w:val="es-ES"/>
              </w:rPr>
              <w:t xml:space="preserve">, incluida una herramienta de </w:t>
            </w:r>
            <w:hyperlink r:id="rId67" w:history="1">
              <w:r w:rsidR="00D412E0" w:rsidRPr="00D412E0">
                <w:rPr>
                  <w:rStyle w:val="Hyperlink"/>
                  <w:lang w:val="es-ES"/>
                </w:rPr>
                <w:t>consulta avanzada de datos</w:t>
              </w:r>
            </w:hyperlink>
            <w:r w:rsidR="00D412E0" w:rsidRPr="00D412E0">
              <w:rPr>
                <w:lang w:val="es-ES"/>
              </w:rPr>
              <w:t xml:space="preserve"> y un </w:t>
            </w:r>
            <w:hyperlink r:id="rId68" w:history="1">
              <w:r w:rsidR="00D412E0" w:rsidRPr="00D412E0">
                <w:rPr>
                  <w:rStyle w:val="Hyperlink"/>
                  <w:lang w:val="es-ES"/>
                </w:rPr>
                <w:t>mapa coroplético</w:t>
              </w:r>
            </w:hyperlink>
            <w:r w:rsidR="00D412E0" w:rsidRPr="00D412E0">
              <w:rPr>
                <w:lang w:val="es-ES"/>
              </w:rPr>
              <w:t xml:space="preserve"> para visualizar a la vez el desempeño de los países respecto del indicador seleccionado. La última edición de la base de datos sobre indicadores de las telecomunicaciones/TIC mundiales (WTI) con suscripción se lanzó en enero de 2024 y ulteriormente dejó de ofrecerse, ya que todos sus datos </w:t>
            </w:r>
            <w:r w:rsidR="00BD752D">
              <w:rPr>
                <w:lang w:val="es-ES"/>
              </w:rPr>
              <w:t xml:space="preserve">se </w:t>
            </w:r>
            <w:r w:rsidR="00BD752D" w:rsidRPr="00BD752D">
              <w:rPr>
                <w:lang w:val="es-ES"/>
              </w:rPr>
              <w:t>encuentran actualmente disponibles de manera gratuita en el Centro de datos de la UIT</w:t>
            </w:r>
            <w:r w:rsidR="00D412E0" w:rsidRPr="00BD752D">
              <w:rPr>
                <w:lang w:val="es-ES"/>
              </w:rPr>
              <w:t>.</w:t>
            </w:r>
          </w:p>
          <w:p w14:paraId="02E426B7" w14:textId="1C16094D" w:rsidR="00D412E0" w:rsidRPr="00D412E0" w:rsidRDefault="00C41BDE" w:rsidP="00C41BDE">
            <w:pPr>
              <w:pStyle w:val="Tabletext"/>
              <w:tabs>
                <w:tab w:val="clear" w:pos="284"/>
              </w:tabs>
              <w:ind w:left="567" w:hanging="567"/>
              <w:rPr>
                <w:lang w:val="es-ES"/>
              </w:rPr>
            </w:pPr>
            <w:r w:rsidRPr="00C41BDE">
              <w:rPr>
                <w:lang w:val="es-ES"/>
              </w:rPr>
              <w:t>–</w:t>
            </w:r>
            <w:r w:rsidR="004629FC">
              <w:rPr>
                <w:lang w:val="es-ES"/>
              </w:rPr>
              <w:tab/>
            </w:r>
            <w:r w:rsidR="00D412E0" w:rsidRPr="00D412E0">
              <w:rPr>
                <w:lang w:val="es-ES"/>
              </w:rPr>
              <w:t xml:space="preserve">Entre diciembre de 2023 y noviembre de 2024, el tráfico del Centro de </w:t>
            </w:r>
            <w:r w:rsidR="00BD752D" w:rsidRPr="00D412E0">
              <w:rPr>
                <w:lang w:val="es-ES"/>
              </w:rPr>
              <w:t>d</w:t>
            </w:r>
            <w:r w:rsidR="00D412E0" w:rsidRPr="00D412E0">
              <w:rPr>
                <w:lang w:val="es-ES"/>
              </w:rPr>
              <w:t>atos aumentó un 170 %.</w:t>
            </w:r>
          </w:p>
          <w:p w14:paraId="05ADE8F1" w14:textId="77777777" w:rsidR="00D412E0" w:rsidRPr="004629FC" w:rsidRDefault="00D412E0" w:rsidP="00E274D9">
            <w:pPr>
              <w:pStyle w:val="Tabletext"/>
              <w:keepNext/>
              <w:keepLines/>
              <w:rPr>
                <w:b/>
                <w:bCs/>
                <w:lang w:val="es-ES"/>
              </w:rPr>
            </w:pPr>
            <w:r w:rsidRPr="004629FC">
              <w:rPr>
                <w:b/>
                <w:bCs/>
                <w:lang w:val="es-ES"/>
              </w:rPr>
              <w:lastRenderedPageBreak/>
              <w:t>Recopilación de datos y elaboración de estadísticas</w:t>
            </w:r>
          </w:p>
          <w:p w14:paraId="7BCE0A57" w14:textId="77777777" w:rsidR="00D412E0" w:rsidRPr="00D412E0" w:rsidRDefault="00D412E0" w:rsidP="00E274D9">
            <w:pPr>
              <w:pStyle w:val="Tabletext"/>
              <w:keepNext/>
              <w:keepLines/>
              <w:rPr>
                <w:lang w:val="es-ES"/>
              </w:rPr>
            </w:pPr>
            <w:r w:rsidRPr="00D412E0">
              <w:rPr>
                <w:lang w:val="es-ES"/>
              </w:rPr>
              <w:t>La labor de recopilación de datos contribuyó a mejorar la capacidad de los Estados Miembros para evaluar el nivel de conectividad y el avance hacia la conectividad universal y efectiva y preparar intervenciones eficaces.</w:t>
            </w:r>
          </w:p>
          <w:p w14:paraId="2A6FA38F" w14:textId="15E93C12" w:rsidR="00D412E0" w:rsidRPr="00D412E0" w:rsidRDefault="0055791D" w:rsidP="00E274D9">
            <w:pPr>
              <w:pStyle w:val="Tabletext"/>
              <w:keepNext/>
              <w:keepLines/>
              <w:tabs>
                <w:tab w:val="clear" w:pos="284"/>
              </w:tabs>
              <w:ind w:left="567" w:hanging="567"/>
              <w:rPr>
                <w:lang w:val="es-ES"/>
              </w:rPr>
            </w:pPr>
            <w:r w:rsidRPr="0055791D">
              <w:rPr>
                <w:lang w:val="es-ES"/>
              </w:rPr>
              <w:t>–</w:t>
            </w:r>
            <w:r w:rsidR="004629FC">
              <w:rPr>
                <w:lang w:val="es-ES"/>
              </w:rPr>
              <w:tab/>
            </w:r>
            <w:r w:rsidR="00D412E0" w:rsidRPr="00D412E0">
              <w:rPr>
                <w:lang w:val="es-ES"/>
              </w:rPr>
              <w:t>En el marco de la campaña de recopilación de datos realizada en la primavera de</w:t>
            </w:r>
            <w:r w:rsidR="00A25164">
              <w:rPr>
                <w:lang w:val="es-ES"/>
              </w:rPr>
              <w:t> </w:t>
            </w:r>
            <w:r w:rsidR="00D412E0" w:rsidRPr="00D412E0">
              <w:rPr>
                <w:lang w:val="es-ES"/>
              </w:rPr>
              <w:t xml:space="preserve">2024, la proporción de países que comunicaron datos a la UIT aumentó ligeramente en comparación con los resultados obtenidos en la campaña de otoño de 2023. Cabe destacar que los resultados ya han mejorado respecto de tres de los cinco indicadores fundamentales de rendimiento del GADT relacionados con la comunicación de datos de los Estados Miembros, a pesar de que solo hayan transcurrido seis meses desde el anterior ciclo de presentación de informes. Además, el número de elementos de datos disponibles en el Centro de </w:t>
            </w:r>
            <w:r w:rsidR="00BD752D" w:rsidRPr="00D412E0">
              <w:rPr>
                <w:lang w:val="es-ES"/>
              </w:rPr>
              <w:t>d</w:t>
            </w:r>
            <w:r w:rsidR="00D412E0" w:rsidRPr="00D412E0">
              <w:rPr>
                <w:lang w:val="es-ES"/>
              </w:rPr>
              <w:t>atos aumentó hasta 613 000, lo que representa un incremento del 6 % respecto de 2023.</w:t>
            </w:r>
          </w:p>
          <w:p w14:paraId="17E2682A" w14:textId="16C49BE8"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 xml:space="preserve">La UIT mantiene el mayor y más exhaustivo </w:t>
            </w:r>
            <w:hyperlink r:id="rId69" w:history="1">
              <w:r w:rsidR="00D412E0" w:rsidRPr="00D412E0">
                <w:rPr>
                  <w:rStyle w:val="Hyperlink"/>
                  <w:lang w:val="es-ES"/>
                </w:rPr>
                <w:t>conjunto de datos sobre precios de las TIC</w:t>
              </w:r>
            </w:hyperlink>
            <w:r w:rsidR="00D412E0" w:rsidRPr="00D412E0">
              <w:rPr>
                <w:lang w:val="es-ES"/>
              </w:rPr>
              <w:t>. En 2024, se recopilaron datos relativos a un número sin precedentes de 218</w:t>
            </w:r>
            <w:r w:rsidR="00A25164">
              <w:rPr>
                <w:lang w:val="es-ES"/>
              </w:rPr>
              <w:t> </w:t>
            </w:r>
            <w:r w:rsidR="00D412E0" w:rsidRPr="00D412E0">
              <w:rPr>
                <w:lang w:val="es-ES"/>
              </w:rPr>
              <w:t xml:space="preserve">economías y ocho cestas de precios. En la publicación de </w:t>
            </w:r>
            <w:r w:rsidR="00D412E0" w:rsidRPr="00D412E0">
              <w:rPr>
                <w:i/>
                <w:iCs/>
                <w:lang w:val="es-ES"/>
              </w:rPr>
              <w:t>Hechos y Cifras</w:t>
            </w:r>
            <w:r w:rsidR="00D412E0" w:rsidRPr="00D412E0">
              <w:rPr>
                <w:lang w:val="es-ES"/>
              </w:rPr>
              <w:t xml:space="preserve"> de 2024 se presentaron los </w:t>
            </w:r>
            <w:hyperlink r:id="rId70" w:history="1">
              <w:r w:rsidR="00D412E0" w:rsidRPr="00D412E0">
                <w:rPr>
                  <w:rStyle w:val="Hyperlink"/>
                  <w:lang w:val="es-ES"/>
                </w:rPr>
                <w:t>precios medios</w:t>
              </w:r>
            </w:hyperlink>
            <w:r w:rsidR="00D412E0" w:rsidRPr="00D412E0">
              <w:rPr>
                <w:lang w:val="es-ES"/>
              </w:rPr>
              <w:t xml:space="preserve"> de la cesta de datos sobre la banda ancha móvil de nivel básico y la cesta de la banda ancha fija a nivel de todo el mundo, las regiones de la UIT, los grupos de ingresos y los grupos especiales de las Naciones Unidas. El conjunto de datos completo de </w:t>
            </w:r>
            <w:hyperlink r:id="rId71" w:history="1">
              <w:r w:rsidR="00D412E0" w:rsidRPr="00D412E0">
                <w:rPr>
                  <w:rStyle w:val="Hyperlink"/>
                  <w:lang w:val="es-ES"/>
                </w:rPr>
                <w:t>precios de las TIC de 2024</w:t>
              </w:r>
            </w:hyperlink>
            <w:r w:rsidR="00D412E0" w:rsidRPr="00D412E0">
              <w:rPr>
                <w:lang w:val="es-ES"/>
              </w:rPr>
              <w:t xml:space="preserve"> se publicó a principios de 2025. La recopilación de datos de los precios de las TIC en 2025 comenzó en febrero.</w:t>
            </w:r>
          </w:p>
          <w:p w14:paraId="63C2C41C" w14:textId="5BDC2675"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 xml:space="preserve">En diciembre de 2024 se publicó por primera vez un </w:t>
            </w:r>
            <w:hyperlink r:id="rId72">
              <w:r w:rsidR="00D412E0" w:rsidRPr="00D412E0">
                <w:rPr>
                  <w:rStyle w:val="Hyperlink"/>
                  <w:lang w:val="es-ES"/>
                </w:rPr>
                <w:t>calendario unificado para todos los cuestionarios de datos de la</w:t>
              </w:r>
              <w:r w:rsidR="00860D32">
                <w:rPr>
                  <w:rStyle w:val="Hyperlink"/>
                  <w:lang w:val="es-ES"/>
                </w:rPr>
                <w:t> </w:t>
              </w:r>
              <w:r w:rsidR="00D412E0" w:rsidRPr="00D412E0">
                <w:rPr>
                  <w:rStyle w:val="Hyperlink"/>
                  <w:lang w:val="es-ES"/>
                </w:rPr>
                <w:t>BDT</w:t>
              </w:r>
            </w:hyperlink>
            <w:r w:rsidR="00D412E0" w:rsidRPr="00D412E0">
              <w:rPr>
                <w:lang w:val="es-ES"/>
              </w:rPr>
              <w:t xml:space="preserve"> previstos, que recoge los comentarios recibidos de los Estados Miembros de la</w:t>
            </w:r>
            <w:r w:rsidR="00C16A45">
              <w:rPr>
                <w:lang w:val="es-ES"/>
              </w:rPr>
              <w:t> </w:t>
            </w:r>
            <w:r w:rsidR="00D412E0" w:rsidRPr="00D412E0">
              <w:rPr>
                <w:lang w:val="es-ES"/>
              </w:rPr>
              <w:t>UIT, en particular durante el GADT-24. El calendario para 2025 tiene por objeto minimizar los solapamientos y las redundancias, con el fin de apoyar la planificación de los Estados Miembros y facilitar la presentación puntual de los datos. Esboza los plazos para cada cuestionario e incluye direcciones de correo electrónico de contacto para cualquier pregunta o aclaración sobre encuestas específicas. El ciclo de recopilación de datos de</w:t>
            </w:r>
            <w:r w:rsidR="00A25164">
              <w:rPr>
                <w:lang w:val="es-ES"/>
              </w:rPr>
              <w:t> </w:t>
            </w:r>
            <w:r w:rsidR="00D412E0" w:rsidRPr="00D412E0">
              <w:rPr>
                <w:lang w:val="es-ES"/>
              </w:rPr>
              <w:t>2025 incluye los siguientes cuestionarios: el cuestionario sobre la cesta de precios de las TIC, el cuestionario sobre el acceso y la utilización de las TIC por los hogares y las personas, el cuestionario sobre los indicadores mundiales de las telecomunicaciones/TIC y el cuestionario de información sobre las políticas tarifarias de las telecomunicaciones/TIC.</w:t>
            </w:r>
          </w:p>
          <w:p w14:paraId="41EA507F" w14:textId="77777777" w:rsidR="00D412E0" w:rsidRPr="004629FC" w:rsidRDefault="00D412E0" w:rsidP="004629FC">
            <w:pPr>
              <w:pStyle w:val="Tabletext"/>
              <w:rPr>
                <w:b/>
                <w:bCs/>
                <w:lang w:val="es-ES"/>
              </w:rPr>
            </w:pPr>
            <w:r w:rsidRPr="004629FC">
              <w:rPr>
                <w:b/>
                <w:bCs/>
                <w:lang w:val="es-ES"/>
              </w:rPr>
              <w:t>Ciencia de datos para estadísticas oficiales</w:t>
            </w:r>
          </w:p>
          <w:p w14:paraId="551EE84F" w14:textId="77777777" w:rsidR="00D412E0" w:rsidRPr="00D412E0" w:rsidRDefault="00D412E0" w:rsidP="004629FC">
            <w:pPr>
              <w:pStyle w:val="Tabletext"/>
              <w:rPr>
                <w:lang w:val="es-ES"/>
              </w:rPr>
            </w:pPr>
            <w:r w:rsidRPr="00D412E0">
              <w:rPr>
                <w:lang w:val="es-ES"/>
              </w:rPr>
              <w:t>Las actividades de promoción contribuyeron a crear conciencia sobre el potencial de la ciencia de datos para las estadísticas oficiales sobre las TIC. La prestación de asistencia técnica y herramientas contribuyó a mejorar la capacidad de los Estados Miembros para utilizar la ciencia de datos con fines de elaboración de estadísticas en materia de TIC.</w:t>
            </w:r>
          </w:p>
          <w:p w14:paraId="1DC3062D" w14:textId="56B38308"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 xml:space="preserve">En el marco del </w:t>
            </w:r>
            <w:bookmarkStart w:id="17" w:name="_Hlk197095843"/>
            <w:r w:rsidR="00BE1F7F">
              <w:fldChar w:fldCharType="begin"/>
            </w:r>
            <w:r w:rsidR="00BE1F7F" w:rsidRPr="00063775">
              <w:rPr>
                <w:lang w:val="es-ES"/>
              </w:rPr>
              <w:instrText xml:space="preserve"> HYPERLINK "https://unstats.un.org/bigdata/" </w:instrText>
            </w:r>
            <w:r w:rsidR="00BE1F7F">
              <w:fldChar w:fldCharType="separate"/>
            </w:r>
            <w:r w:rsidR="00D412E0" w:rsidRPr="00D412E0">
              <w:rPr>
                <w:rStyle w:val="Hyperlink"/>
                <w:lang w:val="es-ES"/>
              </w:rPr>
              <w:t xml:space="preserve">Comité de Expertos sobre los </w:t>
            </w:r>
            <w:r w:rsidR="004321F9" w:rsidRPr="00D412E0">
              <w:rPr>
                <w:rStyle w:val="Hyperlink"/>
                <w:lang w:val="es-ES"/>
              </w:rPr>
              <w:t xml:space="preserve">Macrodatos </w:t>
            </w:r>
            <w:r w:rsidR="00D412E0" w:rsidRPr="00D412E0">
              <w:rPr>
                <w:rStyle w:val="Hyperlink"/>
                <w:lang w:val="es-ES"/>
              </w:rPr>
              <w:t xml:space="preserve">y la </w:t>
            </w:r>
            <w:r w:rsidR="004321F9" w:rsidRPr="00D412E0">
              <w:rPr>
                <w:rStyle w:val="Hyperlink"/>
                <w:lang w:val="es-ES"/>
              </w:rPr>
              <w:t xml:space="preserve">Ciencia </w:t>
            </w:r>
            <w:r w:rsidR="00D412E0" w:rsidRPr="00D412E0">
              <w:rPr>
                <w:rStyle w:val="Hyperlink"/>
                <w:lang w:val="es-ES"/>
              </w:rPr>
              <w:t xml:space="preserve">de </w:t>
            </w:r>
            <w:r w:rsidR="004321F9" w:rsidRPr="00D412E0">
              <w:rPr>
                <w:rStyle w:val="Hyperlink"/>
                <w:lang w:val="es-ES"/>
              </w:rPr>
              <w:t xml:space="preserve">Datos </w:t>
            </w:r>
            <w:r w:rsidR="00D412E0" w:rsidRPr="00D412E0">
              <w:rPr>
                <w:rStyle w:val="Hyperlink"/>
                <w:lang w:val="es-ES"/>
              </w:rPr>
              <w:t xml:space="preserve">en las </w:t>
            </w:r>
            <w:r w:rsidR="004321F9" w:rsidRPr="00D412E0">
              <w:rPr>
                <w:rStyle w:val="Hyperlink"/>
                <w:lang w:val="es-ES"/>
              </w:rPr>
              <w:t xml:space="preserve">Estadísticas Oficiales </w:t>
            </w:r>
            <w:r w:rsidR="00D412E0" w:rsidRPr="00D412E0">
              <w:rPr>
                <w:rStyle w:val="Hyperlink"/>
                <w:lang w:val="es-ES"/>
              </w:rPr>
              <w:t>de las Naciones Unidas</w:t>
            </w:r>
            <w:r w:rsidR="00BE1F7F">
              <w:rPr>
                <w:rStyle w:val="Hyperlink"/>
                <w:lang w:val="es-ES"/>
              </w:rPr>
              <w:fldChar w:fldCharType="end"/>
            </w:r>
            <w:bookmarkEnd w:id="17"/>
            <w:r w:rsidR="00D412E0" w:rsidRPr="00D412E0">
              <w:rPr>
                <w:lang w:val="es-ES"/>
              </w:rPr>
              <w:t>, la</w:t>
            </w:r>
            <w:r w:rsidR="00C16A45">
              <w:rPr>
                <w:lang w:val="es-ES"/>
              </w:rPr>
              <w:t> </w:t>
            </w:r>
            <w:r w:rsidR="00D412E0" w:rsidRPr="00D412E0">
              <w:rPr>
                <w:lang w:val="es-ES"/>
              </w:rPr>
              <w:t xml:space="preserve">UIT dirigió el </w:t>
            </w:r>
            <w:hyperlink r:id="rId73" w:history="1">
              <w:r w:rsidR="00D412E0" w:rsidRPr="00D412E0">
                <w:rPr>
                  <w:rStyle w:val="Hyperlink"/>
                  <w:lang w:val="es-ES"/>
                </w:rPr>
                <w:t>Grupo de Tareas Especiales sobre Datos de Telefonía Móvil</w:t>
              </w:r>
            </w:hyperlink>
            <w:r w:rsidR="00D412E0" w:rsidRPr="00D412E0">
              <w:rPr>
                <w:lang w:val="es-ES"/>
              </w:rPr>
              <w:t xml:space="preserve"> y su subgrupo sobre datos sintéticos.</w:t>
            </w:r>
          </w:p>
          <w:p w14:paraId="5DD0C044" w14:textId="2B11ED0B" w:rsidR="00D412E0" w:rsidRPr="00D412E0" w:rsidRDefault="0055791D" w:rsidP="00E274D9">
            <w:pPr>
              <w:pStyle w:val="Tabletext"/>
              <w:keepNext/>
              <w:keepLines/>
              <w:tabs>
                <w:tab w:val="clear" w:pos="284"/>
              </w:tabs>
              <w:ind w:left="567" w:hanging="567"/>
              <w:rPr>
                <w:lang w:val="es-ES"/>
              </w:rPr>
            </w:pPr>
            <w:r w:rsidRPr="0055791D">
              <w:rPr>
                <w:lang w:val="es-ES"/>
              </w:rPr>
              <w:t>–</w:t>
            </w:r>
            <w:r w:rsidR="004629FC">
              <w:rPr>
                <w:lang w:val="es-ES"/>
              </w:rPr>
              <w:tab/>
            </w:r>
            <w:r w:rsidR="00D412E0" w:rsidRPr="00D412E0">
              <w:rPr>
                <w:lang w:val="es-ES"/>
              </w:rPr>
              <w:t xml:space="preserve">El </w:t>
            </w:r>
            <w:hyperlink r:id="rId74" w:history="1">
              <w:r w:rsidR="00D412E0" w:rsidRPr="00D412E0">
                <w:rPr>
                  <w:rStyle w:val="Hyperlink"/>
                  <w:lang w:val="es-ES"/>
                </w:rPr>
                <w:t>proyecto</w:t>
              </w:r>
            </w:hyperlink>
            <w:r w:rsidR="00D412E0" w:rsidRPr="00D412E0">
              <w:rPr>
                <w:lang w:val="es-ES"/>
              </w:rPr>
              <w:t xml:space="preserve"> de la</w:t>
            </w:r>
            <w:r w:rsidR="00C16A45">
              <w:rPr>
                <w:lang w:val="es-ES"/>
              </w:rPr>
              <w:t> </w:t>
            </w:r>
            <w:r w:rsidR="00D412E0" w:rsidRPr="00D412E0">
              <w:rPr>
                <w:lang w:val="es-ES"/>
              </w:rPr>
              <w:t xml:space="preserve">UIT y el Banco Mundial sobre la "puesta de los macrodatos en materia de telefonía móvil al servicio de la política" está actualmente en plena ejecución. En octubre de 2024 se realizó un </w:t>
            </w:r>
            <w:hyperlink r:id="rId75" w:history="1">
              <w:r w:rsidR="00D412E0" w:rsidRPr="00D412E0">
                <w:rPr>
                  <w:rStyle w:val="Hyperlink"/>
                  <w:lang w:val="es-ES"/>
                </w:rPr>
                <w:t>taller</w:t>
              </w:r>
            </w:hyperlink>
            <w:r w:rsidR="00D412E0" w:rsidRPr="00D412E0">
              <w:rPr>
                <w:lang w:val="es-ES"/>
              </w:rPr>
              <w:t xml:space="preserve"> de inicio con representantes de las oficinas nacionales de estadística, los organismos reguladores de las telecomunicaciones y los operadores de </w:t>
            </w:r>
            <w:r w:rsidR="00D412E0" w:rsidRPr="00D412E0">
              <w:rPr>
                <w:lang w:val="es-ES"/>
              </w:rPr>
              <w:lastRenderedPageBreak/>
              <w:t>telecomunicaciones de 18</w:t>
            </w:r>
            <w:r w:rsidR="00B41069">
              <w:rPr>
                <w:lang w:val="es-ES"/>
              </w:rPr>
              <w:t> </w:t>
            </w:r>
            <w:r w:rsidR="00D412E0" w:rsidRPr="00D412E0">
              <w:rPr>
                <w:lang w:val="es-ES"/>
              </w:rPr>
              <w:t xml:space="preserve">países seleccionados para el primer grupo. </w:t>
            </w:r>
            <w:r w:rsidR="004321F9">
              <w:rPr>
                <w:lang w:val="es-ES"/>
              </w:rPr>
              <w:t>E</w:t>
            </w:r>
            <w:r w:rsidR="00D412E0" w:rsidRPr="00D412E0">
              <w:rPr>
                <w:lang w:val="es-ES"/>
              </w:rPr>
              <w:t>l primer grupo se anunció oficialmente en el Foro Mundial de Datos de las Naciones Unidas de 2024 celebrado en Medellín (Colombia).</w:t>
            </w:r>
          </w:p>
          <w:p w14:paraId="2C6CDB54" w14:textId="7A8990BD"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Se crearon los nuevos computadores portátiles Jupiter de la</w:t>
            </w:r>
            <w:r w:rsidR="00C16A45">
              <w:rPr>
                <w:lang w:val="es-ES"/>
              </w:rPr>
              <w:t> </w:t>
            </w:r>
            <w:r w:rsidR="00D412E0" w:rsidRPr="00D412E0">
              <w:rPr>
                <w:lang w:val="es-ES"/>
              </w:rPr>
              <w:t>UIT para calcular el indicador de usuarios de Internet mediante el uso de datos de telefonía móvil. Estos computadores portátiles se presentaron en la Conferencia Internacional sobre Macrodatos celebrada en Bilbao (España) y en el Simposio Mundial sobre Indicadores de Telecomunicaciones/TIC de 2024, suscitaron gran interés entre los Estados Miembros y más de 20</w:t>
            </w:r>
            <w:r w:rsidR="00A25164">
              <w:rPr>
                <w:lang w:val="es-ES"/>
              </w:rPr>
              <w:t> </w:t>
            </w:r>
            <w:r w:rsidR="00D412E0" w:rsidRPr="00D412E0">
              <w:rPr>
                <w:lang w:val="es-ES"/>
              </w:rPr>
              <w:t>países solicitaron utilizar los códigos.</w:t>
            </w:r>
          </w:p>
          <w:p w14:paraId="6726EB32" w14:textId="498E1AB3"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Se prestó asistencia a Uganda para preparar una estrategia sobre el uso de macrodatos en los organismos públicos, y a Túnez y Malasia para aprovechar el uso de datos de la telefonía móvil en los indicadores de la sociedad de la información y otras aplicaciones con fines estadísticos. Se hicieron presentaciones sobre MPD en Argentina, Uruguay, Costa Rica y Mongolia.</w:t>
            </w:r>
          </w:p>
          <w:p w14:paraId="5B19DA85" w14:textId="21AED295"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28530E">
              <w:rPr>
                <w:lang w:val="es-ES"/>
              </w:rPr>
              <w:t>La BDT</w:t>
            </w:r>
            <w:r w:rsidR="00D412E0" w:rsidRPr="00D412E0">
              <w:rPr>
                <w:lang w:val="es-ES"/>
              </w:rPr>
              <w:t xml:space="preserve"> amplió las actividades técnicas a fin de estimar el uso de Internet a nivel subnacional utilizando fuentes de macrodatos de código abierto.</w:t>
            </w:r>
          </w:p>
          <w:p w14:paraId="09E0F5BD" w14:textId="42115B24"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D412E0" w:rsidRPr="00D412E0">
              <w:rPr>
                <w:lang w:val="es-ES"/>
              </w:rPr>
              <w:t>Las fuentes de macrodatos se integraron en los principales procesos estadísticos de la UIT y crearon un lago de datos para agilizar la recopilación, el procesamiento y la compartición de los datos.</w:t>
            </w:r>
          </w:p>
          <w:p w14:paraId="164009D6" w14:textId="4AD17472" w:rsidR="00D412E0" w:rsidRPr="00D412E0" w:rsidRDefault="0055791D" w:rsidP="0055791D">
            <w:pPr>
              <w:pStyle w:val="Tabletext"/>
              <w:tabs>
                <w:tab w:val="clear" w:pos="284"/>
              </w:tabs>
              <w:ind w:left="567" w:hanging="567"/>
              <w:rPr>
                <w:lang w:val="es-ES"/>
              </w:rPr>
            </w:pPr>
            <w:r w:rsidRPr="0055791D">
              <w:rPr>
                <w:lang w:val="es-ES"/>
              </w:rPr>
              <w:t>–</w:t>
            </w:r>
            <w:r w:rsidR="004629FC">
              <w:rPr>
                <w:lang w:val="es-ES"/>
              </w:rPr>
              <w:tab/>
            </w:r>
            <w:r w:rsidR="0028530E">
              <w:rPr>
                <w:lang w:val="es-ES"/>
              </w:rPr>
              <w:t>La BDT</w:t>
            </w:r>
            <w:r w:rsidR="00D412E0" w:rsidRPr="00D412E0">
              <w:rPr>
                <w:lang w:val="es-ES"/>
              </w:rPr>
              <w:t xml:space="preserve"> organizó sesiones sobre los macrodatos para la elaboración de estadísticas en materia de TIC en el Foro Mundial de Datos de 2024 y en la Conferencia Internacional sobre Macrodatos, así como varios seminarios web acogidos por los Centros Regionales del UN-CEBD sobre el uso de los datos de telefonía móvil para los indicadores de la sociedad de la información.</w:t>
            </w:r>
          </w:p>
          <w:p w14:paraId="31C616BB" w14:textId="49E7740D" w:rsidR="00D412E0" w:rsidRPr="004629FC" w:rsidRDefault="00D412E0" w:rsidP="004629FC">
            <w:pPr>
              <w:pStyle w:val="Tabletext"/>
              <w:rPr>
                <w:b/>
                <w:bCs/>
                <w:lang w:val="es-ES"/>
              </w:rPr>
            </w:pPr>
            <w:r w:rsidRPr="004629FC">
              <w:rPr>
                <w:b/>
                <w:bCs/>
                <w:lang w:val="es-ES"/>
              </w:rPr>
              <w:t>Capacitación y normas estadística (</w:t>
            </w:r>
            <w:r w:rsidR="0028530E">
              <w:rPr>
                <w:b/>
                <w:bCs/>
                <w:lang w:val="es-ES"/>
              </w:rPr>
              <w:t>GEIT</w:t>
            </w:r>
            <w:r w:rsidRPr="004629FC">
              <w:rPr>
                <w:b/>
                <w:bCs/>
                <w:lang w:val="es-ES"/>
              </w:rPr>
              <w:t xml:space="preserve"> </w:t>
            </w:r>
            <w:r w:rsidR="0028530E">
              <w:rPr>
                <w:b/>
                <w:bCs/>
                <w:lang w:val="es-ES"/>
              </w:rPr>
              <w:t>y</w:t>
            </w:r>
            <w:r w:rsidRPr="004629FC">
              <w:rPr>
                <w:b/>
                <w:bCs/>
                <w:lang w:val="es-ES"/>
              </w:rPr>
              <w:t xml:space="preserve"> </w:t>
            </w:r>
            <w:r w:rsidR="0028530E">
              <w:rPr>
                <w:b/>
                <w:bCs/>
                <w:lang w:val="es-ES"/>
              </w:rPr>
              <w:t>GEH</w:t>
            </w:r>
            <w:r w:rsidRPr="004629FC">
              <w:rPr>
                <w:b/>
                <w:bCs/>
                <w:lang w:val="es-ES"/>
              </w:rPr>
              <w:t>)</w:t>
            </w:r>
          </w:p>
          <w:p w14:paraId="1762E26C" w14:textId="7F356F5B" w:rsidR="00D412E0" w:rsidRPr="00D412E0" w:rsidRDefault="00D412E0" w:rsidP="004629FC">
            <w:pPr>
              <w:pStyle w:val="Tabletext"/>
              <w:rPr>
                <w:lang w:val="es-ES"/>
              </w:rPr>
            </w:pPr>
            <w:r w:rsidRPr="00D412E0">
              <w:rPr>
                <w:lang w:val="es-ES"/>
              </w:rPr>
              <w:t xml:space="preserve">Los trabajos del </w:t>
            </w:r>
            <w:r w:rsidRPr="00C030C5">
              <w:rPr>
                <w:lang w:val="es-ES"/>
              </w:rPr>
              <w:t xml:space="preserve">Grupo de Expertos </w:t>
            </w:r>
            <w:r w:rsidR="00C030C5" w:rsidRPr="00C030C5">
              <w:rPr>
                <w:lang w:val="es-ES"/>
              </w:rPr>
              <w:t>en</w:t>
            </w:r>
            <w:r w:rsidRPr="00C030C5">
              <w:rPr>
                <w:lang w:val="es-ES"/>
              </w:rPr>
              <w:t xml:space="preserve"> Indicadores de TIC en el Hogar</w:t>
            </w:r>
            <w:r w:rsidRPr="00D412E0">
              <w:rPr>
                <w:lang w:val="es-ES"/>
              </w:rPr>
              <w:t xml:space="preserve"> (GEH) y del Grupo de Expertos en Indicadores de Telecomunicaciones/TIC (GEIT), las actividades de desarrollo de capacidades y la asistencia técnica contribuyeron a la mejora de la calidad y la relevancia de los indicadores de la UIT y al refuerzo de la capacidad de los Estados Miembros para elaborar y recopilar estadísticas sobre TIC de gran calidad.</w:t>
            </w:r>
          </w:p>
          <w:p w14:paraId="4794FE95" w14:textId="37676A41" w:rsidR="00D412E0" w:rsidRPr="00D412E0" w:rsidRDefault="004629FC" w:rsidP="0055791D">
            <w:pPr>
              <w:pStyle w:val="Tabletext"/>
              <w:tabs>
                <w:tab w:val="clear" w:pos="284"/>
              </w:tabs>
              <w:ind w:left="567" w:hanging="567"/>
              <w:rPr>
                <w:lang w:val="es-ES"/>
              </w:rPr>
            </w:pPr>
            <w:r w:rsidRPr="004629FC">
              <w:rPr>
                <w:lang w:val="es-ES"/>
              </w:rPr>
              <w:t>–</w:t>
            </w:r>
            <w:r>
              <w:rPr>
                <w:lang w:val="es-ES"/>
              </w:rPr>
              <w:tab/>
            </w:r>
            <w:r w:rsidR="00D412E0" w:rsidRPr="00D412E0">
              <w:rPr>
                <w:lang w:val="es-ES"/>
              </w:rPr>
              <w:t xml:space="preserve">Las reuniones anuales de 2024 de los </w:t>
            </w:r>
            <w:hyperlink r:id="rId76" w:history="1">
              <w:r w:rsidR="00D412E0" w:rsidRPr="00D412E0">
                <w:rPr>
                  <w:rStyle w:val="Hyperlink"/>
                  <w:lang w:val="es-ES"/>
                </w:rPr>
                <w:t xml:space="preserve">Grupos de Expertos en </w:t>
              </w:r>
              <w:r w:rsidR="0028530E" w:rsidRPr="00D412E0">
                <w:rPr>
                  <w:rStyle w:val="Hyperlink"/>
                  <w:lang w:val="es-ES"/>
                </w:rPr>
                <w:t xml:space="preserve">Indicadores </w:t>
              </w:r>
              <w:r w:rsidR="00D412E0" w:rsidRPr="00D412E0">
                <w:rPr>
                  <w:rStyle w:val="Hyperlink"/>
                  <w:lang w:val="es-ES"/>
                </w:rPr>
                <w:t>de las TIC</w:t>
              </w:r>
            </w:hyperlink>
            <w:r w:rsidR="00D412E0" w:rsidRPr="00D412E0">
              <w:rPr>
                <w:lang w:val="es-ES"/>
              </w:rPr>
              <w:t xml:space="preserve"> se celebraron conjuntamente los días 25 y 26 de septiembre en Ginebra y congregaron a 263</w:t>
            </w:r>
            <w:r w:rsidR="00B41069">
              <w:rPr>
                <w:lang w:val="es-ES"/>
              </w:rPr>
              <w:t> </w:t>
            </w:r>
            <w:r w:rsidR="00D412E0" w:rsidRPr="00D412E0">
              <w:rPr>
                <w:lang w:val="es-ES"/>
              </w:rPr>
              <w:t>participantes.</w:t>
            </w:r>
          </w:p>
          <w:p w14:paraId="39F7808E" w14:textId="0A819540" w:rsidR="00D412E0" w:rsidRPr="00A25164" w:rsidRDefault="004629FC" w:rsidP="00860D32">
            <w:pPr>
              <w:pStyle w:val="Tabletext"/>
              <w:tabs>
                <w:tab w:val="clear" w:pos="851"/>
              </w:tabs>
              <w:ind w:left="1134" w:hanging="567"/>
              <w:rPr>
                <w:lang w:val="es-ES"/>
              </w:rPr>
            </w:pPr>
            <w:r w:rsidRPr="00A25164">
              <w:rPr>
                <w:lang w:val="es-ES"/>
              </w:rPr>
              <w:t>•</w:t>
            </w:r>
            <w:r w:rsidRPr="00A25164">
              <w:rPr>
                <w:lang w:val="es-ES"/>
              </w:rPr>
              <w:tab/>
            </w:r>
            <w:r w:rsidR="00D412E0" w:rsidRPr="00A25164">
              <w:rPr>
                <w:lang w:val="es-ES"/>
              </w:rPr>
              <w:t xml:space="preserve">La </w:t>
            </w:r>
            <w:hyperlink r:id="rId77" w:history="1">
              <w:r w:rsidR="0028530E" w:rsidRPr="00A25164">
                <w:rPr>
                  <w:rStyle w:val="Hyperlink"/>
                  <w:lang w:val="es-ES"/>
                </w:rPr>
                <w:t xml:space="preserve">12.ª reunión del </w:t>
              </w:r>
              <w:r w:rsidR="0028530E" w:rsidRPr="00C030C5">
                <w:rPr>
                  <w:rStyle w:val="Hyperlink"/>
                  <w:lang w:val="es-ES"/>
                </w:rPr>
                <w:t>Grupo de Expertos en Indicadores de TIC en el Hogar</w:t>
              </w:r>
            </w:hyperlink>
            <w:r w:rsidR="0028530E" w:rsidRPr="00A25164">
              <w:rPr>
                <w:lang w:val="es-ES"/>
              </w:rPr>
              <w:t xml:space="preserve"> </w:t>
            </w:r>
            <w:r w:rsidR="00D412E0" w:rsidRPr="00A25164">
              <w:rPr>
                <w:lang w:val="es-ES"/>
              </w:rPr>
              <w:t xml:space="preserve">(GEH) incluyó sesiones sobre la medición de las competencias en materia de TIC, los </w:t>
            </w:r>
            <w:hyperlink r:id="rId78" w:history="1">
              <w:r w:rsidR="00B41069" w:rsidRPr="00A25164">
                <w:rPr>
                  <w:rStyle w:val="Hyperlink"/>
                  <w:lang w:val="es-ES"/>
                </w:rPr>
                <w:t>trabajos</w:t>
              </w:r>
            </w:hyperlink>
            <w:r w:rsidR="00B41069" w:rsidRPr="00A25164">
              <w:rPr>
                <w:lang w:val="es-ES"/>
              </w:rPr>
              <w:t xml:space="preserve"> d</w:t>
            </w:r>
            <w:r w:rsidR="00D412E0" w:rsidRPr="00A25164">
              <w:rPr>
                <w:lang w:val="es-ES"/>
              </w:rPr>
              <w:t>el subgrupo conjunto GEIT/GEH sobre la metodología del Índice de Desarrollo de las TIC, el diseño de los cuestionarios, la medición del uso de la inteligencia artificial por las personas.</w:t>
            </w:r>
          </w:p>
          <w:p w14:paraId="670BAD09" w14:textId="28476150" w:rsidR="00D412E0" w:rsidRPr="00D412E0" w:rsidRDefault="004629FC" w:rsidP="00860D32">
            <w:pPr>
              <w:pStyle w:val="Tabletext"/>
              <w:tabs>
                <w:tab w:val="clear" w:pos="851"/>
              </w:tabs>
              <w:ind w:left="1134" w:hanging="567"/>
              <w:rPr>
                <w:lang w:val="es-ES"/>
              </w:rPr>
            </w:pPr>
            <w:r w:rsidRPr="004629FC">
              <w:rPr>
                <w:lang w:val="es-ES"/>
              </w:rPr>
              <w:t>•</w:t>
            </w:r>
            <w:r>
              <w:rPr>
                <w:lang w:val="es-ES"/>
              </w:rPr>
              <w:tab/>
            </w:r>
            <w:r w:rsidR="00D412E0" w:rsidRPr="00D412E0">
              <w:rPr>
                <w:lang w:val="es-ES"/>
              </w:rPr>
              <w:t xml:space="preserve">La </w:t>
            </w:r>
            <w:hyperlink r:id="rId79" w:history="1">
              <w:r w:rsidR="00D412E0" w:rsidRPr="00D412E0">
                <w:rPr>
                  <w:rStyle w:val="Hyperlink"/>
                  <w:lang w:val="es-ES"/>
                </w:rPr>
                <w:t>15</w:t>
              </w:r>
              <w:r w:rsidR="00860D32">
                <w:rPr>
                  <w:rStyle w:val="Hyperlink"/>
                  <w:lang w:val="es-ES"/>
                </w:rPr>
                <w:t>.</w:t>
              </w:r>
              <w:r w:rsidR="00D412E0" w:rsidRPr="00D412E0">
                <w:rPr>
                  <w:rStyle w:val="Hyperlink"/>
                  <w:lang w:val="es-ES"/>
                </w:rPr>
                <w:t>ª</w:t>
              </w:r>
              <w:r w:rsidR="00860D32">
                <w:rPr>
                  <w:rStyle w:val="Hyperlink"/>
                  <w:lang w:val="es-ES"/>
                </w:rPr>
                <w:t> </w:t>
              </w:r>
              <w:r w:rsidR="00D412E0" w:rsidRPr="00D412E0">
                <w:rPr>
                  <w:rStyle w:val="Hyperlink"/>
                  <w:lang w:val="es-ES"/>
                </w:rPr>
                <w:t>reunión del Grupo de Expertos en Indicadores de Telecomunicaciones/TIC</w:t>
              </w:r>
            </w:hyperlink>
            <w:r w:rsidR="00D412E0" w:rsidRPr="00D412E0">
              <w:rPr>
                <w:lang w:val="es-ES"/>
              </w:rPr>
              <w:t xml:space="preserve"> (GEIT) incluyó sesiones sobre las conclusiones del subgrupo respecto de las cestas de precios de las TIC, la medición de la calidad del servicio y la calidad de la experiencia, y la medición de la huella ecológica del sector de las TIC, y en ella se expusieron </w:t>
            </w:r>
            <w:r w:rsidR="00D412E0" w:rsidRPr="00D412E0">
              <w:rPr>
                <w:lang w:val="es-ES"/>
              </w:rPr>
              <w:lastRenderedPageBreak/>
              <w:t xml:space="preserve">numerosas experiencias de países, en particular sobre las </w:t>
            </w:r>
            <w:r w:rsidR="00D412E0" w:rsidRPr="00C030C5">
              <w:rPr>
                <w:lang w:val="es-ES"/>
              </w:rPr>
              <w:t>prácticas idóneas</w:t>
            </w:r>
            <w:r w:rsidR="00D412E0" w:rsidRPr="00D412E0">
              <w:rPr>
                <w:lang w:val="es-ES"/>
              </w:rPr>
              <w:t xml:space="preserve"> en materia de recopilación de datos del mercado de las TIC.</w:t>
            </w:r>
          </w:p>
          <w:p w14:paraId="45FA3039" w14:textId="1A4CA289" w:rsidR="00D412E0" w:rsidRPr="00D412E0" w:rsidRDefault="004629FC" w:rsidP="00860D32">
            <w:pPr>
              <w:pStyle w:val="Tabletext"/>
              <w:tabs>
                <w:tab w:val="clear" w:pos="284"/>
              </w:tabs>
              <w:ind w:left="567" w:hanging="567"/>
              <w:rPr>
                <w:lang w:val="es-ES"/>
              </w:rPr>
            </w:pPr>
            <w:r w:rsidRPr="004629FC">
              <w:rPr>
                <w:lang w:val="es-ES"/>
              </w:rPr>
              <w:t>–</w:t>
            </w:r>
            <w:r>
              <w:rPr>
                <w:lang w:val="es-ES"/>
              </w:rPr>
              <w:tab/>
            </w:r>
            <w:r w:rsidR="00D412E0" w:rsidRPr="00D412E0">
              <w:rPr>
                <w:lang w:val="es-ES"/>
              </w:rPr>
              <w:t xml:space="preserve">Basándose en las conclusiones de GEH y GEIT, la UIT actualizó las </w:t>
            </w:r>
            <w:hyperlink r:id="rId80" w:history="1">
              <w:r w:rsidR="00D412E0" w:rsidRPr="00D412E0">
                <w:rPr>
                  <w:rStyle w:val="Hyperlink"/>
                  <w:lang w:val="es-ES"/>
                </w:rPr>
                <w:t>principales secciones</w:t>
              </w:r>
            </w:hyperlink>
            <w:r w:rsidR="00D412E0" w:rsidRPr="00D412E0">
              <w:rPr>
                <w:lang w:val="es-ES"/>
              </w:rPr>
              <w:t xml:space="preserve"> de su </w:t>
            </w:r>
            <w:r w:rsidR="00D412E0" w:rsidRPr="0028530E">
              <w:rPr>
                <w:i/>
                <w:iCs/>
                <w:lang w:val="es-ES"/>
              </w:rPr>
              <w:t>Manual para la medición del acceso y el uso de las TIC por los hogares y las personas</w:t>
            </w:r>
            <w:r w:rsidR="00D412E0" w:rsidRPr="00D412E0">
              <w:rPr>
                <w:lang w:val="es-ES"/>
              </w:rPr>
              <w:t>, introduciendo nuevas recomendaciones para medir las competencias en TIC. Éstas también se integraron en los metadatos del indicador</w:t>
            </w:r>
            <w:r w:rsidR="00A25164">
              <w:rPr>
                <w:lang w:val="es-ES"/>
              </w:rPr>
              <w:t> </w:t>
            </w:r>
            <w:r w:rsidR="00D412E0" w:rsidRPr="00D412E0">
              <w:rPr>
                <w:lang w:val="es-ES"/>
              </w:rPr>
              <w:t xml:space="preserve">4.4.1 de los ODS de las Naciones Unidas, ofreciendo a los países un enfoque normalizado a escala mundial para medir los niveles de competencias en TIC de las personas. Asimismo, la UIT actualizó los </w:t>
            </w:r>
            <w:hyperlink r:id="rId81" w:history="1">
              <w:r w:rsidR="00D412E0" w:rsidRPr="00D412E0">
                <w:rPr>
                  <w:rStyle w:val="Hyperlink"/>
                  <w:lang w:val="es-ES"/>
                </w:rPr>
                <w:t>metadatos</w:t>
              </w:r>
            </w:hyperlink>
            <w:r w:rsidR="00D412E0" w:rsidRPr="00D412E0">
              <w:rPr>
                <w:lang w:val="es-ES"/>
              </w:rPr>
              <w:t xml:space="preserve"> relativos al indicador</w:t>
            </w:r>
            <w:r w:rsidR="008B4FB2">
              <w:rPr>
                <w:lang w:val="es-ES"/>
              </w:rPr>
              <w:t> </w:t>
            </w:r>
            <w:r w:rsidR="00D412E0" w:rsidRPr="00D412E0">
              <w:rPr>
                <w:lang w:val="es-ES"/>
              </w:rPr>
              <w:t>9.c.1 de los ODS de la ONU. El indicador distingue ahora las poblaciones con cobertura de redes</w:t>
            </w:r>
            <w:r w:rsidR="00CE04EB">
              <w:rPr>
                <w:lang w:val="es-ES"/>
              </w:rPr>
              <w:t> </w:t>
            </w:r>
            <w:r w:rsidR="00D412E0" w:rsidRPr="00D412E0">
              <w:rPr>
                <w:lang w:val="es-ES"/>
              </w:rPr>
              <w:t>5G, proporcionando una visión más relevante y detallada de la conectividad mundial.</w:t>
            </w:r>
          </w:p>
          <w:p w14:paraId="2A18E183" w14:textId="5AFFD309" w:rsidR="00D412E0" w:rsidRPr="00D412E0" w:rsidRDefault="004629FC" w:rsidP="00860D32">
            <w:pPr>
              <w:pStyle w:val="Tabletext"/>
              <w:tabs>
                <w:tab w:val="clear" w:pos="284"/>
              </w:tabs>
              <w:ind w:left="567" w:hanging="567"/>
              <w:rPr>
                <w:lang w:val="es-ES"/>
              </w:rPr>
            </w:pPr>
            <w:r w:rsidRPr="004629FC">
              <w:rPr>
                <w:lang w:val="es-ES"/>
              </w:rPr>
              <w:t>–</w:t>
            </w:r>
            <w:r>
              <w:rPr>
                <w:lang w:val="es-ES"/>
              </w:rPr>
              <w:tab/>
            </w:r>
            <w:r w:rsidR="00D412E0" w:rsidRPr="00D412E0">
              <w:rPr>
                <w:lang w:val="es-ES"/>
              </w:rPr>
              <w:t xml:space="preserve">La BDT ha organizado, en cooperación con las </w:t>
            </w:r>
            <w:r w:rsidR="00CE04EB" w:rsidRPr="00D412E0">
              <w:rPr>
                <w:lang w:val="es-ES"/>
              </w:rPr>
              <w:t xml:space="preserve">Oficinas Regionales </w:t>
            </w:r>
            <w:r w:rsidR="00D412E0" w:rsidRPr="00D412E0">
              <w:rPr>
                <w:lang w:val="es-ES"/>
              </w:rPr>
              <w:t>de la UIT; una serie de nueve seminarios regionales sobre la promoción y medición de la conectividad universal y efectiva, destinados a los responsables de formular políticas y estrategias nacionales sobre la conectividad digital, y a los estadísticos que se ocupan de la medición del desarrollo de las telecomunicaciones/TIC en los ministerios, las oficinas nacionales de estadística, los organismos reguladores, los operadores de telecomunicaciones, las instituciones de investigación y otras organizaciones pertinentes. Cuentan con la ayuda financiera de la organización anfitriona y/o de la Unión Europea, en el marco de la ejecución del proyecto "Promoción y medición de la conectividad universal y efectiva". Los talleres de tres días de duración abarcaron tres objetivos, a saber: 1)</w:t>
            </w:r>
            <w:r w:rsidR="008B4FB2">
              <w:rPr>
                <w:lang w:val="es-ES"/>
              </w:rPr>
              <w:t> </w:t>
            </w:r>
            <w:r w:rsidR="00D412E0" w:rsidRPr="00D412E0">
              <w:rPr>
                <w:lang w:val="es-ES"/>
              </w:rPr>
              <w:t>cumplir el imperativo de la conectividad universal y efectiva; 2)</w:t>
            </w:r>
            <w:r w:rsidR="008B4FB2">
              <w:rPr>
                <w:lang w:val="es-ES"/>
              </w:rPr>
              <w:t> </w:t>
            </w:r>
            <w:r w:rsidR="00D412E0" w:rsidRPr="00D412E0">
              <w:rPr>
                <w:lang w:val="es-ES"/>
              </w:rPr>
              <w:t>mejorar la colaboración entre estadísticos y responsables de la formulación de políticas; y 3)</w:t>
            </w:r>
            <w:r w:rsidR="008B4FB2">
              <w:rPr>
                <w:lang w:val="es-ES"/>
              </w:rPr>
              <w:t> </w:t>
            </w:r>
            <w:r w:rsidR="00D412E0" w:rsidRPr="00D412E0">
              <w:rPr>
                <w:lang w:val="es-ES"/>
              </w:rPr>
              <w:t>superar los desafíos de la medición. Se celebraron los siguientes talleres:</w:t>
            </w:r>
          </w:p>
          <w:p w14:paraId="17901A29" w14:textId="5B32CF26" w:rsidR="00D412E0" w:rsidRPr="00D412E0" w:rsidRDefault="004629FC" w:rsidP="00860D32">
            <w:pPr>
              <w:pStyle w:val="Tabletext"/>
              <w:tabs>
                <w:tab w:val="clear" w:pos="851"/>
              </w:tabs>
              <w:ind w:left="1134" w:hanging="567"/>
              <w:rPr>
                <w:lang w:val="es-ES"/>
              </w:rPr>
            </w:pPr>
            <w:r w:rsidRPr="004629FC">
              <w:rPr>
                <w:lang w:val="es-ES"/>
              </w:rPr>
              <w:t>•</w:t>
            </w:r>
            <w:r w:rsidRPr="004629FC">
              <w:rPr>
                <w:lang w:val="es-ES"/>
              </w:rPr>
              <w:tab/>
            </w:r>
            <w:hyperlink r:id="rId82" w:history="1">
              <w:r w:rsidR="00D412E0" w:rsidRPr="00D412E0">
                <w:rPr>
                  <w:rStyle w:val="Hyperlink"/>
                  <w:lang w:val="es-ES"/>
                </w:rPr>
                <w:t>Caribe</w:t>
              </w:r>
            </w:hyperlink>
            <w:r w:rsidR="00D412E0" w:rsidRPr="00D412E0">
              <w:rPr>
                <w:lang w:val="es-ES"/>
              </w:rPr>
              <w:t>: en Nassau, en colaboración con URCA Bahamas (junio de 2024)</w:t>
            </w:r>
            <w:r w:rsidR="00B41069">
              <w:rPr>
                <w:lang w:val="es-ES"/>
              </w:rPr>
              <w:t>;</w:t>
            </w:r>
          </w:p>
          <w:p w14:paraId="0E4859E2" w14:textId="7C7C5A30" w:rsidR="00D412E0" w:rsidRPr="00D412E0" w:rsidRDefault="004629FC" w:rsidP="00860D32">
            <w:pPr>
              <w:pStyle w:val="Tabletext"/>
              <w:tabs>
                <w:tab w:val="clear" w:pos="851"/>
              </w:tabs>
              <w:ind w:left="1134" w:hanging="567"/>
              <w:rPr>
                <w:lang w:val="es-ES"/>
              </w:rPr>
            </w:pPr>
            <w:r w:rsidRPr="004629FC">
              <w:rPr>
                <w:lang w:val="es-ES"/>
              </w:rPr>
              <w:t>•</w:t>
            </w:r>
            <w:r w:rsidRPr="004629FC">
              <w:rPr>
                <w:lang w:val="es-ES"/>
              </w:rPr>
              <w:tab/>
            </w:r>
            <w:hyperlink r:id="rId83" w:history="1">
              <w:r w:rsidR="00D412E0" w:rsidRPr="00D412E0">
                <w:rPr>
                  <w:rStyle w:val="Hyperlink"/>
                  <w:lang w:val="es-ES"/>
                </w:rPr>
                <w:t>Estados Árabes</w:t>
              </w:r>
            </w:hyperlink>
            <w:r w:rsidR="00D412E0" w:rsidRPr="00D412E0">
              <w:rPr>
                <w:lang w:val="es-ES"/>
              </w:rPr>
              <w:t xml:space="preserve">: </w:t>
            </w:r>
            <w:r w:rsidR="00A25164">
              <w:rPr>
                <w:lang w:val="es-ES"/>
              </w:rPr>
              <w:t>e</w:t>
            </w:r>
            <w:r w:rsidR="00D412E0" w:rsidRPr="00D412E0">
              <w:rPr>
                <w:lang w:val="es-ES"/>
              </w:rPr>
              <w:t>n Doha, en colaboración con CRA Qatar (octubre)</w:t>
            </w:r>
            <w:r w:rsidR="00B41069">
              <w:rPr>
                <w:lang w:val="es-ES"/>
              </w:rPr>
              <w:t>;</w:t>
            </w:r>
          </w:p>
          <w:p w14:paraId="08ACF56B" w14:textId="4B97BD4F" w:rsidR="00D412E0" w:rsidRPr="00D412E0" w:rsidRDefault="004629FC" w:rsidP="00860D32">
            <w:pPr>
              <w:pStyle w:val="Tabletext"/>
              <w:tabs>
                <w:tab w:val="clear" w:pos="851"/>
              </w:tabs>
              <w:ind w:left="1134" w:hanging="567"/>
              <w:rPr>
                <w:lang w:val="es-ES"/>
              </w:rPr>
            </w:pPr>
            <w:r w:rsidRPr="004629FC">
              <w:rPr>
                <w:lang w:val="es-ES"/>
              </w:rPr>
              <w:t>•</w:t>
            </w:r>
            <w:r w:rsidRPr="004629FC">
              <w:rPr>
                <w:lang w:val="es-ES"/>
              </w:rPr>
              <w:tab/>
            </w:r>
            <w:hyperlink r:id="rId84" w:history="1">
              <w:r w:rsidR="00D412E0" w:rsidRPr="00D412E0">
                <w:rPr>
                  <w:rStyle w:val="Hyperlink"/>
                  <w:lang w:val="es-ES"/>
                </w:rPr>
                <w:t>Asia</w:t>
              </w:r>
            </w:hyperlink>
            <w:r w:rsidR="00D412E0" w:rsidRPr="00D412E0">
              <w:rPr>
                <w:lang w:val="es-ES"/>
              </w:rPr>
              <w:t xml:space="preserve">: </w:t>
            </w:r>
            <w:r w:rsidR="008B4FB2">
              <w:rPr>
                <w:lang w:val="es-ES"/>
              </w:rPr>
              <w:t>e</w:t>
            </w:r>
            <w:r w:rsidR="00D412E0" w:rsidRPr="00D412E0">
              <w:rPr>
                <w:lang w:val="es-ES"/>
              </w:rPr>
              <w:t>n Bangkok, en colaboración con NBTC Thailand (diciembre)</w:t>
            </w:r>
            <w:r w:rsidR="00B41069">
              <w:rPr>
                <w:lang w:val="es-ES"/>
              </w:rPr>
              <w:t>;</w:t>
            </w:r>
          </w:p>
          <w:p w14:paraId="6E4FB3D4" w14:textId="21043147" w:rsidR="00D412E0" w:rsidRPr="00D412E0" w:rsidRDefault="004629FC" w:rsidP="00860D32">
            <w:pPr>
              <w:pStyle w:val="Tabletext"/>
              <w:tabs>
                <w:tab w:val="clear" w:pos="851"/>
              </w:tabs>
              <w:ind w:left="1134" w:hanging="567"/>
              <w:rPr>
                <w:lang w:val="es-ES"/>
              </w:rPr>
            </w:pPr>
            <w:r w:rsidRPr="004629FC">
              <w:rPr>
                <w:lang w:val="es-ES"/>
              </w:rPr>
              <w:t>•</w:t>
            </w:r>
            <w:r w:rsidRPr="004629FC">
              <w:rPr>
                <w:lang w:val="es-ES"/>
              </w:rPr>
              <w:tab/>
            </w:r>
            <w:hyperlink r:id="rId85" w:history="1">
              <w:r w:rsidR="00D412E0" w:rsidRPr="00D412E0">
                <w:rPr>
                  <w:rStyle w:val="Hyperlink"/>
                  <w:lang w:val="es-ES"/>
                </w:rPr>
                <w:t>América Latina</w:t>
              </w:r>
            </w:hyperlink>
            <w:r w:rsidR="00D412E0" w:rsidRPr="00D412E0">
              <w:rPr>
                <w:lang w:val="es-ES"/>
              </w:rPr>
              <w:t xml:space="preserve">: </w:t>
            </w:r>
            <w:r w:rsidR="00A25164">
              <w:rPr>
                <w:lang w:val="es-ES"/>
              </w:rPr>
              <w:t>e</w:t>
            </w:r>
            <w:r w:rsidR="00D412E0" w:rsidRPr="00D412E0">
              <w:rPr>
                <w:lang w:val="es-ES"/>
              </w:rPr>
              <w:t>n Santo Domingo, en colaboración con ONE e INDOTEL (abril de 2025)</w:t>
            </w:r>
            <w:r w:rsidR="00B41069">
              <w:rPr>
                <w:lang w:val="es-ES"/>
              </w:rPr>
              <w:t>.</w:t>
            </w:r>
          </w:p>
          <w:p w14:paraId="02B2C16F" w14:textId="1F47DAC3" w:rsidR="00D412E0" w:rsidRPr="00D412E0" w:rsidRDefault="00860D32" w:rsidP="00860D32">
            <w:pPr>
              <w:pStyle w:val="Tabletext"/>
              <w:tabs>
                <w:tab w:val="clear" w:pos="284"/>
              </w:tabs>
              <w:ind w:left="567" w:hanging="567"/>
              <w:rPr>
                <w:lang w:val="es-ES"/>
              </w:rPr>
            </w:pPr>
            <w:r w:rsidRPr="00860D32">
              <w:rPr>
                <w:lang w:val="es-ES"/>
              </w:rPr>
              <w:t>–</w:t>
            </w:r>
            <w:r w:rsidR="004629FC" w:rsidRPr="004629FC">
              <w:rPr>
                <w:lang w:val="es-ES"/>
              </w:rPr>
              <w:tab/>
            </w:r>
            <w:r w:rsidR="00D412E0" w:rsidRPr="00D412E0">
              <w:rPr>
                <w:lang w:val="es-ES"/>
              </w:rPr>
              <w:t xml:space="preserve">En la </w:t>
            </w:r>
            <w:r w:rsidR="00D412E0" w:rsidRPr="00D412E0">
              <w:rPr>
                <w:b/>
                <w:bCs/>
                <w:lang w:val="es-ES"/>
              </w:rPr>
              <w:t>CEI</w:t>
            </w:r>
            <w:r w:rsidR="00D412E0" w:rsidRPr="00D412E0">
              <w:rPr>
                <w:lang w:val="es-ES"/>
              </w:rPr>
              <w:t>, se celebró en Tashkent (Uzbekistán) un curso de formación regional de la UIT sobre la supervisión de la conectividad efectiva y universal (UMC) con estadísticas sobre las TIC, que brindó la ocasión de examinar el concepto de</w:t>
            </w:r>
            <w:r w:rsidR="00B41069">
              <w:rPr>
                <w:lang w:val="es-ES"/>
              </w:rPr>
              <w:t> </w:t>
            </w:r>
            <w:r w:rsidR="00D412E0" w:rsidRPr="00D412E0">
              <w:rPr>
                <w:lang w:val="es-ES"/>
              </w:rPr>
              <w:t>UMC y cómo racionalizarlo en las políticas digitales nacionales, cómo mejorar la capacidad estadística de los países de la región para producir y difundir datos estadísticos pertinentes, y cómo utilizar los datos para identificar buenas prácticas y recomendaciones políticas. Esta formación contó con más de 80</w:t>
            </w:r>
            <w:r w:rsidR="00B41069">
              <w:rPr>
                <w:lang w:val="es-ES"/>
              </w:rPr>
              <w:t> </w:t>
            </w:r>
            <w:r w:rsidR="00D412E0" w:rsidRPr="00D412E0">
              <w:rPr>
                <w:lang w:val="es-ES"/>
              </w:rPr>
              <w:t>asistentes entre los que se encontraban responsables políticos encargados de las políticas y estrategias nacionales de conectividad digital, ejecutivos y expertos responsables de la medición del desarrollo de las telecomunicaciones/TIC de ministerios, oficinas nacionales de estadística, reguladores, operadores de telecomunicaciones, instituciones de investigación y otras organizaciones relevantes de los países de la</w:t>
            </w:r>
            <w:r w:rsidR="001C1E98">
              <w:rPr>
                <w:lang w:val="es-ES"/>
              </w:rPr>
              <w:t> </w:t>
            </w:r>
            <w:r w:rsidR="00D412E0" w:rsidRPr="00D412E0">
              <w:rPr>
                <w:lang w:val="es-ES"/>
              </w:rPr>
              <w:t>CEI. Como resultado, se presentó a los participantes el concepto del UMC y el nuevo imperativo político; se les impartió formación sobre las normas estadísticas para las estadísticas de las TIC; y se debatió la situación de las estadísticas de las TIC en los países de la</w:t>
            </w:r>
            <w:r w:rsidR="001C1E98">
              <w:rPr>
                <w:lang w:val="es-ES"/>
              </w:rPr>
              <w:t> </w:t>
            </w:r>
            <w:r w:rsidR="00D412E0" w:rsidRPr="00D412E0">
              <w:rPr>
                <w:lang w:val="es-ES"/>
              </w:rPr>
              <w:t>CEI a nivel nacional y regional.</w:t>
            </w:r>
          </w:p>
          <w:p w14:paraId="1EB364B7" w14:textId="6F01647A" w:rsidR="00D412E0" w:rsidRPr="00D412E0" w:rsidRDefault="00860D32" w:rsidP="00860D32">
            <w:pPr>
              <w:pStyle w:val="Tabletext"/>
              <w:tabs>
                <w:tab w:val="clear" w:pos="284"/>
              </w:tabs>
              <w:ind w:left="567" w:hanging="567"/>
              <w:rPr>
                <w:lang w:val="es-ES"/>
              </w:rPr>
            </w:pPr>
            <w:r w:rsidRPr="00860D32">
              <w:rPr>
                <w:lang w:val="es-ES"/>
              </w:rPr>
              <w:lastRenderedPageBreak/>
              <w:t>–</w:t>
            </w:r>
            <w:r w:rsidR="004629FC" w:rsidRPr="004629FC">
              <w:rPr>
                <w:lang w:val="es-ES"/>
              </w:rPr>
              <w:tab/>
            </w:r>
            <w:r w:rsidR="00D412E0" w:rsidRPr="00D412E0">
              <w:rPr>
                <w:lang w:val="es-ES"/>
              </w:rPr>
              <w:t>Se proporcionó asistencia por expertos más adaptada a algunos países de la región de la CEI. Concretamente, en abril de</w:t>
            </w:r>
            <w:r w:rsidR="00A25164">
              <w:rPr>
                <w:lang w:val="es-ES"/>
              </w:rPr>
              <w:t> </w:t>
            </w:r>
            <w:r w:rsidR="00D412E0" w:rsidRPr="00D412E0">
              <w:rPr>
                <w:lang w:val="es-ES"/>
              </w:rPr>
              <w:t>2024 se celebró en Kirguistán un taller nacional "Desarrollo digital basado en datos: intercambio de experiencias sobre recopilación, análisis y difusión de datos de telecomunicaciones/TIC", que permitió profundizar los conocimientos de más de 30</w:t>
            </w:r>
            <w:r w:rsidR="00A25164">
              <w:rPr>
                <w:lang w:val="es-ES"/>
              </w:rPr>
              <w:t> </w:t>
            </w:r>
            <w:r w:rsidR="00D412E0" w:rsidRPr="00D412E0">
              <w:rPr>
                <w:lang w:val="es-ES"/>
              </w:rPr>
              <w:t>representantes del Ministerio de Desarrollo Digital y del Comité Nacional de Estadística. En marzo de</w:t>
            </w:r>
            <w:r w:rsidR="00A25164">
              <w:rPr>
                <w:lang w:val="es-ES"/>
              </w:rPr>
              <w:t> </w:t>
            </w:r>
            <w:r w:rsidR="00D412E0" w:rsidRPr="00D412E0">
              <w:rPr>
                <w:lang w:val="es-ES"/>
              </w:rPr>
              <w:t xml:space="preserve">2025, se celebró en Kirguistán el taller nacional </w:t>
            </w:r>
            <w:r w:rsidR="00CB53AE">
              <w:rPr>
                <w:lang w:val="es-ES"/>
              </w:rPr>
              <w:t>"</w:t>
            </w:r>
            <w:r w:rsidR="00D412E0" w:rsidRPr="00D412E0">
              <w:rPr>
                <w:lang w:val="es-ES"/>
              </w:rPr>
              <w:t>Herramientas para la formulación de políticas y la reglamentación del sector: estadísticas de las TIC y evaluación de la calidad del servicio suministrad</w:t>
            </w:r>
            <w:r w:rsidR="00CB53AE">
              <w:rPr>
                <w:lang w:val="es-ES"/>
              </w:rPr>
              <w:t>"</w:t>
            </w:r>
            <w:r w:rsidR="00D412E0" w:rsidRPr="00D412E0">
              <w:rPr>
                <w:lang w:val="es-ES"/>
              </w:rPr>
              <w:t xml:space="preserve"> dirigido a representantes de las autoridades de políticas, reglamentación y estadísticas. En estos talleres de formación, los representantes nacionales, con la ayuda de expertos de la</w:t>
            </w:r>
            <w:r w:rsidR="00A25164">
              <w:rPr>
                <w:lang w:val="es-ES"/>
              </w:rPr>
              <w:t> </w:t>
            </w:r>
            <w:r w:rsidR="00D412E0" w:rsidRPr="00D412E0">
              <w:rPr>
                <w:lang w:val="es-ES"/>
              </w:rPr>
              <w:t>UIT, debatieron sobre los enfoques de cada país en materia de recopilación de datos y las metodologías existentes, analizaron las lagunas y los retos, y elaboraron recomendaciones sobre los datos administrativos y de los hogares.</w:t>
            </w:r>
          </w:p>
          <w:p w14:paraId="632B8C75" w14:textId="534635A3" w:rsidR="00D412E0" w:rsidRPr="00D412E0" w:rsidRDefault="00860D32" w:rsidP="00860D32">
            <w:pPr>
              <w:pStyle w:val="Tabletext"/>
              <w:tabs>
                <w:tab w:val="clear" w:pos="284"/>
              </w:tabs>
              <w:ind w:left="567" w:hanging="567"/>
              <w:rPr>
                <w:lang w:val="es-ES"/>
              </w:rPr>
            </w:pPr>
            <w:r w:rsidRPr="007966C4">
              <w:rPr>
                <w:lang w:val="es-ES"/>
              </w:rPr>
              <w:t>–</w:t>
            </w:r>
            <w:r w:rsidR="004629FC" w:rsidRPr="004629FC">
              <w:rPr>
                <w:lang w:val="es-ES"/>
              </w:rPr>
              <w:tab/>
            </w:r>
            <w:r w:rsidR="00D412E0" w:rsidRPr="00D412E0">
              <w:rPr>
                <w:lang w:val="es-ES"/>
              </w:rPr>
              <w:t xml:space="preserve">Los tres cursos de la Academia de la UIT sobre la recopilación de datos de las TIC cuentan con contenidos nuevos y actualizados para, respectivamente, </w:t>
            </w:r>
            <w:hyperlink r:id="rId86" w:history="1">
              <w:r w:rsidR="00D412E0" w:rsidRPr="00D412E0">
                <w:rPr>
                  <w:rStyle w:val="Hyperlink"/>
                  <w:lang w:val="es-ES"/>
                </w:rPr>
                <w:t>indicadores de telecomunicaciones/TIC</w:t>
              </w:r>
            </w:hyperlink>
            <w:r w:rsidR="00D412E0" w:rsidRPr="00D412E0">
              <w:rPr>
                <w:lang w:val="es-ES"/>
              </w:rPr>
              <w:t xml:space="preserve">, </w:t>
            </w:r>
            <w:hyperlink r:id="rId87" w:history="1">
              <w:r w:rsidR="00D412E0" w:rsidRPr="00D412E0">
                <w:rPr>
                  <w:rStyle w:val="Hyperlink"/>
                  <w:lang w:val="es-ES"/>
                </w:rPr>
                <w:t>acceso y utilización de las TIC en el hogar</w:t>
              </w:r>
            </w:hyperlink>
            <w:r w:rsidR="00D412E0" w:rsidRPr="00D412E0">
              <w:rPr>
                <w:lang w:val="es-ES"/>
              </w:rPr>
              <w:t xml:space="preserve">, </w:t>
            </w:r>
            <w:hyperlink r:id="rId88" w:history="1">
              <w:r w:rsidR="00D412E0" w:rsidRPr="00D412E0">
                <w:rPr>
                  <w:rStyle w:val="Hyperlink"/>
                  <w:lang w:val="es-ES"/>
                </w:rPr>
                <w:t>datos de telefonía móvil</w:t>
              </w:r>
            </w:hyperlink>
            <w:r w:rsidR="00D412E0" w:rsidRPr="00D412E0">
              <w:rPr>
                <w:lang w:val="es-ES"/>
              </w:rPr>
              <w:t>.</w:t>
            </w:r>
          </w:p>
          <w:p w14:paraId="18B85C64" w14:textId="4B978525" w:rsidR="00D412E0" w:rsidRPr="00D412E0" w:rsidRDefault="00860D32" w:rsidP="00860D32">
            <w:pPr>
              <w:pStyle w:val="Tabletext"/>
              <w:tabs>
                <w:tab w:val="clear" w:pos="284"/>
              </w:tabs>
              <w:ind w:left="567" w:hanging="567"/>
              <w:rPr>
                <w:lang w:val="es-ES"/>
              </w:rPr>
            </w:pPr>
            <w:r w:rsidRPr="00860D32">
              <w:rPr>
                <w:lang w:val="es-ES"/>
              </w:rPr>
              <w:t>–</w:t>
            </w:r>
            <w:r w:rsidR="004629FC" w:rsidRPr="004629FC">
              <w:rPr>
                <w:lang w:val="es-ES"/>
              </w:rPr>
              <w:tab/>
            </w:r>
            <w:r w:rsidR="00D412E0" w:rsidRPr="00D412E0">
              <w:rPr>
                <w:lang w:val="es-ES"/>
              </w:rPr>
              <w:t xml:space="preserve">En febrero de 2025 se publicó el nuevo </w:t>
            </w:r>
            <w:hyperlink r:id="rId89" w:history="1">
              <w:r w:rsidR="00D412E0" w:rsidRPr="002706CF">
                <w:rPr>
                  <w:rStyle w:val="Hyperlink"/>
                  <w:i/>
                  <w:iCs/>
                  <w:lang w:val="es-ES"/>
                </w:rPr>
                <w:t>Manual sobre la cesta de precios de las TIC de 2025</w:t>
              </w:r>
            </w:hyperlink>
            <w:r w:rsidR="00D412E0" w:rsidRPr="00D412E0">
              <w:rPr>
                <w:lang w:val="es-ES"/>
              </w:rPr>
              <w:t xml:space="preserve">, complementado por una </w:t>
            </w:r>
            <w:hyperlink r:id="rId90" w:history="1">
              <w:r w:rsidR="00D412E0" w:rsidRPr="00D412E0">
                <w:rPr>
                  <w:rStyle w:val="Hyperlink"/>
                  <w:lang w:val="es-ES"/>
                </w:rPr>
                <w:t>guía visual para la recopilación de precios de las TIC</w:t>
              </w:r>
            </w:hyperlink>
            <w:r w:rsidR="00D412E0" w:rsidRPr="00D412E0">
              <w:rPr>
                <w:lang w:val="es-ES"/>
              </w:rPr>
              <w:t>, que incorpora la nueva metodología adoptada por el GEIT.</w:t>
            </w:r>
          </w:p>
          <w:p w14:paraId="73BD33C7" w14:textId="1BED85CA" w:rsidR="00D412E0" w:rsidRPr="00382D54" w:rsidRDefault="00D412E0" w:rsidP="00860D32">
            <w:pPr>
              <w:pStyle w:val="Tabletext"/>
              <w:ind w:left="567"/>
              <w:rPr>
                <w:lang w:val="es-ES"/>
              </w:rPr>
            </w:pPr>
            <w:r w:rsidRPr="00D412E0">
              <w:rPr>
                <w:lang w:val="es-ES"/>
              </w:rPr>
              <w:t xml:space="preserve">Entre febrero y abril se organizó una </w:t>
            </w:r>
            <w:hyperlink r:id="rId91" w:history="1">
              <w:r w:rsidRPr="00D412E0">
                <w:rPr>
                  <w:rStyle w:val="Hyperlink"/>
                  <w:lang w:val="es-ES"/>
                </w:rPr>
                <w:t>serie de cuatro webinarios técnicos</w:t>
              </w:r>
            </w:hyperlink>
            <w:r w:rsidRPr="00D412E0">
              <w:rPr>
                <w:lang w:val="es-ES"/>
              </w:rPr>
              <w:t xml:space="preserve"> (</w:t>
            </w:r>
            <w:r w:rsidR="00B41069">
              <w:rPr>
                <w:lang w:val="es-ES"/>
              </w:rPr>
              <w:t>"</w:t>
            </w:r>
            <w:r w:rsidRPr="00D412E0">
              <w:rPr>
                <w:lang w:val="es-ES"/>
              </w:rPr>
              <w:t>prácticos</w:t>
            </w:r>
            <w:r w:rsidR="00B41069">
              <w:rPr>
                <w:lang w:val="es-ES"/>
              </w:rPr>
              <w:t>"</w:t>
            </w:r>
            <w:r w:rsidRPr="00D412E0">
              <w:rPr>
                <w:lang w:val="es-ES"/>
              </w:rPr>
              <w:t>) sobre el cuestionario de la cesta de precios de las TIC, el cuestionario sobre el acceso y utilización de las TIC por los hogares y las personas (dos webinarios) y el cuestionario sobre los indicadores mundiales de las telecomunicaciones/TIC, dirigidos a los coordinadores de estadísticas antes de que comenzaran las campañas de recopilación de datos, con ejemplos concretos sobre cómo rellenar los cuestionarios, los cambios en los indicadores y preguntas y respuestas.</w:t>
            </w:r>
          </w:p>
          <w:p w14:paraId="3C785620" w14:textId="77777777" w:rsidR="00D412E0" w:rsidRPr="004629FC" w:rsidRDefault="00D412E0" w:rsidP="004629FC">
            <w:pPr>
              <w:pStyle w:val="Tabletext"/>
              <w:rPr>
                <w:b/>
                <w:bCs/>
                <w:lang w:val="es-ES"/>
              </w:rPr>
            </w:pPr>
            <w:r w:rsidRPr="004629FC">
              <w:rPr>
                <w:b/>
                <w:bCs/>
                <w:lang w:val="es-ES"/>
              </w:rPr>
              <w:t>Alianzas y cooperación internacional</w:t>
            </w:r>
          </w:p>
          <w:p w14:paraId="6F8CD4C7" w14:textId="19B5E9EB" w:rsidR="00D412E0" w:rsidRPr="00D412E0" w:rsidRDefault="00D412E0" w:rsidP="004629FC">
            <w:pPr>
              <w:pStyle w:val="Tabletext"/>
              <w:rPr>
                <w:lang w:val="es-ES"/>
              </w:rPr>
            </w:pPr>
            <w:r w:rsidRPr="00D412E0">
              <w:rPr>
                <w:lang w:val="es-ES"/>
              </w:rPr>
              <w:t>Los eventos y las actividades promocionales contribuyeron a mejorar la sensibilización de los Estados Miembros y las partes interesadas sobre la importancia de la conectividad universal y efectiva y su medición, y a impulsar la agenda estadística de las</w:t>
            </w:r>
            <w:r w:rsidR="00A25164">
              <w:rPr>
                <w:lang w:val="es-ES"/>
              </w:rPr>
              <w:t> </w:t>
            </w:r>
            <w:r w:rsidRPr="00D412E0">
              <w:rPr>
                <w:lang w:val="es-ES"/>
              </w:rPr>
              <w:t>TIC y mejorar su medición.</w:t>
            </w:r>
          </w:p>
          <w:p w14:paraId="08CBB741" w14:textId="71F78565" w:rsidR="00D412E0" w:rsidRPr="00D412E0" w:rsidRDefault="004629FC" w:rsidP="00860D32">
            <w:pPr>
              <w:pStyle w:val="Tabletext"/>
              <w:tabs>
                <w:tab w:val="clear" w:pos="284"/>
              </w:tabs>
              <w:ind w:left="567" w:hanging="567"/>
              <w:rPr>
                <w:lang w:val="es-ES"/>
              </w:rPr>
            </w:pPr>
            <w:r w:rsidRPr="004629FC">
              <w:rPr>
                <w:lang w:val="es-ES"/>
              </w:rPr>
              <w:t>–</w:t>
            </w:r>
            <w:r>
              <w:rPr>
                <w:lang w:val="es-ES"/>
              </w:rPr>
              <w:tab/>
            </w:r>
            <w:r w:rsidR="00D412E0" w:rsidRPr="00D412E0">
              <w:rPr>
                <w:lang w:val="es-ES"/>
              </w:rPr>
              <w:t xml:space="preserve">Los días 23 y 24 de septiembre se celebró en Ginebra la edición de 2024 del </w:t>
            </w:r>
            <w:hyperlink r:id="rId92" w:history="1">
              <w:r w:rsidR="00D412E0" w:rsidRPr="00D412E0">
                <w:rPr>
                  <w:rStyle w:val="Hyperlink"/>
                  <w:lang w:val="es-ES"/>
                </w:rPr>
                <w:t>Simposio Mundial sobre Indicadores de Telecomunicaciones/TIC</w:t>
              </w:r>
            </w:hyperlink>
            <w:r w:rsidR="00D412E0" w:rsidRPr="00D412E0">
              <w:rPr>
                <w:lang w:val="es-ES"/>
              </w:rPr>
              <w:t xml:space="preserve"> (SMIT-24) que tuvo por tema "De la métrica a la acción: </w:t>
            </w:r>
            <w:r w:rsidR="002706CF" w:rsidRPr="00D412E0">
              <w:rPr>
                <w:lang w:val="es-ES"/>
              </w:rPr>
              <w:t>r</w:t>
            </w:r>
            <w:r w:rsidR="00D412E0" w:rsidRPr="00D412E0">
              <w:rPr>
                <w:lang w:val="es-ES"/>
              </w:rPr>
              <w:t>educir la brecha de datos para una conectividad universal y efectiva". El simposio contó con ocho sesiones y 32</w:t>
            </w:r>
            <w:r w:rsidR="00B41069">
              <w:rPr>
                <w:lang w:val="es-ES"/>
              </w:rPr>
              <w:t> </w:t>
            </w:r>
            <w:r w:rsidR="00D412E0" w:rsidRPr="00D412E0">
              <w:rPr>
                <w:lang w:val="es-ES"/>
              </w:rPr>
              <w:t>ponentes, y congregó a 276</w:t>
            </w:r>
            <w:r w:rsidR="00B41069">
              <w:rPr>
                <w:lang w:val="es-ES"/>
              </w:rPr>
              <w:t> </w:t>
            </w:r>
            <w:r w:rsidR="00D412E0" w:rsidRPr="00D412E0">
              <w:rPr>
                <w:lang w:val="es-ES"/>
              </w:rPr>
              <w:t>participantes de 85</w:t>
            </w:r>
            <w:r w:rsidR="00B41069">
              <w:rPr>
                <w:lang w:val="es-ES"/>
              </w:rPr>
              <w:t> </w:t>
            </w:r>
            <w:r w:rsidR="00D412E0" w:rsidRPr="00D412E0">
              <w:rPr>
                <w:lang w:val="es-ES"/>
              </w:rPr>
              <w:t>países. El 43</w:t>
            </w:r>
            <w:r w:rsidR="00B41069">
              <w:rPr>
                <w:lang w:val="es-ES"/>
              </w:rPr>
              <w:t> </w:t>
            </w:r>
            <w:r w:rsidR="00D412E0" w:rsidRPr="00D412E0">
              <w:rPr>
                <w:lang w:val="es-ES"/>
              </w:rPr>
              <w:t>% de los participantes fueron mujeres.</w:t>
            </w:r>
          </w:p>
          <w:p w14:paraId="0A41EDE4" w14:textId="12050C15" w:rsidR="00D412E0" w:rsidRPr="00D412E0" w:rsidRDefault="004629FC" w:rsidP="00860D32">
            <w:pPr>
              <w:pStyle w:val="Tabletext"/>
              <w:tabs>
                <w:tab w:val="clear" w:pos="284"/>
              </w:tabs>
              <w:ind w:left="567" w:hanging="567"/>
              <w:rPr>
                <w:lang w:val="es-ES"/>
              </w:rPr>
            </w:pPr>
            <w:r w:rsidRPr="004629FC">
              <w:rPr>
                <w:lang w:val="es-ES"/>
              </w:rPr>
              <w:t>–</w:t>
            </w:r>
            <w:r>
              <w:rPr>
                <w:lang w:val="es-ES"/>
              </w:rPr>
              <w:tab/>
            </w:r>
            <w:r w:rsidR="00D412E0" w:rsidRPr="00D412E0">
              <w:rPr>
                <w:lang w:val="es-ES"/>
              </w:rPr>
              <w:t xml:space="preserve">Durante la </w:t>
            </w:r>
            <w:hyperlink r:id="rId93" w:history="1">
              <w:r w:rsidR="00D412E0" w:rsidRPr="00D412E0">
                <w:rPr>
                  <w:rStyle w:val="Hyperlink"/>
                  <w:lang w:val="es-ES"/>
                </w:rPr>
                <w:t>Presidencia brasileña del G20</w:t>
              </w:r>
            </w:hyperlink>
            <w:r w:rsidR="00D412E0" w:rsidRPr="00D412E0">
              <w:rPr>
                <w:lang w:val="es-ES"/>
              </w:rPr>
              <w:t xml:space="preserve"> de 2024, la UIT fue socio de conocimientos para el Grupo de Trabajo de Economía Digital (GTED). En particular, se encomendó a la UIT que apoyase el desarrollo de orientaciones para los indicadores de la conectividad universal y efectiva. La importancia concedida por la Presidencia a la medición de la conectividad universal y efectiva puso de manifiesto el creciente interés por dicha conectividad, que fue un concepto introducido por la</w:t>
            </w:r>
            <w:r w:rsidR="002706CF">
              <w:rPr>
                <w:lang w:val="es-ES"/>
              </w:rPr>
              <w:t> </w:t>
            </w:r>
            <w:r w:rsidR="00D412E0" w:rsidRPr="00D412E0">
              <w:rPr>
                <w:lang w:val="es-ES"/>
              </w:rPr>
              <w:t>UIT en 2021, y resaltó la importancia de la toma de decisiones con base empírica.</w:t>
            </w:r>
          </w:p>
          <w:p w14:paraId="1E4FFCED" w14:textId="1B795A80" w:rsidR="00D412E0" w:rsidRPr="00D412E0" w:rsidRDefault="004629FC" w:rsidP="00860D32">
            <w:pPr>
              <w:pStyle w:val="Tabletext"/>
              <w:tabs>
                <w:tab w:val="clear" w:pos="851"/>
              </w:tabs>
              <w:ind w:left="1134" w:hanging="567"/>
              <w:rPr>
                <w:lang w:val="es-ES"/>
              </w:rPr>
            </w:pPr>
            <w:r w:rsidRPr="004629FC">
              <w:rPr>
                <w:lang w:val="es-ES"/>
              </w:rPr>
              <w:lastRenderedPageBreak/>
              <w:t>•</w:t>
            </w:r>
            <w:r>
              <w:rPr>
                <w:lang w:val="es-ES"/>
              </w:rPr>
              <w:tab/>
            </w:r>
            <w:r w:rsidR="00D412E0" w:rsidRPr="00D412E0">
              <w:rPr>
                <w:lang w:val="es-ES"/>
              </w:rPr>
              <w:t>La</w:t>
            </w:r>
            <w:r w:rsidR="001C1E98">
              <w:rPr>
                <w:lang w:val="es-ES"/>
              </w:rPr>
              <w:t> </w:t>
            </w:r>
            <w:r w:rsidR="00D412E0" w:rsidRPr="00D412E0">
              <w:rPr>
                <w:lang w:val="es-ES"/>
              </w:rPr>
              <w:t xml:space="preserve">UIT contribuyó a los debates del GTED, los eventos paralelos del G20 y diversos productos. Asimismo, contribuyó al </w:t>
            </w:r>
            <w:hyperlink r:id="rId94" w:history="1">
              <w:r w:rsidR="00D412E0" w:rsidRPr="00D412E0">
                <w:rPr>
                  <w:rStyle w:val="Hyperlink"/>
                  <w:lang w:val="es-ES"/>
                </w:rPr>
                <w:t>documento</w:t>
              </w:r>
            </w:hyperlink>
            <w:r w:rsidR="00D412E0" w:rsidRPr="00D412E0">
              <w:rPr>
                <w:lang w:val="es-ES"/>
              </w:rPr>
              <w:t xml:space="preserve"> </w:t>
            </w:r>
            <w:r w:rsidR="00CB53AE">
              <w:rPr>
                <w:lang w:val="es-ES"/>
              </w:rPr>
              <w:t>"</w:t>
            </w:r>
            <w:r w:rsidR="00D412E0" w:rsidRPr="00B41069">
              <w:rPr>
                <w:lang w:val="es-ES"/>
              </w:rPr>
              <w:t>Universal and meaningful connectivity: A framework for indicators and metrics</w:t>
            </w:r>
            <w:r w:rsidR="00CB53AE">
              <w:rPr>
                <w:lang w:val="es-ES"/>
              </w:rPr>
              <w:t>"</w:t>
            </w:r>
            <w:r w:rsidR="00D412E0" w:rsidRPr="00D412E0">
              <w:rPr>
                <w:lang w:val="es-ES"/>
              </w:rPr>
              <w:t>, que promueve la conectividad universal y efectiva, propone indicadores pertinentes, evalúa la capacidad estadística de las economías del G20, presenta nuevos enfoques de medición y ofrece recomendaciones.</w:t>
            </w:r>
          </w:p>
          <w:p w14:paraId="7DA6D34E" w14:textId="0574D921" w:rsidR="00D412E0" w:rsidRPr="00D412E0" w:rsidRDefault="004629FC" w:rsidP="00860D32">
            <w:pPr>
              <w:pStyle w:val="Tabletext"/>
              <w:tabs>
                <w:tab w:val="clear" w:pos="851"/>
              </w:tabs>
              <w:ind w:left="1134" w:hanging="567"/>
              <w:rPr>
                <w:lang w:val="es-ES"/>
              </w:rPr>
            </w:pPr>
            <w:r w:rsidRPr="004629FC">
              <w:rPr>
                <w:lang w:val="es-ES"/>
              </w:rPr>
              <w:t>•</w:t>
            </w:r>
            <w:r>
              <w:rPr>
                <w:lang w:val="es-ES"/>
              </w:rPr>
              <w:tab/>
            </w:r>
            <w:r w:rsidR="00D412E0" w:rsidRPr="00D412E0">
              <w:rPr>
                <w:lang w:val="es-ES"/>
              </w:rPr>
              <w:t xml:space="preserve">La </w:t>
            </w:r>
            <w:hyperlink r:id="rId95" w:history="1">
              <w:r w:rsidR="00E274D9">
                <w:rPr>
                  <w:rStyle w:val="Hyperlink"/>
                  <w:lang w:val="es-ES"/>
                </w:rPr>
                <w:t>declaración ministerial del GTED</w:t>
              </w:r>
            </w:hyperlink>
            <w:r w:rsidR="00D412E0" w:rsidRPr="00D412E0">
              <w:rPr>
                <w:lang w:val="es-ES"/>
              </w:rPr>
              <w:t>, adoptada por los ministros del G20 responsables de la Economía Digital, contiene un resumen de dicho documento. En la declaración se destaca la importancia de la conectividad universal y efectiva y se afirma el compromiso con ella, y se reconoce la contribución de la UIT.</w:t>
            </w:r>
          </w:p>
          <w:p w14:paraId="040554EB" w14:textId="67640EC2" w:rsidR="00D412E0" w:rsidRPr="00D412E0" w:rsidRDefault="00860D32" w:rsidP="00860D32">
            <w:pPr>
              <w:pStyle w:val="Tabletext"/>
              <w:tabs>
                <w:tab w:val="clear" w:pos="284"/>
              </w:tabs>
              <w:ind w:left="567" w:hanging="567"/>
              <w:rPr>
                <w:lang w:val="es-ES"/>
              </w:rPr>
            </w:pPr>
            <w:r w:rsidRPr="00860D32">
              <w:rPr>
                <w:lang w:val="es-ES"/>
              </w:rPr>
              <w:t>–</w:t>
            </w:r>
            <w:r w:rsidR="004629FC">
              <w:rPr>
                <w:lang w:val="es-ES"/>
              </w:rPr>
              <w:tab/>
            </w:r>
            <w:r w:rsidR="00D412E0" w:rsidRPr="00D412E0">
              <w:rPr>
                <w:lang w:val="es-ES"/>
              </w:rPr>
              <w:t>Se organizaron eventos para celebrar el 20</w:t>
            </w:r>
            <w:r w:rsidR="00B41069">
              <w:rPr>
                <w:lang w:val="es-ES"/>
              </w:rPr>
              <w:t>.</w:t>
            </w:r>
            <w:r w:rsidR="00D412E0" w:rsidRPr="00D412E0">
              <w:rPr>
                <w:lang w:val="es-ES"/>
              </w:rPr>
              <w:t>º</w:t>
            </w:r>
            <w:r w:rsidR="00A25164">
              <w:rPr>
                <w:lang w:val="es-ES"/>
              </w:rPr>
              <w:t> </w:t>
            </w:r>
            <w:r w:rsidR="00D412E0" w:rsidRPr="00D412E0">
              <w:rPr>
                <w:lang w:val="es-ES"/>
              </w:rPr>
              <w:t xml:space="preserve">aniversario de la </w:t>
            </w:r>
            <w:hyperlink r:id="rId96" w:history="1">
              <w:r w:rsidR="00D412E0" w:rsidRPr="00D412E0">
                <w:rPr>
                  <w:rStyle w:val="Hyperlink"/>
                  <w:lang w:val="es-ES"/>
                </w:rPr>
                <w:t xml:space="preserve">Alianza para la </w:t>
              </w:r>
              <w:r w:rsidR="00616830" w:rsidRPr="00D412E0">
                <w:rPr>
                  <w:rStyle w:val="Hyperlink"/>
                  <w:lang w:val="es-ES"/>
                </w:rPr>
                <w:t>m</w:t>
              </w:r>
              <w:r w:rsidR="00D412E0" w:rsidRPr="00D412E0">
                <w:rPr>
                  <w:rStyle w:val="Hyperlink"/>
                  <w:lang w:val="es-ES"/>
                </w:rPr>
                <w:t xml:space="preserve">edición de las TIC para el </w:t>
              </w:r>
              <w:r w:rsidR="00616830" w:rsidRPr="00D412E0">
                <w:rPr>
                  <w:rStyle w:val="Hyperlink"/>
                  <w:lang w:val="es-ES"/>
                </w:rPr>
                <w:t>d</w:t>
              </w:r>
              <w:r w:rsidR="00D412E0" w:rsidRPr="00D412E0">
                <w:rPr>
                  <w:rStyle w:val="Hyperlink"/>
                  <w:lang w:val="es-ES"/>
                </w:rPr>
                <w:t xml:space="preserve">esarrollo </w:t>
              </w:r>
              <w:r w:rsidR="00616830" w:rsidRPr="00D412E0">
                <w:rPr>
                  <w:rStyle w:val="Hyperlink"/>
                  <w:lang w:val="es-ES"/>
                </w:rPr>
                <w:t>s</w:t>
              </w:r>
              <w:r w:rsidR="00D412E0" w:rsidRPr="00D412E0">
                <w:rPr>
                  <w:rStyle w:val="Hyperlink"/>
                  <w:lang w:val="es-ES"/>
                </w:rPr>
                <w:t>ostenible</w:t>
              </w:r>
            </w:hyperlink>
            <w:r w:rsidR="00D412E0" w:rsidRPr="00D412E0">
              <w:rPr>
                <w:lang w:val="es-ES"/>
              </w:rPr>
              <w:t xml:space="preserve">, en particular una sesión en el Foro de la CMSI de 2024 celebrado en Ginebra, una sesión durante el </w:t>
            </w:r>
            <w:r w:rsidR="00A02B81">
              <w:rPr>
                <w:lang w:val="es-ES"/>
              </w:rPr>
              <w:t>t</w:t>
            </w:r>
            <w:r w:rsidR="00A02B81" w:rsidRPr="00D412E0">
              <w:rPr>
                <w:lang w:val="es-ES"/>
              </w:rPr>
              <w:t xml:space="preserve">aller </w:t>
            </w:r>
            <w:r w:rsidR="00D412E0" w:rsidRPr="00D412E0">
              <w:rPr>
                <w:lang w:val="es-ES"/>
              </w:rPr>
              <w:t xml:space="preserve">sobre </w:t>
            </w:r>
            <w:r w:rsidR="00A02B81" w:rsidRPr="00D412E0">
              <w:rPr>
                <w:lang w:val="es-ES"/>
              </w:rPr>
              <w:t>m</w:t>
            </w:r>
            <w:r w:rsidR="00D412E0" w:rsidRPr="00D412E0">
              <w:rPr>
                <w:lang w:val="es-ES"/>
              </w:rPr>
              <w:t xml:space="preserve">etodología de </w:t>
            </w:r>
            <w:r w:rsidR="00A02B81" w:rsidRPr="00D412E0">
              <w:rPr>
                <w:lang w:val="es-ES"/>
              </w:rPr>
              <w:t>e</w:t>
            </w:r>
            <w:r w:rsidR="00D412E0" w:rsidRPr="00D412E0">
              <w:rPr>
                <w:lang w:val="es-ES"/>
              </w:rPr>
              <w:t>ncuestas organizado por NIC.br y el Centro de Estudios sobre Tecnologías de la Información y la Comunicación de Brasil en Sao Paolo, en cuyo marco se anunció la alianza en 2004, y una sesión en el SMIT-24. Se llevó a cabo un ejercicio de inventario para evaluar el avance e identificar las prioridades.</w:t>
            </w:r>
          </w:p>
          <w:p w14:paraId="5B977F54" w14:textId="5A1F25E3" w:rsidR="00D412E0" w:rsidRPr="00D412E0" w:rsidRDefault="00860D32" w:rsidP="00860D32">
            <w:pPr>
              <w:pStyle w:val="Tabletext"/>
              <w:tabs>
                <w:tab w:val="clear" w:pos="284"/>
              </w:tabs>
              <w:ind w:left="567" w:hanging="567"/>
              <w:rPr>
                <w:lang w:val="es-ES"/>
              </w:rPr>
            </w:pPr>
            <w:r w:rsidRPr="00860D32">
              <w:rPr>
                <w:lang w:val="es-ES"/>
              </w:rPr>
              <w:t>–</w:t>
            </w:r>
            <w:r w:rsidR="004629FC">
              <w:rPr>
                <w:lang w:val="es-ES"/>
              </w:rPr>
              <w:tab/>
            </w:r>
            <w:r w:rsidR="00D412E0" w:rsidRPr="00D412E0">
              <w:rPr>
                <w:lang w:val="es-ES"/>
              </w:rPr>
              <w:t>L</w:t>
            </w:r>
            <w:r w:rsidR="007A6B7B">
              <w:rPr>
                <w:lang w:val="es-ES"/>
              </w:rPr>
              <w:t>a </w:t>
            </w:r>
            <w:r w:rsidR="00D412E0" w:rsidRPr="00D412E0">
              <w:rPr>
                <w:lang w:val="es-ES"/>
              </w:rPr>
              <w:t>BDT contribuyó con estadísticas de TIC a documentos de carácter internacional, en particular para el Comité de Coordinación de las Actividades Estadísticas de las Naciones Unidas (CCAE), el Foro Político de Alto Nivel (FPAN), el Informe de los Objetivos de Desarrollo Sostenible de las Naciones Unidas y la Comisión de Estadística de las Naciones Unidas.</w:t>
            </w:r>
          </w:p>
          <w:p w14:paraId="5DFCB00D" w14:textId="184F7AF2" w:rsidR="00D412E0" w:rsidRPr="00D412E0" w:rsidRDefault="00860D32" w:rsidP="00860D32">
            <w:pPr>
              <w:pStyle w:val="Tabletext"/>
              <w:tabs>
                <w:tab w:val="clear" w:pos="284"/>
              </w:tabs>
              <w:ind w:left="567" w:hanging="567"/>
              <w:rPr>
                <w:lang w:val="es-ES"/>
              </w:rPr>
            </w:pPr>
            <w:r w:rsidRPr="00860D32">
              <w:rPr>
                <w:lang w:val="es-ES"/>
              </w:rPr>
              <w:t>–</w:t>
            </w:r>
            <w:r w:rsidR="004629FC">
              <w:rPr>
                <w:lang w:val="es-ES"/>
              </w:rPr>
              <w:tab/>
            </w:r>
            <w:r w:rsidR="00D412E0" w:rsidRPr="00D412E0">
              <w:rPr>
                <w:lang w:val="es-ES"/>
              </w:rPr>
              <w:t xml:space="preserve">En su calidad de custodio de </w:t>
            </w:r>
            <w:hyperlink r:id="rId97" w:history="1">
              <w:r w:rsidR="00D412E0" w:rsidRPr="00D412E0">
                <w:rPr>
                  <w:rStyle w:val="Hyperlink"/>
                  <w:lang w:val="es-ES"/>
                </w:rPr>
                <w:t>seis</w:t>
              </w:r>
              <w:r w:rsidR="00B41069">
                <w:rPr>
                  <w:rStyle w:val="Hyperlink"/>
                  <w:lang w:val="es-ES"/>
                </w:rPr>
                <w:t> </w:t>
              </w:r>
              <w:r w:rsidR="00D412E0" w:rsidRPr="00D412E0">
                <w:rPr>
                  <w:rStyle w:val="Hyperlink"/>
                  <w:lang w:val="es-ES"/>
                </w:rPr>
                <w:t>indicadores de los ODS de las Naciones Unidas</w:t>
              </w:r>
            </w:hyperlink>
            <w:r w:rsidR="00D412E0" w:rsidRPr="00D412E0">
              <w:rPr>
                <w:lang w:val="es-ES"/>
              </w:rPr>
              <w:t xml:space="preserve">, la UIT desempeñó un papel fundamental en la formulación del progreso mundial mediante el suministro de datos actualizados para </w:t>
            </w:r>
            <w:hyperlink r:id="rId98" w:history="1">
              <w:r w:rsidR="00D412E0" w:rsidRPr="00D412E0">
                <w:rPr>
                  <w:rStyle w:val="Hyperlink"/>
                  <w:lang w:val="es-ES"/>
                </w:rPr>
                <w:t>base de datos de Naciones Unidas sobre indicadores de los ODS</w:t>
              </w:r>
            </w:hyperlink>
            <w:r w:rsidR="00D412E0" w:rsidRPr="00D412E0">
              <w:rPr>
                <w:lang w:val="es-ES"/>
              </w:rPr>
              <w:t>. También aportó datos complementarios sobre estos indicadores a petición de las Comisiones Regionales de las Naciones Unidas y respondió activamente a las consultas sobre datos, garantizando la accesibilidad y la claridad para las partes interesadas de todo el mundo.</w:t>
            </w:r>
          </w:p>
          <w:p w14:paraId="41FACA33" w14:textId="2FA0B63E" w:rsidR="00D412E0" w:rsidRPr="00D412E0" w:rsidRDefault="00860D32" w:rsidP="00860D32">
            <w:pPr>
              <w:pStyle w:val="Tabletext"/>
              <w:tabs>
                <w:tab w:val="clear" w:pos="284"/>
              </w:tabs>
              <w:ind w:left="567" w:hanging="567"/>
              <w:rPr>
                <w:lang w:val="es-ES"/>
              </w:rPr>
            </w:pPr>
            <w:r w:rsidRPr="00860D32">
              <w:rPr>
                <w:lang w:val="es-ES"/>
              </w:rPr>
              <w:t>–</w:t>
            </w:r>
            <w:r w:rsidR="004629FC">
              <w:rPr>
                <w:lang w:val="es-ES"/>
              </w:rPr>
              <w:tab/>
            </w:r>
            <w:r w:rsidR="00D412E0" w:rsidRPr="00D412E0">
              <w:rPr>
                <w:lang w:val="es-ES"/>
              </w:rPr>
              <w:t>La ejecución del proyecto de tres millones de euros titulado "Promoción y medición de la conectividad universal y efectiva", iniciado en 2023 y financiado por la Unión Europea, sigue en curso. El proyecto está prestando apoyo a actividades fundamentales, como las actividades y herramientas de capacitación, la investigación y la presencia digital.</w:t>
            </w:r>
          </w:p>
        </w:tc>
        <w:tc>
          <w:tcPr>
            <w:tcW w:w="2999" w:type="dxa"/>
          </w:tcPr>
          <w:p w14:paraId="4D2BDA72" w14:textId="77777777" w:rsidR="00D412E0" w:rsidRPr="00D412E0" w:rsidRDefault="00D412E0" w:rsidP="00C07450">
            <w:pPr>
              <w:pStyle w:val="Tabletext"/>
              <w:rPr>
                <w:lang w:val="es-ES"/>
              </w:rPr>
            </w:pPr>
          </w:p>
        </w:tc>
      </w:tr>
      <w:tr w:rsidR="0061116D" w:rsidRPr="00D412E0" w14:paraId="4789D74A" w14:textId="77777777" w:rsidTr="00E07C78">
        <w:trPr>
          <w:jc w:val="center"/>
        </w:trPr>
        <w:tc>
          <w:tcPr>
            <w:tcW w:w="4111" w:type="dxa"/>
          </w:tcPr>
          <w:p w14:paraId="06546F52" w14:textId="77777777" w:rsidR="00D412E0" w:rsidRPr="004629FC" w:rsidRDefault="00D412E0" w:rsidP="004629FC">
            <w:pPr>
              <w:pStyle w:val="Tabletext"/>
              <w:rPr>
                <w:b/>
                <w:bCs/>
                <w:lang w:val="es-ES"/>
              </w:rPr>
            </w:pPr>
            <w:r w:rsidRPr="004629FC">
              <w:rPr>
                <w:b/>
                <w:bCs/>
                <w:lang w:val="es-ES"/>
              </w:rPr>
              <w:lastRenderedPageBreak/>
              <w:t>Contribución a las Metas de los ODS</w:t>
            </w:r>
          </w:p>
        </w:tc>
        <w:tc>
          <w:tcPr>
            <w:tcW w:w="10445" w:type="dxa"/>
            <w:gridSpan w:val="2"/>
          </w:tcPr>
          <w:p w14:paraId="703F4D6A" w14:textId="75275E9B" w:rsidR="00D412E0" w:rsidRPr="00D412E0" w:rsidRDefault="00D412E0" w:rsidP="004629FC">
            <w:pPr>
              <w:pStyle w:val="Tabletext"/>
              <w:rPr>
                <w:lang w:val="es-ES"/>
              </w:rPr>
            </w:pPr>
            <w:r w:rsidRPr="00D412E0">
              <w:rPr>
                <w:lang w:val="es-ES"/>
              </w:rPr>
              <w:t xml:space="preserve">ODS 1, 3, 4, 5, 8, 9, 10, 11, 16 </w:t>
            </w:r>
            <w:r w:rsidR="00A02B81">
              <w:rPr>
                <w:lang w:val="es-ES"/>
              </w:rPr>
              <w:t xml:space="preserve">y </w:t>
            </w:r>
            <w:r w:rsidRPr="00D412E0">
              <w:rPr>
                <w:lang w:val="es-ES"/>
              </w:rPr>
              <w:t>17</w:t>
            </w:r>
          </w:p>
        </w:tc>
      </w:tr>
      <w:tr w:rsidR="0061116D" w:rsidRPr="00D412E0" w14:paraId="4BF03A31" w14:textId="77777777" w:rsidTr="00E07C78">
        <w:trPr>
          <w:jc w:val="center"/>
        </w:trPr>
        <w:tc>
          <w:tcPr>
            <w:tcW w:w="4111" w:type="dxa"/>
          </w:tcPr>
          <w:p w14:paraId="0E150E6C" w14:textId="422A73A4" w:rsidR="00D412E0" w:rsidRPr="004629FC" w:rsidRDefault="00F437FD" w:rsidP="004629FC">
            <w:pPr>
              <w:pStyle w:val="Tabletext"/>
              <w:rPr>
                <w:b/>
                <w:bCs/>
                <w:lang w:val="es-ES"/>
              </w:rPr>
            </w:pPr>
            <w:r w:rsidRPr="00F437FD">
              <w:rPr>
                <w:b/>
                <w:bCs/>
                <w:lang w:val="es-ES"/>
              </w:rPr>
              <w:t>Líneas de Acción de la CMSI</w:t>
            </w:r>
          </w:p>
        </w:tc>
        <w:tc>
          <w:tcPr>
            <w:tcW w:w="10445" w:type="dxa"/>
            <w:gridSpan w:val="2"/>
          </w:tcPr>
          <w:p w14:paraId="58D70539" w14:textId="505F954C" w:rsidR="00D412E0" w:rsidRPr="00D412E0" w:rsidRDefault="00D412E0" w:rsidP="004629FC">
            <w:pPr>
              <w:pStyle w:val="Tabletext"/>
              <w:rPr>
                <w:lang w:val="es-ES"/>
              </w:rPr>
            </w:pPr>
            <w:r w:rsidRPr="00D412E0">
              <w:rPr>
                <w:lang w:val="es-ES"/>
              </w:rPr>
              <w:t xml:space="preserve">C1, C2, C3, C4, C5, C6, C7 </w:t>
            </w:r>
            <w:r w:rsidR="00A02B81">
              <w:rPr>
                <w:lang w:val="es-ES"/>
              </w:rPr>
              <w:t xml:space="preserve">y </w:t>
            </w:r>
            <w:r w:rsidRPr="00D412E0">
              <w:rPr>
                <w:lang w:val="es-ES"/>
              </w:rPr>
              <w:t>C11</w:t>
            </w:r>
          </w:p>
        </w:tc>
      </w:tr>
      <w:tr w:rsidR="0061116D" w:rsidRPr="002F5AC1" w14:paraId="776F82DF" w14:textId="77777777" w:rsidTr="00E07C78">
        <w:trPr>
          <w:jc w:val="center"/>
        </w:trPr>
        <w:tc>
          <w:tcPr>
            <w:tcW w:w="4111" w:type="dxa"/>
          </w:tcPr>
          <w:p w14:paraId="59F54583" w14:textId="447AF9A1" w:rsidR="00D412E0" w:rsidRPr="004629FC" w:rsidRDefault="00D412E0" w:rsidP="004629FC">
            <w:pPr>
              <w:pStyle w:val="Tabletext"/>
              <w:rPr>
                <w:b/>
                <w:bCs/>
                <w:lang w:val="es-ES"/>
              </w:rPr>
            </w:pPr>
            <w:r w:rsidRPr="004629FC">
              <w:rPr>
                <w:b/>
                <w:bCs/>
                <w:lang w:val="es-ES"/>
              </w:rPr>
              <w:t>Resoluciones</w:t>
            </w:r>
          </w:p>
        </w:tc>
        <w:tc>
          <w:tcPr>
            <w:tcW w:w="10445" w:type="dxa"/>
            <w:gridSpan w:val="2"/>
          </w:tcPr>
          <w:p w14:paraId="31789905" w14:textId="233507DA" w:rsidR="00D412E0" w:rsidRPr="00D412E0" w:rsidRDefault="00D412E0" w:rsidP="004629FC">
            <w:pPr>
              <w:pStyle w:val="Tabletext"/>
              <w:rPr>
                <w:lang w:val="es-ES"/>
              </w:rPr>
            </w:pPr>
            <w:r w:rsidRPr="00D412E0">
              <w:rPr>
                <w:lang w:val="es-ES"/>
              </w:rPr>
              <w:t>2, 8, 10, 18, 21, 22, 131, 135, 138, 139, 174, 191, 195, 196 y 201 de la PP</w:t>
            </w:r>
          </w:p>
          <w:p w14:paraId="7A9313E7" w14:textId="77777777" w:rsidR="00D412E0" w:rsidRPr="00D412E0" w:rsidRDefault="00D412E0" w:rsidP="004629FC">
            <w:pPr>
              <w:pStyle w:val="Tabletext"/>
              <w:rPr>
                <w:lang w:val="es-ES"/>
              </w:rPr>
            </w:pPr>
            <w:r w:rsidRPr="00D412E0">
              <w:rPr>
                <w:lang w:val="es-ES"/>
              </w:rPr>
              <w:t>8, 16, 17, 22, 23, 25, 30, 37, 48, 64, 71, 77, 78, 79, 80, 84 y 85 de la CMDT</w:t>
            </w:r>
          </w:p>
        </w:tc>
      </w:tr>
      <w:tr w:rsidR="0061116D" w:rsidRPr="002F5AC1" w14:paraId="4708F308" w14:textId="77777777" w:rsidTr="00E07C78">
        <w:trPr>
          <w:jc w:val="center"/>
        </w:trPr>
        <w:tc>
          <w:tcPr>
            <w:tcW w:w="4111" w:type="dxa"/>
          </w:tcPr>
          <w:p w14:paraId="0BFC8BE4" w14:textId="5679C877" w:rsidR="00D412E0" w:rsidRPr="004629FC" w:rsidRDefault="00F437FD" w:rsidP="004629FC">
            <w:pPr>
              <w:pStyle w:val="Tabletext"/>
              <w:rPr>
                <w:b/>
                <w:bCs/>
                <w:lang w:val="es-ES"/>
              </w:rPr>
            </w:pPr>
            <w:r w:rsidRPr="00F437FD">
              <w:rPr>
                <w:b/>
                <w:bCs/>
                <w:lang w:val="es-ES"/>
              </w:rPr>
              <w:t>Comisiones de Estudio</w:t>
            </w:r>
          </w:p>
        </w:tc>
        <w:tc>
          <w:tcPr>
            <w:tcW w:w="10445" w:type="dxa"/>
            <w:gridSpan w:val="2"/>
          </w:tcPr>
          <w:p w14:paraId="728F6C70" w14:textId="4CC41BA2" w:rsidR="00D412E0" w:rsidRPr="00D412E0" w:rsidRDefault="00D412E0" w:rsidP="004629FC">
            <w:pPr>
              <w:pStyle w:val="Tabletext"/>
              <w:rPr>
                <w:lang w:val="es-ES"/>
              </w:rPr>
            </w:pPr>
            <w:r w:rsidRPr="00D412E0">
              <w:rPr>
                <w:lang w:val="es-ES"/>
              </w:rPr>
              <w:t>Todas las Cuestiones de la Comisión de Estudio</w:t>
            </w:r>
            <w:r w:rsidR="00B41069">
              <w:rPr>
                <w:lang w:val="es-ES"/>
              </w:rPr>
              <w:t> </w:t>
            </w:r>
            <w:r w:rsidRPr="00D412E0">
              <w:rPr>
                <w:lang w:val="es-ES"/>
              </w:rPr>
              <w:t>1 sobre Entorno propicio para la conectividad efectiva</w:t>
            </w:r>
          </w:p>
          <w:p w14:paraId="033FF0E3" w14:textId="43889802" w:rsidR="00D412E0" w:rsidRPr="00D412E0" w:rsidRDefault="00D412E0" w:rsidP="004629FC">
            <w:pPr>
              <w:pStyle w:val="Tabletext"/>
              <w:rPr>
                <w:lang w:val="es-ES"/>
              </w:rPr>
            </w:pPr>
            <w:r w:rsidRPr="00D412E0">
              <w:rPr>
                <w:lang w:val="es-ES"/>
              </w:rPr>
              <w:t>Cuestiones</w:t>
            </w:r>
            <w:r w:rsidR="00A25164">
              <w:rPr>
                <w:lang w:val="es-ES"/>
              </w:rPr>
              <w:t> </w:t>
            </w:r>
            <w:r w:rsidRPr="00D412E0">
              <w:rPr>
                <w:lang w:val="es-ES"/>
              </w:rPr>
              <w:t>5/2, 6/2 y 7/2 de la Comisión de Estudio</w:t>
            </w:r>
            <w:r w:rsidR="00B41069">
              <w:rPr>
                <w:lang w:val="es-ES"/>
              </w:rPr>
              <w:t> </w:t>
            </w:r>
            <w:r w:rsidRPr="00D412E0">
              <w:rPr>
                <w:lang w:val="es-ES"/>
              </w:rPr>
              <w:t xml:space="preserve">2 sobre </w:t>
            </w:r>
            <w:r w:rsidR="00A25164">
              <w:rPr>
                <w:lang w:val="es-ES"/>
              </w:rPr>
              <w:t>t</w:t>
            </w:r>
            <w:r w:rsidRPr="00D412E0">
              <w:rPr>
                <w:lang w:val="es-ES"/>
              </w:rPr>
              <w:t>ransformación digital</w:t>
            </w:r>
          </w:p>
        </w:tc>
      </w:tr>
    </w:tbl>
    <w:p w14:paraId="5F413592" w14:textId="19D2605C" w:rsidR="00ED244A" w:rsidRPr="00E274D9" w:rsidRDefault="00ED244A" w:rsidP="00E274D9">
      <w:pPr>
        <w:spacing w:before="0"/>
        <w:rPr>
          <w:sz w:val="16"/>
          <w:szCs w:val="16"/>
          <w:lang w:val="es-ES"/>
        </w:rPr>
      </w:pPr>
      <w:r w:rsidRPr="00E274D9">
        <w:rPr>
          <w:sz w:val="16"/>
          <w:szCs w:val="16"/>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78B83D6A" w14:textId="77777777" w:rsidTr="004711CF">
        <w:trPr>
          <w:jc w:val="center"/>
        </w:trPr>
        <w:tc>
          <w:tcPr>
            <w:tcW w:w="14556" w:type="dxa"/>
            <w:gridSpan w:val="3"/>
            <w:shd w:val="clear" w:color="auto" w:fill="365F91"/>
          </w:tcPr>
          <w:p w14:paraId="39A7B943" w14:textId="77777777" w:rsidR="00382D54" w:rsidRPr="00FA4162" w:rsidRDefault="00382D54" w:rsidP="00C07450">
            <w:pPr>
              <w:pStyle w:val="Heading1"/>
              <w:spacing w:before="80" w:after="80"/>
              <w:jc w:val="center"/>
              <w:rPr>
                <w:color w:val="FFFFFF" w:themeColor="background1"/>
                <w:sz w:val="22"/>
                <w:szCs w:val="22"/>
                <w:lang w:val="es-ES"/>
              </w:rPr>
            </w:pPr>
            <w:bookmarkStart w:id="18" w:name="_Toc196911806"/>
            <w:r w:rsidRPr="00FA4162">
              <w:rPr>
                <w:color w:val="FFFFFF" w:themeColor="background1"/>
                <w:sz w:val="22"/>
                <w:szCs w:val="22"/>
                <w:lang w:val="es-ES"/>
              </w:rPr>
              <w:lastRenderedPageBreak/>
              <w:t>Prioridad 4 del UIT-D: Telecomunicaciones/TIC inclusivas y seguras para el desarrollo sostenible</w:t>
            </w:r>
            <w:bookmarkEnd w:id="18"/>
          </w:p>
          <w:p w14:paraId="727B2145" w14:textId="77777777" w:rsidR="00382D54" w:rsidRPr="00B057D3" w:rsidRDefault="00382D54" w:rsidP="00C07450">
            <w:pPr>
              <w:pStyle w:val="Tablehead"/>
              <w:rPr>
                <w:i/>
                <w:iCs/>
                <w:color w:val="FFFFFF" w:themeColor="background1"/>
                <w:lang w:val="es-ES_tradnl"/>
              </w:rPr>
            </w:pPr>
            <w:r w:rsidRPr="00FA4162">
              <w:rPr>
                <w:i/>
                <w:iCs/>
                <w:color w:val="FFFFFF" w:themeColor="background1"/>
                <w:lang w:val="es-ES_tradnl"/>
              </w:rPr>
              <w:t>Fomento de estrategias nacionales de ciberseguridad y refuerzo de las competencias digitales</w:t>
            </w:r>
          </w:p>
        </w:tc>
      </w:tr>
      <w:tr w:rsidR="00382D54" w:rsidRPr="002F5AC1" w14:paraId="0B623F38" w14:textId="77777777" w:rsidTr="004711CF">
        <w:trPr>
          <w:jc w:val="center"/>
        </w:trPr>
        <w:tc>
          <w:tcPr>
            <w:tcW w:w="14556" w:type="dxa"/>
            <w:gridSpan w:val="3"/>
            <w:shd w:val="clear" w:color="auto" w:fill="E5DFEC"/>
          </w:tcPr>
          <w:p w14:paraId="4F18F455" w14:textId="65C92A8E" w:rsidR="00382D54" w:rsidRPr="00B057D3" w:rsidRDefault="00382D54" w:rsidP="00B057D3">
            <w:pPr>
              <w:pStyle w:val="Tabletext"/>
              <w:rPr>
                <w:i/>
                <w:iCs/>
                <w:lang w:val="es-ES_tradnl"/>
              </w:rPr>
            </w:pPr>
            <w:r w:rsidRPr="00B057D3">
              <w:rPr>
                <w:b/>
                <w:bCs/>
                <w:i/>
                <w:iCs/>
                <w:lang w:val="es-ES_tradnl"/>
              </w:rPr>
              <w:t xml:space="preserve">Realización: </w:t>
            </w:r>
            <w:r w:rsidRPr="00B057D3">
              <w:rPr>
                <w:i/>
                <w:iCs/>
                <w:lang w:val="es-ES_tradnl"/>
              </w:rPr>
              <w:t xml:space="preserve">Apoyo a los Estados Miembros en la elaboración de estrategias nacionales de ciberseguridad y </w:t>
            </w:r>
            <w:r w:rsidR="00F22D7C" w:rsidRPr="00F22D7C">
              <w:rPr>
                <w:i/>
                <w:iCs/>
                <w:lang w:val="es-ES_tradnl"/>
              </w:rPr>
              <w:t xml:space="preserve">equipos de intervención en caso de incidente informático </w:t>
            </w:r>
            <w:r w:rsidR="00F22D7C">
              <w:rPr>
                <w:i/>
                <w:iCs/>
                <w:lang w:val="es-ES_tradnl"/>
              </w:rPr>
              <w:t>(</w:t>
            </w:r>
            <w:r w:rsidRPr="00B057D3">
              <w:rPr>
                <w:i/>
                <w:iCs/>
                <w:lang w:val="es-ES_tradnl"/>
              </w:rPr>
              <w:t>EIII</w:t>
            </w:r>
            <w:r w:rsidR="00F22D7C">
              <w:rPr>
                <w:i/>
                <w:iCs/>
                <w:lang w:val="es-ES_tradnl"/>
              </w:rPr>
              <w:t>)</w:t>
            </w:r>
            <w:r w:rsidRPr="00B057D3">
              <w:rPr>
                <w:i/>
                <w:iCs/>
                <w:lang w:val="es-ES_tradnl"/>
              </w:rPr>
              <w:t>. Aumento de los servicios seguros en línea, incluida la protección de la infancia en línea, y movilización de recursos para los grupos marginados y las personas con necesidades especiales</w:t>
            </w:r>
            <w:r w:rsidR="00F22D7C">
              <w:rPr>
                <w:i/>
                <w:iCs/>
                <w:lang w:val="es-ES_tradnl"/>
              </w:rPr>
              <w:t>.</w:t>
            </w:r>
          </w:p>
        </w:tc>
      </w:tr>
      <w:tr w:rsidR="00382D54" w:rsidRPr="00382D54" w14:paraId="1882ED5D" w14:textId="77777777" w:rsidTr="004711CF">
        <w:trPr>
          <w:jc w:val="center"/>
        </w:trPr>
        <w:tc>
          <w:tcPr>
            <w:tcW w:w="11557" w:type="dxa"/>
            <w:gridSpan w:val="2"/>
          </w:tcPr>
          <w:p w14:paraId="531FEEC1" w14:textId="77777777" w:rsidR="00382D54" w:rsidRPr="00B405B1" w:rsidRDefault="00382D54" w:rsidP="00C07450">
            <w:pPr>
              <w:pStyle w:val="Tablehead"/>
              <w:rPr>
                <w:color w:val="0070C0"/>
                <w:lang w:val="es-ES_tradnl"/>
              </w:rPr>
            </w:pPr>
            <w:r w:rsidRPr="00B405B1">
              <w:rPr>
                <w:color w:val="0070C0"/>
                <w:lang w:val="es-ES_tradnl"/>
              </w:rPr>
              <w:t>Productos</w:t>
            </w:r>
          </w:p>
        </w:tc>
        <w:tc>
          <w:tcPr>
            <w:tcW w:w="2999" w:type="dxa"/>
          </w:tcPr>
          <w:p w14:paraId="0B1750C9" w14:textId="77777777" w:rsidR="00382D54" w:rsidRPr="00B057D3" w:rsidRDefault="00382D54" w:rsidP="00C07450">
            <w:pPr>
              <w:pStyle w:val="Tablehead"/>
              <w:rPr>
                <w:color w:val="0070C0"/>
                <w:lang w:val="es-ES_tradnl"/>
              </w:rPr>
            </w:pPr>
            <w:r w:rsidRPr="00B057D3">
              <w:rPr>
                <w:color w:val="0070C0"/>
                <w:lang w:val="es-ES_tradnl"/>
              </w:rPr>
              <w:t>Datos destacados</w:t>
            </w:r>
          </w:p>
        </w:tc>
      </w:tr>
      <w:tr w:rsidR="00382D54" w:rsidRPr="002F5AC1" w14:paraId="02EFBB85" w14:textId="77777777" w:rsidTr="004711CF">
        <w:trPr>
          <w:jc w:val="center"/>
        </w:trPr>
        <w:tc>
          <w:tcPr>
            <w:tcW w:w="11557" w:type="dxa"/>
            <w:gridSpan w:val="2"/>
          </w:tcPr>
          <w:p w14:paraId="71D8C10E" w14:textId="77777777" w:rsidR="00382D54" w:rsidRPr="00B057D3" w:rsidRDefault="00382D54" w:rsidP="00C07450">
            <w:pPr>
              <w:pStyle w:val="Tabletext"/>
              <w:rPr>
                <w:b/>
                <w:bCs/>
                <w:color w:val="1F497D"/>
                <w:lang w:val="es-ES_tradnl"/>
              </w:rPr>
            </w:pPr>
            <w:r w:rsidRPr="00B057D3">
              <w:rPr>
                <w:b/>
                <w:bCs/>
                <w:color w:val="1F497D"/>
                <w:lang w:val="es-ES_tradnl"/>
              </w:rPr>
              <w:t>Ciberseguridad</w:t>
            </w:r>
          </w:p>
          <w:p w14:paraId="23731FBD" w14:textId="77777777" w:rsidR="00382D54" w:rsidRPr="00B057D3" w:rsidRDefault="00382D54" w:rsidP="00C07450">
            <w:pPr>
              <w:pStyle w:val="Tabletext"/>
              <w:rPr>
                <w:b/>
                <w:bCs/>
                <w:lang w:val="es-ES_tradnl"/>
              </w:rPr>
            </w:pPr>
            <w:r w:rsidRPr="00B057D3">
              <w:rPr>
                <w:b/>
                <w:bCs/>
                <w:lang w:val="es-ES_tradnl"/>
              </w:rPr>
              <w:t>Capacitación</w:t>
            </w:r>
          </w:p>
          <w:p w14:paraId="12954DA2" w14:textId="126D002F" w:rsidR="00382D54" w:rsidRPr="00382D54" w:rsidRDefault="00B057D3" w:rsidP="00B057D3">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 xml:space="preserve">En </w:t>
            </w:r>
            <w:r w:rsidR="00382D54" w:rsidRPr="00B057D3">
              <w:rPr>
                <w:b/>
                <w:bCs/>
                <w:lang w:val="es-ES"/>
              </w:rPr>
              <w:t>la</w:t>
            </w:r>
            <w:r w:rsidR="00382D54" w:rsidRPr="00B057D3">
              <w:rPr>
                <w:b/>
                <w:bCs/>
                <w:lang w:val="es-ES_tradnl"/>
              </w:rPr>
              <w:t xml:space="preserve"> región de África</w:t>
            </w:r>
            <w:r w:rsidR="00382D54" w:rsidRPr="00382D54">
              <w:rPr>
                <w:lang w:val="es-ES_tradnl"/>
              </w:rPr>
              <w:t>, la</w:t>
            </w:r>
            <w:r w:rsidR="00F47642">
              <w:rPr>
                <w:lang w:val="es-ES_tradnl"/>
              </w:rPr>
              <w:t> </w:t>
            </w:r>
            <w:r w:rsidR="00382D54" w:rsidRPr="00382D54">
              <w:rPr>
                <w:lang w:val="es-ES_tradnl"/>
              </w:rPr>
              <w:t>BDT, en colaboración con INTERPOL, celebró un cibersimulacro regional para África en Accra (Ghana), bajo los auspicios de la Autoridad de Ciberseguridad de Ghana. El objetivo de este evento fue mejorar las capacidades de comunicación y respuesta a incidentes de los participantes, así como reforzar la colaboración para hacer frente a las ciberamenazas. Más de 210</w:t>
            </w:r>
            <w:r w:rsidR="008B4FB2">
              <w:rPr>
                <w:lang w:val="es-ES_tradnl"/>
              </w:rPr>
              <w:t> </w:t>
            </w:r>
            <w:r w:rsidR="00382D54" w:rsidRPr="00382D54">
              <w:rPr>
                <w:lang w:val="es-ES_tradnl"/>
              </w:rPr>
              <w:t>personas de 29</w:t>
            </w:r>
            <w:r w:rsidR="008B4FB2">
              <w:rPr>
                <w:lang w:val="es-ES_tradnl"/>
              </w:rPr>
              <w:t> </w:t>
            </w:r>
            <w:r w:rsidR="00382D54" w:rsidRPr="00382D54">
              <w:rPr>
                <w:lang w:val="es-ES_tradnl"/>
              </w:rPr>
              <w:t>países africanos participaron en una sesión de un día de duración centrada en el intercambio de prácticas idóneas y experiencias.</w:t>
            </w:r>
          </w:p>
          <w:p w14:paraId="04D00DA2" w14:textId="0BFB3B53" w:rsidR="00382D54" w:rsidRPr="00382D54" w:rsidRDefault="00382D54" w:rsidP="00B057D3">
            <w:pPr>
              <w:pStyle w:val="Tabletext"/>
              <w:ind w:left="567"/>
              <w:rPr>
                <w:lang w:val="es-ES_tradnl"/>
              </w:rPr>
            </w:pPr>
            <w:r w:rsidRPr="00382D54">
              <w:rPr>
                <w:lang w:val="es-ES_tradnl"/>
              </w:rPr>
              <w:t>Cuatro miembros del sector privado del</w:t>
            </w:r>
            <w:r w:rsidR="00F47642">
              <w:rPr>
                <w:lang w:val="es-ES_tradnl"/>
              </w:rPr>
              <w:t> </w:t>
            </w:r>
            <w:r w:rsidRPr="00382D54">
              <w:rPr>
                <w:lang w:val="es-ES_tradnl"/>
              </w:rPr>
              <w:t>UIT</w:t>
            </w:r>
            <w:r w:rsidR="00F47642">
              <w:rPr>
                <w:lang w:val="es-ES_tradnl"/>
              </w:rPr>
              <w:noBreakHyphen/>
            </w:r>
            <w:r w:rsidRPr="00382D54">
              <w:rPr>
                <w:lang w:val="es-ES_tradnl"/>
              </w:rPr>
              <w:t>D (BitSight, CTM360, ImmuniWeb, y NRD) ofrecieron herramientas, servicios y actividades de formación de manera gratuita a 19</w:t>
            </w:r>
            <w:r w:rsidR="00B94FE7">
              <w:rPr>
                <w:lang w:val="es-ES_tradnl"/>
              </w:rPr>
              <w:t> </w:t>
            </w:r>
            <w:r w:rsidRPr="00382D54">
              <w:rPr>
                <w:lang w:val="es-ES_tradnl"/>
              </w:rPr>
              <w:t xml:space="preserve">PMA de África en un intento de reducir la brecha de cibercapacidad entre los países desarrollados, los países en desarrollo y los PMA, en el marco del </w:t>
            </w:r>
            <w:r w:rsidRPr="006F1183">
              <w:rPr>
                <w:b/>
                <w:bCs/>
                <w:lang w:val="es-ES_tradnl"/>
              </w:rPr>
              <w:t xml:space="preserve">proyecto </w:t>
            </w:r>
            <w:r w:rsidR="009C68FA" w:rsidRPr="006F1183">
              <w:rPr>
                <w:b/>
                <w:bCs/>
                <w:lang w:val="es-ES_tradnl"/>
              </w:rPr>
              <w:t>"</w:t>
            </w:r>
            <w:r w:rsidRPr="006F1183">
              <w:rPr>
                <w:b/>
                <w:bCs/>
                <w:lang w:val="es-ES_tradnl"/>
              </w:rPr>
              <w:t>Cyber for Good</w:t>
            </w:r>
            <w:r w:rsidR="009C68FA" w:rsidRPr="006F1183">
              <w:rPr>
                <w:b/>
                <w:bCs/>
                <w:lang w:val="es-ES_tradnl"/>
              </w:rPr>
              <w:t>"</w:t>
            </w:r>
            <w:r w:rsidRPr="00382D54">
              <w:rPr>
                <w:lang w:val="es-ES_tradnl"/>
              </w:rPr>
              <w:t>. En colaboración con la</w:t>
            </w:r>
            <w:r w:rsidR="00F47642">
              <w:rPr>
                <w:lang w:val="es-ES_tradnl"/>
              </w:rPr>
              <w:t> </w:t>
            </w:r>
            <w:r w:rsidRPr="00382D54">
              <w:rPr>
                <w:lang w:val="es-ES_tradnl"/>
              </w:rPr>
              <w:t xml:space="preserve">TSB, se organizaron diversos </w:t>
            </w:r>
            <w:r w:rsidR="00B94FE7">
              <w:rPr>
                <w:lang w:val="es-ES_tradnl"/>
              </w:rPr>
              <w:t>t</w:t>
            </w:r>
            <w:r w:rsidRPr="00382D54">
              <w:rPr>
                <w:lang w:val="es-ES_tradnl"/>
              </w:rPr>
              <w:t xml:space="preserve">alleres </w:t>
            </w:r>
            <w:r w:rsidR="00B94FE7" w:rsidRPr="00382D54">
              <w:rPr>
                <w:lang w:val="es-ES_tradnl"/>
              </w:rPr>
              <w:t>p</w:t>
            </w:r>
            <w:r w:rsidRPr="00382D54">
              <w:rPr>
                <w:lang w:val="es-ES_tradnl"/>
              </w:rPr>
              <w:t xml:space="preserve">rácticos sobre </w:t>
            </w:r>
            <w:r w:rsidR="00B94FE7" w:rsidRPr="00382D54">
              <w:rPr>
                <w:lang w:val="es-ES_tradnl"/>
              </w:rPr>
              <w:t>s</w:t>
            </w:r>
            <w:r w:rsidRPr="00382D54">
              <w:rPr>
                <w:lang w:val="es-ES_tradnl"/>
              </w:rPr>
              <w:t xml:space="preserve">eguridad de los </w:t>
            </w:r>
            <w:r w:rsidRPr="007B632B">
              <w:rPr>
                <w:lang w:val="es-ES_tradnl"/>
              </w:rPr>
              <w:t>SFD</w:t>
            </w:r>
            <w:r w:rsidRPr="00382D54">
              <w:rPr>
                <w:lang w:val="es-ES_tradnl"/>
              </w:rPr>
              <w:t xml:space="preserve"> en Gambia, Sudán del Sur, Ghana, Zimbabwe, Malawi, Lesot</w:t>
            </w:r>
            <w:r w:rsidR="00F47642">
              <w:rPr>
                <w:lang w:val="es-ES_tradnl"/>
              </w:rPr>
              <w:t>h</w:t>
            </w:r>
            <w:r w:rsidRPr="00382D54">
              <w:rPr>
                <w:lang w:val="es-ES_tradnl"/>
              </w:rPr>
              <w:t>o, Etiopía, Eswatini, Sierra Leona, Burkina Faso y Gabón. El objetivo principal de estos talleres prácticos fue proporcionar asistencia técnica a los países sobre cuestiones relacionadas con la seguridad en el ámbito de los servicios financieros digitales y ayudar a los Estados Miembros a adoptar las recomendaciones en materia de seguridad de los SFD de la UIT y desarrollar sus propios talleres prácticos sobre seguridad de los SFD para comprobar la adecuación de las aplicaciones de estos servicios a las recomendaciones aplicables de la UIT.</w:t>
            </w:r>
          </w:p>
          <w:p w14:paraId="3CA7A1CB" w14:textId="44E194B0" w:rsidR="00382D54" w:rsidRPr="00DE39F4" w:rsidRDefault="00382D54" w:rsidP="00B057D3">
            <w:pPr>
              <w:pStyle w:val="Tabletext"/>
              <w:ind w:left="567"/>
              <w:rPr>
                <w:spacing w:val="-2"/>
                <w:lang w:val="es-ES_tradnl"/>
              </w:rPr>
            </w:pPr>
            <w:r w:rsidRPr="00DE39F4">
              <w:rPr>
                <w:spacing w:val="-2"/>
                <w:lang w:val="es-ES_tradnl"/>
              </w:rPr>
              <w:t xml:space="preserve">La UIT puso en marcha, en colaboración con la GIZ y la UNODC, el programa Her CyberTracks de la Academia de la UIT, con </w:t>
            </w:r>
            <w:r w:rsidRPr="00DE39F4">
              <w:rPr>
                <w:spacing w:val="-2"/>
                <w:lang w:val="es-ES"/>
              </w:rPr>
              <w:t>participantes</w:t>
            </w:r>
            <w:r w:rsidRPr="00DE39F4">
              <w:rPr>
                <w:spacing w:val="-2"/>
                <w:lang w:val="es-ES_tradnl"/>
              </w:rPr>
              <w:t xml:space="preserve"> de 19</w:t>
            </w:r>
            <w:r w:rsidR="008B4FB2" w:rsidRPr="00DE39F4">
              <w:rPr>
                <w:spacing w:val="-2"/>
                <w:lang w:val="es-ES_tradnl"/>
              </w:rPr>
              <w:t> </w:t>
            </w:r>
            <w:r w:rsidRPr="00DE39F4">
              <w:rPr>
                <w:spacing w:val="-2"/>
                <w:lang w:val="es-ES_tradnl"/>
              </w:rPr>
              <w:t>países de África. El plan de estudios, de cinco meses de duración, incluyó diversas formaciones en línea y una formación presencial en Ghana, que se impartió en colaboración con la Autoridad de Ciberseguridad de Ghana.</w:t>
            </w:r>
          </w:p>
          <w:p w14:paraId="05F6CD74" w14:textId="22B107F9" w:rsidR="00382D54" w:rsidRPr="00382D54" w:rsidRDefault="00B057D3" w:rsidP="00B057D3">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 xml:space="preserve">En </w:t>
            </w:r>
            <w:r w:rsidR="00382D54" w:rsidRPr="00B057D3">
              <w:rPr>
                <w:b/>
                <w:bCs/>
                <w:lang w:val="es-ES"/>
              </w:rPr>
              <w:t>la</w:t>
            </w:r>
            <w:r w:rsidR="00382D54" w:rsidRPr="00B057D3">
              <w:rPr>
                <w:b/>
                <w:bCs/>
                <w:lang w:val="es-ES_tradnl"/>
              </w:rPr>
              <w:t xml:space="preserve"> </w:t>
            </w:r>
            <w:r w:rsidR="00CE0197">
              <w:rPr>
                <w:b/>
                <w:bCs/>
                <w:lang w:val="es-ES_tradnl"/>
              </w:rPr>
              <w:t>r</w:t>
            </w:r>
            <w:r w:rsidR="00382D54" w:rsidRPr="00B057D3">
              <w:rPr>
                <w:b/>
                <w:bCs/>
                <w:lang w:val="es-ES_tradnl"/>
              </w:rPr>
              <w:t>egión de las Américas</w:t>
            </w:r>
            <w:r w:rsidR="00382D54" w:rsidRPr="00382D54">
              <w:rPr>
                <w:lang w:val="es-ES_tradnl"/>
              </w:rPr>
              <w:t>, la UIT, UNICEF y la OECO cooperaron y colaboraron en áreas de interés común, incluidas la conectividad escolar y la iniciativa Giga en la región del Caribe Oriental, mediante el desarrollo de una política y un marco estratégico de protección de la infancia en línea y un estudio piloto en comunidades rurales de Barbados (incluido el suministro de equipos informáticos y formación), y presentaron todo el apoyo a la mejora de la banda ancha prestado por Giga a los Estados Miembros de la OECO.</w:t>
            </w:r>
          </w:p>
          <w:p w14:paraId="68349369" w14:textId="6A863E4B" w:rsidR="00382D54" w:rsidRPr="00382D54" w:rsidRDefault="00382D54" w:rsidP="00B057D3">
            <w:pPr>
              <w:pStyle w:val="Tabletext"/>
              <w:ind w:left="567"/>
              <w:rPr>
                <w:lang w:val="es-ES_tradnl"/>
              </w:rPr>
            </w:pPr>
            <w:r w:rsidRPr="00382D54">
              <w:rPr>
                <w:lang w:val="es-ES_tradnl"/>
              </w:rPr>
              <w:lastRenderedPageBreak/>
              <w:t xml:space="preserve">En Barbados, se mejoró la banda ancha en 27 escuelas piloto en beneficio de más de 18 057 alumnos y 1 382 profesores de todo el país. En el marco de la programación mundial de la UIT sobre protección de la infancia en línea, se impartió un </w:t>
            </w:r>
            <w:r w:rsidRPr="00B057D3">
              <w:rPr>
                <w:lang w:val="es-ES"/>
              </w:rPr>
              <w:t>programa</w:t>
            </w:r>
            <w:r w:rsidRPr="00382D54">
              <w:rPr>
                <w:lang w:val="es-ES_tradnl"/>
              </w:rPr>
              <w:t xml:space="preserve"> de formación de formadores a educadores en Suriname y Costa Rica en marzo de 2024, en Ecuador en agosto de 2024 y en Bahamas en febrero de 2025. Además, las Directrices sobre protección de la infancia en línea se tradujeron al aymara, el neerlandés y el quechua. Haití se incorporó al proyecto </w:t>
            </w:r>
            <w:r w:rsidR="006F1183">
              <w:rPr>
                <w:lang w:val="es-ES_tradnl"/>
              </w:rPr>
              <w:t>"</w:t>
            </w:r>
            <w:r w:rsidRPr="00382D54">
              <w:rPr>
                <w:lang w:val="es-ES_tradnl"/>
              </w:rPr>
              <w:t>Cyber for Good</w:t>
            </w:r>
            <w:r w:rsidR="006F1183">
              <w:rPr>
                <w:lang w:val="es-ES_tradnl"/>
              </w:rPr>
              <w:t>"</w:t>
            </w:r>
            <w:r w:rsidRPr="00382D54">
              <w:rPr>
                <w:lang w:val="es-ES_tradnl"/>
              </w:rPr>
              <w:t xml:space="preserve"> de la UIT en marzo de</w:t>
            </w:r>
            <w:r w:rsidR="008B4FB2">
              <w:rPr>
                <w:lang w:val="es-ES_tradnl"/>
              </w:rPr>
              <w:t> </w:t>
            </w:r>
            <w:r w:rsidRPr="00382D54">
              <w:rPr>
                <w:lang w:val="es-ES_tradnl"/>
              </w:rPr>
              <w:t>2025, lo que le permitió acceder a herramientas, servicios y recursos de formación de distintos Miembros de Sector de la</w:t>
            </w:r>
            <w:r w:rsidR="00ED244A">
              <w:rPr>
                <w:lang w:val="es-ES_tradnl"/>
              </w:rPr>
              <w:t> </w:t>
            </w:r>
            <w:r w:rsidRPr="00382D54">
              <w:rPr>
                <w:lang w:val="es-ES_tradnl"/>
              </w:rPr>
              <w:t>UIT.</w:t>
            </w:r>
          </w:p>
          <w:p w14:paraId="44080CCB" w14:textId="2848BCF9" w:rsidR="00382D54" w:rsidRPr="00382D54" w:rsidRDefault="00382D54" w:rsidP="00B057D3">
            <w:pPr>
              <w:pStyle w:val="Tabletext"/>
              <w:ind w:left="567"/>
              <w:rPr>
                <w:lang w:val="es-ES_tradnl"/>
              </w:rPr>
            </w:pPr>
            <w:r w:rsidRPr="00382D54">
              <w:rPr>
                <w:lang w:val="es-ES_tradnl"/>
              </w:rPr>
              <w:t xml:space="preserve">El </w:t>
            </w:r>
            <w:r w:rsidR="007C3AE1" w:rsidRPr="00382D54">
              <w:rPr>
                <w:lang w:val="es-ES_tradnl"/>
              </w:rPr>
              <w:t xml:space="preserve">Seminario Regional </w:t>
            </w:r>
            <w:r w:rsidRPr="00382D54">
              <w:rPr>
                <w:lang w:val="es-ES_tradnl"/>
              </w:rPr>
              <w:t xml:space="preserve">sobre </w:t>
            </w:r>
            <w:r w:rsidR="007C3AE1" w:rsidRPr="00382D54">
              <w:rPr>
                <w:lang w:val="es-ES_tradnl"/>
              </w:rPr>
              <w:t>c</w:t>
            </w:r>
            <w:r w:rsidRPr="00382D54">
              <w:rPr>
                <w:lang w:val="es-ES_tradnl"/>
              </w:rPr>
              <w:t xml:space="preserve">iberseguridad y </w:t>
            </w:r>
            <w:r w:rsidR="007C3AE1" w:rsidRPr="00382D54">
              <w:rPr>
                <w:lang w:val="es-ES_tradnl"/>
              </w:rPr>
              <w:t>c</w:t>
            </w:r>
            <w:r w:rsidRPr="00382D54">
              <w:rPr>
                <w:lang w:val="es-ES_tradnl"/>
              </w:rPr>
              <w:t>iberdiplomacia, organizado por la UIT, COMTELCA y ASEP Panamá, se celebró en abril de 2025 en Ciudad de Panamá. Uno de los objetivos del programa Women in Cyber de la UIT es empoderar a las mujeres responsables de la formulación de políticas y fortalecer la gobernanza de la ciberseguridad y la diplomacia en las Américas a través de debates técnicos y ejercicios prácticos.</w:t>
            </w:r>
          </w:p>
          <w:p w14:paraId="03DFA5EF" w14:textId="02BA88EA" w:rsidR="00382D54" w:rsidRPr="00382D54" w:rsidRDefault="00B057D3" w:rsidP="00B057D3">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En la región de los Estados Árabes</w:t>
            </w:r>
            <w:r w:rsidR="00382D54" w:rsidRPr="00382D54">
              <w:rPr>
                <w:lang w:val="es-ES_tradnl"/>
              </w:rPr>
              <w:t xml:space="preserve">, en el marco de las actividades de </w:t>
            </w:r>
            <w:r w:rsidR="00382D54" w:rsidRPr="00F71E37">
              <w:rPr>
                <w:b/>
                <w:bCs/>
                <w:lang w:val="es-ES_tradnl"/>
              </w:rPr>
              <w:t>desarrollo de competencias de la iniciativa Women in Cyber</w:t>
            </w:r>
            <w:r w:rsidR="00382D54" w:rsidRPr="00382D54">
              <w:rPr>
                <w:lang w:val="es-ES_tradnl"/>
              </w:rPr>
              <w:t>, se impartió una formación sobre gobernanza nacional de la ciberseguridad y ciberdiplomacia dirigida a mujeres responsables de la formulación de políticas en la región árabe, en colaboración con la Unión General de Mujeres y el Consejo de Ciberseguridad de los EAU, a fin de mejorar la capacidad de las interesadas para participar en la formulación de políticas de ciberseguridad a escala nacional e internacional.</w:t>
            </w:r>
          </w:p>
          <w:p w14:paraId="35ED81AA" w14:textId="02CC1392" w:rsidR="00382D54" w:rsidRPr="00382D54" w:rsidRDefault="00382D54" w:rsidP="00B057D3">
            <w:pPr>
              <w:pStyle w:val="Tabletext"/>
              <w:ind w:left="567"/>
              <w:rPr>
                <w:lang w:val="es-ES_tradnl"/>
              </w:rPr>
            </w:pPr>
            <w:r w:rsidRPr="00382D54">
              <w:rPr>
                <w:lang w:val="es-ES_tradnl"/>
              </w:rPr>
              <w:t xml:space="preserve">En el marco del proyecto </w:t>
            </w:r>
            <w:r w:rsidR="009C68FA">
              <w:rPr>
                <w:lang w:val="es-ES_tradnl"/>
              </w:rPr>
              <w:t>"</w:t>
            </w:r>
            <w:r w:rsidRPr="00382D54">
              <w:rPr>
                <w:lang w:val="es-ES_tradnl"/>
              </w:rPr>
              <w:t>Cyber for Good</w:t>
            </w:r>
            <w:r w:rsidR="009C68FA">
              <w:rPr>
                <w:lang w:val="es-ES_tradnl"/>
              </w:rPr>
              <w:t>"</w:t>
            </w:r>
            <w:r w:rsidRPr="00382D54">
              <w:rPr>
                <w:lang w:val="es-ES_tradnl"/>
              </w:rPr>
              <w:t xml:space="preserve">, Somalia ha gozado de acceso gratuito a las plataformas CTM360 e ImmuniWeb. En el </w:t>
            </w:r>
            <w:r w:rsidRPr="00B057D3">
              <w:rPr>
                <w:lang w:val="es-ES"/>
              </w:rPr>
              <w:t>contexto</w:t>
            </w:r>
            <w:r w:rsidRPr="00382D54">
              <w:rPr>
                <w:lang w:val="es-ES_tradnl"/>
              </w:rPr>
              <w:t xml:space="preserve"> del programa mundial de la UIT sobre protección de la infancia en línea, se han elaborado recursos de sensibilización específicos para niños y cuidadores en Marruecos.</w:t>
            </w:r>
          </w:p>
          <w:p w14:paraId="7394274E" w14:textId="225D4375" w:rsidR="00382D54" w:rsidRPr="00382D54" w:rsidRDefault="00B057D3" w:rsidP="00B057D3">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En la región de Asia</w:t>
            </w:r>
            <w:r w:rsidR="00CE0197">
              <w:rPr>
                <w:b/>
                <w:bCs/>
                <w:lang w:val="es-ES_tradnl"/>
              </w:rPr>
              <w:noBreakHyphen/>
            </w:r>
            <w:r w:rsidR="00382D54" w:rsidRPr="00B057D3">
              <w:rPr>
                <w:b/>
                <w:bCs/>
                <w:lang w:val="es-ES_tradnl"/>
              </w:rPr>
              <w:t>Pacífico</w:t>
            </w:r>
            <w:r w:rsidR="00382D54" w:rsidRPr="00382D54">
              <w:rPr>
                <w:lang w:val="es-ES_tradnl"/>
              </w:rPr>
              <w:t xml:space="preserve">, en el marco del proyecto </w:t>
            </w:r>
            <w:r w:rsidR="009C68FA" w:rsidRPr="003609C9">
              <w:rPr>
                <w:b/>
                <w:bCs/>
                <w:lang w:val="es-ES_tradnl"/>
              </w:rPr>
              <w:t>"</w:t>
            </w:r>
            <w:r w:rsidR="00382D54" w:rsidRPr="003609C9">
              <w:rPr>
                <w:b/>
                <w:bCs/>
                <w:lang w:val="es-ES_tradnl"/>
              </w:rPr>
              <w:t>Cyber for Good</w:t>
            </w:r>
            <w:r w:rsidR="009C68FA" w:rsidRPr="003609C9">
              <w:rPr>
                <w:b/>
                <w:bCs/>
                <w:lang w:val="es-ES_tradnl"/>
              </w:rPr>
              <w:t>"</w:t>
            </w:r>
            <w:r w:rsidR="00382D54" w:rsidRPr="00382D54">
              <w:rPr>
                <w:lang w:val="es-ES_tradnl"/>
              </w:rPr>
              <w:t xml:space="preserve">, la BDT ha estado colaborando con países menos </w:t>
            </w:r>
            <w:r w:rsidR="00382D54" w:rsidRPr="00B057D3">
              <w:rPr>
                <w:lang w:val="es-ES"/>
              </w:rPr>
              <w:t>adelantados</w:t>
            </w:r>
            <w:r w:rsidR="00382D54" w:rsidRPr="00382D54">
              <w:rPr>
                <w:lang w:val="es-ES_tradnl"/>
              </w:rPr>
              <w:t xml:space="preserve"> a fin de mejorar su capacidad para afrontar problemas relacionados con la ciberseguridad. Tanto Lao (R.D.P.) como Camboya han gozado de acceso gratuito a herramientas proporcionadas por miembros del sector privado de la UIT, incluidas las plataformas CTM360 e ImmuniWeb. Al amparo de su programa de respuesta a incidentes, la BDT proporcionó asistencia técnica a Maldivas a través de cursos de formación y un informe de evaluación sobre las deficiencias en materia de creación de capacidad.</w:t>
            </w:r>
          </w:p>
          <w:p w14:paraId="15B4BF4B" w14:textId="168BD417" w:rsidR="00382D54" w:rsidRPr="00382D54" w:rsidRDefault="00382D54" w:rsidP="00B057D3">
            <w:pPr>
              <w:pStyle w:val="Tabletext"/>
              <w:ind w:left="567"/>
              <w:rPr>
                <w:lang w:val="es-ES_tradnl"/>
              </w:rPr>
            </w:pPr>
            <w:r w:rsidRPr="00382D54">
              <w:rPr>
                <w:lang w:val="es-ES_tradnl"/>
              </w:rPr>
              <w:t xml:space="preserve">La BDT, en colaboración con Cyber Security Brunei (CSB) y el Ministerio de Transporte e Infocomunicaciones (MTIC) de Brunei </w:t>
            </w:r>
            <w:r w:rsidRPr="00B057D3">
              <w:rPr>
                <w:lang w:val="es-ES"/>
              </w:rPr>
              <w:t>Darussalam</w:t>
            </w:r>
            <w:r w:rsidRPr="00382D54">
              <w:rPr>
                <w:lang w:val="es-ES_tradnl"/>
              </w:rPr>
              <w:t>, organizó un cibersimulacro para la región de Asia</w:t>
            </w:r>
            <w:r w:rsidR="00CE0197">
              <w:rPr>
                <w:lang w:val="es-ES_tradnl"/>
              </w:rPr>
              <w:noBreakHyphen/>
            </w:r>
            <w:r w:rsidRPr="00382D54">
              <w:rPr>
                <w:lang w:val="es-ES_tradnl"/>
              </w:rPr>
              <w:t>Pacífico de la UIT en noviembre de 2024, en Bandar Seri Begawan (Brunei Darussalam). El evento congregó a más de 130</w:t>
            </w:r>
            <w:r w:rsidR="008B4FB2">
              <w:rPr>
                <w:lang w:val="es-ES_tradnl"/>
              </w:rPr>
              <w:t> </w:t>
            </w:r>
            <w:r w:rsidRPr="00382D54">
              <w:rPr>
                <w:lang w:val="es-ES_tradnl"/>
              </w:rPr>
              <w:t>participantes en la conferencia regional. Además, 80</w:t>
            </w:r>
            <w:r w:rsidR="008B4FB2">
              <w:rPr>
                <w:lang w:val="es-ES_tradnl"/>
              </w:rPr>
              <w:t> </w:t>
            </w:r>
            <w:r w:rsidRPr="00382D54">
              <w:rPr>
                <w:lang w:val="es-ES_tradnl"/>
              </w:rPr>
              <w:t>participantes de 19</w:t>
            </w:r>
            <w:r w:rsidR="008B4FB2">
              <w:rPr>
                <w:lang w:val="es-ES_tradnl"/>
              </w:rPr>
              <w:t> </w:t>
            </w:r>
            <w:r w:rsidRPr="00382D54">
              <w:rPr>
                <w:lang w:val="es-ES_tradnl"/>
              </w:rPr>
              <w:t>Estados Miembros se sumaron a las sesiones de formación y al ejercicio basado en hipótesis, en cuyo marco reforzaron sus capacidades para gestionar la respuesta a incidentes.</w:t>
            </w:r>
          </w:p>
          <w:p w14:paraId="521B5FB6" w14:textId="6EF20530" w:rsidR="00382D54" w:rsidRPr="00382D54" w:rsidRDefault="00382D54" w:rsidP="00B057D3">
            <w:pPr>
              <w:pStyle w:val="Tabletext"/>
              <w:ind w:left="567"/>
              <w:rPr>
                <w:lang w:val="es-ES_tradnl"/>
              </w:rPr>
            </w:pPr>
            <w:r w:rsidRPr="00382D54">
              <w:rPr>
                <w:lang w:val="es-ES_tradnl"/>
              </w:rPr>
              <w:t xml:space="preserve">Además, la UIT, en colaboración con el Ministerio de Correos y Telecomunicaciones de Camboya (MPTC) y la Agencia de </w:t>
            </w:r>
            <w:r w:rsidRPr="00B057D3">
              <w:rPr>
                <w:lang w:val="es-ES"/>
              </w:rPr>
              <w:t>Cooperación</w:t>
            </w:r>
            <w:r w:rsidRPr="00382D54">
              <w:rPr>
                <w:lang w:val="es-ES_tradnl"/>
              </w:rPr>
              <w:t xml:space="preserve"> Internacional del Japón (JICA), organizó un taller sobre el refuerzo de la resiliencia de las infraestructuras críticas de la información. El taller, al que asistieron treinta participantes de diversas partes interesadas en las infraestructuras críticas de la información de Camboya, incluido el equipo de intervención en caso de emergencia </w:t>
            </w:r>
            <w:r w:rsidRPr="00382D54">
              <w:rPr>
                <w:lang w:val="es-ES_tradnl"/>
              </w:rPr>
              <w:lastRenderedPageBreak/>
              <w:t>informática (EIEI) de Camboya, reforzó los conocimientos de los participantes en los ámbitos de la respuesta a incidentes técnicos, las estrategias nacionales de ciberseguridad y la gestión de las crisis.</w:t>
            </w:r>
          </w:p>
          <w:p w14:paraId="7F339D2F" w14:textId="7A3FD7CB" w:rsidR="00382D54" w:rsidRPr="00382D54" w:rsidRDefault="00382D54" w:rsidP="00B057D3">
            <w:pPr>
              <w:pStyle w:val="Tabletext"/>
              <w:ind w:left="567"/>
              <w:rPr>
                <w:lang w:val="es-ES_tradnl"/>
              </w:rPr>
            </w:pPr>
            <w:r w:rsidRPr="00382D54">
              <w:rPr>
                <w:lang w:val="es-ES_tradnl"/>
              </w:rPr>
              <w:t xml:space="preserve">Del 3 al 5 de febrero de 2025, la BDT impartió en Bangkok una formación ejecutiva sobre ciberseguridad para funcionarios del </w:t>
            </w:r>
            <w:r w:rsidR="00112A2E" w:rsidRPr="00382D54">
              <w:rPr>
                <w:lang w:val="es-ES_tradnl"/>
              </w:rPr>
              <w:t xml:space="preserve">Gobierno </w:t>
            </w:r>
            <w:r w:rsidRPr="00382D54">
              <w:rPr>
                <w:lang w:val="es-ES_tradnl"/>
              </w:rPr>
              <w:t>de Bhután. Esta formación, impartida en colaboración con la JICA de Bhután, congregó a 11</w:t>
            </w:r>
            <w:r w:rsidR="008B4FB2">
              <w:rPr>
                <w:lang w:val="es-ES_tradnl"/>
              </w:rPr>
              <w:t> </w:t>
            </w:r>
            <w:r w:rsidRPr="00382D54">
              <w:rPr>
                <w:lang w:val="es-ES_tradnl"/>
              </w:rPr>
              <w:t xml:space="preserve">ejecutivos de siete </w:t>
            </w:r>
            <w:r w:rsidRPr="00B057D3">
              <w:rPr>
                <w:lang w:val="es-ES"/>
              </w:rPr>
              <w:t>organismos</w:t>
            </w:r>
            <w:r w:rsidRPr="00382D54">
              <w:rPr>
                <w:lang w:val="es-ES_tradnl"/>
              </w:rPr>
              <w:t xml:space="preserve"> gubernamentales y les brindó la posibilidad de realizar simulacros de ciberseguridad de alto nivel, cursos de formación y visitas de estudio. Del 17 al 20 de febrero de 2025, la</w:t>
            </w:r>
            <w:r w:rsidR="00F71E37">
              <w:rPr>
                <w:lang w:val="es-ES_tradnl"/>
              </w:rPr>
              <w:t> </w:t>
            </w:r>
            <w:r w:rsidRPr="00382D54">
              <w:rPr>
                <w:lang w:val="es-ES_tradnl"/>
              </w:rPr>
              <w:t>BDT impartió una formación para Filipinas sobre refuerzo de la resiliencia de las infraestructuras críticas de la información con ayuda del equipo de intervención en caso de incidente informático nacional. Esta formación se organizó en colaboración con la JICA y el Departamento de Tecnologías de la Información y las Comunicaciones de Filipinas.</w:t>
            </w:r>
          </w:p>
          <w:p w14:paraId="7A220CA1" w14:textId="59BC94D0" w:rsidR="00382D54" w:rsidRPr="00382D54" w:rsidRDefault="003609C9" w:rsidP="003609C9">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En la región de la CEI</w:t>
            </w:r>
            <w:r w:rsidR="00382D54" w:rsidRPr="00382D54">
              <w:rPr>
                <w:lang w:val="es-ES_tradnl"/>
              </w:rPr>
              <w:t xml:space="preserve">, se celebró </w:t>
            </w:r>
            <w:r w:rsidR="00382D54" w:rsidRPr="00F71E37">
              <w:rPr>
                <w:b/>
                <w:bCs/>
                <w:lang w:val="es-ES_tradnl"/>
              </w:rPr>
              <w:t>el primer cibersimulacro nacional</w:t>
            </w:r>
            <w:r w:rsidR="00382D54" w:rsidRPr="00382D54">
              <w:rPr>
                <w:lang w:val="es-ES_tradnl"/>
              </w:rPr>
              <w:t xml:space="preserve"> de Armenia, coorganizado por la Agencia de Sistemas de la </w:t>
            </w:r>
            <w:r w:rsidR="00382D54" w:rsidRPr="00B057D3">
              <w:rPr>
                <w:lang w:val="es-ES"/>
              </w:rPr>
              <w:t>Información</w:t>
            </w:r>
            <w:r w:rsidR="00382D54" w:rsidRPr="00382D54">
              <w:rPr>
                <w:lang w:val="es-ES_tradnl"/>
              </w:rPr>
              <w:t xml:space="preserve"> de Armenia. Este cibersimulacro reforzó las capacidades de respuesta técnica y gestión de las partes interesadas gubernamentales en materia de ciberseguridad y ayudó a sentar las bases del sector de la ciberseguridad armenio, el cual se hallaba en fase de desarrollo.</w:t>
            </w:r>
          </w:p>
          <w:p w14:paraId="074B86BC" w14:textId="77777777" w:rsidR="00382D54" w:rsidRPr="00382D54" w:rsidRDefault="00382D54" w:rsidP="00B057D3">
            <w:pPr>
              <w:pStyle w:val="Tabletext"/>
              <w:ind w:left="567"/>
              <w:rPr>
                <w:lang w:val="es-ES_tradnl"/>
              </w:rPr>
            </w:pPr>
            <w:r w:rsidRPr="00382D54">
              <w:rPr>
                <w:lang w:val="es-ES_tradnl"/>
              </w:rPr>
              <w:t xml:space="preserve">En el marco de su programa mundial sobre protección de la infancia en línea, la UIT ha apoyado una formación de dos días que se tituló "CyberSafe for Family" y se celebró en abril de 2025 en Kazajstán. La organización del evento corrió a cargo de TechnoWomen, quien contó con el apoyo de la Comisión Nacional de Asuntos de la Mujer, Familia y Política Demográfica, dependiente de la Presidencia de la República de Kazajistán, y el Ministerio de Desarrollo Digital, Innovación e Industria </w:t>
            </w:r>
            <w:r w:rsidRPr="00B057D3">
              <w:rPr>
                <w:lang w:val="es-ES"/>
              </w:rPr>
              <w:t>Aeroespacial</w:t>
            </w:r>
            <w:r w:rsidRPr="00382D54">
              <w:rPr>
                <w:lang w:val="es-ES_tradnl"/>
              </w:rPr>
              <w:t xml:space="preserve"> de la República de Kazajstán. Esta formación, dirigida a mujeres integrantes de las fuerzas del orden y otras organizaciones pertinentes, tuvo por objeto impartir conocimientos sobre tendencias digitales, ciberseguridad e higiene digital, así como sobre métodos para confrontar los riesgos y problemas que plantea la protección en línea. Entre los temas abordados figuraron la prevención del ciberacoso, el hostigamiento en línea, la seguridad de los pagos en línea y los mecanismos de control parental.</w:t>
            </w:r>
          </w:p>
          <w:p w14:paraId="777C92B7" w14:textId="4C32F3B7" w:rsidR="00382D54" w:rsidRPr="00382D54" w:rsidRDefault="003609C9" w:rsidP="003609C9">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En la región de Europa</w:t>
            </w:r>
            <w:r w:rsidR="00382D54" w:rsidRPr="00382D54">
              <w:rPr>
                <w:lang w:val="es-ES_tradnl"/>
              </w:rPr>
              <w:t>, el Foro de la UIT sobre Ciberseguridad y el Cibersimulacro para Europa y el Mediterráneo, celebrados del </w:t>
            </w:r>
            <w:r w:rsidR="00382D54" w:rsidRPr="00B057D3">
              <w:rPr>
                <w:lang w:val="es-ES"/>
              </w:rPr>
              <w:t>26</w:t>
            </w:r>
            <w:r w:rsidR="00382D54" w:rsidRPr="00382D54">
              <w:rPr>
                <w:lang w:val="es-ES_tradnl"/>
              </w:rPr>
              <w:t xml:space="preserve"> al 29 de noviembre de 2024 en Sofía (Bulgaria), reunieron a representantes de Albania, Bosnia y Herzegovina, Bulgaria, Alemania, Grecia, Italia, Moldova, Montenegro, Polonia, Rumania, España, Suiza, Macedonia del Norte, Ucrania, Reino Unido, Egipto, Túnez, Líbano y Jordania, así como a expertos de FIRST, Europol, el Banco Mundial y la Agencia de la Unión Europea para la Ciberseguridad.</w:t>
            </w:r>
          </w:p>
          <w:p w14:paraId="01156E12" w14:textId="77777777" w:rsidR="00382D54" w:rsidRPr="00382D54" w:rsidRDefault="00382D54" w:rsidP="00B057D3">
            <w:pPr>
              <w:pStyle w:val="Tabletext"/>
              <w:ind w:left="567"/>
              <w:rPr>
                <w:lang w:val="es-ES_tradnl"/>
              </w:rPr>
            </w:pPr>
            <w:r w:rsidRPr="00382D54">
              <w:rPr>
                <w:lang w:val="es-ES_tradnl"/>
              </w:rPr>
              <w:t>Las Directrices para la Protección de la Infancia en Línea (PIeL) se tradujeron al maltés y se crearon tarjetas resumen de las principales recomendaciones. También se llevaron a cabo actividades de capacitación, que crearon conciencia y mejoraron las competencias de los representantes de Malta. Estas iniciativas han fortalecido la capacidad de Malta para hacer frente a los desafíos vinculados a la protección de la infancia en línea, fomentando un entorno digital más seguro y fiable para los niños.</w:t>
            </w:r>
          </w:p>
          <w:p w14:paraId="2E2C581F" w14:textId="77777777" w:rsidR="00382D54" w:rsidRPr="00382D54" w:rsidRDefault="00382D54" w:rsidP="00A67BE1">
            <w:pPr>
              <w:pStyle w:val="Tabletext"/>
              <w:keepNext/>
              <w:keepLines/>
              <w:ind w:left="567"/>
              <w:rPr>
                <w:lang w:val="es-ES_tradnl"/>
              </w:rPr>
            </w:pPr>
            <w:r w:rsidRPr="00382D54">
              <w:rPr>
                <w:lang w:val="es-ES_tradnl"/>
              </w:rPr>
              <w:lastRenderedPageBreak/>
              <w:t xml:space="preserve">La creación de la Evaluación Nacional de la Protección de la Infancia en Línea (PIeL), junto con la celebración de una consulta nacional a las partes interesadas los días 2 y 3 de diciembre de 2024, ha mejorado el enfoque estratégico de Andorra sobre la protección de los niños en el entorno en línea. Mediante el refuerzo de la colaboración entre las múltiples partes interesadas, la </w:t>
            </w:r>
            <w:r w:rsidRPr="00B057D3">
              <w:rPr>
                <w:lang w:val="es-ES"/>
              </w:rPr>
              <w:t>determinación</w:t>
            </w:r>
            <w:r w:rsidRPr="00382D54">
              <w:rPr>
                <w:lang w:val="es-ES_tradnl"/>
              </w:rPr>
              <w:t xml:space="preserve"> de las deficiencias y la priorización de los esfuerzos, estas iniciativas sientan las bases para establecer un marco exhaustivo e inclusivo de PIeL adaptado a las necesidades nacionales específicas.</w:t>
            </w:r>
          </w:p>
          <w:p w14:paraId="763D5DD9" w14:textId="03085ABB" w:rsidR="00382D54" w:rsidRPr="00382D54" w:rsidRDefault="00382D54" w:rsidP="00B057D3">
            <w:pPr>
              <w:pStyle w:val="Tabletext"/>
              <w:ind w:left="567"/>
              <w:rPr>
                <w:lang w:val="es-ES_tradnl"/>
              </w:rPr>
            </w:pPr>
            <w:r w:rsidRPr="00382D54">
              <w:rPr>
                <w:lang w:val="es-ES_tradnl"/>
              </w:rPr>
              <w:t xml:space="preserve">La UIT puso en marcha, en colaboración con la GIZ y la UNODC, el programa Her CyberTracks de la Academia de la UIT, que </w:t>
            </w:r>
            <w:r w:rsidRPr="00B057D3">
              <w:rPr>
                <w:lang w:val="es-ES"/>
              </w:rPr>
              <w:t>congregó</w:t>
            </w:r>
            <w:r w:rsidRPr="00382D54">
              <w:rPr>
                <w:lang w:val="es-ES_tradnl"/>
              </w:rPr>
              <w:t xml:space="preserve"> a participantes de </w:t>
            </w:r>
            <w:r w:rsidR="00F47642">
              <w:rPr>
                <w:lang w:val="es-ES_tradnl"/>
              </w:rPr>
              <w:t>ocho </w:t>
            </w:r>
            <w:r w:rsidRPr="00382D54">
              <w:rPr>
                <w:lang w:val="es-ES_tradnl"/>
              </w:rPr>
              <w:t>países de Europa. El plan de estudios, de cinco meses de duración, incluyó diversas formaciones en línea y una formación presencial en Albania, que se impartió en colaboración con la Agencia Nacional de Ciberseguridad de Albania.</w:t>
            </w:r>
          </w:p>
          <w:p w14:paraId="2B464934" w14:textId="525D804B" w:rsidR="00382D54" w:rsidRPr="00B057D3" w:rsidRDefault="00382D54" w:rsidP="00C07450">
            <w:pPr>
              <w:pStyle w:val="Tabletext"/>
              <w:rPr>
                <w:b/>
                <w:bCs/>
                <w:lang w:val="es-ES_tradnl"/>
              </w:rPr>
            </w:pPr>
            <w:r w:rsidRPr="00B057D3">
              <w:rPr>
                <w:b/>
                <w:bCs/>
                <w:lang w:val="es-ES_tradnl"/>
              </w:rPr>
              <w:t>Prestación de asistencia técnica</w:t>
            </w:r>
          </w:p>
          <w:p w14:paraId="42731965" w14:textId="120E0BF4" w:rsidR="00382D54" w:rsidRPr="00382D54" w:rsidRDefault="00B057D3" w:rsidP="00B057D3">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 xml:space="preserve">En </w:t>
            </w:r>
            <w:r w:rsidR="00382D54" w:rsidRPr="00B057D3">
              <w:rPr>
                <w:b/>
                <w:bCs/>
                <w:lang w:val="es-ES"/>
              </w:rPr>
              <w:t>la</w:t>
            </w:r>
            <w:r w:rsidR="00382D54" w:rsidRPr="00B057D3">
              <w:rPr>
                <w:b/>
                <w:bCs/>
                <w:lang w:val="es-ES_tradnl"/>
              </w:rPr>
              <w:t xml:space="preserve"> región de África</w:t>
            </w:r>
            <w:r w:rsidR="00382D54" w:rsidRPr="00382D54">
              <w:rPr>
                <w:lang w:val="es-ES_tradnl"/>
              </w:rPr>
              <w:t xml:space="preserve">, la UIT llevó a cabo una evaluación nacional de la preparación de los EIII de Seychelles. Además, se facilitó un ejercicio teórico para el ecosistema de ciberseguridad de Lesotho. Esta sesión tuvo por objeto ampliar los conocimientos estratégicos sobre la gobernanza de la ciberseguridad de las principales partes interesadas nacionales, impulsando con ello los objetivos de la </w:t>
            </w:r>
            <w:r w:rsidR="00FA4162">
              <w:rPr>
                <w:lang w:val="es-ES_tradnl"/>
              </w:rPr>
              <w:t>e</w:t>
            </w:r>
            <w:r w:rsidR="00382D54" w:rsidRPr="00382D54">
              <w:rPr>
                <w:lang w:val="es-ES_tradnl"/>
              </w:rPr>
              <w:t xml:space="preserve">strategia </w:t>
            </w:r>
            <w:r w:rsidR="00FA4162">
              <w:rPr>
                <w:lang w:val="es-ES_tradnl"/>
              </w:rPr>
              <w:t>n</w:t>
            </w:r>
            <w:r w:rsidR="00382D54" w:rsidRPr="00382D54">
              <w:rPr>
                <w:lang w:val="es-ES_tradnl"/>
              </w:rPr>
              <w:t xml:space="preserve">acional de </w:t>
            </w:r>
            <w:r w:rsidR="00FA4162">
              <w:rPr>
                <w:lang w:val="es-ES_tradnl"/>
              </w:rPr>
              <w:t>c</w:t>
            </w:r>
            <w:r w:rsidR="00382D54" w:rsidRPr="00382D54">
              <w:rPr>
                <w:lang w:val="es-ES_tradnl"/>
              </w:rPr>
              <w:t>iberseguridad de Lesotho. También se prestó apoyo al Ministerio de Comunicaciones, Ciencia y Tecnología del Reino de Lesotho a efectos de la elaboración de una evaluación nacional de los riesgos cibernéticos como factor decisivo para mejorar la confianza en las TIC en el país.</w:t>
            </w:r>
          </w:p>
          <w:p w14:paraId="54A218CC" w14:textId="77777777" w:rsidR="00382D54" w:rsidRPr="00382D54" w:rsidRDefault="00382D54" w:rsidP="00B057D3">
            <w:pPr>
              <w:pStyle w:val="Tabletext"/>
              <w:ind w:left="567"/>
              <w:rPr>
                <w:lang w:val="es-ES_tradnl"/>
              </w:rPr>
            </w:pPr>
            <w:r w:rsidRPr="00382D54">
              <w:rPr>
                <w:lang w:val="es-ES_tradnl"/>
              </w:rPr>
              <w:t>Además, la BDT impartió sesiones de capacitación para el ecosistema de ciberseguridad de Guinea-Bissau, que reforzaron la capacidad de las partes interesadas nacionales para formular enfoques estratégicos en aras de la implementación de EIII y la mejora de la ciberseguridad en el país.</w:t>
            </w:r>
          </w:p>
          <w:p w14:paraId="699E3388" w14:textId="77777777" w:rsidR="00382D54" w:rsidRPr="00382D54" w:rsidRDefault="00382D54" w:rsidP="00B057D3">
            <w:pPr>
              <w:pStyle w:val="Tabletext"/>
              <w:ind w:left="567"/>
              <w:rPr>
                <w:lang w:val="es-ES_tradnl"/>
              </w:rPr>
            </w:pPr>
            <w:r w:rsidRPr="00382D54">
              <w:rPr>
                <w:lang w:val="es-ES_tradnl"/>
              </w:rPr>
              <w:t>En el marco del programa mundial de la UIT sobre protección de la infancia en línea, se creó un equipo nacional de tareas relativas a la infancia en Malawi, con miras a facilitar la aplicación de la estrategia nacional de protección de la infancia en línea, elaborada previamente con el apoyo de la UIT.</w:t>
            </w:r>
          </w:p>
          <w:p w14:paraId="752BD80C" w14:textId="261C15E0" w:rsidR="00382D54" w:rsidRPr="00382D54" w:rsidRDefault="00B057D3" w:rsidP="00B057D3">
            <w:pPr>
              <w:pStyle w:val="Tabletext"/>
              <w:tabs>
                <w:tab w:val="clear" w:pos="284"/>
              </w:tabs>
              <w:ind w:left="567" w:hanging="567"/>
              <w:rPr>
                <w:lang w:val="es-ES"/>
              </w:rPr>
            </w:pPr>
            <w:r w:rsidRPr="00860D32">
              <w:rPr>
                <w:lang w:val="es-ES"/>
              </w:rPr>
              <w:t>–</w:t>
            </w:r>
            <w:r>
              <w:rPr>
                <w:lang w:val="es-ES"/>
              </w:rPr>
              <w:tab/>
            </w:r>
            <w:r w:rsidR="00382D54" w:rsidRPr="00B057D3">
              <w:rPr>
                <w:b/>
                <w:bCs/>
                <w:lang w:val="es-ES_tradnl"/>
              </w:rPr>
              <w:t>En la región de las Américas</w:t>
            </w:r>
            <w:r w:rsidR="00382D54" w:rsidRPr="00382D54">
              <w:rPr>
                <w:lang w:val="es-ES_tradnl"/>
              </w:rPr>
              <w:t>, la BDT organizó tres cibersimulacros. El 13</w:t>
            </w:r>
            <w:r w:rsidR="004711CF">
              <w:rPr>
                <w:lang w:val="es-ES_tradnl"/>
              </w:rPr>
              <w:t>.</w:t>
            </w:r>
            <w:r w:rsidR="00382D54" w:rsidRPr="00382D54">
              <w:rPr>
                <w:lang w:val="es-ES_tradnl"/>
              </w:rPr>
              <w:t>º</w:t>
            </w:r>
            <w:r w:rsidR="004711CF">
              <w:rPr>
                <w:lang w:val="es-ES_tradnl"/>
              </w:rPr>
              <w:t> </w:t>
            </w:r>
            <w:r w:rsidR="00382D54" w:rsidRPr="00382D54">
              <w:rPr>
                <w:lang w:val="es-ES_tradnl"/>
              </w:rPr>
              <w:t xml:space="preserve">evento dedicado al refuerzo de las capacidades cibernéticas en América </w:t>
            </w:r>
            <w:r w:rsidR="008B4FB2" w:rsidRPr="008B4FB2">
              <w:rPr>
                <w:lang w:val="es-ES_tradnl"/>
              </w:rPr>
              <w:t>–</w:t>
            </w:r>
            <w:r w:rsidR="00382D54" w:rsidRPr="00382D54">
              <w:rPr>
                <w:lang w:val="es-ES_tradnl"/>
              </w:rPr>
              <w:t xml:space="preserve"> Andino tuvo lugar en Caracas (Venezuela) del 14 al 17 de mayo de 2024, por invitación del Ministerio del </w:t>
            </w:r>
            <w:r w:rsidR="00382D54" w:rsidRPr="00B057D3">
              <w:rPr>
                <w:lang w:val="es-ES"/>
              </w:rPr>
              <w:t>Poder</w:t>
            </w:r>
            <w:r w:rsidR="00382D54" w:rsidRPr="00382D54">
              <w:rPr>
                <w:lang w:val="es-ES_tradnl"/>
              </w:rPr>
              <w:t xml:space="preserve"> Popular para Ciencia y Tecnología de la República Bolivariana de Venezuela. La Comisión Nacional de las Tecnologías de la Información (CONATI) y la Superintendencia de Servicios de Certificación Electrónica (SUSCERTE) organizaron conjuntamente el evento. </w:t>
            </w:r>
            <w:r w:rsidR="00382D54" w:rsidRPr="00382D54">
              <w:rPr>
                <w:lang w:val="es-ES"/>
              </w:rPr>
              <w:t>El 14.º</w:t>
            </w:r>
            <w:r w:rsidR="008B4FB2">
              <w:rPr>
                <w:lang w:val="es-ES"/>
              </w:rPr>
              <w:t> </w:t>
            </w:r>
            <w:r w:rsidR="00382D54" w:rsidRPr="00382D54">
              <w:rPr>
                <w:lang w:val="es-ES"/>
              </w:rPr>
              <w:t>cibersimulacro regional de las Américas se celebró en Lima (Perú) del 23 al 27 de septiembre de 2024, por invitación del INICTEL-UNI y en colaboración con el mismo. El Ministerio de Transportes y Comunicaciones y la Secretaría General de la Comunidad Andina organizaron conjuntamente el evento. El cibersimulacro de la UIT para el Caribe tuvo lugar en Nassau (Bahamas) del 15 al 17 de enero de 2025, bajo los auspicios del Gobierno de Bahamas. Estos tres eventos brindaron a diversos equipos de intervención en caso de incidente la oportunidad de reforzar sus competencias, compartir prácticas idóneas y estrechar vínculos entre los distintos actores.</w:t>
            </w:r>
          </w:p>
          <w:p w14:paraId="2E0C36ED" w14:textId="77777777" w:rsidR="00382D54" w:rsidRPr="00382D54" w:rsidRDefault="00382D54" w:rsidP="00B057D3">
            <w:pPr>
              <w:pStyle w:val="Tabletext"/>
              <w:ind w:left="567"/>
              <w:rPr>
                <w:lang w:val="es-ES"/>
              </w:rPr>
            </w:pPr>
            <w:r w:rsidRPr="00382D54">
              <w:rPr>
                <w:lang w:val="es-ES_tradnl"/>
              </w:rPr>
              <w:lastRenderedPageBreak/>
              <w:t>En el marco del programa mundial de la UIT sobre protección de la infancia en línea</w:t>
            </w:r>
            <w:r w:rsidRPr="00382D54">
              <w:rPr>
                <w:lang w:val="es-ES"/>
              </w:rPr>
              <w:t>, se entregaron proyectos de marcos nacionales a Ecuador, Perú, Bolivia, Suriname y Bahamas</w:t>
            </w:r>
            <w:r w:rsidRPr="00382D54">
              <w:rPr>
                <w:lang w:val="es-ES_tradnl"/>
              </w:rPr>
              <w:t>.</w:t>
            </w:r>
          </w:p>
          <w:p w14:paraId="25A3F199" w14:textId="5B1305B9" w:rsidR="00382D54" w:rsidRPr="00382D54" w:rsidRDefault="00B057D3" w:rsidP="00B057D3">
            <w:pPr>
              <w:pStyle w:val="Tabletext"/>
              <w:tabs>
                <w:tab w:val="clear" w:pos="284"/>
              </w:tabs>
              <w:ind w:left="567" w:hanging="567"/>
              <w:rPr>
                <w:lang w:val="es-ES"/>
              </w:rPr>
            </w:pPr>
            <w:r w:rsidRPr="00860D32">
              <w:rPr>
                <w:lang w:val="es-ES"/>
              </w:rPr>
              <w:t>–</w:t>
            </w:r>
            <w:r>
              <w:rPr>
                <w:lang w:val="es-ES"/>
              </w:rPr>
              <w:tab/>
            </w:r>
            <w:r w:rsidR="00382D54" w:rsidRPr="00B057D3">
              <w:rPr>
                <w:b/>
                <w:bCs/>
                <w:lang w:val="es-ES_tradnl"/>
              </w:rPr>
              <w:t>En la región de los Estados Árabes</w:t>
            </w:r>
            <w:r w:rsidR="00382D54" w:rsidRPr="00382D54">
              <w:rPr>
                <w:lang w:val="es-ES_tradnl"/>
              </w:rPr>
              <w:t>, la UIT organizó dos eventos regionales, a saber, la Semana de la Ciberseguridad Regional y el Cibersimulacro Regional de los Estados Árabes y el OIC-CERT, que tuvieron lugar en Mascate (Omán) del 28</w:t>
            </w:r>
            <w:r w:rsidR="00DE39F4">
              <w:rPr>
                <w:lang w:val="es-ES_tradnl"/>
              </w:rPr>
              <w:t> </w:t>
            </w:r>
            <w:r w:rsidR="00382D54" w:rsidRPr="00382D54">
              <w:rPr>
                <w:lang w:val="es-ES_tradnl"/>
              </w:rPr>
              <w:t xml:space="preserve">al 30 de octubre de 2024, así como un ejercicio sobre preparación en materia de seguridad regional de la UIT, que se celebró en Marrakech (Marruecos) del 29 al 31 de mayo de 2024. El ejercicio sobre preparación en materia de seguridad regional se llevó a cabo por invitación de la Dirección General de Seguridad de los Sistemas de la Información (DGSSI). Estas sesiones se organizaron con el objetivo de reforzar las competencias de equipos de intervención en caso de incidente </w:t>
            </w:r>
            <w:r w:rsidR="00382D54" w:rsidRPr="00382D54">
              <w:rPr>
                <w:lang w:val="es-ES"/>
              </w:rPr>
              <w:t>de toda la región, así como de facilitar la consolidación y el intercambio de conocimientos.</w:t>
            </w:r>
          </w:p>
          <w:p w14:paraId="1D7849B5" w14:textId="46748F93" w:rsidR="00382D54" w:rsidRPr="00382D54" w:rsidRDefault="00382D54" w:rsidP="00B057D3">
            <w:pPr>
              <w:pStyle w:val="Tabletext"/>
              <w:ind w:left="567"/>
              <w:rPr>
                <w:lang w:val="es-ES_tradnl"/>
              </w:rPr>
            </w:pPr>
            <w:r w:rsidRPr="00382D54">
              <w:rPr>
                <w:lang w:val="es-ES"/>
              </w:rPr>
              <w:t>104</w:t>
            </w:r>
            <w:r w:rsidR="00F47642">
              <w:rPr>
                <w:lang w:val="es-ES"/>
              </w:rPr>
              <w:t> </w:t>
            </w:r>
            <w:r w:rsidRPr="00B057D3">
              <w:rPr>
                <w:lang w:val="es-ES_tradnl"/>
              </w:rPr>
              <w:t>países</w:t>
            </w:r>
            <w:r w:rsidRPr="00382D54">
              <w:rPr>
                <w:lang w:val="es-ES_tradnl"/>
              </w:rPr>
              <w:t xml:space="preserve"> participaron en el cibersimulacro mundial de la UIT, organizado por los Emiratos Árabes Unidos del 23 al 25</w:t>
            </w:r>
            <w:r w:rsidR="00DE39F4">
              <w:rPr>
                <w:lang w:val="es-ES_tradnl"/>
              </w:rPr>
              <w:t> </w:t>
            </w:r>
            <w:r w:rsidRPr="00382D54">
              <w:rPr>
                <w:lang w:val="es-ES_tradnl"/>
              </w:rPr>
              <w:t>de abril de 2024. El Consejo de Ciberseguridad de los Emiratos Árabes Unidos ofreció becas para cubrir los gastos de viaje y alojamiento de una serie de participantes procedentes de 104</w:t>
            </w:r>
            <w:r w:rsidR="00DE39F4">
              <w:rPr>
                <w:lang w:val="es-ES_tradnl"/>
              </w:rPr>
              <w:t> </w:t>
            </w:r>
            <w:r w:rsidRPr="00382D54">
              <w:rPr>
                <w:lang w:val="es-ES_tradnl"/>
              </w:rPr>
              <w:t>países seleccionados.</w:t>
            </w:r>
          </w:p>
          <w:p w14:paraId="2AB07767" w14:textId="77777777" w:rsidR="00382D54" w:rsidRPr="00382D54" w:rsidRDefault="00382D54" w:rsidP="00B057D3">
            <w:pPr>
              <w:pStyle w:val="Tabletext"/>
              <w:ind w:left="567"/>
              <w:rPr>
                <w:lang w:val="es-ES_tradnl"/>
              </w:rPr>
            </w:pPr>
            <w:r w:rsidRPr="00382D54">
              <w:rPr>
                <w:lang w:val="es-ES_tradnl"/>
              </w:rPr>
              <w:t>En el marco del programa mundial de la UIT sobre protección de la infancia en línea</w:t>
            </w:r>
            <w:r w:rsidRPr="00382D54">
              <w:rPr>
                <w:lang w:val="es-ES"/>
              </w:rPr>
              <w:t>,</w:t>
            </w:r>
            <w:r w:rsidRPr="00382D54">
              <w:rPr>
                <w:lang w:val="es-ES_tradnl"/>
              </w:rPr>
              <w:t xml:space="preserve"> se creó un equipo nacional de tareas relativas a la infancia en Líbano, que brindó asesoramiento con miras a la ejecución de iniciativas nacionales de protección de la infancia en línea.</w:t>
            </w:r>
          </w:p>
          <w:p w14:paraId="4EE16B4E" w14:textId="278BE5F1" w:rsidR="00382D54" w:rsidRPr="00382D54" w:rsidRDefault="00A67BE1" w:rsidP="00A67BE1">
            <w:pPr>
              <w:pStyle w:val="Tabletext"/>
              <w:tabs>
                <w:tab w:val="clear" w:pos="284"/>
              </w:tabs>
              <w:ind w:left="567" w:hanging="567"/>
              <w:rPr>
                <w:lang w:val="es-ES_tradnl"/>
              </w:rPr>
            </w:pPr>
            <w:r w:rsidRPr="00860D32">
              <w:rPr>
                <w:lang w:val="es-ES"/>
              </w:rPr>
              <w:t>–</w:t>
            </w:r>
            <w:r>
              <w:rPr>
                <w:lang w:val="es-ES"/>
              </w:rPr>
              <w:tab/>
            </w:r>
            <w:r w:rsidR="00382D54" w:rsidRPr="00B057D3">
              <w:rPr>
                <w:b/>
                <w:bCs/>
                <w:lang w:val="es-ES_tradnl"/>
              </w:rPr>
              <w:t>En la región de Asia</w:t>
            </w:r>
            <w:r w:rsidR="00CE0197">
              <w:rPr>
                <w:b/>
                <w:bCs/>
                <w:lang w:val="es-ES_tradnl"/>
              </w:rPr>
              <w:noBreakHyphen/>
            </w:r>
            <w:r w:rsidR="00382D54" w:rsidRPr="00B057D3">
              <w:rPr>
                <w:b/>
                <w:bCs/>
                <w:lang w:val="es-ES_tradnl"/>
              </w:rPr>
              <w:t>Pacífico</w:t>
            </w:r>
            <w:r w:rsidR="00382D54" w:rsidRPr="00382D54">
              <w:rPr>
                <w:lang w:val="es-ES_tradnl"/>
              </w:rPr>
              <w:t>, la UIT ha logrados avances con respecto a sus iniciativas en materia de ciberseguridad, protección de la infancia en línea y capacitación. En lo que respecta a la asistencia técnica para la ciberseguridad, la</w:t>
            </w:r>
            <w:r w:rsidR="00DE39F4">
              <w:rPr>
                <w:lang w:val="es-ES_tradnl"/>
              </w:rPr>
              <w:t> </w:t>
            </w:r>
            <w:r w:rsidR="00382D54" w:rsidRPr="00382D54">
              <w:rPr>
                <w:lang w:val="es-ES_tradnl"/>
              </w:rPr>
              <w:t>UIT concluyó la evaluación de la madurez de los EIII de Timor-Leste y formuló recomendaciones para dichos equipos en colaboración con la Autoridade Nacional de Comunicações (ANC), a fin de garantizar que pudieran mejorar su nivel de competencia en términos de ciberseguridad. Además, la UIT organizó una sesión informativa de política de alto nivel y a puerta cerrada y un análisis del Índice de Ciberseguridad Global para Maldivas, con objeto de reforzar los conocimientos sobre políticas de ciberseguridad en el país.</w:t>
            </w:r>
          </w:p>
          <w:p w14:paraId="38DE74B7" w14:textId="0F7C01CF" w:rsidR="00382D54" w:rsidRPr="00382D54" w:rsidRDefault="00382D54" w:rsidP="00B057D3">
            <w:pPr>
              <w:pStyle w:val="Tabletext"/>
              <w:ind w:left="567"/>
              <w:rPr>
                <w:lang w:val="es-ES_tradnl"/>
              </w:rPr>
            </w:pPr>
            <w:r w:rsidRPr="00382D54">
              <w:rPr>
                <w:lang w:val="es-ES_tradnl"/>
              </w:rPr>
              <w:t xml:space="preserve">A través de su programa de respuesta a incidentes, la UIT llevó a cabo una evaluación del nivel de preparación del </w:t>
            </w:r>
            <w:r w:rsidRPr="00CA3944">
              <w:rPr>
                <w:lang w:val="es-ES_tradnl"/>
              </w:rPr>
              <w:t>EIII</w:t>
            </w:r>
            <w:r w:rsidR="007C654B">
              <w:rPr>
                <w:lang w:val="es-ES_tradnl"/>
              </w:rPr>
              <w:t xml:space="preserve"> nacional</w:t>
            </w:r>
            <w:r w:rsidRPr="00382D54">
              <w:rPr>
                <w:lang w:val="es-ES_tradnl"/>
              </w:rPr>
              <w:t xml:space="preserve"> de Palau en enero de</w:t>
            </w:r>
            <w:r w:rsidR="00FA4162">
              <w:rPr>
                <w:lang w:val="es-ES_tradnl"/>
              </w:rPr>
              <w:t> </w:t>
            </w:r>
            <w:r w:rsidRPr="00382D54">
              <w:rPr>
                <w:lang w:val="es-ES_tradnl"/>
              </w:rPr>
              <w:t>2025. La</w:t>
            </w:r>
            <w:r w:rsidR="00FA4162">
              <w:rPr>
                <w:lang w:val="es-ES_tradnl"/>
              </w:rPr>
              <w:t> </w:t>
            </w:r>
            <w:r w:rsidRPr="00382D54">
              <w:rPr>
                <w:lang w:val="es-ES_tradnl"/>
              </w:rPr>
              <w:t>BDT ha previsto realizar una evaluación análoga en Nauru en abril de 2025.</w:t>
            </w:r>
          </w:p>
          <w:p w14:paraId="4930611A" w14:textId="77777777" w:rsidR="00382D54" w:rsidRPr="00382D54" w:rsidRDefault="00382D54" w:rsidP="00DE39F4">
            <w:pPr>
              <w:pStyle w:val="Tabletext"/>
              <w:ind w:left="567"/>
              <w:rPr>
                <w:lang w:val="es-ES_tradnl"/>
              </w:rPr>
            </w:pPr>
            <w:r w:rsidRPr="00382D54">
              <w:rPr>
                <w:lang w:val="es-ES_tradnl"/>
              </w:rPr>
              <w:t>En el marco del programa mundial de la UIT sobre protección de la infancia en línea</w:t>
            </w:r>
            <w:r w:rsidRPr="00382D54">
              <w:rPr>
                <w:lang w:val="es-ES"/>
              </w:rPr>
              <w:t>,</w:t>
            </w:r>
            <w:r w:rsidRPr="00382D54">
              <w:rPr>
                <w:lang w:val="es-ES_tradnl"/>
              </w:rPr>
              <w:t xml:space="preserve"> se creó un equipo nacional de tareas relativas a la infancia en Indonesia, que brindó asesoramiento con miras a la ejecución de iniciativas nacionales de protección de la infancia en línea.</w:t>
            </w:r>
          </w:p>
        </w:tc>
        <w:tc>
          <w:tcPr>
            <w:tcW w:w="2999" w:type="dxa"/>
          </w:tcPr>
          <w:p w14:paraId="600A0D5E" w14:textId="77777777" w:rsidR="00382D54" w:rsidRPr="00B057D3" w:rsidRDefault="00382D54" w:rsidP="00C07450">
            <w:pPr>
              <w:pStyle w:val="Tabletext"/>
              <w:rPr>
                <w:b/>
                <w:bCs/>
                <w:color w:val="0070C0"/>
                <w:lang w:val="es-ES_tradnl"/>
              </w:rPr>
            </w:pPr>
            <w:r w:rsidRPr="00B057D3">
              <w:rPr>
                <w:b/>
                <w:bCs/>
                <w:color w:val="0070C0"/>
                <w:lang w:val="es-ES_tradnl"/>
              </w:rPr>
              <w:lastRenderedPageBreak/>
              <w:t>Presentación en septiembre del Índice de Ciberseguridad Global de 2024</w:t>
            </w:r>
          </w:p>
          <w:p w14:paraId="7CAFB0B4" w14:textId="644DA251" w:rsidR="00382D54" w:rsidRPr="00B057D3" w:rsidRDefault="00382D54" w:rsidP="00C07450">
            <w:pPr>
              <w:pStyle w:val="Tabletext"/>
              <w:rPr>
                <w:b/>
                <w:bCs/>
                <w:color w:val="0070C0"/>
                <w:lang w:val="es-ES_tradnl"/>
              </w:rPr>
            </w:pPr>
            <w:r w:rsidRPr="00B057D3">
              <w:rPr>
                <w:b/>
                <w:bCs/>
                <w:color w:val="0070C0"/>
                <w:lang w:val="es-ES_tradnl"/>
              </w:rPr>
              <w:t>Programa de respuesta a incidentes</w:t>
            </w:r>
          </w:p>
          <w:p w14:paraId="7B1AD642" w14:textId="6E520F73" w:rsidR="00382D54" w:rsidRPr="00382D54" w:rsidRDefault="004C3ECC" w:rsidP="00B057D3">
            <w:pPr>
              <w:pStyle w:val="Tabletext"/>
              <w:ind w:left="284" w:hanging="284"/>
              <w:rPr>
                <w:lang w:val="es-ES_tradnl"/>
              </w:rPr>
            </w:pPr>
            <w:r w:rsidRPr="004C3ECC">
              <w:rPr>
                <w:lang w:val="es-ES"/>
              </w:rPr>
              <w:t>–</w:t>
            </w:r>
            <w:r w:rsidR="00B057D3">
              <w:rPr>
                <w:lang w:val="es-ES"/>
              </w:rPr>
              <w:tab/>
            </w:r>
            <w:r w:rsidR="00382D54" w:rsidRPr="00382D54">
              <w:rPr>
                <w:lang w:val="es-ES_tradnl"/>
              </w:rPr>
              <w:t>160</w:t>
            </w:r>
            <w:r w:rsidR="00ED244A">
              <w:rPr>
                <w:lang w:val="es-ES_tradnl"/>
              </w:rPr>
              <w:t> </w:t>
            </w:r>
            <w:r w:rsidR="00382D54" w:rsidRPr="00382D54">
              <w:rPr>
                <w:lang w:val="es-ES_tradnl"/>
              </w:rPr>
              <w:t xml:space="preserve">países beneficiados por los </w:t>
            </w:r>
            <w:r w:rsidR="00382D54" w:rsidRPr="00990EC5">
              <w:rPr>
                <w:b/>
                <w:bCs/>
                <w:lang w:val="es-ES"/>
              </w:rPr>
              <w:t>cibersimulacros</w:t>
            </w:r>
            <w:r w:rsidR="00382D54" w:rsidRPr="00382D54">
              <w:rPr>
                <w:lang w:val="es-ES_tradnl"/>
              </w:rPr>
              <w:t xml:space="preserve"> en todas las regiones</w:t>
            </w:r>
          </w:p>
          <w:p w14:paraId="79DF555E" w14:textId="1E497138" w:rsidR="00382D54" w:rsidRPr="00B057D3" w:rsidRDefault="00382D54" w:rsidP="00C07450">
            <w:pPr>
              <w:pStyle w:val="Tabletext"/>
              <w:rPr>
                <w:b/>
                <w:bCs/>
                <w:color w:val="0070C0"/>
                <w:lang w:val="es-ES_tradnl"/>
              </w:rPr>
            </w:pPr>
            <w:r w:rsidRPr="00B057D3">
              <w:rPr>
                <w:b/>
                <w:bCs/>
                <w:color w:val="0070C0"/>
                <w:lang w:val="es-ES_tradnl"/>
              </w:rPr>
              <w:t>Participación de PMA, PDSL y PEID/prestación de asistencia a los mismos – Telecomunicaciones/TIC inclusivas y seguras para el desarrollo sostenible</w:t>
            </w:r>
          </w:p>
          <w:p w14:paraId="07DB0105" w14:textId="5D27A17E" w:rsidR="00382D54" w:rsidRPr="00131817" w:rsidRDefault="00382D54" w:rsidP="00C07450">
            <w:pPr>
              <w:pStyle w:val="Tabletext"/>
              <w:rPr>
                <w:lang w:val="es-ES_tradnl"/>
              </w:rPr>
            </w:pPr>
            <w:r w:rsidRPr="00131817">
              <w:rPr>
                <w:lang w:val="es-ES_tradnl"/>
              </w:rPr>
              <w:t>Se prestó asistencia a un total de 40 PMA, PDSL y PEID</w:t>
            </w:r>
            <w:r w:rsidR="00CE1459">
              <w:rPr>
                <w:lang w:val="es-ES_tradnl"/>
              </w:rPr>
              <w:t>:</w:t>
            </w:r>
          </w:p>
          <w:p w14:paraId="77C2D8AE" w14:textId="63DC6B35" w:rsidR="00382D54" w:rsidRPr="00382D54" w:rsidRDefault="004C3ECC" w:rsidP="00B057D3">
            <w:pPr>
              <w:pStyle w:val="Tabletext"/>
              <w:ind w:left="284" w:hanging="284"/>
              <w:rPr>
                <w:lang w:val="es-ES_tradnl"/>
              </w:rPr>
            </w:pPr>
            <w:r w:rsidRPr="004C3ECC">
              <w:rPr>
                <w:lang w:val="es-ES"/>
              </w:rPr>
              <w:t>–</w:t>
            </w:r>
            <w:r w:rsidR="00B057D3">
              <w:rPr>
                <w:lang w:val="es-ES"/>
              </w:rPr>
              <w:tab/>
            </w:r>
            <w:r w:rsidR="00382D54" w:rsidRPr="00382D54">
              <w:rPr>
                <w:lang w:val="es-ES_tradnl"/>
              </w:rPr>
              <w:t>11</w:t>
            </w:r>
            <w:r w:rsidR="00ED244A">
              <w:rPr>
                <w:lang w:val="es-ES_tradnl"/>
              </w:rPr>
              <w:t> </w:t>
            </w:r>
            <w:r w:rsidR="00382D54" w:rsidRPr="00B057D3">
              <w:rPr>
                <w:lang w:val="es-ES"/>
              </w:rPr>
              <w:t>recibieron</w:t>
            </w:r>
            <w:r w:rsidR="00382D54" w:rsidRPr="00382D54">
              <w:rPr>
                <w:lang w:val="es-ES_tradnl"/>
              </w:rPr>
              <w:t xml:space="preserve"> asistencia técnica</w:t>
            </w:r>
            <w:r w:rsidR="00CB0CFE">
              <w:rPr>
                <w:lang w:val="es-ES_tradnl"/>
              </w:rPr>
              <w:t>;</w:t>
            </w:r>
          </w:p>
          <w:p w14:paraId="08FF9070" w14:textId="01DD34BA" w:rsidR="00382D54" w:rsidRPr="00382D54" w:rsidRDefault="004C3ECC" w:rsidP="00B057D3">
            <w:pPr>
              <w:pStyle w:val="Tabletext"/>
              <w:ind w:left="284" w:hanging="284"/>
              <w:rPr>
                <w:lang w:val="es-ES_tradnl"/>
              </w:rPr>
            </w:pPr>
            <w:r w:rsidRPr="004C3ECC">
              <w:rPr>
                <w:lang w:val="es-ES"/>
              </w:rPr>
              <w:t>–</w:t>
            </w:r>
            <w:r w:rsidR="00B057D3">
              <w:rPr>
                <w:lang w:val="es-ES"/>
              </w:rPr>
              <w:tab/>
            </w:r>
            <w:r w:rsidR="00382D54" w:rsidRPr="00382D54">
              <w:rPr>
                <w:lang w:val="es-ES_tradnl"/>
              </w:rPr>
              <w:t>se desarrollaron 28</w:t>
            </w:r>
            <w:r w:rsidR="00ED244A">
              <w:rPr>
                <w:lang w:val="es-ES_tradnl"/>
              </w:rPr>
              <w:t> </w:t>
            </w:r>
            <w:r w:rsidR="00382D54" w:rsidRPr="00382D54">
              <w:rPr>
                <w:lang w:val="es-ES_tradnl"/>
              </w:rPr>
              <w:t xml:space="preserve">marcos </w:t>
            </w:r>
            <w:r w:rsidR="00382D54" w:rsidRPr="00B057D3">
              <w:rPr>
                <w:lang w:val="es-ES"/>
              </w:rPr>
              <w:t>políticos</w:t>
            </w:r>
            <w:r w:rsidR="00382D54" w:rsidRPr="00382D54">
              <w:rPr>
                <w:lang w:val="es-ES_tradnl"/>
              </w:rPr>
              <w:t xml:space="preserve"> y productos del conocimiento</w:t>
            </w:r>
            <w:r w:rsidR="00CB0CFE">
              <w:rPr>
                <w:lang w:val="es-ES_tradnl"/>
              </w:rPr>
              <w:t>.</w:t>
            </w:r>
          </w:p>
          <w:p w14:paraId="4F54CAAA" w14:textId="1A09B7CF" w:rsidR="00382D54" w:rsidRPr="00382D54" w:rsidRDefault="00131817" w:rsidP="00C07450">
            <w:pPr>
              <w:pStyle w:val="Tabletext"/>
              <w:rPr>
                <w:lang w:val="es-ES_tradnl"/>
              </w:rPr>
            </w:pPr>
            <w:r w:rsidRPr="00382D54">
              <w:rPr>
                <w:lang w:val="es-ES_tradnl"/>
              </w:rPr>
              <w:t xml:space="preserve">Se </w:t>
            </w:r>
            <w:r w:rsidR="00382D54" w:rsidRPr="00382D54">
              <w:rPr>
                <w:lang w:val="es-ES_tradnl"/>
              </w:rPr>
              <w:t>organizaron sesiones de sensibilización en 5</w:t>
            </w:r>
            <w:r w:rsidR="00ED244A">
              <w:rPr>
                <w:lang w:val="es-ES_tradnl"/>
              </w:rPr>
              <w:t> </w:t>
            </w:r>
            <w:r w:rsidR="00382D54" w:rsidRPr="00382D54">
              <w:rPr>
                <w:lang w:val="es-ES_tradnl"/>
              </w:rPr>
              <w:t>países y se establecieron plataformas de colaboración en 2</w:t>
            </w:r>
            <w:r w:rsidR="00ED244A">
              <w:rPr>
                <w:lang w:val="es-ES_tradnl"/>
              </w:rPr>
              <w:t> </w:t>
            </w:r>
            <w:r w:rsidR="00382D54" w:rsidRPr="00382D54">
              <w:rPr>
                <w:lang w:val="es-ES_tradnl"/>
              </w:rPr>
              <w:t>países. Se están ejecutando 6</w:t>
            </w:r>
            <w:r w:rsidR="00ED244A">
              <w:rPr>
                <w:lang w:val="es-ES_tradnl"/>
              </w:rPr>
              <w:t> </w:t>
            </w:r>
            <w:r w:rsidR="00382D54" w:rsidRPr="00382D54">
              <w:rPr>
                <w:lang w:val="es-ES_tradnl"/>
              </w:rPr>
              <w:t xml:space="preserve">proyectos </w:t>
            </w:r>
            <w:r w:rsidR="00382D54" w:rsidRPr="00382D54">
              <w:rPr>
                <w:lang w:val="es-ES_tradnl"/>
              </w:rPr>
              <w:lastRenderedPageBreak/>
              <w:t>en materia de telecomunicaciones/TIC inclusivas y seguras para el desarrollo sostenible en diversos PMA, PDSL y PEID</w:t>
            </w:r>
            <w:r w:rsidR="00CB0CFE">
              <w:rPr>
                <w:lang w:val="es-ES_tradnl"/>
              </w:rPr>
              <w:t>.</w:t>
            </w:r>
          </w:p>
        </w:tc>
      </w:tr>
      <w:tr w:rsidR="00C07450" w:rsidRPr="00382D54" w14:paraId="0863269D" w14:textId="77777777" w:rsidTr="00E07C78">
        <w:trPr>
          <w:jc w:val="center"/>
        </w:trPr>
        <w:tc>
          <w:tcPr>
            <w:tcW w:w="4111" w:type="dxa"/>
          </w:tcPr>
          <w:p w14:paraId="41F9960A" w14:textId="77777777" w:rsidR="00382D54" w:rsidRPr="00382D54" w:rsidRDefault="00382D54" w:rsidP="00A67BE1">
            <w:pPr>
              <w:pStyle w:val="Tabletext"/>
              <w:rPr>
                <w:b/>
                <w:bCs/>
                <w:lang w:val="es-ES"/>
              </w:rPr>
            </w:pPr>
            <w:r w:rsidRPr="00382D54">
              <w:rPr>
                <w:b/>
                <w:bCs/>
                <w:lang w:val="es-ES"/>
              </w:rPr>
              <w:lastRenderedPageBreak/>
              <w:t>Contribución a las metas de los ODS</w:t>
            </w:r>
          </w:p>
        </w:tc>
        <w:tc>
          <w:tcPr>
            <w:tcW w:w="10445" w:type="dxa"/>
            <w:gridSpan w:val="2"/>
          </w:tcPr>
          <w:p w14:paraId="1EFDC45F" w14:textId="77777777" w:rsidR="00382D54" w:rsidRPr="00382D54" w:rsidRDefault="00382D54" w:rsidP="00A67BE1">
            <w:pPr>
              <w:pStyle w:val="Tabletext"/>
              <w:rPr>
                <w:lang w:val="es-ES_tradnl"/>
              </w:rPr>
            </w:pPr>
            <w:r w:rsidRPr="00382D54">
              <w:rPr>
                <w:lang w:val="es-ES_tradnl"/>
              </w:rPr>
              <w:t>ODS 1, 3, 4, 5, 8, 9, 10, 11, 16 y 17</w:t>
            </w:r>
          </w:p>
        </w:tc>
      </w:tr>
      <w:tr w:rsidR="00C07450" w:rsidRPr="00382D54" w14:paraId="6D308EA3" w14:textId="77777777" w:rsidTr="00E07C78">
        <w:trPr>
          <w:jc w:val="center"/>
        </w:trPr>
        <w:tc>
          <w:tcPr>
            <w:tcW w:w="4111" w:type="dxa"/>
          </w:tcPr>
          <w:p w14:paraId="5ECD0E0E" w14:textId="77777777" w:rsidR="00382D54" w:rsidRPr="00382D54" w:rsidRDefault="00382D54" w:rsidP="00A67BE1">
            <w:pPr>
              <w:pStyle w:val="Tabletext"/>
              <w:rPr>
                <w:b/>
                <w:bCs/>
                <w:lang w:val="es-ES"/>
              </w:rPr>
            </w:pPr>
            <w:r w:rsidRPr="00382D54">
              <w:rPr>
                <w:b/>
                <w:bCs/>
                <w:lang w:val="es-ES"/>
              </w:rPr>
              <w:t>Líneas de Acción de la CMSI</w:t>
            </w:r>
          </w:p>
        </w:tc>
        <w:tc>
          <w:tcPr>
            <w:tcW w:w="10445" w:type="dxa"/>
            <w:gridSpan w:val="2"/>
          </w:tcPr>
          <w:p w14:paraId="7BA111B0" w14:textId="77777777" w:rsidR="00382D54" w:rsidRPr="00382D54" w:rsidRDefault="00382D54" w:rsidP="00A67BE1">
            <w:pPr>
              <w:pStyle w:val="Tabletext"/>
              <w:rPr>
                <w:lang w:val="es-ES_tradnl"/>
              </w:rPr>
            </w:pPr>
            <w:r w:rsidRPr="00382D54">
              <w:rPr>
                <w:lang w:val="es-ES_tradnl"/>
              </w:rPr>
              <w:t>C1, C2, C3, C4, C5, C6, C7 y C11</w:t>
            </w:r>
          </w:p>
        </w:tc>
      </w:tr>
      <w:tr w:rsidR="00C07450" w:rsidRPr="002F5AC1" w14:paraId="1B4FAB33" w14:textId="77777777" w:rsidTr="00E07C78">
        <w:trPr>
          <w:jc w:val="center"/>
        </w:trPr>
        <w:tc>
          <w:tcPr>
            <w:tcW w:w="4111" w:type="dxa"/>
          </w:tcPr>
          <w:p w14:paraId="7ADCED3C" w14:textId="77777777" w:rsidR="00382D54" w:rsidRPr="00382D54" w:rsidRDefault="00382D54" w:rsidP="00A67BE1">
            <w:pPr>
              <w:pStyle w:val="Tabletext"/>
              <w:rPr>
                <w:b/>
                <w:bCs/>
                <w:lang w:val="es-ES"/>
              </w:rPr>
            </w:pPr>
            <w:r w:rsidRPr="00382D54">
              <w:rPr>
                <w:b/>
                <w:bCs/>
                <w:lang w:val="es-ES"/>
              </w:rPr>
              <w:t>Resoluciones</w:t>
            </w:r>
          </w:p>
        </w:tc>
        <w:tc>
          <w:tcPr>
            <w:tcW w:w="10445" w:type="dxa"/>
            <w:gridSpan w:val="2"/>
          </w:tcPr>
          <w:p w14:paraId="088617E7" w14:textId="77777777" w:rsidR="00382D54" w:rsidRPr="00382D54" w:rsidRDefault="00382D54" w:rsidP="00A67BE1">
            <w:pPr>
              <w:pStyle w:val="Tabletext"/>
              <w:rPr>
                <w:lang w:val="es-ES_tradnl"/>
              </w:rPr>
            </w:pPr>
            <w:r w:rsidRPr="00382D54">
              <w:rPr>
                <w:lang w:val="es-ES_tradnl"/>
              </w:rPr>
              <w:t>130, 174 y 179 de la PP; 45 y 69 de la CMDT; 52 y 58 de la AMNT</w:t>
            </w:r>
          </w:p>
        </w:tc>
      </w:tr>
      <w:tr w:rsidR="00C07450" w:rsidRPr="002F5AC1" w14:paraId="3BE47E54" w14:textId="77777777" w:rsidTr="00E07C78">
        <w:trPr>
          <w:jc w:val="center"/>
        </w:trPr>
        <w:tc>
          <w:tcPr>
            <w:tcW w:w="4111" w:type="dxa"/>
          </w:tcPr>
          <w:p w14:paraId="5A67726E" w14:textId="77777777" w:rsidR="00382D54" w:rsidRPr="00382D54" w:rsidRDefault="00382D54" w:rsidP="00A67BE1">
            <w:pPr>
              <w:pStyle w:val="Tabletext"/>
              <w:rPr>
                <w:b/>
                <w:bCs/>
                <w:lang w:val="es-ES"/>
              </w:rPr>
            </w:pPr>
            <w:r w:rsidRPr="00382D54">
              <w:rPr>
                <w:b/>
                <w:bCs/>
                <w:lang w:val="es-ES"/>
              </w:rPr>
              <w:t>Comisiones de Estudio</w:t>
            </w:r>
          </w:p>
        </w:tc>
        <w:tc>
          <w:tcPr>
            <w:tcW w:w="10445" w:type="dxa"/>
            <w:gridSpan w:val="2"/>
          </w:tcPr>
          <w:p w14:paraId="4D9DDAEC" w14:textId="2CEF1EDE" w:rsidR="00382D54" w:rsidRPr="00382D54" w:rsidRDefault="00382D54" w:rsidP="00A67BE1">
            <w:pPr>
              <w:pStyle w:val="Tabletext"/>
              <w:rPr>
                <w:lang w:val="es-ES_tradnl"/>
              </w:rPr>
            </w:pPr>
            <w:r w:rsidRPr="00382D54">
              <w:rPr>
                <w:lang w:val="es-ES_tradnl"/>
              </w:rPr>
              <w:t>Cuestión</w:t>
            </w:r>
            <w:r w:rsidR="008B4FB2">
              <w:rPr>
                <w:lang w:val="es-ES_tradnl"/>
              </w:rPr>
              <w:t> </w:t>
            </w:r>
            <w:r w:rsidRPr="00382D54">
              <w:rPr>
                <w:lang w:val="es-ES_tradnl"/>
              </w:rPr>
              <w:t xml:space="preserve">3/2: </w:t>
            </w:r>
            <w:r w:rsidRPr="00382D54">
              <w:rPr>
                <w:lang w:val="es-ES"/>
              </w:rPr>
              <w:t>Seguridad en las redes de información y comunicación: prácticas idóneas para el desarrollo de una cultura de ciberseguridad</w:t>
            </w:r>
          </w:p>
        </w:tc>
      </w:tr>
    </w:tbl>
    <w:p w14:paraId="1364CBD9" w14:textId="4BFD6AAB" w:rsidR="00616830" w:rsidRPr="00A67BE1" w:rsidRDefault="00616830" w:rsidP="00A67BE1">
      <w:pPr>
        <w:spacing w:before="0"/>
        <w:rPr>
          <w:sz w:val="20"/>
          <w:lang w:val="es-ES"/>
        </w:rPr>
      </w:pPr>
      <w:r w:rsidRPr="00A67BE1">
        <w:rPr>
          <w:sz w:val="20"/>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78ECEB1F" w14:textId="77777777" w:rsidTr="004711CF">
        <w:trPr>
          <w:jc w:val="center"/>
        </w:trPr>
        <w:tc>
          <w:tcPr>
            <w:tcW w:w="14556" w:type="dxa"/>
            <w:gridSpan w:val="3"/>
            <w:shd w:val="clear" w:color="auto" w:fill="365F91"/>
          </w:tcPr>
          <w:p w14:paraId="6DD9EBA3" w14:textId="7B609874" w:rsidR="00382D54" w:rsidRPr="00836C5A" w:rsidRDefault="00382D54" w:rsidP="0067016A">
            <w:pPr>
              <w:pStyle w:val="Heading1"/>
              <w:spacing w:before="80" w:after="80"/>
              <w:jc w:val="center"/>
              <w:rPr>
                <w:color w:val="FFFFFF" w:themeColor="background1"/>
                <w:sz w:val="22"/>
                <w:szCs w:val="22"/>
                <w:lang w:val="es-ES"/>
              </w:rPr>
            </w:pPr>
            <w:bookmarkStart w:id="19" w:name="_Toc196911807"/>
            <w:r w:rsidRPr="00836C5A">
              <w:rPr>
                <w:color w:val="FFFFFF" w:themeColor="background1"/>
                <w:sz w:val="22"/>
                <w:szCs w:val="22"/>
                <w:lang w:val="es-ES"/>
              </w:rPr>
              <w:lastRenderedPageBreak/>
              <w:t xml:space="preserve">Prioridad 5 </w:t>
            </w:r>
            <w:r w:rsidRPr="00855F47">
              <w:rPr>
                <w:color w:val="FFFFFF" w:themeColor="background1"/>
                <w:sz w:val="22"/>
                <w:szCs w:val="22"/>
                <w:lang w:val="es-ES"/>
              </w:rPr>
              <w:t>y factores habilitadores 6 y 7</w:t>
            </w:r>
            <w:r w:rsidRPr="00836C5A">
              <w:rPr>
                <w:color w:val="FFFFFF" w:themeColor="background1"/>
                <w:sz w:val="22"/>
                <w:szCs w:val="22"/>
                <w:lang w:val="es-ES"/>
              </w:rPr>
              <w:t xml:space="preserve"> del UIT-D: Movilización de recursos y asociaciones y cooperación internacional</w:t>
            </w:r>
            <w:bookmarkEnd w:id="19"/>
          </w:p>
          <w:p w14:paraId="5C31ADFF" w14:textId="77777777" w:rsidR="00382D54" w:rsidRPr="0067016A" w:rsidRDefault="00382D54" w:rsidP="0067016A">
            <w:pPr>
              <w:pStyle w:val="Tablehead"/>
              <w:rPr>
                <w:i/>
                <w:iCs/>
                <w:color w:val="FFFFFF" w:themeColor="background1"/>
                <w:lang w:val="es-ES_tradnl"/>
              </w:rPr>
            </w:pPr>
            <w:r w:rsidRPr="00836C5A">
              <w:rPr>
                <w:i/>
                <w:iCs/>
                <w:color w:val="FFFFFF" w:themeColor="background1"/>
                <w:lang w:val="es-ES_tradnl"/>
              </w:rPr>
              <w:t>Refuerzo de la estrategia de movilización de recursos mediante la cooperación internacional</w:t>
            </w:r>
          </w:p>
        </w:tc>
      </w:tr>
      <w:tr w:rsidR="00382D54" w:rsidRPr="002F5AC1" w14:paraId="3E4A0942" w14:textId="77777777" w:rsidTr="004711CF">
        <w:trPr>
          <w:jc w:val="center"/>
        </w:trPr>
        <w:tc>
          <w:tcPr>
            <w:tcW w:w="14556" w:type="dxa"/>
            <w:gridSpan w:val="3"/>
            <w:shd w:val="clear" w:color="auto" w:fill="E5DFEC"/>
          </w:tcPr>
          <w:p w14:paraId="3404FC26" w14:textId="1BB67266" w:rsidR="00382D54" w:rsidRPr="00A20ED8" w:rsidRDefault="00382D54" w:rsidP="0067016A">
            <w:pPr>
              <w:pStyle w:val="Tabletext"/>
              <w:rPr>
                <w:i/>
                <w:iCs/>
                <w:lang w:val="es-ES_tradnl"/>
              </w:rPr>
            </w:pPr>
            <w:r w:rsidRPr="0067016A">
              <w:rPr>
                <w:b/>
                <w:bCs/>
                <w:i/>
                <w:iCs/>
                <w:lang w:val="es-ES_tradnl"/>
              </w:rPr>
              <w:t xml:space="preserve">Realización: </w:t>
            </w:r>
            <w:r w:rsidRPr="0067016A">
              <w:rPr>
                <w:i/>
                <w:iCs/>
                <w:lang w:val="es-ES_tradnl"/>
              </w:rPr>
              <w:t>Refuerzo de la cooperación y coordinación con las Naciones Unidas y sus organismos especializados, así como con otras organizaciones internacionales, organizaciones regionales de telecomunicaciones e instituciones de desarrollo regionales y mundiales en la aplicación de las prioridades del</w:t>
            </w:r>
            <w:r w:rsidR="00ED244A">
              <w:rPr>
                <w:i/>
                <w:iCs/>
                <w:lang w:val="es-ES_tradnl"/>
              </w:rPr>
              <w:t> </w:t>
            </w:r>
            <w:r w:rsidRPr="0067016A">
              <w:rPr>
                <w:i/>
                <w:iCs/>
                <w:lang w:val="es-ES_tradnl"/>
              </w:rPr>
              <w:t>UIT</w:t>
            </w:r>
            <w:r w:rsidR="00B405B1">
              <w:rPr>
                <w:i/>
                <w:iCs/>
                <w:lang w:val="es-ES_tradnl"/>
              </w:rPr>
              <w:noBreakHyphen/>
            </w:r>
            <w:r w:rsidRPr="0067016A">
              <w:rPr>
                <w:i/>
                <w:iCs/>
                <w:lang w:val="es-ES_tradnl"/>
              </w:rPr>
              <w:t>D</w:t>
            </w:r>
            <w:r w:rsidR="00A20ED8">
              <w:rPr>
                <w:i/>
                <w:iCs/>
                <w:lang w:val="es-ES_tradnl"/>
              </w:rPr>
              <w:t>.</w:t>
            </w:r>
          </w:p>
        </w:tc>
      </w:tr>
      <w:tr w:rsidR="00E7494F" w:rsidRPr="00E7494F" w14:paraId="2FDB72E5" w14:textId="77777777" w:rsidTr="004711CF">
        <w:trPr>
          <w:jc w:val="center"/>
        </w:trPr>
        <w:tc>
          <w:tcPr>
            <w:tcW w:w="11557" w:type="dxa"/>
            <w:gridSpan w:val="2"/>
          </w:tcPr>
          <w:p w14:paraId="3951FF72" w14:textId="77777777" w:rsidR="00382D54" w:rsidRPr="00E7494F" w:rsidRDefault="00382D54" w:rsidP="007C00A6">
            <w:pPr>
              <w:pStyle w:val="Tablehead"/>
              <w:rPr>
                <w:color w:val="0070C0"/>
                <w:lang w:val="es-ES_tradnl"/>
              </w:rPr>
            </w:pPr>
            <w:r w:rsidRPr="00E7494F">
              <w:rPr>
                <w:color w:val="0070C0"/>
                <w:lang w:val="es-ES_tradnl"/>
              </w:rPr>
              <w:t>Productos</w:t>
            </w:r>
          </w:p>
        </w:tc>
        <w:tc>
          <w:tcPr>
            <w:tcW w:w="2999" w:type="dxa"/>
          </w:tcPr>
          <w:p w14:paraId="19C1836C" w14:textId="77777777" w:rsidR="00382D54" w:rsidRPr="00E7494F" w:rsidRDefault="00382D54" w:rsidP="007C00A6">
            <w:pPr>
              <w:pStyle w:val="Tablehead"/>
              <w:rPr>
                <w:color w:val="0070C0"/>
                <w:lang w:val="es-ES_tradnl"/>
              </w:rPr>
            </w:pPr>
            <w:r w:rsidRPr="00E7494F">
              <w:rPr>
                <w:color w:val="0070C0"/>
                <w:lang w:val="es-ES_tradnl"/>
              </w:rPr>
              <w:t>Datos destacados</w:t>
            </w:r>
          </w:p>
        </w:tc>
      </w:tr>
      <w:tr w:rsidR="00382D54" w:rsidRPr="002F5AC1" w14:paraId="1E69E4C9" w14:textId="77777777" w:rsidTr="004711CF">
        <w:trPr>
          <w:jc w:val="center"/>
        </w:trPr>
        <w:tc>
          <w:tcPr>
            <w:tcW w:w="11557" w:type="dxa"/>
            <w:gridSpan w:val="2"/>
          </w:tcPr>
          <w:p w14:paraId="10D37890" w14:textId="77777777" w:rsidR="00382D54" w:rsidRPr="00382D54" w:rsidRDefault="00382D54" w:rsidP="007C00A6">
            <w:pPr>
              <w:pStyle w:val="Tabletext"/>
              <w:rPr>
                <w:b/>
                <w:bCs/>
                <w:lang w:val="es-ES_tradnl"/>
              </w:rPr>
            </w:pPr>
            <w:r w:rsidRPr="00382D54">
              <w:rPr>
                <w:b/>
                <w:bCs/>
                <w:lang w:val="es-ES_tradnl"/>
              </w:rPr>
              <w:t>Movilización de recursos y asociaciones</w:t>
            </w:r>
          </w:p>
          <w:p w14:paraId="1BC4D6B9" w14:textId="74F5EA48" w:rsidR="00382D54" w:rsidRPr="00382D54" w:rsidRDefault="00382D54" w:rsidP="007C00A6">
            <w:pPr>
              <w:pStyle w:val="Tabletext"/>
              <w:rPr>
                <w:b/>
                <w:lang w:val="es-ES_tradnl"/>
              </w:rPr>
            </w:pPr>
            <w:r w:rsidRPr="008B4FB2">
              <w:rPr>
                <w:b/>
                <w:bCs/>
                <w:lang w:val="es-ES"/>
              </w:rPr>
              <w:t>Nuevos acuerdos de asociación suscritos:</w:t>
            </w:r>
            <w:r w:rsidRPr="00382D54">
              <w:rPr>
                <w:bCs/>
                <w:lang w:val="es-ES_tradnl"/>
              </w:rPr>
              <w:t xml:space="preserve"> </w:t>
            </w:r>
            <w:r w:rsidR="008B4FB2">
              <w:rPr>
                <w:bCs/>
                <w:lang w:val="es-ES_tradnl"/>
              </w:rPr>
              <w:t>e</w:t>
            </w:r>
            <w:r w:rsidRPr="00382D54">
              <w:rPr>
                <w:lang w:val="es-ES_tradnl"/>
              </w:rPr>
              <w:t>ntre mayo de 2024 y abril de 2025, la UIT firmó 73</w:t>
            </w:r>
            <w:r w:rsidR="00ED244A">
              <w:rPr>
                <w:lang w:val="es-ES_tradnl"/>
              </w:rPr>
              <w:t> </w:t>
            </w:r>
            <w:r w:rsidRPr="00382D54">
              <w:rPr>
                <w:lang w:val="es-ES_tradnl"/>
              </w:rPr>
              <w:t xml:space="preserve">acuerdos con una amplia gama de asociados. Para obtener más información al respecto, visítese la </w:t>
            </w:r>
            <w:hyperlink r:id="rId99">
              <w:r w:rsidRPr="00382D54">
                <w:rPr>
                  <w:rStyle w:val="Hyperlink"/>
                  <w:lang w:val="es-ES_tradnl"/>
                </w:rPr>
                <w:t>página web dedicada a las asociaciones del UIT-D</w:t>
              </w:r>
            </w:hyperlink>
            <w:r w:rsidRPr="00382D54">
              <w:rPr>
                <w:lang w:val="es-ES_tradnl"/>
              </w:rPr>
              <w:t>.</w:t>
            </w:r>
          </w:p>
          <w:p w14:paraId="696E49B3" w14:textId="26215A37" w:rsidR="00382D54" w:rsidRPr="00382D54" w:rsidRDefault="00382D54" w:rsidP="007C00A6">
            <w:pPr>
              <w:pStyle w:val="Tabletext"/>
              <w:rPr>
                <w:lang w:val="es-ES_tradnl"/>
              </w:rPr>
            </w:pPr>
            <w:r w:rsidRPr="008B4FB2">
              <w:rPr>
                <w:b/>
                <w:bCs/>
                <w:lang w:val="es-ES"/>
              </w:rPr>
              <w:t>Nuevos proyectos suscritos:</w:t>
            </w:r>
            <w:r w:rsidRPr="00382D54">
              <w:rPr>
                <w:bCs/>
                <w:lang w:val="es-ES_tradnl"/>
              </w:rPr>
              <w:t xml:space="preserve"> </w:t>
            </w:r>
            <w:r w:rsidR="008B4FB2">
              <w:rPr>
                <w:bCs/>
                <w:lang w:val="es-ES_tradnl"/>
              </w:rPr>
              <w:t>e</w:t>
            </w:r>
            <w:r w:rsidRPr="00382D54">
              <w:rPr>
                <w:lang w:val="es-ES_tradnl"/>
              </w:rPr>
              <w:t>ntre mayo de 2024 y abril de 2025, la UIT firmó un total de 27 proyectos nuevos y addenda por valor de 26,7</w:t>
            </w:r>
            <w:r w:rsidR="00F47642">
              <w:rPr>
                <w:lang w:val="es-ES_tradnl"/>
              </w:rPr>
              <w:t> </w:t>
            </w:r>
            <w:r w:rsidRPr="00382D54">
              <w:rPr>
                <w:lang w:val="es-ES_tradnl"/>
              </w:rPr>
              <w:t>millones</w:t>
            </w:r>
            <w:r w:rsidR="00F47642">
              <w:rPr>
                <w:lang w:val="es-ES_tradnl"/>
              </w:rPr>
              <w:t> </w:t>
            </w:r>
            <w:r w:rsidRPr="00382D54">
              <w:rPr>
                <w:lang w:val="es-ES_tradnl"/>
              </w:rPr>
              <w:t>CHF. Estas cifras confirman la tendencia positiva experimentada en los últimos años en lo respecta al aumento de los fondos movilizados por la</w:t>
            </w:r>
            <w:r w:rsidR="00ED244A">
              <w:rPr>
                <w:lang w:val="es-ES_tradnl"/>
              </w:rPr>
              <w:t> </w:t>
            </w:r>
            <w:r w:rsidRPr="00382D54">
              <w:rPr>
                <w:lang w:val="es-ES_tradnl"/>
              </w:rPr>
              <w:t xml:space="preserve">BDT en apoyo de proyectos, lo que demuestra una </w:t>
            </w:r>
            <w:r w:rsidRPr="00382D54">
              <w:rPr>
                <w:b/>
                <w:bCs/>
                <w:lang w:val="es-ES_tradnl"/>
              </w:rPr>
              <w:t>mayor confianza en la UIT como socio principal en la ejecución de iniciativas de TIC</w:t>
            </w:r>
            <w:r w:rsidRPr="00382D54">
              <w:rPr>
                <w:lang w:val="es-ES_tradnl"/>
              </w:rPr>
              <w:t>, ya se trate de proyectos encaminados a la prestación de asistencia técnica a Estados Miembros de la Unión, o de proyectos financiados por terceros donantes. Para obtener más información sobre la ejecución de proyectos por parte de la</w:t>
            </w:r>
            <w:r w:rsidR="00836C5A">
              <w:rPr>
                <w:lang w:val="es-ES_tradnl"/>
              </w:rPr>
              <w:t> </w:t>
            </w:r>
            <w:r w:rsidRPr="00382D54">
              <w:rPr>
                <w:u w:val="single"/>
                <w:lang w:val="es-ES_tradnl"/>
              </w:rPr>
              <w:t>BDT</w:t>
            </w:r>
            <w:r w:rsidRPr="00382D54">
              <w:rPr>
                <w:lang w:val="es-ES_tradnl"/>
              </w:rPr>
              <w:t>, véase el Documento</w:t>
            </w:r>
            <w:r w:rsidR="00616830">
              <w:rPr>
                <w:lang w:val="es-ES_tradnl"/>
              </w:rPr>
              <w:t> </w:t>
            </w:r>
            <w:hyperlink r:id="rId100" w:history="1">
              <w:r w:rsidRPr="00382D54">
                <w:rPr>
                  <w:rStyle w:val="Hyperlink"/>
                  <w:lang w:val="es-ES_tradnl"/>
                </w:rPr>
                <w:t>TDAG/24/7</w:t>
              </w:r>
            </w:hyperlink>
            <w:r w:rsidRPr="00382D54">
              <w:rPr>
                <w:lang w:val="es-ES_tradnl"/>
              </w:rPr>
              <w:t xml:space="preserve">, o el </w:t>
            </w:r>
            <w:hyperlink r:id="rId101" w:history="1">
              <w:r w:rsidRPr="00616830">
                <w:rPr>
                  <w:rStyle w:val="Hyperlink"/>
                  <w:lang w:val="es-ES"/>
                </w:rPr>
                <w:t>portal de</w:t>
              </w:r>
              <w:r w:rsidRPr="00616830">
                <w:rPr>
                  <w:rStyle w:val="Hyperlink"/>
                  <w:lang w:val="es-ES_tradnl"/>
                </w:rPr>
                <w:t xml:space="preserve"> proyectos del UIT-D</w:t>
              </w:r>
            </w:hyperlink>
            <w:r w:rsidRPr="00382D54">
              <w:rPr>
                <w:lang w:val="es-ES_tradnl"/>
              </w:rPr>
              <w:t>, que incluye un panel interactivo para los miembros del</w:t>
            </w:r>
            <w:r w:rsidR="00836C5A">
              <w:rPr>
                <w:lang w:val="es-ES_tradnl"/>
              </w:rPr>
              <w:t> </w:t>
            </w:r>
            <w:r w:rsidRPr="00382D54">
              <w:rPr>
                <w:lang w:val="es-ES_tradnl"/>
              </w:rPr>
              <w:t>GADT con datos adicionales sobre la cartera de proyectos de la</w:t>
            </w:r>
            <w:r w:rsidR="008B4FB2">
              <w:rPr>
                <w:lang w:val="es-ES_tradnl"/>
              </w:rPr>
              <w:t> </w:t>
            </w:r>
            <w:r w:rsidRPr="00382D54">
              <w:rPr>
                <w:lang w:val="es-ES_tradnl"/>
              </w:rPr>
              <w:t>BDT.</w:t>
            </w:r>
          </w:p>
          <w:p w14:paraId="470E57B4" w14:textId="52C7E12D" w:rsidR="00382D54" w:rsidRPr="00382D54" w:rsidRDefault="00382D54" w:rsidP="007C00A6">
            <w:pPr>
              <w:pStyle w:val="Tabletext"/>
              <w:rPr>
                <w:lang w:val="es-ES_tradnl"/>
              </w:rPr>
            </w:pPr>
            <w:r w:rsidRPr="00382D54">
              <w:rPr>
                <w:lang w:val="es-ES_tradnl"/>
              </w:rPr>
              <w:t>Los proyectos, las asociaciones y las actividades de cooperación existentes también han cobrado impulso: en 2024, la</w:t>
            </w:r>
            <w:r w:rsidR="008B4FB2">
              <w:rPr>
                <w:lang w:val="es-ES_tradnl"/>
              </w:rPr>
              <w:t> </w:t>
            </w:r>
            <w:r w:rsidRPr="00382D54">
              <w:rPr>
                <w:lang w:val="es-ES_tradnl"/>
              </w:rPr>
              <w:t>BDT llevó a cabo actividades a través de 91</w:t>
            </w:r>
            <w:r w:rsidR="008B4FB2">
              <w:rPr>
                <w:lang w:val="es-ES_tradnl"/>
              </w:rPr>
              <w:t> </w:t>
            </w:r>
            <w:r w:rsidRPr="00382D54">
              <w:rPr>
                <w:lang w:val="es-ES_tradnl"/>
              </w:rPr>
              <w:t>proyectos, valorados en 88,5</w:t>
            </w:r>
            <w:r w:rsidR="008B4FB2">
              <w:rPr>
                <w:lang w:val="es-ES_tradnl"/>
              </w:rPr>
              <w:t> </w:t>
            </w:r>
            <w:r w:rsidRPr="00382D54">
              <w:rPr>
                <w:lang w:val="es-ES_tradnl"/>
              </w:rPr>
              <w:t>millones</w:t>
            </w:r>
            <w:r w:rsidR="008B4FB2">
              <w:rPr>
                <w:lang w:val="es-ES_tradnl"/>
              </w:rPr>
              <w:t> </w:t>
            </w:r>
            <w:r w:rsidRPr="00382D54">
              <w:rPr>
                <w:lang w:val="es-ES_tradnl"/>
              </w:rPr>
              <w:t>CHF. Dichos proyectos fueron de carácter multirregional, regional y nacional. La mayoría de ellos (93</w:t>
            </w:r>
            <w:r w:rsidR="008B4FB2">
              <w:rPr>
                <w:lang w:val="es-ES_tradnl"/>
              </w:rPr>
              <w:t> </w:t>
            </w:r>
            <w:r w:rsidRPr="00382D54">
              <w:rPr>
                <w:lang w:val="es-ES_tradnl"/>
              </w:rPr>
              <w:t>%) se financió con cargo a fondos extrapresupuestarios movilizados de terceros, mientras que el</w:t>
            </w:r>
            <w:r w:rsidR="008B4FB2">
              <w:rPr>
                <w:lang w:val="es-ES_tradnl"/>
              </w:rPr>
              <w:t> </w:t>
            </w:r>
            <w:r w:rsidRPr="00382D54">
              <w:rPr>
                <w:lang w:val="es-ES_tradnl"/>
              </w:rPr>
              <w:t>7</w:t>
            </w:r>
            <w:r w:rsidR="00F47642">
              <w:rPr>
                <w:lang w:val="es-ES_tradnl"/>
              </w:rPr>
              <w:t> </w:t>
            </w:r>
            <w:r w:rsidRPr="00382D54">
              <w:rPr>
                <w:lang w:val="es-ES_tradnl"/>
              </w:rPr>
              <w:t>% restante se financió con cargo a la asignación de financiación inicial de la</w:t>
            </w:r>
            <w:r w:rsidR="00836C5A">
              <w:rPr>
                <w:lang w:val="es-ES_tradnl"/>
              </w:rPr>
              <w:t> </w:t>
            </w:r>
            <w:r w:rsidRPr="00382D54">
              <w:rPr>
                <w:lang w:val="es-ES_tradnl"/>
              </w:rPr>
              <w:t>UIT, el FD-TIC y otros fondos asignados por el Consejo de la UIT en apoyo de las iniciativas regionales del</w:t>
            </w:r>
            <w:r w:rsidR="00836C5A">
              <w:rPr>
                <w:lang w:val="es-ES_tradnl"/>
              </w:rPr>
              <w:t> </w:t>
            </w:r>
            <w:r w:rsidRPr="00382D54">
              <w:rPr>
                <w:lang w:val="es-ES_tradnl"/>
              </w:rPr>
              <w:t>UIT-D.</w:t>
            </w:r>
          </w:p>
          <w:p w14:paraId="0C478204" w14:textId="383C412C" w:rsidR="00382D54" w:rsidRPr="00382D54" w:rsidRDefault="00382D54" w:rsidP="007C00A6">
            <w:pPr>
              <w:pStyle w:val="Tabletext"/>
              <w:rPr>
                <w:lang w:val="es-ES_tradnl"/>
              </w:rPr>
            </w:pPr>
            <w:r w:rsidRPr="00382D54">
              <w:rPr>
                <w:lang w:val="es-ES_tradnl"/>
              </w:rPr>
              <w:t>Para obtener más información sobre las iniciativas en materia de movilización de recursos y las asociaciones de la</w:t>
            </w:r>
            <w:r w:rsidR="00836C5A">
              <w:rPr>
                <w:lang w:val="es-ES_tradnl"/>
              </w:rPr>
              <w:t> </w:t>
            </w:r>
            <w:r w:rsidRPr="00382D54">
              <w:rPr>
                <w:lang w:val="es-ES_tradnl"/>
              </w:rPr>
              <w:t>BDT, véanse los Documentos</w:t>
            </w:r>
            <w:r w:rsidR="008B4FB2">
              <w:rPr>
                <w:lang w:val="es-ES_tradnl"/>
              </w:rPr>
              <w:t> </w:t>
            </w:r>
            <w:r w:rsidRPr="00382D54">
              <w:rPr>
                <w:lang w:val="es-ES_tradnl"/>
              </w:rPr>
              <w:t>4 y 7 del GADT-25.</w:t>
            </w:r>
          </w:p>
        </w:tc>
        <w:tc>
          <w:tcPr>
            <w:tcW w:w="2999" w:type="dxa"/>
          </w:tcPr>
          <w:p w14:paraId="2E537CF7" w14:textId="09045B2B" w:rsidR="00382D54" w:rsidRPr="00382D54" w:rsidRDefault="004C3ECC" w:rsidP="003B2D11">
            <w:pPr>
              <w:pStyle w:val="Tabletext"/>
              <w:ind w:left="284" w:hanging="284"/>
              <w:rPr>
                <w:lang w:val="es-ES_tradnl"/>
              </w:rPr>
            </w:pPr>
            <w:r w:rsidRPr="004C3ECC">
              <w:rPr>
                <w:lang w:val="es-ES_tradnl"/>
              </w:rPr>
              <w:t>–</w:t>
            </w:r>
            <w:r w:rsidR="007C00A6" w:rsidRPr="00736B66">
              <w:rPr>
                <w:lang w:val="es-ES_tradnl"/>
              </w:rPr>
              <w:tab/>
            </w:r>
            <w:r w:rsidR="00382D54" w:rsidRPr="00382D54">
              <w:rPr>
                <w:b/>
                <w:bCs/>
                <w:lang w:val="es-ES_tradnl"/>
              </w:rPr>
              <w:t>Entre mayo de 2024 y abril de 2025:</w:t>
            </w:r>
            <w:r w:rsidR="00382D54" w:rsidRPr="00382D54">
              <w:rPr>
                <w:lang w:val="es-ES_tradnl"/>
              </w:rPr>
              <w:t xml:space="preserve"> 71</w:t>
            </w:r>
            <w:r w:rsidR="00ED244A">
              <w:rPr>
                <w:lang w:val="es-ES_tradnl"/>
              </w:rPr>
              <w:t> </w:t>
            </w:r>
            <w:r w:rsidR="00382D54" w:rsidRPr="00382D54">
              <w:rPr>
                <w:lang w:val="es-ES_tradnl"/>
              </w:rPr>
              <w:t>acuerdos nuevos y 35</w:t>
            </w:r>
            <w:r w:rsidR="00ED244A">
              <w:rPr>
                <w:lang w:val="es-ES_tradnl"/>
              </w:rPr>
              <w:t> </w:t>
            </w:r>
            <w:r w:rsidR="00382D54" w:rsidRPr="00382D54">
              <w:rPr>
                <w:lang w:val="es-ES_tradnl"/>
              </w:rPr>
              <w:t>proyectos acordados por valor de 26,7</w:t>
            </w:r>
            <w:r w:rsidR="00ED244A">
              <w:rPr>
                <w:lang w:val="es-ES_tradnl"/>
              </w:rPr>
              <w:t> </w:t>
            </w:r>
            <w:r w:rsidR="00382D54" w:rsidRPr="00382D54">
              <w:rPr>
                <w:lang w:val="es-ES_tradnl"/>
              </w:rPr>
              <w:t>millones</w:t>
            </w:r>
            <w:r w:rsidR="00ED244A">
              <w:rPr>
                <w:lang w:val="es-ES_tradnl"/>
              </w:rPr>
              <w:t> </w:t>
            </w:r>
            <w:r w:rsidR="00382D54" w:rsidRPr="00382D54">
              <w:rPr>
                <w:lang w:val="es-ES_tradnl"/>
              </w:rPr>
              <w:t>USD</w:t>
            </w:r>
            <w:r w:rsidR="00CB0CFE">
              <w:rPr>
                <w:lang w:val="es-ES_tradnl"/>
              </w:rPr>
              <w:t>.</w:t>
            </w:r>
          </w:p>
          <w:p w14:paraId="67043048" w14:textId="7CE8C617" w:rsidR="00382D54" w:rsidRPr="00382D54" w:rsidRDefault="004C3ECC" w:rsidP="003B2D11">
            <w:pPr>
              <w:pStyle w:val="Tabletext"/>
              <w:ind w:left="284" w:hanging="284"/>
              <w:rPr>
                <w:lang w:val="es-ES_tradnl"/>
              </w:rPr>
            </w:pPr>
            <w:r w:rsidRPr="004C3ECC">
              <w:rPr>
                <w:lang w:val="es-ES_tradnl"/>
              </w:rPr>
              <w:t>–</w:t>
            </w:r>
            <w:r w:rsidR="007C00A6" w:rsidRPr="00736B66">
              <w:rPr>
                <w:lang w:val="es-ES_tradnl"/>
              </w:rPr>
              <w:tab/>
            </w:r>
            <w:r w:rsidR="00382D54" w:rsidRPr="00382D54">
              <w:rPr>
                <w:lang w:val="es-ES_tradnl"/>
              </w:rPr>
              <w:t>36 PMA, PDSL y PEID recibieron apoyo</w:t>
            </w:r>
            <w:r w:rsidR="00CB0CFE">
              <w:rPr>
                <w:lang w:val="es-ES_tradnl"/>
              </w:rPr>
              <w:t>.</w:t>
            </w:r>
          </w:p>
          <w:p w14:paraId="26BD2348" w14:textId="1295A32E" w:rsidR="00382D54" w:rsidRPr="00382D54" w:rsidRDefault="004C3ECC" w:rsidP="003B2D11">
            <w:pPr>
              <w:pStyle w:val="Tabletext"/>
              <w:ind w:left="284" w:hanging="284"/>
              <w:rPr>
                <w:lang w:val="es-ES_tradnl"/>
              </w:rPr>
            </w:pPr>
            <w:r w:rsidRPr="004C3ECC">
              <w:rPr>
                <w:lang w:val="es-ES_tradnl"/>
              </w:rPr>
              <w:t>–</w:t>
            </w:r>
            <w:r w:rsidR="007C00A6" w:rsidRPr="00736B66">
              <w:rPr>
                <w:lang w:val="es-ES_tradnl"/>
              </w:rPr>
              <w:tab/>
            </w:r>
            <w:r w:rsidR="00382D54" w:rsidRPr="00382D54">
              <w:rPr>
                <w:lang w:val="es-ES_tradnl"/>
              </w:rPr>
              <w:t>Se celebraron sesiones de sensibilización en 34</w:t>
            </w:r>
            <w:r w:rsidR="00ED244A">
              <w:rPr>
                <w:lang w:val="es-ES_tradnl"/>
              </w:rPr>
              <w:t> </w:t>
            </w:r>
            <w:r w:rsidR="00382D54" w:rsidRPr="00382D54">
              <w:rPr>
                <w:lang w:val="es-ES_tradnl"/>
              </w:rPr>
              <w:t>países</w:t>
            </w:r>
            <w:r w:rsidR="00CB0CFE">
              <w:rPr>
                <w:lang w:val="es-ES_tradnl"/>
              </w:rPr>
              <w:t>.</w:t>
            </w:r>
          </w:p>
          <w:p w14:paraId="40FF54ED" w14:textId="4F9E09BF" w:rsidR="00382D54" w:rsidRPr="00382D54" w:rsidRDefault="004C3ECC" w:rsidP="003B2D11">
            <w:pPr>
              <w:pStyle w:val="Tabletext"/>
              <w:ind w:left="284" w:hanging="284"/>
              <w:rPr>
                <w:lang w:val="es-ES_tradnl"/>
              </w:rPr>
            </w:pPr>
            <w:r w:rsidRPr="004C3ECC">
              <w:rPr>
                <w:lang w:val="es-ES_tradnl"/>
              </w:rPr>
              <w:t>–</w:t>
            </w:r>
            <w:r w:rsidR="007C00A6" w:rsidRPr="00736B66">
              <w:rPr>
                <w:lang w:val="es-ES_tradnl"/>
              </w:rPr>
              <w:tab/>
            </w:r>
            <w:r w:rsidR="00382D54" w:rsidRPr="00382D54">
              <w:rPr>
                <w:lang w:val="es-ES_tradnl"/>
              </w:rPr>
              <w:t xml:space="preserve">Se crearon plataformas de colaboración en </w:t>
            </w:r>
            <w:r w:rsidR="00CB0CFE">
              <w:rPr>
                <w:lang w:val="es-ES_tradnl"/>
              </w:rPr>
              <w:t>dos</w:t>
            </w:r>
            <w:r w:rsidR="00ED244A">
              <w:rPr>
                <w:lang w:val="es-ES_tradnl"/>
              </w:rPr>
              <w:t> </w:t>
            </w:r>
            <w:r w:rsidR="00382D54" w:rsidRPr="00382D54">
              <w:rPr>
                <w:lang w:val="es-ES_tradnl"/>
              </w:rPr>
              <w:t>países</w:t>
            </w:r>
            <w:r w:rsidR="00CB0CFE">
              <w:rPr>
                <w:lang w:val="es-ES_tradnl"/>
              </w:rPr>
              <w:t>.</w:t>
            </w:r>
          </w:p>
        </w:tc>
      </w:tr>
      <w:tr w:rsidR="0067016A" w:rsidRPr="00382D54" w14:paraId="1CE60CFF" w14:textId="77777777" w:rsidTr="00E07C78">
        <w:trPr>
          <w:jc w:val="center"/>
        </w:trPr>
        <w:tc>
          <w:tcPr>
            <w:tcW w:w="4111" w:type="dxa"/>
          </w:tcPr>
          <w:p w14:paraId="5F7AC0F2" w14:textId="77777777" w:rsidR="00382D54" w:rsidRPr="00382D54" w:rsidRDefault="00382D54" w:rsidP="0067016A">
            <w:pPr>
              <w:pStyle w:val="Tabletext"/>
              <w:rPr>
                <w:b/>
                <w:bCs/>
                <w:lang w:val="es-ES"/>
              </w:rPr>
            </w:pPr>
            <w:r w:rsidRPr="00382D54">
              <w:rPr>
                <w:b/>
                <w:bCs/>
                <w:lang w:val="es-ES"/>
              </w:rPr>
              <w:t>Contribución a las metas de los ODS</w:t>
            </w:r>
          </w:p>
        </w:tc>
        <w:tc>
          <w:tcPr>
            <w:tcW w:w="10445" w:type="dxa"/>
            <w:gridSpan w:val="2"/>
          </w:tcPr>
          <w:p w14:paraId="0348DA29" w14:textId="77777777" w:rsidR="00382D54" w:rsidRPr="00382D54" w:rsidRDefault="00382D54" w:rsidP="0067016A">
            <w:pPr>
              <w:pStyle w:val="Tabletext"/>
              <w:rPr>
                <w:lang w:val="es-ES_tradnl"/>
              </w:rPr>
            </w:pPr>
            <w:r w:rsidRPr="00382D54">
              <w:rPr>
                <w:lang w:val="es-ES_tradnl"/>
              </w:rPr>
              <w:t>ODS 1, 3, 4, 5, 8, 9, 10, 11, 16 y 17</w:t>
            </w:r>
          </w:p>
        </w:tc>
      </w:tr>
      <w:tr w:rsidR="0067016A" w:rsidRPr="00382D54" w14:paraId="15F416DA" w14:textId="77777777" w:rsidTr="00E07C78">
        <w:trPr>
          <w:jc w:val="center"/>
        </w:trPr>
        <w:tc>
          <w:tcPr>
            <w:tcW w:w="4111" w:type="dxa"/>
          </w:tcPr>
          <w:p w14:paraId="408D4BA9" w14:textId="77777777" w:rsidR="00382D54" w:rsidRPr="00382D54" w:rsidRDefault="00382D54" w:rsidP="0067016A">
            <w:pPr>
              <w:pStyle w:val="Tabletext"/>
              <w:rPr>
                <w:b/>
                <w:bCs/>
                <w:lang w:val="es-ES"/>
              </w:rPr>
            </w:pPr>
            <w:r w:rsidRPr="00382D54">
              <w:rPr>
                <w:b/>
                <w:bCs/>
                <w:lang w:val="es-ES"/>
              </w:rPr>
              <w:t>Líneas de Acción de la CMSI</w:t>
            </w:r>
          </w:p>
        </w:tc>
        <w:tc>
          <w:tcPr>
            <w:tcW w:w="10445" w:type="dxa"/>
            <w:gridSpan w:val="2"/>
          </w:tcPr>
          <w:p w14:paraId="079C65A5" w14:textId="77777777" w:rsidR="00382D54" w:rsidRPr="00382D54" w:rsidRDefault="00382D54" w:rsidP="0067016A">
            <w:pPr>
              <w:pStyle w:val="Tabletext"/>
              <w:rPr>
                <w:lang w:val="es-ES_tradnl"/>
              </w:rPr>
            </w:pPr>
            <w:r w:rsidRPr="00382D54">
              <w:rPr>
                <w:lang w:val="es-ES_tradnl"/>
              </w:rPr>
              <w:t>C1, C2, C3, C4, C5, C6, C7 y C11</w:t>
            </w:r>
          </w:p>
        </w:tc>
      </w:tr>
      <w:tr w:rsidR="0067016A" w:rsidRPr="00382D54" w14:paraId="44CAC736" w14:textId="77777777" w:rsidTr="00E07C78">
        <w:trPr>
          <w:jc w:val="center"/>
        </w:trPr>
        <w:tc>
          <w:tcPr>
            <w:tcW w:w="4111" w:type="dxa"/>
          </w:tcPr>
          <w:p w14:paraId="501D6D9B" w14:textId="77777777" w:rsidR="00382D54" w:rsidRPr="00382D54" w:rsidRDefault="00382D54" w:rsidP="0067016A">
            <w:pPr>
              <w:pStyle w:val="Tabletext"/>
              <w:rPr>
                <w:b/>
                <w:bCs/>
                <w:lang w:val="es-ES"/>
              </w:rPr>
            </w:pPr>
            <w:r w:rsidRPr="00382D54">
              <w:rPr>
                <w:b/>
                <w:bCs/>
                <w:lang w:val="es-ES"/>
              </w:rPr>
              <w:t>Resoluciones</w:t>
            </w:r>
          </w:p>
        </w:tc>
        <w:tc>
          <w:tcPr>
            <w:tcW w:w="10445" w:type="dxa"/>
            <w:gridSpan w:val="2"/>
          </w:tcPr>
          <w:p w14:paraId="1402A6EE" w14:textId="77777777" w:rsidR="00382D54" w:rsidRPr="00382D54" w:rsidRDefault="00382D54" w:rsidP="0067016A">
            <w:pPr>
              <w:pStyle w:val="Tabletext"/>
              <w:rPr>
                <w:lang w:val="es-ES_tradnl"/>
              </w:rPr>
            </w:pPr>
            <w:r w:rsidRPr="00382D54">
              <w:rPr>
                <w:lang w:val="es-ES_tradnl"/>
              </w:rPr>
              <w:t>1, 2, 24, 25, 52 y 58 de la CMDT</w:t>
            </w:r>
          </w:p>
        </w:tc>
      </w:tr>
    </w:tbl>
    <w:p w14:paraId="00ABAEAD" w14:textId="77777777" w:rsidR="00616830" w:rsidRDefault="00616830" w:rsidP="00616830">
      <w: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24820AE8" w14:textId="77777777" w:rsidTr="004711CF">
        <w:trPr>
          <w:jc w:val="center"/>
        </w:trPr>
        <w:tc>
          <w:tcPr>
            <w:tcW w:w="14556" w:type="dxa"/>
            <w:gridSpan w:val="3"/>
            <w:shd w:val="clear" w:color="auto" w:fill="365F91"/>
          </w:tcPr>
          <w:p w14:paraId="37AA77F3" w14:textId="2B3F2A67" w:rsidR="00382D54" w:rsidRPr="00736B66" w:rsidRDefault="00382D54" w:rsidP="00736B66">
            <w:pPr>
              <w:pStyle w:val="Heading2"/>
              <w:spacing w:before="80" w:after="80"/>
              <w:jc w:val="center"/>
              <w:rPr>
                <w:color w:val="FFFFFF" w:themeColor="background1"/>
                <w:sz w:val="22"/>
                <w:szCs w:val="22"/>
                <w:lang w:val="es-ES_tradnl"/>
              </w:rPr>
            </w:pPr>
            <w:bookmarkStart w:id="20" w:name="_Toc196911808"/>
            <w:r w:rsidRPr="00736B66">
              <w:rPr>
                <w:color w:val="FFFFFF" w:themeColor="background1"/>
                <w:sz w:val="22"/>
                <w:szCs w:val="22"/>
                <w:lang w:val="es-ES_tradnl"/>
              </w:rPr>
              <w:lastRenderedPageBreak/>
              <w:t>Factor habilitador 1 del UIT-D: Impulso de los miembros</w:t>
            </w:r>
            <w:bookmarkEnd w:id="20"/>
          </w:p>
          <w:p w14:paraId="21C88424" w14:textId="69248255" w:rsidR="00382D54" w:rsidRPr="00382D54" w:rsidRDefault="00382D54" w:rsidP="00427D53">
            <w:pPr>
              <w:pStyle w:val="Tablehead"/>
              <w:rPr>
                <w:i/>
                <w:iCs/>
                <w:color w:val="FFFFFF" w:themeColor="background1"/>
                <w:lang w:val="es-ES_tradnl"/>
              </w:rPr>
            </w:pPr>
            <w:r w:rsidRPr="00382D54">
              <w:rPr>
                <w:i/>
                <w:iCs/>
                <w:color w:val="FFFFFF" w:themeColor="background1"/>
                <w:lang w:val="es-ES_tradnl"/>
              </w:rPr>
              <w:t xml:space="preserve">Reforzar la aplicación de las decisiones de la CMDT y el diálogo entre los </w:t>
            </w:r>
            <w:r w:rsidR="00836C5A" w:rsidRPr="00382D54">
              <w:rPr>
                <w:i/>
                <w:iCs/>
                <w:color w:val="FFFFFF" w:themeColor="background1"/>
                <w:lang w:val="es-ES_tradnl"/>
              </w:rPr>
              <w:t>m</w:t>
            </w:r>
            <w:r w:rsidRPr="00382D54">
              <w:rPr>
                <w:i/>
                <w:iCs/>
                <w:color w:val="FFFFFF" w:themeColor="background1"/>
                <w:lang w:val="es-ES_tradnl"/>
              </w:rPr>
              <w:t>iembros de la UIT</w:t>
            </w:r>
          </w:p>
        </w:tc>
      </w:tr>
      <w:tr w:rsidR="00382D54" w:rsidRPr="002F5AC1" w14:paraId="2D1A24C6" w14:textId="77777777" w:rsidTr="004711CF">
        <w:trPr>
          <w:jc w:val="center"/>
        </w:trPr>
        <w:tc>
          <w:tcPr>
            <w:tcW w:w="14556" w:type="dxa"/>
            <w:gridSpan w:val="3"/>
            <w:shd w:val="clear" w:color="auto" w:fill="E5DFEC"/>
          </w:tcPr>
          <w:p w14:paraId="2BE9381B" w14:textId="414F8387" w:rsidR="00382D54" w:rsidRPr="00A20ED8" w:rsidRDefault="00382D54" w:rsidP="00B405B1">
            <w:pPr>
              <w:pStyle w:val="Tabletext"/>
              <w:rPr>
                <w:i/>
                <w:iCs/>
                <w:lang w:val="es-ES_tradnl"/>
              </w:rPr>
            </w:pPr>
            <w:r w:rsidRPr="00B405B1">
              <w:rPr>
                <w:b/>
                <w:bCs/>
                <w:i/>
                <w:iCs/>
                <w:lang w:val="es-ES_tradnl"/>
              </w:rPr>
              <w:t xml:space="preserve">Realización: </w:t>
            </w:r>
            <w:r w:rsidRPr="00B405B1">
              <w:rPr>
                <w:i/>
                <w:iCs/>
                <w:lang w:val="es-ES_tradnl"/>
              </w:rPr>
              <w:t xml:space="preserve">Aplicación consolidada de las Resoluciones de la CMDT. Fomento de las actividades de intercambio de conocimientos, investigación y desarrollo, diálogo y asociación entre los </w:t>
            </w:r>
            <w:r w:rsidR="00836C5A" w:rsidRPr="00B405B1">
              <w:rPr>
                <w:i/>
                <w:iCs/>
                <w:lang w:val="es-ES_tradnl"/>
              </w:rPr>
              <w:t>m</w:t>
            </w:r>
            <w:r w:rsidRPr="00B405B1">
              <w:rPr>
                <w:i/>
                <w:iCs/>
                <w:lang w:val="es-ES_tradnl"/>
              </w:rPr>
              <w:t>iembros de la UIT sobre cuestiones relacionadas con las telecomunicaciones/TIC</w:t>
            </w:r>
            <w:r w:rsidR="00A20ED8">
              <w:rPr>
                <w:i/>
                <w:iCs/>
                <w:lang w:val="es-ES_tradnl"/>
              </w:rPr>
              <w:t>.</w:t>
            </w:r>
          </w:p>
        </w:tc>
      </w:tr>
      <w:tr w:rsidR="00B405B1" w:rsidRPr="00382D54" w14:paraId="08B41C87" w14:textId="77777777" w:rsidTr="004711CF">
        <w:trPr>
          <w:jc w:val="center"/>
        </w:trPr>
        <w:tc>
          <w:tcPr>
            <w:tcW w:w="11557" w:type="dxa"/>
            <w:gridSpan w:val="2"/>
          </w:tcPr>
          <w:p w14:paraId="5F0185E9" w14:textId="77777777" w:rsidR="00382D54" w:rsidRPr="00382D54" w:rsidRDefault="00382D54" w:rsidP="00427D53">
            <w:pPr>
              <w:pStyle w:val="Tablehead"/>
              <w:rPr>
                <w:color w:val="0070C0"/>
                <w:lang w:val="es-ES_tradnl"/>
              </w:rPr>
            </w:pPr>
            <w:r w:rsidRPr="00382D54">
              <w:rPr>
                <w:color w:val="0070C0"/>
                <w:lang w:val="es-ES_tradnl"/>
              </w:rPr>
              <w:t>Productos</w:t>
            </w:r>
          </w:p>
        </w:tc>
        <w:tc>
          <w:tcPr>
            <w:tcW w:w="2999" w:type="dxa"/>
          </w:tcPr>
          <w:p w14:paraId="587B2E82" w14:textId="77777777" w:rsidR="00382D54" w:rsidRPr="00382D54" w:rsidRDefault="00382D54" w:rsidP="00427D53">
            <w:pPr>
              <w:pStyle w:val="Tablehead"/>
              <w:rPr>
                <w:color w:val="0070C0"/>
                <w:lang w:val="es-ES_tradnl"/>
              </w:rPr>
            </w:pPr>
            <w:r w:rsidRPr="00382D54">
              <w:rPr>
                <w:color w:val="0070C0"/>
                <w:lang w:val="es-ES_tradnl"/>
              </w:rPr>
              <w:t>Datos destacados</w:t>
            </w:r>
          </w:p>
        </w:tc>
      </w:tr>
      <w:tr w:rsidR="00382D54" w:rsidRPr="002F5AC1" w14:paraId="75BDA1D9" w14:textId="77777777" w:rsidTr="004711CF">
        <w:trPr>
          <w:jc w:val="center"/>
        </w:trPr>
        <w:tc>
          <w:tcPr>
            <w:tcW w:w="11557" w:type="dxa"/>
            <w:gridSpan w:val="2"/>
          </w:tcPr>
          <w:p w14:paraId="00B71EB8" w14:textId="684ED083" w:rsidR="00382D54" w:rsidRPr="00B405B1" w:rsidRDefault="00382D54" w:rsidP="00B405B1">
            <w:pPr>
              <w:pStyle w:val="Tabletext"/>
              <w:rPr>
                <w:b/>
                <w:bCs/>
                <w:lang w:val="es-ES_tradnl"/>
              </w:rPr>
            </w:pPr>
            <w:r w:rsidRPr="00B405B1">
              <w:rPr>
                <w:b/>
                <w:bCs/>
                <w:lang w:val="es-ES_tradnl"/>
              </w:rPr>
              <w:t>Afiliación</w:t>
            </w:r>
          </w:p>
          <w:p w14:paraId="0C222AC0" w14:textId="77777777" w:rsidR="00382D54" w:rsidRPr="00382D54" w:rsidRDefault="00382D54" w:rsidP="00B405B1">
            <w:pPr>
              <w:pStyle w:val="Tabletext"/>
              <w:rPr>
                <w:lang w:val="es-ES_tradnl"/>
              </w:rPr>
            </w:pPr>
            <w:r w:rsidRPr="00382D54">
              <w:rPr>
                <w:lang w:val="es-ES_tradnl"/>
              </w:rPr>
              <w:t>Entre mayo de 2024 y abril de 2025, el UIT-D dio la bienvenida a un número considerable de nuevos miembros del sector privado, organizaciones regionales e internacionales, e instituciones académicas, gracias a una serie de estrategias de divulgación reforzadas, concertadas y específicas, que abarcaron diversos segmentos del ecosistema de las TIC.</w:t>
            </w:r>
          </w:p>
          <w:p w14:paraId="15CEBA2E" w14:textId="7D236579" w:rsidR="00382D54" w:rsidRPr="00382D54" w:rsidRDefault="00B405B1" w:rsidP="00B405B1">
            <w:pPr>
              <w:pStyle w:val="Tabletext"/>
              <w:tabs>
                <w:tab w:val="clear" w:pos="284"/>
              </w:tabs>
              <w:ind w:left="567" w:hanging="567"/>
              <w:rPr>
                <w:lang w:val="es-ES_tradnl"/>
              </w:rPr>
            </w:pPr>
            <w:r w:rsidRPr="00B405B1">
              <w:rPr>
                <w:lang w:val="es-ES"/>
              </w:rPr>
              <w:t>–</w:t>
            </w:r>
            <w:r>
              <w:rPr>
                <w:lang w:val="es-ES"/>
              </w:rPr>
              <w:tab/>
            </w:r>
            <w:r w:rsidR="00382D54" w:rsidRPr="00CA3944">
              <w:rPr>
                <w:b/>
                <w:bCs/>
                <w:lang w:val="es-ES_tradnl"/>
              </w:rPr>
              <w:t>Cuarenta</w:t>
            </w:r>
            <w:r w:rsidR="00382D54" w:rsidRPr="00382D54">
              <w:rPr>
                <w:b/>
                <w:bCs/>
                <w:lang w:val="es-ES_tradnl"/>
              </w:rPr>
              <w:t xml:space="preserve"> (40) nuevos miembros, incluidas instituciones académicas</w:t>
            </w:r>
            <w:r w:rsidR="00382D54" w:rsidRPr="00382D54">
              <w:rPr>
                <w:lang w:val="es-ES_tradnl"/>
              </w:rPr>
              <w:t>, se unieron al UIT-D entre mayo de</w:t>
            </w:r>
            <w:r w:rsidR="00836C5A">
              <w:rPr>
                <w:lang w:val="es-ES_tradnl"/>
              </w:rPr>
              <w:t> </w:t>
            </w:r>
            <w:r w:rsidR="00382D54" w:rsidRPr="00382D54">
              <w:rPr>
                <w:lang w:val="es-ES_tradnl"/>
              </w:rPr>
              <w:t>2024 y marzo de</w:t>
            </w:r>
            <w:r w:rsidR="00836C5A">
              <w:rPr>
                <w:lang w:val="es-ES_tradnl"/>
              </w:rPr>
              <w:t> </w:t>
            </w:r>
            <w:r w:rsidR="00382D54" w:rsidRPr="00382D54">
              <w:rPr>
                <w:lang w:val="es-ES_tradnl"/>
              </w:rPr>
              <w:t>2025, sosteniendo con ello el crecimiento del número de miembros del Sector.</w:t>
            </w:r>
          </w:p>
          <w:p w14:paraId="36C93F0E" w14:textId="60A60A2A" w:rsidR="00382D54" w:rsidRPr="00382D54" w:rsidRDefault="00B405B1" w:rsidP="00B405B1">
            <w:pPr>
              <w:pStyle w:val="Tabletext"/>
              <w:tabs>
                <w:tab w:val="clear" w:pos="284"/>
              </w:tabs>
              <w:ind w:left="567" w:hanging="567"/>
              <w:rPr>
                <w:b/>
                <w:bCs/>
                <w:lang w:val="es-ES_tradnl"/>
              </w:rPr>
            </w:pPr>
            <w:r w:rsidRPr="00860D32">
              <w:rPr>
                <w:lang w:val="es-ES"/>
              </w:rPr>
              <w:t>–</w:t>
            </w:r>
            <w:r>
              <w:rPr>
                <w:lang w:val="es-ES"/>
              </w:rPr>
              <w:tab/>
            </w:r>
            <w:r w:rsidR="00382D54" w:rsidRPr="00382D54">
              <w:rPr>
                <w:lang w:val="es-ES"/>
              </w:rPr>
              <w:t>En</w:t>
            </w:r>
            <w:r w:rsidR="00382D54" w:rsidRPr="00382D54">
              <w:rPr>
                <w:lang w:val="es-ES_tradnl"/>
              </w:rPr>
              <w:t xml:space="preserve"> general, el</w:t>
            </w:r>
            <w:r w:rsidR="00382D54" w:rsidRPr="00382D54">
              <w:rPr>
                <w:b/>
                <w:bCs/>
                <w:lang w:val="es-ES_tradnl"/>
              </w:rPr>
              <w:t xml:space="preserve"> crecimiento neto del número de miembros hasta abril de 2025 </w:t>
            </w:r>
            <w:r w:rsidR="00382D54" w:rsidRPr="00382D54">
              <w:rPr>
                <w:lang w:val="es-ES_tradnl"/>
              </w:rPr>
              <w:t xml:space="preserve">(la diferencia entre el número de miembros nuevos y el número de miembros excluidos y que solicitaron su baja) fue un 50 % </w:t>
            </w:r>
            <w:r w:rsidR="00382D54" w:rsidRPr="00382D54">
              <w:rPr>
                <w:b/>
                <w:bCs/>
                <w:lang w:val="es-ES_tradnl"/>
              </w:rPr>
              <w:t>superior al de 2023</w:t>
            </w:r>
            <w:r w:rsidR="00382D54" w:rsidRPr="00382D54">
              <w:rPr>
                <w:lang w:val="es-ES_tradnl"/>
              </w:rPr>
              <w:t>.</w:t>
            </w:r>
          </w:p>
          <w:p w14:paraId="6184D117" w14:textId="216D675F" w:rsidR="00382D54" w:rsidRPr="00382D54" w:rsidRDefault="00B405B1" w:rsidP="00B405B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 xml:space="preserve">En 2024, se organizaron dos reuniones del </w:t>
            </w:r>
            <w:r w:rsidR="00382D54" w:rsidRPr="00382D54">
              <w:rPr>
                <w:b/>
                <w:bCs/>
                <w:lang w:val="es-ES_tradnl"/>
              </w:rPr>
              <w:t>IAGDI-CRO</w:t>
            </w:r>
            <w:r w:rsidR="00382D54" w:rsidRPr="00382D54">
              <w:rPr>
                <w:lang w:val="es-ES_tradnl"/>
              </w:rPr>
              <w:t xml:space="preserve">, una virtual y otra presencial en Kampala (Uganda), que dieron lugar a un incremento de las contribuciones a las Directrices de </w:t>
            </w:r>
            <w:r w:rsidR="00382D54" w:rsidRPr="00CA3944">
              <w:rPr>
                <w:lang w:val="es-ES_tradnl"/>
              </w:rPr>
              <w:t xml:space="preserve">prácticas </w:t>
            </w:r>
            <w:r w:rsidR="007C654B" w:rsidRPr="00CA3944">
              <w:rPr>
                <w:lang w:val="es-ES_tradnl"/>
              </w:rPr>
              <w:t>i</w:t>
            </w:r>
            <w:r w:rsidR="007C654B">
              <w:rPr>
                <w:lang w:val="es-ES_tradnl"/>
              </w:rPr>
              <w:t>dóneas</w:t>
            </w:r>
            <w:r w:rsidR="00382D54" w:rsidRPr="00382D54">
              <w:rPr>
                <w:lang w:val="es-ES_tradnl"/>
              </w:rPr>
              <w:t xml:space="preserve"> en materia de reglamentación del GSR-24 y crearon conciencia sobre las áreas de colaboración con el UIT-D.</w:t>
            </w:r>
          </w:p>
          <w:p w14:paraId="3F564F26" w14:textId="129B8E18" w:rsidR="00382D54" w:rsidRPr="00382D54" w:rsidRDefault="00B405B1" w:rsidP="00B405B1">
            <w:pPr>
              <w:pStyle w:val="Tabletext"/>
              <w:tabs>
                <w:tab w:val="clear" w:pos="284"/>
              </w:tabs>
              <w:ind w:left="567" w:hanging="567"/>
              <w:rPr>
                <w:lang w:val="es-ES_tradnl"/>
              </w:rPr>
            </w:pPr>
            <w:r w:rsidRPr="00860D32">
              <w:rPr>
                <w:lang w:val="es-ES"/>
              </w:rPr>
              <w:t>–</w:t>
            </w:r>
            <w:r>
              <w:rPr>
                <w:lang w:val="es-ES"/>
              </w:rPr>
              <w:tab/>
            </w:r>
            <w:r w:rsidR="00382D54" w:rsidRPr="00382D54">
              <w:rPr>
                <w:lang w:val="es-ES"/>
              </w:rPr>
              <w:t>Además</w:t>
            </w:r>
            <w:r w:rsidR="00382D54" w:rsidRPr="00382D54">
              <w:rPr>
                <w:lang w:val="es-ES_tradnl"/>
              </w:rPr>
              <w:t xml:space="preserve">, se registró un número de </w:t>
            </w:r>
            <w:r w:rsidR="00382D54" w:rsidRPr="00382D54">
              <w:rPr>
                <w:b/>
                <w:bCs/>
                <w:lang w:val="es-ES_tradnl"/>
              </w:rPr>
              <w:t>participantes</w:t>
            </w:r>
            <w:r w:rsidR="00382D54" w:rsidRPr="00382D54">
              <w:rPr>
                <w:lang w:val="es-ES_tradnl"/>
              </w:rPr>
              <w:t xml:space="preserve"> presenciales sin precedentes (más de 200) en la reunión del IAGDI-CRO celebrada durante el GSR-24 en Kampala (Uganda). La declaración final puede consultarse en este </w:t>
            </w:r>
            <w:hyperlink r:id="rId102" w:history="1">
              <w:r w:rsidR="00382D54" w:rsidRPr="00382D54">
                <w:rPr>
                  <w:rStyle w:val="Hyperlink"/>
                  <w:lang w:val="es-ES_tradnl"/>
                </w:rPr>
                <w:t>enlace</w:t>
              </w:r>
            </w:hyperlink>
            <w:r w:rsidR="00382D54" w:rsidRPr="00382D54">
              <w:rPr>
                <w:lang w:val="es-ES_tradnl"/>
              </w:rPr>
              <w:t>.</w:t>
            </w:r>
          </w:p>
          <w:p w14:paraId="6D273EF1" w14:textId="22E883C0" w:rsidR="00382D54" w:rsidRPr="00382D54" w:rsidRDefault="00B405B1" w:rsidP="00B405B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A raíz de las declaraciones de coordinación enviadas por el IAGDI-CRO a las Comisiones de Estudio</w:t>
            </w:r>
            <w:r w:rsidR="000B1D29">
              <w:rPr>
                <w:lang w:val="es-ES_tradnl"/>
              </w:rPr>
              <w:t> </w:t>
            </w:r>
            <w:r w:rsidR="00382D54" w:rsidRPr="00382D54">
              <w:rPr>
                <w:lang w:val="es-ES_tradnl"/>
              </w:rPr>
              <w:t xml:space="preserve">1 y 2 del UIT-D con miras a la organización de charlas técnicas sobre temas pertinentes y prospectivos que pudieran </w:t>
            </w:r>
            <w:r w:rsidR="00382D54" w:rsidRPr="00382D54">
              <w:rPr>
                <w:lang w:val="es-ES"/>
              </w:rPr>
              <w:t>inspirar</w:t>
            </w:r>
            <w:r w:rsidR="00382D54" w:rsidRPr="00382D54">
              <w:rPr>
                <w:lang w:val="es-ES_tradnl"/>
              </w:rPr>
              <w:t xml:space="preserve"> la futura labor del UIT-D y la eventual aprobación de nuevas cuestiones de las Comisiones de Estudio en la CMDT-25, se organizaron </w:t>
            </w:r>
            <w:r w:rsidR="00382D54" w:rsidRPr="00382D54">
              <w:rPr>
                <w:b/>
                <w:bCs/>
                <w:lang w:val="es-ES_tradnl"/>
              </w:rPr>
              <w:t xml:space="preserve">dos charlas técnicas </w:t>
            </w:r>
            <w:r w:rsidR="00382D54" w:rsidRPr="00382D54">
              <w:rPr>
                <w:lang w:val="es-ES_tradnl"/>
              </w:rPr>
              <w:t>en febrero de 2025 sobre la creación de un entorno habilitador para una conectividad efectiva y la transformación digital. Ambos eventos congregaron a más de 200</w:t>
            </w:r>
            <w:r w:rsidR="000B1D29">
              <w:rPr>
                <w:lang w:val="es-ES_tradnl"/>
              </w:rPr>
              <w:t> </w:t>
            </w:r>
            <w:r w:rsidR="00382D54" w:rsidRPr="00382D54">
              <w:rPr>
                <w:lang w:val="es-ES_tradnl"/>
              </w:rPr>
              <w:t>participantes, que destacaron los puntos de vista de la industria sobre los retos actuales y futuros del dinámico panorama tecnológico.</w:t>
            </w:r>
          </w:p>
          <w:p w14:paraId="15A69119" w14:textId="38D4390A" w:rsidR="00382D54" w:rsidRPr="00382D54" w:rsidRDefault="00B405B1" w:rsidP="00B405B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La</w:t>
            </w:r>
            <w:r w:rsidR="000B1D29">
              <w:rPr>
                <w:lang w:val="es-ES_tradnl"/>
              </w:rPr>
              <w:t> </w:t>
            </w:r>
            <w:r w:rsidR="00382D54" w:rsidRPr="00382D54">
              <w:rPr>
                <w:lang w:val="es-ES_tradnl"/>
              </w:rPr>
              <w:t xml:space="preserve">BDT siguió dando a conocer los productos y servicios del UIT-D e impartió más de </w:t>
            </w:r>
            <w:r w:rsidR="00382D54" w:rsidRPr="00382D54">
              <w:rPr>
                <w:b/>
                <w:bCs/>
                <w:lang w:val="es-ES_tradnl"/>
              </w:rPr>
              <w:t>180</w:t>
            </w:r>
            <w:r w:rsidR="000B1D29">
              <w:rPr>
                <w:lang w:val="es-ES_tradnl"/>
              </w:rPr>
              <w:t> </w:t>
            </w:r>
            <w:r w:rsidR="00382D54" w:rsidRPr="00382D54">
              <w:rPr>
                <w:lang w:val="es-ES_tradnl"/>
              </w:rPr>
              <w:t xml:space="preserve">sesiones </w:t>
            </w:r>
            <w:r w:rsidR="00382D54" w:rsidRPr="00382D54">
              <w:rPr>
                <w:lang w:val="es-ES"/>
              </w:rPr>
              <w:t>informativas</w:t>
            </w:r>
            <w:r w:rsidR="00382D54" w:rsidRPr="00382D54">
              <w:rPr>
                <w:lang w:val="es-ES_tradnl"/>
              </w:rPr>
              <w:t xml:space="preserve"> a los miembros por conducto de reuniones físicas y virtuales y visitas de alto nivel, en cuyo marco se demostró un crecimiento sostenido de los miembros nuevos para 2025 y mayores niveles de retención de los miembros existentes.</w:t>
            </w:r>
          </w:p>
          <w:p w14:paraId="32193523" w14:textId="181CC8A7" w:rsidR="00382D54" w:rsidRPr="003B2D11" w:rsidRDefault="00382D54" w:rsidP="000B1D29">
            <w:pPr>
              <w:pStyle w:val="Tabletext"/>
              <w:keepNext/>
              <w:keepLines/>
              <w:rPr>
                <w:b/>
                <w:bCs/>
                <w:lang w:val="es-ES_tradnl"/>
              </w:rPr>
            </w:pPr>
            <w:r w:rsidRPr="003B2D11">
              <w:rPr>
                <w:b/>
                <w:bCs/>
                <w:lang w:val="es-ES_tradnl"/>
              </w:rPr>
              <w:t>Academia de la UIT</w:t>
            </w:r>
          </w:p>
          <w:p w14:paraId="0C185D61" w14:textId="6979D559" w:rsidR="00382D54" w:rsidRPr="00382D54" w:rsidRDefault="00B405B1" w:rsidP="00B405B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Entre mayo de 2024 y abril de 2025, la</w:t>
            </w:r>
            <w:r w:rsidR="00F47642">
              <w:rPr>
                <w:lang w:val="es-ES_tradnl"/>
              </w:rPr>
              <w:t> </w:t>
            </w:r>
            <w:r w:rsidR="00382D54" w:rsidRPr="00382D54">
              <w:rPr>
                <w:lang w:val="es-ES_tradnl"/>
              </w:rPr>
              <w:t>UIT dio la bienvenida a 19</w:t>
            </w:r>
            <w:r w:rsidR="000B1D29">
              <w:rPr>
                <w:lang w:val="es-ES_tradnl"/>
              </w:rPr>
              <w:t> </w:t>
            </w:r>
            <w:r w:rsidR="00382D54" w:rsidRPr="00382D54">
              <w:rPr>
                <w:lang w:val="es-ES_tradnl"/>
              </w:rPr>
              <w:t xml:space="preserve">instituciones académicas nuevas entre sus </w:t>
            </w:r>
            <w:r w:rsidR="00382D54" w:rsidRPr="00382D54">
              <w:rPr>
                <w:lang w:val="es-ES"/>
              </w:rPr>
              <w:t>miembros</w:t>
            </w:r>
            <w:r w:rsidR="00382D54" w:rsidRPr="00382D54">
              <w:rPr>
                <w:lang w:val="es-ES_tradnl"/>
              </w:rPr>
              <w:t xml:space="preserve"> y perdió a </w:t>
            </w:r>
            <w:r w:rsidR="00F47642">
              <w:rPr>
                <w:lang w:val="es-ES_tradnl"/>
              </w:rPr>
              <w:t>once</w:t>
            </w:r>
            <w:r w:rsidR="00382D54" w:rsidRPr="00382D54">
              <w:rPr>
                <w:lang w:val="es-ES_tradnl"/>
              </w:rPr>
              <w:t>. Los tres Sectores de la UIT siguen realizando esfuerzos concertados a fin de atraer a nuevas instituciones académicas y retener a las que ya forman parte de la organización.</w:t>
            </w:r>
          </w:p>
          <w:p w14:paraId="1DC307AA" w14:textId="42C79F3C" w:rsidR="00382D54" w:rsidRPr="00382D54" w:rsidRDefault="00B405B1" w:rsidP="00B405B1">
            <w:pPr>
              <w:pStyle w:val="Tabletext"/>
              <w:tabs>
                <w:tab w:val="clear" w:pos="284"/>
              </w:tabs>
              <w:ind w:left="567" w:hanging="567"/>
              <w:rPr>
                <w:lang w:val="es-ES_tradnl"/>
              </w:rPr>
            </w:pPr>
            <w:r w:rsidRPr="00860D32">
              <w:rPr>
                <w:lang w:val="es-ES"/>
              </w:rPr>
              <w:lastRenderedPageBreak/>
              <w:t>–</w:t>
            </w:r>
            <w:r>
              <w:rPr>
                <w:lang w:val="es-ES"/>
              </w:rPr>
              <w:tab/>
            </w:r>
            <w:r w:rsidR="00382D54" w:rsidRPr="00382D54">
              <w:rPr>
                <w:lang w:val="es-ES_tradnl"/>
              </w:rPr>
              <w:t>L</w:t>
            </w:r>
            <w:r w:rsidR="007C654B">
              <w:rPr>
                <w:lang w:val="es-ES_tradnl"/>
              </w:rPr>
              <w:t>o</w:t>
            </w:r>
            <w:r w:rsidR="00382D54" w:rsidRPr="00382D54">
              <w:rPr>
                <w:lang w:val="es-ES_tradnl"/>
              </w:rPr>
              <w:t xml:space="preserve">s </w:t>
            </w:r>
            <w:r w:rsidR="00382D54" w:rsidRPr="007C654B">
              <w:rPr>
                <w:lang w:val="es-ES_tradnl"/>
              </w:rPr>
              <w:t>ámbito</w:t>
            </w:r>
            <w:r w:rsidR="007C654B">
              <w:rPr>
                <w:lang w:val="es-ES_tradnl"/>
              </w:rPr>
              <w:t>s</w:t>
            </w:r>
            <w:r w:rsidR="00382D54" w:rsidRPr="00382D54">
              <w:rPr>
                <w:lang w:val="es-ES_tradnl"/>
              </w:rPr>
              <w:t xml:space="preserve"> que suscitan mayores niveles de interés y cooperación con el UIT-D son la Academia de la</w:t>
            </w:r>
            <w:r w:rsidR="00F47642">
              <w:rPr>
                <w:lang w:val="es-ES_tradnl"/>
              </w:rPr>
              <w:t> </w:t>
            </w:r>
            <w:r w:rsidR="00382D54" w:rsidRPr="00382D54">
              <w:rPr>
                <w:lang w:val="es-ES_tradnl"/>
              </w:rPr>
              <w:t>UIT, la capacitación, y la inclusión y la innovación digitales, para las que se están estudiando nuevas colaboraciones, además de la contribución a la investigación y las Comisiones de Estudio del UIT-D.</w:t>
            </w:r>
          </w:p>
          <w:p w14:paraId="5E09CBCA" w14:textId="71F19528" w:rsidR="00382D54" w:rsidRPr="00B405B1" w:rsidRDefault="00382D54" w:rsidP="000B1D29">
            <w:pPr>
              <w:pStyle w:val="Tabletext"/>
              <w:keepNext/>
              <w:keepLines/>
              <w:rPr>
                <w:b/>
                <w:bCs/>
                <w:lang w:val="es-ES_tradnl"/>
              </w:rPr>
            </w:pPr>
            <w:r w:rsidRPr="00B405B1">
              <w:rPr>
                <w:b/>
                <w:bCs/>
                <w:lang w:val="es-ES_tradnl"/>
              </w:rPr>
              <w:t>Comisiones de Estudio (CE) del UIT-D</w:t>
            </w:r>
          </w:p>
          <w:p w14:paraId="38DBE5B7" w14:textId="18A4D2B9" w:rsidR="00382D54" w:rsidRPr="00382D54" w:rsidRDefault="00382D54" w:rsidP="00B405B1">
            <w:pPr>
              <w:pStyle w:val="Tabletext"/>
              <w:rPr>
                <w:lang w:val="es-ES_tradnl"/>
              </w:rPr>
            </w:pPr>
            <w:r w:rsidRPr="00382D54">
              <w:rPr>
                <w:lang w:val="es-ES_tradnl"/>
              </w:rPr>
              <w:t xml:space="preserve">La </w:t>
            </w:r>
            <w:hyperlink r:id="rId103">
              <w:r w:rsidRPr="00382D54">
                <w:rPr>
                  <w:rStyle w:val="Hyperlink"/>
                  <w:lang w:val="es-ES_tradnl"/>
                </w:rPr>
                <w:t>tercera reunión anual de la Comisión de Estudio 1 del UIT-D (CE</w:t>
              </w:r>
              <w:r w:rsidR="00A65CB9">
                <w:rPr>
                  <w:rStyle w:val="Hyperlink"/>
                  <w:lang w:val="es-ES_tradnl"/>
                </w:rPr>
                <w:t> </w:t>
              </w:r>
              <w:r w:rsidRPr="00382D54">
                <w:rPr>
                  <w:rStyle w:val="Hyperlink"/>
                  <w:lang w:val="es-ES_tradnl"/>
                </w:rPr>
                <w:t>1</w:t>
              </w:r>
              <w:r w:rsidR="00A65CB9">
                <w:rPr>
                  <w:rStyle w:val="Hyperlink"/>
                  <w:lang w:val="es-ES_tradnl"/>
                </w:rPr>
                <w:t xml:space="preserve"> </w:t>
              </w:r>
              <w:r w:rsidR="00A65CB9" w:rsidRPr="00A65CB9">
                <w:rPr>
                  <w:rStyle w:val="Hyperlink"/>
                  <w:lang w:val="es-ES_tradnl"/>
                </w:rPr>
                <w:t>–</w:t>
              </w:r>
              <w:r w:rsidRPr="00382D54">
                <w:rPr>
                  <w:rStyle w:val="Hyperlink"/>
                  <w:lang w:val="es-ES_tradnl"/>
                </w:rPr>
                <w:t xml:space="preserve"> </w:t>
              </w:r>
              <w:r w:rsidRPr="00382D54">
                <w:rPr>
                  <w:rStyle w:val="Hyperlink"/>
                  <w:lang w:val="es-ES"/>
                </w:rPr>
                <w:t>Entorno propicio para la conectividad efectiva</w:t>
              </w:r>
            </w:hyperlink>
            <w:r w:rsidRPr="00382D54">
              <w:rPr>
                <w:lang w:val="es-ES_tradnl"/>
              </w:rPr>
              <w:t>) se celebró del 4 al 8 de noviembre de 2024, con 240 participantes (de los cuales, el 38 % fueron delegadas y el 53 % utilizaron la modalidad en línea) de 65 Estados Miembros. Se concedieron 15 becas a delegados para facilitar su participación presencial.</w:t>
            </w:r>
          </w:p>
          <w:p w14:paraId="67087572" w14:textId="06C313A5" w:rsidR="00382D54" w:rsidRPr="00382D54" w:rsidRDefault="00382D54" w:rsidP="00B405B1">
            <w:pPr>
              <w:pStyle w:val="Tabletext"/>
              <w:rPr>
                <w:lang w:val="es-ES_tradnl"/>
              </w:rPr>
            </w:pPr>
            <w:r w:rsidRPr="00382D54">
              <w:rPr>
                <w:lang w:val="es-ES_tradnl"/>
              </w:rPr>
              <w:t>En la reunión de la CE 1 del UIT-D de 2024 se examinaron un total de 185 contribuciones, entre las que figuraron los siete proyectos provisionales de informes de productos para el periodo de estudios, y se culminó con 1)</w:t>
            </w:r>
            <w:r w:rsidR="00675BFB">
              <w:rPr>
                <w:lang w:val="es-ES_tradnl"/>
              </w:rPr>
              <w:t> el</w:t>
            </w:r>
            <w:r w:rsidRPr="00382D54">
              <w:rPr>
                <w:lang w:val="es-ES_tradnl"/>
              </w:rPr>
              <w:t xml:space="preserve"> envío de nueve declaraciones de coordinación a colaboradores externos; 2) el nombramiento de dos Vicerrelatores; y 3) la aprobación de tres productos intermedios de la CE 1 del UIT</w:t>
            </w:r>
            <w:r w:rsidRPr="00382D54">
              <w:rPr>
                <w:lang w:val="es-ES_tradnl"/>
              </w:rPr>
              <w:noBreakHyphen/>
              <w:t>D, relativos a i) los retos y oportunidades en la utilización del</w:t>
            </w:r>
            <w:r w:rsidR="00675BFB">
              <w:rPr>
                <w:lang w:val="es-ES_tradnl"/>
              </w:rPr>
              <w:t> </w:t>
            </w:r>
            <w:r w:rsidRPr="00382D54">
              <w:rPr>
                <w:lang w:val="es-ES_tradnl"/>
              </w:rPr>
              <w:t>FSU para reducir la brecha digital (trabajo conjunto de las Cuestiones 4/1 y 5/1), ii)</w:t>
            </w:r>
            <w:r w:rsidR="00675BFB">
              <w:rPr>
                <w:lang w:val="es-ES_tradnl"/>
              </w:rPr>
              <w:t> </w:t>
            </w:r>
            <w:r w:rsidRPr="00382D54">
              <w:rPr>
                <w:lang w:val="es-ES_tradnl"/>
              </w:rPr>
              <w:t>la conectividad transformadora: tendencias en la innovación de satélites (trabajo conjunto de las Cuestiones 1/1, 3/1 y 5/1), y iii)</w:t>
            </w:r>
            <w:r w:rsidR="00675BFB">
              <w:rPr>
                <w:lang w:val="es-ES_tradnl"/>
              </w:rPr>
              <w:t> </w:t>
            </w:r>
            <w:r w:rsidRPr="00382D54">
              <w:rPr>
                <w:lang w:val="es-ES_tradnl"/>
              </w:rPr>
              <w:t>la sensibilización del consumidor en la era de la transformación digital (trabajo de la Cuestión 6/1). El último producto intermedio es principalmente resultado del taller sobre sensibilización del consumidor organizado en Brasilia por la Oficina Regional de la UIT para las Américas y ANATEL en junio de</w:t>
            </w:r>
            <w:r w:rsidR="000B1D29">
              <w:rPr>
                <w:lang w:val="es-ES_tradnl"/>
              </w:rPr>
              <w:t> </w:t>
            </w:r>
            <w:r w:rsidRPr="00382D54">
              <w:rPr>
                <w:lang w:val="es-ES_tradnl"/>
              </w:rPr>
              <w:t>2024.</w:t>
            </w:r>
          </w:p>
          <w:p w14:paraId="4A8E79B2" w14:textId="30B611B1" w:rsidR="00382D54" w:rsidRPr="00382D54" w:rsidRDefault="00382D54" w:rsidP="00B405B1">
            <w:pPr>
              <w:pStyle w:val="Tabletext"/>
              <w:rPr>
                <w:lang w:val="es-ES_tradnl"/>
              </w:rPr>
            </w:pPr>
            <w:r w:rsidRPr="00382D54">
              <w:rPr>
                <w:lang w:val="es-ES_tradnl"/>
              </w:rPr>
              <w:t>La Comisión de Estudio 1 del UIT</w:t>
            </w:r>
            <w:r w:rsidRPr="00382D54">
              <w:rPr>
                <w:lang w:val="es-ES_tradnl"/>
              </w:rPr>
              <w:noBreakHyphen/>
              <w:t>D comprende un total de 93 puestos directivos (</w:t>
            </w:r>
            <w:r w:rsidR="00675BFB" w:rsidRPr="00382D54">
              <w:rPr>
                <w:lang w:val="es-ES_tradnl"/>
              </w:rPr>
              <w:t>p</w:t>
            </w:r>
            <w:r w:rsidRPr="00382D54">
              <w:rPr>
                <w:lang w:val="es-ES_tradnl"/>
              </w:rPr>
              <w:t xml:space="preserve">residentes, </w:t>
            </w:r>
            <w:r w:rsidR="00675BFB" w:rsidRPr="00382D54">
              <w:rPr>
                <w:lang w:val="es-ES_tradnl"/>
              </w:rPr>
              <w:t>v</w:t>
            </w:r>
            <w:r w:rsidRPr="00382D54">
              <w:rPr>
                <w:lang w:val="es-ES_tradnl"/>
              </w:rPr>
              <w:t xml:space="preserve">icepresidentes y </w:t>
            </w:r>
            <w:r w:rsidR="00675BFB" w:rsidRPr="00382D54">
              <w:rPr>
                <w:lang w:val="es-ES_tradnl"/>
              </w:rPr>
              <w:t>c</w:t>
            </w:r>
            <w:r w:rsidRPr="00382D54">
              <w:rPr>
                <w:lang w:val="es-ES_tradnl"/>
              </w:rPr>
              <w:t xml:space="preserve">orrelatores, </w:t>
            </w:r>
            <w:r w:rsidR="00675BFB" w:rsidRPr="00382D54">
              <w:rPr>
                <w:lang w:val="es-ES_tradnl"/>
              </w:rPr>
              <w:t>v</w:t>
            </w:r>
            <w:r w:rsidRPr="00382D54">
              <w:rPr>
                <w:lang w:val="es-ES_tradnl"/>
              </w:rPr>
              <w:t>icerrelatores), de los cuales 37 (40 %) están ocupados por mujeres.</w:t>
            </w:r>
          </w:p>
          <w:p w14:paraId="56DF6EFD" w14:textId="56168FCC" w:rsidR="00382D54" w:rsidRPr="00382D54" w:rsidRDefault="00382D54" w:rsidP="00B405B1">
            <w:pPr>
              <w:pStyle w:val="Tabletext"/>
              <w:rPr>
                <w:lang w:val="es-ES_tradnl"/>
              </w:rPr>
            </w:pPr>
            <w:r w:rsidRPr="00382D54">
              <w:rPr>
                <w:lang w:val="es-ES_tradnl"/>
              </w:rPr>
              <w:t>A fin de seguir innovando y a petición de los Miembros, se organizaron dos sesiones de información sobre el fomento de la participación de los jóvenes y las mujeres en las actividades de la Comisión de Estudio y las tecnologías de banda ancha inalámbrica terrenal y casos de uso, respectivamente. Al formar parte de la sesión plenaria de apertura de la reunión de la</w:t>
            </w:r>
            <w:r w:rsidR="00616830">
              <w:rPr>
                <w:lang w:val="es-ES_tradnl"/>
              </w:rPr>
              <w:t> </w:t>
            </w:r>
            <w:r w:rsidRPr="00382D54">
              <w:rPr>
                <w:lang w:val="es-ES_tradnl"/>
              </w:rPr>
              <w:t xml:space="preserve">CE 1 del UIT-D, estas sesiones se beneficiaron de servicios de interpretación y subtitulado. Los </w:t>
            </w:r>
            <w:hyperlink r:id="rId104" w:history="1">
              <w:r w:rsidRPr="00382D54">
                <w:rPr>
                  <w:rStyle w:val="Hyperlink"/>
                  <w:lang w:val="es-ES_tradnl"/>
                </w:rPr>
                <w:t>miembros del equipo directivo de la CE 1</w:t>
              </w:r>
            </w:hyperlink>
            <w:r w:rsidRPr="00382D54">
              <w:rPr>
                <w:lang w:val="es-ES_tradnl"/>
              </w:rPr>
              <w:t xml:space="preserve"> prepararon esta tercera reunión anual y avanzaron en los trabajos relativos a los informes de productos de las Cuestiones y a los productos intermedios a través de las reuniones electrónicas a nivel de Cuestiones celebradas periódicamente desde el final de las reuniones de los Grupos de Relator de abril de 2024.</w:t>
            </w:r>
          </w:p>
          <w:p w14:paraId="54B1CB22" w14:textId="65403538" w:rsidR="00382D54" w:rsidRPr="00382D54" w:rsidRDefault="00382D54" w:rsidP="00B405B1">
            <w:pPr>
              <w:pStyle w:val="Tabletext"/>
              <w:rPr>
                <w:lang w:val="es-ES"/>
              </w:rPr>
            </w:pPr>
            <w:r w:rsidRPr="00382D54">
              <w:rPr>
                <w:lang w:val="es-ES_tradnl"/>
              </w:rPr>
              <w:t xml:space="preserve">La </w:t>
            </w:r>
            <w:hyperlink r:id="rId105" w:history="1">
              <w:r w:rsidRPr="00382D54">
                <w:rPr>
                  <w:rStyle w:val="Hyperlink"/>
                  <w:lang w:val="es-ES_tradnl"/>
                </w:rPr>
                <w:t>tercera reunión anual de la Comisión de Estudio 2 del UIT-D (CE 2)</w:t>
              </w:r>
            </w:hyperlink>
            <w:r w:rsidRPr="00382D54">
              <w:rPr>
                <w:lang w:val="es-ES_tradnl"/>
              </w:rPr>
              <w:t xml:space="preserve"> se celebró del 11 al 15 de noviembre de 2024, con 186 participantes de 54 Estados Miembros. Se concedieron 12 becas a delegados para facilitar su participación presencial. Los </w:t>
            </w:r>
            <w:hyperlink r:id="rId106" w:history="1">
              <w:r w:rsidRPr="00382D54">
                <w:rPr>
                  <w:rStyle w:val="Hyperlink"/>
                  <w:lang w:val="es-ES_tradnl"/>
                </w:rPr>
                <w:t>miembros del equipo directivo de la CE 2</w:t>
              </w:r>
            </w:hyperlink>
            <w:r w:rsidRPr="00382D54">
              <w:rPr>
                <w:lang w:val="es-ES_tradnl"/>
              </w:rPr>
              <w:t xml:space="preserve"> prepararon esta reunión y avanzaron en los trabajos relativos a los informes de productos de las Cuestiones y a los productos intermedios a través de las reuniones electrónicas a nivel de Cuestiones celebradas periódicamente desde el final de las reuniones de los Grupos de Relator de abril y mayo de 2024.</w:t>
            </w:r>
          </w:p>
          <w:p w14:paraId="43CAAE6B" w14:textId="5EE20BCA" w:rsidR="00382D54" w:rsidRPr="00382D54" w:rsidRDefault="00674F41" w:rsidP="00674F41">
            <w:pPr>
              <w:pStyle w:val="Tabletext"/>
              <w:tabs>
                <w:tab w:val="left" w:pos="5130"/>
              </w:tabs>
              <w:spacing w:after="120"/>
              <w:jc w:val="center"/>
              <w:rPr>
                <w:lang w:val="es-ES_tradnl"/>
              </w:rPr>
            </w:pPr>
            <w:r w:rsidRPr="00382D54">
              <w:rPr>
                <w:noProof/>
                <w:lang w:val="es-ES_tradnl"/>
              </w:rPr>
              <w:lastRenderedPageBreak/>
              <w:drawing>
                <wp:inline distT="0" distB="0" distL="0" distR="0" wp14:anchorId="20EB341A" wp14:editId="7A3A9C9D">
                  <wp:extent cx="2924810" cy="17602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924810" cy="1760220"/>
                          </a:xfrm>
                          <a:prstGeom prst="rect">
                            <a:avLst/>
                          </a:prstGeom>
                          <a:noFill/>
                        </pic:spPr>
                      </pic:pic>
                    </a:graphicData>
                  </a:graphic>
                </wp:inline>
              </w:drawing>
            </w:r>
            <w:r>
              <w:rPr>
                <w:lang w:val="es-ES_tradnl"/>
              </w:rPr>
              <w:tab/>
            </w:r>
            <w:r w:rsidRPr="00382D54">
              <w:rPr>
                <w:noProof/>
                <w:lang w:val="es-ES_tradnl"/>
              </w:rPr>
              <w:drawing>
                <wp:inline distT="0" distB="0" distL="0" distR="0" wp14:anchorId="1AC8FBAE" wp14:editId="3B6CFAE6">
                  <wp:extent cx="2893060" cy="17411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93060" cy="1741170"/>
                          </a:xfrm>
                          <a:prstGeom prst="rect">
                            <a:avLst/>
                          </a:prstGeom>
                          <a:noFill/>
                        </pic:spPr>
                      </pic:pic>
                    </a:graphicData>
                  </a:graphic>
                </wp:inline>
              </w:drawing>
            </w:r>
          </w:p>
          <w:p w14:paraId="20422D18" w14:textId="457690CE" w:rsidR="00382D54" w:rsidRPr="00382D54" w:rsidRDefault="00382D54" w:rsidP="00B405B1">
            <w:pPr>
              <w:pStyle w:val="Tabletext"/>
              <w:rPr>
                <w:lang w:val="es-ES_tradnl"/>
              </w:rPr>
            </w:pPr>
            <w:r w:rsidRPr="00382D54">
              <w:rPr>
                <w:lang w:val="es-ES_tradnl"/>
              </w:rPr>
              <w:t>En la reunión de la CE 2 del UIT</w:t>
            </w:r>
            <w:r w:rsidRPr="00382D54">
              <w:rPr>
                <w:lang w:val="es-ES_tradnl"/>
              </w:rPr>
              <w:noBreakHyphen/>
              <w:t>D de 2024 se debatieron 125 documentos para avanzar en los trabajos y se culminó con 1)</w:t>
            </w:r>
            <w:r w:rsidR="00675BFB">
              <w:rPr>
                <w:lang w:val="es-ES_tradnl"/>
              </w:rPr>
              <w:t> </w:t>
            </w:r>
            <w:r w:rsidRPr="00382D54">
              <w:rPr>
                <w:lang w:val="es-ES_tradnl"/>
              </w:rPr>
              <w:t>el envío de tres declaraciones de coordinación a sus colaboradores externos; 2)</w:t>
            </w:r>
            <w:r w:rsidR="00675BFB">
              <w:rPr>
                <w:lang w:val="es-ES_tradnl"/>
              </w:rPr>
              <w:t> </w:t>
            </w:r>
            <w:r w:rsidRPr="00382D54">
              <w:rPr>
                <w:lang w:val="es-ES_tradnl"/>
              </w:rPr>
              <w:t xml:space="preserve">el nombramiento de un </w:t>
            </w:r>
            <w:r w:rsidR="00675BFB" w:rsidRPr="00382D54">
              <w:rPr>
                <w:lang w:val="es-ES_tradnl"/>
              </w:rPr>
              <w:t>v</w:t>
            </w:r>
            <w:r w:rsidRPr="00382D54">
              <w:rPr>
                <w:lang w:val="es-ES_tradnl"/>
              </w:rPr>
              <w:t xml:space="preserve">icepresidente, un </w:t>
            </w:r>
            <w:r w:rsidR="00675BFB" w:rsidRPr="00382D54">
              <w:rPr>
                <w:lang w:val="es-ES_tradnl"/>
              </w:rPr>
              <w:t>c</w:t>
            </w:r>
            <w:r w:rsidRPr="00382D54">
              <w:rPr>
                <w:lang w:val="es-ES_tradnl"/>
              </w:rPr>
              <w:t xml:space="preserve">orrelator y seis </w:t>
            </w:r>
            <w:r w:rsidR="00675BFB" w:rsidRPr="00382D54">
              <w:rPr>
                <w:lang w:val="es-ES_tradnl"/>
              </w:rPr>
              <w:t>v</w:t>
            </w:r>
            <w:r w:rsidRPr="00382D54">
              <w:rPr>
                <w:lang w:val="es-ES_tradnl"/>
              </w:rPr>
              <w:t>icerrelatores; 3)</w:t>
            </w:r>
            <w:r w:rsidR="00675BFB">
              <w:rPr>
                <w:lang w:val="es-ES_tradnl"/>
              </w:rPr>
              <w:t> </w:t>
            </w:r>
            <w:r w:rsidRPr="00382D54">
              <w:rPr>
                <w:lang w:val="es-ES_tradnl"/>
              </w:rPr>
              <w:t>la aprobación del segundo producto intermedio de la CE 2 del UIT-D relacionado con los trabajos de la Cuestión 3/2 de la CE 2 del UIT</w:t>
            </w:r>
            <w:r w:rsidRPr="00382D54">
              <w:rPr>
                <w:lang w:val="es-ES_tradnl"/>
              </w:rPr>
              <w:noBreakHyphen/>
              <w:t>D sobre "Ciberseguridad</w:t>
            </w:r>
            <w:r w:rsidR="00675BFB">
              <w:rPr>
                <w:lang w:val="es-ES_tradnl"/>
              </w:rPr>
              <w:t> </w:t>
            </w:r>
            <w:r w:rsidRPr="00382D54">
              <w:rPr>
                <w:lang w:val="es-ES_tradnl"/>
              </w:rPr>
              <w:t>5G"; y 4)</w:t>
            </w:r>
            <w:r w:rsidR="00675BFB">
              <w:rPr>
                <w:lang w:val="es-ES_tradnl"/>
              </w:rPr>
              <w:t> </w:t>
            </w:r>
            <w:r w:rsidRPr="00382D54">
              <w:rPr>
                <w:lang w:val="es-ES_tradnl"/>
              </w:rPr>
              <w:t>el examen de siete proyectos provisionales de informes de productos para el periodo de estudios.</w:t>
            </w:r>
          </w:p>
          <w:p w14:paraId="25C8A6EB" w14:textId="6B4685B3" w:rsidR="00382D54" w:rsidRPr="00382D54" w:rsidRDefault="00382D54" w:rsidP="00B405B1">
            <w:pPr>
              <w:pStyle w:val="Tabletext"/>
              <w:rPr>
                <w:lang w:val="es-ES_tradnl"/>
              </w:rPr>
            </w:pPr>
            <w:r w:rsidRPr="00382D54">
              <w:rPr>
                <w:lang w:val="es-ES_tradnl"/>
              </w:rPr>
              <w:t>En ambas reuniones de las Comisiones de Estudio, se estudiaron propuestas de colaboración, incluido el compromiso con los jóvenes y las mujeres, las estadísticas y los indicadores relacionados, las sinergias con los proyectos de desarrollo de la UIT, otros sectores de la UIT y la CMSI.</w:t>
            </w:r>
          </w:p>
          <w:p w14:paraId="1DB85DDD" w14:textId="359724B4" w:rsidR="00382D54" w:rsidRPr="00674F41" w:rsidRDefault="00382D54" w:rsidP="00B405B1">
            <w:pPr>
              <w:pStyle w:val="Tabletext"/>
              <w:rPr>
                <w:b/>
                <w:bCs/>
                <w:lang w:val="es-ES_tradnl"/>
              </w:rPr>
            </w:pPr>
            <w:r w:rsidRPr="00674F41">
              <w:rPr>
                <w:b/>
                <w:bCs/>
                <w:lang w:val="es-ES_tradnl"/>
              </w:rPr>
              <w:t>Implementación y seguimiento de la CMSI</w:t>
            </w:r>
          </w:p>
          <w:p w14:paraId="44F5AE9E" w14:textId="2EFB1C24" w:rsidR="00382D54" w:rsidRPr="00382D54" w:rsidRDefault="00382D54" w:rsidP="00B405B1">
            <w:pPr>
              <w:pStyle w:val="Tabletext"/>
              <w:rPr>
                <w:lang w:val="es-ES_tradnl"/>
              </w:rPr>
            </w:pPr>
            <w:r w:rsidRPr="00382D54">
              <w:rPr>
                <w:lang w:val="es-ES_tradnl"/>
              </w:rPr>
              <w:t>En consonancia con los resultados de la CMDT-22, en particular la Resolución</w:t>
            </w:r>
            <w:r w:rsidR="005E67B2">
              <w:rPr>
                <w:lang w:val="es-ES_tradnl"/>
              </w:rPr>
              <w:t> </w:t>
            </w:r>
            <w:r w:rsidRPr="00382D54">
              <w:rPr>
                <w:lang w:val="es-ES_tradnl"/>
              </w:rPr>
              <w:t>30, todas las actividades de la</w:t>
            </w:r>
            <w:r w:rsidR="005E67B2">
              <w:rPr>
                <w:lang w:val="es-ES_tradnl"/>
              </w:rPr>
              <w:t> </w:t>
            </w:r>
            <w:r w:rsidRPr="00382D54">
              <w:rPr>
                <w:lang w:val="es-ES_tradnl"/>
              </w:rPr>
              <w:t>BDT contribuyen a la aplicación de los resultados de la</w:t>
            </w:r>
            <w:r w:rsidR="00675BFB">
              <w:rPr>
                <w:lang w:val="es-ES_tradnl"/>
              </w:rPr>
              <w:t> </w:t>
            </w:r>
            <w:r w:rsidRPr="00382D54">
              <w:rPr>
                <w:lang w:val="es-ES_tradnl"/>
              </w:rPr>
              <w:t>CMSI y la Agenda</w:t>
            </w:r>
            <w:r w:rsidR="00675BFB">
              <w:rPr>
                <w:lang w:val="es-ES_tradnl"/>
              </w:rPr>
              <w:t> </w:t>
            </w:r>
            <w:r w:rsidRPr="00382D54">
              <w:rPr>
                <w:lang w:val="es-ES_tradnl"/>
              </w:rPr>
              <w:t xml:space="preserve">2030 para el Desarrollo Sostenible. Esto incluye la ejecución de actividades periódicas en el marco </w:t>
            </w:r>
            <w:r w:rsidRPr="00675BFB">
              <w:rPr>
                <w:b/>
                <w:bCs/>
                <w:lang w:val="es-ES_tradnl"/>
              </w:rPr>
              <w:t>del</w:t>
            </w:r>
            <w:r w:rsidRPr="00382D54">
              <w:rPr>
                <w:b/>
                <w:bCs/>
                <w:lang w:val="es-ES_tradnl"/>
              </w:rPr>
              <w:t xml:space="preserve"> plan operacional, de los proyectos, de las iniciativas regionales, de las iniciativas especiales y de las Comisiones de Estudio del UIT</w:t>
            </w:r>
            <w:r w:rsidR="000B1D29">
              <w:rPr>
                <w:b/>
                <w:bCs/>
                <w:lang w:val="es-ES_tradnl"/>
              </w:rPr>
              <w:noBreakHyphen/>
            </w:r>
            <w:r w:rsidRPr="00382D54">
              <w:rPr>
                <w:b/>
                <w:bCs/>
                <w:lang w:val="es-ES_tradnl"/>
              </w:rPr>
              <w:t>D</w:t>
            </w:r>
            <w:r w:rsidRPr="00382D54">
              <w:rPr>
                <w:lang w:val="es-ES_tradnl"/>
              </w:rPr>
              <w:t>.</w:t>
            </w:r>
          </w:p>
          <w:p w14:paraId="2038BA3E" w14:textId="23C866E9" w:rsidR="00382D54" w:rsidRPr="00382D54" w:rsidRDefault="00382D54" w:rsidP="00B405B1">
            <w:pPr>
              <w:pStyle w:val="Tabletext"/>
              <w:rPr>
                <w:lang w:val="es-ES_tradnl"/>
              </w:rPr>
            </w:pPr>
            <w:r w:rsidRPr="00382D54">
              <w:rPr>
                <w:lang w:val="es-ES_tradnl"/>
              </w:rPr>
              <w:t>La</w:t>
            </w:r>
            <w:r w:rsidR="00675BFB">
              <w:rPr>
                <w:lang w:val="es-ES_tradnl"/>
              </w:rPr>
              <w:t> </w:t>
            </w:r>
            <w:r w:rsidRPr="00382D54">
              <w:rPr>
                <w:lang w:val="es-ES_tradnl"/>
              </w:rPr>
              <w:t>BDT sigue desempeñando el papel de facilitador principal de las Líneas de Acción C2 (infraestructura de las TIC), C6 (entorno propicio) y C4 (creación de capacidades) de la CMSI, al tiempo que contribuye significativamente a la Línea de Acción C5 (confianza en la utilización de las TIC) de la CMSI. Se organizó una serie de reuniones de facilitación con motivo del Evento de Alto Nivel de la CMSI+20, que se celebró del 27 al 31 de mayo de 2024 en Ginebra (Suiza). La BDT también sigue cofacilitando las Líneas de Acción C1, C3, C7, C9 y C11 de la</w:t>
            </w:r>
            <w:r w:rsidR="00675BFB">
              <w:rPr>
                <w:lang w:val="es-ES_tradnl"/>
              </w:rPr>
              <w:t> </w:t>
            </w:r>
            <w:r w:rsidRPr="00382D54">
              <w:rPr>
                <w:lang w:val="es-ES_tradnl"/>
              </w:rPr>
              <w:t>CMSI, contribuyendo periódicamente a todas las reuniones pertinentes y presentando informes en la materia</w:t>
            </w:r>
            <w:r w:rsidR="00E7494F">
              <w:rPr>
                <w:lang w:val="es-ES_tradnl"/>
              </w:rPr>
              <w:t>.</w:t>
            </w:r>
          </w:p>
          <w:p w14:paraId="3B4DA401" w14:textId="79E05B89" w:rsidR="00382D54" w:rsidRPr="00382D54" w:rsidRDefault="00382D54" w:rsidP="005F4E06">
            <w:pPr>
              <w:pStyle w:val="Tabletext"/>
              <w:rPr>
                <w:lang w:val="es-ES_tradnl"/>
              </w:rPr>
            </w:pPr>
            <w:r w:rsidRPr="00382D54">
              <w:rPr>
                <w:lang w:val="es-ES_tradnl"/>
              </w:rPr>
              <w:t xml:space="preserve">Además, la UIT siguió siendo miembro activo de la Asociación para la Medición de las TIC para el Desarrollo y de su Comisión de Dirección, junto con la UNCTAD y el DAES. El número de miembros de la Asociación ha aumentado y, actualmente, suma 14 organizaciones. Esta última ha estado supervisando el desarrollo de las TIC en todo el mundo, haciendo un seguimiento de los avances en favor de los objetivos de la CMSI y creando conciencia sobre la importancia de las TIC para el desarrollo. La </w:t>
            </w:r>
            <w:r w:rsidRPr="00382D54">
              <w:rPr>
                <w:lang w:val="es-ES_tradnl"/>
              </w:rPr>
              <w:lastRenderedPageBreak/>
              <w:t>Asociación participa activamente en el seguimiento de los</w:t>
            </w:r>
            <w:r w:rsidR="00CA3944">
              <w:rPr>
                <w:lang w:val="es-ES_tradnl"/>
              </w:rPr>
              <w:t> </w:t>
            </w:r>
            <w:r w:rsidRPr="00382D54">
              <w:rPr>
                <w:lang w:val="es-ES_tradnl"/>
              </w:rPr>
              <w:t>ODS, los cuales incluyen varias metas relacionadas con las TIC y la tecnología. En el marco global de los indicadores de los ODS, de los 231 indicadores registrados, siete guardan relación con las TIC, incluidas seis metas vinculadas a los Objetivos 4, 5, 9 y 17. La UIT custodia cinco de los siete indicadores (para más información sobre la contribución de la UIT a la Asociación, véase la sección sobre Medición).</w:t>
            </w:r>
          </w:p>
          <w:p w14:paraId="2C999F25" w14:textId="2F2490AE" w:rsidR="00382D54" w:rsidRPr="00382D54" w:rsidRDefault="00382D54" w:rsidP="00B405B1">
            <w:pPr>
              <w:pStyle w:val="Tabletext"/>
              <w:rPr>
                <w:lang w:val="es-ES_tradnl"/>
              </w:rPr>
            </w:pPr>
            <w:r w:rsidRPr="00382D54">
              <w:rPr>
                <w:lang w:val="es-ES_tradnl"/>
              </w:rPr>
              <w:t>En todas las regiones, los Foros Regionales de Desarrollo (FRD) atrajeron y siguen atrayendo a representantes del sistema de las Naciones Unidas, incluidas sus Comisiones Regionales, a quienes incumbe el seguimiento de la aplicación de la CMSI a escala regional. Entre febrero y abril de 2025, se organizaron seis FRD con ocasión de las Reuniones Preparatorias Regionales</w:t>
            </w:r>
            <w:r w:rsidR="00776A3D">
              <w:rPr>
                <w:lang w:val="es-ES_tradnl"/>
              </w:rPr>
              <w:t xml:space="preserve"> (RPR)</w:t>
            </w:r>
            <w:r w:rsidRPr="00382D54">
              <w:rPr>
                <w:lang w:val="es-ES_tradnl"/>
              </w:rPr>
              <w:t xml:space="preserve"> de la</w:t>
            </w:r>
            <w:r w:rsidR="006553E8">
              <w:rPr>
                <w:lang w:val="es-ES_tradnl"/>
              </w:rPr>
              <w:t> </w:t>
            </w:r>
            <w:r w:rsidRPr="00382D54">
              <w:rPr>
                <w:lang w:val="es-ES_tradnl"/>
              </w:rPr>
              <w:t xml:space="preserve">UIT para la CMDT-25. Con objeto de facilitar los debates regionales, la BDT preparó seis informes sobre el estado del desarrollo digital y las tendencias conexas, con un énfasis especial en los retos y oportunidades para las regiones de la UIT. Un documento informativo sobre la CMSI+20, la Agenda 2030 y el Pacto para el </w:t>
            </w:r>
            <w:r w:rsidR="00776A3D" w:rsidRPr="00382D54">
              <w:rPr>
                <w:lang w:val="es-ES_tradnl"/>
              </w:rPr>
              <w:t>f</w:t>
            </w:r>
            <w:r w:rsidRPr="00382D54">
              <w:rPr>
                <w:lang w:val="es-ES_tradnl"/>
              </w:rPr>
              <w:t>uturo brindó la oportunidad de realizar un nuevo llamamiento a la participación.</w:t>
            </w:r>
          </w:p>
          <w:p w14:paraId="1C7B0DAF" w14:textId="265DA810" w:rsidR="00382D54" w:rsidRPr="00382D54" w:rsidRDefault="00382D54" w:rsidP="00B405B1">
            <w:pPr>
              <w:pStyle w:val="Tabletext"/>
              <w:rPr>
                <w:lang w:val="es-ES_tradnl"/>
              </w:rPr>
            </w:pPr>
            <w:r w:rsidRPr="00382D54">
              <w:rPr>
                <w:lang w:val="es-ES_tradnl"/>
              </w:rPr>
              <w:t>Las Oficinas Regionales de la UIT también contribuyen proactivamente a la serie de Foros Regionales de las Naciones Unidas sobre el Desarrollo Sostenible, dirigidos por las Comisiones Económicas de las Naciones Unidas. La UIT participa regularmente en las revisiones regionales de los ODS, sin dejar de abogar por el papel instrumental de la tecnología digital en el ámbito del desarrollo sostenible, así como de destacar los vínculos entre las Líneas de Acción de la CMSI y los ODS. Además, en calidad de miembro del Sistema de las Naciones Unidas para el Desarrollo, las Oficinas Regionales de la UIT siguen dirigiendo coaliciones temáticas regionales centradas en la tecnología digital, proporcionando plataformas para la coordinación de iniciativas, creando sinergias y, en muchos casos, propiciando el desarrollo de proyectos multiinstitucionales.</w:t>
            </w:r>
          </w:p>
          <w:p w14:paraId="37C8B1BD" w14:textId="77777777" w:rsidR="00382D54" w:rsidRPr="00674F41" w:rsidRDefault="00382D54" w:rsidP="00B405B1">
            <w:pPr>
              <w:pStyle w:val="Tabletext"/>
              <w:rPr>
                <w:b/>
                <w:bCs/>
                <w:lang w:val="es-ES_tradnl"/>
              </w:rPr>
            </w:pPr>
            <w:r w:rsidRPr="00674F41">
              <w:rPr>
                <w:b/>
                <w:bCs/>
                <w:lang w:val="es-ES_tradnl"/>
              </w:rPr>
              <w:t>Coalición Partner 2 Connect</w:t>
            </w:r>
          </w:p>
          <w:p w14:paraId="29577E39" w14:textId="72054494" w:rsidR="00382D54" w:rsidRPr="00382D54" w:rsidRDefault="00382D54" w:rsidP="00B405B1">
            <w:pPr>
              <w:pStyle w:val="Tabletext"/>
              <w:rPr>
                <w:lang w:val="es-ES_tradnl"/>
              </w:rPr>
            </w:pPr>
            <w:bookmarkStart w:id="21" w:name="OLE_LINK1"/>
            <w:r w:rsidRPr="00382D54">
              <w:rPr>
                <w:lang w:val="es-ES_tradnl"/>
              </w:rPr>
              <w:t>En 2021, la UIT puso en marcha la coalición Partner 2 Connect (P2C) en estrecha colaboración con la Oficina del Enviado del Secretario General para la Tecnología y la Oficina del Alto Representante de las Naciones Unidas para los países menos adelantados, los países en desarrollo sin litoral y los pequeños Estados insulares en desarrollo (OARPPP).</w:t>
            </w:r>
          </w:p>
          <w:p w14:paraId="1C920D07" w14:textId="7A3EB778" w:rsidR="00382D54" w:rsidRPr="00382D54" w:rsidRDefault="003B2D11" w:rsidP="00674F4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 xml:space="preserve">Hasta el 22 de noviembre de 2024, la P2C había recibido </w:t>
            </w:r>
            <w:r w:rsidR="00382D54" w:rsidRPr="00382D54">
              <w:rPr>
                <w:b/>
                <w:bCs/>
                <w:lang w:val="es-ES_tradnl"/>
              </w:rPr>
              <w:t xml:space="preserve">950 promesas </w:t>
            </w:r>
            <w:r w:rsidR="00382D54" w:rsidRPr="00382D54">
              <w:rPr>
                <w:b/>
                <w:lang w:val="es-ES_tradnl"/>
              </w:rPr>
              <w:t xml:space="preserve">por valor de más de </w:t>
            </w:r>
            <w:r w:rsidR="00382D54" w:rsidRPr="00382D54">
              <w:rPr>
                <w:b/>
                <w:bCs/>
                <w:lang w:val="es-ES_tradnl"/>
              </w:rPr>
              <w:t>53 970 millones USD, realizadas por 465 entidades</w:t>
            </w:r>
            <w:r w:rsidR="00382D54" w:rsidRPr="00382D54">
              <w:rPr>
                <w:lang w:val="es-ES_tradnl"/>
              </w:rPr>
              <w:t xml:space="preserve">, entre ellas, gobiernos, empresas del sector privado, organismos de las Naciones Unidas y otras organizaciones internacionales o regionales (incluidos bancos </w:t>
            </w:r>
            <w:r w:rsidR="00382D54" w:rsidRPr="00382D54">
              <w:rPr>
                <w:lang w:val="es-ES"/>
              </w:rPr>
              <w:t>multilaterales</w:t>
            </w:r>
            <w:r w:rsidR="00382D54" w:rsidRPr="00382D54">
              <w:rPr>
                <w:lang w:val="es-ES_tradnl"/>
              </w:rPr>
              <w:t xml:space="preserve"> de desarrollo), la sociedad civil, instituciones académicas y grupos de jóvenes. Los autores de estas promesas proceden de</w:t>
            </w:r>
            <w:r w:rsidR="00382D54" w:rsidRPr="00382D54">
              <w:rPr>
                <w:b/>
                <w:bCs/>
                <w:lang w:val="es-ES_tradnl"/>
              </w:rPr>
              <w:t xml:space="preserve"> 147 países</w:t>
            </w:r>
            <w:r w:rsidR="00382D54" w:rsidRPr="00382D54">
              <w:rPr>
                <w:lang w:val="es-ES_tradnl"/>
              </w:rPr>
              <w:t>. En el Mobile World Congress se anunciaron promesas relacionadas con infraestructuras por valor de 9 000 millones USD, centradas en ciertos grupos de países:</w:t>
            </w:r>
          </w:p>
          <w:p w14:paraId="2A0A817D" w14:textId="6A962B79" w:rsidR="00382D54" w:rsidRPr="00382D54" w:rsidRDefault="003B2D11" w:rsidP="003B2D11">
            <w:pPr>
              <w:pStyle w:val="Tabletext"/>
              <w:tabs>
                <w:tab w:val="clear" w:pos="284"/>
                <w:tab w:val="clear" w:pos="851"/>
              </w:tabs>
              <w:ind w:left="1134" w:hanging="567"/>
              <w:rPr>
                <w:lang w:val="es-ES_tradnl"/>
              </w:rPr>
            </w:pPr>
            <w:r w:rsidRPr="00736B66">
              <w:rPr>
                <w:lang w:val="es-ES_tradnl"/>
              </w:rPr>
              <w:t>•</w:t>
            </w:r>
            <w:r w:rsidRPr="00736B66">
              <w:rPr>
                <w:lang w:val="es-ES_tradnl"/>
              </w:rPr>
              <w:tab/>
            </w:r>
            <w:r w:rsidR="00382D54" w:rsidRPr="00382D54">
              <w:rPr>
                <w:lang w:val="es-ES_tradnl"/>
              </w:rPr>
              <w:t xml:space="preserve">grupo de </w:t>
            </w:r>
            <w:r w:rsidR="00920F43">
              <w:rPr>
                <w:lang w:val="es-ES_tradnl"/>
              </w:rPr>
              <w:t>PMA</w:t>
            </w:r>
            <w:r w:rsidR="00382D54" w:rsidRPr="00382D54">
              <w:rPr>
                <w:lang w:val="es-ES_tradnl"/>
              </w:rPr>
              <w:t xml:space="preserve"> (se recibieron 298</w:t>
            </w:r>
            <w:r w:rsidR="004711CF">
              <w:rPr>
                <w:lang w:val="es-ES_tradnl"/>
              </w:rPr>
              <w:t> </w:t>
            </w:r>
            <w:r w:rsidR="00382D54" w:rsidRPr="00382D54">
              <w:rPr>
                <w:lang w:val="es-ES_tradnl"/>
              </w:rPr>
              <w:t>promesas por un valor estimado en 19</w:t>
            </w:r>
            <w:r w:rsidR="004711CF">
              <w:rPr>
                <w:lang w:val="es-ES_tradnl"/>
              </w:rPr>
              <w:t> </w:t>
            </w:r>
            <w:r w:rsidR="00382D54" w:rsidRPr="00382D54">
              <w:rPr>
                <w:lang w:val="es-ES_tradnl"/>
              </w:rPr>
              <w:t>070</w:t>
            </w:r>
            <w:r w:rsidR="004711CF">
              <w:rPr>
                <w:lang w:val="es-ES_tradnl"/>
              </w:rPr>
              <w:t> </w:t>
            </w:r>
            <w:r w:rsidR="00382D54" w:rsidRPr="00382D54">
              <w:rPr>
                <w:lang w:val="es-ES_tradnl"/>
              </w:rPr>
              <w:t>millones</w:t>
            </w:r>
            <w:r w:rsidR="000B1D29">
              <w:rPr>
                <w:lang w:val="es-ES_tradnl"/>
              </w:rPr>
              <w:t> </w:t>
            </w:r>
            <w:r w:rsidR="00382D54" w:rsidRPr="00382D54">
              <w:rPr>
                <w:lang w:val="es-ES_tradnl"/>
              </w:rPr>
              <w:t>USD de 160</w:t>
            </w:r>
            <w:r w:rsidR="004711CF">
              <w:rPr>
                <w:lang w:val="es-ES_tradnl"/>
              </w:rPr>
              <w:t> </w:t>
            </w:r>
            <w:r w:rsidR="00382D54" w:rsidRPr="003B2D11">
              <w:rPr>
                <w:lang w:val="es-ES"/>
              </w:rPr>
              <w:t>entidades</w:t>
            </w:r>
            <w:r w:rsidR="00382D54" w:rsidRPr="00382D54">
              <w:rPr>
                <w:lang w:val="es-ES_tradnl"/>
              </w:rPr>
              <w:t xml:space="preserve"> y 76</w:t>
            </w:r>
            <w:r w:rsidR="004711CF">
              <w:rPr>
                <w:lang w:val="es-ES_tradnl"/>
              </w:rPr>
              <w:t> </w:t>
            </w:r>
            <w:r w:rsidR="00382D54" w:rsidRPr="00382D54">
              <w:rPr>
                <w:lang w:val="es-ES_tradnl"/>
              </w:rPr>
              <w:t>países);</w:t>
            </w:r>
          </w:p>
          <w:p w14:paraId="701657DF" w14:textId="7E0F3E5E"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B2D11">
              <w:rPr>
                <w:lang w:val="es-ES"/>
              </w:rPr>
              <w:t>grupo</w:t>
            </w:r>
            <w:r w:rsidR="00382D54" w:rsidRPr="00382D54">
              <w:rPr>
                <w:lang w:val="es-ES_tradnl"/>
              </w:rPr>
              <w:t xml:space="preserve"> de </w:t>
            </w:r>
            <w:r w:rsidR="00920F43">
              <w:rPr>
                <w:lang w:val="es-ES_tradnl"/>
              </w:rPr>
              <w:t>PEID</w:t>
            </w:r>
            <w:r w:rsidR="00382D54" w:rsidRPr="00382D54">
              <w:rPr>
                <w:lang w:val="es-ES_tradnl"/>
              </w:rPr>
              <w:t xml:space="preserve"> (se recibieron 142</w:t>
            </w:r>
            <w:r w:rsidR="004711CF">
              <w:rPr>
                <w:lang w:val="es-ES_tradnl"/>
              </w:rPr>
              <w:t> </w:t>
            </w:r>
            <w:r w:rsidR="00382D54" w:rsidRPr="00382D54">
              <w:rPr>
                <w:lang w:val="es-ES_tradnl"/>
              </w:rPr>
              <w:t>promesas por un valor estimado en 25</w:t>
            </w:r>
            <w:r w:rsidR="004711CF">
              <w:rPr>
                <w:lang w:val="es-ES_tradnl"/>
              </w:rPr>
              <w:t> </w:t>
            </w:r>
            <w:r w:rsidR="00382D54" w:rsidRPr="00382D54">
              <w:rPr>
                <w:lang w:val="es-ES_tradnl"/>
              </w:rPr>
              <w:t>540</w:t>
            </w:r>
            <w:r w:rsidR="004711CF">
              <w:rPr>
                <w:lang w:val="es-ES_tradnl"/>
              </w:rPr>
              <w:t> </w:t>
            </w:r>
            <w:r w:rsidR="00382D54" w:rsidRPr="00382D54">
              <w:rPr>
                <w:lang w:val="es-ES_tradnl"/>
              </w:rPr>
              <w:t>millones</w:t>
            </w:r>
            <w:r w:rsidR="000B1D29">
              <w:rPr>
                <w:lang w:val="es-ES_tradnl"/>
              </w:rPr>
              <w:t> </w:t>
            </w:r>
            <w:r w:rsidR="00382D54" w:rsidRPr="00382D54">
              <w:rPr>
                <w:lang w:val="es-ES_tradnl"/>
              </w:rPr>
              <w:t>USD de 93</w:t>
            </w:r>
            <w:r w:rsidR="004711CF">
              <w:rPr>
                <w:lang w:val="es-ES_tradnl"/>
              </w:rPr>
              <w:t> </w:t>
            </w:r>
            <w:r w:rsidR="00382D54" w:rsidRPr="00382D54">
              <w:rPr>
                <w:lang w:val="es-ES_tradnl"/>
              </w:rPr>
              <w:t>entidades y 48</w:t>
            </w:r>
            <w:r w:rsidR="004711CF">
              <w:rPr>
                <w:lang w:val="es-ES_tradnl"/>
              </w:rPr>
              <w:t> </w:t>
            </w:r>
            <w:r w:rsidR="00382D54" w:rsidRPr="00382D54">
              <w:rPr>
                <w:lang w:val="es-ES_tradnl"/>
              </w:rPr>
              <w:t>países); y</w:t>
            </w:r>
          </w:p>
          <w:p w14:paraId="24360072" w14:textId="62BC3D94"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B2D11">
              <w:rPr>
                <w:lang w:val="es-ES"/>
              </w:rPr>
              <w:t>grupo</w:t>
            </w:r>
            <w:r w:rsidR="00382D54" w:rsidRPr="00382D54">
              <w:rPr>
                <w:lang w:val="es-ES_tradnl"/>
              </w:rPr>
              <w:t xml:space="preserve"> </w:t>
            </w:r>
            <w:r w:rsidR="00382D54" w:rsidRPr="003B2D11">
              <w:rPr>
                <w:lang w:val="es-ES"/>
              </w:rPr>
              <w:t>de</w:t>
            </w:r>
            <w:r w:rsidR="00382D54" w:rsidRPr="00382D54">
              <w:rPr>
                <w:lang w:val="es-ES_tradnl"/>
              </w:rPr>
              <w:t xml:space="preserve"> </w:t>
            </w:r>
            <w:r w:rsidR="00920F43">
              <w:rPr>
                <w:lang w:val="es-ES_tradnl"/>
              </w:rPr>
              <w:t>PDSL</w:t>
            </w:r>
            <w:r w:rsidR="00382D54" w:rsidRPr="00382D54">
              <w:rPr>
                <w:lang w:val="es-ES_tradnl"/>
              </w:rPr>
              <w:t xml:space="preserve"> (se recibieron 248</w:t>
            </w:r>
            <w:r w:rsidR="004711CF">
              <w:rPr>
                <w:lang w:val="es-ES_tradnl"/>
              </w:rPr>
              <w:t> </w:t>
            </w:r>
            <w:r w:rsidR="00382D54" w:rsidRPr="00382D54">
              <w:rPr>
                <w:lang w:val="es-ES_tradnl"/>
              </w:rPr>
              <w:t>promesas de un valor estimado en 19</w:t>
            </w:r>
            <w:r w:rsidR="004711CF">
              <w:rPr>
                <w:lang w:val="es-ES_tradnl"/>
              </w:rPr>
              <w:t> </w:t>
            </w:r>
            <w:r w:rsidR="00382D54" w:rsidRPr="00382D54">
              <w:rPr>
                <w:lang w:val="es-ES_tradnl"/>
              </w:rPr>
              <w:t>540</w:t>
            </w:r>
            <w:r w:rsidR="004711CF">
              <w:rPr>
                <w:lang w:val="es-ES_tradnl"/>
              </w:rPr>
              <w:t> </w:t>
            </w:r>
            <w:r w:rsidR="00382D54" w:rsidRPr="00382D54">
              <w:rPr>
                <w:lang w:val="es-ES_tradnl"/>
              </w:rPr>
              <w:t>millones</w:t>
            </w:r>
            <w:r w:rsidR="004711CF">
              <w:rPr>
                <w:lang w:val="es-ES_tradnl"/>
              </w:rPr>
              <w:t> </w:t>
            </w:r>
            <w:r w:rsidR="00382D54" w:rsidRPr="00382D54">
              <w:rPr>
                <w:lang w:val="es-ES_tradnl"/>
              </w:rPr>
              <w:t>USD de 161</w:t>
            </w:r>
            <w:r w:rsidR="004711CF">
              <w:rPr>
                <w:lang w:val="es-ES_tradnl"/>
              </w:rPr>
              <w:t> </w:t>
            </w:r>
            <w:r w:rsidR="00382D54" w:rsidRPr="00382D54">
              <w:rPr>
                <w:lang w:val="es-ES_tradnl"/>
              </w:rPr>
              <w:t>entidades y 75</w:t>
            </w:r>
            <w:r w:rsidR="004711CF">
              <w:rPr>
                <w:lang w:val="es-ES_tradnl"/>
              </w:rPr>
              <w:t> </w:t>
            </w:r>
            <w:r w:rsidR="00382D54" w:rsidRPr="00382D54">
              <w:rPr>
                <w:lang w:val="es-ES_tradnl"/>
              </w:rPr>
              <w:t>países).</w:t>
            </w:r>
          </w:p>
          <w:p w14:paraId="46BBE7C3" w14:textId="3305010C" w:rsidR="00382D54" w:rsidRPr="00382D54" w:rsidRDefault="003B2D11" w:rsidP="00674F41">
            <w:pPr>
              <w:pStyle w:val="Tabletext"/>
              <w:tabs>
                <w:tab w:val="clear" w:pos="284"/>
              </w:tabs>
              <w:ind w:left="567" w:hanging="567"/>
              <w:rPr>
                <w:lang w:val="es-ES_tradnl"/>
              </w:rPr>
            </w:pPr>
            <w:r w:rsidRPr="00860D32">
              <w:rPr>
                <w:lang w:val="es-ES"/>
              </w:rPr>
              <w:lastRenderedPageBreak/>
              <w:t>–</w:t>
            </w:r>
            <w:r>
              <w:rPr>
                <w:lang w:val="es-ES"/>
              </w:rPr>
              <w:tab/>
            </w:r>
            <w:r w:rsidR="00382D54" w:rsidRPr="00382D54">
              <w:rPr>
                <w:lang w:val="es-ES"/>
              </w:rPr>
              <w:t>Asimismo</w:t>
            </w:r>
            <w:r w:rsidR="00382D54" w:rsidRPr="00382D54">
              <w:rPr>
                <w:lang w:val="es-ES_tradnl"/>
              </w:rPr>
              <w:t xml:space="preserve">, se organizaron varias mesas redondas nacionales para el establecimiento de contactos en el marco de la P2C, como las celebradas para Camboya, Mongolia (el 2 de octubre de 2024 en </w:t>
            </w:r>
            <w:r w:rsidR="00043727" w:rsidRPr="00043727">
              <w:rPr>
                <w:lang w:val="es-ES_tradnl"/>
              </w:rPr>
              <w:t>Ulán Bator</w:t>
            </w:r>
            <w:r w:rsidR="00382D54" w:rsidRPr="00382D54">
              <w:rPr>
                <w:lang w:val="es-ES_tradnl"/>
              </w:rPr>
              <w:t>), y China (el 8 de noviembre de</w:t>
            </w:r>
            <w:r w:rsidR="004711CF">
              <w:rPr>
                <w:lang w:val="es-ES_tradnl"/>
              </w:rPr>
              <w:t> </w:t>
            </w:r>
            <w:r w:rsidR="00382D54" w:rsidRPr="00382D54">
              <w:rPr>
                <w:lang w:val="es-ES_tradnl"/>
              </w:rPr>
              <w:t>2024).</w:t>
            </w:r>
          </w:p>
          <w:p w14:paraId="31B6EF38" w14:textId="5F28C956" w:rsidR="00382D54" w:rsidRPr="00382D54" w:rsidRDefault="003B2D11" w:rsidP="00674F4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El 6 de diciembre de</w:t>
            </w:r>
            <w:r w:rsidR="006553E8">
              <w:rPr>
                <w:lang w:val="es-ES_tradnl"/>
              </w:rPr>
              <w:t> </w:t>
            </w:r>
            <w:r w:rsidR="00382D54" w:rsidRPr="00382D54">
              <w:rPr>
                <w:lang w:val="es-ES_tradnl"/>
              </w:rPr>
              <w:t xml:space="preserve">2024, en colaboración con la Unión de Telecomunicaciones del Caribe (CTU), la UIT acogió un evento virtual de aceleración de contactos en el marco de la P2C para los miembros de la CTU en el </w:t>
            </w:r>
            <w:r w:rsidR="00382D54" w:rsidRPr="00382D54">
              <w:rPr>
                <w:lang w:val="es-ES"/>
              </w:rPr>
              <w:t>Caribe</w:t>
            </w:r>
            <w:r w:rsidR="00382D54" w:rsidRPr="00382D54">
              <w:rPr>
                <w:lang w:val="es-ES_tradnl"/>
              </w:rPr>
              <w:t>. Más de 15</w:t>
            </w:r>
            <w:r w:rsidR="004711CF">
              <w:rPr>
                <w:lang w:val="es-ES_tradnl"/>
              </w:rPr>
              <w:t> </w:t>
            </w:r>
            <w:r w:rsidR="00382D54" w:rsidRPr="00382D54">
              <w:rPr>
                <w:lang w:val="es-ES_tradnl"/>
              </w:rPr>
              <w:t>representantes de Estados Miembros de la CTU y 18</w:t>
            </w:r>
            <w:r w:rsidR="004711CF">
              <w:rPr>
                <w:lang w:val="es-ES_tradnl"/>
              </w:rPr>
              <w:t> </w:t>
            </w:r>
            <w:r w:rsidR="00382D54" w:rsidRPr="00382D54">
              <w:rPr>
                <w:lang w:val="es-ES_tradnl"/>
              </w:rPr>
              <w:t>posibles operadores, inversores y otros autores de promesas se reunieron por primera vez con el objetivo de impulsar iniciativas de transformación digital en los países del Caribe.</w:t>
            </w:r>
          </w:p>
          <w:p w14:paraId="520406D8" w14:textId="40CF8EC2" w:rsidR="00382D54" w:rsidRPr="00382D54" w:rsidRDefault="003B2D11" w:rsidP="00674F4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El 30 de enero de</w:t>
            </w:r>
            <w:r w:rsidR="006553E8">
              <w:rPr>
                <w:lang w:val="es-ES_tradnl"/>
              </w:rPr>
              <w:t> </w:t>
            </w:r>
            <w:r w:rsidR="00382D54" w:rsidRPr="00382D54">
              <w:rPr>
                <w:lang w:val="es-ES_tradnl"/>
              </w:rPr>
              <w:t xml:space="preserve">2025, se organizó la reunión anual de la P2C de 2024 en la </w:t>
            </w:r>
            <w:r w:rsidR="006553E8" w:rsidRPr="00382D54">
              <w:rPr>
                <w:lang w:val="es-ES_tradnl"/>
              </w:rPr>
              <w:t xml:space="preserve">Sede </w:t>
            </w:r>
            <w:r w:rsidR="00382D54" w:rsidRPr="00382D54">
              <w:rPr>
                <w:lang w:val="es-ES_tradnl"/>
              </w:rPr>
              <w:t>de la UIT, en Ginebra (Suiza). En este contexto se presentó el informe anual de</w:t>
            </w:r>
            <w:r w:rsidR="006553E8">
              <w:rPr>
                <w:lang w:val="es-ES_tradnl"/>
              </w:rPr>
              <w:t> </w:t>
            </w:r>
            <w:r w:rsidR="00382D54" w:rsidRPr="00382D54">
              <w:rPr>
                <w:lang w:val="es-ES_tradnl"/>
              </w:rPr>
              <w:t xml:space="preserve">2024 de la iniciativa, disponible en este </w:t>
            </w:r>
            <w:hyperlink r:id="rId109" w:history="1">
              <w:r w:rsidR="00382D54" w:rsidRPr="00382D54">
                <w:rPr>
                  <w:rStyle w:val="Hyperlink"/>
                  <w:lang w:val="es-ES_tradnl"/>
                </w:rPr>
                <w:t>enlace</w:t>
              </w:r>
            </w:hyperlink>
            <w:r w:rsidR="00382D54" w:rsidRPr="00382D54">
              <w:rPr>
                <w:lang w:val="es-ES_tradnl"/>
              </w:rPr>
              <w:t>.</w:t>
            </w:r>
          </w:p>
          <w:p w14:paraId="7F875B97" w14:textId="578EDFF6" w:rsidR="00382D54" w:rsidRPr="00382D54" w:rsidRDefault="003B2D11" w:rsidP="00674F4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La coalición digital P2C participó en el Mobile World Congress de 2025 (MWC25), que se celebró del 3 al 6 de marzo de</w:t>
            </w:r>
            <w:r w:rsidR="000B1D29">
              <w:rPr>
                <w:lang w:val="es-ES_tradnl"/>
              </w:rPr>
              <w:t> </w:t>
            </w:r>
            <w:r w:rsidR="00382D54" w:rsidRPr="00382D54">
              <w:rPr>
                <w:lang w:val="es-ES_tradnl"/>
              </w:rPr>
              <w:t>2025 en Barcelona. Este Congreso brindó una oportunidad única para anunciar las nuevas promesas relacionadas con infraestructuras de la P2C en favor de la conectividad universal y efectiva. En este contexto se alcanzó la cifra histórica de 73</w:t>
            </w:r>
            <w:r w:rsidR="004711CF">
              <w:rPr>
                <w:lang w:val="es-ES_tradnl"/>
              </w:rPr>
              <w:t> </w:t>
            </w:r>
            <w:r w:rsidR="00382D54" w:rsidRPr="00382D54">
              <w:rPr>
                <w:lang w:val="es-ES_tradnl"/>
              </w:rPr>
              <w:t>000 millones</w:t>
            </w:r>
            <w:r w:rsidR="004711CF">
              <w:rPr>
                <w:lang w:val="es-ES_tradnl"/>
              </w:rPr>
              <w:t> </w:t>
            </w:r>
            <w:r w:rsidR="00382D54" w:rsidRPr="00382D54">
              <w:rPr>
                <w:lang w:val="es-ES_tradnl"/>
              </w:rPr>
              <w:t>USD en promesas.</w:t>
            </w:r>
          </w:p>
          <w:p w14:paraId="06D1A8DE" w14:textId="3A054D9D" w:rsidR="00382D54" w:rsidRPr="00382D54" w:rsidRDefault="003B2D11" w:rsidP="00674F41">
            <w:pPr>
              <w:pStyle w:val="Tabletext"/>
              <w:tabs>
                <w:tab w:val="clear" w:pos="284"/>
              </w:tabs>
              <w:ind w:left="567" w:hanging="567"/>
              <w:rPr>
                <w:lang w:val="es-ES_tradnl"/>
              </w:rPr>
            </w:pPr>
            <w:r w:rsidRPr="00860D32">
              <w:rPr>
                <w:lang w:val="es-ES"/>
              </w:rPr>
              <w:t>–</w:t>
            </w:r>
            <w:r>
              <w:rPr>
                <w:lang w:val="es-ES"/>
              </w:rPr>
              <w:tab/>
            </w:r>
            <w:r w:rsidR="00382D54" w:rsidRPr="00382D54">
              <w:rPr>
                <w:lang w:val="es-ES_tradnl"/>
              </w:rPr>
              <w:t xml:space="preserve">Cada Reunión Preparatoria Regional fue precedida de un </w:t>
            </w:r>
            <w:hyperlink r:id="rId110" w:history="1">
              <w:r w:rsidR="00382D54" w:rsidRPr="00382D54">
                <w:rPr>
                  <w:rStyle w:val="Hyperlink"/>
                  <w:lang w:val="es-ES_tradnl"/>
                </w:rPr>
                <w:t>FRD</w:t>
              </w:r>
            </w:hyperlink>
            <w:r w:rsidR="00382D54" w:rsidRPr="00382D54">
              <w:rPr>
                <w:lang w:val="es-ES_tradnl"/>
              </w:rPr>
              <w:t xml:space="preserve">. Por su parte, la BDT ya ha organizado las </w:t>
            </w:r>
            <w:r w:rsidR="00382D54" w:rsidRPr="00382D54">
              <w:rPr>
                <w:lang w:val="es-ES"/>
              </w:rPr>
              <w:t>siguientes</w:t>
            </w:r>
            <w:r w:rsidR="00382D54" w:rsidRPr="00382D54">
              <w:rPr>
                <w:lang w:val="es-ES_tradnl"/>
              </w:rPr>
              <w:t xml:space="preserve"> mesas redondas para el establecimiento de contactos en el marco de la P2C:</w:t>
            </w:r>
          </w:p>
          <w:p w14:paraId="34480D9D" w14:textId="7C6B4364"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82D54">
              <w:rPr>
                <w:lang w:val="es-ES"/>
              </w:rPr>
              <w:t>para</w:t>
            </w:r>
            <w:r w:rsidR="00382D54" w:rsidRPr="00382D54">
              <w:rPr>
                <w:lang w:val="es-ES_tradnl"/>
              </w:rPr>
              <w:t xml:space="preserve"> los Estados Árabes (FRD/mesa redonda para el establecimiento de contactos de la P2C), el </w:t>
            </w:r>
            <w:r w:rsidR="00382D54" w:rsidRPr="00382D54">
              <w:rPr>
                <w:b/>
                <w:bCs/>
                <w:lang w:val="es-ES_tradnl"/>
              </w:rPr>
              <w:t>3 de febrero de</w:t>
            </w:r>
            <w:r w:rsidR="000B1D29">
              <w:rPr>
                <w:b/>
                <w:bCs/>
                <w:lang w:val="es-ES_tradnl"/>
              </w:rPr>
              <w:t> </w:t>
            </w:r>
            <w:r w:rsidR="00382D54" w:rsidRPr="00382D54">
              <w:rPr>
                <w:b/>
                <w:bCs/>
                <w:lang w:val="es-ES_tradnl"/>
              </w:rPr>
              <w:t>2025 en Ammán (Jordania)</w:t>
            </w:r>
            <w:r w:rsidR="00382D54" w:rsidRPr="00382D54">
              <w:rPr>
                <w:lang w:val="es-ES_tradnl"/>
              </w:rPr>
              <w:t>;</w:t>
            </w:r>
          </w:p>
          <w:p w14:paraId="4B3F0605" w14:textId="3FF1B880"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82D54">
              <w:rPr>
                <w:lang w:val="es-ES_tradnl"/>
              </w:rPr>
              <w:t>para Europa (FRD/mesa redonda para el establecimiento de contactos de la P2C</w:t>
            </w:r>
            <w:r w:rsidR="00382D54" w:rsidRPr="00382D54">
              <w:rPr>
                <w:lang w:val="es-ES"/>
              </w:rPr>
              <w:t xml:space="preserve"> </w:t>
            </w:r>
            <w:r w:rsidR="00382D54" w:rsidRPr="00382D54">
              <w:rPr>
                <w:lang w:val="es-ES_tradnl"/>
              </w:rPr>
              <w:t xml:space="preserve">sobre el fomento de las asociaciones para el desarrollo), el </w:t>
            </w:r>
            <w:r w:rsidR="00382D54" w:rsidRPr="00382D54">
              <w:rPr>
                <w:b/>
                <w:bCs/>
                <w:lang w:val="es-ES_tradnl"/>
              </w:rPr>
              <w:t>24 de febrero de 2025 en Budapest (Hungría)</w:t>
            </w:r>
            <w:r w:rsidR="00382D54" w:rsidRPr="00382D54">
              <w:rPr>
                <w:lang w:val="es-ES_tradnl"/>
              </w:rPr>
              <w:t>;</w:t>
            </w:r>
          </w:p>
          <w:p w14:paraId="4BD6BA51" w14:textId="54C76D97"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82D54">
              <w:rPr>
                <w:lang w:val="es-ES_tradnl"/>
              </w:rPr>
              <w:t>para Asia</w:t>
            </w:r>
            <w:r w:rsidR="00CE0197">
              <w:rPr>
                <w:lang w:val="es-ES_tradnl"/>
              </w:rPr>
              <w:noBreakHyphen/>
            </w:r>
            <w:r w:rsidR="00382D54" w:rsidRPr="00382D54">
              <w:rPr>
                <w:lang w:val="es-ES_tradnl"/>
              </w:rPr>
              <w:t xml:space="preserve">Pacífico (FRD/mesa redonda para el establecimiento de contactos de la P2C), el </w:t>
            </w:r>
            <w:r w:rsidR="00382D54" w:rsidRPr="00382D54">
              <w:rPr>
                <w:b/>
                <w:bCs/>
                <w:lang w:val="es-ES_tradnl"/>
              </w:rPr>
              <w:t>19 de marzo de</w:t>
            </w:r>
            <w:r w:rsidR="000B1D29">
              <w:rPr>
                <w:b/>
                <w:bCs/>
                <w:lang w:val="es-ES_tradnl"/>
              </w:rPr>
              <w:t> </w:t>
            </w:r>
            <w:r w:rsidR="00382D54" w:rsidRPr="00382D54">
              <w:rPr>
                <w:b/>
                <w:bCs/>
                <w:lang w:val="es-ES_tradnl"/>
              </w:rPr>
              <w:t>2025 en Bangkok (Tailandia)</w:t>
            </w:r>
            <w:r w:rsidR="00382D54" w:rsidRPr="00382D54">
              <w:rPr>
                <w:lang w:val="es-ES_tradnl"/>
              </w:rPr>
              <w:t>;</w:t>
            </w:r>
          </w:p>
          <w:p w14:paraId="07B6A0BA" w14:textId="26E4CE6B"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82D54">
              <w:rPr>
                <w:lang w:val="es-ES_tradnl"/>
              </w:rPr>
              <w:t xml:space="preserve">para </w:t>
            </w:r>
            <w:r w:rsidR="00382D54" w:rsidRPr="00382D54">
              <w:rPr>
                <w:lang w:val="es-ES"/>
              </w:rPr>
              <w:t>las</w:t>
            </w:r>
            <w:r w:rsidR="00382D54" w:rsidRPr="00382D54">
              <w:rPr>
                <w:lang w:val="es-ES_tradnl"/>
              </w:rPr>
              <w:t xml:space="preserve"> Américas (FRD/mesa redonda para el establecimiento de contactos de la P2C), el </w:t>
            </w:r>
            <w:r w:rsidR="00382D54" w:rsidRPr="00382D54">
              <w:rPr>
                <w:b/>
                <w:bCs/>
                <w:lang w:val="es-ES_tradnl"/>
              </w:rPr>
              <w:t>31 de marzo de 2025 en Asunción (Paraguay)</w:t>
            </w:r>
            <w:r w:rsidR="00382D54" w:rsidRPr="00382D54">
              <w:rPr>
                <w:lang w:val="es-ES_tradnl"/>
              </w:rPr>
              <w:t>;</w:t>
            </w:r>
          </w:p>
          <w:p w14:paraId="0440B73F" w14:textId="32CFB45E" w:rsidR="00382D54" w:rsidRPr="00382D54" w:rsidRDefault="003B2D11" w:rsidP="003B2D11">
            <w:pPr>
              <w:pStyle w:val="Tabletext"/>
              <w:tabs>
                <w:tab w:val="clear" w:pos="851"/>
              </w:tabs>
              <w:ind w:left="1134" w:hanging="567"/>
              <w:rPr>
                <w:lang w:val="es-ES_tradnl"/>
              </w:rPr>
            </w:pPr>
            <w:r w:rsidRPr="00736B66">
              <w:rPr>
                <w:lang w:val="es-ES_tradnl"/>
              </w:rPr>
              <w:t>•</w:t>
            </w:r>
            <w:r w:rsidRPr="00736B66">
              <w:rPr>
                <w:lang w:val="es-ES_tradnl"/>
              </w:rPr>
              <w:tab/>
            </w:r>
            <w:r w:rsidR="00382D54" w:rsidRPr="00382D54">
              <w:rPr>
                <w:lang w:val="es-ES_tradnl"/>
              </w:rPr>
              <w:t xml:space="preserve">para África (FRD/mesa redonda para el establecimiento de contactos de la P2C), el </w:t>
            </w:r>
            <w:r w:rsidR="00382D54" w:rsidRPr="00382D54">
              <w:rPr>
                <w:b/>
                <w:bCs/>
                <w:lang w:val="es-ES_tradnl"/>
              </w:rPr>
              <w:t>7 de abril de 2025 en Nairobi (Kenya)</w:t>
            </w:r>
            <w:r w:rsidR="00382D54" w:rsidRPr="00382D54">
              <w:rPr>
                <w:lang w:val="es-ES_tradnl"/>
              </w:rPr>
              <w:t>;</w:t>
            </w:r>
          </w:p>
          <w:p w14:paraId="41C29DCA" w14:textId="2EB40C6F" w:rsidR="00382D54" w:rsidRPr="00382D54" w:rsidRDefault="003B2D11" w:rsidP="003B2D11">
            <w:pPr>
              <w:pStyle w:val="Tabletext"/>
              <w:tabs>
                <w:tab w:val="clear" w:pos="851"/>
              </w:tabs>
              <w:ind w:left="1134" w:hanging="567"/>
              <w:rPr>
                <w:b/>
                <w:lang w:val="es-ES_tradnl"/>
              </w:rPr>
            </w:pPr>
            <w:r w:rsidRPr="00736B66">
              <w:rPr>
                <w:lang w:val="es-ES_tradnl"/>
              </w:rPr>
              <w:t>•</w:t>
            </w:r>
            <w:r w:rsidRPr="00736B66">
              <w:rPr>
                <w:lang w:val="es-ES_tradnl"/>
              </w:rPr>
              <w:tab/>
            </w:r>
            <w:r w:rsidR="00382D54" w:rsidRPr="00382D54">
              <w:rPr>
                <w:lang w:val="es-ES_tradnl"/>
              </w:rPr>
              <w:t xml:space="preserve">para la CEI (FRD/mesa redonda para el establecimiento de contactos de la P2C), el </w:t>
            </w:r>
            <w:r w:rsidR="00382D54" w:rsidRPr="00382D54">
              <w:rPr>
                <w:b/>
                <w:bCs/>
                <w:lang w:val="es-ES_tradnl"/>
              </w:rPr>
              <w:t>23 de abril de 2025 en Bishkek (Kirguistán)</w:t>
            </w:r>
            <w:r w:rsidR="00382D54" w:rsidRPr="00382D54">
              <w:rPr>
                <w:lang w:val="es-ES_tradnl"/>
              </w:rPr>
              <w:t>.</w:t>
            </w:r>
            <w:bookmarkEnd w:id="21"/>
          </w:p>
        </w:tc>
        <w:tc>
          <w:tcPr>
            <w:tcW w:w="2999" w:type="dxa"/>
          </w:tcPr>
          <w:p w14:paraId="622C272C" w14:textId="072A2903" w:rsidR="00382D54" w:rsidRPr="00382D54" w:rsidRDefault="004C3ECC" w:rsidP="008B4FB2">
            <w:pPr>
              <w:pStyle w:val="Tabletext"/>
              <w:ind w:left="284" w:hanging="284"/>
              <w:rPr>
                <w:lang w:val="es-ES_tradnl"/>
              </w:rPr>
            </w:pPr>
            <w:r w:rsidRPr="004C3ECC">
              <w:rPr>
                <w:lang w:val="es-ES_tradnl"/>
              </w:rPr>
              <w:lastRenderedPageBreak/>
              <w:t>–</w:t>
            </w:r>
            <w:r w:rsidR="003B2D11" w:rsidRPr="00736B66">
              <w:rPr>
                <w:lang w:val="es-ES_tradnl"/>
              </w:rPr>
              <w:tab/>
            </w:r>
            <w:r w:rsidR="00382D54" w:rsidRPr="00382D54">
              <w:rPr>
                <w:lang w:val="es-ES_tradnl"/>
              </w:rPr>
              <w:t>De mayo de 2024 a abril de</w:t>
            </w:r>
            <w:r w:rsidR="008B4FB2">
              <w:rPr>
                <w:lang w:val="es-ES_tradnl"/>
              </w:rPr>
              <w:t> </w:t>
            </w:r>
            <w:r w:rsidR="00382D54" w:rsidRPr="00382D54">
              <w:rPr>
                <w:lang w:val="es-ES_tradnl"/>
              </w:rPr>
              <w:t>2025: se han unido 40</w:t>
            </w:r>
            <w:r w:rsidR="008B4FB2">
              <w:rPr>
                <w:lang w:val="es-ES_tradnl"/>
              </w:rPr>
              <w:t> </w:t>
            </w:r>
            <w:r w:rsidR="00382D54" w:rsidRPr="00382D54">
              <w:rPr>
                <w:lang w:val="es-ES_tradnl"/>
              </w:rPr>
              <w:t>miembros nuevos, incluidas instituciones académicas</w:t>
            </w:r>
            <w:r w:rsidR="00CB0CFE">
              <w:rPr>
                <w:lang w:val="es-ES_tradnl"/>
              </w:rPr>
              <w:t>.</w:t>
            </w:r>
          </w:p>
          <w:p w14:paraId="1BDF6C29" w14:textId="407EF06C" w:rsidR="00382D54" w:rsidRPr="00382D54" w:rsidRDefault="00382D54" w:rsidP="00736B66">
            <w:pPr>
              <w:pStyle w:val="Tabletext"/>
              <w:rPr>
                <w:b/>
                <w:bCs/>
                <w:color w:val="0070C0"/>
                <w:lang w:val="es-ES_tradnl"/>
              </w:rPr>
            </w:pPr>
            <w:r w:rsidRPr="00382D54">
              <w:rPr>
                <w:b/>
                <w:bCs/>
                <w:color w:val="0070C0"/>
                <w:lang w:val="es-ES_tradnl"/>
              </w:rPr>
              <w:t>Comisiones de Estudio</w:t>
            </w:r>
          </w:p>
          <w:p w14:paraId="654529DF" w14:textId="42422F8E"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 xml:space="preserve">Se aprobaron </w:t>
            </w:r>
            <w:r w:rsidR="00CB0CFE">
              <w:rPr>
                <w:lang w:val="es-ES_tradnl"/>
              </w:rPr>
              <w:t>tres</w:t>
            </w:r>
            <w:r w:rsidR="00382D54" w:rsidRPr="00382D54">
              <w:rPr>
                <w:lang w:val="es-ES_tradnl"/>
              </w:rPr>
              <w:t xml:space="preserve"> productos intermedios en la reunión de la CE</w:t>
            </w:r>
            <w:r w:rsidR="008B4FB2">
              <w:rPr>
                <w:lang w:val="es-ES_tradnl"/>
              </w:rPr>
              <w:t> </w:t>
            </w:r>
            <w:r w:rsidR="00382D54" w:rsidRPr="00382D54">
              <w:rPr>
                <w:lang w:val="es-ES_tradnl"/>
              </w:rPr>
              <w:t>1 del</w:t>
            </w:r>
            <w:r w:rsidR="00CB0CFE">
              <w:rPr>
                <w:lang w:val="es-ES_tradnl"/>
              </w:rPr>
              <w:t> </w:t>
            </w:r>
            <w:r w:rsidR="00382D54" w:rsidRPr="00382D54">
              <w:rPr>
                <w:lang w:val="es-ES_tradnl"/>
              </w:rPr>
              <w:t>UIT-D</w:t>
            </w:r>
            <w:r w:rsidR="00CB0CFE">
              <w:rPr>
                <w:lang w:val="es-ES_tradnl"/>
              </w:rPr>
              <w:t>.</w:t>
            </w:r>
          </w:p>
          <w:p w14:paraId="29644D12" w14:textId="0190A809"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Se debatieron 185</w:t>
            </w:r>
            <w:r w:rsidR="008B4FB2">
              <w:rPr>
                <w:lang w:val="es-ES_tradnl"/>
              </w:rPr>
              <w:t> </w:t>
            </w:r>
            <w:r w:rsidR="00382D54" w:rsidRPr="00382D54">
              <w:rPr>
                <w:lang w:val="es-ES_tradnl"/>
              </w:rPr>
              <w:t>documentos en la reunión de la CE</w:t>
            </w:r>
            <w:r w:rsidR="008B4FB2">
              <w:rPr>
                <w:lang w:val="es-ES_tradnl"/>
              </w:rPr>
              <w:t> </w:t>
            </w:r>
            <w:r w:rsidR="00382D54" w:rsidRPr="00382D54">
              <w:rPr>
                <w:lang w:val="es-ES_tradnl"/>
              </w:rPr>
              <w:t>1 del</w:t>
            </w:r>
            <w:r w:rsidR="00CB0CFE">
              <w:rPr>
                <w:lang w:val="es-ES_tradnl"/>
              </w:rPr>
              <w:t> </w:t>
            </w:r>
            <w:r w:rsidR="00382D54" w:rsidRPr="00382D54">
              <w:rPr>
                <w:lang w:val="es-ES_tradnl"/>
              </w:rPr>
              <w:t>UIT</w:t>
            </w:r>
            <w:r w:rsidR="00CB0CFE">
              <w:rPr>
                <w:lang w:val="es-ES_tradnl"/>
              </w:rPr>
              <w:noBreakHyphen/>
            </w:r>
            <w:r w:rsidR="00382D54" w:rsidRPr="00382D54">
              <w:rPr>
                <w:lang w:val="es-ES_tradnl"/>
              </w:rPr>
              <w:t>D</w:t>
            </w:r>
            <w:r w:rsidR="00CB0CFE">
              <w:rPr>
                <w:lang w:val="es-ES_tradnl"/>
              </w:rPr>
              <w:t>.</w:t>
            </w:r>
          </w:p>
          <w:p w14:paraId="07ED6516" w14:textId="3E1176F5"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 xml:space="preserve">Se aprobó </w:t>
            </w:r>
            <w:r w:rsidR="00CB0CFE">
              <w:rPr>
                <w:lang w:val="es-ES_tradnl"/>
              </w:rPr>
              <w:t>un</w:t>
            </w:r>
            <w:r w:rsidR="00382D54" w:rsidRPr="00382D54">
              <w:rPr>
                <w:lang w:val="es-ES_tradnl"/>
              </w:rPr>
              <w:t xml:space="preserve"> producto intermedio en la reunión de la CE</w:t>
            </w:r>
            <w:r w:rsidR="000B1D29">
              <w:rPr>
                <w:lang w:val="es-ES_tradnl"/>
              </w:rPr>
              <w:t> </w:t>
            </w:r>
            <w:r w:rsidR="00382D54" w:rsidRPr="00382D54">
              <w:rPr>
                <w:lang w:val="es-ES_tradnl"/>
              </w:rPr>
              <w:t>2 del UIT-D</w:t>
            </w:r>
            <w:r w:rsidR="00CB0CFE">
              <w:rPr>
                <w:lang w:val="es-ES_tradnl"/>
              </w:rPr>
              <w:t>.</w:t>
            </w:r>
          </w:p>
          <w:p w14:paraId="7B7C9719" w14:textId="61ED08F9"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Se debatieron 125</w:t>
            </w:r>
            <w:r w:rsidR="000B1D29">
              <w:rPr>
                <w:lang w:val="es-ES_tradnl"/>
              </w:rPr>
              <w:t> </w:t>
            </w:r>
            <w:r w:rsidR="00382D54" w:rsidRPr="00382D54">
              <w:rPr>
                <w:lang w:val="es-ES_tradnl"/>
              </w:rPr>
              <w:t>documentos en la reunión de la CE</w:t>
            </w:r>
            <w:r w:rsidR="000B1D29">
              <w:rPr>
                <w:lang w:val="es-ES_tradnl"/>
              </w:rPr>
              <w:t> </w:t>
            </w:r>
            <w:r w:rsidR="00382D54" w:rsidRPr="00382D54">
              <w:rPr>
                <w:lang w:val="es-ES_tradnl"/>
              </w:rPr>
              <w:t>2 del</w:t>
            </w:r>
            <w:r w:rsidR="000B1D29">
              <w:rPr>
                <w:lang w:val="es-ES_tradnl"/>
              </w:rPr>
              <w:t> </w:t>
            </w:r>
            <w:r w:rsidR="00382D54" w:rsidRPr="00382D54">
              <w:rPr>
                <w:lang w:val="es-ES_tradnl"/>
              </w:rPr>
              <w:t>UIT</w:t>
            </w:r>
            <w:r w:rsidR="000B1D29">
              <w:rPr>
                <w:lang w:val="es-ES_tradnl"/>
              </w:rPr>
              <w:noBreakHyphen/>
            </w:r>
            <w:r w:rsidR="00382D54" w:rsidRPr="00382D54">
              <w:rPr>
                <w:lang w:val="es-ES_tradnl"/>
              </w:rPr>
              <w:t>D</w:t>
            </w:r>
            <w:r w:rsidR="00CB0CFE">
              <w:rPr>
                <w:lang w:val="es-ES_tradnl"/>
              </w:rPr>
              <w:t>.</w:t>
            </w:r>
          </w:p>
        </w:tc>
      </w:tr>
      <w:tr w:rsidR="00006A94" w:rsidRPr="002F5AC1" w14:paraId="5A8E0574" w14:textId="77777777" w:rsidTr="00E07C78">
        <w:trPr>
          <w:jc w:val="center"/>
        </w:trPr>
        <w:tc>
          <w:tcPr>
            <w:tcW w:w="4111" w:type="dxa"/>
          </w:tcPr>
          <w:p w14:paraId="06F70722" w14:textId="77777777" w:rsidR="00382D54" w:rsidRPr="00382D54" w:rsidRDefault="00382D54" w:rsidP="00976FF4">
            <w:pPr>
              <w:pStyle w:val="Tabletext"/>
              <w:keepNext/>
              <w:keepLines/>
              <w:rPr>
                <w:b/>
                <w:bCs/>
                <w:lang w:val="es-ES_tradnl"/>
              </w:rPr>
            </w:pPr>
            <w:r w:rsidRPr="00382D54">
              <w:rPr>
                <w:b/>
                <w:bCs/>
                <w:lang w:val="es-ES_tradnl"/>
              </w:rPr>
              <w:lastRenderedPageBreak/>
              <w:t>Contribución a las metas de los ODS</w:t>
            </w:r>
          </w:p>
        </w:tc>
        <w:tc>
          <w:tcPr>
            <w:tcW w:w="10445" w:type="dxa"/>
            <w:gridSpan w:val="2"/>
          </w:tcPr>
          <w:p w14:paraId="4DD95C39" w14:textId="77777777" w:rsidR="00382D54" w:rsidRPr="00382D54" w:rsidRDefault="00382D54" w:rsidP="00976FF4">
            <w:pPr>
              <w:pStyle w:val="Tabletext"/>
              <w:keepNext/>
              <w:keepLines/>
              <w:rPr>
                <w:lang w:val="es-ES_tradnl"/>
              </w:rPr>
            </w:pPr>
            <w:r w:rsidRPr="00382D54">
              <w:rPr>
                <w:lang w:val="es-ES_tradnl"/>
              </w:rPr>
              <w:t>ODS 1, 3, 4, 5, 8, 9, 10, 11, 16 y 17</w:t>
            </w:r>
          </w:p>
          <w:p w14:paraId="26B3CB61" w14:textId="116F7215" w:rsidR="00382D54" w:rsidRPr="00382D54" w:rsidRDefault="00382D54" w:rsidP="00976FF4">
            <w:pPr>
              <w:pStyle w:val="Tabletext"/>
              <w:keepNext/>
              <w:keepLines/>
              <w:rPr>
                <w:lang w:val="es-ES_tradnl"/>
              </w:rPr>
            </w:pPr>
            <w:r w:rsidRPr="00382D54">
              <w:rPr>
                <w:lang w:val="es-ES"/>
              </w:rPr>
              <w:t xml:space="preserve">Contribución a las metas de los OSD y a las Líneas de Acción de la CMSI: véase la </w:t>
            </w:r>
            <w:hyperlink r:id="rId111" w:history="1">
              <w:r w:rsidRPr="00382D54">
                <w:rPr>
                  <w:rStyle w:val="Hyperlink"/>
                  <w:lang w:val="es-ES"/>
                </w:rPr>
                <w:t>correspondencia aquí</w:t>
              </w:r>
            </w:hyperlink>
          </w:p>
        </w:tc>
      </w:tr>
      <w:tr w:rsidR="00006A94" w:rsidRPr="00382D54" w14:paraId="402FD889" w14:textId="77777777" w:rsidTr="00E07C78">
        <w:trPr>
          <w:jc w:val="center"/>
        </w:trPr>
        <w:tc>
          <w:tcPr>
            <w:tcW w:w="4111" w:type="dxa"/>
          </w:tcPr>
          <w:p w14:paraId="15741C58" w14:textId="77777777" w:rsidR="00382D54" w:rsidRPr="00382D54" w:rsidRDefault="00382D54" w:rsidP="00976FF4">
            <w:pPr>
              <w:pStyle w:val="Tabletext"/>
              <w:keepNext/>
              <w:keepLines/>
              <w:rPr>
                <w:b/>
                <w:bCs/>
                <w:lang w:val="es-ES_tradnl"/>
              </w:rPr>
            </w:pPr>
            <w:r w:rsidRPr="00382D54">
              <w:rPr>
                <w:b/>
                <w:bCs/>
                <w:lang w:val="es-ES_tradnl"/>
              </w:rPr>
              <w:t>Líneas de Acción de la CMSI</w:t>
            </w:r>
          </w:p>
        </w:tc>
        <w:tc>
          <w:tcPr>
            <w:tcW w:w="10445" w:type="dxa"/>
            <w:gridSpan w:val="2"/>
          </w:tcPr>
          <w:p w14:paraId="22701059" w14:textId="77777777" w:rsidR="00382D54" w:rsidRPr="00382D54" w:rsidRDefault="00382D54" w:rsidP="00976FF4">
            <w:pPr>
              <w:pStyle w:val="Tabletext"/>
              <w:keepNext/>
              <w:keepLines/>
              <w:rPr>
                <w:lang w:val="es-ES_tradnl"/>
              </w:rPr>
            </w:pPr>
            <w:r w:rsidRPr="00382D54">
              <w:rPr>
                <w:lang w:val="es-ES_tradnl"/>
              </w:rPr>
              <w:t>C1, C2, C3, C4, C5, C6, C7 y C11</w:t>
            </w:r>
          </w:p>
        </w:tc>
      </w:tr>
      <w:tr w:rsidR="00006A94" w:rsidRPr="002F5AC1" w14:paraId="7AD1E131" w14:textId="77777777" w:rsidTr="00E07C78">
        <w:trPr>
          <w:jc w:val="center"/>
        </w:trPr>
        <w:tc>
          <w:tcPr>
            <w:tcW w:w="4111" w:type="dxa"/>
          </w:tcPr>
          <w:p w14:paraId="0692CE13" w14:textId="77777777" w:rsidR="00382D54" w:rsidRPr="00382D54" w:rsidRDefault="00382D54" w:rsidP="00976FF4">
            <w:pPr>
              <w:pStyle w:val="Tabletext"/>
              <w:keepNext/>
              <w:keepLines/>
              <w:rPr>
                <w:b/>
                <w:bCs/>
                <w:lang w:val="es-ES_tradnl"/>
              </w:rPr>
            </w:pPr>
            <w:r w:rsidRPr="00382D54">
              <w:rPr>
                <w:b/>
                <w:bCs/>
                <w:lang w:val="es-ES_tradnl"/>
              </w:rPr>
              <w:t>Resoluciones</w:t>
            </w:r>
          </w:p>
        </w:tc>
        <w:tc>
          <w:tcPr>
            <w:tcW w:w="10445" w:type="dxa"/>
            <w:gridSpan w:val="2"/>
          </w:tcPr>
          <w:p w14:paraId="48F85B42" w14:textId="582C02F7" w:rsidR="00382D54" w:rsidRPr="00382D54" w:rsidRDefault="00382D54" w:rsidP="00976FF4">
            <w:pPr>
              <w:pStyle w:val="Tabletext"/>
              <w:keepNext/>
              <w:keepLines/>
              <w:rPr>
                <w:lang w:val="es-ES_tradnl"/>
              </w:rPr>
            </w:pPr>
            <w:r w:rsidRPr="00382D54">
              <w:rPr>
                <w:lang w:val="es-ES_tradnl"/>
              </w:rPr>
              <w:t>Res.</w:t>
            </w:r>
            <w:r w:rsidR="000B1D29">
              <w:rPr>
                <w:lang w:val="es-ES_tradnl"/>
              </w:rPr>
              <w:t> </w:t>
            </w:r>
            <w:r w:rsidRPr="00382D54">
              <w:rPr>
                <w:lang w:val="es-ES_tradnl"/>
              </w:rPr>
              <w:t>1 y 2 principalmente de la CMDT; Res.</w:t>
            </w:r>
            <w:r w:rsidR="005E67B2">
              <w:rPr>
                <w:lang w:val="es-ES_tradnl"/>
              </w:rPr>
              <w:t> </w:t>
            </w:r>
            <w:r w:rsidRPr="00382D54">
              <w:rPr>
                <w:lang w:val="es-ES_tradnl"/>
              </w:rPr>
              <w:t>208, 21, 70, 71, 77, 102, 123, 130, 131, 136, 139, 154, 167, 175, 177, 179, 180, 182, 188, 196, 197, 203, 204, 205 y 209 de la PP</w:t>
            </w:r>
          </w:p>
        </w:tc>
      </w:tr>
      <w:tr w:rsidR="00006A94" w:rsidRPr="002F5AC1" w14:paraId="51164479" w14:textId="77777777" w:rsidTr="00E07C78">
        <w:trPr>
          <w:jc w:val="center"/>
        </w:trPr>
        <w:tc>
          <w:tcPr>
            <w:tcW w:w="4111" w:type="dxa"/>
          </w:tcPr>
          <w:p w14:paraId="60B91C6B" w14:textId="77777777" w:rsidR="00382D54" w:rsidRPr="00382D54" w:rsidRDefault="00382D54" w:rsidP="00736B66">
            <w:pPr>
              <w:pStyle w:val="Tabletext"/>
              <w:rPr>
                <w:b/>
                <w:bCs/>
                <w:lang w:val="es-ES_tradnl"/>
              </w:rPr>
            </w:pPr>
            <w:r w:rsidRPr="00382D54">
              <w:rPr>
                <w:b/>
                <w:bCs/>
                <w:lang w:val="es-ES_tradnl"/>
              </w:rPr>
              <w:t>Comisiones de Estudio</w:t>
            </w:r>
          </w:p>
        </w:tc>
        <w:tc>
          <w:tcPr>
            <w:tcW w:w="10445" w:type="dxa"/>
            <w:gridSpan w:val="2"/>
          </w:tcPr>
          <w:p w14:paraId="38842C62" w14:textId="77777777" w:rsidR="00382D54" w:rsidRPr="00382D54" w:rsidRDefault="00382D54" w:rsidP="00736B66">
            <w:pPr>
              <w:pStyle w:val="Tabletext"/>
              <w:rPr>
                <w:lang w:val="es-ES_tradnl"/>
              </w:rPr>
            </w:pPr>
            <w:r w:rsidRPr="00382D54">
              <w:rPr>
                <w:lang w:val="es-ES_tradnl"/>
              </w:rPr>
              <w:t xml:space="preserve">Cuestión 1/1 – </w:t>
            </w:r>
            <w:r w:rsidRPr="00976FF4">
              <w:rPr>
                <w:color w:val="0070C0"/>
                <w:lang w:val="es-ES_tradnl"/>
              </w:rPr>
              <w:t>Estrategias y políticas para el despliegue de la banda ancha en los países en desarrollo</w:t>
            </w:r>
          </w:p>
          <w:p w14:paraId="41A77A94" w14:textId="77777777" w:rsidR="00382D54" w:rsidRPr="00382D54" w:rsidRDefault="00382D54" w:rsidP="00736B66">
            <w:pPr>
              <w:pStyle w:val="Tabletext"/>
              <w:rPr>
                <w:lang w:val="es-ES_tradnl"/>
              </w:rPr>
            </w:pPr>
            <w:r w:rsidRPr="00382D54">
              <w:rPr>
                <w:lang w:val="es-ES_tradnl"/>
              </w:rPr>
              <w:t xml:space="preserve">Cuestión 5/1 – </w:t>
            </w:r>
            <w:r w:rsidRPr="00976FF4">
              <w:rPr>
                <w:color w:val="0070C0"/>
                <w:lang w:val="es-ES_tradnl"/>
              </w:rPr>
              <w:t>Telecomunicaciones/TIC para las zonas rurales y remotas</w:t>
            </w:r>
          </w:p>
        </w:tc>
      </w:tr>
    </w:tbl>
    <w:p w14:paraId="5558D845" w14:textId="77777777" w:rsidR="00616830" w:rsidRPr="004265A8" w:rsidRDefault="00616830" w:rsidP="00616830">
      <w:pPr>
        <w:rPr>
          <w:lang w:val="es-ES"/>
        </w:rPr>
      </w:pPr>
      <w:r w:rsidRPr="004265A8">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0D539530" w14:textId="77777777" w:rsidTr="004711CF">
        <w:trPr>
          <w:jc w:val="center"/>
        </w:trPr>
        <w:tc>
          <w:tcPr>
            <w:tcW w:w="14556" w:type="dxa"/>
            <w:gridSpan w:val="3"/>
            <w:shd w:val="clear" w:color="auto" w:fill="365F91"/>
          </w:tcPr>
          <w:p w14:paraId="689CB167" w14:textId="77777777" w:rsidR="00382D54" w:rsidRPr="00382D54" w:rsidRDefault="00382D54" w:rsidP="00736B66">
            <w:pPr>
              <w:pStyle w:val="Heading2"/>
              <w:spacing w:before="80" w:after="80"/>
              <w:jc w:val="center"/>
              <w:rPr>
                <w:color w:val="FFFFFF" w:themeColor="background1"/>
                <w:sz w:val="22"/>
                <w:szCs w:val="22"/>
                <w:lang w:val="es-ES_tradnl"/>
              </w:rPr>
            </w:pPr>
            <w:bookmarkStart w:id="22" w:name="_Toc196911809"/>
            <w:r w:rsidRPr="00382D54">
              <w:rPr>
                <w:color w:val="FFFFFF" w:themeColor="background1"/>
                <w:sz w:val="22"/>
                <w:szCs w:val="22"/>
                <w:lang w:val="es-ES_tradnl"/>
              </w:rPr>
              <w:lastRenderedPageBreak/>
              <w:t>Factor habilitador 2 del UIT-D: Presencia regional</w:t>
            </w:r>
            <w:bookmarkEnd w:id="22"/>
          </w:p>
          <w:p w14:paraId="5E4EBA72" w14:textId="77777777" w:rsidR="00382D54" w:rsidRPr="00382D54" w:rsidRDefault="00382D54" w:rsidP="00427D53">
            <w:pPr>
              <w:pStyle w:val="Tablehead"/>
              <w:rPr>
                <w:i/>
                <w:iCs/>
                <w:color w:val="FFFFFF" w:themeColor="background1"/>
                <w:lang w:val="es-ES_tradnl"/>
              </w:rPr>
            </w:pPr>
            <w:r w:rsidRPr="00382D54">
              <w:rPr>
                <w:i/>
                <w:iCs/>
                <w:color w:val="FFFFFF" w:themeColor="background1"/>
                <w:lang w:val="es-ES_tradnl"/>
              </w:rPr>
              <w:t>Fortalecimiento de la eficacia y las repercusiones globales de la UIT</w:t>
            </w:r>
          </w:p>
        </w:tc>
      </w:tr>
      <w:tr w:rsidR="00382D54" w:rsidRPr="002F5AC1" w14:paraId="3C7B0CD3" w14:textId="77777777" w:rsidTr="004711CF">
        <w:trPr>
          <w:jc w:val="center"/>
        </w:trPr>
        <w:tc>
          <w:tcPr>
            <w:tcW w:w="14556" w:type="dxa"/>
            <w:gridSpan w:val="3"/>
            <w:shd w:val="clear" w:color="auto" w:fill="E5DFEC"/>
          </w:tcPr>
          <w:p w14:paraId="5A8F09E2" w14:textId="2275AF08" w:rsidR="00382D54" w:rsidRPr="00A20ED8" w:rsidRDefault="00382D54" w:rsidP="00B405B1">
            <w:pPr>
              <w:pStyle w:val="Tabletext"/>
              <w:rPr>
                <w:i/>
                <w:iCs/>
                <w:lang w:val="es-ES_tradnl"/>
              </w:rPr>
            </w:pPr>
            <w:r w:rsidRPr="00B405B1">
              <w:rPr>
                <w:b/>
                <w:bCs/>
                <w:i/>
                <w:iCs/>
                <w:lang w:val="es-ES_tradnl"/>
              </w:rPr>
              <w:t xml:space="preserve">Realización: </w:t>
            </w:r>
            <w:r w:rsidRPr="00B405B1">
              <w:rPr>
                <w:i/>
                <w:iCs/>
                <w:lang w:val="es-ES"/>
              </w:rPr>
              <w:t xml:space="preserve">Refuerzo de la colaboración y cooperación regionales con las Naciones Unidas y sus organismos especializados, las organizaciones regionales de telecomunicaciones y las instituciones financieras y de desarrollo a fin de lograr los </w:t>
            </w:r>
            <w:r w:rsidRPr="00B405B1">
              <w:rPr>
                <w:i/>
                <w:iCs/>
                <w:lang w:val="es-ES_tradnl"/>
              </w:rPr>
              <w:t>ODS para 2030 que guarden relación con el desarrollo de la economía digital</w:t>
            </w:r>
            <w:r w:rsidR="00A20ED8">
              <w:rPr>
                <w:i/>
                <w:iCs/>
                <w:lang w:val="es-ES_tradnl"/>
              </w:rPr>
              <w:t>.</w:t>
            </w:r>
          </w:p>
        </w:tc>
      </w:tr>
      <w:tr w:rsidR="00B405B1" w:rsidRPr="00382D54" w14:paraId="1C05DF4C" w14:textId="77777777" w:rsidTr="004711CF">
        <w:trPr>
          <w:jc w:val="center"/>
        </w:trPr>
        <w:tc>
          <w:tcPr>
            <w:tcW w:w="11557" w:type="dxa"/>
            <w:gridSpan w:val="2"/>
          </w:tcPr>
          <w:p w14:paraId="57A7DFCE" w14:textId="77777777" w:rsidR="00382D54" w:rsidRPr="00382D54" w:rsidRDefault="00382D54" w:rsidP="00427D53">
            <w:pPr>
              <w:pStyle w:val="Tablehead"/>
              <w:rPr>
                <w:color w:val="0070C0"/>
                <w:lang w:val="es-ES_tradnl"/>
              </w:rPr>
            </w:pPr>
            <w:r w:rsidRPr="00382D54">
              <w:rPr>
                <w:color w:val="0070C0"/>
                <w:lang w:val="es-ES_tradnl"/>
              </w:rPr>
              <w:t>Productos</w:t>
            </w:r>
          </w:p>
        </w:tc>
        <w:tc>
          <w:tcPr>
            <w:tcW w:w="2999" w:type="dxa"/>
          </w:tcPr>
          <w:p w14:paraId="5E41C3EA" w14:textId="77777777" w:rsidR="00382D54" w:rsidRPr="00382D54" w:rsidRDefault="00382D54" w:rsidP="00427D53">
            <w:pPr>
              <w:pStyle w:val="Tablehead"/>
              <w:rPr>
                <w:color w:val="0070C0"/>
                <w:lang w:val="es-ES_tradnl"/>
              </w:rPr>
            </w:pPr>
            <w:r w:rsidRPr="00382D54">
              <w:rPr>
                <w:color w:val="0070C0"/>
                <w:lang w:val="es-ES_tradnl"/>
              </w:rPr>
              <w:t>Datos destacados</w:t>
            </w:r>
          </w:p>
        </w:tc>
      </w:tr>
      <w:tr w:rsidR="00382D54" w:rsidRPr="002F5AC1" w14:paraId="7E907FDF" w14:textId="77777777" w:rsidTr="004711CF">
        <w:trPr>
          <w:jc w:val="center"/>
        </w:trPr>
        <w:tc>
          <w:tcPr>
            <w:tcW w:w="11557" w:type="dxa"/>
            <w:gridSpan w:val="2"/>
          </w:tcPr>
          <w:p w14:paraId="285420AE" w14:textId="7DECFE28" w:rsidR="00382D54" w:rsidRPr="00382D54" w:rsidRDefault="00382D54" w:rsidP="00B405B1">
            <w:pPr>
              <w:pStyle w:val="Tabletext"/>
              <w:rPr>
                <w:lang w:val="es-ES_tradnl"/>
              </w:rPr>
            </w:pPr>
            <w:r w:rsidRPr="00382D54">
              <w:rPr>
                <w:lang w:val="es-ES_tradnl"/>
              </w:rPr>
              <w:t>La BDT, en colaboración y estrecha coordinación con la</w:t>
            </w:r>
            <w:r w:rsidR="005E67B2">
              <w:rPr>
                <w:lang w:val="es-ES_tradnl"/>
              </w:rPr>
              <w:t> </w:t>
            </w:r>
            <w:r w:rsidRPr="00382D54">
              <w:rPr>
                <w:lang w:val="es-ES_tradnl"/>
              </w:rPr>
              <w:t>BR, la</w:t>
            </w:r>
            <w:r w:rsidR="005E67B2">
              <w:rPr>
                <w:lang w:val="es-ES_tradnl"/>
              </w:rPr>
              <w:t> </w:t>
            </w:r>
            <w:r w:rsidRPr="00382D54">
              <w:rPr>
                <w:lang w:val="es-ES_tradnl"/>
              </w:rPr>
              <w:t xml:space="preserve">TSB y la Secretaría General, ha trabajado activamente en el refuerzo de la presencia regional, con el objetivo de mejorar la prestación de servicios a los Estados Miembros, incluida la ejecución de proyectos y otras actividades del plan operacional de forma oportuna, efectiva y eficaz. Gracias a una serie de intervenciones adecuadamente planificadas y llevadas a cabo, se ha logrado atraer financiación extrapresupuestaria de donantes para la ejecución de proyectos, incluidas iniciativas regionales. Las </w:t>
            </w:r>
            <w:r w:rsidR="00CE04EB" w:rsidRPr="00382D54">
              <w:rPr>
                <w:lang w:val="es-ES_tradnl"/>
              </w:rPr>
              <w:t xml:space="preserve">Oficinas Regionales </w:t>
            </w:r>
            <w:r w:rsidRPr="00382D54">
              <w:rPr>
                <w:lang w:val="es-ES_tradnl"/>
              </w:rPr>
              <w:t>siguen desempeñando un papel decisivo en este contexto, ya que constituyen la primera línea de contacto de la</w:t>
            </w:r>
            <w:r w:rsidR="006553E8">
              <w:rPr>
                <w:lang w:val="es-ES_tradnl"/>
              </w:rPr>
              <w:t> </w:t>
            </w:r>
            <w:r w:rsidRPr="00382D54">
              <w:rPr>
                <w:lang w:val="es-ES_tradnl"/>
              </w:rPr>
              <w:t>UIT con las partes interesadas y los gobiernos locales. El Documento</w:t>
            </w:r>
            <w:r w:rsidR="000B1D29">
              <w:rPr>
                <w:lang w:val="es-ES_tradnl"/>
              </w:rPr>
              <w:t> </w:t>
            </w:r>
            <w:hyperlink r:id="rId112" w:history="1">
              <w:r w:rsidRPr="00382D54">
                <w:rPr>
                  <w:rStyle w:val="Hyperlink"/>
                  <w:lang w:val="es-ES_tradnl"/>
                </w:rPr>
                <w:t>TDAG-25/3</w:t>
              </w:r>
            </w:hyperlink>
            <w:r w:rsidRPr="00382D54">
              <w:rPr>
                <w:lang w:val="es-ES_tradnl"/>
              </w:rPr>
              <w:t xml:space="preserve"> contiene un informe detallado sobre la aplicación las iniciativas regionales, incluido un anexo sobre las correspondencias establecidas entre los proyectos y las iniciativas regionales.</w:t>
            </w:r>
          </w:p>
        </w:tc>
        <w:tc>
          <w:tcPr>
            <w:tcW w:w="2999" w:type="dxa"/>
          </w:tcPr>
          <w:p w14:paraId="3E768449" w14:textId="679F85D5"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Estrecha colaboración con la</w:t>
            </w:r>
            <w:r w:rsidR="006553E8">
              <w:rPr>
                <w:lang w:val="es-ES_tradnl"/>
              </w:rPr>
              <w:t> </w:t>
            </w:r>
            <w:r w:rsidR="00382D54" w:rsidRPr="00382D54">
              <w:rPr>
                <w:lang w:val="es-ES_tradnl"/>
              </w:rPr>
              <w:t>BR, la</w:t>
            </w:r>
            <w:r w:rsidR="006553E8">
              <w:rPr>
                <w:lang w:val="es-ES_tradnl"/>
              </w:rPr>
              <w:t> </w:t>
            </w:r>
            <w:r w:rsidR="00382D54" w:rsidRPr="00382D54">
              <w:rPr>
                <w:lang w:val="es-ES_tradnl"/>
              </w:rPr>
              <w:t>TSB y la Secretaría General</w:t>
            </w:r>
          </w:p>
          <w:p w14:paraId="63BDAC86" w14:textId="7B102B65"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Ejecución eficaz y eficiente de las iniciativas del PO y los proyectos de la</w:t>
            </w:r>
            <w:r w:rsidR="00CB0CFE">
              <w:rPr>
                <w:lang w:val="es-ES_tradnl"/>
              </w:rPr>
              <w:t> </w:t>
            </w:r>
            <w:r w:rsidR="00382D54" w:rsidRPr="00382D54">
              <w:rPr>
                <w:lang w:val="es-ES_tradnl"/>
              </w:rPr>
              <w:t>UIT</w:t>
            </w:r>
          </w:p>
        </w:tc>
      </w:tr>
      <w:tr w:rsidR="00427D53" w:rsidRPr="00382D54" w14:paraId="55CE61DB" w14:textId="77777777" w:rsidTr="00E07C78">
        <w:trPr>
          <w:jc w:val="center"/>
        </w:trPr>
        <w:tc>
          <w:tcPr>
            <w:tcW w:w="4111" w:type="dxa"/>
          </w:tcPr>
          <w:p w14:paraId="08867D22" w14:textId="77777777" w:rsidR="00382D54" w:rsidRPr="00382D54" w:rsidRDefault="00382D54" w:rsidP="00736B66">
            <w:pPr>
              <w:pStyle w:val="Tabletext"/>
              <w:rPr>
                <w:b/>
                <w:bCs/>
                <w:lang w:val="es-ES_tradnl"/>
              </w:rPr>
            </w:pPr>
            <w:r w:rsidRPr="00382D54">
              <w:rPr>
                <w:b/>
                <w:bCs/>
                <w:lang w:val="es-ES_tradnl"/>
              </w:rPr>
              <w:t>Contribución a las metas de los ODS</w:t>
            </w:r>
          </w:p>
        </w:tc>
        <w:tc>
          <w:tcPr>
            <w:tcW w:w="10445" w:type="dxa"/>
            <w:gridSpan w:val="2"/>
          </w:tcPr>
          <w:p w14:paraId="2A7B4337" w14:textId="77777777" w:rsidR="00382D54" w:rsidRPr="00382D54" w:rsidRDefault="00382D54" w:rsidP="00736B66">
            <w:pPr>
              <w:pStyle w:val="Tabletext"/>
              <w:rPr>
                <w:lang w:val="es-ES_tradnl"/>
              </w:rPr>
            </w:pPr>
            <w:r w:rsidRPr="00382D54">
              <w:rPr>
                <w:lang w:val="es-ES_tradnl"/>
              </w:rPr>
              <w:t>ODS 1, 3, 4, 5, 8, 9, 10, 11, 16 y 17</w:t>
            </w:r>
          </w:p>
        </w:tc>
      </w:tr>
      <w:tr w:rsidR="00427D53" w:rsidRPr="00382D54" w14:paraId="3E4D42A0" w14:textId="77777777" w:rsidTr="00E07C78">
        <w:trPr>
          <w:jc w:val="center"/>
        </w:trPr>
        <w:tc>
          <w:tcPr>
            <w:tcW w:w="4111" w:type="dxa"/>
          </w:tcPr>
          <w:p w14:paraId="698CF655" w14:textId="77777777" w:rsidR="00382D54" w:rsidRPr="00382D54" w:rsidRDefault="00382D54" w:rsidP="00736B66">
            <w:pPr>
              <w:pStyle w:val="Tabletext"/>
              <w:rPr>
                <w:b/>
                <w:bCs/>
                <w:lang w:val="es-ES_tradnl"/>
              </w:rPr>
            </w:pPr>
            <w:r w:rsidRPr="00382D54">
              <w:rPr>
                <w:b/>
                <w:bCs/>
                <w:lang w:val="es-ES_tradnl"/>
              </w:rPr>
              <w:t>Líneas de Acción de la CMSI</w:t>
            </w:r>
          </w:p>
        </w:tc>
        <w:tc>
          <w:tcPr>
            <w:tcW w:w="10445" w:type="dxa"/>
            <w:gridSpan w:val="2"/>
          </w:tcPr>
          <w:p w14:paraId="5FD30AAC" w14:textId="77777777" w:rsidR="00382D54" w:rsidRPr="00382D54" w:rsidRDefault="00382D54" w:rsidP="00736B66">
            <w:pPr>
              <w:pStyle w:val="Tabletext"/>
              <w:rPr>
                <w:lang w:val="es-ES_tradnl"/>
              </w:rPr>
            </w:pPr>
            <w:r w:rsidRPr="00382D54">
              <w:rPr>
                <w:lang w:val="es-ES_tradnl"/>
              </w:rPr>
              <w:t>C1, C2, C3, C4, C5, C6, C7 y C11</w:t>
            </w:r>
          </w:p>
        </w:tc>
      </w:tr>
      <w:tr w:rsidR="00427D53" w:rsidRPr="00382D54" w14:paraId="051AA009" w14:textId="77777777" w:rsidTr="00E07C78">
        <w:trPr>
          <w:jc w:val="center"/>
        </w:trPr>
        <w:tc>
          <w:tcPr>
            <w:tcW w:w="4111" w:type="dxa"/>
          </w:tcPr>
          <w:p w14:paraId="3501BB4F" w14:textId="77777777" w:rsidR="00382D54" w:rsidRPr="00382D54" w:rsidRDefault="00382D54" w:rsidP="00736B66">
            <w:pPr>
              <w:pStyle w:val="Tabletext"/>
              <w:rPr>
                <w:b/>
                <w:bCs/>
                <w:lang w:val="es-ES_tradnl"/>
              </w:rPr>
            </w:pPr>
            <w:r w:rsidRPr="00382D54">
              <w:rPr>
                <w:b/>
                <w:bCs/>
                <w:lang w:val="es-ES_tradnl"/>
              </w:rPr>
              <w:t>Resoluciones</w:t>
            </w:r>
          </w:p>
        </w:tc>
        <w:tc>
          <w:tcPr>
            <w:tcW w:w="10445" w:type="dxa"/>
            <w:gridSpan w:val="2"/>
          </w:tcPr>
          <w:p w14:paraId="1E7B8E9B" w14:textId="77777777" w:rsidR="00382D54" w:rsidRPr="00382D54" w:rsidRDefault="00382D54" w:rsidP="00736B66">
            <w:pPr>
              <w:pStyle w:val="Tabletext"/>
              <w:rPr>
                <w:lang w:val="es-ES_tradnl"/>
              </w:rPr>
            </w:pPr>
            <w:r w:rsidRPr="00382D54">
              <w:rPr>
                <w:lang w:val="es-ES_tradnl"/>
              </w:rPr>
              <w:t>16 de la CMDT</w:t>
            </w:r>
          </w:p>
        </w:tc>
      </w:tr>
      <w:tr w:rsidR="00427D53" w:rsidRPr="002F5AC1" w14:paraId="0CB3F2F9" w14:textId="77777777" w:rsidTr="00E07C78">
        <w:trPr>
          <w:jc w:val="center"/>
        </w:trPr>
        <w:tc>
          <w:tcPr>
            <w:tcW w:w="4111" w:type="dxa"/>
          </w:tcPr>
          <w:p w14:paraId="697A36EF" w14:textId="77777777" w:rsidR="00382D54" w:rsidRPr="00382D54" w:rsidRDefault="00382D54" w:rsidP="00736B66">
            <w:pPr>
              <w:pStyle w:val="Tabletext"/>
              <w:rPr>
                <w:b/>
                <w:bCs/>
                <w:lang w:val="es-ES_tradnl"/>
              </w:rPr>
            </w:pPr>
            <w:r w:rsidRPr="00382D54">
              <w:rPr>
                <w:b/>
                <w:bCs/>
                <w:lang w:val="es-ES_tradnl"/>
              </w:rPr>
              <w:t>Comisiones de Estudio</w:t>
            </w:r>
          </w:p>
        </w:tc>
        <w:tc>
          <w:tcPr>
            <w:tcW w:w="10445" w:type="dxa"/>
            <w:gridSpan w:val="2"/>
          </w:tcPr>
          <w:p w14:paraId="109A5B79" w14:textId="77777777" w:rsidR="00382D54" w:rsidRPr="00382D54" w:rsidRDefault="00382D54" w:rsidP="00736B66">
            <w:pPr>
              <w:pStyle w:val="Tabletext"/>
              <w:rPr>
                <w:lang w:val="es-ES_tradnl"/>
              </w:rPr>
            </w:pPr>
            <w:r w:rsidRPr="00382D54">
              <w:rPr>
                <w:lang w:val="es-ES_tradnl"/>
              </w:rPr>
              <w:t xml:space="preserve">Todas las Cuestiones de la CE 1 sobre "Entorno propicio para la conectividad efectiva" y de la CE 2 sobre "Transformación digital" </w:t>
            </w:r>
          </w:p>
        </w:tc>
      </w:tr>
    </w:tbl>
    <w:p w14:paraId="4C6DBC76" w14:textId="77777777" w:rsidR="00616830" w:rsidRPr="004265A8" w:rsidRDefault="00616830" w:rsidP="00616830">
      <w:pPr>
        <w:rPr>
          <w:lang w:val="es-ES"/>
        </w:rPr>
      </w:pPr>
      <w:r w:rsidRPr="004265A8">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79DF1181" w14:textId="77777777" w:rsidTr="004711CF">
        <w:trPr>
          <w:jc w:val="center"/>
        </w:trPr>
        <w:tc>
          <w:tcPr>
            <w:tcW w:w="14556" w:type="dxa"/>
            <w:gridSpan w:val="3"/>
            <w:shd w:val="clear" w:color="auto" w:fill="365F91"/>
          </w:tcPr>
          <w:p w14:paraId="1B79312F" w14:textId="77777777" w:rsidR="00382D54" w:rsidRPr="00D61D79" w:rsidRDefault="00382D54" w:rsidP="00736B66">
            <w:pPr>
              <w:pStyle w:val="Heading2"/>
              <w:spacing w:before="80" w:after="80"/>
              <w:jc w:val="center"/>
              <w:rPr>
                <w:color w:val="FFFFFF" w:themeColor="background1"/>
                <w:sz w:val="22"/>
                <w:szCs w:val="22"/>
                <w:lang w:val="es-ES_tradnl"/>
              </w:rPr>
            </w:pPr>
            <w:bookmarkStart w:id="23" w:name="_Toc196911810"/>
            <w:r w:rsidRPr="00D61D79">
              <w:rPr>
                <w:color w:val="FFFFFF" w:themeColor="background1"/>
                <w:sz w:val="22"/>
                <w:szCs w:val="22"/>
                <w:lang w:val="es-ES_tradnl"/>
              </w:rPr>
              <w:lastRenderedPageBreak/>
              <w:t>Factor habilitador 3 del UIT-D: Diversidad e inclusión</w:t>
            </w:r>
            <w:bookmarkEnd w:id="23"/>
          </w:p>
          <w:p w14:paraId="13608BC7" w14:textId="77777777" w:rsidR="00382D54" w:rsidRPr="00382D54" w:rsidRDefault="00382D54" w:rsidP="00427D53">
            <w:pPr>
              <w:pStyle w:val="Tablehead"/>
              <w:rPr>
                <w:i/>
                <w:iCs/>
                <w:color w:val="FFFFFF" w:themeColor="background1"/>
                <w:lang w:val="es-ES_tradnl"/>
              </w:rPr>
            </w:pPr>
            <w:r w:rsidRPr="00D61D79">
              <w:rPr>
                <w:i/>
                <w:iCs/>
                <w:color w:val="FFFFFF" w:themeColor="background1"/>
                <w:lang w:val="es-ES_tradnl"/>
              </w:rPr>
              <w:t>Desarrollo de estrategias y soluciones en materia de inclusión digital</w:t>
            </w:r>
          </w:p>
        </w:tc>
      </w:tr>
      <w:tr w:rsidR="00382D54" w:rsidRPr="002F5AC1" w14:paraId="4F320DF6" w14:textId="77777777" w:rsidTr="004711CF">
        <w:trPr>
          <w:jc w:val="center"/>
        </w:trPr>
        <w:tc>
          <w:tcPr>
            <w:tcW w:w="14556" w:type="dxa"/>
            <w:gridSpan w:val="3"/>
            <w:shd w:val="clear" w:color="auto" w:fill="E5DFEC"/>
          </w:tcPr>
          <w:p w14:paraId="7DAF7540" w14:textId="17C88958" w:rsidR="00382D54" w:rsidRPr="00A20ED8" w:rsidRDefault="00382D54" w:rsidP="00B405B1">
            <w:pPr>
              <w:pStyle w:val="Tabletext"/>
              <w:rPr>
                <w:i/>
                <w:iCs/>
                <w:lang w:val="es-ES_tradnl"/>
              </w:rPr>
            </w:pPr>
            <w:r w:rsidRPr="00B405B1">
              <w:rPr>
                <w:b/>
                <w:bCs/>
                <w:i/>
                <w:iCs/>
                <w:lang w:val="es-ES_tradnl"/>
              </w:rPr>
              <w:t xml:space="preserve">Realización: </w:t>
            </w:r>
            <w:r w:rsidRPr="00B405B1">
              <w:rPr>
                <w:i/>
                <w:iCs/>
                <w:lang w:val="es-ES_tradnl"/>
              </w:rPr>
              <w:t>Refuerzo de la capacidad de los miembros de la UIT para elaborar estrategias, políticas y prácticas que favorezcan la inclusión digital y la equidad, en particular el empoderamiento de las mujeres y las niñas, las personas con discapacidad y las personas con necesidades especiales y los hogares con bajos ingresos</w:t>
            </w:r>
            <w:r w:rsidR="00A20ED8">
              <w:rPr>
                <w:i/>
                <w:iCs/>
                <w:lang w:val="es-ES_tradnl"/>
              </w:rPr>
              <w:t>.</w:t>
            </w:r>
          </w:p>
        </w:tc>
      </w:tr>
      <w:tr w:rsidR="00B405B1" w:rsidRPr="00382D54" w14:paraId="3D68E35F" w14:textId="77777777" w:rsidTr="004711CF">
        <w:trPr>
          <w:jc w:val="center"/>
        </w:trPr>
        <w:tc>
          <w:tcPr>
            <w:tcW w:w="11557" w:type="dxa"/>
            <w:gridSpan w:val="2"/>
          </w:tcPr>
          <w:p w14:paraId="4E4E7DFE" w14:textId="77777777" w:rsidR="00382D54" w:rsidRPr="00382D54" w:rsidRDefault="00382D54" w:rsidP="00427D53">
            <w:pPr>
              <w:pStyle w:val="Tablehead"/>
              <w:rPr>
                <w:color w:val="0070C0"/>
                <w:lang w:val="es-ES_tradnl"/>
              </w:rPr>
            </w:pPr>
            <w:r w:rsidRPr="00382D54">
              <w:rPr>
                <w:color w:val="0070C0"/>
                <w:lang w:val="es-ES_tradnl"/>
              </w:rPr>
              <w:t>Productos</w:t>
            </w:r>
          </w:p>
        </w:tc>
        <w:tc>
          <w:tcPr>
            <w:tcW w:w="2999" w:type="dxa"/>
          </w:tcPr>
          <w:p w14:paraId="34445B21" w14:textId="77777777" w:rsidR="00382D54" w:rsidRPr="00382D54" w:rsidRDefault="00382D54" w:rsidP="00427D53">
            <w:pPr>
              <w:pStyle w:val="Tablehead"/>
              <w:rPr>
                <w:color w:val="0070C0"/>
                <w:lang w:val="es-ES_tradnl"/>
              </w:rPr>
            </w:pPr>
            <w:r w:rsidRPr="00382D54">
              <w:rPr>
                <w:color w:val="0070C0"/>
                <w:lang w:val="es-ES_tradnl"/>
              </w:rPr>
              <w:t>Datos destacados</w:t>
            </w:r>
          </w:p>
        </w:tc>
      </w:tr>
      <w:tr w:rsidR="00382D54" w:rsidRPr="002F5AC1" w14:paraId="564F2AED" w14:textId="77777777" w:rsidTr="004711CF">
        <w:trPr>
          <w:jc w:val="center"/>
        </w:trPr>
        <w:tc>
          <w:tcPr>
            <w:tcW w:w="11557" w:type="dxa"/>
            <w:gridSpan w:val="2"/>
          </w:tcPr>
          <w:p w14:paraId="7BE779F1" w14:textId="77777777" w:rsidR="00382D54" w:rsidRPr="00382D54" w:rsidRDefault="00382D54" w:rsidP="00B405B1">
            <w:pPr>
              <w:pStyle w:val="Tabletext"/>
              <w:rPr>
                <w:lang w:val="es-ES_tradnl"/>
              </w:rPr>
            </w:pPr>
            <w:r w:rsidRPr="00382D54">
              <w:rPr>
                <w:lang w:val="es-ES_tradnl"/>
              </w:rPr>
              <w:t>En el marco del factor habilitador relativo a la diversidad y la inclusión, se han logrado avances notables con miras a dotar a las partes interesadas de todas las regiones de las herramientas, las redes y los conocimientos necesarios para promover un desarrollo digital inclusivo. Estos esfuerzos han tenido repercusiones tangibles en la elaboración de políticas, el desarrollo de capacidades y el empoderamiento comunitario, a fin de garantizar que nadie se quede atrás en la era digital.</w:t>
            </w:r>
          </w:p>
          <w:p w14:paraId="7A3E08DC" w14:textId="469F2FBD" w:rsidR="00382D54" w:rsidRPr="00382D54" w:rsidRDefault="00382D54" w:rsidP="00B405B1">
            <w:pPr>
              <w:pStyle w:val="Tabletext"/>
              <w:rPr>
                <w:lang w:val="es-ES_tradnl"/>
              </w:rPr>
            </w:pPr>
            <w:r w:rsidRPr="00382D54">
              <w:rPr>
                <w:lang w:val="es-ES_tradnl"/>
              </w:rPr>
              <w:t>La</w:t>
            </w:r>
            <w:r w:rsidR="00ED244A">
              <w:rPr>
                <w:lang w:val="es-ES_tradnl"/>
              </w:rPr>
              <w:t> </w:t>
            </w:r>
            <w:r w:rsidRPr="00382D54">
              <w:rPr>
                <w:lang w:val="es-ES_tradnl"/>
              </w:rPr>
              <w:t>BDT ha obrado en favor de la mejora de las capacidades de los Estados Miembros, los responsables de las políticas y diversos grupos destinatarios, entre ellos las mujeres y las niñas, los jóvenes, las personas de edad, las personas con discapacidad y las comunidades indígenas o remotas. Se desplegaron esfuerzos a través de la prestación de asesoramiento técnico, la organización de sesiones de formación y la puesta en marcha de iniciativas específicas en las seis</w:t>
            </w:r>
            <w:r w:rsidR="00D6327F">
              <w:rPr>
                <w:lang w:val="es-ES_tradnl"/>
              </w:rPr>
              <w:t> </w:t>
            </w:r>
            <w:r w:rsidRPr="00382D54">
              <w:rPr>
                <w:lang w:val="es-ES_tradnl"/>
              </w:rPr>
              <w:t>regiones de la UIT.</w:t>
            </w:r>
          </w:p>
          <w:p w14:paraId="38E6D8EF" w14:textId="77777777" w:rsidR="00382D54" w:rsidRPr="003B2D11" w:rsidRDefault="00382D54" w:rsidP="00B405B1">
            <w:pPr>
              <w:pStyle w:val="Tabletext"/>
              <w:rPr>
                <w:b/>
                <w:bCs/>
                <w:lang w:val="es-ES_tradnl"/>
              </w:rPr>
            </w:pPr>
            <w:r w:rsidRPr="003B2D11">
              <w:rPr>
                <w:b/>
                <w:bCs/>
                <w:lang w:val="es-ES_tradnl"/>
              </w:rPr>
              <w:t>Aspectos destacados a escala mundial y repercusiones interregionales</w:t>
            </w:r>
          </w:p>
          <w:p w14:paraId="0B1D09CA" w14:textId="745C56A6" w:rsidR="00382D54" w:rsidRPr="00382D54" w:rsidRDefault="00382D54" w:rsidP="00B405B1">
            <w:pPr>
              <w:pStyle w:val="Tabletext"/>
              <w:rPr>
                <w:lang w:val="es-ES_tradnl"/>
              </w:rPr>
            </w:pPr>
            <w:r w:rsidRPr="000B1D29">
              <w:rPr>
                <w:b/>
                <w:bCs/>
                <w:lang w:val="es-ES"/>
              </w:rPr>
              <w:t>Formación y desarrollo de competencias:</w:t>
            </w:r>
            <w:r w:rsidRPr="00382D54">
              <w:rPr>
                <w:lang w:val="es-ES_tradnl"/>
              </w:rPr>
              <w:t xml:space="preserve"> </w:t>
            </w:r>
            <w:r w:rsidR="000B1D29" w:rsidRPr="00382D54">
              <w:rPr>
                <w:lang w:val="es-ES_tradnl"/>
              </w:rPr>
              <w:t>m</w:t>
            </w:r>
            <w:r w:rsidRPr="00382D54">
              <w:rPr>
                <w:lang w:val="es-ES_tradnl"/>
              </w:rPr>
              <w:t>ejora de la capacidad de más de 800</w:t>
            </w:r>
            <w:r w:rsidR="000B1D29">
              <w:rPr>
                <w:lang w:val="es-ES_tradnl"/>
              </w:rPr>
              <w:t> </w:t>
            </w:r>
            <w:r w:rsidRPr="00382D54">
              <w:rPr>
                <w:lang w:val="es-ES_tradnl"/>
              </w:rPr>
              <w:t>responsables de la elaboración de políticas y la toma de decisiones en materia de accesibilidad de las TIC para integrar la inclusión digital de todas las personas en la formulación y aplicación de políticas y estrategias de inclusión digital y permitir una participación más amplia de todos los ciudadanos en la sociedad y la economía digitales. Estas actividades de desarrollo de capacidades se llevaron a cabo en el marco de 11</w:t>
            </w:r>
            <w:r w:rsidR="000B1D29">
              <w:rPr>
                <w:lang w:val="es-ES_tradnl"/>
              </w:rPr>
              <w:t> </w:t>
            </w:r>
            <w:r w:rsidRPr="00382D54">
              <w:rPr>
                <w:lang w:val="es-ES_tradnl"/>
              </w:rPr>
              <w:t xml:space="preserve">plataformas mundiales, a través de </w:t>
            </w:r>
            <w:r w:rsidR="00D6327F">
              <w:rPr>
                <w:lang w:val="es-ES_tradnl"/>
              </w:rPr>
              <w:t>seis</w:t>
            </w:r>
            <w:r w:rsidR="000B1D29">
              <w:rPr>
                <w:lang w:val="es-ES_tradnl"/>
              </w:rPr>
              <w:t> </w:t>
            </w:r>
            <w:r w:rsidRPr="00382D54">
              <w:rPr>
                <w:lang w:val="es-ES_tradnl"/>
              </w:rPr>
              <w:t xml:space="preserve">sesiones en línea y </w:t>
            </w:r>
            <w:r w:rsidR="00D6327F">
              <w:rPr>
                <w:lang w:val="es-ES_tradnl"/>
              </w:rPr>
              <w:t>cinco</w:t>
            </w:r>
            <w:r w:rsidR="000B1D29">
              <w:rPr>
                <w:lang w:val="es-ES_tradnl"/>
              </w:rPr>
              <w:t> </w:t>
            </w:r>
            <w:r w:rsidRPr="00382D54">
              <w:rPr>
                <w:lang w:val="es-ES_tradnl"/>
              </w:rPr>
              <w:t>presenciales. Más de 1</w:t>
            </w:r>
            <w:r w:rsidR="000B1D29">
              <w:rPr>
                <w:lang w:val="es-ES_tradnl"/>
              </w:rPr>
              <w:t> </w:t>
            </w:r>
            <w:r w:rsidRPr="00382D54">
              <w:rPr>
                <w:lang w:val="es-ES_tradnl"/>
              </w:rPr>
              <w:t>000</w:t>
            </w:r>
            <w:r w:rsidR="000B1D29">
              <w:rPr>
                <w:lang w:val="es-ES_tradnl"/>
              </w:rPr>
              <w:t> </w:t>
            </w:r>
            <w:r w:rsidRPr="00382D54">
              <w:rPr>
                <w:lang w:val="es-ES_tradnl"/>
              </w:rPr>
              <w:t>participantes de 144</w:t>
            </w:r>
            <w:r w:rsidR="000B1D29">
              <w:rPr>
                <w:lang w:val="es-ES_tradnl"/>
              </w:rPr>
              <w:t> </w:t>
            </w:r>
            <w:r w:rsidRPr="00382D54">
              <w:rPr>
                <w:lang w:val="es-ES_tradnl"/>
              </w:rPr>
              <w:t>países se inscribieron en cursos en línea a fin de ampliar sus conocimientos en los campos de la accesibilidad de las TIC, las personas de edad y los pueblos indígenas, impartidos a través de la Academia de la</w:t>
            </w:r>
            <w:r w:rsidR="00D6327F">
              <w:rPr>
                <w:lang w:val="es-ES_tradnl"/>
              </w:rPr>
              <w:t> </w:t>
            </w:r>
            <w:r w:rsidRPr="00382D54">
              <w:rPr>
                <w:lang w:val="es-ES_tradnl"/>
              </w:rPr>
              <w:t>UIT (el 74</w:t>
            </w:r>
            <w:r w:rsidR="000B1D29">
              <w:rPr>
                <w:lang w:val="es-ES_tradnl"/>
              </w:rPr>
              <w:t> </w:t>
            </w:r>
            <w:r w:rsidRPr="00382D54">
              <w:rPr>
                <w:lang w:val="es-ES_tradnl"/>
              </w:rPr>
              <w:t>% de ellos procedían de países en desarrollo y el 42</w:t>
            </w:r>
            <w:r w:rsidR="000B1D29">
              <w:rPr>
                <w:lang w:val="es-ES_tradnl"/>
              </w:rPr>
              <w:t> </w:t>
            </w:r>
            <w:r w:rsidRPr="00382D54">
              <w:rPr>
                <w:lang w:val="es-ES_tradnl"/>
              </w:rPr>
              <w:t>% eran mujeres).</w:t>
            </w:r>
          </w:p>
          <w:p w14:paraId="740D505D" w14:textId="0D079467" w:rsidR="00382D54" w:rsidRPr="00382D54" w:rsidRDefault="00382D54" w:rsidP="00B405B1">
            <w:pPr>
              <w:pStyle w:val="Tabletext"/>
              <w:rPr>
                <w:lang w:val="es-ES_tradnl"/>
              </w:rPr>
            </w:pPr>
            <w:r w:rsidRPr="00382D54">
              <w:rPr>
                <w:b/>
                <w:bCs/>
                <w:lang w:val="es-ES_tradnl"/>
              </w:rPr>
              <w:t>Desarrollo de recursos de asesoramiento técnico:</w:t>
            </w:r>
            <w:r w:rsidRPr="000B1D29">
              <w:rPr>
                <w:lang w:val="es-ES"/>
              </w:rPr>
              <w:t xml:space="preserve"> </w:t>
            </w:r>
            <w:r w:rsidR="000B1D29" w:rsidRPr="00382D54">
              <w:rPr>
                <w:lang w:val="es-ES_tradnl"/>
              </w:rPr>
              <w:t>l</w:t>
            </w:r>
            <w:r w:rsidRPr="00382D54">
              <w:rPr>
                <w:lang w:val="es-ES_tradnl"/>
              </w:rPr>
              <w:t>a</w:t>
            </w:r>
            <w:r w:rsidR="00D6327F">
              <w:rPr>
                <w:lang w:val="es-ES_tradnl"/>
              </w:rPr>
              <w:t> </w:t>
            </w:r>
            <w:r w:rsidRPr="00382D54">
              <w:rPr>
                <w:lang w:val="es-ES_tradnl"/>
              </w:rPr>
              <w:t>BDT promovió la inclusión digital mediante la provisión de contenido y conocimientos técnicos sobre temas tales como la accesibilidad a las</w:t>
            </w:r>
            <w:r w:rsidR="00D6327F">
              <w:rPr>
                <w:lang w:val="es-ES_tradnl"/>
              </w:rPr>
              <w:t> </w:t>
            </w:r>
            <w:r w:rsidRPr="00382D54">
              <w:rPr>
                <w:lang w:val="es-ES_tradnl"/>
              </w:rPr>
              <w:t>TIC, la inclusión digital de las personas de edad, la igualdad de género y la capacitación digital de los jóvenes. Estas contribuciones apoyaron la labor de las Comisiones de Estudio de la UIT y enriquecieron diversas reuniones y eventos temáticos regionales y mundiales. La</w:t>
            </w:r>
            <w:r w:rsidR="00D6327F">
              <w:rPr>
                <w:lang w:val="es-ES_tradnl"/>
              </w:rPr>
              <w:t> </w:t>
            </w:r>
            <w:r w:rsidRPr="00382D54">
              <w:rPr>
                <w:lang w:val="es-ES_tradnl"/>
              </w:rPr>
              <w:t>BDT también apostó por la colaboración interinstitucional, aportando contribuciones a informes e iniciativas conjuntas en todo el sistema de las Naciones Unidas a través de proyectos intersectoriales.</w:t>
            </w:r>
          </w:p>
          <w:p w14:paraId="3DD0F2A7" w14:textId="0E2A1CA8" w:rsidR="00382D54" w:rsidRPr="00382D54" w:rsidRDefault="00382D54" w:rsidP="00B405B1">
            <w:pPr>
              <w:pStyle w:val="Tabletext"/>
              <w:rPr>
                <w:lang w:val="es-ES_tradnl"/>
              </w:rPr>
            </w:pPr>
            <w:r w:rsidRPr="00382D54">
              <w:rPr>
                <w:lang w:val="es-ES_tradnl"/>
              </w:rPr>
              <w:t>Se crearon seis nuevas herramientas didácticas, incluido el conjunto de herramientas UIT-OMS para una telesalud accesible. Actualmente, el repositorio de inclusión digital incluye más de 75</w:t>
            </w:r>
            <w:r w:rsidR="000B1D29">
              <w:rPr>
                <w:lang w:val="es-ES_tradnl"/>
              </w:rPr>
              <w:t> </w:t>
            </w:r>
            <w:r w:rsidRPr="00382D54">
              <w:rPr>
                <w:lang w:val="es-ES_tradnl"/>
              </w:rPr>
              <w:t>herramientas de apoyo a los Estados Miembros.</w:t>
            </w:r>
          </w:p>
          <w:p w14:paraId="13F9B5AE" w14:textId="7BB32469" w:rsidR="00382D54" w:rsidRPr="00382D54" w:rsidRDefault="00382D54" w:rsidP="00B405B1">
            <w:pPr>
              <w:pStyle w:val="Tabletext"/>
              <w:rPr>
                <w:lang w:val="es-ES_tradnl"/>
              </w:rPr>
            </w:pPr>
            <w:r w:rsidRPr="000B1D29">
              <w:rPr>
                <w:b/>
                <w:bCs/>
                <w:lang w:val="es-ES"/>
              </w:rPr>
              <w:lastRenderedPageBreak/>
              <w:t>Participación de los jóvenes:</w:t>
            </w:r>
            <w:r w:rsidRPr="00382D54">
              <w:rPr>
                <w:lang w:val="es-ES_tradnl"/>
              </w:rPr>
              <w:t xml:space="preserve"> </w:t>
            </w:r>
            <w:r w:rsidR="000B1D29" w:rsidRPr="00382D54">
              <w:rPr>
                <w:lang w:val="es-ES_tradnl"/>
              </w:rPr>
              <w:t>l</w:t>
            </w:r>
            <w:r w:rsidRPr="00382D54">
              <w:rPr>
                <w:lang w:val="es-ES_tradnl"/>
              </w:rPr>
              <w:t>a BDT impulsó en gran medida la participación de los jóvenes en la agenda de desarrollo digital, dotando de medios a 184</w:t>
            </w:r>
            <w:r w:rsidR="000B1D29">
              <w:rPr>
                <w:lang w:val="es-ES_tradnl"/>
              </w:rPr>
              <w:t> </w:t>
            </w:r>
            <w:r w:rsidRPr="00382D54">
              <w:rPr>
                <w:lang w:val="es-ES_tradnl"/>
              </w:rPr>
              <w:t>Enviados de la Juventud de Generation Connect de 64</w:t>
            </w:r>
            <w:r w:rsidR="000B1D29">
              <w:rPr>
                <w:lang w:val="es-ES_tradnl"/>
              </w:rPr>
              <w:t> </w:t>
            </w:r>
            <w:r w:rsidRPr="00382D54">
              <w:rPr>
                <w:lang w:val="es-ES_tradnl"/>
              </w:rPr>
              <w:t>países y dando voz a la juventud mundial a través de plataformas de la envergadura de la Cumbre Mundial de la Juventud de 2025 de la UIT. Los Enviados de la Juventud participaron estratégicamente en actividades dirigidas por la UIT, eventos, procesos de toma de decisiones, mentorías personalizada</w:t>
            </w:r>
            <w:r w:rsidR="003D4D6B">
              <w:rPr>
                <w:lang w:val="es-ES_tradnl"/>
              </w:rPr>
              <w:t>s</w:t>
            </w:r>
            <w:r w:rsidRPr="00382D54">
              <w:rPr>
                <w:lang w:val="es-ES_tradnl"/>
              </w:rPr>
              <w:t xml:space="preserve"> y formaciones sobre ámbitos temáticos clave de la Unión, incluidos el trabajo de la UIT y sus tres Sectores, el Plan de Acción de Kigali, la inclusión digital, las TIC y la accesibilidad web, la juventud y la ciberseguridad, el acceso equitativo a las TIC para los grupos marginados </w:t>
            </w:r>
            <w:r w:rsidR="008C47AB">
              <w:rPr>
                <w:rFonts w:cstheme="minorHAnsi"/>
                <w:lang w:val="es-ES_tradnl"/>
              </w:rPr>
              <w:t>−</w:t>
            </w:r>
            <w:r w:rsidRPr="00382D54">
              <w:rPr>
                <w:lang w:val="es-ES_tradnl"/>
              </w:rPr>
              <w:t>especialmente en las comunidades rurales y remotas</w:t>
            </w:r>
            <w:r w:rsidR="008C47AB">
              <w:rPr>
                <w:rFonts w:cstheme="minorHAnsi"/>
                <w:lang w:val="es-ES_tradnl"/>
              </w:rPr>
              <w:t>−</w:t>
            </w:r>
            <w:r w:rsidRPr="00382D54">
              <w:rPr>
                <w:lang w:val="es-ES_tradnl"/>
              </w:rPr>
              <w:t xml:space="preserve"> y la comunicación digital en situaciones de emergencia. Este holístico enfoque en materia de desarrollo de capacidades preparó a los jóvenes para impulsar una transformación digital inclusiva en sus comunidades.</w:t>
            </w:r>
          </w:p>
          <w:p w14:paraId="6DBB92D9" w14:textId="4B39821C" w:rsidR="00382D54" w:rsidRPr="00382D54" w:rsidRDefault="00382D54" w:rsidP="00B405B1">
            <w:pPr>
              <w:pStyle w:val="Tabletext"/>
              <w:rPr>
                <w:lang w:val="es-ES_tradnl"/>
              </w:rPr>
            </w:pPr>
            <w:r w:rsidRPr="00382D54">
              <w:rPr>
                <w:lang w:val="es-ES_tradnl"/>
              </w:rPr>
              <w:t>Además, en el contexto del proceso preparatorio de la Cumbre Mundial de la Juventud de 2025 de la UIT, la Unión facilitó la celebración de consultas con los representantes de los Enviados de la Juventud, a fin de recabar sus valiosas perspectivas sobre los retos y oportunidades inherentes a las TIC y garantizar que las prioridades de los jóvenes quedasen reflejadas en las estrategias regionales y los procesos mundiales de toma de decisiones.</w:t>
            </w:r>
          </w:p>
          <w:p w14:paraId="4FFD8957" w14:textId="0DCD257E" w:rsidR="00382D54" w:rsidRPr="00382D54" w:rsidRDefault="00382D54" w:rsidP="00B405B1">
            <w:pPr>
              <w:pStyle w:val="Tabletext"/>
              <w:rPr>
                <w:lang w:val="es-ES_tradnl"/>
              </w:rPr>
            </w:pPr>
            <w:r w:rsidRPr="00382D54">
              <w:rPr>
                <w:lang w:val="es-ES_tradnl"/>
              </w:rPr>
              <w:t xml:space="preserve">Un hito emblemático en el compromiso de la UIT con la juventud fue la Cumbre Mundial de la Juventud de 2025 (GYS-25), celebrada en Varadero (Cuba) bajo el lema </w:t>
            </w:r>
            <w:r w:rsidR="00B54FBF">
              <w:rPr>
                <w:lang w:val="es-ES_tradnl"/>
              </w:rPr>
              <w:t>"</w:t>
            </w:r>
            <w:r w:rsidRPr="00382D54">
              <w:rPr>
                <w:lang w:val="es-ES_tradnl"/>
              </w:rPr>
              <w:t>Amplificar las voces de los jóvenes para crear un mundo digital más inclusivo e interconectado</w:t>
            </w:r>
            <w:r w:rsidR="00B54FBF">
              <w:rPr>
                <w:lang w:val="es-ES_tradnl"/>
              </w:rPr>
              <w:t>"</w:t>
            </w:r>
            <w:r w:rsidRPr="00382D54">
              <w:rPr>
                <w:lang w:val="es-ES_tradnl"/>
              </w:rPr>
              <w:t>. La cumbre reunió a más de 400</w:t>
            </w:r>
            <w:r w:rsidR="000B1D29">
              <w:rPr>
                <w:lang w:val="es-ES_tradnl"/>
              </w:rPr>
              <w:t> </w:t>
            </w:r>
            <w:r w:rsidRPr="00382D54">
              <w:rPr>
                <w:lang w:val="es-ES_tradnl"/>
              </w:rPr>
              <w:t>participantes de 31</w:t>
            </w:r>
            <w:r w:rsidR="000B1D29">
              <w:rPr>
                <w:lang w:val="es-ES_tradnl"/>
              </w:rPr>
              <w:t> </w:t>
            </w:r>
            <w:r w:rsidRPr="00382D54">
              <w:rPr>
                <w:lang w:val="es-ES_tradnl"/>
              </w:rPr>
              <w:t>países, incluidas las seis regiones del mundo. En 12</w:t>
            </w:r>
            <w:r w:rsidR="000B1D29">
              <w:rPr>
                <w:lang w:val="es-ES_tradnl"/>
              </w:rPr>
              <w:t> </w:t>
            </w:r>
            <w:r w:rsidRPr="00382D54">
              <w:rPr>
                <w:lang w:val="es-ES_tradnl"/>
              </w:rPr>
              <w:t>sesiones dinámicas, celebradas a lo largo de tres días, los jóvenes presentaron iniciativas, intercambiaron prácticas idóneas, entablaron diálogos intergeneracionales y crearon redes para futuras colaboraciones. Los jóvenes definieron sus prioridades en términos de desarrollo digital y propusieron soluciones prácticas, reforzando su papel en la configuración de las estrategias mundiales relativas a las TIC.</w:t>
            </w:r>
          </w:p>
          <w:p w14:paraId="4C8AA7D8" w14:textId="12241E3B" w:rsidR="00382D54" w:rsidRPr="00382D54" w:rsidRDefault="00382D54" w:rsidP="00B405B1">
            <w:pPr>
              <w:pStyle w:val="Tabletext"/>
              <w:rPr>
                <w:lang w:val="es-ES_tradnl"/>
              </w:rPr>
            </w:pPr>
            <w:r w:rsidRPr="00B405B1">
              <w:rPr>
                <w:i/>
                <w:iCs/>
                <w:lang w:val="es-ES_tradnl"/>
              </w:rPr>
              <w:t>Los principales resultados de la GYS-25</w:t>
            </w:r>
            <w:bookmarkStart w:id="24" w:name="_Int_yy8s5WrJ"/>
            <w:r w:rsidRPr="00B405B1">
              <w:rPr>
                <w:i/>
                <w:iCs/>
                <w:lang w:val="es-ES_tradnl"/>
              </w:rPr>
              <w:t xml:space="preserve"> consistieron en</w:t>
            </w:r>
            <w:bookmarkEnd w:id="24"/>
            <w:r w:rsidRPr="00382D54">
              <w:rPr>
                <w:lang w:val="es-ES_tradnl"/>
              </w:rPr>
              <w:t xml:space="preserve"> potenciar las voces de los jóvenes en la formulación de políticas en favor de un acceso asequible e inclusivo a las TIC; reforzar las competencias digitales con el objetivo de dotas a los jóvenes de medios para participar de forma segura y efectiva en la economía digital; reafirmar el papel de la UIT como plataforma para la educación digital y las oportunidades de empleo impulsadas por los jóvenes; y promover la innovación y el espíritu empresarial juveniles como catalizadores del desarrollo socioeconómico.</w:t>
            </w:r>
          </w:p>
          <w:p w14:paraId="7E55F01E" w14:textId="490A112F" w:rsidR="00382D54" w:rsidRPr="00382D54" w:rsidRDefault="00382D54" w:rsidP="00B405B1">
            <w:pPr>
              <w:pStyle w:val="Tabletext"/>
              <w:rPr>
                <w:lang w:val="es-ES_tradnl"/>
              </w:rPr>
            </w:pPr>
            <w:r w:rsidRPr="00382D54">
              <w:rPr>
                <w:i/>
                <w:iCs/>
                <w:lang w:val="es-ES_tradnl"/>
              </w:rPr>
              <w:t>Programa de Jóvenes Líderes de Generation Connect (GCYLP)</w:t>
            </w:r>
            <w:r w:rsidRPr="00382D54">
              <w:rPr>
                <w:lang w:val="es-ES_tradnl"/>
              </w:rPr>
              <w:t xml:space="preserve">: </w:t>
            </w:r>
            <w:r w:rsidR="000B1D29">
              <w:rPr>
                <w:lang w:val="es-ES_tradnl"/>
              </w:rPr>
              <w:t>e</w:t>
            </w:r>
            <w:r w:rsidRPr="00382D54">
              <w:rPr>
                <w:lang w:val="es-ES_tradnl"/>
              </w:rPr>
              <w:t>l primer grupo de 30</w:t>
            </w:r>
            <w:r w:rsidR="000B1D29">
              <w:rPr>
                <w:lang w:val="es-ES_tradnl"/>
              </w:rPr>
              <w:t> </w:t>
            </w:r>
            <w:r w:rsidRPr="00382D54">
              <w:rPr>
                <w:lang w:val="es-ES_tradnl"/>
              </w:rPr>
              <w:t>becarios del GCYLP, seleccionados entre más de 5</w:t>
            </w:r>
            <w:r w:rsidR="000B1D29">
              <w:rPr>
                <w:lang w:val="es-ES_tradnl"/>
              </w:rPr>
              <w:t> </w:t>
            </w:r>
            <w:r w:rsidRPr="00382D54">
              <w:rPr>
                <w:lang w:val="es-ES_tradnl"/>
              </w:rPr>
              <w:t>000</w:t>
            </w:r>
            <w:r w:rsidR="000B1D29">
              <w:rPr>
                <w:lang w:val="es-ES_tradnl"/>
              </w:rPr>
              <w:t> </w:t>
            </w:r>
            <w:r w:rsidRPr="00382D54">
              <w:rPr>
                <w:lang w:val="es-ES_tradnl"/>
              </w:rPr>
              <w:t>solicitantes, reforzó sus competencias en liderazgo, innovación y gestión de proyectos a través de la Semana de Desarrollo del GCYLP. Cada becario recibió una beca de 5</w:t>
            </w:r>
            <w:r w:rsidR="000B1D29">
              <w:rPr>
                <w:lang w:val="es-ES_tradnl"/>
              </w:rPr>
              <w:t> </w:t>
            </w:r>
            <w:r w:rsidRPr="00382D54">
              <w:rPr>
                <w:lang w:val="es-ES_tradnl"/>
              </w:rPr>
              <w:t>000</w:t>
            </w:r>
            <w:r w:rsidR="000B1D29">
              <w:rPr>
                <w:lang w:val="es-ES_tradnl"/>
              </w:rPr>
              <w:t> </w:t>
            </w:r>
            <w:r w:rsidRPr="00382D54">
              <w:rPr>
                <w:lang w:val="es-ES_tradnl"/>
              </w:rPr>
              <w:t>USD para la puesta en marcha de proyectos digitales en sus comunidades locales y todos ellos siguen beneficiándose de tutorías virtuales mensuales, así como de sesiones y ejercicios de elaboración de informes. Cinco becarios obtuvieron financiación adicional por valor de 750</w:t>
            </w:r>
            <w:r w:rsidR="000B1D29">
              <w:rPr>
                <w:lang w:val="es-ES_tradnl"/>
              </w:rPr>
              <w:t> </w:t>
            </w:r>
            <w:r w:rsidRPr="00382D54">
              <w:rPr>
                <w:lang w:val="es-ES_tradnl"/>
              </w:rPr>
              <w:t>000</w:t>
            </w:r>
            <w:r w:rsidR="000B1D29">
              <w:rPr>
                <w:lang w:val="es-ES_tradnl"/>
              </w:rPr>
              <w:t> </w:t>
            </w:r>
            <w:r w:rsidRPr="00382D54">
              <w:rPr>
                <w:lang w:val="es-ES_tradnl"/>
              </w:rPr>
              <w:t xml:space="preserve">USD de otras organizaciones, lo que reforzó la sostenibilidad del proyecto. Gracias al apoyo del proyecto, estos han ampliado su influencia y sus redes de contactos mediante la participación como ponentes en eventos mundiales de primer orden, como pueden ser el Foro de Competencias Digitales de la UIT en Bahrein, el Foro Mundial de la Innovación de la UIT en Malta, la reunión de la Comisión de Estudio 1 del UIT-D, la COP29 en Azerbaiyán y la Conferencia Mundial de Internet en China, todos ellos celebrados en 2024. El </w:t>
            </w:r>
            <w:r w:rsidRPr="00382D54">
              <w:rPr>
                <w:lang w:val="es-ES_tradnl"/>
              </w:rPr>
              <w:lastRenderedPageBreak/>
              <w:t>plazo de presentación de candidaturas para el segundo grupo de becarios del GCYLP arrancó durante el Mobile World Congress organizado en Barcelona (España).</w:t>
            </w:r>
          </w:p>
          <w:p w14:paraId="41E9A942" w14:textId="1BCB5E97" w:rsidR="00382D54" w:rsidRPr="00382D54" w:rsidRDefault="00382D54" w:rsidP="00B405B1">
            <w:pPr>
              <w:pStyle w:val="Tabletext"/>
              <w:rPr>
                <w:lang w:val="es-ES_tradnl"/>
              </w:rPr>
            </w:pPr>
            <w:r w:rsidRPr="00382D54">
              <w:rPr>
                <w:b/>
                <w:bCs/>
                <w:lang w:val="es-ES_tradnl"/>
              </w:rPr>
              <w:t>Promover la igualdad de género en el mundo digital:</w:t>
            </w:r>
            <w:r w:rsidRPr="00382D54">
              <w:rPr>
                <w:lang w:val="es-ES_tradnl"/>
              </w:rPr>
              <w:t xml:space="preserve"> </w:t>
            </w:r>
            <w:r w:rsidR="000B1D29">
              <w:rPr>
                <w:lang w:val="es-ES_tradnl"/>
              </w:rPr>
              <w:t>l</w:t>
            </w:r>
            <w:r w:rsidRPr="00382D54">
              <w:rPr>
                <w:lang w:val="es-ES_tradnl"/>
              </w:rPr>
              <w:t>a</w:t>
            </w:r>
            <w:r w:rsidR="00E47941">
              <w:rPr>
                <w:lang w:val="es-ES_tradnl"/>
              </w:rPr>
              <w:t> </w:t>
            </w:r>
            <w:r w:rsidRPr="00382D54">
              <w:rPr>
                <w:lang w:val="es-ES_tradnl"/>
              </w:rPr>
              <w:t>BDT avanzó en su labor mundial de reducción de la brecha digital de género mediante iniciativas y asociaciones de gran calado.</w:t>
            </w:r>
          </w:p>
          <w:p w14:paraId="3C0F1448" w14:textId="10991C43" w:rsidR="00382D54" w:rsidRPr="00382D54" w:rsidRDefault="00382D54" w:rsidP="00B405B1">
            <w:pPr>
              <w:pStyle w:val="Tabletext"/>
              <w:rPr>
                <w:lang w:val="es-ES_tradnl"/>
              </w:rPr>
            </w:pPr>
            <w:r w:rsidRPr="00382D54">
              <w:rPr>
                <w:lang w:val="es-ES_tradnl"/>
              </w:rPr>
              <w:t xml:space="preserve">La Red de Mujeres en el UIT-D se mantuvo activa, organizando intercambios centrados en el género en el marco de eventos clave durante el GADT-24 y el GSR-24. También se puso en marcha un programa mentorías, en el contexto del proyecto </w:t>
            </w:r>
            <w:r w:rsidR="00B54FBF">
              <w:rPr>
                <w:lang w:val="es-ES_tradnl"/>
              </w:rPr>
              <w:t>"</w:t>
            </w:r>
            <w:r w:rsidRPr="00382D54">
              <w:rPr>
                <w:lang w:val="es-ES_tradnl"/>
              </w:rPr>
              <w:t>Creación de una red de mujeres líderes</w:t>
            </w:r>
            <w:r w:rsidR="00B54FBF">
              <w:rPr>
                <w:lang w:val="es-ES_tradnl"/>
              </w:rPr>
              <w:t>"</w:t>
            </w:r>
            <w:r w:rsidRPr="00382D54">
              <w:rPr>
                <w:lang w:val="es-ES_tradnl"/>
              </w:rPr>
              <w:t>, con el apoyo de Arabia Saudita, que congregó a más de 160</w:t>
            </w:r>
            <w:r w:rsidR="000B1D29">
              <w:rPr>
                <w:lang w:val="es-ES_tradnl"/>
              </w:rPr>
              <w:t> </w:t>
            </w:r>
            <w:r w:rsidRPr="00382D54">
              <w:rPr>
                <w:lang w:val="es-ES_tradnl"/>
              </w:rPr>
              <w:t>participantes con el objetivo de impulsar el liderazgo femenino en el sector de las TIC antes de la CMDT-25.</w:t>
            </w:r>
          </w:p>
          <w:p w14:paraId="2989D6B0" w14:textId="5CDDED09" w:rsidR="00382D54" w:rsidRPr="00382D54" w:rsidRDefault="00382D54" w:rsidP="00B405B1">
            <w:pPr>
              <w:pStyle w:val="Tabletext"/>
              <w:rPr>
                <w:lang w:val="es-ES_tradnl"/>
              </w:rPr>
            </w:pPr>
            <w:r w:rsidRPr="00382D54">
              <w:rPr>
                <w:lang w:val="es-ES_tradnl"/>
              </w:rPr>
              <w:t>Se redactaron informes sobre políticas de género para la República Dominicana y Libia con el respaldo del Departamento de Estado de los Estados Unidos.</w:t>
            </w:r>
          </w:p>
          <w:p w14:paraId="27FDF12F" w14:textId="742ED2AB" w:rsidR="00382D54" w:rsidRPr="00382D54" w:rsidRDefault="00382D54" w:rsidP="00B405B1">
            <w:pPr>
              <w:pStyle w:val="Tabletext"/>
              <w:rPr>
                <w:lang w:val="es-ES_tradnl"/>
              </w:rPr>
            </w:pPr>
            <w:r w:rsidRPr="00382D54">
              <w:rPr>
                <w:lang w:val="es-ES_tradnl"/>
              </w:rPr>
              <w:t>El Día de las Niñas en las TIC de 2024 se celebró en todo el mundo con 193</w:t>
            </w:r>
            <w:r w:rsidR="000B1D29">
              <w:rPr>
                <w:lang w:val="es-ES_tradnl"/>
              </w:rPr>
              <w:t> </w:t>
            </w:r>
            <w:r w:rsidRPr="00382D54">
              <w:rPr>
                <w:lang w:val="es-ES_tradnl"/>
              </w:rPr>
              <w:t>eventos en más de 84</w:t>
            </w:r>
            <w:r w:rsidR="000B1D29">
              <w:rPr>
                <w:lang w:val="es-ES_tradnl"/>
              </w:rPr>
              <w:t> </w:t>
            </w:r>
            <w:r w:rsidRPr="00382D54">
              <w:rPr>
                <w:lang w:val="es-ES_tradnl"/>
              </w:rPr>
              <w:t>países, lo que permitió llegar a más de 40</w:t>
            </w:r>
            <w:r w:rsidR="000B1D29">
              <w:rPr>
                <w:lang w:val="es-ES_tradnl"/>
              </w:rPr>
              <w:t> </w:t>
            </w:r>
            <w:r w:rsidRPr="00382D54">
              <w:rPr>
                <w:lang w:val="es-ES_tradnl"/>
              </w:rPr>
              <w:t>000</w:t>
            </w:r>
            <w:r w:rsidR="000B1D29">
              <w:rPr>
                <w:lang w:val="es-ES_tradnl"/>
              </w:rPr>
              <w:t> </w:t>
            </w:r>
            <w:r w:rsidRPr="00382D54">
              <w:rPr>
                <w:lang w:val="es-ES_tradnl"/>
              </w:rPr>
              <w:t>niñas y mujeres jóvenes. Ya están en marcha los preparativos para el Día Internacional de 2025, que organizarán conjuntamente las regiones de la CEI y los Estados Árabes.</w:t>
            </w:r>
          </w:p>
          <w:p w14:paraId="541A6A58" w14:textId="7B6F22A9" w:rsidR="00382D54" w:rsidRPr="00382D54" w:rsidRDefault="00382D54" w:rsidP="00B405B1">
            <w:pPr>
              <w:pStyle w:val="Tabletext"/>
              <w:rPr>
                <w:lang w:val="es-ES_tradnl"/>
              </w:rPr>
            </w:pPr>
            <w:r w:rsidRPr="00382D54">
              <w:rPr>
                <w:lang w:val="es-ES_tradnl"/>
              </w:rPr>
              <w:t>La iniciativa HerDigitalSkills de EQUALS, en la que colaboraron Qualcomm, Verizon y Ernst &amp; Young, permitió a 1</w:t>
            </w:r>
            <w:r w:rsidR="000B1D29">
              <w:rPr>
                <w:lang w:val="es-ES_tradnl"/>
              </w:rPr>
              <w:t> </w:t>
            </w:r>
            <w:r w:rsidRPr="00382D54">
              <w:rPr>
                <w:lang w:val="es-ES_tradnl"/>
              </w:rPr>
              <w:t>448</w:t>
            </w:r>
            <w:r w:rsidR="000B1D29">
              <w:rPr>
                <w:lang w:val="es-ES_tradnl"/>
              </w:rPr>
              <w:t> </w:t>
            </w:r>
            <w:r w:rsidRPr="00382D54">
              <w:rPr>
                <w:lang w:val="es-ES_tradnl"/>
              </w:rPr>
              <w:t>niñas y mujeres jóvenes de 14</w:t>
            </w:r>
            <w:r w:rsidR="000B1D29">
              <w:rPr>
                <w:lang w:val="es-ES_tradnl"/>
              </w:rPr>
              <w:t> </w:t>
            </w:r>
            <w:r w:rsidRPr="00382D54">
              <w:rPr>
                <w:lang w:val="es-ES_tradnl"/>
              </w:rPr>
              <w:t>países reforzar sus conocimientos y su confianza en la aplicación práctica de las competencias digitales. También se pusieron en marcha 13</w:t>
            </w:r>
            <w:r w:rsidR="000B1D29">
              <w:rPr>
                <w:lang w:val="es-ES_tradnl"/>
              </w:rPr>
              <w:t> </w:t>
            </w:r>
            <w:r w:rsidRPr="00382D54">
              <w:rPr>
                <w:lang w:val="es-ES_tradnl"/>
              </w:rPr>
              <w:t>cursos de formación a través de la Academia de la UIT, los cuales contribuyeron al desarrollo de competencias digitales inclusivas en todo el mundo.</w:t>
            </w:r>
          </w:p>
          <w:p w14:paraId="146E9CBF" w14:textId="20E41532" w:rsidR="00382D54" w:rsidRPr="00382D54" w:rsidRDefault="00382D54" w:rsidP="00B405B1">
            <w:pPr>
              <w:pStyle w:val="Tabletext"/>
              <w:rPr>
                <w:lang w:val="es-ES_tradnl"/>
              </w:rPr>
            </w:pPr>
            <w:r w:rsidRPr="00382D54">
              <w:rPr>
                <w:lang w:val="es-ES_tradnl"/>
              </w:rPr>
              <w:t>En 2024, la</w:t>
            </w:r>
            <w:r w:rsidR="004C468D">
              <w:rPr>
                <w:lang w:val="es-ES_tradnl"/>
              </w:rPr>
              <w:t> </w:t>
            </w:r>
            <w:r w:rsidRPr="00382D54">
              <w:rPr>
                <w:lang w:val="es-ES_tradnl"/>
              </w:rPr>
              <w:t>BDT siguió impulsando los avances en materia de diversidad e inclusión como factores esenciales del desarrollo digital, con esfuerzos coordinados en todas las regiones de la UIT y el firme apoyo de la sede.</w:t>
            </w:r>
          </w:p>
          <w:p w14:paraId="727FF8A4" w14:textId="24163B23" w:rsidR="00382D54" w:rsidRPr="004C34D9" w:rsidRDefault="00382D54" w:rsidP="00B405B1">
            <w:pPr>
              <w:pStyle w:val="Tabletext"/>
              <w:rPr>
                <w:b/>
                <w:bCs/>
                <w:lang w:val="es-ES_tradnl"/>
              </w:rPr>
            </w:pPr>
            <w:r w:rsidRPr="004C34D9">
              <w:rPr>
                <w:b/>
                <w:bCs/>
                <w:lang w:val="es-ES_tradnl"/>
              </w:rPr>
              <w:t>Principales actividades regionales emprendidas</w:t>
            </w:r>
          </w:p>
          <w:p w14:paraId="3272A0B1" w14:textId="772D52B4" w:rsidR="00382D54" w:rsidRPr="00382D54" w:rsidRDefault="004C34D9" w:rsidP="003B2D11">
            <w:pPr>
              <w:pStyle w:val="Tabletext"/>
              <w:tabs>
                <w:tab w:val="clear" w:pos="284"/>
              </w:tabs>
              <w:ind w:left="567" w:hanging="567"/>
              <w:rPr>
                <w:lang w:val="es-ES"/>
              </w:rPr>
            </w:pPr>
            <w:r w:rsidRPr="00860D32">
              <w:rPr>
                <w:lang w:val="es-ES"/>
              </w:rPr>
              <w:t>–</w:t>
            </w:r>
            <w:r>
              <w:rPr>
                <w:lang w:val="es-ES"/>
              </w:rPr>
              <w:tab/>
            </w:r>
            <w:r w:rsidR="00382D54" w:rsidRPr="00382D54">
              <w:rPr>
                <w:b/>
                <w:bCs/>
                <w:lang w:val="es-ES"/>
              </w:rPr>
              <w:t>En la región de África</w:t>
            </w:r>
            <w:r w:rsidR="00382D54" w:rsidRPr="00382D54">
              <w:rPr>
                <w:lang w:val="es-ES"/>
              </w:rPr>
              <w:t xml:space="preserve">, se elaboró un primer proyecto de </w:t>
            </w:r>
            <w:r w:rsidR="004C468D">
              <w:rPr>
                <w:lang w:val="es-ES"/>
              </w:rPr>
              <w:t>e</w:t>
            </w:r>
            <w:r w:rsidR="00382D54" w:rsidRPr="00382D54">
              <w:rPr>
                <w:lang w:val="es-ES"/>
              </w:rPr>
              <w:t xml:space="preserve">strategia </w:t>
            </w:r>
            <w:r w:rsidR="004C468D">
              <w:rPr>
                <w:lang w:val="es-ES"/>
              </w:rPr>
              <w:t>n</w:t>
            </w:r>
            <w:r w:rsidR="00382D54" w:rsidRPr="00382D54">
              <w:rPr>
                <w:lang w:val="es-ES"/>
              </w:rPr>
              <w:t xml:space="preserve">acional para la </w:t>
            </w:r>
            <w:r w:rsidR="004C468D" w:rsidRPr="00382D54">
              <w:rPr>
                <w:lang w:val="es-ES"/>
              </w:rPr>
              <w:t>i</w:t>
            </w:r>
            <w:r w:rsidR="00382D54" w:rsidRPr="00382D54">
              <w:rPr>
                <w:lang w:val="es-ES"/>
              </w:rPr>
              <w:t xml:space="preserve">nclusión </w:t>
            </w:r>
            <w:r w:rsidR="004C468D" w:rsidRPr="00382D54">
              <w:rPr>
                <w:lang w:val="es-ES"/>
              </w:rPr>
              <w:t>d</w:t>
            </w:r>
            <w:r w:rsidR="00382D54" w:rsidRPr="00382D54">
              <w:rPr>
                <w:lang w:val="es-ES"/>
              </w:rPr>
              <w:t>igital en Burundi. Esta iniciativa estratégica permitió aumentar el nivel de sensibilización y apoyo de las partes interesadas en la formulación, desde un punto de vista holístico e interseccional, de una estrategia nacional capaz de garantizar que todos los usuarios pudieran acceder a la tecnología, utilizarla y obtener conocimientos al respecto de forma igualitaria y equitativa, así como participar activamente en la sociedad y la economía digitales de Burundi.</w:t>
            </w:r>
          </w:p>
          <w:p w14:paraId="728B7C8A" w14:textId="77777777" w:rsidR="00382D54" w:rsidRPr="00382D54" w:rsidRDefault="00382D54" w:rsidP="004C34D9">
            <w:pPr>
              <w:pStyle w:val="Tabletext"/>
              <w:ind w:left="567"/>
              <w:rPr>
                <w:lang w:val="es-ES_tradnl"/>
              </w:rPr>
            </w:pPr>
            <w:r w:rsidRPr="00382D54">
              <w:rPr>
                <w:lang w:val="es-ES_tradnl"/>
              </w:rPr>
              <w:t xml:space="preserve">Se impartió un programa de formación en TIC para indígenas en África. Este programa se concibió específicamente para comunidades rurales, adaptando al contexto africano un modelo que se había aplicado con éxito en América Latina. El objetivo de este </w:t>
            </w:r>
            <w:r w:rsidRPr="004C34D9">
              <w:rPr>
                <w:lang w:val="es-ES"/>
              </w:rPr>
              <w:t>programa</w:t>
            </w:r>
            <w:r w:rsidRPr="00382D54">
              <w:rPr>
                <w:lang w:val="es-ES_tradnl"/>
              </w:rPr>
              <w:t xml:space="preserve"> fue proporcionar a grupos indígenas africanos conocimientos básicos sobre TIC y competencias digitales prácticas. El programa abarcó conocimientos digitales holísticos, por ejemplo, en relación con el desarrollo, el despliegue y el mantenimiento de equipos, así como con el uso de plataformas digitales. Su eficacia a efectos de la inclusión de comunidades rurales, remotas e indígenas, aumentando la alfabetización digital, las oportunidades formación y la participación socioeconómica, ha quedado demostrada.</w:t>
            </w:r>
          </w:p>
          <w:p w14:paraId="6C35BCF5" w14:textId="55475263" w:rsidR="00382D54" w:rsidRPr="00382D54" w:rsidRDefault="00382D54" w:rsidP="004C34D9">
            <w:pPr>
              <w:pStyle w:val="Tabletext"/>
              <w:ind w:left="567"/>
              <w:rPr>
                <w:lang w:val="es-ES_tradnl"/>
              </w:rPr>
            </w:pPr>
            <w:r w:rsidRPr="00382D54">
              <w:rPr>
                <w:lang w:val="es-ES_tradnl"/>
              </w:rPr>
              <w:lastRenderedPageBreak/>
              <w:t>La inclusión de los jóvenes siguió ocupando un lugar central en la labor de la</w:t>
            </w:r>
            <w:r w:rsidR="004C468D">
              <w:rPr>
                <w:lang w:val="es-ES_tradnl"/>
              </w:rPr>
              <w:t> </w:t>
            </w:r>
            <w:r w:rsidRPr="00382D54">
              <w:rPr>
                <w:lang w:val="es-ES_tradnl"/>
              </w:rPr>
              <w:t xml:space="preserve">BDT en África. La Oficina Regional para África organizó una ceremonia simbólica, en cuyo marco los antiguos Enviados de la Juventud de Generation Connect pasaron la antorcha </w:t>
            </w:r>
            <w:r w:rsidR="004C468D">
              <w:rPr>
                <w:lang w:val="es-ES_tradnl"/>
              </w:rPr>
              <w:t xml:space="preserve">a </w:t>
            </w:r>
            <w:r w:rsidRPr="00382D54">
              <w:rPr>
                <w:lang w:val="es-ES_tradnl"/>
              </w:rPr>
              <w:t xml:space="preserve">los nuevos y ejercieron las veces de mentores de estos últimos, compartiendo ideas prácticas y reforzando una cultura de </w:t>
            </w:r>
            <w:r w:rsidRPr="004C34D9">
              <w:rPr>
                <w:lang w:val="es-ES"/>
              </w:rPr>
              <w:t>continuidad</w:t>
            </w:r>
            <w:r w:rsidRPr="00382D54">
              <w:rPr>
                <w:lang w:val="es-ES_tradnl"/>
              </w:rPr>
              <w:t xml:space="preserve"> en el liderazgo. Este evento, impulsado por los mentores, insufló energía a la nueva promoción y subrayó su papel fundamental en la configuración del desarrollo digital en el continente. A lo largo de 2024, los </w:t>
            </w:r>
            <w:r w:rsidR="00E47941" w:rsidRPr="00382D54">
              <w:rPr>
                <w:lang w:val="es-ES_tradnl"/>
              </w:rPr>
              <w:t xml:space="preserve">Enviados </w:t>
            </w:r>
            <w:r w:rsidRPr="00382D54">
              <w:rPr>
                <w:lang w:val="es-ES_tradnl"/>
              </w:rPr>
              <w:t xml:space="preserve">de la </w:t>
            </w:r>
            <w:r w:rsidR="00E47941" w:rsidRPr="00382D54">
              <w:rPr>
                <w:lang w:val="es-ES_tradnl"/>
              </w:rPr>
              <w:t xml:space="preserve">Juventud </w:t>
            </w:r>
            <w:r w:rsidRPr="00382D54">
              <w:rPr>
                <w:lang w:val="es-ES_tradnl"/>
              </w:rPr>
              <w:t>de África participaron en investigaciones y consultas, generando recomendaciones exhaustivas sobre un desarrollo digital centrado en los jóvenes, lo que afianzó aún más sus voces en los procesos regionales de formulación de políticas digitales.</w:t>
            </w:r>
          </w:p>
          <w:p w14:paraId="649EE289" w14:textId="14357A1A" w:rsidR="00382D54" w:rsidRPr="00382D54" w:rsidRDefault="003B2D11" w:rsidP="003B2D11">
            <w:pPr>
              <w:pStyle w:val="Tabletext"/>
              <w:tabs>
                <w:tab w:val="clear" w:pos="284"/>
              </w:tabs>
              <w:ind w:left="567" w:hanging="567"/>
              <w:rPr>
                <w:lang w:val="es-ES"/>
              </w:rPr>
            </w:pPr>
            <w:r w:rsidRPr="00860D32">
              <w:rPr>
                <w:lang w:val="es-ES"/>
              </w:rPr>
              <w:t>–</w:t>
            </w:r>
            <w:r>
              <w:rPr>
                <w:lang w:val="es-ES"/>
              </w:rPr>
              <w:tab/>
            </w:r>
            <w:r w:rsidR="00382D54" w:rsidRPr="00382D54">
              <w:rPr>
                <w:b/>
                <w:bCs/>
                <w:lang w:val="es-ES"/>
              </w:rPr>
              <w:t>En la región de las Américas</w:t>
            </w:r>
            <w:r w:rsidR="00382D54" w:rsidRPr="00382D54">
              <w:rPr>
                <w:lang w:val="es-ES"/>
              </w:rPr>
              <w:t>, más de 130</w:t>
            </w:r>
            <w:r w:rsidR="000B1D29">
              <w:rPr>
                <w:lang w:val="es-ES"/>
              </w:rPr>
              <w:t> </w:t>
            </w:r>
            <w:r w:rsidR="00382D54" w:rsidRPr="00382D54">
              <w:rPr>
                <w:lang w:val="es-ES"/>
              </w:rPr>
              <w:t>delegados de diversos Estados Miembros reforzaron sus conocimientos y su nivel de concienciación en lo que respecta a la accesibilidad de las TIC, lo que propició una serie de compromisos a efectos de la adopción de políticas digitales inclusivas a escala nacional durante el foro América Accesible de 2024, que se celebró en México. El evento también facilitó el intercambio de buenas prácticas en materia de inclusión digital en toda la región. Aprovechando este impulso, ya se han iniciado los preparativos del foro América Accesible de 2025.</w:t>
            </w:r>
          </w:p>
          <w:p w14:paraId="3E659263" w14:textId="45D4318F" w:rsidR="00382D54" w:rsidRPr="00382D54" w:rsidDel="00B941B9" w:rsidRDefault="00382D54" w:rsidP="004C34D9">
            <w:pPr>
              <w:pStyle w:val="Tabletext"/>
              <w:ind w:left="567"/>
              <w:rPr>
                <w:lang w:val="es-ES_tradnl"/>
              </w:rPr>
            </w:pPr>
            <w:r w:rsidRPr="00382D54">
              <w:rPr>
                <w:lang w:val="es-ES_tradnl"/>
              </w:rPr>
              <w:t>Una sesión de formación práctica sobre gestión de proyectos y mantenimiento de redes TIC para comunidades indígenas y remotas dotó a 133</w:t>
            </w:r>
            <w:r w:rsidR="000B1D29">
              <w:rPr>
                <w:lang w:val="es-ES"/>
              </w:rPr>
              <w:t> </w:t>
            </w:r>
            <w:r w:rsidRPr="00382D54">
              <w:rPr>
                <w:lang w:val="es-ES_tradnl"/>
              </w:rPr>
              <w:t>participantes de 11</w:t>
            </w:r>
            <w:r w:rsidR="000B1D29">
              <w:rPr>
                <w:lang w:val="es-ES"/>
              </w:rPr>
              <w:t> </w:t>
            </w:r>
            <w:r w:rsidRPr="00382D54">
              <w:rPr>
                <w:lang w:val="es-ES_tradnl"/>
              </w:rPr>
              <w:t>países de competencias prácticas para el refuerzo de la infraestructura digital local.</w:t>
            </w:r>
          </w:p>
          <w:p w14:paraId="59ADBA07" w14:textId="022DC1A9" w:rsidR="00382D54" w:rsidRPr="00382D54" w:rsidRDefault="00382D54" w:rsidP="004C34D9">
            <w:pPr>
              <w:pStyle w:val="Tabletext"/>
              <w:ind w:left="567"/>
              <w:rPr>
                <w:lang w:val="es-ES_tradnl"/>
              </w:rPr>
            </w:pPr>
            <w:r w:rsidRPr="00382D54">
              <w:rPr>
                <w:lang w:val="es-ES_tradnl"/>
              </w:rPr>
              <w:t>De los talleres de las Niñas en las TIC se beneficiaron 1</w:t>
            </w:r>
            <w:r w:rsidR="000B1D29">
              <w:rPr>
                <w:lang w:val="es-ES"/>
              </w:rPr>
              <w:t> </w:t>
            </w:r>
            <w:r w:rsidRPr="00382D54">
              <w:rPr>
                <w:lang w:val="es-ES_tradnl"/>
              </w:rPr>
              <w:t>448</w:t>
            </w:r>
            <w:r w:rsidR="000B1D29">
              <w:rPr>
                <w:lang w:val="es-ES"/>
              </w:rPr>
              <w:t> </w:t>
            </w:r>
            <w:r w:rsidRPr="00382D54">
              <w:rPr>
                <w:lang w:val="es-ES_tradnl"/>
              </w:rPr>
              <w:t>niñas y mujeres jóvenes de 14</w:t>
            </w:r>
            <w:r w:rsidR="000B1D29">
              <w:rPr>
                <w:lang w:val="es-ES"/>
              </w:rPr>
              <w:t> </w:t>
            </w:r>
            <w:r w:rsidRPr="00382D54">
              <w:rPr>
                <w:lang w:val="es-ES_tradnl"/>
              </w:rPr>
              <w:t>países de la región, lo que contribuyó a un movimiento mundial que inspiró a más de 40</w:t>
            </w:r>
            <w:r w:rsidR="000B1D29">
              <w:rPr>
                <w:lang w:val="es-ES"/>
              </w:rPr>
              <w:t> </w:t>
            </w:r>
            <w:r w:rsidRPr="00382D54">
              <w:rPr>
                <w:lang w:val="es-ES_tradnl"/>
              </w:rPr>
              <w:t>000</w:t>
            </w:r>
            <w:r w:rsidR="000B1D29">
              <w:rPr>
                <w:lang w:val="es-ES"/>
              </w:rPr>
              <w:t> </w:t>
            </w:r>
            <w:r w:rsidRPr="00382D54">
              <w:rPr>
                <w:lang w:val="es-ES_tradnl"/>
              </w:rPr>
              <w:t>participantes de 84</w:t>
            </w:r>
            <w:r w:rsidR="000B1D29">
              <w:rPr>
                <w:lang w:val="es-ES"/>
              </w:rPr>
              <w:t> </w:t>
            </w:r>
            <w:r w:rsidRPr="00382D54">
              <w:rPr>
                <w:lang w:val="es-ES_tradnl"/>
              </w:rPr>
              <w:t>países. Estas iniciativas siguen cobrando impulso y ya están en marcha los preparativos regionales para las celebraciones de 2025 en Brasil y Chile.</w:t>
            </w:r>
          </w:p>
          <w:p w14:paraId="78C6851E" w14:textId="45EDA3BF" w:rsidR="00382D54" w:rsidRPr="00382D54" w:rsidDel="00B941B9" w:rsidRDefault="00382D54" w:rsidP="004C34D9">
            <w:pPr>
              <w:pStyle w:val="Tabletext"/>
              <w:ind w:left="567"/>
              <w:rPr>
                <w:lang w:val="es-ES_tradnl"/>
              </w:rPr>
            </w:pPr>
            <w:r w:rsidRPr="00382D54">
              <w:rPr>
                <w:lang w:val="es-ES_tradnl"/>
              </w:rPr>
              <w:t xml:space="preserve">Los Enviados de la Juventud de Generation Connect desempeñaron un papel activo en los debates atinentes a las estrategias digitales nacionales, reforzando así su papel en la configuración de un futuro digital inclusivo, gracias a su participación en eventos tales como el seminario subregional titulado "Prioridades para los jóvenes en el mundo digital: empleo y educación", celebrado en Chile, en cuyo marco Estados Miembros y líderes de la industria de las telecomunicaciones tuvieron la ocasión de analizar el tema de este año, centrado en </w:t>
            </w:r>
            <w:r w:rsidR="00B54FBF">
              <w:rPr>
                <w:lang w:val="es-ES_tradnl"/>
              </w:rPr>
              <w:t>"</w:t>
            </w:r>
            <w:r w:rsidRPr="00382D54">
              <w:rPr>
                <w:lang w:val="es-ES_tradnl"/>
              </w:rPr>
              <w:t>la innovación digital para el desarrollo sostenible</w:t>
            </w:r>
            <w:r w:rsidR="00B54FBF">
              <w:rPr>
                <w:lang w:val="es-ES_tradnl"/>
              </w:rPr>
              <w:t>"</w:t>
            </w:r>
            <w:r w:rsidRPr="00382D54">
              <w:rPr>
                <w:lang w:val="es-ES_tradnl"/>
              </w:rPr>
              <w:t>.</w:t>
            </w:r>
          </w:p>
          <w:p w14:paraId="72EDC349" w14:textId="71926A28" w:rsidR="00382D54" w:rsidRPr="00382D54" w:rsidRDefault="003B2D11" w:rsidP="003B2D11">
            <w:pPr>
              <w:pStyle w:val="Tabletext"/>
              <w:tabs>
                <w:tab w:val="clear" w:pos="284"/>
              </w:tabs>
              <w:ind w:left="567" w:hanging="567"/>
              <w:rPr>
                <w:lang w:val="es-ES"/>
              </w:rPr>
            </w:pPr>
            <w:r w:rsidRPr="00860D32">
              <w:rPr>
                <w:lang w:val="es-ES"/>
              </w:rPr>
              <w:t>–</w:t>
            </w:r>
            <w:r>
              <w:rPr>
                <w:lang w:val="es-ES"/>
              </w:rPr>
              <w:tab/>
            </w:r>
            <w:r w:rsidR="00382D54" w:rsidRPr="00382D54">
              <w:rPr>
                <w:b/>
                <w:bCs/>
                <w:lang w:val="es-ES"/>
              </w:rPr>
              <w:t>En la región de los Estados Árabes</w:t>
            </w:r>
            <w:r w:rsidR="00382D54" w:rsidRPr="00382D54">
              <w:rPr>
                <w:lang w:val="es-ES"/>
              </w:rPr>
              <w:t xml:space="preserve"> se ha estado preparando la edición de 2025 de Estados Árabes Accesibles – TIC para TODOS. El evento se celebró en Jordania los días 29 y 30 de abril.</w:t>
            </w:r>
          </w:p>
          <w:p w14:paraId="2669BD3C" w14:textId="77777777" w:rsidR="00382D54" w:rsidRPr="00382D54" w:rsidRDefault="00382D54" w:rsidP="004C34D9">
            <w:pPr>
              <w:pStyle w:val="Tabletext"/>
              <w:ind w:left="567"/>
              <w:rPr>
                <w:lang w:val="es-ES_tradnl"/>
              </w:rPr>
            </w:pPr>
            <w:r w:rsidRPr="00382D54">
              <w:rPr>
                <w:lang w:val="es-ES_tradnl"/>
              </w:rPr>
              <w:t xml:space="preserve">Se organizaron celebraciones del Día de las Niñas en las TIC de 2024 en Líbano, Egipto y Palestina. Los eventos inspiraron a cientos de </w:t>
            </w:r>
            <w:r w:rsidRPr="004C34D9">
              <w:rPr>
                <w:lang w:val="es-ES"/>
              </w:rPr>
              <w:t>niñas</w:t>
            </w:r>
            <w:r w:rsidRPr="00382D54">
              <w:rPr>
                <w:lang w:val="es-ES_tradnl"/>
              </w:rPr>
              <w:t>, promovieron el concepto de ciudadanía digital y pusieron en marcha campañas nacionales para dotar a las niñas y las mujeres jóvenes de las capacidades y la confianza necesarias para prosperar en la economía digital.</w:t>
            </w:r>
          </w:p>
          <w:p w14:paraId="418D680F" w14:textId="413B123A" w:rsidR="00382D54" w:rsidRPr="00382D54" w:rsidRDefault="00382D54" w:rsidP="00ED244A">
            <w:pPr>
              <w:pStyle w:val="Tabletext"/>
              <w:keepNext/>
              <w:keepLines/>
              <w:ind w:left="567"/>
              <w:rPr>
                <w:lang w:val="es-ES_tradnl"/>
              </w:rPr>
            </w:pPr>
            <w:r w:rsidRPr="00382D54">
              <w:rPr>
                <w:lang w:val="es-ES_tradnl"/>
              </w:rPr>
              <w:lastRenderedPageBreak/>
              <w:t xml:space="preserve">Los Enviados de la Juventud de Generation Connect participaron en foros y plataformas regionales, donde se les ofreció la oportunidad de recibir mentorías e intercambiar conocimientos, incluida la ceremonia en cuyo marco los antiguos Enviados de la Juventud de los Estados Árabes de Generation Connect pasaron la antorcha </w:t>
            </w:r>
            <w:r w:rsidR="004C468D">
              <w:rPr>
                <w:lang w:val="es-ES_tradnl"/>
              </w:rPr>
              <w:t xml:space="preserve">a </w:t>
            </w:r>
            <w:r w:rsidRPr="00382D54">
              <w:rPr>
                <w:lang w:val="es-ES_tradnl"/>
              </w:rPr>
              <w:t>los nuevos, facilitando así la transferencia de conocimientos y el establecimiento de mentorías entre ellos.</w:t>
            </w:r>
          </w:p>
          <w:p w14:paraId="68DDE94E" w14:textId="035C6092" w:rsidR="00382D54" w:rsidRPr="00382D54" w:rsidRDefault="003B2D11" w:rsidP="003B2D11">
            <w:pPr>
              <w:pStyle w:val="Tabletext"/>
              <w:tabs>
                <w:tab w:val="clear" w:pos="284"/>
              </w:tabs>
              <w:ind w:left="567" w:hanging="567"/>
              <w:rPr>
                <w:lang w:val="es-ES"/>
              </w:rPr>
            </w:pPr>
            <w:r w:rsidRPr="00860D32">
              <w:rPr>
                <w:lang w:val="es-ES"/>
              </w:rPr>
              <w:t>–</w:t>
            </w:r>
            <w:r>
              <w:rPr>
                <w:lang w:val="es-ES"/>
              </w:rPr>
              <w:tab/>
            </w:r>
            <w:r w:rsidR="00382D54" w:rsidRPr="00382D54">
              <w:rPr>
                <w:b/>
                <w:bCs/>
                <w:lang w:val="es-ES"/>
              </w:rPr>
              <w:t>En la región de Asia</w:t>
            </w:r>
            <w:r w:rsidR="000B1D29">
              <w:rPr>
                <w:b/>
                <w:bCs/>
                <w:lang w:val="es-ES"/>
              </w:rPr>
              <w:noBreakHyphen/>
            </w:r>
            <w:r w:rsidR="00382D54" w:rsidRPr="00382D54">
              <w:rPr>
                <w:b/>
                <w:bCs/>
                <w:lang w:val="es-ES"/>
              </w:rPr>
              <w:t>Pacífico</w:t>
            </w:r>
            <w:r w:rsidR="00382D54" w:rsidRPr="00382D54">
              <w:rPr>
                <w:lang w:val="es-ES"/>
              </w:rPr>
              <w:t>, la</w:t>
            </w:r>
            <w:r w:rsidR="000B1D29">
              <w:rPr>
                <w:lang w:val="es-ES"/>
              </w:rPr>
              <w:t> </w:t>
            </w:r>
            <w:r w:rsidR="00382D54" w:rsidRPr="00382D54">
              <w:rPr>
                <w:lang w:val="es-ES"/>
              </w:rPr>
              <w:t>BDT impulsó la inclusión digital mejorando el nivel de concienciación y la comprensión de las necesidades en materia de alfabetización digital de las personas de edad, especialmente las mujeres. La participación de la</w:t>
            </w:r>
            <w:r w:rsidR="004C468D">
              <w:rPr>
                <w:lang w:val="es-ES"/>
              </w:rPr>
              <w:t> </w:t>
            </w:r>
            <w:r w:rsidR="00382D54" w:rsidRPr="00382D54">
              <w:rPr>
                <w:lang w:val="es-ES"/>
              </w:rPr>
              <w:t>BDT en foros regionales organizados conjuntamente con socios de la índole de la CESPAP y el CPDRC facilitó el desarrollo de herramientas didácticas con perspectiva de género, a fin de ampliar las capacidades de las partes interesadas, reforzar los marcos políticos, fomentar la inclusión social y mejorar el acceso a servicios digitales esenciales.</w:t>
            </w:r>
          </w:p>
          <w:p w14:paraId="244C37B8" w14:textId="1DF4068C" w:rsidR="00382D54" w:rsidRPr="00382D54" w:rsidRDefault="00382D54" w:rsidP="004C34D9">
            <w:pPr>
              <w:pStyle w:val="Tabletext"/>
              <w:ind w:left="567"/>
              <w:rPr>
                <w:lang w:val="es-ES_tradnl"/>
              </w:rPr>
            </w:pPr>
            <w:r w:rsidRPr="00382D54">
              <w:rPr>
                <w:lang w:val="es-ES_tradnl"/>
              </w:rPr>
              <w:t>En 11</w:t>
            </w:r>
            <w:r w:rsidR="000B1D29">
              <w:rPr>
                <w:lang w:val="es-ES"/>
              </w:rPr>
              <w:t> </w:t>
            </w:r>
            <w:r w:rsidRPr="00382D54">
              <w:rPr>
                <w:lang w:val="es-ES_tradnl"/>
              </w:rPr>
              <w:t>países (entre ellos, India, Indonesia, Malasia, Filipinas, Tailandia y Vanuatu) se organizaron celebraciones en honor del Día de las Niñas en las TIC, en cuyo marco más de 3</w:t>
            </w:r>
            <w:r w:rsidR="000B1D29">
              <w:rPr>
                <w:lang w:val="es-ES_tradnl"/>
              </w:rPr>
              <w:t> </w:t>
            </w:r>
            <w:r w:rsidRPr="00382D54">
              <w:rPr>
                <w:lang w:val="es-ES_tradnl"/>
              </w:rPr>
              <w:t>000</w:t>
            </w:r>
            <w:r w:rsidR="000B1D29">
              <w:rPr>
                <w:lang w:val="es-ES_tradnl"/>
              </w:rPr>
              <w:t> </w:t>
            </w:r>
            <w:r w:rsidRPr="00382D54">
              <w:rPr>
                <w:lang w:val="es-ES_tradnl"/>
              </w:rPr>
              <w:t xml:space="preserve">personas participaron en sesiones de codificación, cursos de </w:t>
            </w:r>
            <w:r w:rsidRPr="004C34D9">
              <w:rPr>
                <w:lang w:val="es-ES"/>
              </w:rPr>
              <w:t>alfabetización</w:t>
            </w:r>
            <w:r w:rsidRPr="00382D54">
              <w:rPr>
                <w:lang w:val="es-ES_tradnl"/>
              </w:rPr>
              <w:t xml:space="preserve"> digital y programas de liderazgo. Estas actividades, en las que colaboraron gobiernos, organismos de las Naciones Unidas, miembros del sector privado y entidades de la sociedad civil, no solo reforzaron las redes comunitarias, sino que también dotaron a niñas y mujeres jóvenes de medios para convertirse en defensoras activas de la inclusión de género en el espacio digital, aumentando además su confianza y sus competencias digitales para un futuro digital más inclusivo.</w:t>
            </w:r>
          </w:p>
          <w:p w14:paraId="1B025447" w14:textId="34F15D3E" w:rsidR="00382D54" w:rsidRPr="00382D54" w:rsidRDefault="00382D54" w:rsidP="004C34D9">
            <w:pPr>
              <w:pStyle w:val="Tabletext"/>
              <w:ind w:left="567"/>
              <w:rPr>
                <w:lang w:val="es-ES_tradnl"/>
              </w:rPr>
            </w:pPr>
            <w:r w:rsidRPr="00382D54">
              <w:rPr>
                <w:lang w:val="es-ES_tradnl"/>
              </w:rPr>
              <w:t>Las iniciativas encaminadas al empoderamiento de los jóvenes en 2024 se tradujeron en el nombramiento de 21</w:t>
            </w:r>
            <w:r w:rsidR="000B1D29">
              <w:rPr>
                <w:lang w:val="es-ES_tradnl"/>
              </w:rPr>
              <w:t> </w:t>
            </w:r>
            <w:r w:rsidRPr="00382D54">
              <w:rPr>
                <w:lang w:val="es-ES_tradnl"/>
              </w:rPr>
              <w:t xml:space="preserve">nuevos Enviados de la Juventud de siete países, lo que permitió ampliar notablemente el alcance y la repercusión del programa. Gracias a su </w:t>
            </w:r>
            <w:r w:rsidRPr="004C34D9">
              <w:rPr>
                <w:lang w:val="es-ES"/>
              </w:rPr>
              <w:t>participación</w:t>
            </w:r>
            <w:r w:rsidRPr="00382D54">
              <w:rPr>
                <w:lang w:val="es-ES_tradnl"/>
              </w:rPr>
              <w:t xml:space="preserve"> activa en foros internacionales de primer orden </w:t>
            </w:r>
            <w:r w:rsidR="000B1D29">
              <w:rPr>
                <w:rFonts w:cstheme="minorHAnsi"/>
                <w:lang w:val="es-ES_tradnl"/>
              </w:rPr>
              <w:t>−</w:t>
            </w:r>
            <w:r w:rsidRPr="00382D54">
              <w:rPr>
                <w:lang w:val="es-ES_tradnl"/>
              </w:rPr>
              <w:t>como la AMNT-24 en India, el Foro Mundial de la Innovación en Malta y el Seminario UIT-MIIT en China</w:t>
            </w:r>
            <w:r w:rsidR="000B1D29">
              <w:rPr>
                <w:rFonts w:cstheme="minorHAnsi"/>
                <w:lang w:val="es-ES_tradnl"/>
              </w:rPr>
              <w:t>−</w:t>
            </w:r>
            <w:r w:rsidRPr="00382D54">
              <w:rPr>
                <w:lang w:val="es-ES_tradnl"/>
              </w:rPr>
              <w:t xml:space="preserve"> y en importantes programas de formación especializada </w:t>
            </w:r>
            <w:r w:rsidR="000B1D29">
              <w:rPr>
                <w:rFonts w:cstheme="minorHAnsi"/>
                <w:lang w:val="es-ES_tradnl"/>
              </w:rPr>
              <w:t>−</w:t>
            </w:r>
            <w:r w:rsidRPr="00382D54">
              <w:rPr>
                <w:lang w:val="es-ES_tradnl"/>
              </w:rPr>
              <w:t>véanse el programa Seeds for the Future (semillas para el futuro) en China y la ceremonia de paso de la antorcha de los Enviados de la Juventud de Generation Connect</w:t>
            </w:r>
            <w:r w:rsidR="000B1D29">
              <w:rPr>
                <w:rFonts w:cstheme="minorHAnsi"/>
                <w:lang w:val="es-ES_tradnl"/>
              </w:rPr>
              <w:t>−</w:t>
            </w:r>
            <w:r w:rsidRPr="00382D54">
              <w:rPr>
                <w:lang w:val="es-ES_tradnl"/>
              </w:rPr>
              <w:t>, los jóvenes participantes tuvieron acceso a valiosas plataformas para contribuir de manera significativa a los diálogos digitales mundiales y adquirir conocimientos prácticos sobre tecnologías avanzadas como la IA, la 5G y las tecnologías ecológicas.</w:t>
            </w:r>
          </w:p>
          <w:p w14:paraId="4367F7BE" w14:textId="73605756" w:rsidR="00382D54" w:rsidRPr="00382D54" w:rsidRDefault="003B2D11" w:rsidP="003B2D11">
            <w:pPr>
              <w:pStyle w:val="Tabletext"/>
              <w:tabs>
                <w:tab w:val="clear" w:pos="284"/>
              </w:tabs>
              <w:ind w:left="567" w:hanging="567"/>
              <w:rPr>
                <w:lang w:val="es-ES"/>
              </w:rPr>
            </w:pPr>
            <w:r w:rsidRPr="00860D32">
              <w:rPr>
                <w:lang w:val="es-ES"/>
              </w:rPr>
              <w:t>–</w:t>
            </w:r>
            <w:r>
              <w:rPr>
                <w:lang w:val="es-ES"/>
              </w:rPr>
              <w:tab/>
            </w:r>
            <w:r w:rsidR="00382D54" w:rsidRPr="00382D54">
              <w:rPr>
                <w:b/>
                <w:bCs/>
                <w:lang w:val="es-ES"/>
              </w:rPr>
              <w:t>En la región de Europa</w:t>
            </w:r>
            <w:r w:rsidR="00382D54" w:rsidRPr="00382D54">
              <w:rPr>
                <w:lang w:val="es-ES"/>
              </w:rPr>
              <w:t xml:space="preserve">, 2024 fue testigo del empoderamiento de un mayor número de niñas y mujeres jóvenes en la esfera digital, a través de iniciativas encaminadas específicamente a fomentar el liderazgo, la inclusión y la colaboración intergeneracional. En Europa, el Día de las Niñas en las TIC de 2024, el cual incluyó numerosas celebraciones virtuales dedicadas al </w:t>
            </w:r>
            <w:r w:rsidR="00B54FBF">
              <w:rPr>
                <w:lang w:val="es-ES"/>
              </w:rPr>
              <w:t>"</w:t>
            </w:r>
            <w:r w:rsidR="00382D54" w:rsidRPr="00382D54">
              <w:rPr>
                <w:lang w:val="es-ES"/>
              </w:rPr>
              <w:t>Liderazgo</w:t>
            </w:r>
            <w:r w:rsidR="00B54FBF">
              <w:rPr>
                <w:lang w:val="es-ES"/>
              </w:rPr>
              <w:t>"</w:t>
            </w:r>
            <w:r w:rsidR="00382D54" w:rsidRPr="00382D54">
              <w:rPr>
                <w:lang w:val="es-ES"/>
              </w:rPr>
              <w:t xml:space="preserve">, inspiró a niñas de toda la región a emprender carreras en CTIM, poniéndolas en contacto con modelos de conducta y herramientas prácticas para el éxito. El evento, diseñado en consulta con los jóvenes, dio voz al Grupo de Jóvenes de Europa de Generation Connect y puso de manifiesto la contribución de las mujeres jóvenes a la transformación digital, sin obviar los obstáculos a los que </w:t>
            </w:r>
            <w:r w:rsidR="00D61D79">
              <w:rPr>
                <w:lang w:val="es-ES"/>
              </w:rPr>
              <w:t>é</w:t>
            </w:r>
            <w:r w:rsidR="00382D54" w:rsidRPr="00382D54">
              <w:rPr>
                <w:lang w:val="es-ES"/>
              </w:rPr>
              <w:t>stas siguen enfrentándose.</w:t>
            </w:r>
          </w:p>
          <w:p w14:paraId="06980699" w14:textId="6EE802E8" w:rsidR="00382D54" w:rsidRPr="00382D54" w:rsidRDefault="00382D54" w:rsidP="004C34D9">
            <w:pPr>
              <w:pStyle w:val="Tabletext"/>
              <w:ind w:left="567"/>
              <w:rPr>
                <w:lang w:val="es-ES_tradnl"/>
              </w:rPr>
            </w:pPr>
            <w:r w:rsidRPr="00382D54">
              <w:rPr>
                <w:lang w:val="es-ES_tradnl"/>
              </w:rPr>
              <w:t xml:space="preserve">Los trabajos orientados al refuerzo del equilibrio de género en los procesos regionales de toma de decisiones avanzaron aún más gracias al evento titulado </w:t>
            </w:r>
            <w:r w:rsidR="00B54FBF">
              <w:rPr>
                <w:lang w:val="es-ES_tradnl"/>
              </w:rPr>
              <w:t>"</w:t>
            </w:r>
            <w:r w:rsidRPr="00382D54">
              <w:rPr>
                <w:lang w:val="es-ES_tradnl"/>
              </w:rPr>
              <w:t>El fomento del equilibrio de género en el UIT-D</w:t>
            </w:r>
            <w:r w:rsidR="00B54FBF">
              <w:rPr>
                <w:lang w:val="es-ES_tradnl"/>
              </w:rPr>
              <w:t>"</w:t>
            </w:r>
            <w:r w:rsidRPr="00382D54">
              <w:rPr>
                <w:lang w:val="es-ES_tradnl"/>
              </w:rPr>
              <w:t xml:space="preserve">, que se celebró en paralelo a la sesión plenaria de la </w:t>
            </w:r>
            <w:r w:rsidRPr="004C34D9">
              <w:rPr>
                <w:lang w:val="es-ES"/>
              </w:rPr>
              <w:t>Comisión</w:t>
            </w:r>
            <w:r w:rsidRPr="00382D54">
              <w:rPr>
                <w:lang w:val="es-ES_tradnl"/>
              </w:rPr>
              <w:t xml:space="preserve"> para la Política de la UIT (</w:t>
            </w:r>
            <w:r w:rsidRPr="00CA3944">
              <w:rPr>
                <w:lang w:val="es-ES_tradnl"/>
              </w:rPr>
              <w:t>Com-ITU</w:t>
            </w:r>
            <w:r w:rsidRPr="00382D54">
              <w:rPr>
                <w:lang w:val="es-ES_tradnl"/>
              </w:rPr>
              <w:t xml:space="preserve">) de la CEPT. En este evento se alentó a las </w:t>
            </w:r>
            <w:r w:rsidRPr="00382D54">
              <w:rPr>
                <w:lang w:val="es-ES_tradnl"/>
              </w:rPr>
              <w:lastRenderedPageBreak/>
              <w:t>administraciones nacionales a impulsar la participación de mujeres en los procesos de la UIT y en la formulación de políticas digitales, haciendo hincapié en el liderazgo inclusivo como motor del desarrollo digital.</w:t>
            </w:r>
          </w:p>
          <w:p w14:paraId="1141D581" w14:textId="00A402B1" w:rsidR="00382D54" w:rsidRPr="00382D54" w:rsidDel="00694BF1" w:rsidRDefault="00382D54" w:rsidP="004C34D9">
            <w:pPr>
              <w:pStyle w:val="Tabletext"/>
              <w:ind w:left="567"/>
              <w:rPr>
                <w:lang w:val="es-ES_tradnl"/>
              </w:rPr>
            </w:pPr>
            <w:r w:rsidRPr="00382D54">
              <w:rPr>
                <w:lang w:val="es-ES_tradnl"/>
              </w:rPr>
              <w:t>A fin de ahondar en el compromiso de los jóvenes, el Diálogo Intergeneracional Europeo de</w:t>
            </w:r>
            <w:r w:rsidRPr="00382D54">
              <w:rPr>
                <w:lang w:val="es-ES"/>
              </w:rPr>
              <w:t xml:space="preserve"> Generation Connect permitió estrechar </w:t>
            </w:r>
            <w:r w:rsidRPr="00382D54">
              <w:rPr>
                <w:lang w:val="es-ES_tradnl"/>
              </w:rPr>
              <w:t xml:space="preserve">la </w:t>
            </w:r>
            <w:r w:rsidRPr="004C34D9">
              <w:rPr>
                <w:lang w:val="es-ES"/>
              </w:rPr>
              <w:t>colaboración</w:t>
            </w:r>
            <w:r w:rsidRPr="00382D54">
              <w:rPr>
                <w:lang w:val="es-ES_tradnl"/>
              </w:rPr>
              <w:t xml:space="preserve"> entre las administraciones nacionales y los </w:t>
            </w:r>
            <w:r w:rsidR="00E47941" w:rsidRPr="00382D54">
              <w:rPr>
                <w:lang w:val="es-ES_tradnl"/>
              </w:rPr>
              <w:t xml:space="preserve">Enviados </w:t>
            </w:r>
            <w:r w:rsidRPr="00382D54">
              <w:rPr>
                <w:lang w:val="es-ES_tradnl"/>
              </w:rPr>
              <w:t xml:space="preserve">de la </w:t>
            </w:r>
            <w:r w:rsidR="00E47941" w:rsidRPr="00382D54">
              <w:rPr>
                <w:lang w:val="es-ES_tradnl"/>
              </w:rPr>
              <w:t>Juventud</w:t>
            </w:r>
            <w:r w:rsidRPr="00382D54">
              <w:rPr>
                <w:lang w:val="es-ES_tradnl"/>
              </w:rPr>
              <w:t>, fomentando la participación de los jóvenes en las iniciativas digitales locales. Este impulso se vio reforzado por un acto paralelo del Grupo de Jóvenes de Europa de</w:t>
            </w:r>
            <w:r w:rsidRPr="00382D54">
              <w:rPr>
                <w:lang w:val="es-ES"/>
              </w:rPr>
              <w:t xml:space="preserve"> Generation Connect</w:t>
            </w:r>
            <w:r w:rsidRPr="00382D54">
              <w:rPr>
                <w:lang w:val="es-ES_tradnl"/>
              </w:rPr>
              <w:t xml:space="preserve">, celebrado bajo los auspicios de la Oficina Regional de la UIT para Europa durante la sesión plenaria de la </w:t>
            </w:r>
            <w:r w:rsidRPr="00CA3944">
              <w:rPr>
                <w:lang w:val="es-ES_tradnl"/>
              </w:rPr>
              <w:t>Com-ITU</w:t>
            </w:r>
            <w:r w:rsidRPr="00382D54">
              <w:rPr>
                <w:lang w:val="es-ES_tradnl"/>
              </w:rPr>
              <w:t xml:space="preserve"> de la CEPT. En ese marco, los representantes de los países europeos pudieron conocer a los nuevos Enviados de la Juventud, lo que contribuyó a dar voz a los jóvenes y facilitó un diálogo continuado sobre las prioridades digitales regionales. Esta colaboración se materializó de forma notable en el proyecto</w:t>
            </w:r>
            <w:r w:rsidR="00E7494F">
              <w:rPr>
                <w:lang w:val="es-ES_tradnl"/>
              </w:rPr>
              <w:t> </w:t>
            </w:r>
            <w:r w:rsidRPr="00382D54">
              <w:rPr>
                <w:lang w:val="es-ES_tradnl"/>
              </w:rPr>
              <w:t>DART, en Albania, donde los Enviados de la Juventud desempeñaron un papel clave en la configuración de la Estrategia de Agricultura Digital del país, garantizando así que sus puntos de vista quedasen reflejados en las iniciativas nacionales relativas a la transformación digital.</w:t>
            </w:r>
          </w:p>
          <w:p w14:paraId="25A87900" w14:textId="53BBBF94" w:rsidR="00382D54" w:rsidRPr="00382D54" w:rsidRDefault="003B2D11" w:rsidP="003B2D11">
            <w:pPr>
              <w:pStyle w:val="Tabletext"/>
              <w:tabs>
                <w:tab w:val="clear" w:pos="284"/>
              </w:tabs>
              <w:ind w:left="567" w:hanging="567"/>
              <w:rPr>
                <w:lang w:val="es-ES_tradnl"/>
              </w:rPr>
            </w:pPr>
            <w:r w:rsidRPr="00860D32">
              <w:rPr>
                <w:lang w:val="es-ES"/>
              </w:rPr>
              <w:t>–</w:t>
            </w:r>
            <w:r>
              <w:rPr>
                <w:lang w:val="es-ES"/>
              </w:rPr>
              <w:tab/>
            </w:r>
            <w:r w:rsidR="00382D54" w:rsidRPr="00382D54">
              <w:rPr>
                <w:b/>
                <w:bCs/>
                <w:lang w:val="es-ES_tradnl"/>
              </w:rPr>
              <w:t>En la región de la CEI</w:t>
            </w:r>
            <w:r w:rsidR="00382D54" w:rsidRPr="00382D54">
              <w:rPr>
                <w:lang w:val="es-ES_tradnl"/>
              </w:rPr>
              <w:t xml:space="preserve">, la BDT impulsó la inclusión digital promoviendo la adopción de tecnologías accesibles y el desarrollo de competencias digitales con perspectiva de género, entre otros proyectos. Un hito clave fue el </w:t>
            </w:r>
            <w:r w:rsidR="007C3AE1" w:rsidRPr="00382D54">
              <w:rPr>
                <w:lang w:val="es-ES"/>
              </w:rPr>
              <w:t>Taller</w:t>
            </w:r>
            <w:r w:rsidR="007C3AE1" w:rsidRPr="00382D54">
              <w:rPr>
                <w:lang w:val="es-ES_tradnl"/>
              </w:rPr>
              <w:t xml:space="preserve"> Regional </w:t>
            </w:r>
            <w:r w:rsidR="00382D54" w:rsidRPr="00382D54">
              <w:rPr>
                <w:lang w:val="es-ES_tradnl"/>
              </w:rPr>
              <w:t>de la UIT titulado "Tecnologías avanzadas en apoyo de sociedades sostenibles, inclusivas y accesibles", que se celebró en noviembre de 2024 en Minsk (Belarús), con el objetivo de mejorar las capacidades de las partes interesadas a efectos de la elaboración de políticas de TIC inclusivas y dar a conocer programas educativos de éxito, concebidos para personas con discapacidad y con necesidades especiales, con objeto de garantizar el acceso digital para todos.</w:t>
            </w:r>
          </w:p>
          <w:p w14:paraId="4B36C53F" w14:textId="78DA52B3" w:rsidR="00382D54" w:rsidRPr="00382D54" w:rsidRDefault="00382D54" w:rsidP="004C34D9">
            <w:pPr>
              <w:pStyle w:val="Tabletext"/>
              <w:ind w:left="567"/>
              <w:rPr>
                <w:lang w:val="es-ES_tradnl"/>
              </w:rPr>
            </w:pPr>
            <w:r w:rsidRPr="00382D54">
              <w:rPr>
                <w:lang w:val="es-ES_tradnl"/>
              </w:rPr>
              <w:t xml:space="preserve">Con motivo del Día Internacional de las Niñas en las TIC de 2025, el Foro de la organización </w:t>
            </w:r>
            <w:r w:rsidRPr="00382D54">
              <w:rPr>
                <w:lang w:val="es-ES"/>
              </w:rPr>
              <w:t>TechnoWomen d</w:t>
            </w:r>
            <w:r w:rsidRPr="00382D54">
              <w:rPr>
                <w:lang w:val="es-ES_tradnl"/>
              </w:rPr>
              <w:t xml:space="preserve">e Asia Central </w:t>
            </w:r>
            <w:r w:rsidR="000B1D29">
              <w:rPr>
                <w:rFonts w:cstheme="minorHAnsi"/>
                <w:lang w:val="es-ES_tradnl"/>
              </w:rPr>
              <w:t>−</w:t>
            </w:r>
            <w:r w:rsidRPr="00382D54">
              <w:rPr>
                <w:lang w:val="es-ES_tradnl"/>
              </w:rPr>
              <w:t>celebrado en Bishkek (Kirguistán)</w:t>
            </w:r>
            <w:r w:rsidR="000B1D29">
              <w:rPr>
                <w:rFonts w:cstheme="minorHAnsi"/>
                <w:lang w:val="es-ES_tradnl"/>
              </w:rPr>
              <w:t>−</w:t>
            </w:r>
            <w:r w:rsidRPr="00382D54">
              <w:rPr>
                <w:lang w:val="es-ES_tradnl"/>
              </w:rPr>
              <w:t xml:space="preserve"> congregó a mujeres con cargos directivos en gobiernos, empresas, entidades de la sociedad civil e instituciones académicas, a fin de abordar los obstáculos a la participación de las mujeres en la esfera digital. El foro, centrado en la adquisición de competencias prácticas en los ámbitos de la seguridad en línea, el emprendimiento digital, las redes sociales y las relaciones públicas, obró en favor del empoderamiento de las mujeres a través de clases magistrales prácticas, sesiones de mentoría y oportunidades para establecer contactos. El evento reforzó la colaboración regional y trazó caminos para que las mujeres y las niñas pudieran convertirse en líderes digitales seguras de sí mismas, contribuyendo así a una economía digital más inclusiva dentro y fuera de las fronteras de Asia Central.</w:t>
            </w:r>
          </w:p>
        </w:tc>
        <w:tc>
          <w:tcPr>
            <w:tcW w:w="2999" w:type="dxa"/>
          </w:tcPr>
          <w:p w14:paraId="0F39F056" w14:textId="436F6382" w:rsidR="00382D54" w:rsidRPr="00382D54" w:rsidRDefault="004C3ECC" w:rsidP="003B2D11">
            <w:pPr>
              <w:pStyle w:val="Tabletext"/>
              <w:ind w:left="284" w:hanging="284"/>
              <w:rPr>
                <w:lang w:val="es-ES_tradnl"/>
              </w:rPr>
            </w:pPr>
            <w:r w:rsidRPr="004C3ECC">
              <w:rPr>
                <w:lang w:val="es-ES_tradnl"/>
              </w:rPr>
              <w:lastRenderedPageBreak/>
              <w:t>–</w:t>
            </w:r>
            <w:r w:rsidR="003B2D11" w:rsidRPr="00736B66">
              <w:rPr>
                <w:lang w:val="es-ES_tradnl"/>
              </w:rPr>
              <w:tab/>
            </w:r>
            <w:r w:rsidR="00382D54" w:rsidRPr="00382D54">
              <w:rPr>
                <w:lang w:val="es-ES_tradnl"/>
              </w:rPr>
              <w:t>Empoderamiento de grupos vulnerables y comunidades marginadas</w:t>
            </w:r>
          </w:p>
          <w:p w14:paraId="3CC5BCAE" w14:textId="0C9C16DA"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Refuerzo de la capacidad de los responsables de las políticas y los usuarios finales</w:t>
            </w:r>
          </w:p>
          <w:p w14:paraId="08E423D9" w14:textId="28042C97"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Ampliación del acceso a herramientas y recursos de inclusión digital</w:t>
            </w:r>
          </w:p>
          <w:p w14:paraId="333FFDFF" w14:textId="75E39066"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Fortalecimiento de las asociaciones en favor de la inclusión digital</w:t>
            </w:r>
          </w:p>
          <w:p w14:paraId="4B8ED779" w14:textId="21807B78"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 xml:space="preserve">Extensión de la iniciativa de </w:t>
            </w:r>
            <w:r w:rsidR="00B54FBF">
              <w:rPr>
                <w:lang w:val="es-ES_tradnl"/>
              </w:rPr>
              <w:t>"</w:t>
            </w:r>
            <w:r w:rsidR="00382D54" w:rsidRPr="00382D54">
              <w:rPr>
                <w:lang w:val="es-ES_tradnl"/>
              </w:rPr>
              <w:t>Las niñas en las TIC</w:t>
            </w:r>
            <w:r w:rsidR="00B54FBF">
              <w:rPr>
                <w:lang w:val="es-ES_tradnl"/>
              </w:rPr>
              <w:t>"</w:t>
            </w:r>
            <w:r w:rsidR="00382D54" w:rsidRPr="00382D54">
              <w:rPr>
                <w:lang w:val="es-ES_tradnl"/>
              </w:rPr>
              <w:t xml:space="preserve"> a todas las regiones</w:t>
            </w:r>
          </w:p>
          <w:p w14:paraId="41ED07E3" w14:textId="4175EDE8"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África: Burundi, Camerún, Côte d'Ivoire, Etiopía</w:t>
            </w:r>
            <w:r w:rsidR="00ED244A">
              <w:rPr>
                <w:lang w:val="es-ES_tradnl"/>
              </w:rPr>
              <w:t xml:space="preserve"> y</w:t>
            </w:r>
            <w:r w:rsidR="00382D54" w:rsidRPr="00382D54">
              <w:rPr>
                <w:lang w:val="es-ES_tradnl"/>
              </w:rPr>
              <w:t xml:space="preserve"> Kenya</w:t>
            </w:r>
          </w:p>
          <w:p w14:paraId="3D545B84" w14:textId="41E85EC5"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Asia-Pacífico: China, India, Malasia, Islas Marshall y Vanuatu</w:t>
            </w:r>
          </w:p>
          <w:p w14:paraId="6847BECD" w14:textId="636A14FC"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América</w:t>
            </w:r>
            <w:r w:rsidR="00CA3944">
              <w:rPr>
                <w:lang w:val="es-ES_tradnl"/>
              </w:rPr>
              <w:t>s</w:t>
            </w:r>
            <w:r w:rsidR="00382D54" w:rsidRPr="00382D54">
              <w:rPr>
                <w:lang w:val="es-ES_tradnl"/>
              </w:rPr>
              <w:t xml:space="preserve">: </w:t>
            </w:r>
            <w:r w:rsidR="00CA3944" w:rsidRPr="00CA3944">
              <w:rPr>
                <w:lang w:val="es-ES_tradnl"/>
              </w:rPr>
              <w:t>Cuba</w:t>
            </w:r>
            <w:r w:rsidR="00CA3944" w:rsidRPr="00382D54">
              <w:rPr>
                <w:lang w:val="es-ES_tradnl"/>
              </w:rPr>
              <w:t>,</w:t>
            </w:r>
            <w:r w:rsidR="00CA3944">
              <w:rPr>
                <w:lang w:val="es-ES_tradnl"/>
              </w:rPr>
              <w:t xml:space="preserve"> </w:t>
            </w:r>
            <w:r w:rsidR="00382D54" w:rsidRPr="00382D54">
              <w:rPr>
                <w:lang w:val="es-ES_tradnl"/>
              </w:rPr>
              <w:t xml:space="preserve">República Dominicana, México </w:t>
            </w:r>
            <w:r w:rsidR="00ED244A">
              <w:rPr>
                <w:lang w:val="es-ES_tradnl"/>
              </w:rPr>
              <w:t xml:space="preserve">y </w:t>
            </w:r>
            <w:r w:rsidR="00382D54" w:rsidRPr="00382D54">
              <w:rPr>
                <w:lang w:val="es-ES_tradnl"/>
              </w:rPr>
              <w:t>Paraguay</w:t>
            </w:r>
          </w:p>
          <w:p w14:paraId="236FB53C" w14:textId="5A11B309" w:rsidR="00382D54" w:rsidRPr="00382D54" w:rsidRDefault="004C3ECC" w:rsidP="003B2D11">
            <w:pPr>
              <w:pStyle w:val="Tabletext"/>
              <w:ind w:left="284" w:hanging="284"/>
              <w:rPr>
                <w:lang w:val="es-ES_tradnl"/>
              </w:rPr>
            </w:pPr>
            <w:r w:rsidRPr="004C3ECC">
              <w:rPr>
                <w:lang w:val="es-ES_tradnl"/>
              </w:rPr>
              <w:lastRenderedPageBreak/>
              <w:t>–</w:t>
            </w:r>
            <w:r w:rsidR="003B2D11" w:rsidRPr="00736B66">
              <w:rPr>
                <w:lang w:val="es-ES_tradnl"/>
              </w:rPr>
              <w:tab/>
            </w:r>
            <w:r w:rsidR="00382D54" w:rsidRPr="00382D54">
              <w:rPr>
                <w:lang w:val="es-ES_tradnl"/>
              </w:rPr>
              <w:t>Estados Árabes: Egipto, Jordania, Líbano, Libia y Palestina</w:t>
            </w:r>
          </w:p>
          <w:p w14:paraId="0F8894D1" w14:textId="63E312CB" w:rsidR="00382D54" w:rsidRPr="00382D54" w:rsidRDefault="004C3ECC" w:rsidP="00736B66">
            <w:pPr>
              <w:pStyle w:val="Tabletext"/>
              <w:rPr>
                <w:lang w:val="es-ES_tradnl"/>
              </w:rPr>
            </w:pPr>
            <w:r w:rsidRPr="004C3ECC">
              <w:rPr>
                <w:lang w:val="es-ES_tradnl"/>
              </w:rPr>
              <w:t>–</w:t>
            </w:r>
            <w:r w:rsidR="003B2D11" w:rsidRPr="00736B66">
              <w:rPr>
                <w:lang w:val="es-ES_tradnl"/>
              </w:rPr>
              <w:tab/>
            </w:r>
            <w:r w:rsidR="00382D54" w:rsidRPr="00382D54">
              <w:rPr>
                <w:lang w:val="es-ES_tradnl"/>
              </w:rPr>
              <w:t>Europa: Malta</w:t>
            </w:r>
          </w:p>
          <w:p w14:paraId="05C1DD7C" w14:textId="6ABA04F7" w:rsidR="00382D54" w:rsidRPr="00382D54" w:rsidRDefault="004C3ECC" w:rsidP="003B2D11">
            <w:pPr>
              <w:pStyle w:val="Tabletext"/>
              <w:ind w:left="284" w:hanging="284"/>
              <w:rPr>
                <w:lang w:val="es-ES_tradnl"/>
              </w:rPr>
            </w:pPr>
            <w:r w:rsidRPr="004C3ECC">
              <w:rPr>
                <w:lang w:val="es-ES_tradnl"/>
              </w:rPr>
              <w:t>–</w:t>
            </w:r>
            <w:r w:rsidR="003B2D11" w:rsidRPr="00736B66">
              <w:rPr>
                <w:lang w:val="es-ES_tradnl"/>
              </w:rPr>
              <w:tab/>
            </w:r>
            <w:r w:rsidR="00382D54" w:rsidRPr="00382D54">
              <w:rPr>
                <w:lang w:val="es-ES_tradnl"/>
              </w:rPr>
              <w:t>CEI: Azerbaiyán, Kazajstán, Federación de Rusia</w:t>
            </w:r>
            <w:r w:rsidR="00ED244A">
              <w:rPr>
                <w:lang w:val="es-ES_tradnl"/>
              </w:rPr>
              <w:t xml:space="preserve"> y</w:t>
            </w:r>
            <w:r w:rsidR="00382D54" w:rsidRPr="00382D54">
              <w:rPr>
                <w:lang w:val="es-ES_tradnl"/>
              </w:rPr>
              <w:t xml:space="preserve"> Uzbekistán</w:t>
            </w:r>
          </w:p>
          <w:p w14:paraId="253C9472" w14:textId="32439B93" w:rsidR="00382D54" w:rsidRPr="00382D54" w:rsidRDefault="00382D54" w:rsidP="00736B66">
            <w:pPr>
              <w:pStyle w:val="Tabletext"/>
              <w:rPr>
                <w:b/>
                <w:bCs/>
                <w:color w:val="0070C0"/>
                <w:lang w:val="es-ES_tradnl"/>
              </w:rPr>
            </w:pPr>
            <w:r w:rsidRPr="00382D54">
              <w:rPr>
                <w:b/>
                <w:bCs/>
                <w:color w:val="0070C0"/>
                <w:lang w:val="es-ES_tradnl"/>
              </w:rPr>
              <w:t xml:space="preserve">Participación de PMA/PDSL y PEID/prestación de asistencia a los mismos </w:t>
            </w:r>
            <w:r w:rsidR="008C47AB" w:rsidRPr="008C47AB">
              <w:rPr>
                <w:b/>
                <w:bCs/>
                <w:color w:val="0070C0"/>
                <w:lang w:val="es-ES_tradnl"/>
              </w:rPr>
              <w:t>–</w:t>
            </w:r>
            <w:r w:rsidRPr="00382D54">
              <w:rPr>
                <w:b/>
                <w:bCs/>
                <w:color w:val="0070C0"/>
                <w:lang w:val="es-ES_tradnl"/>
              </w:rPr>
              <w:t xml:space="preserve"> Diversidad e inclusión</w:t>
            </w:r>
          </w:p>
          <w:p w14:paraId="20179908" w14:textId="365DC591" w:rsidR="00382D54" w:rsidRPr="00382D54" w:rsidRDefault="004C3ECC" w:rsidP="00736B66">
            <w:pPr>
              <w:pStyle w:val="Tabletext"/>
              <w:rPr>
                <w:lang w:val="es-ES_tradnl"/>
              </w:rPr>
            </w:pPr>
            <w:r w:rsidRPr="004C3ECC">
              <w:rPr>
                <w:lang w:val="es-ES_tradnl"/>
              </w:rPr>
              <w:t>–</w:t>
            </w:r>
            <w:r w:rsidR="003B2D11" w:rsidRPr="00736B66">
              <w:rPr>
                <w:lang w:val="es-ES_tradnl"/>
              </w:rPr>
              <w:tab/>
            </w:r>
            <w:r w:rsidR="00CB0CFE">
              <w:rPr>
                <w:lang w:val="es-ES_tradnl"/>
              </w:rPr>
              <w:t>D</w:t>
            </w:r>
            <w:r w:rsidR="003C6E0F" w:rsidRPr="00382D54">
              <w:rPr>
                <w:lang w:val="es-ES_tradnl"/>
              </w:rPr>
              <w:t xml:space="preserve">e </w:t>
            </w:r>
            <w:r w:rsidR="00382D54" w:rsidRPr="00382D54">
              <w:rPr>
                <w:lang w:val="es-ES_tradnl"/>
              </w:rPr>
              <w:t>12 PMA, PDSL y PEID</w:t>
            </w:r>
            <w:r w:rsidR="00CB0CFE">
              <w:rPr>
                <w:lang w:val="es-ES_tradnl"/>
              </w:rPr>
              <w:t>:</w:t>
            </w:r>
          </w:p>
          <w:p w14:paraId="4456838D" w14:textId="7E15067C" w:rsidR="00382D54" w:rsidRPr="00382D54" w:rsidRDefault="00CB0CFE" w:rsidP="00CB0CFE">
            <w:pPr>
              <w:pStyle w:val="Tabletext"/>
              <w:ind w:left="567" w:hanging="284"/>
              <w:rPr>
                <w:lang w:val="es-ES_tradnl"/>
              </w:rPr>
            </w:pPr>
            <w:r w:rsidRPr="00CB0CFE">
              <w:rPr>
                <w:lang w:val="es-ES_tradnl"/>
              </w:rPr>
              <w:t>•</w:t>
            </w:r>
            <w:r w:rsidR="003B2D11" w:rsidRPr="00736B66">
              <w:rPr>
                <w:lang w:val="es-ES_tradnl"/>
              </w:rPr>
              <w:tab/>
            </w:r>
            <w:r>
              <w:rPr>
                <w:lang w:val="es-ES_tradnl"/>
              </w:rPr>
              <w:t>t</w:t>
            </w:r>
            <w:r w:rsidR="003C6E0F">
              <w:rPr>
                <w:lang w:val="es-ES_tradnl"/>
              </w:rPr>
              <w:t>res</w:t>
            </w:r>
            <w:r w:rsidR="003C6E0F" w:rsidRPr="00382D54">
              <w:rPr>
                <w:lang w:val="es-ES_tradnl"/>
              </w:rPr>
              <w:t xml:space="preserve"> </w:t>
            </w:r>
            <w:r w:rsidR="00382D54" w:rsidRPr="00382D54">
              <w:rPr>
                <w:lang w:val="es-ES_tradnl"/>
              </w:rPr>
              <w:t>recibieron asistencia técnica</w:t>
            </w:r>
            <w:r>
              <w:rPr>
                <w:lang w:val="es-ES_tradnl"/>
              </w:rPr>
              <w:t>;</w:t>
            </w:r>
          </w:p>
          <w:p w14:paraId="4601822D" w14:textId="21081DBE" w:rsidR="00382D54" w:rsidRPr="00382D54" w:rsidRDefault="00CB0CFE" w:rsidP="00CB0CFE">
            <w:pPr>
              <w:pStyle w:val="Tabletext"/>
              <w:ind w:left="567" w:hanging="284"/>
              <w:rPr>
                <w:lang w:val="es-ES_tradnl"/>
              </w:rPr>
            </w:pPr>
            <w:r w:rsidRPr="00CB0CFE">
              <w:rPr>
                <w:lang w:val="es-ES_tradnl"/>
              </w:rPr>
              <w:t>•</w:t>
            </w:r>
            <w:r w:rsidR="003B2D11" w:rsidRPr="00736B66">
              <w:rPr>
                <w:lang w:val="es-ES_tradnl"/>
              </w:rPr>
              <w:tab/>
            </w:r>
            <w:r w:rsidRPr="00382D54">
              <w:rPr>
                <w:lang w:val="es-ES_tradnl"/>
              </w:rPr>
              <w:t>e</w:t>
            </w:r>
            <w:r w:rsidR="003C6E0F" w:rsidRPr="00382D54">
              <w:rPr>
                <w:lang w:val="es-ES_tradnl"/>
              </w:rPr>
              <w:t xml:space="preserve">n </w:t>
            </w:r>
            <w:r w:rsidR="003C6E0F">
              <w:rPr>
                <w:lang w:val="es-ES_tradnl"/>
              </w:rPr>
              <w:t>dos</w:t>
            </w:r>
            <w:r w:rsidR="00382D54" w:rsidRPr="00382D54">
              <w:rPr>
                <w:lang w:val="es-ES_tradnl"/>
              </w:rPr>
              <w:t xml:space="preserve"> países se elaboraron marcos políticos y productos del conocimiento</w:t>
            </w:r>
            <w:r>
              <w:rPr>
                <w:lang w:val="es-ES_tradnl"/>
              </w:rPr>
              <w:t>;</w:t>
            </w:r>
          </w:p>
          <w:p w14:paraId="42EBDCE7" w14:textId="2A6F671B" w:rsidR="00382D54" w:rsidRPr="00382D54" w:rsidRDefault="00CB0CFE" w:rsidP="00CB0CFE">
            <w:pPr>
              <w:pStyle w:val="Tabletext"/>
              <w:ind w:left="567" w:hanging="284"/>
              <w:rPr>
                <w:lang w:val="es-ES_tradnl"/>
              </w:rPr>
            </w:pPr>
            <w:r w:rsidRPr="00CB0CFE">
              <w:rPr>
                <w:lang w:val="es-ES_tradnl"/>
              </w:rPr>
              <w:t>•</w:t>
            </w:r>
            <w:r w:rsidR="003B2D11" w:rsidRPr="00736B66">
              <w:rPr>
                <w:lang w:val="es-ES_tradnl"/>
              </w:rPr>
              <w:tab/>
            </w:r>
            <w:r w:rsidRPr="00382D54">
              <w:rPr>
                <w:lang w:val="es-ES_tradnl"/>
              </w:rPr>
              <w:t>e</w:t>
            </w:r>
            <w:r w:rsidR="003C6E0F" w:rsidRPr="00382D54">
              <w:rPr>
                <w:lang w:val="es-ES_tradnl"/>
              </w:rPr>
              <w:t xml:space="preserve">n </w:t>
            </w:r>
            <w:r w:rsidR="003C6E0F">
              <w:rPr>
                <w:lang w:val="es-ES_tradnl"/>
              </w:rPr>
              <w:t>siete</w:t>
            </w:r>
            <w:r w:rsidR="00382D54" w:rsidRPr="00382D54">
              <w:rPr>
                <w:lang w:val="es-ES_tradnl"/>
              </w:rPr>
              <w:t xml:space="preserve"> países se organizaron sesiones de sensibilización; y</w:t>
            </w:r>
          </w:p>
          <w:p w14:paraId="6D865A9D" w14:textId="5A627224" w:rsidR="00382D54" w:rsidRPr="00382D54" w:rsidRDefault="00CB0CFE" w:rsidP="00CB0CFE">
            <w:pPr>
              <w:pStyle w:val="Tabletext"/>
              <w:ind w:left="567" w:hanging="284"/>
              <w:rPr>
                <w:lang w:val="es-ES_tradnl"/>
              </w:rPr>
            </w:pPr>
            <w:r w:rsidRPr="00CB0CFE">
              <w:rPr>
                <w:lang w:val="es-ES_tradnl"/>
              </w:rPr>
              <w:t>•</w:t>
            </w:r>
            <w:r w:rsidR="003B2D11" w:rsidRPr="00736B66">
              <w:rPr>
                <w:lang w:val="es-ES_tradnl"/>
              </w:rPr>
              <w:tab/>
            </w:r>
            <w:r w:rsidRPr="00382D54">
              <w:rPr>
                <w:lang w:val="es-ES_tradnl"/>
              </w:rPr>
              <w:t>e</w:t>
            </w:r>
            <w:r w:rsidR="003C6E0F" w:rsidRPr="00382D54">
              <w:rPr>
                <w:lang w:val="es-ES_tradnl"/>
              </w:rPr>
              <w:t xml:space="preserve">n </w:t>
            </w:r>
            <w:r w:rsidR="003C6E0F">
              <w:rPr>
                <w:lang w:val="es-ES_tradnl"/>
              </w:rPr>
              <w:t>tres</w:t>
            </w:r>
            <w:r w:rsidR="00382D54" w:rsidRPr="00382D54">
              <w:rPr>
                <w:lang w:val="es-ES_tradnl"/>
              </w:rPr>
              <w:t xml:space="preserve"> países se crearon plataformas de colaboración</w:t>
            </w:r>
            <w:r>
              <w:rPr>
                <w:lang w:val="es-ES_tradnl"/>
              </w:rPr>
              <w:t>.</w:t>
            </w:r>
          </w:p>
        </w:tc>
      </w:tr>
      <w:tr w:rsidR="00427D53" w:rsidRPr="00382D54" w14:paraId="7DC82B0F" w14:textId="77777777" w:rsidTr="00E07C78">
        <w:trPr>
          <w:jc w:val="center"/>
        </w:trPr>
        <w:tc>
          <w:tcPr>
            <w:tcW w:w="4111" w:type="dxa"/>
          </w:tcPr>
          <w:p w14:paraId="362EA389" w14:textId="77777777" w:rsidR="00382D54" w:rsidRPr="00382D54" w:rsidRDefault="00382D54" w:rsidP="00736B66">
            <w:pPr>
              <w:pStyle w:val="Tabletext"/>
              <w:rPr>
                <w:b/>
                <w:bCs/>
                <w:lang w:val="es-ES_tradnl"/>
              </w:rPr>
            </w:pPr>
            <w:r w:rsidRPr="00382D54">
              <w:rPr>
                <w:b/>
                <w:bCs/>
                <w:lang w:val="es-ES_tradnl"/>
              </w:rPr>
              <w:lastRenderedPageBreak/>
              <w:t>Contribución a las metas de los ODS</w:t>
            </w:r>
          </w:p>
        </w:tc>
        <w:tc>
          <w:tcPr>
            <w:tcW w:w="10445" w:type="dxa"/>
            <w:gridSpan w:val="2"/>
          </w:tcPr>
          <w:p w14:paraId="364485A7" w14:textId="77777777" w:rsidR="00382D54" w:rsidRPr="00382D54" w:rsidRDefault="00382D54" w:rsidP="00736B66">
            <w:pPr>
              <w:pStyle w:val="Tabletext"/>
              <w:rPr>
                <w:lang w:val="es-ES_tradnl"/>
              </w:rPr>
            </w:pPr>
            <w:r w:rsidRPr="00382D54">
              <w:rPr>
                <w:lang w:val="es-ES_tradnl"/>
              </w:rPr>
              <w:t>ODS 1, 3, 4, 5, 8, 9, 10, 11, 16 y 17</w:t>
            </w:r>
          </w:p>
        </w:tc>
      </w:tr>
      <w:tr w:rsidR="00427D53" w:rsidRPr="00382D54" w14:paraId="7C46D1B3" w14:textId="77777777" w:rsidTr="00E07C78">
        <w:trPr>
          <w:jc w:val="center"/>
        </w:trPr>
        <w:tc>
          <w:tcPr>
            <w:tcW w:w="4111" w:type="dxa"/>
          </w:tcPr>
          <w:p w14:paraId="0328E506" w14:textId="77777777" w:rsidR="00382D54" w:rsidRPr="00382D54" w:rsidRDefault="00382D54" w:rsidP="00736B66">
            <w:pPr>
              <w:pStyle w:val="Tabletext"/>
              <w:rPr>
                <w:b/>
                <w:bCs/>
                <w:lang w:val="es-ES_tradnl"/>
              </w:rPr>
            </w:pPr>
            <w:r w:rsidRPr="00382D54">
              <w:rPr>
                <w:b/>
                <w:bCs/>
                <w:lang w:val="es-ES_tradnl"/>
              </w:rPr>
              <w:t>Líneas de Acción de la CMSI</w:t>
            </w:r>
          </w:p>
        </w:tc>
        <w:tc>
          <w:tcPr>
            <w:tcW w:w="10445" w:type="dxa"/>
            <w:gridSpan w:val="2"/>
          </w:tcPr>
          <w:p w14:paraId="52E6D359" w14:textId="77777777" w:rsidR="00382D54" w:rsidRPr="00382D54" w:rsidRDefault="00382D54" w:rsidP="00736B66">
            <w:pPr>
              <w:pStyle w:val="Tabletext"/>
              <w:rPr>
                <w:lang w:val="es-ES_tradnl"/>
              </w:rPr>
            </w:pPr>
            <w:r w:rsidRPr="00382D54">
              <w:rPr>
                <w:lang w:val="es-ES_tradnl"/>
              </w:rPr>
              <w:t>C1, C2, C3, C4, C5, C6, C7 y C11</w:t>
            </w:r>
          </w:p>
        </w:tc>
      </w:tr>
      <w:tr w:rsidR="00427D53" w:rsidRPr="002F5AC1" w14:paraId="529BED17" w14:textId="77777777" w:rsidTr="00E07C78">
        <w:trPr>
          <w:jc w:val="center"/>
        </w:trPr>
        <w:tc>
          <w:tcPr>
            <w:tcW w:w="4111" w:type="dxa"/>
          </w:tcPr>
          <w:p w14:paraId="43E7C51A" w14:textId="77777777" w:rsidR="00382D54" w:rsidRPr="00382D54" w:rsidRDefault="00382D54" w:rsidP="00736B66">
            <w:pPr>
              <w:pStyle w:val="Tabletext"/>
              <w:rPr>
                <w:b/>
                <w:bCs/>
                <w:lang w:val="es-ES_tradnl"/>
              </w:rPr>
            </w:pPr>
            <w:r w:rsidRPr="00382D54">
              <w:rPr>
                <w:b/>
                <w:bCs/>
                <w:lang w:val="es-ES_tradnl"/>
              </w:rPr>
              <w:t>Resoluciones</w:t>
            </w:r>
          </w:p>
        </w:tc>
        <w:tc>
          <w:tcPr>
            <w:tcW w:w="10445" w:type="dxa"/>
            <w:gridSpan w:val="2"/>
          </w:tcPr>
          <w:p w14:paraId="2D8140B3" w14:textId="77777777" w:rsidR="00382D54" w:rsidRPr="00382D54" w:rsidRDefault="00382D54" w:rsidP="00736B66">
            <w:pPr>
              <w:pStyle w:val="Tabletext"/>
              <w:rPr>
                <w:lang w:val="es-ES_tradnl"/>
              </w:rPr>
            </w:pPr>
            <w:r w:rsidRPr="00382D54">
              <w:rPr>
                <w:lang w:val="es-ES_tradnl"/>
              </w:rPr>
              <w:t>70, 175, 179, 184 y 198 de la PP; 46, 55, 58, 67 y 76 de la CMDT</w:t>
            </w:r>
          </w:p>
        </w:tc>
      </w:tr>
      <w:tr w:rsidR="00427D53" w:rsidRPr="002F5AC1" w14:paraId="71253C8B" w14:textId="77777777" w:rsidTr="00E07C78">
        <w:trPr>
          <w:jc w:val="center"/>
        </w:trPr>
        <w:tc>
          <w:tcPr>
            <w:tcW w:w="4111" w:type="dxa"/>
          </w:tcPr>
          <w:p w14:paraId="42E371EF" w14:textId="77777777" w:rsidR="00382D54" w:rsidRPr="00382D54" w:rsidRDefault="00382D54" w:rsidP="00736B66">
            <w:pPr>
              <w:pStyle w:val="Tabletext"/>
              <w:rPr>
                <w:b/>
                <w:bCs/>
                <w:lang w:val="es-ES_tradnl"/>
              </w:rPr>
            </w:pPr>
            <w:r w:rsidRPr="00382D54">
              <w:rPr>
                <w:b/>
                <w:bCs/>
                <w:lang w:val="es-ES_tradnl"/>
              </w:rPr>
              <w:t>Comisiones de Estudio</w:t>
            </w:r>
          </w:p>
        </w:tc>
        <w:tc>
          <w:tcPr>
            <w:tcW w:w="10445" w:type="dxa"/>
            <w:gridSpan w:val="2"/>
          </w:tcPr>
          <w:p w14:paraId="2A96AADA" w14:textId="22214EC4" w:rsidR="00382D54" w:rsidRPr="00382D54" w:rsidRDefault="00382D54" w:rsidP="00736B66">
            <w:pPr>
              <w:pStyle w:val="Tabletext"/>
              <w:rPr>
                <w:lang w:val="es-ES_tradnl"/>
              </w:rPr>
            </w:pPr>
            <w:r w:rsidRPr="00382D54">
              <w:rPr>
                <w:lang w:val="es-ES_tradnl"/>
              </w:rPr>
              <w:t>Cuestión</w:t>
            </w:r>
            <w:r w:rsidR="000B1D29">
              <w:rPr>
                <w:lang w:val="es-ES_tradnl"/>
              </w:rPr>
              <w:t> </w:t>
            </w:r>
            <w:r w:rsidRPr="00382D54">
              <w:rPr>
                <w:lang w:val="es-ES_tradnl"/>
              </w:rPr>
              <w:t>7/1: Accesibilidad de las telecomunicaciones/TIC para permitir la comunicación inclusiva, en especial para las personas con discapacidad</w:t>
            </w:r>
          </w:p>
        </w:tc>
      </w:tr>
    </w:tbl>
    <w:p w14:paraId="28E3E7AA" w14:textId="77777777" w:rsidR="00616830" w:rsidRPr="004265A8" w:rsidRDefault="00616830" w:rsidP="00616830">
      <w:pPr>
        <w:rPr>
          <w:lang w:val="es-ES"/>
        </w:rPr>
      </w:pPr>
      <w:r w:rsidRPr="004265A8">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11"/>
        <w:gridCol w:w="7446"/>
        <w:gridCol w:w="2999"/>
      </w:tblGrid>
      <w:tr w:rsidR="00382D54" w:rsidRPr="002F5AC1" w14:paraId="7CD35DD6" w14:textId="77777777" w:rsidTr="004711CF">
        <w:trPr>
          <w:jc w:val="center"/>
        </w:trPr>
        <w:tc>
          <w:tcPr>
            <w:tcW w:w="14556" w:type="dxa"/>
            <w:gridSpan w:val="3"/>
            <w:shd w:val="clear" w:color="auto" w:fill="365F91"/>
          </w:tcPr>
          <w:p w14:paraId="561B8A21" w14:textId="77777777" w:rsidR="00382D54" w:rsidRPr="00EF3EE7" w:rsidRDefault="00382D54" w:rsidP="00736B66">
            <w:pPr>
              <w:pStyle w:val="Heading2"/>
              <w:spacing w:before="80" w:after="80"/>
              <w:jc w:val="center"/>
              <w:rPr>
                <w:color w:val="FFFFFF" w:themeColor="background1"/>
                <w:sz w:val="22"/>
                <w:szCs w:val="22"/>
                <w:lang w:val="es-ES_tradnl"/>
              </w:rPr>
            </w:pPr>
            <w:bookmarkStart w:id="25" w:name="_Toc196911811"/>
            <w:r w:rsidRPr="00EF3EE7">
              <w:rPr>
                <w:color w:val="FFFFFF" w:themeColor="background1"/>
                <w:sz w:val="22"/>
                <w:szCs w:val="22"/>
                <w:lang w:val="es-ES_tradnl"/>
              </w:rPr>
              <w:lastRenderedPageBreak/>
              <w:t>Factor habilitador 4 del UIT-D: Compromiso con la sostenibilidad medioambiental</w:t>
            </w:r>
            <w:bookmarkEnd w:id="25"/>
          </w:p>
          <w:p w14:paraId="798EF82A" w14:textId="77777777" w:rsidR="00382D54" w:rsidRPr="00B405B1" w:rsidRDefault="00382D54" w:rsidP="007C00A6">
            <w:pPr>
              <w:pStyle w:val="Tablehead"/>
              <w:rPr>
                <w:i/>
                <w:iCs/>
                <w:color w:val="FFFFFF" w:themeColor="background1"/>
                <w:lang w:val="es-ES_tradnl"/>
              </w:rPr>
            </w:pPr>
            <w:r w:rsidRPr="00EF3EE7">
              <w:rPr>
                <w:i/>
                <w:iCs/>
                <w:color w:val="FFFFFF" w:themeColor="background1"/>
                <w:lang w:val="es-ES_tradnl"/>
              </w:rPr>
              <w:t>Desarrollo de estrategias y soluciones en materia de adaptación al cambio climático</w:t>
            </w:r>
          </w:p>
        </w:tc>
      </w:tr>
      <w:tr w:rsidR="00382D54" w:rsidRPr="002F5AC1" w14:paraId="1CA4BCCD" w14:textId="77777777" w:rsidTr="004711CF">
        <w:trPr>
          <w:jc w:val="center"/>
        </w:trPr>
        <w:tc>
          <w:tcPr>
            <w:tcW w:w="14556" w:type="dxa"/>
            <w:gridSpan w:val="3"/>
            <w:shd w:val="clear" w:color="auto" w:fill="E5DFEC"/>
          </w:tcPr>
          <w:p w14:paraId="53C3E13D" w14:textId="0349BABB" w:rsidR="00382D54" w:rsidRPr="00382D54" w:rsidRDefault="00382D54" w:rsidP="00B405B1">
            <w:pPr>
              <w:pStyle w:val="Tabletext"/>
              <w:rPr>
                <w:i/>
                <w:iCs/>
                <w:lang w:val="es-ES_tradnl"/>
              </w:rPr>
            </w:pPr>
            <w:r w:rsidRPr="00382D54">
              <w:rPr>
                <w:b/>
                <w:bCs/>
                <w:i/>
                <w:iCs/>
                <w:lang w:val="es-ES_tradnl"/>
              </w:rPr>
              <w:t>Realización:</w:t>
            </w:r>
            <w:r w:rsidRPr="00382D54">
              <w:rPr>
                <w:i/>
                <w:iCs/>
                <w:lang w:val="es-ES_tradnl"/>
              </w:rPr>
              <w:t xml:space="preserve"> Mejora de la capacidad de los miembros de la UIT para elaborar estrategias y soluciones de telecomunicaciones/TIC en materia de adaptación al cambio climático, atenuación de sus efectos y utilización de energías ecológicas/renovables</w:t>
            </w:r>
            <w:r w:rsidR="00A20ED8">
              <w:rPr>
                <w:i/>
                <w:iCs/>
                <w:lang w:val="es-ES_tradnl"/>
              </w:rPr>
              <w:t>.</w:t>
            </w:r>
          </w:p>
        </w:tc>
      </w:tr>
      <w:tr w:rsidR="00B405B1" w:rsidRPr="00382D54" w14:paraId="07A4678C" w14:textId="77777777" w:rsidTr="004711CF">
        <w:trPr>
          <w:jc w:val="center"/>
        </w:trPr>
        <w:tc>
          <w:tcPr>
            <w:tcW w:w="11557" w:type="dxa"/>
            <w:gridSpan w:val="2"/>
          </w:tcPr>
          <w:p w14:paraId="76EBBD91" w14:textId="77777777" w:rsidR="00382D54" w:rsidRPr="00382D54" w:rsidRDefault="00382D54" w:rsidP="00427D53">
            <w:pPr>
              <w:pStyle w:val="Tablehead"/>
              <w:rPr>
                <w:color w:val="0070C0"/>
                <w:lang w:val="es-ES_tradnl"/>
              </w:rPr>
            </w:pPr>
            <w:r w:rsidRPr="00382D54">
              <w:rPr>
                <w:color w:val="0070C0"/>
                <w:lang w:val="es-ES_tradnl"/>
              </w:rPr>
              <w:t>Productos</w:t>
            </w:r>
          </w:p>
        </w:tc>
        <w:tc>
          <w:tcPr>
            <w:tcW w:w="2999" w:type="dxa"/>
          </w:tcPr>
          <w:p w14:paraId="4CD44D40" w14:textId="77777777" w:rsidR="00382D54" w:rsidRPr="00382D54" w:rsidRDefault="00382D54" w:rsidP="00427D53">
            <w:pPr>
              <w:pStyle w:val="Tablehead"/>
              <w:rPr>
                <w:color w:val="0070C0"/>
                <w:lang w:val="es-ES_tradnl"/>
              </w:rPr>
            </w:pPr>
            <w:r w:rsidRPr="00382D54">
              <w:rPr>
                <w:color w:val="0070C0"/>
                <w:lang w:val="es-ES_tradnl"/>
              </w:rPr>
              <w:t>Datos destacados</w:t>
            </w:r>
          </w:p>
        </w:tc>
      </w:tr>
      <w:tr w:rsidR="00382D54" w:rsidRPr="002F5AC1" w14:paraId="225AFA31" w14:textId="77777777" w:rsidTr="004711CF">
        <w:trPr>
          <w:jc w:val="center"/>
        </w:trPr>
        <w:tc>
          <w:tcPr>
            <w:tcW w:w="11557" w:type="dxa"/>
            <w:gridSpan w:val="2"/>
          </w:tcPr>
          <w:p w14:paraId="49250A6D" w14:textId="77777777" w:rsidR="00382D54" w:rsidRPr="00B54FBF" w:rsidRDefault="00382D54" w:rsidP="00B405B1">
            <w:pPr>
              <w:pStyle w:val="Tabletext"/>
              <w:rPr>
                <w:b/>
                <w:bCs/>
                <w:lang w:val="es-ES_tradnl"/>
              </w:rPr>
            </w:pPr>
            <w:r w:rsidRPr="00B54FBF">
              <w:rPr>
                <w:b/>
                <w:bCs/>
                <w:lang w:val="es-ES_tradnl"/>
              </w:rPr>
              <w:t>El UIT-D seguirá poniendo a disposición de los Estados Miembros productos y servicios para ayudarles a elaborar estrategias y soluciones de adaptación al cambio climático.</w:t>
            </w:r>
          </w:p>
          <w:p w14:paraId="2D0DC3A7" w14:textId="4D810198" w:rsidR="00382D54" w:rsidRPr="00382D54" w:rsidRDefault="00382D54" w:rsidP="00B405B1">
            <w:pPr>
              <w:pStyle w:val="Tabletext"/>
              <w:rPr>
                <w:lang w:val="es-ES_tradnl"/>
              </w:rPr>
            </w:pPr>
            <w:r w:rsidRPr="00382D54">
              <w:rPr>
                <w:lang w:val="es-ES_tradnl"/>
              </w:rPr>
              <w:t>La BDT ha elaborado una hoja de ruta nacional para el sistema de gestión de residuos electrónicos en la etapa posterior al consumo (dispositivos electrónicos usados y antiguos) en Indonesia. A tal efecto, se celebraron consultas con las partes interesadas del gobierno en noviembre de 2024 y en febrero de 2025, con el apoyo de la asociación integrada por la UIT y el Ministerio de Relaciones Exteriores, del Commonwealth y de Desarrollo del Reino Unido. El proceso de consulta ha obrado en favor de la capacidad del gobierno para crear un sistema de gestión de los residuos electrónicos duradero, sólido desde un punto de vista jurídico y sostenible en términos financieros. En Zambia, se ha llevado a cabo un estudio sobre los costes inherentes a la gestión de los residuos electrónicos. En este estudio se desglosan exhaustivamente los costes en concepto de recogida, almacenamiento, transporte y tratamiento de los dispositivos electrónicos usados y vetustos que son desechados. El estudio financiero se realizó en el marco del proyecto emprendido por la UIT y la Comisión de Comunicaciones, Espacio y Tecnología (CST) del Reino de Arabia Saudita, cuyo objetivo es reforzar el marco jurídico de Zambia para la gestión de los residuos electrónicos y capacitar a las partes interesadas en base a sus funciones y responsabilidades en el sistema nacional para la gestión de los dispositivos electrónicos en la etapa posterior al consumo.</w:t>
            </w:r>
          </w:p>
          <w:p w14:paraId="04179F29" w14:textId="29229972" w:rsidR="00382D54" w:rsidRPr="00382D54" w:rsidRDefault="00382D54" w:rsidP="00B405B1">
            <w:pPr>
              <w:pStyle w:val="Tabletext"/>
              <w:rPr>
                <w:lang w:val="es-ES_tradnl"/>
              </w:rPr>
            </w:pPr>
            <w:r w:rsidRPr="00382D54">
              <w:rPr>
                <w:lang w:val="es-ES_tradnl"/>
              </w:rPr>
              <w:t xml:space="preserve">Al amparo del proyecto mundial sobre residuos electrónicos de la UIT y la CST, la BDT está prestando asistencia técnica a diversas partes interesadas de Rwanda con miras al desarrollo y la aplicación de un plan nacional de responsabilidad ampliada del productor (RAP) en el ámbito de los dispositivos electrónicos. El objetivo del proyecto es reclutar </w:t>
            </w:r>
            <w:r w:rsidR="00B54FBF">
              <w:rPr>
                <w:lang w:val="es-ES_tradnl"/>
              </w:rPr>
              <w:t>"</w:t>
            </w:r>
            <w:r w:rsidRPr="00382D54">
              <w:rPr>
                <w:lang w:val="es-ES_tradnl"/>
              </w:rPr>
              <w:t>defensores</w:t>
            </w:r>
            <w:r w:rsidR="00B54FBF">
              <w:rPr>
                <w:lang w:val="es-ES_tradnl"/>
              </w:rPr>
              <w:t>"</w:t>
            </w:r>
            <w:r w:rsidRPr="00382D54">
              <w:rPr>
                <w:lang w:val="es-ES_tradnl"/>
              </w:rPr>
              <w:t xml:space="preserve"> entre los productores de dispositivos electrónicos (importadores, distribuidores y proveedores) para que participen en la definición de un sistema de cumplimiento de la normativa dirigido por la Federación del Sector Privado de Rwanda, que permita gestionar las responsabilidades de los productores en lo que atañe a la recogida y el reciclaje de residuos electrónicos. El proyecto ha logrado reunir a 30</w:t>
            </w:r>
            <w:r w:rsidR="0073435C">
              <w:rPr>
                <w:lang w:val="es-ES_tradnl"/>
              </w:rPr>
              <w:t> </w:t>
            </w:r>
            <w:r w:rsidRPr="00382D54">
              <w:rPr>
                <w:lang w:val="es-ES_tradnl"/>
              </w:rPr>
              <w:t>empresas defensoras a través de una serie de iniciativas de participación. También se ha desarrollado una herramienta para el futuro sistema de cumplimiento, gracias a la cual podrán calcularse las cuotas de afiliación al mismo, en función del número de dispositivos electrónicos vendidos por la empresa interesada en Rwanda. En marzo de 2025, a fin de brindar una base jurídica a este sistema, se validó el primero de dos reglamentos importantes; el segundo se halla en fase de revisión.</w:t>
            </w:r>
          </w:p>
          <w:p w14:paraId="194191EF" w14:textId="68C1F040" w:rsidR="00382D54" w:rsidRPr="00382D54" w:rsidRDefault="00382D54" w:rsidP="00616830">
            <w:pPr>
              <w:pStyle w:val="Tabletext"/>
              <w:keepNext/>
              <w:keepLines/>
              <w:rPr>
                <w:lang w:val="es-ES_tradnl"/>
              </w:rPr>
            </w:pPr>
            <w:r w:rsidRPr="00382D54">
              <w:rPr>
                <w:lang w:val="es-ES_tradnl"/>
              </w:rPr>
              <w:lastRenderedPageBreak/>
              <w:t>Además, la</w:t>
            </w:r>
            <w:r w:rsidR="00EF3EE7">
              <w:rPr>
                <w:lang w:val="es-ES_tradnl"/>
              </w:rPr>
              <w:t> </w:t>
            </w:r>
            <w:r w:rsidRPr="00382D54">
              <w:rPr>
                <w:lang w:val="es-ES_tradnl"/>
              </w:rPr>
              <w:t>BDT siguió prestando apoyo a Paraguay a efectos de la elaboración de un decreto y una resolución nacionales, que regularán la gestión de los residuos electrónicos en el país, por conducto de una serie de talleres celebrados en octubre de</w:t>
            </w:r>
            <w:r w:rsidR="00E868FC">
              <w:rPr>
                <w:lang w:val="es-ES_tradnl"/>
              </w:rPr>
              <w:t> </w:t>
            </w:r>
            <w:r w:rsidRPr="00382D54">
              <w:rPr>
                <w:lang w:val="es-ES_tradnl"/>
              </w:rPr>
              <w:t>2024. La</w:t>
            </w:r>
            <w:r w:rsidR="00EF3EE7">
              <w:rPr>
                <w:lang w:val="es-ES_tradnl"/>
              </w:rPr>
              <w:t> </w:t>
            </w:r>
            <w:r w:rsidRPr="00382D54">
              <w:rPr>
                <w:lang w:val="es-ES_tradnl"/>
              </w:rPr>
              <w:t>BDT también prestó apoyo a Tailandia y Mongolia en cuestiones reglamentarias similares en el ámbito de la gestión de los residuos electrónicos, a través de una relación de colaboración entablada con el Departamento de Infraestructura, Transporte, Desarrollo Regional y Comunicaciones de Australia, y diversos talleres de consulta celebrados en Tailandia en noviembre y diciembre de 2024.</w:t>
            </w:r>
          </w:p>
          <w:p w14:paraId="03882D7C" w14:textId="77777777" w:rsidR="00382D54" w:rsidRPr="00382D54" w:rsidRDefault="00382D54" w:rsidP="00B405B1">
            <w:pPr>
              <w:pStyle w:val="Tabletext"/>
              <w:rPr>
                <w:lang w:val="es-ES_tradnl"/>
              </w:rPr>
            </w:pPr>
            <w:r w:rsidRPr="00382D54">
              <w:rPr>
                <w:lang w:val="es-ES_tradnl"/>
              </w:rPr>
              <w:t>La BDT presentó una revisión de la política nacional de gestión de los residuos electrónicos y el plan de aplicación conexo al Gobierno de Uganda en octubre de 2024, tras diversas consultas con las partes interesadas, que fueron posibles gracias a un proyecto conjunto del Gobierno de Uganda, la UIT y el Fondo de Asistencia para la Cooperación Sur-Sur.</w:t>
            </w:r>
          </w:p>
          <w:p w14:paraId="1A458F3E" w14:textId="77777777" w:rsidR="00382D54" w:rsidRPr="00382D54" w:rsidRDefault="00382D54" w:rsidP="00B405B1">
            <w:pPr>
              <w:pStyle w:val="Tabletext"/>
              <w:rPr>
                <w:lang w:val="es-ES_tradnl"/>
              </w:rPr>
            </w:pPr>
            <w:r w:rsidRPr="00382D54">
              <w:rPr>
                <w:lang w:val="es-ES_tradnl"/>
              </w:rPr>
              <w:t xml:space="preserve">En noviembre de 2024, la BDT impartió en Bangkok un curso de capacitación sobre los </w:t>
            </w:r>
            <w:hyperlink r:id="rId113" w:history="1">
              <w:r w:rsidRPr="00382D54">
                <w:rPr>
                  <w:rStyle w:val="Hyperlink"/>
                  <w:lang w:val="es-ES_tradnl"/>
                </w:rPr>
                <w:t>aspectos fundamentales de la política en materia de residuos-e y el papel de los productores</w:t>
              </w:r>
            </w:hyperlink>
            <w:r w:rsidRPr="00382D54">
              <w:rPr>
                <w:lang w:val="es-ES_tradnl"/>
              </w:rPr>
              <w:t>, que congregó a 26 participantes de aproximadamente 20 países. La formación cubrió diversos temas fundamentales relacionados con la política y la normativa, la responsabilidad ampliada del productor y los principios de la economía circular, entre otras cuestiones.</w:t>
            </w:r>
          </w:p>
          <w:p w14:paraId="799502E7" w14:textId="6B884CD5" w:rsidR="00382D54" w:rsidRPr="00382D54" w:rsidRDefault="00382D54" w:rsidP="00B405B1">
            <w:pPr>
              <w:pStyle w:val="Tabletext"/>
              <w:rPr>
                <w:lang w:val="es-ES_tradnl"/>
              </w:rPr>
            </w:pPr>
            <w:r w:rsidRPr="00382D54">
              <w:rPr>
                <w:lang w:val="es-ES_tradnl"/>
              </w:rPr>
              <w:t>En el marco de la iniciativa titulada "Promoción de la acción digital ecológica en favor de un sector digital con cero emisiones netas", la BDT siguió fomentando la supervisión de las emisiones y el uso de la energía en la industria de las TIC. A tal efecto, la</w:t>
            </w:r>
            <w:r w:rsidR="00E868FC">
              <w:rPr>
                <w:lang w:val="es-ES_tradnl"/>
              </w:rPr>
              <w:t> </w:t>
            </w:r>
            <w:r w:rsidRPr="00382D54">
              <w:rPr>
                <w:lang w:val="es-ES_tradnl"/>
              </w:rPr>
              <w:t>UIT y la World Benchmarking Alliance publicaron en 2024 un informe sobre la ecologización de las empresas digitales, centrado en el control de las emisiones y los compromisos climáticos, en que se analizan las emisiones de GEI y el uso de la energía de 200 empresas digitales a nivel mundial. Además de evaluar los datos climáticos, este documento constituye un valioso recurso para las empresas interesadas en conocer prácticas idóneas en la materia y mejorar sus resultados en términos de reducción de emisiones. El informe arroja luz sobre las emisiones operacionales y el consumo de electricidad del sector de las</w:t>
            </w:r>
            <w:r w:rsidR="00EF3EE7">
              <w:rPr>
                <w:lang w:val="es-ES_tradnl"/>
              </w:rPr>
              <w:t> </w:t>
            </w:r>
            <w:r w:rsidRPr="00382D54">
              <w:rPr>
                <w:lang w:val="es-ES_tradnl"/>
              </w:rPr>
              <w:t>TIC, con un énfasis especial en las 15</w:t>
            </w:r>
            <w:r w:rsidR="00E868FC">
              <w:rPr>
                <w:lang w:val="es-ES_tradnl"/>
              </w:rPr>
              <w:t> </w:t>
            </w:r>
            <w:r w:rsidRPr="00382D54">
              <w:rPr>
                <w:lang w:val="es-ES_tradnl"/>
              </w:rPr>
              <w:t xml:space="preserve">emisiones de alcance 3 y la creciente huella de carbono de la inteligencia artificial. El informe se presentó el 30 de septiembre a través de un </w:t>
            </w:r>
            <w:hyperlink r:id="rId114">
              <w:r w:rsidRPr="00382D54">
                <w:rPr>
                  <w:rStyle w:val="Hyperlink"/>
                  <w:lang w:val="es-ES_tradnl"/>
                </w:rPr>
                <w:t>comunicado de prensa</w:t>
              </w:r>
            </w:hyperlink>
            <w:r w:rsidRPr="00382D54">
              <w:rPr>
                <w:lang w:val="es-ES_tradnl"/>
              </w:rPr>
              <w:t xml:space="preserve">, </w:t>
            </w:r>
            <w:hyperlink r:id="rId115">
              <w:r w:rsidR="00EF3EE7">
                <w:rPr>
                  <w:rStyle w:val="Hyperlink"/>
                  <w:lang w:val="es-ES_tradnl"/>
                </w:rPr>
                <w:t>dos seminarios web</w:t>
              </w:r>
            </w:hyperlink>
            <w:r w:rsidR="00EF3EE7" w:rsidRPr="00145586">
              <w:rPr>
                <w:lang w:val="es-ES"/>
              </w:rPr>
              <w:t xml:space="preserve"> </w:t>
            </w:r>
            <w:r w:rsidRPr="00382D54">
              <w:rPr>
                <w:lang w:val="es-ES_tradnl"/>
              </w:rPr>
              <w:t>y</w:t>
            </w:r>
            <w:bookmarkStart w:id="26" w:name="_Int_8VANSyCs"/>
            <w:r w:rsidRPr="00382D54" w:rsidDel="5485C801">
              <w:rPr>
                <w:lang w:val="es-ES_tradnl"/>
              </w:rPr>
              <w:t xml:space="preserve"> un</w:t>
            </w:r>
            <w:r w:rsidRPr="00382D54">
              <w:rPr>
                <w:lang w:val="es-ES_tradnl"/>
              </w:rPr>
              <w:t>a publicación en el</w:t>
            </w:r>
            <w:r w:rsidRPr="00382D54" w:rsidDel="5485C801">
              <w:rPr>
                <w:lang w:val="es-ES_tradnl"/>
              </w:rPr>
              <w:t xml:space="preserve"> </w:t>
            </w:r>
            <w:hyperlink r:id="rId116">
              <w:r w:rsidRPr="00382D54">
                <w:rPr>
                  <w:rStyle w:val="Hyperlink"/>
                  <w:lang w:val="es-ES_tradnl"/>
                </w:rPr>
                <w:t>blog de la UIT</w:t>
              </w:r>
            </w:hyperlink>
            <w:bookmarkEnd w:id="26"/>
            <w:r w:rsidRPr="00382D54">
              <w:rPr>
                <w:lang w:val="es-ES_tradnl"/>
              </w:rPr>
              <w:t>. Ya han dado inicio los preparativos de la edición de 2025 del informe sobre la ecologización de las empresas digitales, en colaboración la World Benchmarking Alliance, y la fecha de presentación coincidirá, en principio, con el Día Mundial del Medio Ambiente, el 5 de junio de 2025. En este informe se analizan las emisiones de GEI y el consumo de energía de 200</w:t>
            </w:r>
            <w:r w:rsidR="00E868FC">
              <w:rPr>
                <w:lang w:val="es-ES_tradnl"/>
              </w:rPr>
              <w:t> </w:t>
            </w:r>
            <w:r w:rsidRPr="00382D54">
              <w:rPr>
                <w:lang w:val="es-ES_tradnl"/>
              </w:rPr>
              <w:t xml:space="preserve">empresas digitales. </w:t>
            </w:r>
            <w:r w:rsidRPr="00382D54">
              <w:rPr>
                <w:iCs/>
                <w:lang w:val="es-ES_tradnl"/>
              </w:rPr>
              <w:t>El</w:t>
            </w:r>
            <w:r w:rsidRPr="00382D54">
              <w:rPr>
                <w:i/>
                <w:lang w:val="es-ES_tradnl"/>
              </w:rPr>
              <w:t xml:space="preserve"> </w:t>
            </w:r>
            <w:r w:rsidRPr="00382D54">
              <w:rPr>
                <w:iCs/>
                <w:lang w:val="es-ES_tradnl"/>
              </w:rPr>
              <w:t xml:space="preserve">"Panel sobre la ecologización del sector digital" que lo acompaña, presentado en la COP29, permite realizar un seguimiento de las repercusiones del sector de las TIC en el clima </w:t>
            </w:r>
            <w:r w:rsidRPr="00382D54">
              <w:rPr>
                <w:lang w:val="es-ES_tradnl"/>
              </w:rPr>
              <w:t>y apoya diversos objetivos climáticos de alcance mundial.</w:t>
            </w:r>
            <w:r w:rsidRPr="00382D54">
              <w:rPr>
                <w:iCs/>
                <w:lang w:val="es-ES_tradnl"/>
              </w:rPr>
              <w:t xml:space="preserve"> Esta herramienta se está actualizando de acuerdo con los</w:t>
            </w:r>
            <w:r w:rsidRPr="00382D54">
              <w:rPr>
                <w:lang w:val="es-ES_tradnl"/>
              </w:rPr>
              <w:t xml:space="preserve"> nuevos datos del informe sobre la ecologización de las empresas digitales.</w:t>
            </w:r>
          </w:p>
          <w:p w14:paraId="649D5FC3" w14:textId="6F855474" w:rsidR="00382D54" w:rsidRPr="00382D54" w:rsidRDefault="00382D54" w:rsidP="00B405B1">
            <w:pPr>
              <w:pStyle w:val="Tabletext"/>
              <w:rPr>
                <w:lang w:val="es-ES_tradnl"/>
              </w:rPr>
            </w:pPr>
            <w:r w:rsidRPr="00732CB0">
              <w:rPr>
                <w:lang w:val="es-ES_tradnl"/>
              </w:rPr>
              <w:t>En la COP29</w:t>
            </w:r>
            <w:r w:rsidRPr="00382D54">
              <w:rPr>
                <w:lang w:val="es-ES_tradnl"/>
              </w:rPr>
              <w:t xml:space="preserve">, celebrada en noviembre, la BDT presentó el </w:t>
            </w:r>
            <w:hyperlink r:id="rId117" w:history="1">
              <w:r w:rsidRPr="00382D54">
                <w:rPr>
                  <w:rStyle w:val="Hyperlink"/>
                  <w:lang w:val="es-ES_tradnl"/>
                </w:rPr>
                <w:t>"Panel sobre la ecologización del sector digital"</w:t>
              </w:r>
            </w:hyperlink>
            <w:r w:rsidRPr="00382D54">
              <w:rPr>
                <w:lang w:val="es-ES_tradnl"/>
              </w:rPr>
              <w:t>, el cual permite a la</w:t>
            </w:r>
            <w:r w:rsidR="00E868FC">
              <w:rPr>
                <w:lang w:val="es-ES_tradnl"/>
              </w:rPr>
              <w:t> </w:t>
            </w:r>
            <w:r w:rsidRPr="00382D54">
              <w:rPr>
                <w:lang w:val="es-ES_tradnl"/>
              </w:rPr>
              <w:t>UIT y a sus asociados realizar un seguimiento de las repercusiones del sector de las TIC en el clima y establecer metas respaldadas por datos científicos. Esta herramienta sienta las bases para una futura base de datos de la UIT sobre las emisiones de gases de GEI del sector de las</w:t>
            </w:r>
            <w:r w:rsidR="00E868FC">
              <w:rPr>
                <w:lang w:val="es-ES_tradnl"/>
              </w:rPr>
              <w:t> </w:t>
            </w:r>
            <w:r w:rsidRPr="00382D54">
              <w:rPr>
                <w:lang w:val="es-ES_tradnl"/>
              </w:rPr>
              <w:t>TIC, en apoyo de los objetivos mundiales relacionados con el clima.</w:t>
            </w:r>
          </w:p>
          <w:p w14:paraId="046FA1D2" w14:textId="6348E0FC" w:rsidR="00382D54" w:rsidRPr="00382D54" w:rsidRDefault="00382D54" w:rsidP="00B405B1">
            <w:pPr>
              <w:pStyle w:val="Tabletext"/>
              <w:rPr>
                <w:lang w:val="es-ES_tradnl"/>
              </w:rPr>
            </w:pPr>
            <w:r w:rsidRPr="00382D54">
              <w:rPr>
                <w:lang w:val="es-ES_tradnl"/>
              </w:rPr>
              <w:lastRenderedPageBreak/>
              <w:t>La</w:t>
            </w:r>
            <w:r w:rsidR="00732CB0">
              <w:rPr>
                <w:lang w:val="es-ES_tradnl"/>
              </w:rPr>
              <w:t> </w:t>
            </w:r>
            <w:r w:rsidRPr="00382D54">
              <w:rPr>
                <w:lang w:val="es-ES_tradnl"/>
              </w:rPr>
              <w:t xml:space="preserve">BDT administró una encuesta dirigida a los coordinadores de los </w:t>
            </w:r>
            <w:bookmarkStart w:id="27" w:name="_Hlk197346642"/>
            <w:r w:rsidR="00732CB0" w:rsidRPr="00382D54">
              <w:rPr>
                <w:lang w:val="es-ES_tradnl"/>
              </w:rPr>
              <w:t>i</w:t>
            </w:r>
            <w:r w:rsidRPr="00382D54">
              <w:rPr>
                <w:lang w:val="es-ES_tradnl"/>
              </w:rPr>
              <w:t xml:space="preserve">ndicadores </w:t>
            </w:r>
            <w:r w:rsidR="00732CB0" w:rsidRPr="00382D54">
              <w:rPr>
                <w:lang w:val="es-ES_tradnl"/>
              </w:rPr>
              <w:t>m</w:t>
            </w:r>
            <w:r w:rsidRPr="00382D54">
              <w:rPr>
                <w:lang w:val="es-ES_tradnl"/>
              </w:rPr>
              <w:t xml:space="preserve">undiales de las </w:t>
            </w:r>
            <w:r w:rsidR="00732CB0" w:rsidRPr="00382D54">
              <w:rPr>
                <w:lang w:val="es-ES_tradnl"/>
              </w:rPr>
              <w:t>t</w:t>
            </w:r>
            <w:r w:rsidRPr="00382D54">
              <w:rPr>
                <w:lang w:val="es-ES_tradnl"/>
              </w:rPr>
              <w:t>elecomunicaciones</w:t>
            </w:r>
            <w:bookmarkEnd w:id="27"/>
            <w:r w:rsidRPr="00382D54">
              <w:rPr>
                <w:lang w:val="es-ES_tradnl"/>
              </w:rPr>
              <w:t>, que sirvió para orientar con mayor precisión orientando la labor de la</w:t>
            </w:r>
            <w:r w:rsidR="00E868FC">
              <w:rPr>
                <w:lang w:val="es-ES_tradnl"/>
              </w:rPr>
              <w:t> </w:t>
            </w:r>
            <w:r w:rsidRPr="00382D54">
              <w:rPr>
                <w:lang w:val="es-ES_tradnl"/>
              </w:rPr>
              <w:t>BDT en materia de supervisión de las emisiones de GEI y uso de la energía del sector de las TIC, y para apoyar la evaluación de las prioridades y necesidades de la comunidad reglamentaria a la hora de supervisar los efectos del sector de las</w:t>
            </w:r>
            <w:r w:rsidR="00E868FC">
              <w:rPr>
                <w:lang w:val="es-ES_tradnl"/>
              </w:rPr>
              <w:t> </w:t>
            </w:r>
            <w:r w:rsidRPr="00382D54">
              <w:rPr>
                <w:lang w:val="es-ES_tradnl"/>
              </w:rPr>
              <w:t>TIC en el clima. Se recibieron resultados de 77</w:t>
            </w:r>
            <w:r w:rsidR="00E868FC">
              <w:rPr>
                <w:lang w:val="es-ES_tradnl"/>
              </w:rPr>
              <w:t> </w:t>
            </w:r>
            <w:r w:rsidRPr="00382D54">
              <w:rPr>
                <w:lang w:val="es-ES_tradnl"/>
              </w:rPr>
              <w:t>Estados Miembros. En la reunión del GEIT celebrada en septiembre, se examinaron los indicadores ambientales como parte de la labor futura del GEIT para 2025. Tras esta presentación, la BDT ha recibido apoyo de más de diez expertos para crear un nuevo subgrupo sobre indicadores ambientales para el sector de las</w:t>
            </w:r>
            <w:r w:rsidR="00E868FC">
              <w:rPr>
                <w:lang w:val="es-ES_tradnl"/>
              </w:rPr>
              <w:t> </w:t>
            </w:r>
            <w:r w:rsidRPr="00382D54">
              <w:rPr>
                <w:lang w:val="es-ES_tradnl"/>
              </w:rPr>
              <w:t>TIC, centrado en las emisiones de GEI y el uso de la energía, que estará operativo a principios de 2025.</w:t>
            </w:r>
          </w:p>
          <w:p w14:paraId="499FB0EF" w14:textId="685806C7" w:rsidR="00382D54" w:rsidRPr="00382D54" w:rsidRDefault="00382D54" w:rsidP="00B405B1">
            <w:pPr>
              <w:pStyle w:val="Tabletext"/>
              <w:rPr>
                <w:lang w:val="es-ES_tradnl"/>
              </w:rPr>
            </w:pPr>
            <w:r w:rsidRPr="00382D54">
              <w:rPr>
                <w:lang w:val="es-ES_tradnl"/>
              </w:rPr>
              <w:t xml:space="preserve">La UIT sigue avanzando en su programa de trabajo con el objetivo de ayudar a los países y a los reguladores de las TIC a supervisar la repercusión climática de su sector de TIC nacional mediante la recopilación de datos. Se ha creado un nuevo </w:t>
            </w:r>
            <w:r w:rsidR="00732CB0">
              <w:rPr>
                <w:lang w:val="es-ES_tradnl"/>
              </w:rPr>
              <w:t>s</w:t>
            </w:r>
            <w:r w:rsidRPr="00382D54">
              <w:rPr>
                <w:lang w:val="es-ES_tradnl"/>
              </w:rPr>
              <w:t>ubgrupo del GEIT sobre Indicadores Nacionales de Seguimiento de las Emisiones de Gases de Efecto Invernadero, presidido por Arcep (Francia). Este subgrupo está elaborando un documento en el que se describe un conjunto de indicadores armonizados que permite medir las repercusiones medioambientales del sector de las TIC, incluidas las emisiones de GEI de alcance</w:t>
            </w:r>
            <w:r w:rsidR="004164BF">
              <w:rPr>
                <w:lang w:val="es-ES_tradnl"/>
              </w:rPr>
              <w:t> </w:t>
            </w:r>
            <w:r w:rsidRPr="00382D54">
              <w:rPr>
                <w:lang w:val="es-ES_tradnl"/>
              </w:rPr>
              <w:t>1, 2 y 3, el consumo total de energía, el uso de energías renovables y los objetivos relacionados con el clima. En colaboración con el Banco Mundial y Arcep, se llevó a cabo un estudio de caso sobre prácticas idóneas en materia de supervisión de las emisiones del sector de las TIC en Francia, a fin de orientar a los reguladores mundiales. El 12 de marzo de</w:t>
            </w:r>
            <w:r w:rsidR="00E868FC">
              <w:rPr>
                <w:lang w:val="es-ES_tradnl"/>
              </w:rPr>
              <w:t> </w:t>
            </w:r>
            <w:r w:rsidRPr="00382D54">
              <w:rPr>
                <w:lang w:val="es-ES_tradnl"/>
              </w:rPr>
              <w:t>2025, la</w:t>
            </w:r>
            <w:r w:rsidR="00732CB0">
              <w:rPr>
                <w:lang w:val="es-ES_tradnl"/>
              </w:rPr>
              <w:t> </w:t>
            </w:r>
            <w:r w:rsidRPr="00382D54">
              <w:rPr>
                <w:lang w:val="es-ES_tradnl"/>
              </w:rPr>
              <w:t>UIT organizó un seminario web con motivo del lanzamiento oficial del estudio de caso sobre prácticas idóneas en materia de medición de las repercusiones medioambientales del sector nacional de las TIC, centrado en la labor de Arcep (Francia) y realizado conjuntamente por la UIT y el Banco Mundial. Este estudio ahonda en la trayectoria de Arcep en los campos de la recopilación de datos y la reglamentación, y detalla el modo en que esta última implementó cambios legislativos para ampliar su autoridad a efectos de la recopilación de datos y fomentó la participación de las partes interesadas del sector en aras de la transparencia y el reparto de responsabilidades. En dicho seminario web, dedicado a la medición de las repercusiones medioambientales del sector de las TIC y las enseñanzas y conocimientos extraídos de los casos de Francia, Brasil, Sudáfrica y Zambia, participaron más de 130</w:t>
            </w:r>
            <w:r w:rsidR="004711CF">
              <w:rPr>
                <w:lang w:val="es-ES_tradnl"/>
              </w:rPr>
              <w:t> </w:t>
            </w:r>
            <w:r w:rsidRPr="00382D54">
              <w:rPr>
                <w:lang w:val="es-ES_tradnl"/>
              </w:rPr>
              <w:t>interesados.</w:t>
            </w:r>
          </w:p>
          <w:p w14:paraId="0E538AC8" w14:textId="622527F8" w:rsidR="00382D54" w:rsidRPr="00382D54" w:rsidRDefault="00382D54" w:rsidP="00B405B1">
            <w:pPr>
              <w:pStyle w:val="Tabletext"/>
              <w:rPr>
                <w:lang w:val="es-ES_tradnl"/>
              </w:rPr>
            </w:pPr>
            <w:r w:rsidRPr="00382D54">
              <w:rPr>
                <w:lang w:val="es-ES_tradnl"/>
              </w:rPr>
              <w:t>La</w:t>
            </w:r>
            <w:r w:rsidR="00732CB0">
              <w:rPr>
                <w:lang w:val="es-ES_tradnl"/>
              </w:rPr>
              <w:t> </w:t>
            </w:r>
            <w:r w:rsidRPr="00382D54">
              <w:rPr>
                <w:lang w:val="es-ES_tradnl"/>
              </w:rPr>
              <w:t xml:space="preserve">BDT también se ha asociado con el MSIT de la República de Corea para impulsar la transformación digital ecológica en favor de un sector digital con cero emisiones netas en Filipinas y Tanzanía. El nuevo proyecto, que dio inicio en enero de 2025 y tendrá una duración de dos años, aspira a mejorar las competencias de los reguladores de las TIC y de las partes interesadas en los campos de la recopilación de datos, la reglamentación y el establecimiento de objetivos. Se ha publicado un mapa histórico en el que se resumen las iniciativas emprendidas por la BDT con miras a la </w:t>
            </w:r>
            <w:r w:rsidR="00B54FBF">
              <w:rPr>
                <w:lang w:val="es-ES_tradnl"/>
              </w:rPr>
              <w:t>"</w:t>
            </w:r>
            <w:r w:rsidRPr="00382D54">
              <w:rPr>
                <w:lang w:val="es-ES_tradnl"/>
              </w:rPr>
              <w:t>Promoción de la transformación digital ecológica en favor de un sector de las TIC con cero emisiones netas</w:t>
            </w:r>
            <w:r w:rsidR="00B54FBF">
              <w:rPr>
                <w:lang w:val="es-ES_tradnl"/>
              </w:rPr>
              <w:t>"</w:t>
            </w:r>
            <w:r w:rsidRPr="00382D54">
              <w:rPr>
                <w:lang w:val="es-ES_tradnl"/>
              </w:rPr>
              <w:t>. La</w:t>
            </w:r>
            <w:r w:rsidR="004711CF">
              <w:rPr>
                <w:lang w:val="es-ES_tradnl"/>
              </w:rPr>
              <w:t> </w:t>
            </w:r>
            <w:r w:rsidRPr="00382D54">
              <w:rPr>
                <w:lang w:val="es-ES_tradnl"/>
              </w:rPr>
              <w:t>UIT, la GIZ y el Banco Mundial están actualizando el curso de ciberaprendizaje sobre centros de datos ecológicos, con el objetivo de que incluya entrevistas y sea más interactivo. A través de la investigación exhaustiva, el apoyo normativo, las iniciativas de creación de capacidades y las asociaciones mundiales, la UIT y sus colaboradores siguen impulsando el progreso hacia un sector digital con cero emisiones netas, a fin de garantizar que la industria de las TIC se adecúe a los objetivos climáticos mundiales.</w:t>
            </w:r>
          </w:p>
          <w:p w14:paraId="35FFD8D9" w14:textId="312FC923" w:rsidR="00382D54" w:rsidRPr="00382D54" w:rsidRDefault="00382D54" w:rsidP="00B405B1">
            <w:pPr>
              <w:pStyle w:val="Tabletext"/>
              <w:rPr>
                <w:lang w:val="es-ES_tradnl"/>
              </w:rPr>
            </w:pPr>
            <w:r w:rsidRPr="00382D54">
              <w:rPr>
                <w:lang w:val="es-ES_tradnl"/>
              </w:rPr>
              <w:lastRenderedPageBreak/>
              <w:t>La</w:t>
            </w:r>
            <w:r w:rsidR="004164BF">
              <w:rPr>
                <w:lang w:val="es-ES_tradnl"/>
              </w:rPr>
              <w:t> </w:t>
            </w:r>
            <w:r w:rsidRPr="00382D54">
              <w:rPr>
                <w:lang w:val="es-ES_tradnl"/>
              </w:rPr>
              <w:t>BDT organizó de forma individual y conjunta una serie de eventos de creación de conciencia acerca de la Acción Digital Ecológica en favor de un sector de las TIC con cero emisiones netas, entre ellos, el Simposio Mundial para Organismos Reguladores celebrado el 3 de julio en Kampala (Uganda), la Semana del Clima celebrada en Nueva York en septiembre, el Simposio Mundial sobre Indicadores de Telecomunicaciones celebrado en septiembre y la COP29 celebrada en noviembre. En la COP29, celebrada en Bakú (Azerbaiyán), el equipo de la</w:t>
            </w:r>
            <w:r w:rsidR="00E868FC">
              <w:rPr>
                <w:lang w:val="es-ES_tradnl"/>
              </w:rPr>
              <w:t> </w:t>
            </w:r>
            <w:r w:rsidRPr="00382D54">
              <w:rPr>
                <w:lang w:val="es-ES_tradnl"/>
              </w:rPr>
              <w:t>BDT organizó, coorganizó y/o intervino en cinco eventos, a saber: 1)</w:t>
            </w:r>
            <w:r w:rsidR="00E868FC">
              <w:rPr>
                <w:lang w:val="es-ES_tradnl"/>
              </w:rPr>
              <w:t> </w:t>
            </w:r>
            <w:r w:rsidRPr="00382D54">
              <w:rPr>
                <w:lang w:val="es-ES_tradnl"/>
              </w:rPr>
              <w:t>el evento de inauguración de alto nivel sobre el tema de la acción digital ecológica en la COP29, el 14 de noviembre; 2)</w:t>
            </w:r>
            <w:r w:rsidR="00E868FC">
              <w:rPr>
                <w:lang w:val="es-ES_tradnl"/>
              </w:rPr>
              <w:t> </w:t>
            </w:r>
            <w:r w:rsidRPr="00382D54">
              <w:rPr>
                <w:lang w:val="es-ES_tradnl"/>
              </w:rPr>
              <w:t>el evento relativo a la ampliación del acceso a infraestructuras de datos ecológicas, el 14 de noviembre, coorganizado con el Banco Mundial; 3)</w:t>
            </w:r>
            <w:r w:rsidR="00E868FC">
              <w:rPr>
                <w:lang w:val="es-ES_tradnl"/>
              </w:rPr>
              <w:t> </w:t>
            </w:r>
            <w:r w:rsidRPr="00382D54">
              <w:rPr>
                <w:lang w:val="es-ES_tradnl"/>
              </w:rPr>
              <w:t>el evento relativo a la acción por el clima y los planes de transición para reducir las emisiones de GEI del sector de las TIC, el 16 de noviembre, coorganizado con la TSB y</w:t>
            </w:r>
            <w:r w:rsidR="004164BF">
              <w:rPr>
                <w:lang w:val="es-ES_tradnl"/>
              </w:rPr>
              <w:t> </w:t>
            </w:r>
            <w:r w:rsidRPr="00382D54">
              <w:rPr>
                <w:lang w:val="es-ES_tradnl"/>
              </w:rPr>
              <w:t>SPM; 4)</w:t>
            </w:r>
            <w:r w:rsidR="00E868FC">
              <w:rPr>
                <w:lang w:val="es-ES_tradnl"/>
              </w:rPr>
              <w:t> </w:t>
            </w:r>
            <w:r w:rsidRPr="00382D54">
              <w:rPr>
                <w:lang w:val="es-ES_tradnl"/>
              </w:rPr>
              <w:t>el evento relativo a la promoción de la acción digital ecológica en favor de un sector de las TIC con cero emisiones netas, el 16 de noviembre, en calidad de organizador y ponente; y 5) el evento relativo al camino hacia la neutralidad en carbono (coorganizado con el Gobierno de la República de Corea para destacar el nuevo proyecto llevado a cabo por la</w:t>
            </w:r>
            <w:r w:rsidR="009378F6">
              <w:rPr>
                <w:lang w:val="es-ES_tradnl"/>
              </w:rPr>
              <w:t> </w:t>
            </w:r>
            <w:r w:rsidRPr="00382D54">
              <w:rPr>
                <w:lang w:val="es-ES_tradnl"/>
              </w:rPr>
              <w:t>BDT y el Ministerio de Ciencia y TIC), el 16 de noviembre. Además, el equipo de la BDT fue invitado como ponente en eventos de la índole del 15</w:t>
            </w:r>
            <w:r w:rsidR="004711CF">
              <w:rPr>
                <w:lang w:val="es-ES_tradnl"/>
              </w:rPr>
              <w:t>.</w:t>
            </w:r>
            <w:r w:rsidRPr="00382D54">
              <w:rPr>
                <w:lang w:val="es-ES_tradnl"/>
              </w:rPr>
              <w:t>º Simposio de la TSB sobre TIC, Medio Ambiente, Cambio Climático y Economía Circular, celebrado el 9 de mayo de</w:t>
            </w:r>
            <w:r w:rsidR="004164BF">
              <w:rPr>
                <w:lang w:val="es-ES_tradnl"/>
              </w:rPr>
              <w:t> </w:t>
            </w:r>
            <w:r w:rsidRPr="00382D54">
              <w:rPr>
                <w:lang w:val="es-ES_tradnl"/>
              </w:rPr>
              <w:t>2024, en el que realizó una presentación sobre el "Aprovechamiento de los datos para la transformación digital sostenible", y el seminario web de la UIT acerca de la Acción Digital Ecológica, celebrado el 3 de junio de 2024, sobre el tema "De los datos a la acción: metodologías normalizadas para medir los avances del sector de las</w:t>
            </w:r>
            <w:r w:rsidR="00E868FC">
              <w:rPr>
                <w:lang w:val="es-ES_tradnl"/>
              </w:rPr>
              <w:t> </w:t>
            </w:r>
            <w:r w:rsidRPr="00382D54">
              <w:rPr>
                <w:lang w:val="es-ES_tradnl"/>
              </w:rPr>
              <w:t>TIC".</w:t>
            </w:r>
          </w:p>
        </w:tc>
        <w:tc>
          <w:tcPr>
            <w:tcW w:w="2999" w:type="dxa"/>
          </w:tcPr>
          <w:p w14:paraId="332ECD88" w14:textId="73D86F01" w:rsidR="00382D54" w:rsidRPr="00382D54" w:rsidRDefault="004C3ECC" w:rsidP="00B54FBF">
            <w:pPr>
              <w:pStyle w:val="Tabletext"/>
              <w:ind w:left="284" w:hanging="284"/>
              <w:rPr>
                <w:lang w:val="es-ES_tradnl"/>
              </w:rPr>
            </w:pPr>
            <w:r w:rsidRPr="004C3ECC">
              <w:rPr>
                <w:lang w:val="es-ES_tradnl"/>
              </w:rPr>
              <w:lastRenderedPageBreak/>
              <w:t>–</w:t>
            </w:r>
            <w:r w:rsidR="00B54FBF" w:rsidRPr="00736B66">
              <w:rPr>
                <w:lang w:val="es-ES_tradnl"/>
              </w:rPr>
              <w:tab/>
            </w:r>
            <w:r w:rsidR="00382D54" w:rsidRPr="00382D54">
              <w:rPr>
                <w:lang w:val="es-ES_tradnl"/>
              </w:rPr>
              <w:t>Mayor participación de los productores de dispositivos electrónicos en los procesos de normalización</w:t>
            </w:r>
          </w:p>
          <w:p w14:paraId="258FA5F0" w14:textId="53F2DA08"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Refuerzo de las políticas y normativas</w:t>
            </w:r>
          </w:p>
          <w:p w14:paraId="12DD9F43" w14:textId="626B375F"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Fortalecimiento de las asociaciones y colaboraciones, y promoción de los productos y servicios de la</w:t>
            </w:r>
            <w:r w:rsidR="000B1D29">
              <w:rPr>
                <w:lang w:val="es-ES_tradnl"/>
              </w:rPr>
              <w:t> </w:t>
            </w:r>
            <w:r w:rsidR="00382D54" w:rsidRPr="00382D54">
              <w:rPr>
                <w:lang w:val="es-ES_tradnl"/>
              </w:rPr>
              <w:t>BDT</w:t>
            </w:r>
          </w:p>
          <w:p w14:paraId="5B339438" w14:textId="734157E7"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Incremento de la recopilación de datos sobre emisiones de GEI y energía, así como de la capacidad de los reguladores para recopilar datos</w:t>
            </w:r>
          </w:p>
          <w:p w14:paraId="64CA221A" w14:textId="3231C263"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Mejora del seguimiento de la huella climática del sector de las TIC</w:t>
            </w:r>
          </w:p>
          <w:p w14:paraId="398B1FA7" w14:textId="72432691"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África: Rwanda, Zambia, Tanzanía</w:t>
            </w:r>
            <w:r w:rsidR="00EF3EE7">
              <w:rPr>
                <w:lang w:val="es-ES_tradnl"/>
              </w:rPr>
              <w:t xml:space="preserve"> y </w:t>
            </w:r>
            <w:r w:rsidR="00382D54" w:rsidRPr="00382D54">
              <w:rPr>
                <w:lang w:val="es-ES_tradnl"/>
              </w:rPr>
              <w:t>Uganda</w:t>
            </w:r>
          </w:p>
          <w:p w14:paraId="294A2C33" w14:textId="26EAE36D" w:rsidR="00382D54" w:rsidRPr="00382D54" w:rsidRDefault="004C3ECC" w:rsidP="00736B66">
            <w:pPr>
              <w:pStyle w:val="Tabletext"/>
              <w:rPr>
                <w:lang w:val="es-ES_tradnl"/>
              </w:rPr>
            </w:pPr>
            <w:r w:rsidRPr="004C3ECC">
              <w:rPr>
                <w:lang w:val="es-ES_tradnl"/>
              </w:rPr>
              <w:t>–</w:t>
            </w:r>
            <w:r w:rsidR="00B54FBF" w:rsidRPr="00736B66">
              <w:rPr>
                <w:lang w:val="es-ES_tradnl"/>
              </w:rPr>
              <w:tab/>
            </w:r>
            <w:r w:rsidR="00382D54" w:rsidRPr="00382D54">
              <w:rPr>
                <w:lang w:val="es-ES_tradnl"/>
              </w:rPr>
              <w:t>América: Paraguay</w:t>
            </w:r>
          </w:p>
          <w:p w14:paraId="1D8E74E6" w14:textId="3D5A2C48"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Asia</w:t>
            </w:r>
            <w:r w:rsidR="00CE0197">
              <w:rPr>
                <w:lang w:val="es-ES_tradnl"/>
              </w:rPr>
              <w:noBreakHyphen/>
            </w:r>
            <w:r w:rsidR="00382D54" w:rsidRPr="00382D54">
              <w:rPr>
                <w:lang w:val="es-ES_tradnl"/>
              </w:rPr>
              <w:t xml:space="preserve">Pacífico: Indonesia, Mongolia, Tailandia </w:t>
            </w:r>
            <w:r w:rsidR="00EF3EE7">
              <w:rPr>
                <w:lang w:val="es-ES_tradnl"/>
              </w:rPr>
              <w:t xml:space="preserve">y </w:t>
            </w:r>
            <w:r w:rsidR="00382D54" w:rsidRPr="00382D54">
              <w:rPr>
                <w:lang w:val="es-ES_tradnl"/>
              </w:rPr>
              <w:t>Filipinas</w:t>
            </w:r>
          </w:p>
          <w:p w14:paraId="0C4630A3" w14:textId="3B4B5C00" w:rsidR="00382D54" w:rsidRPr="00382D54" w:rsidRDefault="00382D54" w:rsidP="00736B66">
            <w:pPr>
              <w:pStyle w:val="Tabletext"/>
              <w:rPr>
                <w:b/>
                <w:bCs/>
                <w:color w:val="0070C0"/>
                <w:lang w:val="es-ES_tradnl"/>
              </w:rPr>
            </w:pPr>
            <w:r w:rsidRPr="00382D54">
              <w:rPr>
                <w:b/>
                <w:bCs/>
                <w:color w:val="0070C0"/>
                <w:lang w:val="es-ES_tradnl"/>
              </w:rPr>
              <w:lastRenderedPageBreak/>
              <w:t xml:space="preserve">Participación de PMA/PDSL y PEID/prestación de asistencia a los mismos </w:t>
            </w:r>
            <w:r w:rsidR="008C47AB" w:rsidRPr="008C47AB">
              <w:rPr>
                <w:b/>
                <w:bCs/>
                <w:color w:val="0070C0"/>
                <w:lang w:val="es-ES_tradnl"/>
              </w:rPr>
              <w:t>–</w:t>
            </w:r>
            <w:r w:rsidRPr="00382D54">
              <w:rPr>
                <w:b/>
                <w:bCs/>
                <w:color w:val="0070C0"/>
                <w:lang w:val="es-ES_tradnl"/>
              </w:rPr>
              <w:t xml:space="preserve"> Compromiso con la sostenibilidad medioambiental</w:t>
            </w:r>
          </w:p>
          <w:p w14:paraId="7BC49D93" w14:textId="33653051"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 xml:space="preserve">Un total de </w:t>
            </w:r>
            <w:r w:rsidR="003C6E0F">
              <w:rPr>
                <w:lang w:val="es-ES_tradnl"/>
              </w:rPr>
              <w:t>siete</w:t>
            </w:r>
            <w:r w:rsidR="00382D54" w:rsidRPr="00382D54">
              <w:rPr>
                <w:lang w:val="es-ES_tradnl"/>
              </w:rPr>
              <w:t xml:space="preserve"> países recibieron asistencia con miras al desarrollo de marcos políticos y productos de conocimiento</w:t>
            </w:r>
            <w:r w:rsidR="003C6E0F">
              <w:rPr>
                <w:lang w:val="es-ES_tradnl"/>
              </w:rPr>
              <w:t>.</w:t>
            </w:r>
          </w:p>
          <w:p w14:paraId="40DE11BB" w14:textId="4B657161" w:rsidR="00382D54" w:rsidRPr="00382D54" w:rsidRDefault="00382D54" w:rsidP="00736B66">
            <w:pPr>
              <w:pStyle w:val="Tabletext"/>
              <w:rPr>
                <w:lang w:val="es-ES_tradnl"/>
              </w:rPr>
            </w:pPr>
            <w:r w:rsidRPr="00382D54">
              <w:rPr>
                <w:lang w:val="es-ES_tradnl"/>
              </w:rPr>
              <w:t xml:space="preserve">Hay </w:t>
            </w:r>
            <w:r w:rsidR="003C6E0F">
              <w:rPr>
                <w:lang w:val="es-ES_tradnl"/>
              </w:rPr>
              <w:t>tres</w:t>
            </w:r>
            <w:r w:rsidRPr="00382D54">
              <w:rPr>
                <w:lang w:val="es-ES_tradnl"/>
              </w:rPr>
              <w:t xml:space="preserve"> proyectos en curso</w:t>
            </w:r>
            <w:r w:rsidR="003C6E0F">
              <w:rPr>
                <w:lang w:val="es-ES_tradnl"/>
              </w:rPr>
              <w:t>.</w:t>
            </w:r>
          </w:p>
        </w:tc>
      </w:tr>
      <w:tr w:rsidR="00427D53" w:rsidRPr="00382D54" w14:paraId="4133792E" w14:textId="77777777" w:rsidTr="00E07C78">
        <w:trPr>
          <w:jc w:val="center"/>
        </w:trPr>
        <w:tc>
          <w:tcPr>
            <w:tcW w:w="4111" w:type="dxa"/>
          </w:tcPr>
          <w:p w14:paraId="173CF9AD" w14:textId="77777777" w:rsidR="00382D54" w:rsidRPr="00382D54" w:rsidRDefault="00382D54" w:rsidP="00736B66">
            <w:pPr>
              <w:pStyle w:val="Tabletext"/>
              <w:rPr>
                <w:b/>
                <w:bCs/>
                <w:lang w:val="es-ES_tradnl"/>
              </w:rPr>
            </w:pPr>
            <w:r w:rsidRPr="00382D54">
              <w:rPr>
                <w:b/>
                <w:bCs/>
                <w:lang w:val="es-ES_tradnl"/>
              </w:rPr>
              <w:lastRenderedPageBreak/>
              <w:t>Contribución a las metas de los ODS</w:t>
            </w:r>
          </w:p>
        </w:tc>
        <w:tc>
          <w:tcPr>
            <w:tcW w:w="10445" w:type="dxa"/>
            <w:gridSpan w:val="2"/>
          </w:tcPr>
          <w:p w14:paraId="19432D74" w14:textId="77777777" w:rsidR="00382D54" w:rsidRPr="00382D54" w:rsidRDefault="00382D54" w:rsidP="00736B66">
            <w:pPr>
              <w:pStyle w:val="Tabletext"/>
              <w:rPr>
                <w:lang w:val="es-ES_tradnl"/>
              </w:rPr>
            </w:pPr>
            <w:r w:rsidRPr="00382D54">
              <w:rPr>
                <w:lang w:val="es-ES_tradnl"/>
              </w:rPr>
              <w:t>ODS 1, 3, 4, 5, 8, 9, 10, 11, 16 y 17</w:t>
            </w:r>
          </w:p>
        </w:tc>
      </w:tr>
      <w:tr w:rsidR="00427D53" w:rsidRPr="00382D54" w14:paraId="2FDC016D" w14:textId="77777777" w:rsidTr="00E07C78">
        <w:trPr>
          <w:jc w:val="center"/>
        </w:trPr>
        <w:tc>
          <w:tcPr>
            <w:tcW w:w="4111" w:type="dxa"/>
          </w:tcPr>
          <w:p w14:paraId="6EBCC2D5" w14:textId="77777777" w:rsidR="00382D54" w:rsidRPr="00382D54" w:rsidRDefault="00382D54" w:rsidP="00736B66">
            <w:pPr>
              <w:pStyle w:val="Tabletext"/>
              <w:rPr>
                <w:b/>
                <w:bCs/>
                <w:lang w:val="es-ES_tradnl"/>
              </w:rPr>
            </w:pPr>
            <w:r w:rsidRPr="00382D54">
              <w:rPr>
                <w:b/>
                <w:bCs/>
                <w:lang w:val="es-ES_tradnl"/>
              </w:rPr>
              <w:t>Líneas de Acción de la CMSI</w:t>
            </w:r>
          </w:p>
        </w:tc>
        <w:tc>
          <w:tcPr>
            <w:tcW w:w="10445" w:type="dxa"/>
            <w:gridSpan w:val="2"/>
          </w:tcPr>
          <w:p w14:paraId="5A8B5F83" w14:textId="77777777" w:rsidR="00382D54" w:rsidRPr="00382D54" w:rsidRDefault="00382D54" w:rsidP="00736B66">
            <w:pPr>
              <w:pStyle w:val="Tabletext"/>
              <w:rPr>
                <w:lang w:val="es-ES_tradnl"/>
              </w:rPr>
            </w:pPr>
            <w:r w:rsidRPr="00382D54">
              <w:rPr>
                <w:lang w:val="es-ES_tradnl"/>
              </w:rPr>
              <w:t>C1, C2, C3, C4, C5, C6, C7 y C11</w:t>
            </w:r>
          </w:p>
        </w:tc>
      </w:tr>
      <w:tr w:rsidR="00427D53" w:rsidRPr="00382D54" w14:paraId="04D5ABDD" w14:textId="77777777" w:rsidTr="00E07C78">
        <w:trPr>
          <w:jc w:val="center"/>
        </w:trPr>
        <w:tc>
          <w:tcPr>
            <w:tcW w:w="4111" w:type="dxa"/>
          </w:tcPr>
          <w:p w14:paraId="262F8E76" w14:textId="77777777" w:rsidR="00382D54" w:rsidRPr="00382D54" w:rsidRDefault="00382D54" w:rsidP="00736B66">
            <w:pPr>
              <w:pStyle w:val="Tabletext"/>
              <w:rPr>
                <w:b/>
                <w:bCs/>
                <w:lang w:val="es-ES_tradnl"/>
              </w:rPr>
            </w:pPr>
            <w:r w:rsidRPr="00382D54">
              <w:rPr>
                <w:b/>
                <w:bCs/>
                <w:lang w:val="es-ES_tradnl"/>
              </w:rPr>
              <w:t>Resoluciones</w:t>
            </w:r>
          </w:p>
        </w:tc>
        <w:tc>
          <w:tcPr>
            <w:tcW w:w="10445" w:type="dxa"/>
            <w:gridSpan w:val="2"/>
          </w:tcPr>
          <w:p w14:paraId="097912DF" w14:textId="77777777" w:rsidR="00382D54" w:rsidRPr="00382D54" w:rsidRDefault="00382D54" w:rsidP="00736B66">
            <w:pPr>
              <w:pStyle w:val="Tabletext"/>
              <w:rPr>
                <w:lang w:val="es-ES_tradnl"/>
              </w:rPr>
            </w:pPr>
            <w:r w:rsidRPr="00382D54">
              <w:rPr>
                <w:lang w:val="es-ES_tradnl"/>
              </w:rPr>
              <w:t>66 de la CMDT</w:t>
            </w:r>
          </w:p>
        </w:tc>
      </w:tr>
      <w:tr w:rsidR="00427D53" w:rsidRPr="002F5AC1" w14:paraId="296C472B" w14:textId="77777777" w:rsidTr="00E07C78">
        <w:trPr>
          <w:jc w:val="center"/>
        </w:trPr>
        <w:tc>
          <w:tcPr>
            <w:tcW w:w="4111" w:type="dxa"/>
          </w:tcPr>
          <w:p w14:paraId="142EEF44" w14:textId="77777777" w:rsidR="00382D54" w:rsidRPr="00382D54" w:rsidRDefault="00382D54" w:rsidP="00736B66">
            <w:pPr>
              <w:pStyle w:val="Tabletext"/>
              <w:rPr>
                <w:b/>
                <w:bCs/>
                <w:lang w:val="es-ES_tradnl"/>
              </w:rPr>
            </w:pPr>
            <w:r w:rsidRPr="00382D54">
              <w:rPr>
                <w:b/>
                <w:bCs/>
                <w:lang w:val="es-ES_tradnl"/>
              </w:rPr>
              <w:t>Comisiones de Estudio</w:t>
            </w:r>
          </w:p>
        </w:tc>
        <w:tc>
          <w:tcPr>
            <w:tcW w:w="10445" w:type="dxa"/>
            <w:gridSpan w:val="2"/>
          </w:tcPr>
          <w:p w14:paraId="679DBD19" w14:textId="1E4F6552" w:rsidR="00382D54" w:rsidRPr="00382D54" w:rsidRDefault="00382D54" w:rsidP="00736B66">
            <w:pPr>
              <w:pStyle w:val="Tabletext"/>
              <w:rPr>
                <w:lang w:val="es-ES_tradnl"/>
              </w:rPr>
            </w:pPr>
            <w:r w:rsidRPr="00382D54">
              <w:rPr>
                <w:lang w:val="es-ES_tradnl"/>
              </w:rPr>
              <w:t>Cuestión</w:t>
            </w:r>
            <w:r w:rsidR="00E868FC">
              <w:rPr>
                <w:lang w:val="es-ES_tradnl"/>
              </w:rPr>
              <w:t> </w:t>
            </w:r>
            <w:r w:rsidRPr="00382D54">
              <w:rPr>
                <w:lang w:val="es-ES_tradnl"/>
              </w:rPr>
              <w:t>6/2: TIC para el medio ambiente</w:t>
            </w:r>
          </w:p>
        </w:tc>
      </w:tr>
    </w:tbl>
    <w:p w14:paraId="4A3B34B5" w14:textId="77777777" w:rsidR="00616830" w:rsidRPr="004265A8" w:rsidRDefault="00616830" w:rsidP="00616830">
      <w:pPr>
        <w:rPr>
          <w:lang w:val="es-ES"/>
        </w:rPr>
      </w:pPr>
      <w:r w:rsidRPr="004265A8">
        <w:rPr>
          <w:lang w:val="es-ES"/>
        </w:rPr>
        <w:br w:type="page"/>
      </w:r>
    </w:p>
    <w:tbl>
      <w:tblPr>
        <w:tblStyle w:val="TableGrid"/>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557"/>
        <w:gridCol w:w="2999"/>
      </w:tblGrid>
      <w:tr w:rsidR="00382D54" w:rsidRPr="002F5AC1" w14:paraId="052CD368" w14:textId="77777777" w:rsidTr="004711CF">
        <w:trPr>
          <w:jc w:val="center"/>
        </w:trPr>
        <w:tc>
          <w:tcPr>
            <w:tcW w:w="14556" w:type="dxa"/>
            <w:gridSpan w:val="2"/>
            <w:shd w:val="clear" w:color="auto" w:fill="365F91"/>
          </w:tcPr>
          <w:p w14:paraId="3AD47F85" w14:textId="68C812BF" w:rsidR="00382D54" w:rsidRPr="00382D54" w:rsidRDefault="007C00A6" w:rsidP="00736B66">
            <w:pPr>
              <w:pStyle w:val="Heading2"/>
              <w:spacing w:before="80" w:after="80"/>
              <w:jc w:val="center"/>
              <w:rPr>
                <w:lang w:val="es-ES_tradnl"/>
              </w:rPr>
            </w:pPr>
            <w:bookmarkStart w:id="28" w:name="_Toc196911812"/>
            <w:r w:rsidRPr="00736B66">
              <w:rPr>
                <w:color w:val="FFFFFF" w:themeColor="background1"/>
                <w:sz w:val="22"/>
                <w:szCs w:val="22"/>
                <w:lang w:val="es-ES_tradnl"/>
              </w:rPr>
              <w:lastRenderedPageBreak/>
              <w:t>Factor habilitador</w:t>
            </w:r>
            <w:r w:rsidR="00382D54" w:rsidRPr="00736B66">
              <w:rPr>
                <w:color w:val="FFFFFF" w:themeColor="background1"/>
                <w:sz w:val="22"/>
                <w:szCs w:val="22"/>
                <w:lang w:val="es-ES_tradnl"/>
              </w:rPr>
              <w:t xml:space="preserve"> 5 del UIT-D: Excelencia en los recursos humanos e innovación institucional</w:t>
            </w:r>
            <w:bookmarkEnd w:id="28"/>
          </w:p>
        </w:tc>
      </w:tr>
      <w:tr w:rsidR="00B405B1" w:rsidRPr="00B405B1" w14:paraId="243DC31B" w14:textId="77777777" w:rsidTr="004711CF">
        <w:trPr>
          <w:jc w:val="center"/>
        </w:trPr>
        <w:tc>
          <w:tcPr>
            <w:tcW w:w="11557" w:type="dxa"/>
          </w:tcPr>
          <w:p w14:paraId="23B6F834" w14:textId="77777777" w:rsidR="00382D54" w:rsidRPr="00B405B1" w:rsidRDefault="00382D54" w:rsidP="007C00A6">
            <w:pPr>
              <w:pStyle w:val="Tablehead"/>
              <w:rPr>
                <w:color w:val="0070C0"/>
                <w:lang w:val="es-ES_tradnl"/>
              </w:rPr>
            </w:pPr>
            <w:r w:rsidRPr="00B405B1">
              <w:rPr>
                <w:color w:val="0070C0"/>
                <w:lang w:val="es-ES_tradnl"/>
              </w:rPr>
              <w:t>Productos</w:t>
            </w:r>
          </w:p>
        </w:tc>
        <w:tc>
          <w:tcPr>
            <w:tcW w:w="2999" w:type="dxa"/>
          </w:tcPr>
          <w:p w14:paraId="3D5C97F1" w14:textId="77777777" w:rsidR="00382D54" w:rsidRPr="00B405B1" w:rsidRDefault="00382D54" w:rsidP="007C00A6">
            <w:pPr>
              <w:pStyle w:val="Tablehead"/>
              <w:rPr>
                <w:color w:val="0070C0"/>
                <w:lang w:val="es-ES_tradnl"/>
              </w:rPr>
            </w:pPr>
            <w:r w:rsidRPr="00B405B1">
              <w:rPr>
                <w:color w:val="0070C0"/>
                <w:lang w:val="es-ES_tradnl"/>
              </w:rPr>
              <w:t>Datos destacados</w:t>
            </w:r>
          </w:p>
        </w:tc>
      </w:tr>
      <w:tr w:rsidR="00382D54" w:rsidRPr="002F5AC1" w14:paraId="00E7052D" w14:textId="77777777" w:rsidTr="004711CF">
        <w:trPr>
          <w:jc w:val="center"/>
        </w:trPr>
        <w:tc>
          <w:tcPr>
            <w:tcW w:w="11557" w:type="dxa"/>
          </w:tcPr>
          <w:p w14:paraId="7072B261" w14:textId="009F4207" w:rsidR="00382D54" w:rsidRPr="00382D54" w:rsidRDefault="00382D54" w:rsidP="00B405B1">
            <w:pPr>
              <w:pStyle w:val="Tabletext"/>
              <w:rPr>
                <w:lang w:val="es-ES_tradnl"/>
              </w:rPr>
            </w:pPr>
            <w:r w:rsidRPr="00382D54">
              <w:rPr>
                <w:lang w:val="es-ES_tradnl"/>
              </w:rPr>
              <w:t>El Director de la</w:t>
            </w:r>
            <w:r w:rsidR="005C2D0E">
              <w:rPr>
                <w:lang w:val="es-ES_tradnl"/>
              </w:rPr>
              <w:t> </w:t>
            </w:r>
            <w:r w:rsidRPr="00382D54">
              <w:rPr>
                <w:lang w:val="es-ES_tradnl"/>
              </w:rPr>
              <w:t>BDT sigue poniendo en marcha iniciativas en aras de la excelencia institucional y la mejora la capacidad interna para apoyar las prestaciones de la</w:t>
            </w:r>
            <w:r w:rsidR="005C2D0E">
              <w:rPr>
                <w:lang w:val="es-ES_tradnl"/>
              </w:rPr>
              <w:t> </w:t>
            </w:r>
            <w:r w:rsidRPr="00382D54">
              <w:rPr>
                <w:lang w:val="es-ES_tradnl"/>
              </w:rPr>
              <w:t>BDT, en particular, iniciativas encaminadas a:</w:t>
            </w:r>
          </w:p>
          <w:p w14:paraId="7B322FB1" w14:textId="3A442C03"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
              </w:rPr>
              <w:t>organizar</w:t>
            </w:r>
            <w:r w:rsidR="00382D54" w:rsidRPr="00382D54">
              <w:rPr>
                <w:lang w:val="es-ES_tradnl"/>
              </w:rPr>
              <w:t xml:space="preserve"> </w:t>
            </w:r>
            <w:r w:rsidR="00382D54" w:rsidRPr="00382D54">
              <w:rPr>
                <w:b/>
                <w:bCs/>
                <w:lang w:val="es-ES_tradnl"/>
              </w:rPr>
              <w:t xml:space="preserve">reuniones periódicas de la </w:t>
            </w:r>
            <w:r w:rsidR="00D6327F" w:rsidRPr="00382D54">
              <w:rPr>
                <w:b/>
                <w:bCs/>
                <w:lang w:val="es-ES_tradnl"/>
              </w:rPr>
              <w:t>a</w:t>
            </w:r>
            <w:r w:rsidR="00382D54" w:rsidRPr="00382D54">
              <w:rPr>
                <w:b/>
                <w:bCs/>
                <w:lang w:val="es-ES_tradnl"/>
              </w:rPr>
              <w:t xml:space="preserve">lta </w:t>
            </w:r>
            <w:r w:rsidR="00D6327F" w:rsidRPr="00382D54">
              <w:rPr>
                <w:b/>
                <w:bCs/>
                <w:lang w:val="es-ES_tradnl"/>
              </w:rPr>
              <w:t>d</w:t>
            </w:r>
            <w:r w:rsidR="00382D54" w:rsidRPr="00382D54">
              <w:rPr>
                <w:b/>
                <w:bCs/>
                <w:lang w:val="es-ES_tradnl"/>
              </w:rPr>
              <w:t xml:space="preserve">irección </w:t>
            </w:r>
            <w:r w:rsidR="00382D54" w:rsidRPr="00382D54">
              <w:rPr>
                <w:lang w:val="es-ES_tradnl"/>
              </w:rPr>
              <w:t>para ultimar el proceso preparatorio de la próxima CMDT-25, así como los FRD y las RPR en curso en todas las regiones;</w:t>
            </w:r>
          </w:p>
          <w:p w14:paraId="4F5C8E43" w14:textId="609FD5AE"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_tradnl"/>
              </w:rPr>
              <w:t xml:space="preserve">reforzar las funciones básicas de apoyo, incluidos los servicios informáticos, para mejorar los sistemas </w:t>
            </w:r>
            <w:r w:rsidR="00382D54" w:rsidRPr="00382D54">
              <w:rPr>
                <w:lang w:val="es-ES"/>
              </w:rPr>
              <w:t>informáticos</w:t>
            </w:r>
            <w:r w:rsidR="00382D54" w:rsidRPr="00382D54">
              <w:rPr>
                <w:lang w:val="es-ES_tradnl"/>
              </w:rPr>
              <w:t xml:space="preserve"> internos, y desarrollar la formación para favorecer el </w:t>
            </w:r>
            <w:r w:rsidR="00382D54" w:rsidRPr="00382D54">
              <w:rPr>
                <w:b/>
                <w:bCs/>
                <w:lang w:val="es-ES_tradnl"/>
              </w:rPr>
              <w:t>aprendizaje permanente del personal de la</w:t>
            </w:r>
            <w:r w:rsidR="009378F6">
              <w:rPr>
                <w:b/>
                <w:bCs/>
                <w:lang w:val="es-ES_tradnl"/>
              </w:rPr>
              <w:t> </w:t>
            </w:r>
            <w:r w:rsidR="00382D54" w:rsidRPr="00382D54">
              <w:rPr>
                <w:b/>
                <w:bCs/>
                <w:lang w:val="es-ES_tradnl"/>
              </w:rPr>
              <w:t>BDT</w:t>
            </w:r>
            <w:r w:rsidR="00382D54" w:rsidRPr="00382D54">
              <w:rPr>
                <w:lang w:val="es-ES_tradnl"/>
              </w:rPr>
              <w:t>;</w:t>
            </w:r>
          </w:p>
          <w:p w14:paraId="2CCA8F03" w14:textId="448B7F97"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_tradnl"/>
              </w:rPr>
              <w:t xml:space="preserve">fomentar la </w:t>
            </w:r>
            <w:r w:rsidR="00382D54" w:rsidRPr="00382D54">
              <w:rPr>
                <w:b/>
                <w:bCs/>
                <w:lang w:val="es-ES_tradnl"/>
              </w:rPr>
              <w:t>conciliación de la vida laboral y personal</w:t>
            </w:r>
            <w:r w:rsidR="00382D54" w:rsidRPr="00382D54">
              <w:rPr>
                <w:lang w:val="es-ES_tradnl"/>
              </w:rPr>
              <w:t xml:space="preserve">, enviando mensajes periódicos a los miembros del </w:t>
            </w:r>
            <w:r w:rsidR="00382D54" w:rsidRPr="00382D54">
              <w:rPr>
                <w:lang w:val="es-ES"/>
              </w:rPr>
              <w:t>personal</w:t>
            </w:r>
            <w:r w:rsidR="00382D54" w:rsidRPr="00382D54">
              <w:rPr>
                <w:lang w:val="es-ES_tradnl"/>
              </w:rPr>
              <w:t xml:space="preserve"> y alentándolos a participar en cursos de formación y gestión del estrés;</w:t>
            </w:r>
          </w:p>
          <w:p w14:paraId="71DD246D" w14:textId="0A73C728"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_tradnl"/>
              </w:rPr>
              <w:t xml:space="preserve">seguir celebrando </w:t>
            </w:r>
            <w:r w:rsidR="00382D54" w:rsidRPr="00382D54">
              <w:rPr>
                <w:b/>
                <w:bCs/>
                <w:lang w:val="es-ES_tradnl"/>
              </w:rPr>
              <w:t>reuniones periódicas de implicación del personal</w:t>
            </w:r>
            <w:r w:rsidR="00382D54" w:rsidRPr="00382D54">
              <w:rPr>
                <w:lang w:val="es-ES_tradnl"/>
              </w:rPr>
              <w:t xml:space="preserve">, abiertas a todos los empleados, las </w:t>
            </w:r>
            <w:r w:rsidR="00382D54" w:rsidRPr="00382D54">
              <w:rPr>
                <w:lang w:val="es-ES"/>
              </w:rPr>
              <w:t>cuales</w:t>
            </w:r>
            <w:r w:rsidR="00382D54" w:rsidRPr="00382D54">
              <w:rPr>
                <w:lang w:val="es-ES_tradnl"/>
              </w:rPr>
              <w:t xml:space="preserve"> ofrecen un espacio seguro para la expresión y la reflexión sobre los retos y las oportunidades que plantea la misión de la</w:t>
            </w:r>
            <w:r w:rsidR="009378F6">
              <w:rPr>
                <w:lang w:val="es-ES_tradnl"/>
              </w:rPr>
              <w:t> </w:t>
            </w:r>
            <w:r w:rsidR="00382D54" w:rsidRPr="00382D54">
              <w:rPr>
                <w:lang w:val="es-ES_tradnl"/>
              </w:rPr>
              <w:t>BDT de lograr resultados tangibles;</w:t>
            </w:r>
          </w:p>
          <w:p w14:paraId="4BCB6E98" w14:textId="607B55E8"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
              </w:rPr>
              <w:t>recordar</w:t>
            </w:r>
            <w:r w:rsidR="00382D54" w:rsidRPr="00382D54">
              <w:rPr>
                <w:lang w:val="es-ES_tradnl"/>
              </w:rPr>
              <w:t xml:space="preserve"> constantemente a la</w:t>
            </w:r>
            <w:r w:rsidR="005C2D0E">
              <w:rPr>
                <w:lang w:val="es-ES_tradnl"/>
              </w:rPr>
              <w:t> </w:t>
            </w:r>
            <w:r w:rsidR="00382D54" w:rsidRPr="00382D54">
              <w:rPr>
                <w:lang w:val="es-ES_tradnl"/>
              </w:rPr>
              <w:t xml:space="preserve">BDT la importancia de mantener los principios de </w:t>
            </w:r>
            <w:r w:rsidR="00382D54" w:rsidRPr="00382D54">
              <w:rPr>
                <w:b/>
                <w:bCs/>
                <w:lang w:val="es-ES_tradnl"/>
              </w:rPr>
              <w:t>transparencia</w:t>
            </w:r>
            <w:r w:rsidR="00382D54" w:rsidRPr="00382D54">
              <w:rPr>
                <w:lang w:val="es-ES_tradnl"/>
              </w:rPr>
              <w:t xml:space="preserve"> y </w:t>
            </w:r>
            <w:r w:rsidR="00382D54" w:rsidRPr="00382D54">
              <w:rPr>
                <w:b/>
                <w:bCs/>
                <w:lang w:val="es-ES_tradnl"/>
              </w:rPr>
              <w:t>rendición de cuentas</w:t>
            </w:r>
            <w:r w:rsidR="00382D54" w:rsidRPr="00382D54">
              <w:rPr>
                <w:lang w:val="es-ES_tradnl"/>
              </w:rPr>
              <w:t xml:space="preserve"> en los ámbitos de la gestión y la ejecución de actividades para los </w:t>
            </w:r>
            <w:r w:rsidR="009378F6">
              <w:rPr>
                <w:lang w:val="es-ES_tradnl"/>
              </w:rPr>
              <w:t>m</w:t>
            </w:r>
            <w:r w:rsidR="00382D54" w:rsidRPr="00382D54">
              <w:rPr>
                <w:lang w:val="es-ES_tradnl"/>
              </w:rPr>
              <w:t>iembros;</w:t>
            </w:r>
          </w:p>
          <w:p w14:paraId="565EA6F1" w14:textId="4ACF673D" w:rsidR="00382D54" w:rsidRPr="00382D54" w:rsidRDefault="00B54FBF" w:rsidP="00B54FBF">
            <w:pPr>
              <w:pStyle w:val="Tabletext"/>
              <w:tabs>
                <w:tab w:val="clear" w:pos="284"/>
              </w:tabs>
              <w:ind w:left="567" w:hanging="567"/>
              <w:rPr>
                <w:lang w:val="es-ES_tradnl"/>
              </w:rPr>
            </w:pPr>
            <w:r w:rsidRPr="00860D32">
              <w:rPr>
                <w:lang w:val="es-ES"/>
              </w:rPr>
              <w:t>–</w:t>
            </w:r>
            <w:r w:rsidRPr="00736B66">
              <w:rPr>
                <w:lang w:val="es-ES_tradnl"/>
              </w:rPr>
              <w:tab/>
            </w:r>
            <w:r w:rsidR="00382D54" w:rsidRPr="00382D54">
              <w:rPr>
                <w:lang w:val="es-ES_tradnl"/>
              </w:rPr>
              <w:t xml:space="preserve">a nivel interno, </w:t>
            </w:r>
            <w:r w:rsidR="00382D54" w:rsidRPr="00382D54">
              <w:rPr>
                <w:b/>
                <w:bCs/>
                <w:lang w:val="es-ES_tradnl"/>
              </w:rPr>
              <w:t xml:space="preserve">mejorar la eficacia y la entrega eficiente de los productos y servicios del UIT-D </w:t>
            </w:r>
            <w:r w:rsidR="00382D54" w:rsidRPr="00382D54">
              <w:rPr>
                <w:lang w:val="es-ES_tradnl"/>
              </w:rPr>
              <w:t>a través del plan operacional, los proyectos del UIT-D y otros mecanismos de financiación. Periódicamente se envían informes a los socios y donantes de la UIT para que conozcan los resultados de la</w:t>
            </w:r>
            <w:r w:rsidR="009378F6">
              <w:rPr>
                <w:lang w:val="es-ES_tradnl"/>
              </w:rPr>
              <w:t> </w:t>
            </w:r>
            <w:r w:rsidR="00382D54" w:rsidRPr="00382D54">
              <w:rPr>
                <w:lang w:val="es-ES_tradnl"/>
              </w:rPr>
              <w:t>BDT y, lo que es más importante, sus repercusiones sobre el terreno.</w:t>
            </w:r>
          </w:p>
        </w:tc>
        <w:tc>
          <w:tcPr>
            <w:tcW w:w="2999" w:type="dxa"/>
          </w:tcPr>
          <w:p w14:paraId="083750B5" w14:textId="5A60F98B" w:rsidR="00382D54" w:rsidRPr="00382D54" w:rsidRDefault="004C3ECC" w:rsidP="00736B66">
            <w:pPr>
              <w:pStyle w:val="Tabletext"/>
              <w:rPr>
                <w:lang w:val="es-ES_tradnl"/>
              </w:rPr>
            </w:pPr>
            <w:r w:rsidRPr="004C3ECC">
              <w:rPr>
                <w:lang w:val="es-ES_tradnl"/>
              </w:rPr>
              <w:t>–</w:t>
            </w:r>
            <w:r w:rsidR="00B54FBF" w:rsidRPr="00736B66">
              <w:rPr>
                <w:lang w:val="es-ES_tradnl"/>
              </w:rPr>
              <w:tab/>
            </w:r>
            <w:r w:rsidR="00382D54" w:rsidRPr="00382D54">
              <w:rPr>
                <w:lang w:val="es-ES_tradnl"/>
              </w:rPr>
              <w:t xml:space="preserve">Retiros de la </w:t>
            </w:r>
            <w:r w:rsidR="005C2D0E" w:rsidRPr="00382D54">
              <w:rPr>
                <w:lang w:val="es-ES_tradnl"/>
              </w:rPr>
              <w:t>a</w:t>
            </w:r>
            <w:r w:rsidR="00382D54" w:rsidRPr="00382D54">
              <w:rPr>
                <w:lang w:val="es-ES_tradnl"/>
              </w:rPr>
              <w:t xml:space="preserve">lta </w:t>
            </w:r>
            <w:r w:rsidR="005C2D0E" w:rsidRPr="00382D54">
              <w:rPr>
                <w:lang w:val="es-ES_tradnl"/>
              </w:rPr>
              <w:t>d</w:t>
            </w:r>
            <w:r w:rsidR="00382D54" w:rsidRPr="00382D54">
              <w:rPr>
                <w:lang w:val="es-ES_tradnl"/>
              </w:rPr>
              <w:t>irección</w:t>
            </w:r>
          </w:p>
          <w:p w14:paraId="4D1FEB79" w14:textId="4E24C941"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Conciliación de la vida laboral y familiar</w:t>
            </w:r>
          </w:p>
          <w:p w14:paraId="5C9951E1" w14:textId="4829129F" w:rsidR="00382D54" w:rsidRPr="00382D54" w:rsidRDefault="004C3ECC" w:rsidP="00B54FBF">
            <w:pPr>
              <w:pStyle w:val="Tabletext"/>
              <w:ind w:left="284" w:hanging="284"/>
              <w:rPr>
                <w:lang w:val="es-ES_tradnl"/>
              </w:rPr>
            </w:pPr>
            <w:r w:rsidRPr="004C3ECC">
              <w:rPr>
                <w:lang w:val="es-ES_tradnl"/>
              </w:rPr>
              <w:t>–</w:t>
            </w:r>
            <w:r w:rsidR="00B54FBF" w:rsidRPr="00736B66">
              <w:rPr>
                <w:lang w:val="es-ES_tradnl"/>
              </w:rPr>
              <w:tab/>
            </w:r>
            <w:r w:rsidR="00382D54" w:rsidRPr="00382D54">
              <w:rPr>
                <w:lang w:val="es-ES_tradnl"/>
              </w:rPr>
              <w:t>Reuniones de implicación del personal</w:t>
            </w:r>
          </w:p>
        </w:tc>
      </w:tr>
    </w:tbl>
    <w:p w14:paraId="39E902E2" w14:textId="77777777" w:rsidR="00D412E0" w:rsidRPr="00D8041C" w:rsidRDefault="00D412E0" w:rsidP="00935FF0">
      <w:pPr>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29" w:name="Proposal"/>
      <w:bookmarkEnd w:id="29"/>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8E2F46">
      <w:headerReference w:type="default" r:id="rId118"/>
      <w:footerReference w:type="default" r:id="rId119"/>
      <w:headerReference w:type="first" r:id="rId120"/>
      <w:footerReference w:type="first" r:id="rId121"/>
      <w:pgSz w:w="16834" w:h="11907" w:orient="landscape"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2F5AC1" w14:paraId="656716D9" w14:textId="77777777" w:rsidTr="005539C3">
      <w:tc>
        <w:tcPr>
          <w:tcW w:w="993" w:type="dxa"/>
          <w:tcBorders>
            <w:top w:val="single" w:sz="4" w:space="0" w:color="000000" w:themeColor="text1"/>
          </w:tcBorders>
        </w:tcPr>
        <w:p w14:paraId="0F4C4A5A" w14:textId="77777777" w:rsidR="004B6F0B" w:rsidRPr="00E83E3B" w:rsidRDefault="004B6F0B" w:rsidP="004B6F0B">
          <w:pPr>
            <w:pStyle w:val="FirstFooter"/>
            <w:tabs>
              <w:tab w:val="left" w:pos="1559"/>
              <w:tab w:val="left" w:pos="3828"/>
            </w:tabs>
            <w:rPr>
              <w:sz w:val="18"/>
              <w:szCs w:val="18"/>
              <w:lang w:val="es-ES"/>
            </w:rPr>
          </w:pPr>
          <w:r w:rsidRPr="00E83E3B">
            <w:rPr>
              <w:sz w:val="18"/>
              <w:szCs w:val="18"/>
              <w:lang w:val="es-ES"/>
            </w:rPr>
            <w:t>Contacto:</w:t>
          </w:r>
        </w:p>
      </w:tc>
      <w:tc>
        <w:tcPr>
          <w:tcW w:w="2693" w:type="dxa"/>
          <w:tcBorders>
            <w:top w:val="single" w:sz="4" w:space="0" w:color="000000" w:themeColor="text1"/>
          </w:tcBorders>
        </w:tcPr>
        <w:p w14:paraId="7CCD04E8" w14:textId="77777777" w:rsidR="004B6F0B" w:rsidRPr="00E83E3B" w:rsidRDefault="004B6F0B" w:rsidP="004B6F0B">
          <w:pPr>
            <w:pStyle w:val="FirstFooter"/>
            <w:tabs>
              <w:tab w:val="left" w:pos="2302"/>
            </w:tabs>
            <w:ind w:left="2302" w:hanging="2302"/>
            <w:rPr>
              <w:sz w:val="18"/>
              <w:szCs w:val="18"/>
              <w:lang w:val="es-ES"/>
            </w:rPr>
          </w:pPr>
          <w:r w:rsidRPr="00E83E3B">
            <w:rPr>
              <w:sz w:val="18"/>
              <w:szCs w:val="18"/>
              <w:lang w:val="es-ES"/>
            </w:rPr>
            <w:t>Nombre/Organización/Entidad:</w:t>
          </w:r>
        </w:p>
      </w:tc>
      <w:tc>
        <w:tcPr>
          <w:tcW w:w="5919" w:type="dxa"/>
          <w:tcBorders>
            <w:top w:val="single" w:sz="4" w:space="0" w:color="000000" w:themeColor="text1"/>
          </w:tcBorders>
        </w:tcPr>
        <w:p w14:paraId="60422A8C" w14:textId="501D2E15" w:rsidR="004B6F0B" w:rsidRPr="00E83E3B" w:rsidRDefault="00C24B6D" w:rsidP="004B6F0B">
          <w:pPr>
            <w:pStyle w:val="FirstFooter"/>
            <w:rPr>
              <w:sz w:val="18"/>
              <w:szCs w:val="18"/>
              <w:highlight w:val="yellow"/>
              <w:lang w:val="es-ES"/>
            </w:rPr>
          </w:pPr>
          <w:r w:rsidRPr="00E83E3B">
            <w:rPr>
              <w:sz w:val="18"/>
              <w:szCs w:val="18"/>
              <w:lang w:val="es-ES"/>
            </w:rPr>
            <w:t>Sra. Archana Gulati, Directora Adjunta, Oficina de Desarrollo de las Telecomunicaciones</w:t>
          </w:r>
        </w:p>
      </w:tc>
    </w:tr>
    <w:tr w:rsidR="004B6F0B" w:rsidRPr="00E83E3B" w14:paraId="68C18A92" w14:textId="77777777" w:rsidTr="005539C3">
      <w:tc>
        <w:tcPr>
          <w:tcW w:w="993" w:type="dxa"/>
        </w:tcPr>
        <w:p w14:paraId="3EE46271" w14:textId="77777777" w:rsidR="004B6F0B" w:rsidRPr="00E83E3B"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E83E3B" w:rsidRDefault="004B6F0B" w:rsidP="004B6F0B">
          <w:pPr>
            <w:pStyle w:val="FirstFooter"/>
            <w:tabs>
              <w:tab w:val="left" w:pos="2302"/>
            </w:tabs>
            <w:rPr>
              <w:sz w:val="18"/>
              <w:szCs w:val="18"/>
              <w:lang w:val="es-ES"/>
            </w:rPr>
          </w:pPr>
          <w:r w:rsidRPr="00E83E3B">
            <w:rPr>
              <w:sz w:val="18"/>
              <w:szCs w:val="18"/>
              <w:lang w:val="es-ES"/>
            </w:rPr>
            <w:t>Teléfono:</w:t>
          </w:r>
        </w:p>
      </w:tc>
      <w:tc>
        <w:tcPr>
          <w:tcW w:w="5919" w:type="dxa"/>
        </w:tcPr>
        <w:p w14:paraId="7B0E2580" w14:textId="6CA8CBDF" w:rsidR="004B6F0B" w:rsidRPr="00E83E3B" w:rsidRDefault="00C24B6D" w:rsidP="004B6F0B">
          <w:pPr>
            <w:pStyle w:val="FirstFooter"/>
            <w:tabs>
              <w:tab w:val="left" w:pos="2302"/>
            </w:tabs>
            <w:rPr>
              <w:sz w:val="18"/>
              <w:szCs w:val="18"/>
              <w:highlight w:val="yellow"/>
              <w:lang w:val="es-ES"/>
            </w:rPr>
          </w:pPr>
          <w:r w:rsidRPr="00E83E3B">
            <w:rPr>
              <w:sz w:val="18"/>
              <w:szCs w:val="18"/>
              <w:lang w:val="es-ES"/>
            </w:rPr>
            <w:t>n/a</w:t>
          </w:r>
        </w:p>
      </w:tc>
    </w:tr>
    <w:tr w:rsidR="004B6F0B" w:rsidRPr="00E83E3B" w14:paraId="74482ECB" w14:textId="77777777" w:rsidTr="005539C3">
      <w:tc>
        <w:tcPr>
          <w:tcW w:w="993" w:type="dxa"/>
        </w:tcPr>
        <w:p w14:paraId="63EDF29B" w14:textId="77777777" w:rsidR="004B6F0B" w:rsidRPr="00E83E3B" w:rsidRDefault="004B6F0B" w:rsidP="004B6F0B">
          <w:pPr>
            <w:pStyle w:val="FirstFooter"/>
            <w:tabs>
              <w:tab w:val="left" w:pos="1559"/>
              <w:tab w:val="left" w:pos="3828"/>
            </w:tabs>
            <w:rPr>
              <w:sz w:val="18"/>
              <w:szCs w:val="18"/>
              <w:lang w:val="es-ES"/>
            </w:rPr>
          </w:pPr>
        </w:p>
      </w:tc>
      <w:tc>
        <w:tcPr>
          <w:tcW w:w="2693" w:type="dxa"/>
        </w:tcPr>
        <w:p w14:paraId="3A810FE8" w14:textId="77777777" w:rsidR="004B6F0B" w:rsidRPr="00E83E3B" w:rsidRDefault="004B6F0B" w:rsidP="004B6F0B">
          <w:pPr>
            <w:pStyle w:val="FirstFooter"/>
            <w:tabs>
              <w:tab w:val="left" w:pos="2302"/>
            </w:tabs>
            <w:rPr>
              <w:sz w:val="18"/>
              <w:szCs w:val="18"/>
              <w:lang w:val="es-ES"/>
            </w:rPr>
          </w:pPr>
          <w:r w:rsidRPr="00E83E3B">
            <w:rPr>
              <w:sz w:val="18"/>
              <w:szCs w:val="18"/>
              <w:lang w:val="es-ES"/>
            </w:rPr>
            <w:t>Correo-e:</w:t>
          </w:r>
        </w:p>
      </w:tc>
      <w:tc>
        <w:tcPr>
          <w:tcW w:w="5919" w:type="dxa"/>
        </w:tcPr>
        <w:p w14:paraId="044C0AD5" w14:textId="286A5FBE" w:rsidR="004B6F0B" w:rsidRPr="00E83E3B" w:rsidRDefault="00976FF4" w:rsidP="004B6F0B">
          <w:pPr>
            <w:pStyle w:val="FirstFooter"/>
            <w:tabs>
              <w:tab w:val="left" w:pos="2302"/>
            </w:tabs>
            <w:rPr>
              <w:sz w:val="18"/>
              <w:szCs w:val="18"/>
              <w:lang w:val="es-ES"/>
            </w:rPr>
          </w:pPr>
          <w:hyperlink r:id="rId1" w:history="1">
            <w:r w:rsidR="00C24B6D" w:rsidRPr="00E83E3B">
              <w:rPr>
                <w:rStyle w:val="Hyperlink"/>
                <w:sz w:val="18"/>
                <w:szCs w:val="18"/>
                <w:lang w:val="es-ES"/>
              </w:rPr>
              <w:t>archana.gulati@itu.int</w:t>
            </w:r>
          </w:hyperlink>
        </w:p>
      </w:tc>
    </w:tr>
  </w:tbl>
  <w:p w14:paraId="1C0FBBF5" w14:textId="77777777" w:rsidR="004B6F0B" w:rsidRDefault="004B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B7D" w14:textId="77777777" w:rsidR="00D412E0" w:rsidRDefault="00D41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889B" w14:textId="77777777" w:rsidR="00D412E0" w:rsidRPr="00D412E0" w:rsidRDefault="00D412E0" w:rsidP="00D4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3B6845C0" w14:textId="4BBEB07B" w:rsidR="008C1360" w:rsidRPr="00437AB2" w:rsidRDefault="008C1360">
      <w:pPr>
        <w:pStyle w:val="FootnoteText"/>
        <w:rPr>
          <w:lang w:val="es-ES"/>
        </w:rPr>
      </w:pPr>
      <w:r>
        <w:rPr>
          <w:rStyle w:val="FootnoteReference"/>
        </w:rPr>
        <w:footnoteRef/>
      </w:r>
      <w:r w:rsidRPr="00437AB2">
        <w:rPr>
          <w:lang w:val="es-ES"/>
        </w:rPr>
        <w:tab/>
      </w:r>
      <w:r w:rsidR="00437AB2" w:rsidRPr="00437AB2">
        <w:rPr>
          <w:lang w:val="es-ES"/>
        </w:rPr>
        <w:t xml:space="preserve">Incluidos los </w:t>
      </w:r>
      <w:r w:rsidR="00855F47">
        <w:rPr>
          <w:lang w:val="es-ES"/>
        </w:rPr>
        <w:t>factores h</w:t>
      </w:r>
      <w:r w:rsidR="00437AB2" w:rsidRPr="00437AB2">
        <w:rPr>
          <w:lang w:val="es-ES"/>
        </w:rPr>
        <w:t>a</w:t>
      </w:r>
      <w:r w:rsidR="00855F47">
        <w:rPr>
          <w:lang w:val="es-ES"/>
        </w:rPr>
        <w:t>b</w:t>
      </w:r>
      <w:r w:rsidR="00437AB2" w:rsidRPr="00437AB2">
        <w:rPr>
          <w:lang w:val="es-ES"/>
        </w:rPr>
        <w:t xml:space="preserve">ilitadores </w:t>
      </w:r>
      <w:r w:rsidR="00855F47" w:rsidRPr="00437AB2">
        <w:rPr>
          <w:lang w:val="es-ES"/>
        </w:rPr>
        <w:t>6 y 7</w:t>
      </w:r>
      <w:r w:rsidR="00855F47">
        <w:rPr>
          <w:lang w:val="es-ES"/>
        </w:rPr>
        <w:t xml:space="preserve"> del </w:t>
      </w:r>
      <w:r w:rsidR="00437AB2" w:rsidRPr="00437AB2">
        <w:rPr>
          <w:lang w:val="es-ES"/>
        </w:rPr>
        <w:t xml:space="preserve">UIT-D </w:t>
      </w:r>
      <w:r w:rsidRPr="00437AB2">
        <w:rPr>
          <w:lang w:val="es-ES"/>
        </w:rPr>
        <w:t xml:space="preserve">– </w:t>
      </w:r>
      <w:r w:rsidR="00437AB2" w:rsidRPr="00437AB2">
        <w:rPr>
          <w:lang w:val="es-ES"/>
        </w:rPr>
        <w:t>Asociaciones y cooperación internacional y Movilización de recursos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5D98321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D412E0">
      <w:rPr>
        <w:sz w:val="22"/>
        <w:szCs w:val="22"/>
        <w:lang w:val="de-CH"/>
      </w:rPr>
      <w:t>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0AC" w14:textId="1D72480E" w:rsidR="00D412E0" w:rsidRPr="00CE0D86" w:rsidRDefault="00CE0D86" w:rsidP="00B54FBF">
    <w:pPr>
      <w:tabs>
        <w:tab w:val="clear" w:pos="794"/>
        <w:tab w:val="clear" w:pos="1191"/>
        <w:tab w:val="clear" w:pos="1588"/>
        <w:tab w:val="clear" w:pos="1985"/>
        <w:tab w:val="center" w:pos="6946"/>
        <w:tab w:val="right" w:pos="14565"/>
      </w:tabs>
      <w:spacing w:after="120"/>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D90D" w14:textId="13CD9571" w:rsidR="00D412E0" w:rsidRDefault="00CE0D86" w:rsidP="00B54FBF">
    <w:pPr>
      <w:tabs>
        <w:tab w:val="clear" w:pos="794"/>
        <w:tab w:val="clear" w:pos="1191"/>
        <w:tab w:val="clear" w:pos="1588"/>
        <w:tab w:val="clear" w:pos="1985"/>
        <w:tab w:val="center" w:pos="6946"/>
        <w:tab w:val="right" w:pos="14565"/>
      </w:tabs>
      <w:spacing w:after="120"/>
      <w:ind w:right="1"/>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B64A379"/>
    <w:multiLevelType w:val="hybridMultilevel"/>
    <w:tmpl w:val="C414E5A6"/>
    <w:lvl w:ilvl="0" w:tplc="ADECBD3E">
      <w:start w:val="1"/>
      <w:numFmt w:val="upperRoman"/>
      <w:lvlText w:val="%1."/>
      <w:lvlJc w:val="right"/>
      <w:pPr>
        <w:ind w:left="720" w:hanging="360"/>
      </w:pPr>
      <w:rPr>
        <w:b/>
        <w:bCs/>
      </w:rPr>
    </w:lvl>
    <w:lvl w:ilvl="1" w:tplc="F3B4EF0A">
      <w:start w:val="1"/>
      <w:numFmt w:val="lowerLetter"/>
      <w:lvlText w:val="%2."/>
      <w:lvlJc w:val="left"/>
      <w:pPr>
        <w:ind w:left="1440" w:hanging="360"/>
      </w:pPr>
    </w:lvl>
    <w:lvl w:ilvl="2" w:tplc="EE2C8EC4">
      <w:start w:val="1"/>
      <w:numFmt w:val="lowerRoman"/>
      <w:lvlText w:val="%3."/>
      <w:lvlJc w:val="right"/>
      <w:pPr>
        <w:ind w:left="2160" w:hanging="180"/>
      </w:pPr>
    </w:lvl>
    <w:lvl w:ilvl="3" w:tplc="6D46A024">
      <w:start w:val="1"/>
      <w:numFmt w:val="decimal"/>
      <w:lvlText w:val="%4."/>
      <w:lvlJc w:val="left"/>
      <w:pPr>
        <w:ind w:left="2880" w:hanging="360"/>
      </w:pPr>
    </w:lvl>
    <w:lvl w:ilvl="4" w:tplc="EF263E9E">
      <w:start w:val="1"/>
      <w:numFmt w:val="lowerLetter"/>
      <w:lvlText w:val="%5."/>
      <w:lvlJc w:val="left"/>
      <w:pPr>
        <w:ind w:left="3600" w:hanging="360"/>
      </w:pPr>
    </w:lvl>
    <w:lvl w:ilvl="5" w:tplc="82BE3EB4">
      <w:start w:val="1"/>
      <w:numFmt w:val="lowerRoman"/>
      <w:lvlText w:val="%6."/>
      <w:lvlJc w:val="right"/>
      <w:pPr>
        <w:ind w:left="4320" w:hanging="180"/>
      </w:pPr>
    </w:lvl>
    <w:lvl w:ilvl="6" w:tplc="DB9A3EE8">
      <w:start w:val="1"/>
      <w:numFmt w:val="decimal"/>
      <w:lvlText w:val="%7."/>
      <w:lvlJc w:val="left"/>
      <w:pPr>
        <w:ind w:left="5040" w:hanging="360"/>
      </w:pPr>
    </w:lvl>
    <w:lvl w:ilvl="7" w:tplc="D9DAFF08">
      <w:start w:val="1"/>
      <w:numFmt w:val="lowerLetter"/>
      <w:lvlText w:val="%8."/>
      <w:lvlJc w:val="left"/>
      <w:pPr>
        <w:ind w:left="5760" w:hanging="360"/>
      </w:pPr>
    </w:lvl>
    <w:lvl w:ilvl="8" w:tplc="9C18C60E">
      <w:start w:val="1"/>
      <w:numFmt w:val="lowerRoman"/>
      <w:lvlText w:val="%9."/>
      <w:lvlJc w:val="right"/>
      <w:pPr>
        <w:ind w:left="6480" w:hanging="180"/>
      </w:pPr>
    </w:lvl>
  </w:abstractNum>
  <w:abstractNum w:abstractNumId="2" w15:restartNumberingAfterBreak="0">
    <w:nsid w:val="0F49270A"/>
    <w:multiLevelType w:val="hybridMultilevel"/>
    <w:tmpl w:val="EA1A9DAC"/>
    <w:lvl w:ilvl="0" w:tplc="78E8BF22">
      <w:start w:val="1"/>
      <w:numFmt w:val="bullet"/>
      <w:lvlText w:val=""/>
      <w:lvlJc w:val="left"/>
      <w:pPr>
        <w:ind w:left="720" w:hanging="360"/>
      </w:pPr>
      <w:rPr>
        <w:rFonts w:ascii="Symbol" w:hAnsi="Symbol" w:hint="default"/>
      </w:rPr>
    </w:lvl>
    <w:lvl w:ilvl="1" w:tplc="04904764" w:tentative="1">
      <w:start w:val="1"/>
      <w:numFmt w:val="bullet"/>
      <w:lvlText w:val="o"/>
      <w:lvlJc w:val="left"/>
      <w:pPr>
        <w:ind w:left="1440" w:hanging="360"/>
      </w:pPr>
      <w:rPr>
        <w:rFonts w:ascii="Courier New" w:hAnsi="Courier New" w:hint="default"/>
      </w:rPr>
    </w:lvl>
    <w:lvl w:ilvl="2" w:tplc="5F1061E0" w:tentative="1">
      <w:start w:val="1"/>
      <w:numFmt w:val="bullet"/>
      <w:lvlText w:val=""/>
      <w:lvlJc w:val="left"/>
      <w:pPr>
        <w:ind w:left="2160" w:hanging="360"/>
      </w:pPr>
      <w:rPr>
        <w:rFonts w:ascii="Wingdings" w:hAnsi="Wingdings" w:hint="default"/>
      </w:rPr>
    </w:lvl>
    <w:lvl w:ilvl="3" w:tplc="5F386F32" w:tentative="1">
      <w:start w:val="1"/>
      <w:numFmt w:val="bullet"/>
      <w:lvlText w:val=""/>
      <w:lvlJc w:val="left"/>
      <w:pPr>
        <w:ind w:left="2880" w:hanging="360"/>
      </w:pPr>
      <w:rPr>
        <w:rFonts w:ascii="Symbol" w:hAnsi="Symbol" w:hint="default"/>
      </w:rPr>
    </w:lvl>
    <w:lvl w:ilvl="4" w:tplc="5128E592" w:tentative="1">
      <w:start w:val="1"/>
      <w:numFmt w:val="bullet"/>
      <w:lvlText w:val="o"/>
      <w:lvlJc w:val="left"/>
      <w:pPr>
        <w:ind w:left="3600" w:hanging="360"/>
      </w:pPr>
      <w:rPr>
        <w:rFonts w:ascii="Courier New" w:hAnsi="Courier New" w:hint="default"/>
      </w:rPr>
    </w:lvl>
    <w:lvl w:ilvl="5" w:tplc="9488B2E4" w:tentative="1">
      <w:start w:val="1"/>
      <w:numFmt w:val="bullet"/>
      <w:lvlText w:val=""/>
      <w:lvlJc w:val="left"/>
      <w:pPr>
        <w:ind w:left="4320" w:hanging="360"/>
      </w:pPr>
      <w:rPr>
        <w:rFonts w:ascii="Wingdings" w:hAnsi="Wingdings" w:hint="default"/>
      </w:rPr>
    </w:lvl>
    <w:lvl w:ilvl="6" w:tplc="56EAB6A8" w:tentative="1">
      <w:start w:val="1"/>
      <w:numFmt w:val="bullet"/>
      <w:lvlText w:val=""/>
      <w:lvlJc w:val="left"/>
      <w:pPr>
        <w:ind w:left="5040" w:hanging="360"/>
      </w:pPr>
      <w:rPr>
        <w:rFonts w:ascii="Symbol" w:hAnsi="Symbol" w:hint="default"/>
      </w:rPr>
    </w:lvl>
    <w:lvl w:ilvl="7" w:tplc="D4F674A8" w:tentative="1">
      <w:start w:val="1"/>
      <w:numFmt w:val="bullet"/>
      <w:lvlText w:val="o"/>
      <w:lvlJc w:val="left"/>
      <w:pPr>
        <w:ind w:left="5760" w:hanging="360"/>
      </w:pPr>
      <w:rPr>
        <w:rFonts w:ascii="Courier New" w:hAnsi="Courier New" w:hint="default"/>
      </w:rPr>
    </w:lvl>
    <w:lvl w:ilvl="8" w:tplc="D0E81306" w:tentative="1">
      <w:start w:val="1"/>
      <w:numFmt w:val="bullet"/>
      <w:lvlText w:val=""/>
      <w:lvlJc w:val="left"/>
      <w:pPr>
        <w:ind w:left="6480" w:hanging="360"/>
      </w:pPr>
      <w:rPr>
        <w:rFonts w:ascii="Wingdings" w:hAnsi="Wingdings" w:hint="default"/>
      </w:rPr>
    </w:lvl>
  </w:abstractNum>
  <w:abstractNum w:abstractNumId="3" w15:restartNumberingAfterBreak="0">
    <w:nsid w:val="0FAB649E"/>
    <w:multiLevelType w:val="hybridMultilevel"/>
    <w:tmpl w:val="FFFFFFFF"/>
    <w:lvl w:ilvl="0" w:tplc="8466AEA6">
      <w:start w:val="1"/>
      <w:numFmt w:val="bullet"/>
      <w:lvlText w:val=""/>
      <w:lvlJc w:val="left"/>
      <w:pPr>
        <w:ind w:left="720" w:hanging="360"/>
      </w:pPr>
      <w:rPr>
        <w:rFonts w:ascii="Symbol" w:hAnsi="Symbol" w:hint="default"/>
      </w:rPr>
    </w:lvl>
    <w:lvl w:ilvl="1" w:tplc="AA1C8E0C">
      <w:start w:val="1"/>
      <w:numFmt w:val="bullet"/>
      <w:lvlText w:val="o"/>
      <w:lvlJc w:val="left"/>
      <w:pPr>
        <w:ind w:left="1440" w:hanging="360"/>
      </w:pPr>
      <w:rPr>
        <w:rFonts w:ascii="Courier New" w:hAnsi="Courier New" w:hint="default"/>
      </w:rPr>
    </w:lvl>
    <w:lvl w:ilvl="2" w:tplc="CAC09ADE">
      <w:start w:val="1"/>
      <w:numFmt w:val="bullet"/>
      <w:lvlText w:val=""/>
      <w:lvlJc w:val="left"/>
      <w:pPr>
        <w:ind w:left="2160" w:hanging="360"/>
      </w:pPr>
      <w:rPr>
        <w:rFonts w:ascii="Wingdings" w:hAnsi="Wingdings" w:hint="default"/>
      </w:rPr>
    </w:lvl>
    <w:lvl w:ilvl="3" w:tplc="9D5681F6">
      <w:start w:val="1"/>
      <w:numFmt w:val="bullet"/>
      <w:lvlText w:val=""/>
      <w:lvlJc w:val="left"/>
      <w:pPr>
        <w:ind w:left="2880" w:hanging="360"/>
      </w:pPr>
      <w:rPr>
        <w:rFonts w:ascii="Symbol" w:hAnsi="Symbol" w:hint="default"/>
      </w:rPr>
    </w:lvl>
    <w:lvl w:ilvl="4" w:tplc="335CDED8">
      <w:start w:val="1"/>
      <w:numFmt w:val="bullet"/>
      <w:lvlText w:val="o"/>
      <w:lvlJc w:val="left"/>
      <w:pPr>
        <w:ind w:left="3600" w:hanging="360"/>
      </w:pPr>
      <w:rPr>
        <w:rFonts w:ascii="Courier New" w:hAnsi="Courier New" w:hint="default"/>
      </w:rPr>
    </w:lvl>
    <w:lvl w:ilvl="5" w:tplc="C30C4610">
      <w:start w:val="1"/>
      <w:numFmt w:val="bullet"/>
      <w:lvlText w:val=""/>
      <w:lvlJc w:val="left"/>
      <w:pPr>
        <w:ind w:left="4320" w:hanging="360"/>
      </w:pPr>
      <w:rPr>
        <w:rFonts w:ascii="Wingdings" w:hAnsi="Wingdings" w:hint="default"/>
      </w:rPr>
    </w:lvl>
    <w:lvl w:ilvl="6" w:tplc="3A7280D2">
      <w:start w:val="1"/>
      <w:numFmt w:val="bullet"/>
      <w:lvlText w:val=""/>
      <w:lvlJc w:val="left"/>
      <w:pPr>
        <w:ind w:left="5040" w:hanging="360"/>
      </w:pPr>
      <w:rPr>
        <w:rFonts w:ascii="Symbol" w:hAnsi="Symbol" w:hint="default"/>
      </w:rPr>
    </w:lvl>
    <w:lvl w:ilvl="7" w:tplc="596850A0">
      <w:start w:val="1"/>
      <w:numFmt w:val="bullet"/>
      <w:lvlText w:val="o"/>
      <w:lvlJc w:val="left"/>
      <w:pPr>
        <w:ind w:left="5760" w:hanging="360"/>
      </w:pPr>
      <w:rPr>
        <w:rFonts w:ascii="Courier New" w:hAnsi="Courier New" w:hint="default"/>
      </w:rPr>
    </w:lvl>
    <w:lvl w:ilvl="8" w:tplc="6D00F928">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9AE02248">
      <w:start w:val="1"/>
      <w:numFmt w:val="bullet"/>
      <w:lvlText w:val=""/>
      <w:lvlJc w:val="left"/>
      <w:pPr>
        <w:ind w:left="720" w:hanging="360"/>
      </w:pPr>
      <w:rPr>
        <w:rFonts w:ascii="Symbol" w:hAnsi="Symbol" w:hint="default"/>
      </w:rPr>
    </w:lvl>
    <w:lvl w:ilvl="1" w:tplc="8C38B0E0" w:tentative="1">
      <w:start w:val="1"/>
      <w:numFmt w:val="bullet"/>
      <w:lvlText w:val="o"/>
      <w:lvlJc w:val="left"/>
      <w:pPr>
        <w:ind w:left="1440" w:hanging="360"/>
      </w:pPr>
      <w:rPr>
        <w:rFonts w:ascii="Courier New" w:hAnsi="Courier New" w:hint="default"/>
      </w:rPr>
    </w:lvl>
    <w:lvl w:ilvl="2" w:tplc="389E4DD2" w:tentative="1">
      <w:start w:val="1"/>
      <w:numFmt w:val="bullet"/>
      <w:lvlText w:val=""/>
      <w:lvlJc w:val="left"/>
      <w:pPr>
        <w:ind w:left="2160" w:hanging="360"/>
      </w:pPr>
      <w:rPr>
        <w:rFonts w:ascii="Wingdings" w:hAnsi="Wingdings" w:hint="default"/>
      </w:rPr>
    </w:lvl>
    <w:lvl w:ilvl="3" w:tplc="C4022AAC" w:tentative="1">
      <w:start w:val="1"/>
      <w:numFmt w:val="bullet"/>
      <w:lvlText w:val=""/>
      <w:lvlJc w:val="left"/>
      <w:pPr>
        <w:ind w:left="2880" w:hanging="360"/>
      </w:pPr>
      <w:rPr>
        <w:rFonts w:ascii="Symbol" w:hAnsi="Symbol" w:hint="default"/>
      </w:rPr>
    </w:lvl>
    <w:lvl w:ilvl="4" w:tplc="5672C464" w:tentative="1">
      <w:start w:val="1"/>
      <w:numFmt w:val="bullet"/>
      <w:lvlText w:val="o"/>
      <w:lvlJc w:val="left"/>
      <w:pPr>
        <w:ind w:left="3600" w:hanging="360"/>
      </w:pPr>
      <w:rPr>
        <w:rFonts w:ascii="Courier New" w:hAnsi="Courier New" w:hint="default"/>
      </w:rPr>
    </w:lvl>
    <w:lvl w:ilvl="5" w:tplc="D77A0A20" w:tentative="1">
      <w:start w:val="1"/>
      <w:numFmt w:val="bullet"/>
      <w:lvlText w:val=""/>
      <w:lvlJc w:val="left"/>
      <w:pPr>
        <w:ind w:left="4320" w:hanging="360"/>
      </w:pPr>
      <w:rPr>
        <w:rFonts w:ascii="Wingdings" w:hAnsi="Wingdings" w:hint="default"/>
      </w:rPr>
    </w:lvl>
    <w:lvl w:ilvl="6" w:tplc="A7948728" w:tentative="1">
      <w:start w:val="1"/>
      <w:numFmt w:val="bullet"/>
      <w:lvlText w:val=""/>
      <w:lvlJc w:val="left"/>
      <w:pPr>
        <w:ind w:left="5040" w:hanging="360"/>
      </w:pPr>
      <w:rPr>
        <w:rFonts w:ascii="Symbol" w:hAnsi="Symbol" w:hint="default"/>
      </w:rPr>
    </w:lvl>
    <w:lvl w:ilvl="7" w:tplc="787EDABE" w:tentative="1">
      <w:start w:val="1"/>
      <w:numFmt w:val="bullet"/>
      <w:lvlText w:val="o"/>
      <w:lvlJc w:val="left"/>
      <w:pPr>
        <w:ind w:left="5760" w:hanging="360"/>
      </w:pPr>
      <w:rPr>
        <w:rFonts w:ascii="Courier New" w:hAnsi="Courier New" w:hint="default"/>
      </w:rPr>
    </w:lvl>
    <w:lvl w:ilvl="8" w:tplc="490A7D02" w:tentative="1">
      <w:start w:val="1"/>
      <w:numFmt w:val="bullet"/>
      <w:lvlText w:val=""/>
      <w:lvlJc w:val="left"/>
      <w:pPr>
        <w:ind w:left="6480" w:hanging="360"/>
      </w:pPr>
      <w:rPr>
        <w:rFonts w:ascii="Wingdings" w:hAnsi="Wingdings" w:hint="default"/>
      </w:rPr>
    </w:lvl>
  </w:abstractNum>
  <w:abstractNum w:abstractNumId="5" w15:restartNumberingAfterBreak="0">
    <w:nsid w:val="16587031"/>
    <w:multiLevelType w:val="hybridMultilevel"/>
    <w:tmpl w:val="BD54E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CE6E6A"/>
    <w:multiLevelType w:val="hybridMultilevel"/>
    <w:tmpl w:val="693489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CE341B"/>
    <w:multiLevelType w:val="hybridMultilevel"/>
    <w:tmpl w:val="64E29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378A5"/>
    <w:multiLevelType w:val="hybridMultilevel"/>
    <w:tmpl w:val="9E4C4FDE"/>
    <w:lvl w:ilvl="0" w:tplc="FCBA043A">
      <w:start w:val="1"/>
      <w:numFmt w:val="bullet"/>
      <w:lvlText w:val="·"/>
      <w:lvlJc w:val="left"/>
      <w:pPr>
        <w:ind w:left="720" w:hanging="360"/>
      </w:pPr>
      <w:rPr>
        <w:rFonts w:ascii="Symbol" w:hAnsi="Symbol" w:hint="default"/>
      </w:rPr>
    </w:lvl>
    <w:lvl w:ilvl="1" w:tplc="8422866C">
      <w:start w:val="1"/>
      <w:numFmt w:val="bullet"/>
      <w:lvlText w:val="o"/>
      <w:lvlJc w:val="left"/>
      <w:pPr>
        <w:ind w:left="1440" w:hanging="360"/>
      </w:pPr>
      <w:rPr>
        <w:rFonts w:ascii="Courier New" w:hAnsi="Courier New" w:hint="default"/>
      </w:rPr>
    </w:lvl>
    <w:lvl w:ilvl="2" w:tplc="6EA8883E">
      <w:start w:val="1"/>
      <w:numFmt w:val="bullet"/>
      <w:lvlText w:val=""/>
      <w:lvlJc w:val="left"/>
      <w:pPr>
        <w:ind w:left="2160" w:hanging="360"/>
      </w:pPr>
      <w:rPr>
        <w:rFonts w:ascii="Wingdings" w:hAnsi="Wingdings" w:hint="default"/>
      </w:rPr>
    </w:lvl>
    <w:lvl w:ilvl="3" w:tplc="49F6CBFA">
      <w:start w:val="1"/>
      <w:numFmt w:val="bullet"/>
      <w:lvlText w:val=""/>
      <w:lvlJc w:val="left"/>
      <w:pPr>
        <w:ind w:left="2880" w:hanging="360"/>
      </w:pPr>
      <w:rPr>
        <w:rFonts w:ascii="Symbol" w:hAnsi="Symbol" w:hint="default"/>
      </w:rPr>
    </w:lvl>
    <w:lvl w:ilvl="4" w:tplc="B13A992C">
      <w:start w:val="1"/>
      <w:numFmt w:val="bullet"/>
      <w:lvlText w:val="o"/>
      <w:lvlJc w:val="left"/>
      <w:pPr>
        <w:ind w:left="3600" w:hanging="360"/>
      </w:pPr>
      <w:rPr>
        <w:rFonts w:ascii="Courier New" w:hAnsi="Courier New" w:hint="default"/>
      </w:rPr>
    </w:lvl>
    <w:lvl w:ilvl="5" w:tplc="CF5A3344">
      <w:start w:val="1"/>
      <w:numFmt w:val="bullet"/>
      <w:lvlText w:val=""/>
      <w:lvlJc w:val="left"/>
      <w:pPr>
        <w:ind w:left="4320" w:hanging="360"/>
      </w:pPr>
      <w:rPr>
        <w:rFonts w:ascii="Wingdings" w:hAnsi="Wingdings" w:hint="default"/>
      </w:rPr>
    </w:lvl>
    <w:lvl w:ilvl="6" w:tplc="462ECE40">
      <w:start w:val="1"/>
      <w:numFmt w:val="bullet"/>
      <w:lvlText w:val=""/>
      <w:lvlJc w:val="left"/>
      <w:pPr>
        <w:ind w:left="5040" w:hanging="360"/>
      </w:pPr>
      <w:rPr>
        <w:rFonts w:ascii="Symbol" w:hAnsi="Symbol" w:hint="default"/>
      </w:rPr>
    </w:lvl>
    <w:lvl w:ilvl="7" w:tplc="13E0CFDC">
      <w:start w:val="1"/>
      <w:numFmt w:val="bullet"/>
      <w:lvlText w:val="o"/>
      <w:lvlJc w:val="left"/>
      <w:pPr>
        <w:ind w:left="5760" w:hanging="360"/>
      </w:pPr>
      <w:rPr>
        <w:rFonts w:ascii="Courier New" w:hAnsi="Courier New" w:hint="default"/>
      </w:rPr>
    </w:lvl>
    <w:lvl w:ilvl="8" w:tplc="ABEAD930">
      <w:start w:val="1"/>
      <w:numFmt w:val="bullet"/>
      <w:lvlText w:val=""/>
      <w:lvlJc w:val="left"/>
      <w:pPr>
        <w:ind w:left="6480" w:hanging="360"/>
      </w:pPr>
      <w:rPr>
        <w:rFonts w:ascii="Wingdings" w:hAnsi="Wingdings" w:hint="default"/>
      </w:rPr>
    </w:lvl>
  </w:abstractNum>
  <w:abstractNum w:abstractNumId="9" w15:restartNumberingAfterBreak="0">
    <w:nsid w:val="1E567567"/>
    <w:multiLevelType w:val="hybridMultilevel"/>
    <w:tmpl w:val="38F475DC"/>
    <w:lvl w:ilvl="0" w:tplc="08090005">
      <w:start w:val="1"/>
      <w:numFmt w:val="bullet"/>
      <w:lvlText w:val=""/>
      <w:lvlJc w:val="left"/>
      <w:pPr>
        <w:ind w:left="720" w:hanging="360"/>
      </w:pPr>
      <w:rPr>
        <w:rFonts w:ascii="Wingdings" w:hAnsi="Wingdings" w:hint="default"/>
      </w:rPr>
    </w:lvl>
    <w:lvl w:ilvl="1" w:tplc="7DBAE57E" w:tentative="1">
      <w:start w:val="1"/>
      <w:numFmt w:val="bullet"/>
      <w:lvlText w:val="o"/>
      <w:lvlJc w:val="left"/>
      <w:pPr>
        <w:ind w:left="1440" w:hanging="360"/>
      </w:pPr>
      <w:rPr>
        <w:rFonts w:ascii="Courier New" w:hAnsi="Courier New" w:hint="default"/>
      </w:rPr>
    </w:lvl>
    <w:lvl w:ilvl="2" w:tplc="B98C9FCA" w:tentative="1">
      <w:start w:val="1"/>
      <w:numFmt w:val="bullet"/>
      <w:lvlText w:val=""/>
      <w:lvlJc w:val="left"/>
      <w:pPr>
        <w:ind w:left="2160" w:hanging="360"/>
      </w:pPr>
      <w:rPr>
        <w:rFonts w:ascii="Wingdings" w:hAnsi="Wingdings" w:hint="default"/>
      </w:rPr>
    </w:lvl>
    <w:lvl w:ilvl="3" w:tplc="95682D56" w:tentative="1">
      <w:start w:val="1"/>
      <w:numFmt w:val="bullet"/>
      <w:lvlText w:val=""/>
      <w:lvlJc w:val="left"/>
      <w:pPr>
        <w:ind w:left="2880" w:hanging="360"/>
      </w:pPr>
      <w:rPr>
        <w:rFonts w:ascii="Symbol" w:hAnsi="Symbol" w:hint="default"/>
      </w:rPr>
    </w:lvl>
    <w:lvl w:ilvl="4" w:tplc="8E445E7C" w:tentative="1">
      <w:start w:val="1"/>
      <w:numFmt w:val="bullet"/>
      <w:lvlText w:val="o"/>
      <w:lvlJc w:val="left"/>
      <w:pPr>
        <w:ind w:left="3600" w:hanging="360"/>
      </w:pPr>
      <w:rPr>
        <w:rFonts w:ascii="Courier New" w:hAnsi="Courier New" w:hint="default"/>
      </w:rPr>
    </w:lvl>
    <w:lvl w:ilvl="5" w:tplc="443E8ADC" w:tentative="1">
      <w:start w:val="1"/>
      <w:numFmt w:val="bullet"/>
      <w:lvlText w:val=""/>
      <w:lvlJc w:val="left"/>
      <w:pPr>
        <w:ind w:left="4320" w:hanging="360"/>
      </w:pPr>
      <w:rPr>
        <w:rFonts w:ascii="Wingdings" w:hAnsi="Wingdings" w:hint="default"/>
      </w:rPr>
    </w:lvl>
    <w:lvl w:ilvl="6" w:tplc="A54E4374" w:tentative="1">
      <w:start w:val="1"/>
      <w:numFmt w:val="bullet"/>
      <w:lvlText w:val=""/>
      <w:lvlJc w:val="left"/>
      <w:pPr>
        <w:ind w:left="5040" w:hanging="360"/>
      </w:pPr>
      <w:rPr>
        <w:rFonts w:ascii="Symbol" w:hAnsi="Symbol" w:hint="default"/>
      </w:rPr>
    </w:lvl>
    <w:lvl w:ilvl="7" w:tplc="43187B60" w:tentative="1">
      <w:start w:val="1"/>
      <w:numFmt w:val="bullet"/>
      <w:lvlText w:val="o"/>
      <w:lvlJc w:val="left"/>
      <w:pPr>
        <w:ind w:left="5760" w:hanging="360"/>
      </w:pPr>
      <w:rPr>
        <w:rFonts w:ascii="Courier New" w:hAnsi="Courier New" w:hint="default"/>
      </w:rPr>
    </w:lvl>
    <w:lvl w:ilvl="8" w:tplc="A47471E2" w:tentative="1">
      <w:start w:val="1"/>
      <w:numFmt w:val="bullet"/>
      <w:lvlText w:val=""/>
      <w:lvlJc w:val="left"/>
      <w:pPr>
        <w:ind w:left="6480" w:hanging="360"/>
      </w:pPr>
      <w:rPr>
        <w:rFonts w:ascii="Wingdings" w:hAnsi="Wingdings" w:hint="default"/>
      </w:rPr>
    </w:lvl>
  </w:abstractNum>
  <w:abstractNum w:abstractNumId="10" w15:restartNumberingAfterBreak="0">
    <w:nsid w:val="209A6DB0"/>
    <w:multiLevelType w:val="hybridMultilevel"/>
    <w:tmpl w:val="6B762DC0"/>
    <w:lvl w:ilvl="0" w:tplc="6F905008">
      <w:start w:val="1"/>
      <w:numFmt w:val="bullet"/>
      <w:lvlText w:val=""/>
      <w:lvlJc w:val="left"/>
      <w:pPr>
        <w:ind w:left="720" w:hanging="360"/>
      </w:pPr>
      <w:rPr>
        <w:rFonts w:ascii="Wingdings" w:hAnsi="Wingdings" w:hint="default"/>
      </w:rPr>
    </w:lvl>
    <w:lvl w:ilvl="1" w:tplc="A41898AE" w:tentative="1">
      <w:start w:val="1"/>
      <w:numFmt w:val="bullet"/>
      <w:lvlText w:val="o"/>
      <w:lvlJc w:val="left"/>
      <w:pPr>
        <w:ind w:left="1440" w:hanging="360"/>
      </w:pPr>
      <w:rPr>
        <w:rFonts w:ascii="Courier New" w:hAnsi="Courier New" w:hint="default"/>
      </w:rPr>
    </w:lvl>
    <w:lvl w:ilvl="2" w:tplc="E4564388" w:tentative="1">
      <w:start w:val="1"/>
      <w:numFmt w:val="bullet"/>
      <w:lvlText w:val=""/>
      <w:lvlJc w:val="left"/>
      <w:pPr>
        <w:ind w:left="2160" w:hanging="360"/>
      </w:pPr>
      <w:rPr>
        <w:rFonts w:ascii="Wingdings" w:hAnsi="Wingdings" w:hint="default"/>
      </w:rPr>
    </w:lvl>
    <w:lvl w:ilvl="3" w:tplc="3FB21AA6" w:tentative="1">
      <w:start w:val="1"/>
      <w:numFmt w:val="bullet"/>
      <w:lvlText w:val=""/>
      <w:lvlJc w:val="left"/>
      <w:pPr>
        <w:ind w:left="2880" w:hanging="360"/>
      </w:pPr>
      <w:rPr>
        <w:rFonts w:ascii="Symbol" w:hAnsi="Symbol" w:hint="default"/>
      </w:rPr>
    </w:lvl>
    <w:lvl w:ilvl="4" w:tplc="94AE5BC2" w:tentative="1">
      <w:start w:val="1"/>
      <w:numFmt w:val="bullet"/>
      <w:lvlText w:val="o"/>
      <w:lvlJc w:val="left"/>
      <w:pPr>
        <w:ind w:left="3600" w:hanging="360"/>
      </w:pPr>
      <w:rPr>
        <w:rFonts w:ascii="Courier New" w:hAnsi="Courier New" w:hint="default"/>
      </w:rPr>
    </w:lvl>
    <w:lvl w:ilvl="5" w:tplc="A8DA57CE" w:tentative="1">
      <w:start w:val="1"/>
      <w:numFmt w:val="bullet"/>
      <w:lvlText w:val=""/>
      <w:lvlJc w:val="left"/>
      <w:pPr>
        <w:ind w:left="4320" w:hanging="360"/>
      </w:pPr>
      <w:rPr>
        <w:rFonts w:ascii="Wingdings" w:hAnsi="Wingdings" w:hint="default"/>
      </w:rPr>
    </w:lvl>
    <w:lvl w:ilvl="6" w:tplc="04244044" w:tentative="1">
      <w:start w:val="1"/>
      <w:numFmt w:val="bullet"/>
      <w:lvlText w:val=""/>
      <w:lvlJc w:val="left"/>
      <w:pPr>
        <w:ind w:left="5040" w:hanging="360"/>
      </w:pPr>
      <w:rPr>
        <w:rFonts w:ascii="Symbol" w:hAnsi="Symbol" w:hint="default"/>
      </w:rPr>
    </w:lvl>
    <w:lvl w:ilvl="7" w:tplc="F210EEB8" w:tentative="1">
      <w:start w:val="1"/>
      <w:numFmt w:val="bullet"/>
      <w:lvlText w:val="o"/>
      <w:lvlJc w:val="left"/>
      <w:pPr>
        <w:ind w:left="5760" w:hanging="360"/>
      </w:pPr>
      <w:rPr>
        <w:rFonts w:ascii="Courier New" w:hAnsi="Courier New" w:hint="default"/>
      </w:rPr>
    </w:lvl>
    <w:lvl w:ilvl="8" w:tplc="CB7E47F8" w:tentative="1">
      <w:start w:val="1"/>
      <w:numFmt w:val="bullet"/>
      <w:lvlText w:val=""/>
      <w:lvlJc w:val="left"/>
      <w:pPr>
        <w:ind w:left="6480" w:hanging="360"/>
      </w:pPr>
      <w:rPr>
        <w:rFonts w:ascii="Wingdings" w:hAnsi="Wingdings" w:hint="default"/>
      </w:rPr>
    </w:lvl>
  </w:abstractNum>
  <w:abstractNum w:abstractNumId="11" w15:restartNumberingAfterBreak="0">
    <w:nsid w:val="20FE6C74"/>
    <w:multiLevelType w:val="hybridMultilevel"/>
    <w:tmpl w:val="DB7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1262B9A0">
      <w:start w:val="1"/>
      <w:numFmt w:val="bullet"/>
      <w:lvlText w:val=""/>
      <w:lvlJc w:val="left"/>
      <w:pPr>
        <w:ind w:left="1080" w:hanging="360"/>
      </w:pPr>
      <w:rPr>
        <w:rFonts w:ascii="Wingdings" w:hAnsi="Wingdings" w:hint="default"/>
      </w:rPr>
    </w:lvl>
    <w:lvl w:ilvl="1" w:tplc="CC9C32D8">
      <w:start w:val="1"/>
      <w:numFmt w:val="bullet"/>
      <w:lvlText w:val="o"/>
      <w:lvlJc w:val="left"/>
      <w:pPr>
        <w:ind w:left="360" w:hanging="360"/>
      </w:pPr>
      <w:rPr>
        <w:rFonts w:ascii="Courier New" w:hAnsi="Courier New" w:hint="default"/>
      </w:rPr>
    </w:lvl>
    <w:lvl w:ilvl="2" w:tplc="0C1E1AC2">
      <w:start w:val="1"/>
      <w:numFmt w:val="bullet"/>
      <w:lvlText w:val=""/>
      <w:lvlJc w:val="left"/>
      <w:pPr>
        <w:ind w:left="2520" w:hanging="360"/>
      </w:pPr>
      <w:rPr>
        <w:rFonts w:ascii="Wingdings" w:hAnsi="Wingdings" w:hint="default"/>
      </w:rPr>
    </w:lvl>
    <w:lvl w:ilvl="3" w:tplc="D0BA2024">
      <w:numFmt w:val="bullet"/>
      <w:lvlText w:val="·"/>
      <w:lvlJc w:val="left"/>
      <w:pPr>
        <w:ind w:left="3600" w:hanging="720"/>
      </w:pPr>
      <w:rPr>
        <w:rFonts w:ascii="Calibri" w:hAnsi="Calibri" w:hint="default"/>
      </w:rPr>
    </w:lvl>
    <w:lvl w:ilvl="4" w:tplc="644E8602" w:tentative="1">
      <w:start w:val="1"/>
      <w:numFmt w:val="bullet"/>
      <w:lvlText w:val="o"/>
      <w:lvlJc w:val="left"/>
      <w:pPr>
        <w:ind w:left="3960" w:hanging="360"/>
      </w:pPr>
      <w:rPr>
        <w:rFonts w:ascii="Courier New" w:hAnsi="Courier New" w:hint="default"/>
      </w:rPr>
    </w:lvl>
    <w:lvl w:ilvl="5" w:tplc="75C0DD7C" w:tentative="1">
      <w:start w:val="1"/>
      <w:numFmt w:val="bullet"/>
      <w:lvlText w:val=""/>
      <w:lvlJc w:val="left"/>
      <w:pPr>
        <w:ind w:left="4680" w:hanging="360"/>
      </w:pPr>
      <w:rPr>
        <w:rFonts w:ascii="Wingdings" w:hAnsi="Wingdings" w:hint="default"/>
      </w:rPr>
    </w:lvl>
    <w:lvl w:ilvl="6" w:tplc="6742A450" w:tentative="1">
      <w:start w:val="1"/>
      <w:numFmt w:val="bullet"/>
      <w:lvlText w:val=""/>
      <w:lvlJc w:val="left"/>
      <w:pPr>
        <w:ind w:left="5400" w:hanging="360"/>
      </w:pPr>
      <w:rPr>
        <w:rFonts w:ascii="Symbol" w:hAnsi="Symbol" w:hint="default"/>
      </w:rPr>
    </w:lvl>
    <w:lvl w:ilvl="7" w:tplc="0C06A148" w:tentative="1">
      <w:start w:val="1"/>
      <w:numFmt w:val="bullet"/>
      <w:lvlText w:val="o"/>
      <w:lvlJc w:val="left"/>
      <w:pPr>
        <w:ind w:left="6120" w:hanging="360"/>
      </w:pPr>
      <w:rPr>
        <w:rFonts w:ascii="Courier New" w:hAnsi="Courier New" w:hint="default"/>
      </w:rPr>
    </w:lvl>
    <w:lvl w:ilvl="8" w:tplc="E81AAB56" w:tentative="1">
      <w:start w:val="1"/>
      <w:numFmt w:val="bullet"/>
      <w:lvlText w:val=""/>
      <w:lvlJc w:val="left"/>
      <w:pPr>
        <w:ind w:left="6840" w:hanging="360"/>
      </w:pPr>
      <w:rPr>
        <w:rFonts w:ascii="Wingdings" w:hAnsi="Wingdings" w:hint="default"/>
      </w:rPr>
    </w:lvl>
  </w:abstractNum>
  <w:abstractNum w:abstractNumId="13" w15:restartNumberingAfterBreak="0">
    <w:nsid w:val="2291FC01"/>
    <w:multiLevelType w:val="hybridMultilevel"/>
    <w:tmpl w:val="FFFFFFFF"/>
    <w:lvl w:ilvl="0" w:tplc="B5D8AA22">
      <w:start w:val="1"/>
      <w:numFmt w:val="bullet"/>
      <w:lvlText w:val=""/>
      <w:lvlJc w:val="left"/>
      <w:pPr>
        <w:ind w:left="720" w:hanging="360"/>
      </w:pPr>
      <w:rPr>
        <w:rFonts w:ascii="Symbol" w:hAnsi="Symbol" w:hint="default"/>
      </w:rPr>
    </w:lvl>
    <w:lvl w:ilvl="1" w:tplc="749E3C26">
      <w:start w:val="1"/>
      <w:numFmt w:val="bullet"/>
      <w:lvlText w:val="o"/>
      <w:lvlJc w:val="left"/>
      <w:pPr>
        <w:ind w:left="1440" w:hanging="360"/>
      </w:pPr>
      <w:rPr>
        <w:rFonts w:ascii="Courier New" w:hAnsi="Courier New" w:hint="default"/>
      </w:rPr>
    </w:lvl>
    <w:lvl w:ilvl="2" w:tplc="DF706D46">
      <w:start w:val="1"/>
      <w:numFmt w:val="bullet"/>
      <w:lvlText w:val=""/>
      <w:lvlJc w:val="left"/>
      <w:pPr>
        <w:ind w:left="2160" w:hanging="360"/>
      </w:pPr>
      <w:rPr>
        <w:rFonts w:ascii="Wingdings" w:hAnsi="Wingdings" w:hint="default"/>
      </w:rPr>
    </w:lvl>
    <w:lvl w:ilvl="3" w:tplc="8BBE76D0">
      <w:start w:val="1"/>
      <w:numFmt w:val="bullet"/>
      <w:lvlText w:val=""/>
      <w:lvlJc w:val="left"/>
      <w:pPr>
        <w:ind w:left="2880" w:hanging="360"/>
      </w:pPr>
      <w:rPr>
        <w:rFonts w:ascii="Symbol" w:hAnsi="Symbol" w:hint="default"/>
      </w:rPr>
    </w:lvl>
    <w:lvl w:ilvl="4" w:tplc="AEDCDCEC">
      <w:start w:val="1"/>
      <w:numFmt w:val="bullet"/>
      <w:lvlText w:val="o"/>
      <w:lvlJc w:val="left"/>
      <w:pPr>
        <w:ind w:left="3600" w:hanging="360"/>
      </w:pPr>
      <w:rPr>
        <w:rFonts w:ascii="Courier New" w:hAnsi="Courier New" w:hint="default"/>
      </w:rPr>
    </w:lvl>
    <w:lvl w:ilvl="5" w:tplc="D0861F74">
      <w:start w:val="1"/>
      <w:numFmt w:val="bullet"/>
      <w:lvlText w:val=""/>
      <w:lvlJc w:val="left"/>
      <w:pPr>
        <w:ind w:left="4320" w:hanging="360"/>
      </w:pPr>
      <w:rPr>
        <w:rFonts w:ascii="Wingdings" w:hAnsi="Wingdings" w:hint="default"/>
      </w:rPr>
    </w:lvl>
    <w:lvl w:ilvl="6" w:tplc="2716F2BC">
      <w:start w:val="1"/>
      <w:numFmt w:val="bullet"/>
      <w:lvlText w:val=""/>
      <w:lvlJc w:val="left"/>
      <w:pPr>
        <w:ind w:left="5040" w:hanging="360"/>
      </w:pPr>
      <w:rPr>
        <w:rFonts w:ascii="Symbol" w:hAnsi="Symbol" w:hint="default"/>
      </w:rPr>
    </w:lvl>
    <w:lvl w:ilvl="7" w:tplc="A91E7A42">
      <w:start w:val="1"/>
      <w:numFmt w:val="bullet"/>
      <w:lvlText w:val="o"/>
      <w:lvlJc w:val="left"/>
      <w:pPr>
        <w:ind w:left="5760" w:hanging="360"/>
      </w:pPr>
      <w:rPr>
        <w:rFonts w:ascii="Courier New" w:hAnsi="Courier New" w:hint="default"/>
      </w:rPr>
    </w:lvl>
    <w:lvl w:ilvl="8" w:tplc="C8E6CB86">
      <w:start w:val="1"/>
      <w:numFmt w:val="bullet"/>
      <w:lvlText w:val=""/>
      <w:lvlJc w:val="left"/>
      <w:pPr>
        <w:ind w:left="6480" w:hanging="360"/>
      </w:pPr>
      <w:rPr>
        <w:rFonts w:ascii="Wingdings" w:hAnsi="Wingdings" w:hint="default"/>
      </w:rPr>
    </w:lvl>
  </w:abstractNum>
  <w:abstractNum w:abstractNumId="14" w15:restartNumberingAfterBreak="0">
    <w:nsid w:val="23994AF1"/>
    <w:multiLevelType w:val="hybridMultilevel"/>
    <w:tmpl w:val="70BEB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76A50"/>
    <w:multiLevelType w:val="hybridMultilevel"/>
    <w:tmpl w:val="FFFFFFFF"/>
    <w:lvl w:ilvl="0" w:tplc="6DB8CA9C">
      <w:start w:val="1"/>
      <w:numFmt w:val="bullet"/>
      <w:lvlText w:val=""/>
      <w:lvlJc w:val="left"/>
      <w:pPr>
        <w:ind w:left="720" w:hanging="360"/>
      </w:pPr>
      <w:rPr>
        <w:rFonts w:ascii="Symbol" w:hAnsi="Symbol" w:hint="default"/>
      </w:rPr>
    </w:lvl>
    <w:lvl w:ilvl="1" w:tplc="52642796">
      <w:start w:val="1"/>
      <w:numFmt w:val="bullet"/>
      <w:lvlText w:val="o"/>
      <w:lvlJc w:val="left"/>
      <w:pPr>
        <w:ind w:left="1440" w:hanging="360"/>
      </w:pPr>
      <w:rPr>
        <w:rFonts w:ascii="Courier New" w:hAnsi="Courier New" w:hint="default"/>
      </w:rPr>
    </w:lvl>
    <w:lvl w:ilvl="2" w:tplc="284AF0EE">
      <w:start w:val="1"/>
      <w:numFmt w:val="bullet"/>
      <w:lvlText w:val=""/>
      <w:lvlJc w:val="left"/>
      <w:pPr>
        <w:ind w:left="2160" w:hanging="360"/>
      </w:pPr>
      <w:rPr>
        <w:rFonts w:ascii="Wingdings" w:hAnsi="Wingdings" w:hint="default"/>
      </w:rPr>
    </w:lvl>
    <w:lvl w:ilvl="3" w:tplc="A1689CD2">
      <w:start w:val="1"/>
      <w:numFmt w:val="bullet"/>
      <w:lvlText w:val=""/>
      <w:lvlJc w:val="left"/>
      <w:pPr>
        <w:ind w:left="2880" w:hanging="360"/>
      </w:pPr>
      <w:rPr>
        <w:rFonts w:ascii="Symbol" w:hAnsi="Symbol" w:hint="default"/>
      </w:rPr>
    </w:lvl>
    <w:lvl w:ilvl="4" w:tplc="CF208C6C">
      <w:start w:val="1"/>
      <w:numFmt w:val="bullet"/>
      <w:lvlText w:val="o"/>
      <w:lvlJc w:val="left"/>
      <w:pPr>
        <w:ind w:left="3600" w:hanging="360"/>
      </w:pPr>
      <w:rPr>
        <w:rFonts w:ascii="Courier New" w:hAnsi="Courier New" w:hint="default"/>
      </w:rPr>
    </w:lvl>
    <w:lvl w:ilvl="5" w:tplc="7680987A">
      <w:start w:val="1"/>
      <w:numFmt w:val="bullet"/>
      <w:lvlText w:val=""/>
      <w:lvlJc w:val="left"/>
      <w:pPr>
        <w:ind w:left="4320" w:hanging="360"/>
      </w:pPr>
      <w:rPr>
        <w:rFonts w:ascii="Wingdings" w:hAnsi="Wingdings" w:hint="default"/>
      </w:rPr>
    </w:lvl>
    <w:lvl w:ilvl="6" w:tplc="FC10A6EC">
      <w:start w:val="1"/>
      <w:numFmt w:val="bullet"/>
      <w:lvlText w:val=""/>
      <w:lvlJc w:val="left"/>
      <w:pPr>
        <w:ind w:left="5040" w:hanging="360"/>
      </w:pPr>
      <w:rPr>
        <w:rFonts w:ascii="Symbol" w:hAnsi="Symbol" w:hint="default"/>
      </w:rPr>
    </w:lvl>
    <w:lvl w:ilvl="7" w:tplc="5D3AEFF4">
      <w:start w:val="1"/>
      <w:numFmt w:val="bullet"/>
      <w:lvlText w:val="o"/>
      <w:lvlJc w:val="left"/>
      <w:pPr>
        <w:ind w:left="5760" w:hanging="360"/>
      </w:pPr>
      <w:rPr>
        <w:rFonts w:ascii="Courier New" w:hAnsi="Courier New" w:hint="default"/>
      </w:rPr>
    </w:lvl>
    <w:lvl w:ilvl="8" w:tplc="24706690">
      <w:start w:val="1"/>
      <w:numFmt w:val="bullet"/>
      <w:lvlText w:val=""/>
      <w:lvlJc w:val="left"/>
      <w:pPr>
        <w:ind w:left="6480" w:hanging="360"/>
      </w:pPr>
      <w:rPr>
        <w:rFonts w:ascii="Wingdings" w:hAnsi="Wingdings" w:hint="default"/>
      </w:rPr>
    </w:lvl>
  </w:abstractNum>
  <w:abstractNum w:abstractNumId="16" w15:restartNumberingAfterBreak="0">
    <w:nsid w:val="2598EA61"/>
    <w:multiLevelType w:val="hybridMultilevel"/>
    <w:tmpl w:val="FFFFFFFF"/>
    <w:lvl w:ilvl="0" w:tplc="CC5686FC">
      <w:start w:val="1"/>
      <w:numFmt w:val="bullet"/>
      <w:lvlText w:val=""/>
      <w:lvlJc w:val="left"/>
      <w:pPr>
        <w:ind w:left="720" w:hanging="360"/>
      </w:pPr>
      <w:rPr>
        <w:rFonts w:ascii="Symbol" w:hAnsi="Symbol" w:hint="default"/>
      </w:rPr>
    </w:lvl>
    <w:lvl w:ilvl="1" w:tplc="1188DDD0">
      <w:start w:val="1"/>
      <w:numFmt w:val="bullet"/>
      <w:lvlText w:val="o"/>
      <w:lvlJc w:val="left"/>
      <w:pPr>
        <w:ind w:left="1440" w:hanging="360"/>
      </w:pPr>
      <w:rPr>
        <w:rFonts w:ascii="Courier New" w:hAnsi="Courier New" w:hint="default"/>
      </w:rPr>
    </w:lvl>
    <w:lvl w:ilvl="2" w:tplc="F7AE94A6">
      <w:start w:val="1"/>
      <w:numFmt w:val="bullet"/>
      <w:lvlText w:val=""/>
      <w:lvlJc w:val="left"/>
      <w:pPr>
        <w:ind w:left="2160" w:hanging="360"/>
      </w:pPr>
      <w:rPr>
        <w:rFonts w:ascii="Wingdings" w:hAnsi="Wingdings" w:hint="default"/>
      </w:rPr>
    </w:lvl>
    <w:lvl w:ilvl="3" w:tplc="0AB658C0">
      <w:start w:val="1"/>
      <w:numFmt w:val="bullet"/>
      <w:lvlText w:val=""/>
      <w:lvlJc w:val="left"/>
      <w:pPr>
        <w:ind w:left="2880" w:hanging="360"/>
      </w:pPr>
      <w:rPr>
        <w:rFonts w:ascii="Symbol" w:hAnsi="Symbol" w:hint="default"/>
      </w:rPr>
    </w:lvl>
    <w:lvl w:ilvl="4" w:tplc="3E0A81B2">
      <w:start w:val="1"/>
      <w:numFmt w:val="bullet"/>
      <w:lvlText w:val="o"/>
      <w:lvlJc w:val="left"/>
      <w:pPr>
        <w:ind w:left="3600" w:hanging="360"/>
      </w:pPr>
      <w:rPr>
        <w:rFonts w:ascii="Courier New" w:hAnsi="Courier New" w:hint="default"/>
      </w:rPr>
    </w:lvl>
    <w:lvl w:ilvl="5" w:tplc="1EB21A6A">
      <w:start w:val="1"/>
      <w:numFmt w:val="bullet"/>
      <w:lvlText w:val=""/>
      <w:lvlJc w:val="left"/>
      <w:pPr>
        <w:ind w:left="4320" w:hanging="360"/>
      </w:pPr>
      <w:rPr>
        <w:rFonts w:ascii="Wingdings" w:hAnsi="Wingdings" w:hint="default"/>
      </w:rPr>
    </w:lvl>
    <w:lvl w:ilvl="6" w:tplc="9A7C3080">
      <w:start w:val="1"/>
      <w:numFmt w:val="bullet"/>
      <w:lvlText w:val=""/>
      <w:lvlJc w:val="left"/>
      <w:pPr>
        <w:ind w:left="5040" w:hanging="360"/>
      </w:pPr>
      <w:rPr>
        <w:rFonts w:ascii="Symbol" w:hAnsi="Symbol" w:hint="default"/>
      </w:rPr>
    </w:lvl>
    <w:lvl w:ilvl="7" w:tplc="FE70C92E">
      <w:start w:val="1"/>
      <w:numFmt w:val="bullet"/>
      <w:lvlText w:val="o"/>
      <w:lvlJc w:val="left"/>
      <w:pPr>
        <w:ind w:left="5760" w:hanging="360"/>
      </w:pPr>
      <w:rPr>
        <w:rFonts w:ascii="Courier New" w:hAnsi="Courier New" w:hint="default"/>
      </w:rPr>
    </w:lvl>
    <w:lvl w:ilvl="8" w:tplc="8D7E7B68">
      <w:start w:val="1"/>
      <w:numFmt w:val="bullet"/>
      <w:lvlText w:val=""/>
      <w:lvlJc w:val="left"/>
      <w:pPr>
        <w:ind w:left="6480" w:hanging="360"/>
      </w:pPr>
      <w:rPr>
        <w:rFonts w:ascii="Wingdings" w:hAnsi="Wingdings" w:hint="default"/>
      </w:rPr>
    </w:lvl>
  </w:abstractNum>
  <w:abstractNum w:abstractNumId="17" w15:restartNumberingAfterBreak="0">
    <w:nsid w:val="26DC7673"/>
    <w:multiLevelType w:val="hybridMultilevel"/>
    <w:tmpl w:val="64D807B4"/>
    <w:lvl w:ilvl="0" w:tplc="EBDC1608">
      <w:start w:val="1"/>
      <w:numFmt w:val="bullet"/>
      <w:lvlText w:val=""/>
      <w:lvlJc w:val="left"/>
      <w:pPr>
        <w:ind w:left="720" w:hanging="360"/>
      </w:pPr>
      <w:rPr>
        <w:rFonts w:ascii="Symbol" w:hAnsi="Symbol" w:hint="default"/>
      </w:rPr>
    </w:lvl>
    <w:lvl w:ilvl="1" w:tplc="7BF60E34" w:tentative="1">
      <w:start w:val="1"/>
      <w:numFmt w:val="bullet"/>
      <w:lvlText w:val="o"/>
      <w:lvlJc w:val="left"/>
      <w:pPr>
        <w:ind w:left="1440" w:hanging="360"/>
      </w:pPr>
      <w:rPr>
        <w:rFonts w:ascii="Courier New" w:hAnsi="Courier New" w:hint="default"/>
      </w:rPr>
    </w:lvl>
    <w:lvl w:ilvl="2" w:tplc="2D381524" w:tentative="1">
      <w:start w:val="1"/>
      <w:numFmt w:val="bullet"/>
      <w:lvlText w:val=""/>
      <w:lvlJc w:val="left"/>
      <w:pPr>
        <w:ind w:left="2160" w:hanging="360"/>
      </w:pPr>
      <w:rPr>
        <w:rFonts w:ascii="Wingdings" w:hAnsi="Wingdings" w:hint="default"/>
      </w:rPr>
    </w:lvl>
    <w:lvl w:ilvl="3" w:tplc="6DE69EFE" w:tentative="1">
      <w:start w:val="1"/>
      <w:numFmt w:val="bullet"/>
      <w:lvlText w:val=""/>
      <w:lvlJc w:val="left"/>
      <w:pPr>
        <w:ind w:left="2880" w:hanging="360"/>
      </w:pPr>
      <w:rPr>
        <w:rFonts w:ascii="Symbol" w:hAnsi="Symbol" w:hint="default"/>
      </w:rPr>
    </w:lvl>
    <w:lvl w:ilvl="4" w:tplc="171E5D4A" w:tentative="1">
      <w:start w:val="1"/>
      <w:numFmt w:val="bullet"/>
      <w:lvlText w:val="o"/>
      <w:lvlJc w:val="left"/>
      <w:pPr>
        <w:ind w:left="3600" w:hanging="360"/>
      </w:pPr>
      <w:rPr>
        <w:rFonts w:ascii="Courier New" w:hAnsi="Courier New" w:hint="default"/>
      </w:rPr>
    </w:lvl>
    <w:lvl w:ilvl="5" w:tplc="7D8E5108" w:tentative="1">
      <w:start w:val="1"/>
      <w:numFmt w:val="bullet"/>
      <w:lvlText w:val=""/>
      <w:lvlJc w:val="left"/>
      <w:pPr>
        <w:ind w:left="4320" w:hanging="360"/>
      </w:pPr>
      <w:rPr>
        <w:rFonts w:ascii="Wingdings" w:hAnsi="Wingdings" w:hint="default"/>
      </w:rPr>
    </w:lvl>
    <w:lvl w:ilvl="6" w:tplc="321EFF06" w:tentative="1">
      <w:start w:val="1"/>
      <w:numFmt w:val="bullet"/>
      <w:lvlText w:val=""/>
      <w:lvlJc w:val="left"/>
      <w:pPr>
        <w:ind w:left="5040" w:hanging="360"/>
      </w:pPr>
      <w:rPr>
        <w:rFonts w:ascii="Symbol" w:hAnsi="Symbol" w:hint="default"/>
      </w:rPr>
    </w:lvl>
    <w:lvl w:ilvl="7" w:tplc="3E720CC6" w:tentative="1">
      <w:start w:val="1"/>
      <w:numFmt w:val="bullet"/>
      <w:lvlText w:val="o"/>
      <w:lvlJc w:val="left"/>
      <w:pPr>
        <w:ind w:left="5760" w:hanging="360"/>
      </w:pPr>
      <w:rPr>
        <w:rFonts w:ascii="Courier New" w:hAnsi="Courier New" w:hint="default"/>
      </w:rPr>
    </w:lvl>
    <w:lvl w:ilvl="8" w:tplc="518A9DE8" w:tentative="1">
      <w:start w:val="1"/>
      <w:numFmt w:val="bullet"/>
      <w:lvlText w:val=""/>
      <w:lvlJc w:val="left"/>
      <w:pPr>
        <w:ind w:left="6480" w:hanging="360"/>
      </w:pPr>
      <w:rPr>
        <w:rFonts w:ascii="Wingdings" w:hAnsi="Wingdings" w:hint="default"/>
      </w:rPr>
    </w:lvl>
  </w:abstractNum>
  <w:abstractNum w:abstractNumId="18" w15:restartNumberingAfterBreak="0">
    <w:nsid w:val="2A3A3CF8"/>
    <w:multiLevelType w:val="hybridMultilevel"/>
    <w:tmpl w:val="7528FD40"/>
    <w:lvl w:ilvl="0" w:tplc="08090005">
      <w:start w:val="1"/>
      <w:numFmt w:val="bullet"/>
      <w:lvlText w:val=""/>
      <w:lvlJc w:val="left"/>
      <w:pPr>
        <w:ind w:left="720" w:hanging="360"/>
      </w:pPr>
      <w:rPr>
        <w:rFonts w:ascii="Wingdings" w:hAnsi="Wingdings" w:hint="default"/>
      </w:rPr>
    </w:lvl>
    <w:lvl w:ilvl="1" w:tplc="5BF2BCA4" w:tentative="1">
      <w:start w:val="1"/>
      <w:numFmt w:val="bullet"/>
      <w:lvlText w:val="o"/>
      <w:lvlJc w:val="left"/>
      <w:pPr>
        <w:ind w:left="1440" w:hanging="360"/>
      </w:pPr>
      <w:rPr>
        <w:rFonts w:ascii="Courier New" w:hAnsi="Courier New" w:hint="default"/>
      </w:rPr>
    </w:lvl>
    <w:lvl w:ilvl="2" w:tplc="96581170" w:tentative="1">
      <w:start w:val="1"/>
      <w:numFmt w:val="bullet"/>
      <w:lvlText w:val=""/>
      <w:lvlJc w:val="left"/>
      <w:pPr>
        <w:ind w:left="2160" w:hanging="360"/>
      </w:pPr>
      <w:rPr>
        <w:rFonts w:ascii="Wingdings" w:hAnsi="Wingdings" w:hint="default"/>
      </w:rPr>
    </w:lvl>
    <w:lvl w:ilvl="3" w:tplc="7C5EA0C6" w:tentative="1">
      <w:start w:val="1"/>
      <w:numFmt w:val="bullet"/>
      <w:lvlText w:val=""/>
      <w:lvlJc w:val="left"/>
      <w:pPr>
        <w:ind w:left="2880" w:hanging="360"/>
      </w:pPr>
      <w:rPr>
        <w:rFonts w:ascii="Symbol" w:hAnsi="Symbol" w:hint="default"/>
      </w:rPr>
    </w:lvl>
    <w:lvl w:ilvl="4" w:tplc="37040494" w:tentative="1">
      <w:start w:val="1"/>
      <w:numFmt w:val="bullet"/>
      <w:lvlText w:val="o"/>
      <w:lvlJc w:val="left"/>
      <w:pPr>
        <w:ind w:left="3600" w:hanging="360"/>
      </w:pPr>
      <w:rPr>
        <w:rFonts w:ascii="Courier New" w:hAnsi="Courier New" w:hint="default"/>
      </w:rPr>
    </w:lvl>
    <w:lvl w:ilvl="5" w:tplc="233AC0B8" w:tentative="1">
      <w:start w:val="1"/>
      <w:numFmt w:val="bullet"/>
      <w:lvlText w:val=""/>
      <w:lvlJc w:val="left"/>
      <w:pPr>
        <w:ind w:left="4320" w:hanging="360"/>
      </w:pPr>
      <w:rPr>
        <w:rFonts w:ascii="Wingdings" w:hAnsi="Wingdings" w:hint="default"/>
      </w:rPr>
    </w:lvl>
    <w:lvl w:ilvl="6" w:tplc="D66A187C" w:tentative="1">
      <w:start w:val="1"/>
      <w:numFmt w:val="bullet"/>
      <w:lvlText w:val=""/>
      <w:lvlJc w:val="left"/>
      <w:pPr>
        <w:ind w:left="5040" w:hanging="360"/>
      </w:pPr>
      <w:rPr>
        <w:rFonts w:ascii="Symbol" w:hAnsi="Symbol" w:hint="default"/>
      </w:rPr>
    </w:lvl>
    <w:lvl w:ilvl="7" w:tplc="B5E22246" w:tentative="1">
      <w:start w:val="1"/>
      <w:numFmt w:val="bullet"/>
      <w:lvlText w:val="o"/>
      <w:lvlJc w:val="left"/>
      <w:pPr>
        <w:ind w:left="5760" w:hanging="360"/>
      </w:pPr>
      <w:rPr>
        <w:rFonts w:ascii="Courier New" w:hAnsi="Courier New" w:hint="default"/>
      </w:rPr>
    </w:lvl>
    <w:lvl w:ilvl="8" w:tplc="21E6EAC6" w:tentative="1">
      <w:start w:val="1"/>
      <w:numFmt w:val="bullet"/>
      <w:lvlText w:val=""/>
      <w:lvlJc w:val="left"/>
      <w:pPr>
        <w:ind w:left="6480" w:hanging="360"/>
      </w:pPr>
      <w:rPr>
        <w:rFonts w:ascii="Wingdings" w:hAnsi="Wingdings" w:hint="default"/>
      </w:rPr>
    </w:lvl>
  </w:abstractNum>
  <w:abstractNum w:abstractNumId="19" w15:restartNumberingAfterBreak="0">
    <w:nsid w:val="359DDDDD"/>
    <w:multiLevelType w:val="hybridMultilevel"/>
    <w:tmpl w:val="BB762B1A"/>
    <w:lvl w:ilvl="0" w:tplc="08090003">
      <w:start w:val="1"/>
      <w:numFmt w:val="bullet"/>
      <w:lvlText w:val="o"/>
      <w:lvlJc w:val="left"/>
      <w:pPr>
        <w:ind w:left="451" w:hanging="360"/>
      </w:pPr>
      <w:rPr>
        <w:rFonts w:ascii="Courier New" w:hAnsi="Courier New" w:cs="Courier New"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20" w15:restartNumberingAfterBreak="0">
    <w:nsid w:val="37377B3B"/>
    <w:multiLevelType w:val="hybridMultilevel"/>
    <w:tmpl w:val="B3F2D41E"/>
    <w:lvl w:ilvl="0" w:tplc="013A85EE">
      <w:start w:val="1"/>
      <w:numFmt w:val="bullet"/>
      <w:lvlText w:val=""/>
      <w:lvlJc w:val="left"/>
      <w:pPr>
        <w:ind w:left="720" w:hanging="360"/>
      </w:pPr>
      <w:rPr>
        <w:rFonts w:ascii="Symbol" w:hAnsi="Symbol" w:hint="default"/>
      </w:rPr>
    </w:lvl>
    <w:lvl w:ilvl="1" w:tplc="81C28D9E" w:tentative="1">
      <w:start w:val="1"/>
      <w:numFmt w:val="bullet"/>
      <w:lvlText w:val="o"/>
      <w:lvlJc w:val="left"/>
      <w:pPr>
        <w:ind w:left="1440" w:hanging="360"/>
      </w:pPr>
      <w:rPr>
        <w:rFonts w:ascii="Courier New" w:hAnsi="Courier New" w:hint="default"/>
      </w:rPr>
    </w:lvl>
    <w:lvl w:ilvl="2" w:tplc="5DBA26DA" w:tentative="1">
      <w:start w:val="1"/>
      <w:numFmt w:val="bullet"/>
      <w:lvlText w:val=""/>
      <w:lvlJc w:val="left"/>
      <w:pPr>
        <w:ind w:left="2160" w:hanging="360"/>
      </w:pPr>
      <w:rPr>
        <w:rFonts w:ascii="Wingdings" w:hAnsi="Wingdings" w:hint="default"/>
      </w:rPr>
    </w:lvl>
    <w:lvl w:ilvl="3" w:tplc="E17AB918" w:tentative="1">
      <w:start w:val="1"/>
      <w:numFmt w:val="bullet"/>
      <w:lvlText w:val=""/>
      <w:lvlJc w:val="left"/>
      <w:pPr>
        <w:ind w:left="2880" w:hanging="360"/>
      </w:pPr>
      <w:rPr>
        <w:rFonts w:ascii="Symbol" w:hAnsi="Symbol" w:hint="default"/>
      </w:rPr>
    </w:lvl>
    <w:lvl w:ilvl="4" w:tplc="746CDD44" w:tentative="1">
      <w:start w:val="1"/>
      <w:numFmt w:val="bullet"/>
      <w:lvlText w:val="o"/>
      <w:lvlJc w:val="left"/>
      <w:pPr>
        <w:ind w:left="3600" w:hanging="360"/>
      </w:pPr>
      <w:rPr>
        <w:rFonts w:ascii="Courier New" w:hAnsi="Courier New" w:hint="default"/>
      </w:rPr>
    </w:lvl>
    <w:lvl w:ilvl="5" w:tplc="1F5ED142" w:tentative="1">
      <w:start w:val="1"/>
      <w:numFmt w:val="bullet"/>
      <w:lvlText w:val=""/>
      <w:lvlJc w:val="left"/>
      <w:pPr>
        <w:ind w:left="4320" w:hanging="360"/>
      </w:pPr>
      <w:rPr>
        <w:rFonts w:ascii="Wingdings" w:hAnsi="Wingdings" w:hint="default"/>
      </w:rPr>
    </w:lvl>
    <w:lvl w:ilvl="6" w:tplc="6076E502" w:tentative="1">
      <w:start w:val="1"/>
      <w:numFmt w:val="bullet"/>
      <w:lvlText w:val=""/>
      <w:lvlJc w:val="left"/>
      <w:pPr>
        <w:ind w:left="5040" w:hanging="360"/>
      </w:pPr>
      <w:rPr>
        <w:rFonts w:ascii="Symbol" w:hAnsi="Symbol" w:hint="default"/>
      </w:rPr>
    </w:lvl>
    <w:lvl w:ilvl="7" w:tplc="0C686648" w:tentative="1">
      <w:start w:val="1"/>
      <w:numFmt w:val="bullet"/>
      <w:lvlText w:val="o"/>
      <w:lvlJc w:val="left"/>
      <w:pPr>
        <w:ind w:left="5760" w:hanging="360"/>
      </w:pPr>
      <w:rPr>
        <w:rFonts w:ascii="Courier New" w:hAnsi="Courier New" w:hint="default"/>
      </w:rPr>
    </w:lvl>
    <w:lvl w:ilvl="8" w:tplc="5AF6E14A" w:tentative="1">
      <w:start w:val="1"/>
      <w:numFmt w:val="bullet"/>
      <w:lvlText w:val=""/>
      <w:lvlJc w:val="left"/>
      <w:pPr>
        <w:ind w:left="6480" w:hanging="360"/>
      </w:pPr>
      <w:rPr>
        <w:rFonts w:ascii="Wingdings" w:hAnsi="Wingdings" w:hint="default"/>
      </w:rPr>
    </w:lvl>
  </w:abstractNum>
  <w:abstractNum w:abstractNumId="21" w15:restartNumberingAfterBreak="0">
    <w:nsid w:val="373A6CBB"/>
    <w:multiLevelType w:val="hybridMultilevel"/>
    <w:tmpl w:val="8B1C3E64"/>
    <w:lvl w:ilvl="0" w:tplc="6F905008">
      <w:start w:val="1"/>
      <w:numFmt w:val="bullet"/>
      <w:lvlText w:val=""/>
      <w:lvlJc w:val="left"/>
      <w:pPr>
        <w:ind w:left="720" w:hanging="360"/>
      </w:pPr>
      <w:rPr>
        <w:rFonts w:ascii="Wingdings" w:hAnsi="Wingdings"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22" w15:restartNumberingAfterBreak="0">
    <w:nsid w:val="391923CC"/>
    <w:multiLevelType w:val="hybridMultilevel"/>
    <w:tmpl w:val="1CD2E9A4"/>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D615FCC"/>
    <w:multiLevelType w:val="hybridMultilevel"/>
    <w:tmpl w:val="C06803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D2C01E"/>
    <w:multiLevelType w:val="hybridMultilevel"/>
    <w:tmpl w:val="5B3EF1CA"/>
    <w:lvl w:ilvl="0" w:tplc="6F905008">
      <w:start w:val="1"/>
      <w:numFmt w:val="bullet"/>
      <w:lvlText w:val=""/>
      <w:lvlJc w:val="left"/>
      <w:pPr>
        <w:ind w:left="720" w:hanging="360"/>
      </w:pPr>
      <w:rPr>
        <w:rFonts w:ascii="Wingdings" w:hAnsi="Wingdings" w:hint="default"/>
      </w:rPr>
    </w:lvl>
    <w:lvl w:ilvl="1" w:tplc="C4A0DEB6">
      <w:start w:val="1"/>
      <w:numFmt w:val="bullet"/>
      <w:lvlText w:val="o"/>
      <w:lvlJc w:val="left"/>
      <w:pPr>
        <w:ind w:left="1440" w:hanging="360"/>
      </w:pPr>
      <w:rPr>
        <w:rFonts w:ascii="Courier New" w:hAnsi="Courier New" w:hint="default"/>
      </w:rPr>
    </w:lvl>
    <w:lvl w:ilvl="2" w:tplc="9F66736E">
      <w:start w:val="1"/>
      <w:numFmt w:val="bullet"/>
      <w:lvlText w:val=""/>
      <w:lvlJc w:val="left"/>
      <w:pPr>
        <w:ind w:left="2160" w:hanging="360"/>
      </w:pPr>
      <w:rPr>
        <w:rFonts w:ascii="Wingdings" w:hAnsi="Wingdings" w:hint="default"/>
      </w:rPr>
    </w:lvl>
    <w:lvl w:ilvl="3" w:tplc="9FF4F406">
      <w:start w:val="1"/>
      <w:numFmt w:val="bullet"/>
      <w:lvlText w:val=""/>
      <w:lvlJc w:val="left"/>
      <w:pPr>
        <w:ind w:left="2880" w:hanging="360"/>
      </w:pPr>
      <w:rPr>
        <w:rFonts w:ascii="Symbol" w:hAnsi="Symbol" w:hint="default"/>
      </w:rPr>
    </w:lvl>
    <w:lvl w:ilvl="4" w:tplc="27404D36">
      <w:start w:val="1"/>
      <w:numFmt w:val="bullet"/>
      <w:lvlText w:val="o"/>
      <w:lvlJc w:val="left"/>
      <w:pPr>
        <w:ind w:left="3600" w:hanging="360"/>
      </w:pPr>
      <w:rPr>
        <w:rFonts w:ascii="Courier New" w:hAnsi="Courier New" w:hint="default"/>
      </w:rPr>
    </w:lvl>
    <w:lvl w:ilvl="5" w:tplc="9068777C">
      <w:start w:val="1"/>
      <w:numFmt w:val="bullet"/>
      <w:lvlText w:val=""/>
      <w:lvlJc w:val="left"/>
      <w:pPr>
        <w:ind w:left="4320" w:hanging="360"/>
      </w:pPr>
      <w:rPr>
        <w:rFonts w:ascii="Wingdings" w:hAnsi="Wingdings" w:hint="default"/>
      </w:rPr>
    </w:lvl>
    <w:lvl w:ilvl="6" w:tplc="335CD71E">
      <w:start w:val="1"/>
      <w:numFmt w:val="bullet"/>
      <w:lvlText w:val=""/>
      <w:lvlJc w:val="left"/>
      <w:pPr>
        <w:ind w:left="5040" w:hanging="360"/>
      </w:pPr>
      <w:rPr>
        <w:rFonts w:ascii="Symbol" w:hAnsi="Symbol" w:hint="default"/>
      </w:rPr>
    </w:lvl>
    <w:lvl w:ilvl="7" w:tplc="5D26DCA0">
      <w:start w:val="1"/>
      <w:numFmt w:val="bullet"/>
      <w:lvlText w:val="o"/>
      <w:lvlJc w:val="left"/>
      <w:pPr>
        <w:ind w:left="5760" w:hanging="360"/>
      </w:pPr>
      <w:rPr>
        <w:rFonts w:ascii="Courier New" w:hAnsi="Courier New" w:hint="default"/>
      </w:rPr>
    </w:lvl>
    <w:lvl w:ilvl="8" w:tplc="7818AA0E">
      <w:start w:val="1"/>
      <w:numFmt w:val="bullet"/>
      <w:lvlText w:val=""/>
      <w:lvlJc w:val="left"/>
      <w:pPr>
        <w:ind w:left="6480" w:hanging="360"/>
      </w:pPr>
      <w:rPr>
        <w:rFonts w:ascii="Wingdings" w:hAnsi="Wingdings" w:hint="default"/>
      </w:rPr>
    </w:lvl>
  </w:abstractNum>
  <w:abstractNum w:abstractNumId="25" w15:restartNumberingAfterBreak="0">
    <w:nsid w:val="43C10AD7"/>
    <w:multiLevelType w:val="hybridMultilevel"/>
    <w:tmpl w:val="C74EADCE"/>
    <w:lvl w:ilvl="0" w:tplc="6F905008">
      <w:start w:val="1"/>
      <w:numFmt w:val="bullet"/>
      <w:lvlText w:val=""/>
      <w:lvlJc w:val="left"/>
      <w:pPr>
        <w:ind w:left="720" w:hanging="360"/>
      </w:pPr>
      <w:rPr>
        <w:rFonts w:ascii="Wingdings" w:hAnsi="Wingdings" w:hint="default"/>
      </w:rPr>
    </w:lvl>
    <w:lvl w:ilvl="1" w:tplc="A5066628" w:tentative="1">
      <w:start w:val="1"/>
      <w:numFmt w:val="bullet"/>
      <w:lvlText w:val="o"/>
      <w:lvlJc w:val="left"/>
      <w:pPr>
        <w:ind w:left="1440" w:hanging="360"/>
      </w:pPr>
      <w:rPr>
        <w:rFonts w:ascii="Courier New" w:hAnsi="Courier New" w:hint="default"/>
      </w:rPr>
    </w:lvl>
    <w:lvl w:ilvl="2" w:tplc="77B83394" w:tentative="1">
      <w:start w:val="1"/>
      <w:numFmt w:val="bullet"/>
      <w:lvlText w:val=""/>
      <w:lvlJc w:val="left"/>
      <w:pPr>
        <w:ind w:left="2160" w:hanging="360"/>
      </w:pPr>
      <w:rPr>
        <w:rFonts w:ascii="Wingdings" w:hAnsi="Wingdings" w:hint="default"/>
      </w:rPr>
    </w:lvl>
    <w:lvl w:ilvl="3" w:tplc="1CF8D666" w:tentative="1">
      <w:start w:val="1"/>
      <w:numFmt w:val="bullet"/>
      <w:lvlText w:val=""/>
      <w:lvlJc w:val="left"/>
      <w:pPr>
        <w:ind w:left="2880" w:hanging="360"/>
      </w:pPr>
      <w:rPr>
        <w:rFonts w:ascii="Symbol" w:hAnsi="Symbol" w:hint="default"/>
      </w:rPr>
    </w:lvl>
    <w:lvl w:ilvl="4" w:tplc="9446B2F2" w:tentative="1">
      <w:start w:val="1"/>
      <w:numFmt w:val="bullet"/>
      <w:lvlText w:val="o"/>
      <w:lvlJc w:val="left"/>
      <w:pPr>
        <w:ind w:left="3600" w:hanging="360"/>
      </w:pPr>
      <w:rPr>
        <w:rFonts w:ascii="Courier New" w:hAnsi="Courier New" w:hint="default"/>
      </w:rPr>
    </w:lvl>
    <w:lvl w:ilvl="5" w:tplc="9376A510" w:tentative="1">
      <w:start w:val="1"/>
      <w:numFmt w:val="bullet"/>
      <w:lvlText w:val=""/>
      <w:lvlJc w:val="left"/>
      <w:pPr>
        <w:ind w:left="4320" w:hanging="360"/>
      </w:pPr>
      <w:rPr>
        <w:rFonts w:ascii="Wingdings" w:hAnsi="Wingdings" w:hint="default"/>
      </w:rPr>
    </w:lvl>
    <w:lvl w:ilvl="6" w:tplc="E5EE79E0" w:tentative="1">
      <w:start w:val="1"/>
      <w:numFmt w:val="bullet"/>
      <w:lvlText w:val=""/>
      <w:lvlJc w:val="left"/>
      <w:pPr>
        <w:ind w:left="5040" w:hanging="360"/>
      </w:pPr>
      <w:rPr>
        <w:rFonts w:ascii="Symbol" w:hAnsi="Symbol" w:hint="default"/>
      </w:rPr>
    </w:lvl>
    <w:lvl w:ilvl="7" w:tplc="01928CA4" w:tentative="1">
      <w:start w:val="1"/>
      <w:numFmt w:val="bullet"/>
      <w:lvlText w:val="o"/>
      <w:lvlJc w:val="left"/>
      <w:pPr>
        <w:ind w:left="5760" w:hanging="360"/>
      </w:pPr>
      <w:rPr>
        <w:rFonts w:ascii="Courier New" w:hAnsi="Courier New" w:hint="default"/>
      </w:rPr>
    </w:lvl>
    <w:lvl w:ilvl="8" w:tplc="D46606C4" w:tentative="1">
      <w:start w:val="1"/>
      <w:numFmt w:val="bullet"/>
      <w:lvlText w:val=""/>
      <w:lvlJc w:val="left"/>
      <w:pPr>
        <w:ind w:left="6480" w:hanging="360"/>
      </w:pPr>
      <w:rPr>
        <w:rFonts w:ascii="Wingdings" w:hAnsi="Wingdings" w:hint="default"/>
      </w:rPr>
    </w:lvl>
  </w:abstractNum>
  <w:abstractNum w:abstractNumId="26" w15:restartNumberingAfterBreak="0">
    <w:nsid w:val="44899511"/>
    <w:multiLevelType w:val="hybridMultilevel"/>
    <w:tmpl w:val="FFFFFFFF"/>
    <w:lvl w:ilvl="0" w:tplc="1A58F5B0">
      <w:start w:val="1"/>
      <w:numFmt w:val="bullet"/>
      <w:lvlText w:val="o"/>
      <w:lvlJc w:val="left"/>
      <w:pPr>
        <w:ind w:left="451" w:hanging="360"/>
      </w:pPr>
      <w:rPr>
        <w:rFonts w:ascii="Courier New" w:hAnsi="Courier New" w:hint="default"/>
      </w:rPr>
    </w:lvl>
    <w:lvl w:ilvl="1" w:tplc="03FE7384">
      <w:start w:val="1"/>
      <w:numFmt w:val="bullet"/>
      <w:lvlText w:val="o"/>
      <w:lvlJc w:val="left"/>
      <w:pPr>
        <w:ind w:left="1171" w:hanging="360"/>
      </w:pPr>
      <w:rPr>
        <w:rFonts w:ascii="Courier New" w:hAnsi="Courier New" w:hint="default"/>
      </w:rPr>
    </w:lvl>
    <w:lvl w:ilvl="2" w:tplc="08E6C4E6">
      <w:start w:val="1"/>
      <w:numFmt w:val="bullet"/>
      <w:lvlText w:val=""/>
      <w:lvlJc w:val="left"/>
      <w:pPr>
        <w:ind w:left="1891" w:hanging="360"/>
      </w:pPr>
      <w:rPr>
        <w:rFonts w:ascii="Wingdings" w:hAnsi="Wingdings" w:hint="default"/>
      </w:rPr>
    </w:lvl>
    <w:lvl w:ilvl="3" w:tplc="65BA0D7E">
      <w:start w:val="1"/>
      <w:numFmt w:val="bullet"/>
      <w:lvlText w:val=""/>
      <w:lvlJc w:val="left"/>
      <w:pPr>
        <w:ind w:left="2611" w:hanging="360"/>
      </w:pPr>
      <w:rPr>
        <w:rFonts w:ascii="Symbol" w:hAnsi="Symbol" w:hint="default"/>
      </w:rPr>
    </w:lvl>
    <w:lvl w:ilvl="4" w:tplc="FC82B8BC">
      <w:start w:val="1"/>
      <w:numFmt w:val="bullet"/>
      <w:lvlText w:val="o"/>
      <w:lvlJc w:val="left"/>
      <w:pPr>
        <w:ind w:left="3331" w:hanging="360"/>
      </w:pPr>
      <w:rPr>
        <w:rFonts w:ascii="Courier New" w:hAnsi="Courier New" w:hint="default"/>
      </w:rPr>
    </w:lvl>
    <w:lvl w:ilvl="5" w:tplc="A6047D0E">
      <w:start w:val="1"/>
      <w:numFmt w:val="bullet"/>
      <w:lvlText w:val=""/>
      <w:lvlJc w:val="left"/>
      <w:pPr>
        <w:ind w:left="4051" w:hanging="360"/>
      </w:pPr>
      <w:rPr>
        <w:rFonts w:ascii="Wingdings" w:hAnsi="Wingdings" w:hint="default"/>
      </w:rPr>
    </w:lvl>
    <w:lvl w:ilvl="6" w:tplc="FB9E6B0A">
      <w:start w:val="1"/>
      <w:numFmt w:val="bullet"/>
      <w:lvlText w:val=""/>
      <w:lvlJc w:val="left"/>
      <w:pPr>
        <w:ind w:left="4771" w:hanging="360"/>
      </w:pPr>
      <w:rPr>
        <w:rFonts w:ascii="Symbol" w:hAnsi="Symbol" w:hint="default"/>
      </w:rPr>
    </w:lvl>
    <w:lvl w:ilvl="7" w:tplc="F8E27B38">
      <w:start w:val="1"/>
      <w:numFmt w:val="bullet"/>
      <w:lvlText w:val="o"/>
      <w:lvlJc w:val="left"/>
      <w:pPr>
        <w:ind w:left="5491" w:hanging="360"/>
      </w:pPr>
      <w:rPr>
        <w:rFonts w:ascii="Courier New" w:hAnsi="Courier New" w:hint="default"/>
      </w:rPr>
    </w:lvl>
    <w:lvl w:ilvl="8" w:tplc="86EC72D8">
      <w:start w:val="1"/>
      <w:numFmt w:val="bullet"/>
      <w:lvlText w:val=""/>
      <w:lvlJc w:val="left"/>
      <w:pPr>
        <w:ind w:left="6211" w:hanging="360"/>
      </w:pPr>
      <w:rPr>
        <w:rFonts w:ascii="Wingdings" w:hAnsi="Wingdings" w:hint="default"/>
      </w:rPr>
    </w:lvl>
  </w:abstractNum>
  <w:abstractNum w:abstractNumId="27" w15:restartNumberingAfterBreak="0">
    <w:nsid w:val="45243236"/>
    <w:multiLevelType w:val="hybridMultilevel"/>
    <w:tmpl w:val="F768D486"/>
    <w:lvl w:ilvl="0" w:tplc="5264279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0273F"/>
    <w:multiLevelType w:val="hybridMultilevel"/>
    <w:tmpl w:val="E3C8FEFA"/>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A20AA87"/>
    <w:multiLevelType w:val="hybridMultilevel"/>
    <w:tmpl w:val="FFFFFFFF"/>
    <w:lvl w:ilvl="0" w:tplc="953CBB18">
      <w:start w:val="1"/>
      <w:numFmt w:val="bullet"/>
      <w:lvlText w:val=""/>
      <w:lvlJc w:val="left"/>
      <w:pPr>
        <w:ind w:left="720" w:hanging="360"/>
      </w:pPr>
      <w:rPr>
        <w:rFonts w:ascii="Symbol" w:hAnsi="Symbol" w:hint="default"/>
      </w:rPr>
    </w:lvl>
    <w:lvl w:ilvl="1" w:tplc="3000C6AA">
      <w:start w:val="1"/>
      <w:numFmt w:val="bullet"/>
      <w:lvlText w:val="o"/>
      <w:lvlJc w:val="left"/>
      <w:pPr>
        <w:ind w:left="1440" w:hanging="360"/>
      </w:pPr>
      <w:rPr>
        <w:rFonts w:ascii="Courier New" w:hAnsi="Courier New" w:hint="default"/>
      </w:rPr>
    </w:lvl>
    <w:lvl w:ilvl="2" w:tplc="20F24750">
      <w:start w:val="1"/>
      <w:numFmt w:val="bullet"/>
      <w:lvlText w:val=""/>
      <w:lvlJc w:val="left"/>
      <w:pPr>
        <w:ind w:left="2160" w:hanging="360"/>
      </w:pPr>
      <w:rPr>
        <w:rFonts w:ascii="Wingdings" w:hAnsi="Wingdings" w:hint="default"/>
      </w:rPr>
    </w:lvl>
    <w:lvl w:ilvl="3" w:tplc="53F6862E">
      <w:start w:val="1"/>
      <w:numFmt w:val="bullet"/>
      <w:lvlText w:val=""/>
      <w:lvlJc w:val="left"/>
      <w:pPr>
        <w:ind w:left="2880" w:hanging="360"/>
      </w:pPr>
      <w:rPr>
        <w:rFonts w:ascii="Symbol" w:hAnsi="Symbol" w:hint="default"/>
      </w:rPr>
    </w:lvl>
    <w:lvl w:ilvl="4" w:tplc="04962654">
      <w:start w:val="1"/>
      <w:numFmt w:val="bullet"/>
      <w:lvlText w:val="o"/>
      <w:lvlJc w:val="left"/>
      <w:pPr>
        <w:ind w:left="3600" w:hanging="360"/>
      </w:pPr>
      <w:rPr>
        <w:rFonts w:ascii="Courier New" w:hAnsi="Courier New" w:hint="default"/>
      </w:rPr>
    </w:lvl>
    <w:lvl w:ilvl="5" w:tplc="BFB6641E">
      <w:start w:val="1"/>
      <w:numFmt w:val="bullet"/>
      <w:lvlText w:val=""/>
      <w:lvlJc w:val="left"/>
      <w:pPr>
        <w:ind w:left="4320" w:hanging="360"/>
      </w:pPr>
      <w:rPr>
        <w:rFonts w:ascii="Wingdings" w:hAnsi="Wingdings" w:hint="default"/>
      </w:rPr>
    </w:lvl>
    <w:lvl w:ilvl="6" w:tplc="50E83790">
      <w:start w:val="1"/>
      <w:numFmt w:val="bullet"/>
      <w:lvlText w:val=""/>
      <w:lvlJc w:val="left"/>
      <w:pPr>
        <w:ind w:left="5040" w:hanging="360"/>
      </w:pPr>
      <w:rPr>
        <w:rFonts w:ascii="Symbol" w:hAnsi="Symbol" w:hint="default"/>
      </w:rPr>
    </w:lvl>
    <w:lvl w:ilvl="7" w:tplc="F816FD34">
      <w:start w:val="1"/>
      <w:numFmt w:val="bullet"/>
      <w:lvlText w:val="o"/>
      <w:lvlJc w:val="left"/>
      <w:pPr>
        <w:ind w:left="5760" w:hanging="360"/>
      </w:pPr>
      <w:rPr>
        <w:rFonts w:ascii="Courier New" w:hAnsi="Courier New" w:hint="default"/>
      </w:rPr>
    </w:lvl>
    <w:lvl w:ilvl="8" w:tplc="596E5DBA">
      <w:start w:val="1"/>
      <w:numFmt w:val="bullet"/>
      <w:lvlText w:val=""/>
      <w:lvlJc w:val="left"/>
      <w:pPr>
        <w:ind w:left="6480" w:hanging="360"/>
      </w:pPr>
      <w:rPr>
        <w:rFonts w:ascii="Wingdings" w:hAnsi="Wingdings" w:hint="default"/>
      </w:rPr>
    </w:lvl>
  </w:abstractNum>
  <w:abstractNum w:abstractNumId="30" w15:restartNumberingAfterBreak="0">
    <w:nsid w:val="4FB635E0"/>
    <w:multiLevelType w:val="hybridMultilevel"/>
    <w:tmpl w:val="1CDA5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17E8B"/>
    <w:multiLevelType w:val="hybridMultilevel"/>
    <w:tmpl w:val="EC84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1833D6"/>
    <w:multiLevelType w:val="hybridMultilevel"/>
    <w:tmpl w:val="137281D0"/>
    <w:lvl w:ilvl="0" w:tplc="6F90500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5067D"/>
    <w:multiLevelType w:val="hybridMultilevel"/>
    <w:tmpl w:val="29642C64"/>
    <w:lvl w:ilvl="0" w:tplc="35F08D6C">
      <w:start w:val="1"/>
      <w:numFmt w:val="bullet"/>
      <w:lvlText w:val=""/>
      <w:lvlJc w:val="left"/>
      <w:pPr>
        <w:ind w:left="720" w:hanging="360"/>
      </w:pPr>
      <w:rPr>
        <w:rFonts w:ascii="Symbol" w:hAnsi="Symbol" w:hint="default"/>
      </w:rPr>
    </w:lvl>
    <w:lvl w:ilvl="1" w:tplc="0D2A6032">
      <w:start w:val="1"/>
      <w:numFmt w:val="bullet"/>
      <w:lvlText w:val="o"/>
      <w:lvlJc w:val="left"/>
      <w:pPr>
        <w:ind w:left="1440" w:hanging="360"/>
      </w:pPr>
      <w:rPr>
        <w:rFonts w:ascii="Courier New" w:hAnsi="Courier New" w:hint="default"/>
      </w:rPr>
    </w:lvl>
    <w:lvl w:ilvl="2" w:tplc="DA9E7812" w:tentative="1">
      <w:start w:val="1"/>
      <w:numFmt w:val="bullet"/>
      <w:lvlText w:val=""/>
      <w:lvlJc w:val="left"/>
      <w:pPr>
        <w:ind w:left="2160" w:hanging="360"/>
      </w:pPr>
      <w:rPr>
        <w:rFonts w:ascii="Wingdings" w:hAnsi="Wingdings" w:hint="default"/>
      </w:rPr>
    </w:lvl>
    <w:lvl w:ilvl="3" w:tplc="B5006E30" w:tentative="1">
      <w:start w:val="1"/>
      <w:numFmt w:val="bullet"/>
      <w:lvlText w:val=""/>
      <w:lvlJc w:val="left"/>
      <w:pPr>
        <w:ind w:left="2880" w:hanging="360"/>
      </w:pPr>
      <w:rPr>
        <w:rFonts w:ascii="Symbol" w:hAnsi="Symbol" w:hint="default"/>
      </w:rPr>
    </w:lvl>
    <w:lvl w:ilvl="4" w:tplc="9BEE7B54" w:tentative="1">
      <w:start w:val="1"/>
      <w:numFmt w:val="bullet"/>
      <w:lvlText w:val="o"/>
      <w:lvlJc w:val="left"/>
      <w:pPr>
        <w:ind w:left="3600" w:hanging="360"/>
      </w:pPr>
      <w:rPr>
        <w:rFonts w:ascii="Courier New" w:hAnsi="Courier New" w:hint="default"/>
      </w:rPr>
    </w:lvl>
    <w:lvl w:ilvl="5" w:tplc="E3EEC5EC" w:tentative="1">
      <w:start w:val="1"/>
      <w:numFmt w:val="bullet"/>
      <w:lvlText w:val=""/>
      <w:lvlJc w:val="left"/>
      <w:pPr>
        <w:ind w:left="4320" w:hanging="360"/>
      </w:pPr>
      <w:rPr>
        <w:rFonts w:ascii="Wingdings" w:hAnsi="Wingdings" w:hint="default"/>
      </w:rPr>
    </w:lvl>
    <w:lvl w:ilvl="6" w:tplc="A2B455FC" w:tentative="1">
      <w:start w:val="1"/>
      <w:numFmt w:val="bullet"/>
      <w:lvlText w:val=""/>
      <w:lvlJc w:val="left"/>
      <w:pPr>
        <w:ind w:left="5040" w:hanging="360"/>
      </w:pPr>
      <w:rPr>
        <w:rFonts w:ascii="Symbol" w:hAnsi="Symbol" w:hint="default"/>
      </w:rPr>
    </w:lvl>
    <w:lvl w:ilvl="7" w:tplc="1E46E5F8" w:tentative="1">
      <w:start w:val="1"/>
      <w:numFmt w:val="bullet"/>
      <w:lvlText w:val="o"/>
      <w:lvlJc w:val="left"/>
      <w:pPr>
        <w:ind w:left="5760" w:hanging="360"/>
      </w:pPr>
      <w:rPr>
        <w:rFonts w:ascii="Courier New" w:hAnsi="Courier New" w:hint="default"/>
      </w:rPr>
    </w:lvl>
    <w:lvl w:ilvl="8" w:tplc="D85E4A64" w:tentative="1">
      <w:start w:val="1"/>
      <w:numFmt w:val="bullet"/>
      <w:lvlText w:val=""/>
      <w:lvlJc w:val="left"/>
      <w:pPr>
        <w:ind w:left="6480" w:hanging="360"/>
      </w:pPr>
      <w:rPr>
        <w:rFonts w:ascii="Wingdings" w:hAnsi="Wingdings" w:hint="default"/>
      </w:rPr>
    </w:lvl>
  </w:abstractNum>
  <w:abstractNum w:abstractNumId="34" w15:restartNumberingAfterBreak="0">
    <w:nsid w:val="5711FF4F"/>
    <w:multiLevelType w:val="hybridMultilevel"/>
    <w:tmpl w:val="FFFFFFFF"/>
    <w:lvl w:ilvl="0" w:tplc="0D106D82">
      <w:start w:val="1"/>
      <w:numFmt w:val="bullet"/>
      <w:lvlText w:val=""/>
      <w:lvlJc w:val="left"/>
      <w:pPr>
        <w:ind w:left="720" w:hanging="360"/>
      </w:pPr>
      <w:rPr>
        <w:rFonts w:ascii="Symbol" w:hAnsi="Symbol" w:hint="default"/>
      </w:rPr>
    </w:lvl>
    <w:lvl w:ilvl="1" w:tplc="AD7619FE">
      <w:start w:val="1"/>
      <w:numFmt w:val="bullet"/>
      <w:lvlText w:val="o"/>
      <w:lvlJc w:val="left"/>
      <w:pPr>
        <w:ind w:left="1440" w:hanging="360"/>
      </w:pPr>
      <w:rPr>
        <w:rFonts w:ascii="Courier New" w:hAnsi="Courier New" w:hint="default"/>
      </w:rPr>
    </w:lvl>
    <w:lvl w:ilvl="2" w:tplc="6F905008">
      <w:start w:val="1"/>
      <w:numFmt w:val="bullet"/>
      <w:lvlText w:val=""/>
      <w:lvlJc w:val="left"/>
      <w:pPr>
        <w:ind w:left="2160" w:hanging="360"/>
      </w:pPr>
      <w:rPr>
        <w:rFonts w:ascii="Wingdings" w:hAnsi="Wingdings" w:hint="default"/>
      </w:rPr>
    </w:lvl>
    <w:lvl w:ilvl="3" w:tplc="CF7A3360">
      <w:start w:val="1"/>
      <w:numFmt w:val="bullet"/>
      <w:lvlText w:val=""/>
      <w:lvlJc w:val="left"/>
      <w:pPr>
        <w:ind w:left="2880" w:hanging="360"/>
      </w:pPr>
      <w:rPr>
        <w:rFonts w:ascii="Symbol" w:hAnsi="Symbol" w:hint="default"/>
      </w:rPr>
    </w:lvl>
    <w:lvl w:ilvl="4" w:tplc="596269E8">
      <w:start w:val="1"/>
      <w:numFmt w:val="bullet"/>
      <w:lvlText w:val="o"/>
      <w:lvlJc w:val="left"/>
      <w:pPr>
        <w:ind w:left="3600" w:hanging="360"/>
      </w:pPr>
      <w:rPr>
        <w:rFonts w:ascii="Courier New" w:hAnsi="Courier New" w:hint="default"/>
      </w:rPr>
    </w:lvl>
    <w:lvl w:ilvl="5" w:tplc="70E2EF98">
      <w:start w:val="1"/>
      <w:numFmt w:val="bullet"/>
      <w:lvlText w:val=""/>
      <w:lvlJc w:val="left"/>
      <w:pPr>
        <w:ind w:left="4320" w:hanging="360"/>
      </w:pPr>
      <w:rPr>
        <w:rFonts w:ascii="Wingdings" w:hAnsi="Wingdings" w:hint="default"/>
      </w:rPr>
    </w:lvl>
    <w:lvl w:ilvl="6" w:tplc="64440FB6">
      <w:start w:val="1"/>
      <w:numFmt w:val="bullet"/>
      <w:lvlText w:val=""/>
      <w:lvlJc w:val="left"/>
      <w:pPr>
        <w:ind w:left="5040" w:hanging="360"/>
      </w:pPr>
      <w:rPr>
        <w:rFonts w:ascii="Symbol" w:hAnsi="Symbol" w:hint="default"/>
      </w:rPr>
    </w:lvl>
    <w:lvl w:ilvl="7" w:tplc="FB1C1BDA">
      <w:start w:val="1"/>
      <w:numFmt w:val="bullet"/>
      <w:lvlText w:val="o"/>
      <w:lvlJc w:val="left"/>
      <w:pPr>
        <w:ind w:left="5760" w:hanging="360"/>
      </w:pPr>
      <w:rPr>
        <w:rFonts w:ascii="Courier New" w:hAnsi="Courier New" w:hint="default"/>
      </w:rPr>
    </w:lvl>
    <w:lvl w:ilvl="8" w:tplc="ECF05180">
      <w:start w:val="1"/>
      <w:numFmt w:val="bullet"/>
      <w:lvlText w:val=""/>
      <w:lvlJc w:val="left"/>
      <w:pPr>
        <w:ind w:left="6480" w:hanging="360"/>
      </w:pPr>
      <w:rPr>
        <w:rFonts w:ascii="Wingdings" w:hAnsi="Wingdings" w:hint="default"/>
      </w:rPr>
    </w:lvl>
  </w:abstractNum>
  <w:abstractNum w:abstractNumId="35" w15:restartNumberingAfterBreak="0">
    <w:nsid w:val="5A386073"/>
    <w:multiLevelType w:val="hybridMultilevel"/>
    <w:tmpl w:val="F0ACC0CA"/>
    <w:lvl w:ilvl="0" w:tplc="F5BA80D4">
      <w:start w:val="1"/>
      <w:numFmt w:val="bullet"/>
      <w:lvlText w:val=""/>
      <w:lvlJc w:val="left"/>
      <w:pPr>
        <w:ind w:left="720" w:hanging="360"/>
      </w:pPr>
      <w:rPr>
        <w:rFonts w:ascii="Symbol" w:hAnsi="Symbol" w:hint="default"/>
      </w:rPr>
    </w:lvl>
    <w:lvl w:ilvl="1" w:tplc="A4D639D0">
      <w:start w:val="1"/>
      <w:numFmt w:val="bullet"/>
      <w:lvlText w:val="o"/>
      <w:lvlJc w:val="left"/>
      <w:pPr>
        <w:ind w:left="1440" w:hanging="360"/>
      </w:pPr>
      <w:rPr>
        <w:rFonts w:ascii="Courier New" w:hAnsi="Courier New" w:hint="default"/>
      </w:rPr>
    </w:lvl>
    <w:lvl w:ilvl="2" w:tplc="717C4552" w:tentative="1">
      <w:start w:val="1"/>
      <w:numFmt w:val="bullet"/>
      <w:lvlText w:val=""/>
      <w:lvlJc w:val="left"/>
      <w:pPr>
        <w:ind w:left="2160" w:hanging="360"/>
      </w:pPr>
      <w:rPr>
        <w:rFonts w:ascii="Wingdings" w:hAnsi="Wingdings" w:hint="default"/>
      </w:rPr>
    </w:lvl>
    <w:lvl w:ilvl="3" w:tplc="C7768C26" w:tentative="1">
      <w:start w:val="1"/>
      <w:numFmt w:val="bullet"/>
      <w:lvlText w:val=""/>
      <w:lvlJc w:val="left"/>
      <w:pPr>
        <w:ind w:left="2880" w:hanging="360"/>
      </w:pPr>
      <w:rPr>
        <w:rFonts w:ascii="Symbol" w:hAnsi="Symbol" w:hint="default"/>
      </w:rPr>
    </w:lvl>
    <w:lvl w:ilvl="4" w:tplc="340E689A" w:tentative="1">
      <w:start w:val="1"/>
      <w:numFmt w:val="bullet"/>
      <w:lvlText w:val="o"/>
      <w:lvlJc w:val="left"/>
      <w:pPr>
        <w:ind w:left="3600" w:hanging="360"/>
      </w:pPr>
      <w:rPr>
        <w:rFonts w:ascii="Courier New" w:hAnsi="Courier New" w:hint="default"/>
      </w:rPr>
    </w:lvl>
    <w:lvl w:ilvl="5" w:tplc="384ACB26" w:tentative="1">
      <w:start w:val="1"/>
      <w:numFmt w:val="bullet"/>
      <w:lvlText w:val=""/>
      <w:lvlJc w:val="left"/>
      <w:pPr>
        <w:ind w:left="4320" w:hanging="360"/>
      </w:pPr>
      <w:rPr>
        <w:rFonts w:ascii="Wingdings" w:hAnsi="Wingdings" w:hint="default"/>
      </w:rPr>
    </w:lvl>
    <w:lvl w:ilvl="6" w:tplc="1A883B58" w:tentative="1">
      <w:start w:val="1"/>
      <w:numFmt w:val="bullet"/>
      <w:lvlText w:val=""/>
      <w:lvlJc w:val="left"/>
      <w:pPr>
        <w:ind w:left="5040" w:hanging="360"/>
      </w:pPr>
      <w:rPr>
        <w:rFonts w:ascii="Symbol" w:hAnsi="Symbol" w:hint="default"/>
      </w:rPr>
    </w:lvl>
    <w:lvl w:ilvl="7" w:tplc="22A2066E" w:tentative="1">
      <w:start w:val="1"/>
      <w:numFmt w:val="bullet"/>
      <w:lvlText w:val="o"/>
      <w:lvlJc w:val="left"/>
      <w:pPr>
        <w:ind w:left="5760" w:hanging="360"/>
      </w:pPr>
      <w:rPr>
        <w:rFonts w:ascii="Courier New" w:hAnsi="Courier New" w:hint="default"/>
      </w:rPr>
    </w:lvl>
    <w:lvl w:ilvl="8" w:tplc="224AEA10" w:tentative="1">
      <w:start w:val="1"/>
      <w:numFmt w:val="bullet"/>
      <w:lvlText w:val=""/>
      <w:lvlJc w:val="left"/>
      <w:pPr>
        <w:ind w:left="6480" w:hanging="360"/>
      </w:pPr>
      <w:rPr>
        <w:rFonts w:ascii="Wingdings" w:hAnsi="Wingdings" w:hint="default"/>
      </w:rPr>
    </w:lvl>
  </w:abstractNum>
  <w:abstractNum w:abstractNumId="3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7" w15:restartNumberingAfterBreak="0">
    <w:nsid w:val="608D6FD4"/>
    <w:multiLevelType w:val="hybridMultilevel"/>
    <w:tmpl w:val="DC96149E"/>
    <w:lvl w:ilvl="0" w:tplc="08090005">
      <w:start w:val="1"/>
      <w:numFmt w:val="bullet"/>
      <w:lvlText w:val=""/>
      <w:lvlJc w:val="left"/>
      <w:pPr>
        <w:ind w:left="1080" w:hanging="360"/>
      </w:pPr>
      <w:rPr>
        <w:rFonts w:ascii="Wingdings" w:hAnsi="Wingdings" w:hint="default"/>
      </w:rPr>
    </w:lvl>
    <w:lvl w:ilvl="1" w:tplc="36AE1744">
      <w:start w:val="1"/>
      <w:numFmt w:val="bullet"/>
      <w:lvlText w:val="o"/>
      <w:lvlJc w:val="left"/>
      <w:pPr>
        <w:ind w:left="1800" w:hanging="360"/>
      </w:pPr>
      <w:rPr>
        <w:rFonts w:ascii="Courier New" w:hAnsi="Courier New" w:hint="default"/>
      </w:rPr>
    </w:lvl>
    <w:lvl w:ilvl="2" w:tplc="D4A6A2EE">
      <w:start w:val="1"/>
      <w:numFmt w:val="bullet"/>
      <w:lvlText w:val=""/>
      <w:lvlJc w:val="left"/>
      <w:pPr>
        <w:ind w:left="2520" w:hanging="360"/>
      </w:pPr>
      <w:rPr>
        <w:rFonts w:ascii="Wingdings" w:hAnsi="Wingdings" w:hint="default"/>
      </w:rPr>
    </w:lvl>
    <w:lvl w:ilvl="3" w:tplc="F926F17A">
      <w:start w:val="1"/>
      <w:numFmt w:val="bullet"/>
      <w:lvlText w:val=""/>
      <w:lvlJc w:val="left"/>
      <w:pPr>
        <w:ind w:left="3240" w:hanging="360"/>
      </w:pPr>
      <w:rPr>
        <w:rFonts w:ascii="Symbol" w:hAnsi="Symbol" w:hint="default"/>
      </w:rPr>
    </w:lvl>
    <w:lvl w:ilvl="4" w:tplc="7A70A628">
      <w:start w:val="1"/>
      <w:numFmt w:val="bullet"/>
      <w:lvlText w:val="o"/>
      <w:lvlJc w:val="left"/>
      <w:pPr>
        <w:ind w:left="3960" w:hanging="360"/>
      </w:pPr>
      <w:rPr>
        <w:rFonts w:ascii="Courier New" w:hAnsi="Courier New" w:hint="default"/>
      </w:rPr>
    </w:lvl>
    <w:lvl w:ilvl="5" w:tplc="D320FD34">
      <w:start w:val="1"/>
      <w:numFmt w:val="bullet"/>
      <w:lvlText w:val=""/>
      <w:lvlJc w:val="left"/>
      <w:pPr>
        <w:ind w:left="4680" w:hanging="360"/>
      </w:pPr>
      <w:rPr>
        <w:rFonts w:ascii="Wingdings" w:hAnsi="Wingdings" w:hint="default"/>
      </w:rPr>
    </w:lvl>
    <w:lvl w:ilvl="6" w:tplc="692AD1AC">
      <w:start w:val="1"/>
      <w:numFmt w:val="bullet"/>
      <w:lvlText w:val=""/>
      <w:lvlJc w:val="left"/>
      <w:pPr>
        <w:ind w:left="5400" w:hanging="360"/>
      </w:pPr>
      <w:rPr>
        <w:rFonts w:ascii="Symbol" w:hAnsi="Symbol" w:hint="default"/>
      </w:rPr>
    </w:lvl>
    <w:lvl w:ilvl="7" w:tplc="5D9A3FEC">
      <w:start w:val="1"/>
      <w:numFmt w:val="bullet"/>
      <w:lvlText w:val="o"/>
      <w:lvlJc w:val="left"/>
      <w:pPr>
        <w:ind w:left="6120" w:hanging="360"/>
      </w:pPr>
      <w:rPr>
        <w:rFonts w:ascii="Courier New" w:hAnsi="Courier New" w:hint="default"/>
      </w:rPr>
    </w:lvl>
    <w:lvl w:ilvl="8" w:tplc="AC5E3E82">
      <w:start w:val="1"/>
      <w:numFmt w:val="bullet"/>
      <w:lvlText w:val=""/>
      <w:lvlJc w:val="left"/>
      <w:pPr>
        <w:ind w:left="6840" w:hanging="360"/>
      </w:pPr>
      <w:rPr>
        <w:rFonts w:ascii="Wingdings" w:hAnsi="Wingdings" w:hint="default"/>
      </w:rPr>
    </w:lvl>
  </w:abstractNum>
  <w:abstractNum w:abstractNumId="38" w15:restartNumberingAfterBreak="0">
    <w:nsid w:val="6429572E"/>
    <w:multiLevelType w:val="hybridMultilevel"/>
    <w:tmpl w:val="810C4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8D66E6"/>
    <w:multiLevelType w:val="hybridMultilevel"/>
    <w:tmpl w:val="A98A98FC"/>
    <w:lvl w:ilvl="0" w:tplc="CF4ACB68">
      <w:start w:val="1"/>
      <w:numFmt w:val="bullet"/>
      <w:lvlText w:val=""/>
      <w:lvlJc w:val="left"/>
      <w:pPr>
        <w:ind w:left="720" w:hanging="360"/>
      </w:pPr>
      <w:rPr>
        <w:rFonts w:ascii="Symbol" w:hAnsi="Symbol" w:hint="default"/>
      </w:rPr>
    </w:lvl>
    <w:lvl w:ilvl="1" w:tplc="0716380E" w:tentative="1">
      <w:start w:val="1"/>
      <w:numFmt w:val="bullet"/>
      <w:lvlText w:val="o"/>
      <w:lvlJc w:val="left"/>
      <w:pPr>
        <w:ind w:left="1440" w:hanging="360"/>
      </w:pPr>
      <w:rPr>
        <w:rFonts w:ascii="Courier New" w:hAnsi="Courier New" w:hint="default"/>
      </w:rPr>
    </w:lvl>
    <w:lvl w:ilvl="2" w:tplc="EC10A9A0" w:tentative="1">
      <w:start w:val="1"/>
      <w:numFmt w:val="bullet"/>
      <w:lvlText w:val=""/>
      <w:lvlJc w:val="left"/>
      <w:pPr>
        <w:ind w:left="2160" w:hanging="360"/>
      </w:pPr>
      <w:rPr>
        <w:rFonts w:ascii="Wingdings" w:hAnsi="Wingdings" w:hint="default"/>
      </w:rPr>
    </w:lvl>
    <w:lvl w:ilvl="3" w:tplc="F7088234" w:tentative="1">
      <w:start w:val="1"/>
      <w:numFmt w:val="bullet"/>
      <w:lvlText w:val=""/>
      <w:lvlJc w:val="left"/>
      <w:pPr>
        <w:ind w:left="2880" w:hanging="360"/>
      </w:pPr>
      <w:rPr>
        <w:rFonts w:ascii="Symbol" w:hAnsi="Symbol" w:hint="default"/>
      </w:rPr>
    </w:lvl>
    <w:lvl w:ilvl="4" w:tplc="9B8845BA" w:tentative="1">
      <w:start w:val="1"/>
      <w:numFmt w:val="bullet"/>
      <w:lvlText w:val="o"/>
      <w:lvlJc w:val="left"/>
      <w:pPr>
        <w:ind w:left="3600" w:hanging="360"/>
      </w:pPr>
      <w:rPr>
        <w:rFonts w:ascii="Courier New" w:hAnsi="Courier New" w:hint="default"/>
      </w:rPr>
    </w:lvl>
    <w:lvl w:ilvl="5" w:tplc="41446086" w:tentative="1">
      <w:start w:val="1"/>
      <w:numFmt w:val="bullet"/>
      <w:lvlText w:val=""/>
      <w:lvlJc w:val="left"/>
      <w:pPr>
        <w:ind w:left="4320" w:hanging="360"/>
      </w:pPr>
      <w:rPr>
        <w:rFonts w:ascii="Wingdings" w:hAnsi="Wingdings" w:hint="default"/>
      </w:rPr>
    </w:lvl>
    <w:lvl w:ilvl="6" w:tplc="76A64E10" w:tentative="1">
      <w:start w:val="1"/>
      <w:numFmt w:val="bullet"/>
      <w:lvlText w:val=""/>
      <w:lvlJc w:val="left"/>
      <w:pPr>
        <w:ind w:left="5040" w:hanging="360"/>
      </w:pPr>
      <w:rPr>
        <w:rFonts w:ascii="Symbol" w:hAnsi="Symbol" w:hint="default"/>
      </w:rPr>
    </w:lvl>
    <w:lvl w:ilvl="7" w:tplc="3B36E830" w:tentative="1">
      <w:start w:val="1"/>
      <w:numFmt w:val="bullet"/>
      <w:lvlText w:val="o"/>
      <w:lvlJc w:val="left"/>
      <w:pPr>
        <w:ind w:left="5760" w:hanging="360"/>
      </w:pPr>
      <w:rPr>
        <w:rFonts w:ascii="Courier New" w:hAnsi="Courier New" w:hint="default"/>
      </w:rPr>
    </w:lvl>
    <w:lvl w:ilvl="8" w:tplc="2A0C5B04" w:tentative="1">
      <w:start w:val="1"/>
      <w:numFmt w:val="bullet"/>
      <w:lvlText w:val=""/>
      <w:lvlJc w:val="left"/>
      <w:pPr>
        <w:ind w:left="6480" w:hanging="360"/>
      </w:pPr>
      <w:rPr>
        <w:rFonts w:ascii="Wingdings" w:hAnsi="Wingdings" w:hint="default"/>
      </w:rPr>
    </w:lvl>
  </w:abstractNum>
  <w:abstractNum w:abstractNumId="40" w15:restartNumberingAfterBreak="0">
    <w:nsid w:val="6B0FDBE5"/>
    <w:multiLevelType w:val="hybridMultilevel"/>
    <w:tmpl w:val="DFD48C56"/>
    <w:lvl w:ilvl="0" w:tplc="0F2C5A3A">
      <w:start w:val="1"/>
      <w:numFmt w:val="bullet"/>
      <w:lvlText w:val="·"/>
      <w:lvlJc w:val="left"/>
      <w:pPr>
        <w:ind w:left="1800" w:hanging="360"/>
      </w:pPr>
      <w:rPr>
        <w:rFonts w:ascii="Symbol" w:hAnsi="Symbol" w:hint="default"/>
      </w:rPr>
    </w:lvl>
    <w:lvl w:ilvl="1" w:tplc="D71E1A24">
      <w:start w:val="1"/>
      <w:numFmt w:val="bullet"/>
      <w:lvlText w:val="o"/>
      <w:lvlJc w:val="left"/>
      <w:pPr>
        <w:ind w:left="2520" w:hanging="360"/>
      </w:pPr>
      <w:rPr>
        <w:rFonts w:ascii="Courier New" w:hAnsi="Courier New" w:hint="default"/>
      </w:rPr>
    </w:lvl>
    <w:lvl w:ilvl="2" w:tplc="18EEB77E">
      <w:start w:val="1"/>
      <w:numFmt w:val="bullet"/>
      <w:lvlText w:val=""/>
      <w:lvlJc w:val="left"/>
      <w:pPr>
        <w:ind w:left="3240" w:hanging="360"/>
      </w:pPr>
      <w:rPr>
        <w:rFonts w:ascii="Wingdings" w:hAnsi="Wingdings" w:hint="default"/>
      </w:rPr>
    </w:lvl>
    <w:lvl w:ilvl="3" w:tplc="F44EDD54">
      <w:start w:val="1"/>
      <w:numFmt w:val="bullet"/>
      <w:lvlText w:val=""/>
      <w:lvlJc w:val="left"/>
      <w:pPr>
        <w:ind w:left="3960" w:hanging="360"/>
      </w:pPr>
      <w:rPr>
        <w:rFonts w:ascii="Symbol" w:hAnsi="Symbol" w:hint="default"/>
      </w:rPr>
    </w:lvl>
    <w:lvl w:ilvl="4" w:tplc="A4585776">
      <w:start w:val="1"/>
      <w:numFmt w:val="bullet"/>
      <w:lvlText w:val="o"/>
      <w:lvlJc w:val="left"/>
      <w:pPr>
        <w:ind w:left="4680" w:hanging="360"/>
      </w:pPr>
      <w:rPr>
        <w:rFonts w:ascii="Courier New" w:hAnsi="Courier New" w:hint="default"/>
      </w:rPr>
    </w:lvl>
    <w:lvl w:ilvl="5" w:tplc="BDA059F0">
      <w:start w:val="1"/>
      <w:numFmt w:val="bullet"/>
      <w:lvlText w:val=""/>
      <w:lvlJc w:val="left"/>
      <w:pPr>
        <w:ind w:left="5400" w:hanging="360"/>
      </w:pPr>
      <w:rPr>
        <w:rFonts w:ascii="Wingdings" w:hAnsi="Wingdings" w:hint="default"/>
      </w:rPr>
    </w:lvl>
    <w:lvl w:ilvl="6" w:tplc="BEB0FA7E">
      <w:start w:val="1"/>
      <w:numFmt w:val="bullet"/>
      <w:lvlText w:val=""/>
      <w:lvlJc w:val="left"/>
      <w:pPr>
        <w:ind w:left="6120" w:hanging="360"/>
      </w:pPr>
      <w:rPr>
        <w:rFonts w:ascii="Symbol" w:hAnsi="Symbol" w:hint="default"/>
      </w:rPr>
    </w:lvl>
    <w:lvl w:ilvl="7" w:tplc="456A64B2">
      <w:start w:val="1"/>
      <w:numFmt w:val="bullet"/>
      <w:lvlText w:val="o"/>
      <w:lvlJc w:val="left"/>
      <w:pPr>
        <w:ind w:left="6840" w:hanging="360"/>
      </w:pPr>
      <w:rPr>
        <w:rFonts w:ascii="Courier New" w:hAnsi="Courier New" w:hint="default"/>
      </w:rPr>
    </w:lvl>
    <w:lvl w:ilvl="8" w:tplc="7D8032CA">
      <w:start w:val="1"/>
      <w:numFmt w:val="bullet"/>
      <w:lvlText w:val=""/>
      <w:lvlJc w:val="left"/>
      <w:pPr>
        <w:ind w:left="7560" w:hanging="360"/>
      </w:pPr>
      <w:rPr>
        <w:rFonts w:ascii="Wingdings" w:hAnsi="Wingdings" w:hint="default"/>
      </w:rPr>
    </w:lvl>
  </w:abstractNum>
  <w:abstractNum w:abstractNumId="41" w15:restartNumberingAfterBreak="0">
    <w:nsid w:val="70117D1B"/>
    <w:multiLevelType w:val="hybridMultilevel"/>
    <w:tmpl w:val="9D7C124A"/>
    <w:lvl w:ilvl="0" w:tplc="AD7619F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8B4562"/>
    <w:multiLevelType w:val="hybridMultilevel"/>
    <w:tmpl w:val="E11C9EA0"/>
    <w:lvl w:ilvl="0" w:tplc="94D65A70">
      <w:start w:val="1"/>
      <w:numFmt w:val="bullet"/>
      <w:lvlText w:val=""/>
      <w:lvlJc w:val="left"/>
      <w:pPr>
        <w:ind w:left="1080" w:hanging="360"/>
      </w:pPr>
      <w:rPr>
        <w:rFonts w:ascii="Symbol" w:hAnsi="Symbol" w:hint="default"/>
      </w:rPr>
    </w:lvl>
    <w:lvl w:ilvl="1" w:tplc="E618D1DE" w:tentative="1">
      <w:start w:val="1"/>
      <w:numFmt w:val="bullet"/>
      <w:lvlText w:val="o"/>
      <w:lvlJc w:val="left"/>
      <w:pPr>
        <w:ind w:left="1800" w:hanging="360"/>
      </w:pPr>
      <w:rPr>
        <w:rFonts w:ascii="Courier New" w:hAnsi="Courier New" w:hint="default"/>
      </w:rPr>
    </w:lvl>
    <w:lvl w:ilvl="2" w:tplc="C8B2D344" w:tentative="1">
      <w:start w:val="1"/>
      <w:numFmt w:val="bullet"/>
      <w:lvlText w:val=""/>
      <w:lvlJc w:val="left"/>
      <w:pPr>
        <w:ind w:left="2520" w:hanging="360"/>
      </w:pPr>
      <w:rPr>
        <w:rFonts w:ascii="Wingdings" w:hAnsi="Wingdings" w:hint="default"/>
      </w:rPr>
    </w:lvl>
    <w:lvl w:ilvl="3" w:tplc="89027FD0" w:tentative="1">
      <w:start w:val="1"/>
      <w:numFmt w:val="bullet"/>
      <w:lvlText w:val=""/>
      <w:lvlJc w:val="left"/>
      <w:pPr>
        <w:ind w:left="3240" w:hanging="360"/>
      </w:pPr>
      <w:rPr>
        <w:rFonts w:ascii="Symbol" w:hAnsi="Symbol" w:hint="default"/>
      </w:rPr>
    </w:lvl>
    <w:lvl w:ilvl="4" w:tplc="B7163FEC" w:tentative="1">
      <w:start w:val="1"/>
      <w:numFmt w:val="bullet"/>
      <w:lvlText w:val="o"/>
      <w:lvlJc w:val="left"/>
      <w:pPr>
        <w:ind w:left="3960" w:hanging="360"/>
      </w:pPr>
      <w:rPr>
        <w:rFonts w:ascii="Courier New" w:hAnsi="Courier New" w:hint="default"/>
      </w:rPr>
    </w:lvl>
    <w:lvl w:ilvl="5" w:tplc="9FEEFBBC" w:tentative="1">
      <w:start w:val="1"/>
      <w:numFmt w:val="bullet"/>
      <w:lvlText w:val=""/>
      <w:lvlJc w:val="left"/>
      <w:pPr>
        <w:ind w:left="4680" w:hanging="360"/>
      </w:pPr>
      <w:rPr>
        <w:rFonts w:ascii="Wingdings" w:hAnsi="Wingdings" w:hint="default"/>
      </w:rPr>
    </w:lvl>
    <w:lvl w:ilvl="6" w:tplc="0F849C98" w:tentative="1">
      <w:start w:val="1"/>
      <w:numFmt w:val="bullet"/>
      <w:lvlText w:val=""/>
      <w:lvlJc w:val="left"/>
      <w:pPr>
        <w:ind w:left="5400" w:hanging="360"/>
      </w:pPr>
      <w:rPr>
        <w:rFonts w:ascii="Symbol" w:hAnsi="Symbol" w:hint="default"/>
      </w:rPr>
    </w:lvl>
    <w:lvl w:ilvl="7" w:tplc="140EA596" w:tentative="1">
      <w:start w:val="1"/>
      <w:numFmt w:val="bullet"/>
      <w:lvlText w:val="o"/>
      <w:lvlJc w:val="left"/>
      <w:pPr>
        <w:ind w:left="6120" w:hanging="360"/>
      </w:pPr>
      <w:rPr>
        <w:rFonts w:ascii="Courier New" w:hAnsi="Courier New" w:hint="default"/>
      </w:rPr>
    </w:lvl>
    <w:lvl w:ilvl="8" w:tplc="037AB752" w:tentative="1">
      <w:start w:val="1"/>
      <w:numFmt w:val="bullet"/>
      <w:lvlText w:val=""/>
      <w:lvlJc w:val="left"/>
      <w:pPr>
        <w:ind w:left="6840" w:hanging="360"/>
      </w:pPr>
      <w:rPr>
        <w:rFonts w:ascii="Wingdings" w:hAnsi="Wingdings" w:hint="default"/>
      </w:rPr>
    </w:lvl>
  </w:abstractNum>
  <w:abstractNum w:abstractNumId="43" w15:restartNumberingAfterBreak="0">
    <w:nsid w:val="75FB6F88"/>
    <w:multiLevelType w:val="hybridMultilevel"/>
    <w:tmpl w:val="57FCDDFC"/>
    <w:lvl w:ilvl="0" w:tplc="AD7619F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21E3"/>
    <w:multiLevelType w:val="hybridMultilevel"/>
    <w:tmpl w:val="CB66A304"/>
    <w:lvl w:ilvl="0" w:tplc="ABF699F0">
      <w:start w:val="1"/>
      <w:numFmt w:val="bullet"/>
      <w:lvlText w:val="o"/>
      <w:lvlJc w:val="left"/>
      <w:pPr>
        <w:ind w:left="811" w:hanging="360"/>
      </w:pPr>
      <w:rPr>
        <w:rFonts w:ascii="Courier New" w:hAnsi="Courier New" w:hint="default"/>
      </w:rPr>
    </w:lvl>
    <w:lvl w:ilvl="1" w:tplc="0FDE0D42" w:tentative="1">
      <w:start w:val="1"/>
      <w:numFmt w:val="bullet"/>
      <w:lvlText w:val="o"/>
      <w:lvlJc w:val="left"/>
      <w:pPr>
        <w:ind w:left="1531" w:hanging="360"/>
      </w:pPr>
      <w:rPr>
        <w:rFonts w:ascii="Courier New" w:hAnsi="Courier New" w:hint="default"/>
      </w:rPr>
    </w:lvl>
    <w:lvl w:ilvl="2" w:tplc="FB020A16" w:tentative="1">
      <w:start w:val="1"/>
      <w:numFmt w:val="bullet"/>
      <w:lvlText w:val=""/>
      <w:lvlJc w:val="left"/>
      <w:pPr>
        <w:ind w:left="2251" w:hanging="360"/>
      </w:pPr>
      <w:rPr>
        <w:rFonts w:ascii="Wingdings" w:hAnsi="Wingdings" w:hint="default"/>
      </w:rPr>
    </w:lvl>
    <w:lvl w:ilvl="3" w:tplc="4F76F38A" w:tentative="1">
      <w:start w:val="1"/>
      <w:numFmt w:val="bullet"/>
      <w:lvlText w:val=""/>
      <w:lvlJc w:val="left"/>
      <w:pPr>
        <w:ind w:left="2971" w:hanging="360"/>
      </w:pPr>
      <w:rPr>
        <w:rFonts w:ascii="Symbol" w:hAnsi="Symbol" w:hint="default"/>
      </w:rPr>
    </w:lvl>
    <w:lvl w:ilvl="4" w:tplc="A25C330C" w:tentative="1">
      <w:start w:val="1"/>
      <w:numFmt w:val="bullet"/>
      <w:lvlText w:val="o"/>
      <w:lvlJc w:val="left"/>
      <w:pPr>
        <w:ind w:left="3691" w:hanging="360"/>
      </w:pPr>
      <w:rPr>
        <w:rFonts w:ascii="Courier New" w:hAnsi="Courier New" w:hint="default"/>
      </w:rPr>
    </w:lvl>
    <w:lvl w:ilvl="5" w:tplc="A60CA032" w:tentative="1">
      <w:start w:val="1"/>
      <w:numFmt w:val="bullet"/>
      <w:lvlText w:val=""/>
      <w:lvlJc w:val="left"/>
      <w:pPr>
        <w:ind w:left="4411" w:hanging="360"/>
      </w:pPr>
      <w:rPr>
        <w:rFonts w:ascii="Wingdings" w:hAnsi="Wingdings" w:hint="default"/>
      </w:rPr>
    </w:lvl>
    <w:lvl w:ilvl="6" w:tplc="3640B06C" w:tentative="1">
      <w:start w:val="1"/>
      <w:numFmt w:val="bullet"/>
      <w:lvlText w:val=""/>
      <w:lvlJc w:val="left"/>
      <w:pPr>
        <w:ind w:left="5131" w:hanging="360"/>
      </w:pPr>
      <w:rPr>
        <w:rFonts w:ascii="Symbol" w:hAnsi="Symbol" w:hint="default"/>
      </w:rPr>
    </w:lvl>
    <w:lvl w:ilvl="7" w:tplc="B5484220" w:tentative="1">
      <w:start w:val="1"/>
      <w:numFmt w:val="bullet"/>
      <w:lvlText w:val="o"/>
      <w:lvlJc w:val="left"/>
      <w:pPr>
        <w:ind w:left="5851" w:hanging="360"/>
      </w:pPr>
      <w:rPr>
        <w:rFonts w:ascii="Courier New" w:hAnsi="Courier New" w:hint="default"/>
      </w:rPr>
    </w:lvl>
    <w:lvl w:ilvl="8" w:tplc="5336B614" w:tentative="1">
      <w:start w:val="1"/>
      <w:numFmt w:val="bullet"/>
      <w:lvlText w:val=""/>
      <w:lvlJc w:val="left"/>
      <w:pPr>
        <w:ind w:left="6571" w:hanging="360"/>
      </w:pPr>
      <w:rPr>
        <w:rFonts w:ascii="Wingdings" w:hAnsi="Wingdings" w:hint="default"/>
      </w:rPr>
    </w:lvl>
  </w:abstractNum>
  <w:abstractNum w:abstractNumId="45" w15:restartNumberingAfterBreak="0">
    <w:nsid w:val="789419E4"/>
    <w:multiLevelType w:val="hybridMultilevel"/>
    <w:tmpl w:val="488C8CCE"/>
    <w:lvl w:ilvl="0" w:tplc="08090005">
      <w:start w:val="1"/>
      <w:numFmt w:val="bullet"/>
      <w:lvlText w:val=""/>
      <w:lvlJc w:val="left"/>
      <w:pPr>
        <w:ind w:left="720" w:hanging="360"/>
      </w:pPr>
      <w:rPr>
        <w:rFonts w:ascii="Wingdings" w:hAnsi="Wingdings" w:hint="default"/>
      </w:rPr>
    </w:lvl>
    <w:lvl w:ilvl="1" w:tplc="BC50BB52" w:tentative="1">
      <w:start w:val="1"/>
      <w:numFmt w:val="bullet"/>
      <w:lvlText w:val="o"/>
      <w:lvlJc w:val="left"/>
      <w:pPr>
        <w:ind w:left="1440" w:hanging="360"/>
      </w:pPr>
      <w:rPr>
        <w:rFonts w:ascii="Courier New" w:hAnsi="Courier New" w:hint="default"/>
      </w:rPr>
    </w:lvl>
    <w:lvl w:ilvl="2" w:tplc="AA5E803E" w:tentative="1">
      <w:start w:val="1"/>
      <w:numFmt w:val="bullet"/>
      <w:lvlText w:val=""/>
      <w:lvlJc w:val="left"/>
      <w:pPr>
        <w:ind w:left="2160" w:hanging="360"/>
      </w:pPr>
      <w:rPr>
        <w:rFonts w:ascii="Wingdings" w:hAnsi="Wingdings" w:hint="default"/>
      </w:rPr>
    </w:lvl>
    <w:lvl w:ilvl="3" w:tplc="2A86C9F8" w:tentative="1">
      <w:start w:val="1"/>
      <w:numFmt w:val="bullet"/>
      <w:lvlText w:val=""/>
      <w:lvlJc w:val="left"/>
      <w:pPr>
        <w:ind w:left="2880" w:hanging="360"/>
      </w:pPr>
      <w:rPr>
        <w:rFonts w:ascii="Symbol" w:hAnsi="Symbol" w:hint="default"/>
      </w:rPr>
    </w:lvl>
    <w:lvl w:ilvl="4" w:tplc="AFE098CE" w:tentative="1">
      <w:start w:val="1"/>
      <w:numFmt w:val="bullet"/>
      <w:lvlText w:val="o"/>
      <w:lvlJc w:val="left"/>
      <w:pPr>
        <w:ind w:left="3600" w:hanging="360"/>
      </w:pPr>
      <w:rPr>
        <w:rFonts w:ascii="Courier New" w:hAnsi="Courier New" w:hint="default"/>
      </w:rPr>
    </w:lvl>
    <w:lvl w:ilvl="5" w:tplc="B9FC6B92" w:tentative="1">
      <w:start w:val="1"/>
      <w:numFmt w:val="bullet"/>
      <w:lvlText w:val=""/>
      <w:lvlJc w:val="left"/>
      <w:pPr>
        <w:ind w:left="4320" w:hanging="360"/>
      </w:pPr>
      <w:rPr>
        <w:rFonts w:ascii="Wingdings" w:hAnsi="Wingdings" w:hint="default"/>
      </w:rPr>
    </w:lvl>
    <w:lvl w:ilvl="6" w:tplc="20500AFC" w:tentative="1">
      <w:start w:val="1"/>
      <w:numFmt w:val="bullet"/>
      <w:lvlText w:val=""/>
      <w:lvlJc w:val="left"/>
      <w:pPr>
        <w:ind w:left="5040" w:hanging="360"/>
      </w:pPr>
      <w:rPr>
        <w:rFonts w:ascii="Symbol" w:hAnsi="Symbol" w:hint="default"/>
      </w:rPr>
    </w:lvl>
    <w:lvl w:ilvl="7" w:tplc="E35487CC" w:tentative="1">
      <w:start w:val="1"/>
      <w:numFmt w:val="bullet"/>
      <w:lvlText w:val="o"/>
      <w:lvlJc w:val="left"/>
      <w:pPr>
        <w:ind w:left="5760" w:hanging="360"/>
      </w:pPr>
      <w:rPr>
        <w:rFonts w:ascii="Courier New" w:hAnsi="Courier New" w:hint="default"/>
      </w:rPr>
    </w:lvl>
    <w:lvl w:ilvl="8" w:tplc="38A2F71A" w:tentative="1">
      <w:start w:val="1"/>
      <w:numFmt w:val="bullet"/>
      <w:lvlText w:val=""/>
      <w:lvlJc w:val="left"/>
      <w:pPr>
        <w:ind w:left="6480" w:hanging="360"/>
      </w:pPr>
      <w:rPr>
        <w:rFonts w:ascii="Wingdings" w:hAnsi="Wingdings" w:hint="default"/>
      </w:rPr>
    </w:lvl>
  </w:abstractNum>
  <w:abstractNum w:abstractNumId="46" w15:restartNumberingAfterBreak="0">
    <w:nsid w:val="7AC51ACF"/>
    <w:multiLevelType w:val="hybridMultilevel"/>
    <w:tmpl w:val="3AE6005C"/>
    <w:lvl w:ilvl="0" w:tplc="0232A366">
      <w:start w:val="1"/>
      <w:numFmt w:val="bullet"/>
      <w:lvlText w:val=""/>
      <w:lvlJc w:val="left"/>
      <w:pPr>
        <w:ind w:left="720" w:hanging="360"/>
      </w:pPr>
      <w:rPr>
        <w:rFonts w:ascii="Symbol" w:hAnsi="Symbol" w:hint="default"/>
      </w:rPr>
    </w:lvl>
    <w:lvl w:ilvl="1" w:tplc="32880A10" w:tentative="1">
      <w:start w:val="1"/>
      <w:numFmt w:val="bullet"/>
      <w:lvlText w:val="o"/>
      <w:lvlJc w:val="left"/>
      <w:pPr>
        <w:ind w:left="1440" w:hanging="360"/>
      </w:pPr>
      <w:rPr>
        <w:rFonts w:ascii="Courier New" w:hAnsi="Courier New" w:hint="default"/>
      </w:rPr>
    </w:lvl>
    <w:lvl w:ilvl="2" w:tplc="8542B324" w:tentative="1">
      <w:start w:val="1"/>
      <w:numFmt w:val="bullet"/>
      <w:lvlText w:val=""/>
      <w:lvlJc w:val="left"/>
      <w:pPr>
        <w:ind w:left="2160" w:hanging="360"/>
      </w:pPr>
      <w:rPr>
        <w:rFonts w:ascii="Wingdings" w:hAnsi="Wingdings" w:hint="default"/>
      </w:rPr>
    </w:lvl>
    <w:lvl w:ilvl="3" w:tplc="F4D645CC" w:tentative="1">
      <w:start w:val="1"/>
      <w:numFmt w:val="bullet"/>
      <w:lvlText w:val=""/>
      <w:lvlJc w:val="left"/>
      <w:pPr>
        <w:ind w:left="2880" w:hanging="360"/>
      </w:pPr>
      <w:rPr>
        <w:rFonts w:ascii="Symbol" w:hAnsi="Symbol" w:hint="default"/>
      </w:rPr>
    </w:lvl>
    <w:lvl w:ilvl="4" w:tplc="34085D1E" w:tentative="1">
      <w:start w:val="1"/>
      <w:numFmt w:val="bullet"/>
      <w:lvlText w:val="o"/>
      <w:lvlJc w:val="left"/>
      <w:pPr>
        <w:ind w:left="3600" w:hanging="360"/>
      </w:pPr>
      <w:rPr>
        <w:rFonts w:ascii="Courier New" w:hAnsi="Courier New" w:hint="default"/>
      </w:rPr>
    </w:lvl>
    <w:lvl w:ilvl="5" w:tplc="BBBEF23E" w:tentative="1">
      <w:start w:val="1"/>
      <w:numFmt w:val="bullet"/>
      <w:lvlText w:val=""/>
      <w:lvlJc w:val="left"/>
      <w:pPr>
        <w:ind w:left="4320" w:hanging="360"/>
      </w:pPr>
      <w:rPr>
        <w:rFonts w:ascii="Wingdings" w:hAnsi="Wingdings" w:hint="default"/>
      </w:rPr>
    </w:lvl>
    <w:lvl w:ilvl="6" w:tplc="C51C6580" w:tentative="1">
      <w:start w:val="1"/>
      <w:numFmt w:val="bullet"/>
      <w:lvlText w:val=""/>
      <w:lvlJc w:val="left"/>
      <w:pPr>
        <w:ind w:left="5040" w:hanging="360"/>
      </w:pPr>
      <w:rPr>
        <w:rFonts w:ascii="Symbol" w:hAnsi="Symbol" w:hint="default"/>
      </w:rPr>
    </w:lvl>
    <w:lvl w:ilvl="7" w:tplc="382EB5B2" w:tentative="1">
      <w:start w:val="1"/>
      <w:numFmt w:val="bullet"/>
      <w:lvlText w:val="o"/>
      <w:lvlJc w:val="left"/>
      <w:pPr>
        <w:ind w:left="5760" w:hanging="360"/>
      </w:pPr>
      <w:rPr>
        <w:rFonts w:ascii="Courier New" w:hAnsi="Courier New" w:hint="default"/>
      </w:rPr>
    </w:lvl>
    <w:lvl w:ilvl="8" w:tplc="DB9C7AFA" w:tentative="1">
      <w:start w:val="1"/>
      <w:numFmt w:val="bullet"/>
      <w:lvlText w:val=""/>
      <w:lvlJc w:val="left"/>
      <w:pPr>
        <w:ind w:left="6480" w:hanging="360"/>
      </w:pPr>
      <w:rPr>
        <w:rFonts w:ascii="Wingdings" w:hAnsi="Wingdings" w:hint="default"/>
      </w:rPr>
    </w:lvl>
  </w:abstractNum>
  <w:abstractNum w:abstractNumId="47" w15:restartNumberingAfterBreak="0">
    <w:nsid w:val="7C2D0399"/>
    <w:multiLevelType w:val="hybridMultilevel"/>
    <w:tmpl w:val="46A46548"/>
    <w:lvl w:ilvl="0" w:tplc="08090005">
      <w:start w:val="1"/>
      <w:numFmt w:val="bullet"/>
      <w:lvlText w:val=""/>
      <w:lvlJc w:val="left"/>
      <w:pPr>
        <w:ind w:left="720" w:hanging="360"/>
      </w:pPr>
      <w:rPr>
        <w:rFonts w:ascii="Wingdings" w:hAnsi="Wingdings" w:hint="default"/>
      </w:rPr>
    </w:lvl>
    <w:lvl w:ilvl="1" w:tplc="D938C814">
      <w:start w:val="1"/>
      <w:numFmt w:val="bullet"/>
      <w:lvlText w:val="o"/>
      <w:lvlJc w:val="left"/>
      <w:pPr>
        <w:ind w:left="1440" w:hanging="360"/>
      </w:pPr>
      <w:rPr>
        <w:rFonts w:ascii="Courier New" w:hAnsi="Courier New" w:hint="default"/>
      </w:rPr>
    </w:lvl>
    <w:lvl w:ilvl="2" w:tplc="51C67B58">
      <w:start w:val="1"/>
      <w:numFmt w:val="bullet"/>
      <w:lvlText w:val=""/>
      <w:lvlJc w:val="left"/>
      <w:pPr>
        <w:ind w:left="2160" w:hanging="360"/>
      </w:pPr>
      <w:rPr>
        <w:rFonts w:ascii="Wingdings" w:hAnsi="Wingdings" w:hint="default"/>
      </w:rPr>
    </w:lvl>
    <w:lvl w:ilvl="3" w:tplc="515A48F0">
      <w:start w:val="1"/>
      <w:numFmt w:val="bullet"/>
      <w:lvlText w:val=""/>
      <w:lvlJc w:val="left"/>
      <w:pPr>
        <w:ind w:left="2880" w:hanging="360"/>
      </w:pPr>
      <w:rPr>
        <w:rFonts w:ascii="Symbol" w:hAnsi="Symbol" w:hint="default"/>
      </w:rPr>
    </w:lvl>
    <w:lvl w:ilvl="4" w:tplc="AE14D6B2">
      <w:start w:val="1"/>
      <w:numFmt w:val="bullet"/>
      <w:lvlText w:val="o"/>
      <w:lvlJc w:val="left"/>
      <w:pPr>
        <w:ind w:left="3600" w:hanging="360"/>
      </w:pPr>
      <w:rPr>
        <w:rFonts w:ascii="Courier New" w:hAnsi="Courier New" w:hint="default"/>
      </w:rPr>
    </w:lvl>
    <w:lvl w:ilvl="5" w:tplc="018EF486">
      <w:start w:val="1"/>
      <w:numFmt w:val="bullet"/>
      <w:lvlText w:val=""/>
      <w:lvlJc w:val="left"/>
      <w:pPr>
        <w:ind w:left="4320" w:hanging="360"/>
      </w:pPr>
      <w:rPr>
        <w:rFonts w:ascii="Wingdings" w:hAnsi="Wingdings" w:hint="default"/>
      </w:rPr>
    </w:lvl>
    <w:lvl w:ilvl="6" w:tplc="5C2C632A">
      <w:start w:val="1"/>
      <w:numFmt w:val="bullet"/>
      <w:lvlText w:val=""/>
      <w:lvlJc w:val="left"/>
      <w:pPr>
        <w:ind w:left="5040" w:hanging="360"/>
      </w:pPr>
      <w:rPr>
        <w:rFonts w:ascii="Symbol" w:hAnsi="Symbol" w:hint="default"/>
      </w:rPr>
    </w:lvl>
    <w:lvl w:ilvl="7" w:tplc="D62256DC">
      <w:start w:val="1"/>
      <w:numFmt w:val="bullet"/>
      <w:lvlText w:val="o"/>
      <w:lvlJc w:val="left"/>
      <w:pPr>
        <w:ind w:left="5760" w:hanging="360"/>
      </w:pPr>
      <w:rPr>
        <w:rFonts w:ascii="Courier New" w:hAnsi="Courier New" w:hint="default"/>
      </w:rPr>
    </w:lvl>
    <w:lvl w:ilvl="8" w:tplc="C77A4A06">
      <w:start w:val="1"/>
      <w:numFmt w:val="bullet"/>
      <w:lvlText w:val=""/>
      <w:lvlJc w:val="left"/>
      <w:pPr>
        <w:ind w:left="6480" w:hanging="360"/>
      </w:pPr>
      <w:rPr>
        <w:rFonts w:ascii="Wingdings" w:hAnsi="Wingdings" w:hint="default"/>
      </w:rPr>
    </w:lvl>
  </w:abstractNum>
  <w:abstractNum w:abstractNumId="48" w15:restartNumberingAfterBreak="0">
    <w:nsid w:val="7CD838B4"/>
    <w:multiLevelType w:val="hybridMultilevel"/>
    <w:tmpl w:val="FFFFFFFF"/>
    <w:lvl w:ilvl="0" w:tplc="A670C936">
      <w:start w:val="1"/>
      <w:numFmt w:val="bullet"/>
      <w:lvlText w:val="o"/>
      <w:lvlJc w:val="left"/>
      <w:pPr>
        <w:ind w:left="451" w:hanging="360"/>
      </w:pPr>
      <w:rPr>
        <w:rFonts w:ascii="Courier New" w:hAnsi="Courier New" w:hint="default"/>
      </w:rPr>
    </w:lvl>
    <w:lvl w:ilvl="1" w:tplc="B156A268">
      <w:start w:val="1"/>
      <w:numFmt w:val="bullet"/>
      <w:lvlText w:val="o"/>
      <w:lvlJc w:val="left"/>
      <w:pPr>
        <w:ind w:left="1171" w:hanging="360"/>
      </w:pPr>
      <w:rPr>
        <w:rFonts w:ascii="Courier New" w:hAnsi="Courier New" w:hint="default"/>
      </w:rPr>
    </w:lvl>
    <w:lvl w:ilvl="2" w:tplc="E7A89592">
      <w:start w:val="1"/>
      <w:numFmt w:val="bullet"/>
      <w:lvlText w:val=""/>
      <w:lvlJc w:val="left"/>
      <w:pPr>
        <w:ind w:left="1891" w:hanging="360"/>
      </w:pPr>
      <w:rPr>
        <w:rFonts w:ascii="Wingdings" w:hAnsi="Wingdings" w:hint="default"/>
      </w:rPr>
    </w:lvl>
    <w:lvl w:ilvl="3" w:tplc="6FDA762C">
      <w:start w:val="1"/>
      <w:numFmt w:val="bullet"/>
      <w:lvlText w:val=""/>
      <w:lvlJc w:val="left"/>
      <w:pPr>
        <w:ind w:left="2611" w:hanging="360"/>
      </w:pPr>
      <w:rPr>
        <w:rFonts w:ascii="Symbol" w:hAnsi="Symbol" w:hint="default"/>
      </w:rPr>
    </w:lvl>
    <w:lvl w:ilvl="4" w:tplc="D6EA5FC6">
      <w:start w:val="1"/>
      <w:numFmt w:val="bullet"/>
      <w:lvlText w:val="o"/>
      <w:lvlJc w:val="left"/>
      <w:pPr>
        <w:ind w:left="3331" w:hanging="360"/>
      </w:pPr>
      <w:rPr>
        <w:rFonts w:ascii="Courier New" w:hAnsi="Courier New" w:hint="default"/>
      </w:rPr>
    </w:lvl>
    <w:lvl w:ilvl="5" w:tplc="AB60EFF4">
      <w:start w:val="1"/>
      <w:numFmt w:val="bullet"/>
      <w:lvlText w:val=""/>
      <w:lvlJc w:val="left"/>
      <w:pPr>
        <w:ind w:left="4051" w:hanging="360"/>
      </w:pPr>
      <w:rPr>
        <w:rFonts w:ascii="Wingdings" w:hAnsi="Wingdings" w:hint="default"/>
      </w:rPr>
    </w:lvl>
    <w:lvl w:ilvl="6" w:tplc="0C2EBC64">
      <w:start w:val="1"/>
      <w:numFmt w:val="bullet"/>
      <w:lvlText w:val=""/>
      <w:lvlJc w:val="left"/>
      <w:pPr>
        <w:ind w:left="4771" w:hanging="360"/>
      </w:pPr>
      <w:rPr>
        <w:rFonts w:ascii="Symbol" w:hAnsi="Symbol" w:hint="default"/>
      </w:rPr>
    </w:lvl>
    <w:lvl w:ilvl="7" w:tplc="EB3E6218">
      <w:start w:val="1"/>
      <w:numFmt w:val="bullet"/>
      <w:lvlText w:val="o"/>
      <w:lvlJc w:val="left"/>
      <w:pPr>
        <w:ind w:left="5491" w:hanging="360"/>
      </w:pPr>
      <w:rPr>
        <w:rFonts w:ascii="Courier New" w:hAnsi="Courier New" w:hint="default"/>
      </w:rPr>
    </w:lvl>
    <w:lvl w:ilvl="8" w:tplc="AD1A3DD6">
      <w:start w:val="1"/>
      <w:numFmt w:val="bullet"/>
      <w:lvlText w:val=""/>
      <w:lvlJc w:val="left"/>
      <w:pPr>
        <w:ind w:left="6211" w:hanging="360"/>
      </w:pPr>
      <w:rPr>
        <w:rFonts w:ascii="Wingdings" w:hAnsi="Wingdings" w:hint="default"/>
      </w:rPr>
    </w:lvl>
  </w:abstractNum>
  <w:abstractNum w:abstractNumId="49" w15:restartNumberingAfterBreak="0">
    <w:nsid w:val="7FC44FED"/>
    <w:multiLevelType w:val="hybridMultilevel"/>
    <w:tmpl w:val="12885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18067">
    <w:abstractNumId w:val="36"/>
  </w:num>
  <w:num w:numId="2" w16cid:durableId="1406996515">
    <w:abstractNumId w:val="15"/>
  </w:num>
  <w:num w:numId="3" w16cid:durableId="798651803">
    <w:abstractNumId w:val="16"/>
  </w:num>
  <w:num w:numId="4" w16cid:durableId="124392521">
    <w:abstractNumId w:val="29"/>
  </w:num>
  <w:num w:numId="5" w16cid:durableId="1599481428">
    <w:abstractNumId w:val="13"/>
  </w:num>
  <w:num w:numId="6" w16cid:durableId="606934485">
    <w:abstractNumId w:val="34"/>
  </w:num>
  <w:num w:numId="7" w16cid:durableId="1073772299">
    <w:abstractNumId w:val="1"/>
  </w:num>
  <w:num w:numId="8" w16cid:durableId="878250256">
    <w:abstractNumId w:val="19"/>
  </w:num>
  <w:num w:numId="9" w16cid:durableId="1746225195">
    <w:abstractNumId w:val="37"/>
  </w:num>
  <w:num w:numId="10" w16cid:durableId="1631743017">
    <w:abstractNumId w:val="39"/>
  </w:num>
  <w:num w:numId="11" w16cid:durableId="1097866842">
    <w:abstractNumId w:val="12"/>
  </w:num>
  <w:num w:numId="12" w16cid:durableId="251398742">
    <w:abstractNumId w:val="35"/>
  </w:num>
  <w:num w:numId="13" w16cid:durableId="1148282685">
    <w:abstractNumId w:val="46"/>
  </w:num>
  <w:num w:numId="14" w16cid:durableId="1529561151">
    <w:abstractNumId w:val="10"/>
  </w:num>
  <w:num w:numId="15" w16cid:durableId="1719939372">
    <w:abstractNumId w:val="44"/>
  </w:num>
  <w:num w:numId="16" w16cid:durableId="276523753">
    <w:abstractNumId w:val="20"/>
  </w:num>
  <w:num w:numId="17" w16cid:durableId="1110319430">
    <w:abstractNumId w:val="25"/>
  </w:num>
  <w:num w:numId="18" w16cid:durableId="1073551412">
    <w:abstractNumId w:val="42"/>
  </w:num>
  <w:num w:numId="19" w16cid:durableId="1008365942">
    <w:abstractNumId w:val="0"/>
  </w:num>
  <w:num w:numId="20" w16cid:durableId="2046980358">
    <w:abstractNumId w:val="4"/>
  </w:num>
  <w:num w:numId="21" w16cid:durableId="1292129603">
    <w:abstractNumId w:val="21"/>
  </w:num>
  <w:num w:numId="22" w16cid:durableId="1009215001">
    <w:abstractNumId w:val="45"/>
  </w:num>
  <w:num w:numId="23" w16cid:durableId="638921530">
    <w:abstractNumId w:val="18"/>
  </w:num>
  <w:num w:numId="24" w16cid:durableId="385761025">
    <w:abstractNumId w:val="9"/>
  </w:num>
  <w:num w:numId="25" w16cid:durableId="1324620693">
    <w:abstractNumId w:val="8"/>
  </w:num>
  <w:num w:numId="26" w16cid:durableId="1193767052">
    <w:abstractNumId w:val="40"/>
  </w:num>
  <w:num w:numId="27" w16cid:durableId="2049524573">
    <w:abstractNumId w:val="33"/>
  </w:num>
  <w:num w:numId="28" w16cid:durableId="41708817">
    <w:abstractNumId w:val="17"/>
  </w:num>
  <w:num w:numId="29" w16cid:durableId="2113820064">
    <w:abstractNumId w:val="2"/>
  </w:num>
  <w:num w:numId="30" w16cid:durableId="528177126">
    <w:abstractNumId w:val="24"/>
  </w:num>
  <w:num w:numId="31" w16cid:durableId="1367487072">
    <w:abstractNumId w:val="3"/>
  </w:num>
  <w:num w:numId="32" w16cid:durableId="1391152006">
    <w:abstractNumId w:val="47"/>
  </w:num>
  <w:num w:numId="33" w16cid:durableId="475538053">
    <w:abstractNumId w:val="31"/>
  </w:num>
  <w:num w:numId="34" w16cid:durableId="136383993">
    <w:abstractNumId w:val="49"/>
  </w:num>
  <w:num w:numId="35" w16cid:durableId="1030254705">
    <w:abstractNumId w:val="7"/>
  </w:num>
  <w:num w:numId="36" w16cid:durableId="1844467003">
    <w:abstractNumId w:val="6"/>
  </w:num>
  <w:num w:numId="37" w16cid:durableId="1893539020">
    <w:abstractNumId w:val="26"/>
  </w:num>
  <w:num w:numId="38" w16cid:durableId="47799741">
    <w:abstractNumId w:val="48"/>
  </w:num>
  <w:num w:numId="39" w16cid:durableId="1636909763">
    <w:abstractNumId w:val="11"/>
  </w:num>
  <w:num w:numId="40" w16cid:durableId="1883975341">
    <w:abstractNumId w:val="32"/>
  </w:num>
  <w:num w:numId="41" w16cid:durableId="1791624824">
    <w:abstractNumId w:val="28"/>
  </w:num>
  <w:num w:numId="42" w16cid:durableId="1539901433">
    <w:abstractNumId w:val="22"/>
  </w:num>
  <w:num w:numId="43" w16cid:durableId="153911176">
    <w:abstractNumId w:val="43"/>
  </w:num>
  <w:num w:numId="44" w16cid:durableId="1634558168">
    <w:abstractNumId w:val="41"/>
  </w:num>
  <w:num w:numId="45" w16cid:durableId="449007806">
    <w:abstractNumId w:val="23"/>
  </w:num>
  <w:num w:numId="46" w16cid:durableId="1040129153">
    <w:abstractNumId w:val="27"/>
  </w:num>
  <w:num w:numId="47" w16cid:durableId="636573799">
    <w:abstractNumId w:val="14"/>
  </w:num>
  <w:num w:numId="48" w16cid:durableId="1008169268">
    <w:abstractNumId w:val="30"/>
  </w:num>
  <w:num w:numId="49" w16cid:durableId="1884752916">
    <w:abstractNumId w:val="5"/>
  </w:num>
  <w:num w:numId="50" w16cid:durableId="41486706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A94"/>
    <w:rsid w:val="00010827"/>
    <w:rsid w:val="00015089"/>
    <w:rsid w:val="0002520B"/>
    <w:rsid w:val="00025E6B"/>
    <w:rsid w:val="00036CC8"/>
    <w:rsid w:val="00037A9E"/>
    <w:rsid w:val="00037F91"/>
    <w:rsid w:val="00043727"/>
    <w:rsid w:val="000539F1"/>
    <w:rsid w:val="00054747"/>
    <w:rsid w:val="00055A2A"/>
    <w:rsid w:val="000615C1"/>
    <w:rsid w:val="00061675"/>
    <w:rsid w:val="00063775"/>
    <w:rsid w:val="0006527F"/>
    <w:rsid w:val="000743AA"/>
    <w:rsid w:val="00076E74"/>
    <w:rsid w:val="00083502"/>
    <w:rsid w:val="0009076F"/>
    <w:rsid w:val="0009225C"/>
    <w:rsid w:val="000A17C4"/>
    <w:rsid w:val="000A36A4"/>
    <w:rsid w:val="000B1D29"/>
    <w:rsid w:val="000B2352"/>
    <w:rsid w:val="000B7F0F"/>
    <w:rsid w:val="000C49B1"/>
    <w:rsid w:val="000C7B84"/>
    <w:rsid w:val="000D261B"/>
    <w:rsid w:val="000D58A3"/>
    <w:rsid w:val="000E3ED4"/>
    <w:rsid w:val="000E3F9C"/>
    <w:rsid w:val="000E4B62"/>
    <w:rsid w:val="000F1550"/>
    <w:rsid w:val="000F251B"/>
    <w:rsid w:val="000F5FE8"/>
    <w:rsid w:val="000F6644"/>
    <w:rsid w:val="00100833"/>
    <w:rsid w:val="00102F72"/>
    <w:rsid w:val="00106B0D"/>
    <w:rsid w:val="00107E85"/>
    <w:rsid w:val="00112A2E"/>
    <w:rsid w:val="00113EE8"/>
    <w:rsid w:val="0011455A"/>
    <w:rsid w:val="00114A65"/>
    <w:rsid w:val="00126EBF"/>
    <w:rsid w:val="00131817"/>
    <w:rsid w:val="00133061"/>
    <w:rsid w:val="00141699"/>
    <w:rsid w:val="00145586"/>
    <w:rsid w:val="00147000"/>
    <w:rsid w:val="00152E97"/>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1E98"/>
    <w:rsid w:val="001C3444"/>
    <w:rsid w:val="001C3702"/>
    <w:rsid w:val="001C3730"/>
    <w:rsid w:val="001C4656"/>
    <w:rsid w:val="001C46BC"/>
    <w:rsid w:val="001D1E06"/>
    <w:rsid w:val="001E1080"/>
    <w:rsid w:val="001F23E6"/>
    <w:rsid w:val="001F4238"/>
    <w:rsid w:val="001F61C3"/>
    <w:rsid w:val="00200A38"/>
    <w:rsid w:val="00200A46"/>
    <w:rsid w:val="0021193B"/>
    <w:rsid w:val="00211B6F"/>
    <w:rsid w:val="002139FC"/>
    <w:rsid w:val="00217CC3"/>
    <w:rsid w:val="00220AA2"/>
    <w:rsid w:val="00220AB6"/>
    <w:rsid w:val="0022120F"/>
    <w:rsid w:val="0022754A"/>
    <w:rsid w:val="00227DC1"/>
    <w:rsid w:val="00234BB7"/>
    <w:rsid w:val="00236560"/>
    <w:rsid w:val="0023662E"/>
    <w:rsid w:val="00245D0F"/>
    <w:rsid w:val="002548C3"/>
    <w:rsid w:val="00257ACD"/>
    <w:rsid w:val="00262908"/>
    <w:rsid w:val="002650F4"/>
    <w:rsid w:val="002706CF"/>
    <w:rsid w:val="002707B1"/>
    <w:rsid w:val="002715FD"/>
    <w:rsid w:val="002770B1"/>
    <w:rsid w:val="00281F03"/>
    <w:rsid w:val="00283F1B"/>
    <w:rsid w:val="0028530E"/>
    <w:rsid w:val="00285B33"/>
    <w:rsid w:val="00287A3C"/>
    <w:rsid w:val="002906DD"/>
    <w:rsid w:val="002A2FC6"/>
    <w:rsid w:val="002A6510"/>
    <w:rsid w:val="002C1EC7"/>
    <w:rsid w:val="002C3015"/>
    <w:rsid w:val="002C4342"/>
    <w:rsid w:val="002C7EA3"/>
    <w:rsid w:val="002D20AE"/>
    <w:rsid w:val="002D6C61"/>
    <w:rsid w:val="002E2104"/>
    <w:rsid w:val="002E2DAC"/>
    <w:rsid w:val="002E4FD0"/>
    <w:rsid w:val="002E6963"/>
    <w:rsid w:val="002E6F8F"/>
    <w:rsid w:val="002F05D8"/>
    <w:rsid w:val="002F2DE0"/>
    <w:rsid w:val="002F5AC1"/>
    <w:rsid w:val="002F5E25"/>
    <w:rsid w:val="0030353C"/>
    <w:rsid w:val="00307769"/>
    <w:rsid w:val="003125C3"/>
    <w:rsid w:val="00312AE6"/>
    <w:rsid w:val="00317D1A"/>
    <w:rsid w:val="003211FF"/>
    <w:rsid w:val="003242AB"/>
    <w:rsid w:val="00327247"/>
    <w:rsid w:val="00327A9D"/>
    <w:rsid w:val="0033130E"/>
    <w:rsid w:val="0033269C"/>
    <w:rsid w:val="00341DA6"/>
    <w:rsid w:val="00350B74"/>
    <w:rsid w:val="00351C79"/>
    <w:rsid w:val="0035516C"/>
    <w:rsid w:val="00355A4C"/>
    <w:rsid w:val="003604FB"/>
    <w:rsid w:val="003609C9"/>
    <w:rsid w:val="00360B73"/>
    <w:rsid w:val="00380B71"/>
    <w:rsid w:val="00382D54"/>
    <w:rsid w:val="0038365A"/>
    <w:rsid w:val="00386A89"/>
    <w:rsid w:val="00391AFE"/>
    <w:rsid w:val="0039648E"/>
    <w:rsid w:val="003A5AFE"/>
    <w:rsid w:val="003A5C3C"/>
    <w:rsid w:val="003A5D5F"/>
    <w:rsid w:val="003A7FFE"/>
    <w:rsid w:val="003B0A63"/>
    <w:rsid w:val="003B2D11"/>
    <w:rsid w:val="003B50E1"/>
    <w:rsid w:val="003C1746"/>
    <w:rsid w:val="003C2AA9"/>
    <w:rsid w:val="003C4DD2"/>
    <w:rsid w:val="003C58BF"/>
    <w:rsid w:val="003C6C09"/>
    <w:rsid w:val="003C6E0F"/>
    <w:rsid w:val="003D451D"/>
    <w:rsid w:val="003D4D6B"/>
    <w:rsid w:val="003F0C8D"/>
    <w:rsid w:val="003F2DD8"/>
    <w:rsid w:val="003F3F2D"/>
    <w:rsid w:val="003F50B2"/>
    <w:rsid w:val="00400CCF"/>
    <w:rsid w:val="004010E2"/>
    <w:rsid w:val="00401BFF"/>
    <w:rsid w:val="00404424"/>
    <w:rsid w:val="004053CD"/>
    <w:rsid w:val="0041156B"/>
    <w:rsid w:val="004122C5"/>
    <w:rsid w:val="00413B78"/>
    <w:rsid w:val="004164BF"/>
    <w:rsid w:val="00416DDE"/>
    <w:rsid w:val="00424672"/>
    <w:rsid w:val="004265A8"/>
    <w:rsid w:val="00427D53"/>
    <w:rsid w:val="004321F9"/>
    <w:rsid w:val="00437AB2"/>
    <w:rsid w:val="0044411E"/>
    <w:rsid w:val="00447AAE"/>
    <w:rsid w:val="00450B37"/>
    <w:rsid w:val="00453435"/>
    <w:rsid w:val="00460089"/>
    <w:rsid w:val="004629FC"/>
    <w:rsid w:val="00466398"/>
    <w:rsid w:val="0046761E"/>
    <w:rsid w:val="004711CF"/>
    <w:rsid w:val="0047306D"/>
    <w:rsid w:val="00473791"/>
    <w:rsid w:val="00474D98"/>
    <w:rsid w:val="00476E48"/>
    <w:rsid w:val="00481DE9"/>
    <w:rsid w:val="00485662"/>
    <w:rsid w:val="0049128B"/>
    <w:rsid w:val="00493B49"/>
    <w:rsid w:val="00495501"/>
    <w:rsid w:val="004A070A"/>
    <w:rsid w:val="004A320E"/>
    <w:rsid w:val="004A4E9C"/>
    <w:rsid w:val="004B1A3C"/>
    <w:rsid w:val="004B2E44"/>
    <w:rsid w:val="004B6F0B"/>
    <w:rsid w:val="004C34D9"/>
    <w:rsid w:val="004C3ECC"/>
    <w:rsid w:val="004C468D"/>
    <w:rsid w:val="004C5054"/>
    <w:rsid w:val="004D2CC3"/>
    <w:rsid w:val="004D35CB"/>
    <w:rsid w:val="004D7DAB"/>
    <w:rsid w:val="004E0ABE"/>
    <w:rsid w:val="004E20E5"/>
    <w:rsid w:val="004E64EA"/>
    <w:rsid w:val="004E7828"/>
    <w:rsid w:val="004F1716"/>
    <w:rsid w:val="004F46AA"/>
    <w:rsid w:val="004F6A70"/>
    <w:rsid w:val="00500AD7"/>
    <w:rsid w:val="00502ABF"/>
    <w:rsid w:val="00504DB0"/>
    <w:rsid w:val="00507C35"/>
    <w:rsid w:val="00510735"/>
    <w:rsid w:val="0051341D"/>
    <w:rsid w:val="00514D2F"/>
    <w:rsid w:val="00541986"/>
    <w:rsid w:val="0054420E"/>
    <w:rsid w:val="00544D1B"/>
    <w:rsid w:val="00545DC0"/>
    <w:rsid w:val="00545F6C"/>
    <w:rsid w:val="005477D9"/>
    <w:rsid w:val="0055720C"/>
    <w:rsid w:val="0055791D"/>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059"/>
    <w:rsid w:val="005A33B0"/>
    <w:rsid w:val="005B5272"/>
    <w:rsid w:val="005C2D0E"/>
    <w:rsid w:val="005C2DC2"/>
    <w:rsid w:val="005C304A"/>
    <w:rsid w:val="005C3D69"/>
    <w:rsid w:val="005C7C98"/>
    <w:rsid w:val="005D057F"/>
    <w:rsid w:val="005D2C3A"/>
    <w:rsid w:val="005D55A4"/>
    <w:rsid w:val="005D57C8"/>
    <w:rsid w:val="005D7761"/>
    <w:rsid w:val="005E0278"/>
    <w:rsid w:val="005E090D"/>
    <w:rsid w:val="005E3CA0"/>
    <w:rsid w:val="005E44B1"/>
    <w:rsid w:val="005E67B0"/>
    <w:rsid w:val="005E67B2"/>
    <w:rsid w:val="005E7047"/>
    <w:rsid w:val="005E777F"/>
    <w:rsid w:val="005F1CA7"/>
    <w:rsid w:val="005F25A9"/>
    <w:rsid w:val="005F43DD"/>
    <w:rsid w:val="005F4E06"/>
    <w:rsid w:val="005F51A9"/>
    <w:rsid w:val="005F59EC"/>
    <w:rsid w:val="005F6BE1"/>
    <w:rsid w:val="005F7416"/>
    <w:rsid w:val="00600C11"/>
    <w:rsid w:val="00606B89"/>
    <w:rsid w:val="0061116D"/>
    <w:rsid w:val="00611EAF"/>
    <w:rsid w:val="00616830"/>
    <w:rsid w:val="00617560"/>
    <w:rsid w:val="00623F30"/>
    <w:rsid w:val="00625FB8"/>
    <w:rsid w:val="006261BD"/>
    <w:rsid w:val="0062766C"/>
    <w:rsid w:val="00635EDB"/>
    <w:rsid w:val="0064734E"/>
    <w:rsid w:val="00650137"/>
    <w:rsid w:val="006509D7"/>
    <w:rsid w:val="00651CE8"/>
    <w:rsid w:val="0065521B"/>
    <w:rsid w:val="006553E8"/>
    <w:rsid w:val="0066406B"/>
    <w:rsid w:val="0067016A"/>
    <w:rsid w:val="00671EF6"/>
    <w:rsid w:val="0067205B"/>
    <w:rsid w:val="006748F8"/>
    <w:rsid w:val="00674F41"/>
    <w:rsid w:val="00675BFB"/>
    <w:rsid w:val="00680489"/>
    <w:rsid w:val="00683C32"/>
    <w:rsid w:val="00690BB2"/>
    <w:rsid w:val="00693D09"/>
    <w:rsid w:val="006A02DF"/>
    <w:rsid w:val="006A6549"/>
    <w:rsid w:val="006A7710"/>
    <w:rsid w:val="006A7A61"/>
    <w:rsid w:val="006B1E59"/>
    <w:rsid w:val="006B2FFB"/>
    <w:rsid w:val="006B5AA9"/>
    <w:rsid w:val="006C10A2"/>
    <w:rsid w:val="006C1F18"/>
    <w:rsid w:val="006D1283"/>
    <w:rsid w:val="006D1DD3"/>
    <w:rsid w:val="006D40D5"/>
    <w:rsid w:val="006E0892"/>
    <w:rsid w:val="006E4551"/>
    <w:rsid w:val="006E78CC"/>
    <w:rsid w:val="006F009A"/>
    <w:rsid w:val="006F1183"/>
    <w:rsid w:val="006F3D93"/>
    <w:rsid w:val="0070149F"/>
    <w:rsid w:val="007019B1"/>
    <w:rsid w:val="00721657"/>
    <w:rsid w:val="007279A8"/>
    <w:rsid w:val="00727B1A"/>
    <w:rsid w:val="00732CB0"/>
    <w:rsid w:val="0073435C"/>
    <w:rsid w:val="00736B66"/>
    <w:rsid w:val="00741337"/>
    <w:rsid w:val="00750580"/>
    <w:rsid w:val="00752258"/>
    <w:rsid w:val="007529E1"/>
    <w:rsid w:val="00762880"/>
    <w:rsid w:val="00762AD6"/>
    <w:rsid w:val="00762E02"/>
    <w:rsid w:val="00772290"/>
    <w:rsid w:val="00776A3D"/>
    <w:rsid w:val="00777265"/>
    <w:rsid w:val="007805E7"/>
    <w:rsid w:val="0078222A"/>
    <w:rsid w:val="00787D48"/>
    <w:rsid w:val="00795294"/>
    <w:rsid w:val="007966C4"/>
    <w:rsid w:val="007A40D1"/>
    <w:rsid w:val="007A4E50"/>
    <w:rsid w:val="007A6B7B"/>
    <w:rsid w:val="007B18A7"/>
    <w:rsid w:val="007B250E"/>
    <w:rsid w:val="007B4C11"/>
    <w:rsid w:val="007B632B"/>
    <w:rsid w:val="007C00A6"/>
    <w:rsid w:val="007C27FC"/>
    <w:rsid w:val="007C3AE1"/>
    <w:rsid w:val="007C51FF"/>
    <w:rsid w:val="007C654B"/>
    <w:rsid w:val="007C7776"/>
    <w:rsid w:val="007D50E4"/>
    <w:rsid w:val="007E2DC5"/>
    <w:rsid w:val="007F1CC7"/>
    <w:rsid w:val="007F7F0C"/>
    <w:rsid w:val="008027AC"/>
    <w:rsid w:val="008028CE"/>
    <w:rsid w:val="0080332E"/>
    <w:rsid w:val="008141E0"/>
    <w:rsid w:val="00816EE1"/>
    <w:rsid w:val="00816F88"/>
    <w:rsid w:val="00821996"/>
    <w:rsid w:val="00822323"/>
    <w:rsid w:val="00827BC6"/>
    <w:rsid w:val="008300AD"/>
    <w:rsid w:val="00833024"/>
    <w:rsid w:val="00834274"/>
    <w:rsid w:val="00836C5A"/>
    <w:rsid w:val="008419B1"/>
    <w:rsid w:val="00842E57"/>
    <w:rsid w:val="00844A56"/>
    <w:rsid w:val="00845B11"/>
    <w:rsid w:val="00852081"/>
    <w:rsid w:val="00855F47"/>
    <w:rsid w:val="00860D32"/>
    <w:rsid w:val="00872B6E"/>
    <w:rsid w:val="00874DFD"/>
    <w:rsid w:val="008802F9"/>
    <w:rsid w:val="00883086"/>
    <w:rsid w:val="008879FD"/>
    <w:rsid w:val="00894C37"/>
    <w:rsid w:val="008A00EA"/>
    <w:rsid w:val="008A3F93"/>
    <w:rsid w:val="008A6236"/>
    <w:rsid w:val="008A6E1C"/>
    <w:rsid w:val="008A72FD"/>
    <w:rsid w:val="008B2EDF"/>
    <w:rsid w:val="008B47C7"/>
    <w:rsid w:val="008B4FB2"/>
    <w:rsid w:val="008B54CB"/>
    <w:rsid w:val="008B5A3D"/>
    <w:rsid w:val="008C1360"/>
    <w:rsid w:val="008C4010"/>
    <w:rsid w:val="008C47AB"/>
    <w:rsid w:val="008C4FDF"/>
    <w:rsid w:val="008C6B1F"/>
    <w:rsid w:val="008D5E4F"/>
    <w:rsid w:val="008E2F46"/>
    <w:rsid w:val="008E34F0"/>
    <w:rsid w:val="008F025E"/>
    <w:rsid w:val="008F14F5"/>
    <w:rsid w:val="008F3B07"/>
    <w:rsid w:val="008F71C1"/>
    <w:rsid w:val="00902D41"/>
    <w:rsid w:val="00902F49"/>
    <w:rsid w:val="00904230"/>
    <w:rsid w:val="00914004"/>
    <w:rsid w:val="00920F43"/>
    <w:rsid w:val="00922EC1"/>
    <w:rsid w:val="00923CF1"/>
    <w:rsid w:val="009301F1"/>
    <w:rsid w:val="009307DF"/>
    <w:rsid w:val="009359B8"/>
    <w:rsid w:val="00935FF0"/>
    <w:rsid w:val="009378F6"/>
    <w:rsid w:val="009431F8"/>
    <w:rsid w:val="0094774F"/>
    <w:rsid w:val="00947A35"/>
    <w:rsid w:val="00952667"/>
    <w:rsid w:val="0096201B"/>
    <w:rsid w:val="00962081"/>
    <w:rsid w:val="00966CB5"/>
    <w:rsid w:val="009716D1"/>
    <w:rsid w:val="00975786"/>
    <w:rsid w:val="00976FF4"/>
    <w:rsid w:val="00981CB7"/>
    <w:rsid w:val="00983E1F"/>
    <w:rsid w:val="00990EC5"/>
    <w:rsid w:val="00993F46"/>
    <w:rsid w:val="00997358"/>
    <w:rsid w:val="009A452B"/>
    <w:rsid w:val="009A4FD4"/>
    <w:rsid w:val="009A5266"/>
    <w:rsid w:val="009A78D8"/>
    <w:rsid w:val="009B050C"/>
    <w:rsid w:val="009B087F"/>
    <w:rsid w:val="009B2AF4"/>
    <w:rsid w:val="009C110B"/>
    <w:rsid w:val="009C5441"/>
    <w:rsid w:val="009C68FA"/>
    <w:rsid w:val="009D119F"/>
    <w:rsid w:val="009D49A2"/>
    <w:rsid w:val="009F3940"/>
    <w:rsid w:val="009F3EB2"/>
    <w:rsid w:val="009F6EB1"/>
    <w:rsid w:val="00A02B81"/>
    <w:rsid w:val="00A11D05"/>
    <w:rsid w:val="00A13162"/>
    <w:rsid w:val="00A20267"/>
    <w:rsid w:val="00A20ED8"/>
    <w:rsid w:val="00A25164"/>
    <w:rsid w:val="00A3158C"/>
    <w:rsid w:val="00A32DF3"/>
    <w:rsid w:val="00A33E32"/>
    <w:rsid w:val="00A35E20"/>
    <w:rsid w:val="00A36F6D"/>
    <w:rsid w:val="00A4300E"/>
    <w:rsid w:val="00A50CA0"/>
    <w:rsid w:val="00A525CC"/>
    <w:rsid w:val="00A53E7C"/>
    <w:rsid w:val="00A551F6"/>
    <w:rsid w:val="00A60087"/>
    <w:rsid w:val="00A65CB9"/>
    <w:rsid w:val="00A67BE1"/>
    <w:rsid w:val="00A705E8"/>
    <w:rsid w:val="00A721F4"/>
    <w:rsid w:val="00A811C7"/>
    <w:rsid w:val="00A9392C"/>
    <w:rsid w:val="00A9462B"/>
    <w:rsid w:val="00A95E5C"/>
    <w:rsid w:val="00A97D59"/>
    <w:rsid w:val="00AA3E09"/>
    <w:rsid w:val="00AA4BEF"/>
    <w:rsid w:val="00AA7095"/>
    <w:rsid w:val="00AA7408"/>
    <w:rsid w:val="00AB1659"/>
    <w:rsid w:val="00AB4962"/>
    <w:rsid w:val="00AB734E"/>
    <w:rsid w:val="00AB740F"/>
    <w:rsid w:val="00AC3D31"/>
    <w:rsid w:val="00AC6F14"/>
    <w:rsid w:val="00AC7221"/>
    <w:rsid w:val="00AD4677"/>
    <w:rsid w:val="00AE5961"/>
    <w:rsid w:val="00AF0745"/>
    <w:rsid w:val="00AF4971"/>
    <w:rsid w:val="00AF51AE"/>
    <w:rsid w:val="00AF5276"/>
    <w:rsid w:val="00AF7C86"/>
    <w:rsid w:val="00B01046"/>
    <w:rsid w:val="00B02683"/>
    <w:rsid w:val="00B03640"/>
    <w:rsid w:val="00B057D3"/>
    <w:rsid w:val="00B20F46"/>
    <w:rsid w:val="00B310F9"/>
    <w:rsid w:val="00B37866"/>
    <w:rsid w:val="00B37B73"/>
    <w:rsid w:val="00B405B1"/>
    <w:rsid w:val="00B41069"/>
    <w:rsid w:val="00B412FB"/>
    <w:rsid w:val="00B42366"/>
    <w:rsid w:val="00B42C75"/>
    <w:rsid w:val="00B4576B"/>
    <w:rsid w:val="00B46350"/>
    <w:rsid w:val="00B46DF3"/>
    <w:rsid w:val="00B52035"/>
    <w:rsid w:val="00B54FBF"/>
    <w:rsid w:val="00B648C7"/>
    <w:rsid w:val="00B66E8F"/>
    <w:rsid w:val="00B80157"/>
    <w:rsid w:val="00B82FB3"/>
    <w:rsid w:val="00B83D5E"/>
    <w:rsid w:val="00B8460A"/>
    <w:rsid w:val="00B8650D"/>
    <w:rsid w:val="00B86850"/>
    <w:rsid w:val="00B879B4"/>
    <w:rsid w:val="00B90F07"/>
    <w:rsid w:val="00B94FE7"/>
    <w:rsid w:val="00B9710C"/>
    <w:rsid w:val="00B97BB9"/>
    <w:rsid w:val="00BA0009"/>
    <w:rsid w:val="00BB02B5"/>
    <w:rsid w:val="00BB1863"/>
    <w:rsid w:val="00BB25EE"/>
    <w:rsid w:val="00BB363A"/>
    <w:rsid w:val="00BB599E"/>
    <w:rsid w:val="00BC06EA"/>
    <w:rsid w:val="00BC10A0"/>
    <w:rsid w:val="00BC7BA2"/>
    <w:rsid w:val="00BD426B"/>
    <w:rsid w:val="00BD752D"/>
    <w:rsid w:val="00BD79F0"/>
    <w:rsid w:val="00BE1F7F"/>
    <w:rsid w:val="00BE2B4D"/>
    <w:rsid w:val="00BE2C6E"/>
    <w:rsid w:val="00BE5471"/>
    <w:rsid w:val="00C015F8"/>
    <w:rsid w:val="00C02C2A"/>
    <w:rsid w:val="00C030C5"/>
    <w:rsid w:val="00C0373F"/>
    <w:rsid w:val="00C07450"/>
    <w:rsid w:val="00C07E26"/>
    <w:rsid w:val="00C1011C"/>
    <w:rsid w:val="00C12F94"/>
    <w:rsid w:val="00C16A45"/>
    <w:rsid w:val="00C177C5"/>
    <w:rsid w:val="00C24B6D"/>
    <w:rsid w:val="00C34EC3"/>
    <w:rsid w:val="00C4038C"/>
    <w:rsid w:val="00C41BDE"/>
    <w:rsid w:val="00C42BA2"/>
    <w:rsid w:val="00C44066"/>
    <w:rsid w:val="00C44E13"/>
    <w:rsid w:val="00C60A41"/>
    <w:rsid w:val="00C62DE8"/>
    <w:rsid w:val="00C62DFB"/>
    <w:rsid w:val="00C630E6"/>
    <w:rsid w:val="00C63812"/>
    <w:rsid w:val="00C64AF3"/>
    <w:rsid w:val="00C66F4D"/>
    <w:rsid w:val="00C67BB5"/>
    <w:rsid w:val="00C72713"/>
    <w:rsid w:val="00C77552"/>
    <w:rsid w:val="00C848EF"/>
    <w:rsid w:val="00C8557A"/>
    <w:rsid w:val="00C86600"/>
    <w:rsid w:val="00C87BCA"/>
    <w:rsid w:val="00C87EED"/>
    <w:rsid w:val="00C94506"/>
    <w:rsid w:val="00C954BC"/>
    <w:rsid w:val="00CA1F0B"/>
    <w:rsid w:val="00CA3944"/>
    <w:rsid w:val="00CB0CFE"/>
    <w:rsid w:val="00CB110F"/>
    <w:rsid w:val="00CB2A2E"/>
    <w:rsid w:val="00CB338A"/>
    <w:rsid w:val="00CB53AE"/>
    <w:rsid w:val="00CB705F"/>
    <w:rsid w:val="00CB79C5"/>
    <w:rsid w:val="00CC18C4"/>
    <w:rsid w:val="00CC411F"/>
    <w:rsid w:val="00CC4B75"/>
    <w:rsid w:val="00CC732E"/>
    <w:rsid w:val="00CD2FCD"/>
    <w:rsid w:val="00CD7207"/>
    <w:rsid w:val="00CE0197"/>
    <w:rsid w:val="00CE0422"/>
    <w:rsid w:val="00CE04EB"/>
    <w:rsid w:val="00CE0D86"/>
    <w:rsid w:val="00CE0DBE"/>
    <w:rsid w:val="00CE1459"/>
    <w:rsid w:val="00CE5E4D"/>
    <w:rsid w:val="00CF02C4"/>
    <w:rsid w:val="00CF167F"/>
    <w:rsid w:val="00CF6D4A"/>
    <w:rsid w:val="00CF72E5"/>
    <w:rsid w:val="00D00FA5"/>
    <w:rsid w:val="00D013EE"/>
    <w:rsid w:val="00D01F54"/>
    <w:rsid w:val="00D04080"/>
    <w:rsid w:val="00D040F7"/>
    <w:rsid w:val="00D04A76"/>
    <w:rsid w:val="00D10FC7"/>
    <w:rsid w:val="00D1519F"/>
    <w:rsid w:val="00D20E99"/>
    <w:rsid w:val="00D21C83"/>
    <w:rsid w:val="00D23CC2"/>
    <w:rsid w:val="00D35BDD"/>
    <w:rsid w:val="00D412E0"/>
    <w:rsid w:val="00D54BCC"/>
    <w:rsid w:val="00D61D79"/>
    <w:rsid w:val="00D62EA8"/>
    <w:rsid w:val="00D63006"/>
    <w:rsid w:val="00D6327F"/>
    <w:rsid w:val="00D718FA"/>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1EE9"/>
    <w:rsid w:val="00DE27AB"/>
    <w:rsid w:val="00DE39F4"/>
    <w:rsid w:val="00DF0844"/>
    <w:rsid w:val="00DF2AB3"/>
    <w:rsid w:val="00DF7250"/>
    <w:rsid w:val="00E00CAA"/>
    <w:rsid w:val="00E03EBF"/>
    <w:rsid w:val="00E05209"/>
    <w:rsid w:val="00E05AC1"/>
    <w:rsid w:val="00E07C78"/>
    <w:rsid w:val="00E11BBD"/>
    <w:rsid w:val="00E11BCF"/>
    <w:rsid w:val="00E16C6B"/>
    <w:rsid w:val="00E20332"/>
    <w:rsid w:val="00E2258E"/>
    <w:rsid w:val="00E260C2"/>
    <w:rsid w:val="00E274D9"/>
    <w:rsid w:val="00E32596"/>
    <w:rsid w:val="00E35790"/>
    <w:rsid w:val="00E368F7"/>
    <w:rsid w:val="00E36EB8"/>
    <w:rsid w:val="00E37FB8"/>
    <w:rsid w:val="00E40B07"/>
    <w:rsid w:val="00E42326"/>
    <w:rsid w:val="00E43544"/>
    <w:rsid w:val="00E44D89"/>
    <w:rsid w:val="00E477EA"/>
    <w:rsid w:val="00E47941"/>
    <w:rsid w:val="00E55807"/>
    <w:rsid w:val="00E63B14"/>
    <w:rsid w:val="00E65CA0"/>
    <w:rsid w:val="00E67021"/>
    <w:rsid w:val="00E70D9F"/>
    <w:rsid w:val="00E73ED2"/>
    <w:rsid w:val="00E7494F"/>
    <w:rsid w:val="00E83810"/>
    <w:rsid w:val="00E83E3B"/>
    <w:rsid w:val="00E85689"/>
    <w:rsid w:val="00E868FC"/>
    <w:rsid w:val="00E86933"/>
    <w:rsid w:val="00E9605B"/>
    <w:rsid w:val="00E97298"/>
    <w:rsid w:val="00E97753"/>
    <w:rsid w:val="00EA0C51"/>
    <w:rsid w:val="00EA7DE7"/>
    <w:rsid w:val="00EB7A8A"/>
    <w:rsid w:val="00EC6FED"/>
    <w:rsid w:val="00EC7F3B"/>
    <w:rsid w:val="00ED244A"/>
    <w:rsid w:val="00ED5299"/>
    <w:rsid w:val="00EE3A64"/>
    <w:rsid w:val="00EE50E5"/>
    <w:rsid w:val="00EF01CF"/>
    <w:rsid w:val="00EF2D44"/>
    <w:rsid w:val="00EF3EE7"/>
    <w:rsid w:val="00F03590"/>
    <w:rsid w:val="00F03622"/>
    <w:rsid w:val="00F077FD"/>
    <w:rsid w:val="00F07B92"/>
    <w:rsid w:val="00F1150F"/>
    <w:rsid w:val="00F204F3"/>
    <w:rsid w:val="00F218AB"/>
    <w:rsid w:val="00F22D7C"/>
    <w:rsid w:val="00F238B3"/>
    <w:rsid w:val="00F24FED"/>
    <w:rsid w:val="00F25586"/>
    <w:rsid w:val="00F2651D"/>
    <w:rsid w:val="00F27362"/>
    <w:rsid w:val="00F304A5"/>
    <w:rsid w:val="00F31498"/>
    <w:rsid w:val="00F32FEF"/>
    <w:rsid w:val="00F41B1C"/>
    <w:rsid w:val="00F42E13"/>
    <w:rsid w:val="00F42F1C"/>
    <w:rsid w:val="00F437FD"/>
    <w:rsid w:val="00F43B44"/>
    <w:rsid w:val="00F440E5"/>
    <w:rsid w:val="00F448F6"/>
    <w:rsid w:val="00F47642"/>
    <w:rsid w:val="00F50664"/>
    <w:rsid w:val="00F52741"/>
    <w:rsid w:val="00F53C12"/>
    <w:rsid w:val="00F53D8A"/>
    <w:rsid w:val="00F626F7"/>
    <w:rsid w:val="00F71E37"/>
    <w:rsid w:val="00F736F9"/>
    <w:rsid w:val="00F73833"/>
    <w:rsid w:val="00F74E31"/>
    <w:rsid w:val="00F82529"/>
    <w:rsid w:val="00F91811"/>
    <w:rsid w:val="00F9211C"/>
    <w:rsid w:val="00F92361"/>
    <w:rsid w:val="00FA095D"/>
    <w:rsid w:val="00FA4162"/>
    <w:rsid w:val="00FA6C8B"/>
    <w:rsid w:val="00FA6CDA"/>
    <w:rsid w:val="00FA7C89"/>
    <w:rsid w:val="00FB4139"/>
    <w:rsid w:val="00FB476E"/>
    <w:rsid w:val="00FC0D90"/>
    <w:rsid w:val="00FC7D8C"/>
    <w:rsid w:val="00FD2021"/>
    <w:rsid w:val="00FD34DF"/>
    <w:rsid w:val="00FD3980"/>
    <w:rsid w:val="00FD431E"/>
    <w:rsid w:val="00FD5A2C"/>
    <w:rsid w:val="00FE0D47"/>
    <w:rsid w:val="00FE1D5C"/>
    <w:rsid w:val="00FE2F8B"/>
    <w:rsid w:val="00FE3669"/>
    <w:rsid w:val="00FE5204"/>
    <w:rsid w:val="00FF287F"/>
    <w:rsid w:val="00FF54B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D04080"/>
    <w:rPr>
      <w:b/>
    </w:rPr>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table" w:styleId="GridTable2-Accent1">
    <w:name w:val="Grid Table 2 Accent 1"/>
    <w:basedOn w:val="TableNormal"/>
    <w:uiPriority w:val="47"/>
    <w:rsid w:val="00D412E0"/>
    <w:rPr>
      <w:rFonts w:eastAsia="SimSu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D412E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D412E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D412E0"/>
    <w:rPr>
      <w:rFonts w:ascii="Calibri" w:hAnsi="Calibri"/>
      <w:position w:val="6"/>
      <w:sz w:val="18"/>
    </w:rPr>
  </w:style>
  <w:style w:type="table" w:customStyle="1" w:styleId="GridTable4-Accent11">
    <w:name w:val="Grid Table 4 - Accent 11"/>
    <w:basedOn w:val="TableNormal"/>
    <w:uiPriority w:val="49"/>
    <w:rsid w:val="00D412E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D412E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412E0"/>
    <w:rPr>
      <w:rFonts w:asciiTheme="minorHAnsi" w:eastAsia="SimSun" w:hAnsiTheme="minorHAnsi"/>
      <w:sz w:val="24"/>
      <w:lang w:val="en-GB" w:eastAsia="en-US"/>
    </w:rPr>
  </w:style>
  <w:style w:type="table" w:styleId="GridTable4-Accent1">
    <w:name w:val="Grid Table 4 Accent 1"/>
    <w:basedOn w:val="TableNormal"/>
    <w:uiPriority w:val="49"/>
    <w:rsid w:val="00D412E0"/>
    <w:rPr>
      <w:rFonts w:eastAsia="SimSu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D412E0"/>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D412E0"/>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D412E0"/>
    <w:rPr>
      <w:rFonts w:asciiTheme="minorHAnsi" w:hAnsiTheme="minorHAnsi"/>
      <w:sz w:val="24"/>
      <w:lang w:val="en-GB" w:eastAsia="en-US"/>
    </w:rPr>
  </w:style>
  <w:style w:type="character" w:styleId="SubtleEmphasis">
    <w:name w:val="Subtle Emphasis"/>
    <w:basedOn w:val="DefaultParagraphFont"/>
    <w:uiPriority w:val="19"/>
    <w:qFormat/>
    <w:rsid w:val="00D412E0"/>
    <w:rPr>
      <w:i/>
      <w:iCs/>
    </w:rPr>
  </w:style>
  <w:style w:type="table" w:styleId="MediumShading2-Accent5">
    <w:name w:val="Medium Shading 2 Accent 5"/>
    <w:basedOn w:val="TableNormal"/>
    <w:uiPriority w:val="64"/>
    <w:rsid w:val="00D412E0"/>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D412E0"/>
    <w:pPr>
      <w:jc w:val="both"/>
    </w:pPr>
    <w:rPr>
      <w:rFonts w:ascii="Times New Roman" w:eastAsia="SimSun" w:hAnsi="Times New Roman"/>
      <w:szCs w:val="24"/>
    </w:rPr>
  </w:style>
  <w:style w:type="character" w:customStyle="1" w:styleId="normaltextrun">
    <w:name w:val="normaltextrun"/>
    <w:basedOn w:val="DefaultParagraphFont"/>
    <w:rsid w:val="00D412E0"/>
  </w:style>
  <w:style w:type="character" w:styleId="CommentReference">
    <w:name w:val="annotation reference"/>
    <w:basedOn w:val="DefaultParagraphFont"/>
    <w:uiPriority w:val="99"/>
    <w:semiHidden/>
    <w:unhideWhenUsed/>
    <w:rsid w:val="00D412E0"/>
    <w:rPr>
      <w:sz w:val="16"/>
      <w:szCs w:val="16"/>
    </w:rPr>
  </w:style>
  <w:style w:type="paragraph" w:styleId="CommentText">
    <w:name w:val="annotation text"/>
    <w:basedOn w:val="Normal"/>
    <w:link w:val="CommentTextChar"/>
    <w:uiPriority w:val="99"/>
    <w:unhideWhenUsed/>
    <w:rsid w:val="00D412E0"/>
    <w:pPr>
      <w:jc w:val="both"/>
    </w:pPr>
    <w:rPr>
      <w:rFonts w:eastAsia="SimSun"/>
      <w:sz w:val="20"/>
    </w:rPr>
  </w:style>
  <w:style w:type="character" w:customStyle="1" w:styleId="CommentTextChar">
    <w:name w:val="Comment Text Char"/>
    <w:basedOn w:val="DefaultParagraphFont"/>
    <w:link w:val="CommentText"/>
    <w:uiPriority w:val="99"/>
    <w:rsid w:val="00D412E0"/>
    <w:rPr>
      <w:rFonts w:asciiTheme="minorHAnsi" w:eastAsia="SimSun" w:hAnsiTheme="minorHAnsi"/>
      <w:lang w:val="en-GB" w:eastAsia="en-US"/>
    </w:rPr>
  </w:style>
  <w:style w:type="paragraph" w:styleId="CommentSubject">
    <w:name w:val="annotation subject"/>
    <w:basedOn w:val="CommentText"/>
    <w:next w:val="CommentText"/>
    <w:link w:val="CommentSubjectChar"/>
    <w:semiHidden/>
    <w:unhideWhenUsed/>
    <w:rsid w:val="00D412E0"/>
    <w:rPr>
      <w:b/>
      <w:bCs/>
    </w:rPr>
  </w:style>
  <w:style w:type="character" w:customStyle="1" w:styleId="CommentSubjectChar">
    <w:name w:val="Comment Subject Char"/>
    <w:basedOn w:val="CommentTextChar"/>
    <w:link w:val="CommentSubject"/>
    <w:semiHidden/>
    <w:rsid w:val="00D412E0"/>
    <w:rPr>
      <w:rFonts w:asciiTheme="minorHAnsi" w:eastAsia="SimSun" w:hAnsiTheme="minorHAnsi"/>
      <w:b/>
      <w:bCs/>
      <w:lang w:val="en-GB" w:eastAsia="en-US"/>
    </w:rPr>
  </w:style>
  <w:style w:type="paragraph" w:customStyle="1" w:styleId="Pa13">
    <w:name w:val="Pa13"/>
    <w:basedOn w:val="Normal"/>
    <w:next w:val="Normal"/>
    <w:uiPriority w:val="99"/>
    <w:rsid w:val="00D412E0"/>
    <w:pPr>
      <w:tabs>
        <w:tab w:val="clear" w:pos="794"/>
        <w:tab w:val="clear" w:pos="1191"/>
        <w:tab w:val="clear" w:pos="1588"/>
        <w:tab w:val="clear" w:pos="1985"/>
      </w:tabs>
      <w:overflowPunct/>
      <w:spacing w:before="0" w:line="201" w:lineRule="atLeast"/>
      <w:textAlignment w:val="auto"/>
    </w:pPr>
    <w:rPr>
      <w:rFonts w:ascii="Calibri Light" w:eastAsia="SimSun" w:hAnsi="Calibri Light" w:cs="Calibri Light"/>
      <w:szCs w:val="24"/>
      <w:lang w:eastAsia="zh-CN"/>
    </w:rPr>
  </w:style>
  <w:style w:type="character" w:customStyle="1" w:styleId="eop">
    <w:name w:val="eop"/>
    <w:basedOn w:val="DefaultParagraphFont"/>
    <w:rsid w:val="00D412E0"/>
  </w:style>
  <w:style w:type="paragraph" w:customStyle="1" w:styleId="paragraph">
    <w:name w:val="paragraph"/>
    <w:basedOn w:val="Normal"/>
    <w:rsid w:val="00D412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ui-provider">
    <w:name w:val="ui-provider"/>
    <w:basedOn w:val="DefaultParagraphFont"/>
    <w:rsid w:val="00D412E0"/>
  </w:style>
  <w:style w:type="character" w:styleId="Mention">
    <w:name w:val="Mention"/>
    <w:basedOn w:val="DefaultParagraphFont"/>
    <w:uiPriority w:val="99"/>
    <w:unhideWhenUsed/>
    <w:rsid w:val="00D412E0"/>
    <w:rPr>
      <w:color w:val="2B579A"/>
      <w:shd w:val="clear" w:color="auto" w:fill="E1DFDD"/>
    </w:rPr>
  </w:style>
  <w:style w:type="paragraph" w:styleId="BalloonText">
    <w:name w:val="Balloon Text"/>
    <w:basedOn w:val="Normal"/>
    <w:link w:val="BalloonTextChar"/>
    <w:semiHidden/>
    <w:unhideWhenUsed/>
    <w:rsid w:val="00D412E0"/>
    <w:pPr>
      <w:spacing w:before="0"/>
      <w:jc w:val="both"/>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D412E0"/>
    <w:rPr>
      <w:rFonts w:ascii="Segoe UI" w:eastAsia="SimSun"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D412E0"/>
    <w:rPr>
      <w:rFonts w:asciiTheme="minorHAnsi" w:hAnsiTheme="minorHAnsi"/>
      <w:sz w:val="24"/>
      <w:lang w:val="en-GB" w:eastAsia="en-US"/>
    </w:rPr>
  </w:style>
  <w:style w:type="character" w:customStyle="1" w:styleId="Title1Char">
    <w:name w:val="Title 1 Char"/>
    <w:link w:val="Title1"/>
    <w:qFormat/>
    <w:locked/>
    <w:rsid w:val="00D412E0"/>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D412E0"/>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12E0"/>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412E0"/>
    <w:rPr>
      <w:rFonts w:asciiTheme="minorHAnsi" w:hAnsiTheme="minorHAnsi"/>
      <w:b/>
      <w:sz w:val="24"/>
      <w:lang w:val="en-GB" w:eastAsia="en-US"/>
    </w:rPr>
  </w:style>
  <w:style w:type="table" w:customStyle="1" w:styleId="TableGrid10">
    <w:name w:val="Table Grid10"/>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12E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2E0"/>
    <w:rPr>
      <w:b/>
      <w:bCs/>
    </w:rPr>
  </w:style>
  <w:style w:type="paragraph" w:customStyle="1" w:styleId="pf0">
    <w:name w:val="pf0"/>
    <w:basedOn w:val="Normal"/>
    <w:rsid w:val="00D412E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D412E0"/>
  </w:style>
  <w:style w:type="character" w:customStyle="1" w:styleId="xnormaltextrun">
    <w:name w:val="x_normaltextrun"/>
    <w:basedOn w:val="DefaultParagraphFont"/>
    <w:rsid w:val="00D412E0"/>
  </w:style>
  <w:style w:type="character" w:customStyle="1" w:styleId="xfindhit">
    <w:name w:val="x_findhit"/>
    <w:basedOn w:val="DefaultParagraphFont"/>
    <w:rsid w:val="00D412E0"/>
  </w:style>
  <w:style w:type="character" w:customStyle="1" w:styleId="xeop">
    <w:name w:val="x_eop"/>
    <w:basedOn w:val="DefaultParagraphFont"/>
    <w:rsid w:val="00D412E0"/>
  </w:style>
  <w:style w:type="paragraph" w:styleId="TOCHeading">
    <w:name w:val="TOC Heading"/>
    <w:basedOn w:val="Heading1"/>
    <w:next w:val="Normal"/>
    <w:uiPriority w:val="39"/>
    <w:unhideWhenUsed/>
    <w:qFormat/>
    <w:rsid w:val="00D412E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bmaps.itu.int/bp-training" TargetMode="External"/><Relationship Id="rId117" Type="http://schemas.openxmlformats.org/officeDocument/2006/relationships/hyperlink" Target="https://greeningdigital.itu.int/" TargetMode="External"/><Relationship Id="rId21" Type="http://schemas.openxmlformats.org/officeDocument/2006/relationships/hyperlink" Target="https://bbmaps.itu.int/toolkit" TargetMode="External"/><Relationship Id="rId42" Type="http://schemas.openxmlformats.org/officeDocument/2006/relationships/hyperlink" Target="https://academy.itu.int/" TargetMode="External"/><Relationship Id="rId47" Type="http://schemas.openxmlformats.org/officeDocument/2006/relationships/hyperlink" Target="https://academy.itu.int/itu-d/projects-activities/research-publications/digital-skills-toolkit" TargetMode="External"/><Relationship Id="rId63" Type="http://schemas.openxmlformats.org/officeDocument/2006/relationships/hyperlink" Target="https://datahub.itu.int/dashboards/idi/" TargetMode="External"/><Relationship Id="rId68" Type="http://schemas.openxmlformats.org/officeDocument/2006/relationships/hyperlink" Target="https://datahub.itu.int/data/?i=178&amp;u=per+100+people" TargetMode="External"/><Relationship Id="rId84" Type="http://schemas.openxmlformats.org/officeDocument/2006/relationships/hyperlink" Target="https://www.itu.int/itu-d/sites/projectumc/2024/10/28/umc_ws_asia/" TargetMode="External"/><Relationship Id="rId89" Type="http://schemas.openxmlformats.org/officeDocument/2006/relationships/hyperlink" Target="https://www.itu.int/en/ITU-D/Statistics/Documents/ICT_Prices/ITU_IPBQManual_2025.pdf" TargetMode="External"/><Relationship Id="rId112" Type="http://schemas.openxmlformats.org/officeDocument/2006/relationships/hyperlink" Target="https://www.itu.int/md/D22-TDAG32-C-0003/es" TargetMode="External"/><Relationship Id="rId16" Type="http://schemas.openxmlformats.org/officeDocument/2006/relationships/footer" Target="footer1.xml"/><Relationship Id="rId107" Type="http://schemas.openxmlformats.org/officeDocument/2006/relationships/image" Target="media/image3.png"/><Relationship Id="rId11" Type="http://schemas.openxmlformats.org/officeDocument/2006/relationships/image" Target="media/image1.png"/><Relationship Id="rId32" Type="http://schemas.openxmlformats.org/officeDocument/2006/relationships/hyperlink" Target="https://www.itu.int/en/ITU-R/seminars/rrs/rrs-24-asia%26pacific/Pages/default.aspx" TargetMode="External"/><Relationship Id="rId37" Type="http://schemas.openxmlformats.org/officeDocument/2006/relationships/hyperlink" Target="https://www.itu.int/hub/publication/s-dii-diii-whitepaper-2025/?utm_source=chatgpt.com" TargetMode="External"/><Relationship Id="rId53" Type="http://schemas.openxmlformats.org/officeDocument/2006/relationships/hyperlink" Target="https://datahub.itu.int/" TargetMode="External"/><Relationship Id="rId58" Type="http://schemas.openxmlformats.org/officeDocument/2006/relationships/hyperlink" Target="https://www.itu.int/itu-d/reports/statistics/facts-figures-for-lldc/" TargetMode="External"/><Relationship Id="rId74" Type="http://schemas.openxmlformats.org/officeDocument/2006/relationships/hyperlink" Target="https://www.worldbank.org/en/programs/global-data-facility/brief/putting-mobile-phone-data-to-work-for-policy" TargetMode="External"/><Relationship Id="rId79" Type="http://schemas.openxmlformats.org/officeDocument/2006/relationships/hyperlink" Target="https://www.itu.int/itu-d/meetings/egti2024/" TargetMode="External"/><Relationship Id="rId102" Type="http://schemas.openxmlformats.org/officeDocument/2006/relationships/hyperlink" Target="https://www.itu.int/itu-d/sites/membership/wp-content/uploads/sites/50/2024/07/IAGDICRO-2024-Outcome-Statement_2-July_2024.pdf"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tu.int/en/ITU-D/Statistics/Documents/datacollection/IPB_Rules_VisualGuide_2025.pdf" TargetMode="External"/><Relationship Id="rId95" Type="http://schemas.openxmlformats.org/officeDocument/2006/relationships/hyperlink" Target="https://g7g20-documents.org/database/document/2024-g20-brazil-sherpa-track-digital-economy-ministers-ministers-language-g20-dewg-maceio-ministerial-declaration" TargetMode="External"/><Relationship Id="rId22" Type="http://schemas.openxmlformats.org/officeDocument/2006/relationships/hyperlink" Target="https://www.itu.int/go/emergingtech" TargetMode="External"/><Relationship Id="rId27" Type="http://schemas.openxmlformats.org/officeDocument/2006/relationships/hyperlink" Target="https://academy.itu.int/training-courses/full-catalogue/global-satellite-regulation-essentials-key-principles-institutional-landscape-and-role-itu" TargetMode="External"/><Relationship Id="rId43" Type="http://schemas.openxmlformats.org/officeDocument/2006/relationships/hyperlink" Target="https://academy.itu.int/itu-d/projects-activities/itu-academy-training-centres" TargetMode="External"/><Relationship Id="rId48" Type="http://schemas.openxmlformats.org/officeDocument/2006/relationships/hyperlink" Target="https://www.itu.int/en/ITU-D/Regional-Presence/Americas/Pages/ACTVTS/DTK/DTK-AMS.aspx" TargetMode="External"/><Relationship Id="rId64" Type="http://schemas.openxmlformats.org/officeDocument/2006/relationships/hyperlink" Target="https://www.itu.int/itu-d/reports/statistics/facts-figures-2024/" TargetMode="External"/><Relationship Id="rId69" Type="http://schemas.openxmlformats.org/officeDocument/2006/relationships/hyperlink" Target="https://www.itu.int/en/ITU-D/Statistics/Pages/ICTprices/default.aspx" TargetMode="External"/><Relationship Id="rId113" Type="http://schemas.openxmlformats.org/officeDocument/2006/relationships/hyperlink" Target="https://academy.itu.int/training-courses/full-catalogue/fundamentals-e-waste-policy-and-role-producers" TargetMode="External"/><Relationship Id="rId118" Type="http://schemas.openxmlformats.org/officeDocument/2006/relationships/header" Target="header2.xml"/><Relationship Id="rId80" Type="http://schemas.openxmlformats.org/officeDocument/2006/relationships/hyperlink" Target="https://www.itu.int/en/ITU-D/Statistics/Documents/publications/manual/ITU_HHManual_ICTskills_rev2025.pdf" TargetMode="External"/><Relationship Id="rId85" Type="http://schemas.openxmlformats.org/officeDocument/2006/relationships/hyperlink" Target="https://www.itu.int/itu-d/sites/projectumc/2025/01/27/umc_ws_latam/?lang=en" TargetMode="External"/><Relationship Id="rId12" Type="http://schemas.openxmlformats.org/officeDocument/2006/relationships/image" Target="media/image2.jpeg"/><Relationship Id="rId17" Type="http://schemas.openxmlformats.org/officeDocument/2006/relationships/hyperlink" Target="https://www.itu.int/itu-d/sites/ldcs/2024/02/20/itu-at-sids4/" TargetMode="External"/><Relationship Id="rId33" Type="http://schemas.openxmlformats.org/officeDocument/2006/relationships/hyperlink" Target="https://www.itu.int/md/D22-TDAG32-C-0010/es" TargetMode="External"/><Relationship Id="rId38" Type="http://schemas.openxmlformats.org/officeDocument/2006/relationships/hyperlink" Target="https://www.itu.int/hub/2025/02/citizen-centric-services-digital-public-infrastructure/?utm_source=chatgpt.com" TargetMode="External"/><Relationship Id="rId59" Type="http://schemas.openxmlformats.org/officeDocument/2006/relationships/hyperlink" Target="https://www.itu.int/en/ITU-D/Statistics/Pages/ICTprices/default.aspx" TargetMode="External"/><Relationship Id="rId103" Type="http://schemas.openxmlformats.org/officeDocument/2006/relationships/hyperlink" Target="https://www.itu.int/net4/ITU-D/CDS/sg/blkmeetings.asp?lg=1&amp;sp=2022&amp;blk=28245" TargetMode="External"/><Relationship Id="rId108" Type="http://schemas.openxmlformats.org/officeDocument/2006/relationships/image" Target="media/image4.png"/><Relationship Id="rId54" Type="http://schemas.openxmlformats.org/officeDocument/2006/relationships/hyperlink" Target="https://www.itu.int/itu-d/meetings/gsr-24/" TargetMode="External"/><Relationship Id="rId70" Type="http://schemas.openxmlformats.org/officeDocument/2006/relationships/hyperlink" Target="https://www.itu.int/itu-d/reports/statistics/2024/11/10/ff24-affordability-of-ict-services/" TargetMode="External"/><Relationship Id="rId75" Type="http://schemas.openxmlformats.org/officeDocument/2006/relationships/hyperlink" Target="https://www.worldbank.org/en/events/2024/09/25/global-data-facility-mobile-phone-data-program-for-policy-cohort-1-launch-workshop" TargetMode="External"/><Relationship Id="rId91" Type="http://schemas.openxmlformats.org/officeDocument/2006/relationships/hyperlink" Target="https://ituint.sharepoint.com/sites/TDAG/Shared%20Documents/TDAG-25%20(12-16%20May%202025)/02_Document%202%20-%20KAP%20Implementation/series%20of%20four%20technical%20webinars" TargetMode="External"/><Relationship Id="rId96" Type="http://schemas.openxmlformats.org/officeDocument/2006/relationships/hyperlink" Target="https://www.itu.int/es/ITU-D/Statistics/Pages/intlcoop/partnership/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itu-d/meetings/global-youth-summit-25/programme/schedule/session-details/?sessionid=13" TargetMode="External"/><Relationship Id="rId28" Type="http://schemas.openxmlformats.org/officeDocument/2006/relationships/hyperlink" Target="https://academy.itu.int/training-courses/full-catalogue/introduction-spectrum-management-1" TargetMode="External"/><Relationship Id="rId49" Type="http://schemas.openxmlformats.org/officeDocument/2006/relationships/hyperlink" Target="https://www.itu.int/en/ITU-D/Regulatory-Market/Pages/collaborative-regulation-country-reviews/default.aspx" TargetMode="External"/><Relationship Id="rId114" Type="http://schemas.openxmlformats.org/officeDocument/2006/relationships/hyperlink" Target="https://www.itu.int/es/mediacentre/Pages/PR-2024-09-30-Greening-Digital-Companies-report.aspx" TargetMode="External"/><Relationship Id="rId119" Type="http://schemas.openxmlformats.org/officeDocument/2006/relationships/footer" Target="footer2.xml"/><Relationship Id="rId44" Type="http://schemas.openxmlformats.org/officeDocument/2006/relationships/hyperlink" Target="https://academy.itu.int/itu-d/projects-activities/itu-academy-training-centres/events/atc-annual-meeting-2024" TargetMode="External"/><Relationship Id="rId60" Type="http://schemas.openxmlformats.org/officeDocument/2006/relationships/hyperlink" Target="https://www.itu.int/en/ITU-D/Statistics/Dashboards/Pages/IPB.aspx" TargetMode="External"/><Relationship Id="rId65" Type="http://schemas.openxmlformats.org/officeDocument/2006/relationships/hyperlink" Target="https://www.itu.int/itu-d/reports/statistics/sddt/" TargetMode="External"/><Relationship Id="rId81" Type="http://schemas.openxmlformats.org/officeDocument/2006/relationships/hyperlink" Target="https://unstats.un.org/sdgs/metadata/" TargetMode="External"/><Relationship Id="rId86" Type="http://schemas.openxmlformats.org/officeDocument/2006/relationships/hyperlink" Target="https://academy.itu.int/training-courses/full-catalogue/measuring-digital-development-telecommunicationict-indicators-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es" TargetMode="External"/><Relationship Id="rId18" Type="http://schemas.openxmlformats.org/officeDocument/2006/relationships/hyperlink" Target="https://www.itu.int/en/ITU-D/Emergency-Telecommunications/Pages/AI-Sub-Group-EW4All-.aspx" TargetMode="External"/><Relationship Id="rId39" Type="http://schemas.openxmlformats.org/officeDocument/2006/relationships/hyperlink" Target="https://www.itu.int/hub/2025/02/citizen-centric-services-digital-public-infrastructure/?utm_source=chatgpt.com" TargetMode="External"/><Relationship Id="rId109" Type="http://schemas.openxmlformats.org/officeDocument/2006/relationships/hyperlink" Target="https://s46824.pcdn.co/partner2connect/wp-content/uploads/2025/01/P2C-2024-Annual-Report.pdf" TargetMode="External"/><Relationship Id="rId34" Type="http://schemas.openxmlformats.org/officeDocument/2006/relationships/hyperlink" Target="https://www.itu.int/net4/wsis/forum/2024/Agenda/SpecialTrack/36?utm_source=chatgpt.com" TargetMode="External"/><Relationship Id="rId50" Type="http://schemas.openxmlformats.org/officeDocument/2006/relationships/hyperlink" Target="https://www.itu.int/hub/publication/d-pref-them-34-2024/" TargetMode="External"/><Relationship Id="rId55" Type="http://schemas.openxmlformats.org/officeDocument/2006/relationships/hyperlink" Target="https://www.itu.int/itu-d/sites/ra-network/" TargetMode="External"/><Relationship Id="rId76" Type="http://schemas.openxmlformats.org/officeDocument/2006/relationships/hyperlink" Target="https://www.itu.int/en/ITU-D/Statistics/Pages/expertgroups.aspx" TargetMode="External"/><Relationship Id="rId97" Type="http://schemas.openxmlformats.org/officeDocument/2006/relationships/hyperlink" Target="https://www.itu.int/en/ITU-D/Statistics/Pages/SDGs-ITU-ICT-indicators.aspx" TargetMode="External"/><Relationship Id="rId104" Type="http://schemas.openxmlformats.org/officeDocument/2006/relationships/hyperlink" Target="https://www.itu.int/es/ITU-D/Study-Groups/2022-2025/Pages/reference/Management.aspx" TargetMode="External"/><Relationship Id="rId120"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datahub.itu.int/dashboards/?id=1" TargetMode="External"/><Relationship Id="rId92" Type="http://schemas.openxmlformats.org/officeDocument/2006/relationships/hyperlink" Target="https://www.itu.int/itu-d/meetings/wtis24/" TargetMode="External"/><Relationship Id="rId2" Type="http://schemas.openxmlformats.org/officeDocument/2006/relationships/customXml" Target="../customXml/item2.xml"/><Relationship Id="rId29" Type="http://schemas.openxmlformats.org/officeDocument/2006/relationships/hyperlink" Target="https://academycourses.itu.int/course/view.php?id=1832&amp;section=2" TargetMode="External"/><Relationship Id="rId24" Type="http://schemas.openxmlformats.org/officeDocument/2006/relationships/hyperlink" Target="https://bbmaps.itu.int/training-introduction" TargetMode="External"/><Relationship Id="rId40" Type="http://schemas.openxmlformats.org/officeDocument/2006/relationships/hyperlink" Target="https://u4ssc.itu.int/digital-public-infrastructure/?utm_source=chatgpt.com" TargetMode="External"/><Relationship Id="rId45" Type="http://schemas.openxmlformats.org/officeDocument/2006/relationships/hyperlink" Target="https://academy.itu.int/itu-d/projects-activities/digital-transformation-centres-initiative" TargetMode="External"/><Relationship Id="rId66" Type="http://schemas.openxmlformats.org/officeDocument/2006/relationships/hyperlink" Target="https://datahub.itu.int/" TargetMode="External"/><Relationship Id="rId87" Type="http://schemas.openxmlformats.org/officeDocument/2006/relationships/hyperlink" Target="https://academy.itu.int/training-courses/full-catalogue/measuring-digital-development-ict-access-and-use-households-and-individuals-2" TargetMode="External"/><Relationship Id="rId110" Type="http://schemas.openxmlformats.org/officeDocument/2006/relationships/hyperlink" Target="https://www.itu.int/itu-d/meetings/rdf/" TargetMode="External"/><Relationship Id="rId115" Type="http://schemas.openxmlformats.org/officeDocument/2006/relationships/hyperlink" Target="https://www.itu.int/en/ITU-D/Environment/Pages/Events/2024/GDC.aspx" TargetMode="External"/><Relationship Id="rId61" Type="http://schemas.openxmlformats.org/officeDocument/2006/relationships/hyperlink" Target="https://www.itu.int/itu-d/reports/statistics/idi2024/" TargetMode="External"/><Relationship Id="rId82" Type="http://schemas.openxmlformats.org/officeDocument/2006/relationships/hyperlink" Target="https://www.itu.int/itu-d/sites/projectumc/2024/03/14/umc_ws_car/" TargetMode="External"/><Relationship Id="rId19" Type="http://schemas.openxmlformats.org/officeDocument/2006/relationships/hyperlink" Target="https://dcm.itu.int/" TargetMode="External"/><Relationship Id="rId14" Type="http://schemas.openxmlformats.org/officeDocument/2006/relationships/hyperlink" Target="https://www.itu.int/md/D22-TDAG31-C-0002/es" TargetMode="External"/><Relationship Id="rId30" Type="http://schemas.openxmlformats.org/officeDocument/2006/relationships/hyperlink" Target="https://academy.itu.int/training-courses/full-catalogue/introduction-broadband-mapping" TargetMode="External"/><Relationship Id="rId35" Type="http://schemas.openxmlformats.org/officeDocument/2006/relationships/hyperlink" Target="https://www.itu.int/hub/2024/10/defining-and-building-digital-public-infrastructure-for-all/?utm_source=chatgpt.com" TargetMode="External"/><Relationship Id="rId56" Type="http://schemas.openxmlformats.org/officeDocument/2006/relationships/hyperlink" Target="https://www.itu.int/en/ITU-D/Regional-Presence/Americas/Pages/EVENTS/2024/IPEC-2024.aspx" TargetMode="External"/><Relationship Id="rId77" Type="http://schemas.openxmlformats.org/officeDocument/2006/relationships/hyperlink" Target="https://www.itu.int/itu-d/meetings/egh2024/" TargetMode="External"/><Relationship Id="rId100" Type="http://schemas.openxmlformats.org/officeDocument/2006/relationships/hyperlink" Target="https://www.itu.int/md/D22-TDAG31-C-0007/es" TargetMode="External"/><Relationship Id="rId105" Type="http://schemas.openxmlformats.org/officeDocument/2006/relationships/hyperlink" Target="https://www.itu.int/net4/ITU-D/CDS/sg/blkmeetings.asp?lg=1&amp;stg=&amp;sp=2022&amp;blk=28817" TargetMode="External"/><Relationship Id="rId8" Type="http://schemas.openxmlformats.org/officeDocument/2006/relationships/webSettings" Target="webSettings.xml"/><Relationship Id="rId51" Type="http://schemas.openxmlformats.org/officeDocument/2006/relationships/hyperlink" Target="https://digitalregulation.org/" TargetMode="External"/><Relationship Id="rId72" Type="http://schemas.openxmlformats.org/officeDocument/2006/relationships/hyperlink" Target="https://www.itu.int/en/ITU-D/Statistics/Documents/datacollection/ITU_BDT_QuestionnaireSchedule_2025.pdf" TargetMode="External"/><Relationship Id="rId93" Type="http://schemas.openxmlformats.org/officeDocument/2006/relationships/hyperlink" Target="https://www.g20.org/pt-br" TargetMode="External"/><Relationship Id="rId98" Type="http://schemas.openxmlformats.org/officeDocument/2006/relationships/hyperlink" Target="https://unstats.un.org/sdgs/indicators/database/" TargetMode="Externa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bbmaps.itu.int/training-advanced" TargetMode="External"/><Relationship Id="rId46" Type="http://schemas.openxmlformats.org/officeDocument/2006/relationships/hyperlink" Target="https://www.itu.int/itu-d/meetings/digital-skills-forum/" TargetMode="External"/><Relationship Id="rId67" Type="http://schemas.openxmlformats.org/officeDocument/2006/relationships/hyperlink" Target="https://datahub.itu.int/query/" TargetMode="External"/><Relationship Id="rId116" Type="http://schemas.openxmlformats.org/officeDocument/2006/relationships/hyperlink" Target="https://www.itu.int/hub/2024/11/the-digital-sectors-environmental-dilemma/" TargetMode="External"/><Relationship Id="rId20" Type="http://schemas.openxmlformats.org/officeDocument/2006/relationships/hyperlink" Target="http://www.itu.int/go/schoolconnectivity" TargetMode="External"/><Relationship Id="rId41" Type="http://schemas.openxmlformats.org/officeDocument/2006/relationships/hyperlink" Target="https://u4ssc.itu.int/digital-public-infrastructure/?utm_source=chatgpt.com" TargetMode="External"/><Relationship Id="rId62" Type="http://schemas.openxmlformats.org/officeDocument/2006/relationships/hyperlink" Target="https://www.itu.int/en/ITU-D/Statistics/Pages/IDI/default.aspx" TargetMode="External"/><Relationship Id="rId83" Type="http://schemas.openxmlformats.org/officeDocument/2006/relationships/hyperlink" Target="https://www.itu.int/itu-d/sites/projectumc/2024/03/12/umc_ws_arb/" TargetMode="External"/><Relationship Id="rId88" Type="http://schemas.openxmlformats.org/officeDocument/2006/relationships/hyperlink" Target="https://academy.itu.int/training-courses/full-catalogue/mobile-phone-data" TargetMode="External"/><Relationship Id="rId111" Type="http://schemas.openxmlformats.org/officeDocument/2006/relationships/hyperlink" Target="https://www.itu.int/es/ITU-D/Study-Groups/2022-2025/Pages/reference/Questions-under-study.aspx" TargetMode="External"/><Relationship Id="rId15" Type="http://schemas.openxmlformats.org/officeDocument/2006/relationships/header" Target="header1.xml"/><Relationship Id="rId36" Type="http://schemas.openxmlformats.org/officeDocument/2006/relationships/hyperlink" Target="https://www.itu.int/hub/publication/s-dii-diii-whitepaper-2025/?utm_source=chatgpt.com" TargetMode="External"/><Relationship Id="rId57" Type="http://schemas.openxmlformats.org/officeDocument/2006/relationships/hyperlink" Target="https://www.itu.int/itu-d/reports/statistics/facts-figures-for-sids/" TargetMode="External"/><Relationship Id="rId106" Type="http://schemas.openxmlformats.org/officeDocument/2006/relationships/hyperlink" Target="https://www.itu.int/es/ITU-D/Study-Groups/2022-2025/Pages/reference/Management.aspx" TargetMode="External"/><Relationship Id="rId10" Type="http://schemas.openxmlformats.org/officeDocument/2006/relationships/endnotes" Target="endnotes.xml"/><Relationship Id="rId31" Type="http://schemas.openxmlformats.org/officeDocument/2006/relationships/hyperlink" Target="https://academy.itu.int/training-courses/full-catalogue/introduction-broadband-mapping" TargetMode="External"/><Relationship Id="rId52" Type="http://schemas.openxmlformats.org/officeDocument/2006/relationships/hyperlink" Target="https://www.itu.int/net/epub/BDT/2024-ITUs-contribution-to-the-implementation-of-the-Antigua-and-Barbuda-Agenda-for-SIDS/index.html" TargetMode="External"/><Relationship Id="rId73" Type="http://schemas.openxmlformats.org/officeDocument/2006/relationships/hyperlink" Target="https://unstats.un.org/bigdata/task-teams/mobile-phone/index.cshtml" TargetMode="External"/><Relationship Id="rId78" Type="http://schemas.openxmlformats.org/officeDocument/2006/relationships/hyperlink" Target="https://www.itu.int/itu-d/meetings/egh2024/wp-content/uploads/sites/28/2024/09/EGTIEGH2024_IDIReport.pdf" TargetMode="External"/><Relationship Id="rId94" Type="http://schemas.openxmlformats.org/officeDocument/2006/relationships/hyperlink" Target="https://www.gov.br/mcom/pt-br/acesso-a-informacao/governanca/governanca-de-tic-1/documentos-g20/p1-g20-dewg-brasil-2024-umc.pdf" TargetMode="External"/><Relationship Id="rId99" Type="http://schemas.openxmlformats.org/officeDocument/2006/relationships/hyperlink" Target="https://www.itu.int/itu-d/sites/partnerships/home/partnerships/" TargetMode="External"/><Relationship Id="rId101" Type="http://schemas.openxmlformats.org/officeDocument/2006/relationships/hyperlink" Target="https://www.itu.int/en/ITU-D/Projects/Pages/Portfolio.aspx" TargetMode="External"/><Relationship Id="rId1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EEAEA72A-B850-4C5F-8846-0A36D9C71D0B}"/>
</file>

<file path=customXml/itemProps4.xml><?xml version="1.0" encoding="utf-8"?>
<ds:datastoreItem xmlns:ds="http://schemas.openxmlformats.org/officeDocument/2006/customXml" ds:itemID="{0F034FE2-13EA-4EDF-9DD0-9E6AD7D2600F}">
  <ds:schemaRefs>
    <ds:schemaRef ds:uri="http://purl.org/dc/elements/1.1/"/>
    <ds:schemaRef ds:uri="d4ea696a-cca3-460b-a983-57ac2621983a"/>
    <ds:schemaRef ds:uri="29399490-13b9-4c73-b71e-403b715b75a7"/>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66</Pages>
  <Words>34495</Words>
  <Characters>193381</Characters>
  <Application>Microsoft Office Word</Application>
  <DocSecurity>0</DocSecurity>
  <Lines>1611</Lines>
  <Paragraphs>454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Spanish83</cp:lastModifiedBy>
  <cp:revision>76</cp:revision>
  <cp:lastPrinted>2014-11-04T09:22:00Z</cp:lastPrinted>
  <dcterms:created xsi:type="dcterms:W3CDTF">2025-04-28T09:38:00Z</dcterms:created>
  <dcterms:modified xsi:type="dcterms:W3CDTF">2025-05-07T12:22:00Z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