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6D102C" w14:paraId="44142370" w14:textId="77777777" w:rsidTr="000D6EAB">
        <w:trPr>
          <w:cantSplit/>
          <w:trHeight w:val="1276"/>
        </w:trPr>
        <w:tc>
          <w:tcPr>
            <w:tcW w:w="1985" w:type="dxa"/>
          </w:tcPr>
          <w:p w14:paraId="116B1722" w14:textId="77777777" w:rsidR="00AE1244" w:rsidRPr="006D102C" w:rsidRDefault="000E1F4F" w:rsidP="00A259A2">
            <w:pPr>
              <w:spacing w:after="40"/>
              <w:rPr>
                <w:b/>
                <w:bCs/>
                <w:sz w:val="30"/>
                <w:szCs w:val="30"/>
              </w:rPr>
            </w:pPr>
            <w:r w:rsidRPr="006D102C">
              <w:rPr>
                <w:b/>
                <w:bCs/>
                <w:sz w:val="30"/>
                <w:szCs w:val="30"/>
              </w:rPr>
              <w:drawing>
                <wp:inline distT="0" distB="0" distL="0" distR="0" wp14:anchorId="36A54F6C" wp14:editId="067845A8">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54632ED8" w14:textId="77777777" w:rsidR="008E1A73" w:rsidRPr="006D102C" w:rsidRDefault="008E1A73" w:rsidP="002978E6">
            <w:pPr>
              <w:tabs>
                <w:tab w:val="clear" w:pos="1134"/>
              </w:tabs>
              <w:spacing w:before="240" w:after="240" w:line="240" w:lineRule="atLeast"/>
              <w:ind w:left="34"/>
              <w:rPr>
                <w:b/>
                <w:bCs/>
                <w:sz w:val="30"/>
                <w:szCs w:val="30"/>
              </w:rPr>
            </w:pPr>
            <w:r w:rsidRPr="006D102C">
              <w:rPr>
                <w:b/>
                <w:bCs/>
                <w:sz w:val="30"/>
                <w:szCs w:val="30"/>
              </w:rPr>
              <w:t xml:space="preserve">Консультативная группа </w:t>
            </w:r>
            <w:r w:rsidRPr="006D102C">
              <w:rPr>
                <w:b/>
                <w:bCs/>
                <w:sz w:val="30"/>
                <w:szCs w:val="30"/>
              </w:rPr>
              <w:br/>
              <w:t>по развитию электросвязи (КГРЭ)</w:t>
            </w:r>
          </w:p>
          <w:p w14:paraId="7C08F6D9" w14:textId="77777777" w:rsidR="00AE1244" w:rsidRPr="006D102C" w:rsidRDefault="00AE1244" w:rsidP="00294BF6">
            <w:pPr>
              <w:tabs>
                <w:tab w:val="clear" w:pos="1134"/>
              </w:tabs>
              <w:spacing w:after="48" w:line="240" w:lineRule="atLeast"/>
              <w:ind w:left="34"/>
              <w:rPr>
                <w:b/>
                <w:bCs/>
                <w:szCs w:val="22"/>
              </w:rPr>
            </w:pPr>
            <w:r w:rsidRPr="006D102C">
              <w:rPr>
                <w:rFonts w:cstheme="minorHAnsi"/>
                <w:b/>
                <w:bCs/>
                <w:szCs w:val="22"/>
                <w:lang w:eastAsia="zh-CN"/>
              </w:rPr>
              <w:t>32-е собрание, Женева, Швейцария, 12–16 мая 2025 года</w:t>
            </w:r>
          </w:p>
        </w:tc>
        <w:tc>
          <w:tcPr>
            <w:tcW w:w="1384" w:type="dxa"/>
          </w:tcPr>
          <w:p w14:paraId="7EF2CFA0" w14:textId="77777777" w:rsidR="00AE1244" w:rsidRPr="006D102C" w:rsidRDefault="00AE1244" w:rsidP="00303F7C">
            <w:pPr>
              <w:spacing w:before="240" w:after="120"/>
              <w:jc w:val="right"/>
              <w:rPr>
                <w:rFonts w:cstheme="minorHAnsi"/>
              </w:rPr>
            </w:pPr>
            <w:bookmarkStart w:id="0" w:name="ditulogo"/>
            <w:bookmarkEnd w:id="0"/>
            <w:r w:rsidRPr="006D102C">
              <w:rPr>
                <w:lang w:eastAsia="fr-FR"/>
              </w:rPr>
              <w:drawing>
                <wp:inline distT="0" distB="0" distL="0" distR="0" wp14:anchorId="27CAF9AE" wp14:editId="30D9519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6D102C" w14:paraId="7524CD5D" w14:textId="77777777" w:rsidTr="005C3173">
        <w:trPr>
          <w:cantSplit/>
        </w:trPr>
        <w:tc>
          <w:tcPr>
            <w:tcW w:w="6663" w:type="dxa"/>
            <w:gridSpan w:val="2"/>
            <w:tcBorders>
              <w:top w:val="single" w:sz="12" w:space="0" w:color="auto"/>
            </w:tcBorders>
          </w:tcPr>
          <w:p w14:paraId="53A05255" w14:textId="77777777" w:rsidR="00D83BF5" w:rsidRPr="006D102C"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48836E21" w14:textId="77777777" w:rsidR="00D83BF5" w:rsidRPr="006D102C" w:rsidRDefault="00D83BF5" w:rsidP="00CE66E4">
            <w:pPr>
              <w:spacing w:before="0"/>
              <w:rPr>
                <w:rFonts w:cstheme="minorHAnsi"/>
                <w:sz w:val="20"/>
              </w:rPr>
            </w:pPr>
          </w:p>
        </w:tc>
      </w:tr>
      <w:tr w:rsidR="00D87035" w:rsidRPr="006D102C" w14:paraId="04F6E3F9" w14:textId="77777777" w:rsidTr="005C3173">
        <w:trPr>
          <w:cantSplit/>
          <w:trHeight w:val="23"/>
        </w:trPr>
        <w:tc>
          <w:tcPr>
            <w:tcW w:w="6663" w:type="dxa"/>
            <w:gridSpan w:val="2"/>
            <w:shd w:val="clear" w:color="auto" w:fill="auto"/>
          </w:tcPr>
          <w:p w14:paraId="1FE75FC6" w14:textId="77777777" w:rsidR="00D87035" w:rsidRPr="006D102C"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0A51F37E" w14:textId="5FD0A5DD" w:rsidR="00D87035" w:rsidRPr="006D102C" w:rsidRDefault="005E032D" w:rsidP="00CE66E4">
            <w:pPr>
              <w:tabs>
                <w:tab w:val="left" w:pos="851"/>
              </w:tabs>
              <w:spacing w:before="0"/>
              <w:rPr>
                <w:rFonts w:cstheme="minorHAnsi"/>
                <w:szCs w:val="22"/>
              </w:rPr>
            </w:pPr>
            <w:r w:rsidRPr="006D102C">
              <w:rPr>
                <w:b/>
                <w:bCs/>
                <w:szCs w:val="22"/>
              </w:rPr>
              <w:t>Документ</w:t>
            </w:r>
            <w:r w:rsidR="00D87035" w:rsidRPr="006D102C">
              <w:rPr>
                <w:b/>
                <w:bCs/>
                <w:szCs w:val="22"/>
              </w:rPr>
              <w:t xml:space="preserve"> </w:t>
            </w:r>
            <w:bookmarkStart w:id="4" w:name="DocRef1"/>
            <w:bookmarkEnd w:id="4"/>
            <w:r w:rsidR="00D87035" w:rsidRPr="006D102C">
              <w:rPr>
                <w:b/>
                <w:bCs/>
                <w:szCs w:val="22"/>
              </w:rPr>
              <w:t>TDAG-</w:t>
            </w:r>
            <w:r w:rsidR="00523934" w:rsidRPr="006D102C">
              <w:rPr>
                <w:b/>
                <w:bCs/>
                <w:szCs w:val="22"/>
              </w:rPr>
              <w:t>2</w:t>
            </w:r>
            <w:r w:rsidR="0081159E" w:rsidRPr="006D102C">
              <w:rPr>
                <w:b/>
                <w:bCs/>
                <w:szCs w:val="22"/>
              </w:rPr>
              <w:t>5</w:t>
            </w:r>
            <w:r w:rsidR="00D87035" w:rsidRPr="006D102C">
              <w:rPr>
                <w:b/>
                <w:bCs/>
                <w:szCs w:val="22"/>
              </w:rPr>
              <w:t>/</w:t>
            </w:r>
            <w:bookmarkStart w:id="5" w:name="DocNo1"/>
            <w:bookmarkEnd w:id="5"/>
            <w:r w:rsidR="00DE2407" w:rsidRPr="006D102C">
              <w:rPr>
                <w:b/>
                <w:bCs/>
                <w:szCs w:val="22"/>
              </w:rPr>
              <w:t>2</w:t>
            </w:r>
            <w:r w:rsidR="00D87035" w:rsidRPr="006D102C">
              <w:rPr>
                <w:b/>
                <w:bCs/>
                <w:szCs w:val="22"/>
              </w:rPr>
              <w:t>-</w:t>
            </w:r>
            <w:r w:rsidRPr="006D102C">
              <w:rPr>
                <w:b/>
                <w:bCs/>
                <w:szCs w:val="22"/>
              </w:rPr>
              <w:t>R</w:t>
            </w:r>
          </w:p>
        </w:tc>
      </w:tr>
      <w:tr w:rsidR="00D87035" w:rsidRPr="006D102C" w14:paraId="2785CDBD" w14:textId="77777777" w:rsidTr="005C3173">
        <w:trPr>
          <w:cantSplit/>
          <w:trHeight w:val="23"/>
        </w:trPr>
        <w:tc>
          <w:tcPr>
            <w:tcW w:w="6663" w:type="dxa"/>
            <w:gridSpan w:val="2"/>
            <w:shd w:val="clear" w:color="auto" w:fill="auto"/>
          </w:tcPr>
          <w:p w14:paraId="0E94679B" w14:textId="77777777" w:rsidR="00D87035" w:rsidRPr="006D102C"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6E5755DC" w14:textId="6A144760" w:rsidR="00D87035" w:rsidRPr="006D102C" w:rsidRDefault="00EF7637" w:rsidP="00CE66E4">
            <w:pPr>
              <w:spacing w:before="0"/>
              <w:rPr>
                <w:rFonts w:cstheme="minorHAnsi"/>
                <w:szCs w:val="22"/>
              </w:rPr>
            </w:pPr>
            <w:r w:rsidRPr="006D102C">
              <w:rPr>
                <w:b/>
                <w:bCs/>
                <w:szCs w:val="22"/>
              </w:rPr>
              <w:t>4 апреля</w:t>
            </w:r>
            <w:r w:rsidR="0081159E" w:rsidRPr="006D102C">
              <w:rPr>
                <w:b/>
                <w:bCs/>
                <w:szCs w:val="22"/>
              </w:rPr>
              <w:t xml:space="preserve"> </w:t>
            </w:r>
            <w:r w:rsidR="002955DA" w:rsidRPr="006D102C">
              <w:rPr>
                <w:b/>
                <w:bCs/>
                <w:szCs w:val="22"/>
              </w:rPr>
              <w:t>2025</w:t>
            </w:r>
            <w:r w:rsidR="005E032D" w:rsidRPr="006D102C">
              <w:rPr>
                <w:b/>
                <w:bCs/>
                <w:szCs w:val="22"/>
              </w:rPr>
              <w:t xml:space="preserve"> года</w:t>
            </w:r>
          </w:p>
        </w:tc>
      </w:tr>
      <w:bookmarkEnd w:id="6"/>
      <w:bookmarkEnd w:id="7"/>
      <w:tr w:rsidR="00D87035" w:rsidRPr="006D102C" w14:paraId="1BC2444C" w14:textId="77777777" w:rsidTr="005C3173">
        <w:trPr>
          <w:cantSplit/>
          <w:trHeight w:val="23"/>
        </w:trPr>
        <w:tc>
          <w:tcPr>
            <w:tcW w:w="6663" w:type="dxa"/>
            <w:gridSpan w:val="2"/>
            <w:shd w:val="clear" w:color="auto" w:fill="auto"/>
          </w:tcPr>
          <w:p w14:paraId="53328607" w14:textId="77777777" w:rsidR="00D87035" w:rsidRPr="006D102C" w:rsidRDefault="00D87035" w:rsidP="00CE66E4">
            <w:pPr>
              <w:tabs>
                <w:tab w:val="left" w:pos="851"/>
              </w:tabs>
              <w:spacing w:before="0"/>
              <w:rPr>
                <w:rFonts w:cstheme="minorHAnsi"/>
                <w:szCs w:val="24"/>
              </w:rPr>
            </w:pPr>
          </w:p>
        </w:tc>
        <w:tc>
          <w:tcPr>
            <w:tcW w:w="3368" w:type="dxa"/>
            <w:gridSpan w:val="2"/>
          </w:tcPr>
          <w:p w14:paraId="544CA77D" w14:textId="77777777" w:rsidR="00D87035" w:rsidRPr="006D102C" w:rsidRDefault="005E032D" w:rsidP="00CE66E4">
            <w:pPr>
              <w:tabs>
                <w:tab w:val="left" w:pos="993"/>
              </w:tabs>
              <w:spacing w:before="0"/>
              <w:rPr>
                <w:rFonts w:cstheme="minorHAnsi"/>
                <w:b/>
                <w:szCs w:val="22"/>
              </w:rPr>
            </w:pPr>
            <w:r w:rsidRPr="006D102C">
              <w:rPr>
                <w:b/>
                <w:bCs/>
                <w:szCs w:val="22"/>
              </w:rPr>
              <w:t>Оригинал</w:t>
            </w:r>
            <w:r w:rsidR="00D87035" w:rsidRPr="006D102C">
              <w:rPr>
                <w:b/>
                <w:bCs/>
                <w:szCs w:val="22"/>
              </w:rPr>
              <w:t xml:space="preserve">: </w:t>
            </w:r>
            <w:r w:rsidRPr="006D102C">
              <w:rPr>
                <w:b/>
                <w:bCs/>
                <w:szCs w:val="22"/>
              </w:rPr>
              <w:t>английский</w:t>
            </w:r>
          </w:p>
        </w:tc>
      </w:tr>
      <w:tr w:rsidR="00D83BF5" w:rsidRPr="006D102C" w14:paraId="7D629537" w14:textId="77777777" w:rsidTr="00D87035">
        <w:trPr>
          <w:cantSplit/>
          <w:trHeight w:val="23"/>
        </w:trPr>
        <w:tc>
          <w:tcPr>
            <w:tcW w:w="10031" w:type="dxa"/>
            <w:gridSpan w:val="4"/>
            <w:shd w:val="clear" w:color="auto" w:fill="auto"/>
          </w:tcPr>
          <w:p w14:paraId="06C2E1F1" w14:textId="3736E641" w:rsidR="00D83BF5" w:rsidRPr="006D102C" w:rsidRDefault="00BB5F84" w:rsidP="006774C6">
            <w:pPr>
              <w:pStyle w:val="Source"/>
            </w:pPr>
            <w:bookmarkStart w:id="8" w:name="dbluepink" w:colFirst="0" w:colLast="0"/>
            <w:bookmarkStart w:id="9" w:name="dorlang" w:colFirst="1" w:colLast="1"/>
            <w:r w:rsidRPr="006D102C">
              <w:rPr>
                <w:bCs/>
              </w:rPr>
              <w:t>Директор Бюро развития электросвязи</w:t>
            </w:r>
          </w:p>
        </w:tc>
      </w:tr>
      <w:tr w:rsidR="00D83BF5" w:rsidRPr="006D102C" w14:paraId="7FB1F105" w14:textId="77777777" w:rsidTr="00D87035">
        <w:trPr>
          <w:cantSplit/>
          <w:trHeight w:val="23"/>
        </w:trPr>
        <w:tc>
          <w:tcPr>
            <w:tcW w:w="10031" w:type="dxa"/>
            <w:gridSpan w:val="4"/>
            <w:shd w:val="clear" w:color="auto" w:fill="auto"/>
            <w:vAlign w:val="center"/>
          </w:tcPr>
          <w:p w14:paraId="4A0367CD" w14:textId="317A2B74" w:rsidR="00D83BF5" w:rsidRPr="006D102C" w:rsidRDefault="00BB5F84" w:rsidP="006774C6">
            <w:pPr>
              <w:pStyle w:val="Title1"/>
              <w:rPr>
                <w:caps/>
              </w:rPr>
            </w:pPr>
            <w:r w:rsidRPr="006D102C">
              <w:t>Отчет о выполнении Кигалийского плана действий (КПД)</w:t>
            </w:r>
          </w:p>
        </w:tc>
      </w:tr>
      <w:tr w:rsidR="00D83BF5" w:rsidRPr="006D102C" w14:paraId="6A2CAAC4" w14:textId="77777777" w:rsidTr="00D87035">
        <w:trPr>
          <w:cantSplit/>
          <w:trHeight w:val="23"/>
        </w:trPr>
        <w:tc>
          <w:tcPr>
            <w:tcW w:w="10031" w:type="dxa"/>
            <w:gridSpan w:val="4"/>
            <w:tcBorders>
              <w:bottom w:val="single" w:sz="4" w:space="0" w:color="auto"/>
            </w:tcBorders>
            <w:shd w:val="clear" w:color="auto" w:fill="auto"/>
          </w:tcPr>
          <w:p w14:paraId="68784CF1" w14:textId="77777777" w:rsidR="00D83BF5" w:rsidRPr="006D102C" w:rsidRDefault="00D83BF5" w:rsidP="00403C69">
            <w:pPr>
              <w:pStyle w:val="Title1"/>
              <w:spacing w:before="120" w:after="120"/>
              <w:jc w:val="left"/>
              <w:rPr>
                <w:rFonts w:cs="Times New Roman Bold"/>
                <w:caps/>
                <w:szCs w:val="28"/>
              </w:rPr>
            </w:pPr>
          </w:p>
        </w:tc>
      </w:tr>
      <w:tr w:rsidR="001E252D" w:rsidRPr="006D102C" w14:paraId="70754A81" w14:textId="77777777" w:rsidTr="00D8703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4EA00CA6" w14:textId="77777777" w:rsidR="005E032D" w:rsidRPr="006D102C" w:rsidRDefault="005E032D" w:rsidP="00EB4AE6">
            <w:pPr>
              <w:pStyle w:val="Headingb"/>
              <w:rPr>
                <w:szCs w:val="22"/>
                <w:lang w:val="ru-RU"/>
              </w:rPr>
            </w:pPr>
            <w:r w:rsidRPr="006D102C">
              <w:rPr>
                <w:szCs w:val="22"/>
                <w:lang w:val="ru-RU"/>
              </w:rPr>
              <w:t>Резюме</w:t>
            </w:r>
          </w:p>
          <w:p w14:paraId="6D122846" w14:textId="64B67200" w:rsidR="001E252D" w:rsidRPr="006D102C" w:rsidRDefault="00BB5F84" w:rsidP="00EB4AE6">
            <w:pPr>
              <w:rPr>
                <w:szCs w:val="22"/>
              </w:rPr>
            </w:pPr>
            <w:r w:rsidRPr="006D102C">
              <w:rPr>
                <w:szCs w:val="22"/>
              </w:rPr>
              <w:t xml:space="preserve">В данном документе представлен отчет о выполнении Кигалийского плана действий (КПД) с </w:t>
            </w:r>
            <w:r w:rsidRPr="006D102C">
              <w:rPr>
                <w:b/>
                <w:bCs/>
                <w:szCs w:val="22"/>
              </w:rPr>
              <w:t>мая 2024</w:t>
            </w:r>
            <w:r w:rsidR="00065B6C" w:rsidRPr="006D102C">
              <w:rPr>
                <w:b/>
                <w:bCs/>
                <w:szCs w:val="22"/>
              </w:rPr>
              <w:t> </w:t>
            </w:r>
            <w:r w:rsidRPr="006D102C">
              <w:rPr>
                <w:b/>
                <w:bCs/>
                <w:szCs w:val="22"/>
              </w:rPr>
              <w:t>года по апрель 2025 года</w:t>
            </w:r>
            <w:r w:rsidRPr="006D102C">
              <w:rPr>
                <w:szCs w:val="22"/>
              </w:rPr>
              <w:t xml:space="preserve">, в котором освещаются основные достижения по регионам в соответствии с целями КПД. Информация о выполнении Кигалийского плана действий за период с июня 2023 года по апрель 2024 года содержится в Документе </w:t>
            </w:r>
            <w:hyperlink r:id="rId13" w:history="1">
              <w:r w:rsidRPr="006D102C">
                <w:rPr>
                  <w:rStyle w:val="Hyperlink"/>
                  <w:szCs w:val="22"/>
                </w:rPr>
                <w:t>TDAG-24/2</w:t>
              </w:r>
            </w:hyperlink>
            <w:r w:rsidRPr="006D102C">
              <w:rPr>
                <w:szCs w:val="22"/>
              </w:rPr>
              <w:t>.</w:t>
            </w:r>
          </w:p>
          <w:p w14:paraId="6C9FFBD0" w14:textId="77777777" w:rsidR="005E032D" w:rsidRPr="006D102C" w:rsidRDefault="005E032D" w:rsidP="00EB4AE6">
            <w:pPr>
              <w:pStyle w:val="Headingb"/>
              <w:rPr>
                <w:szCs w:val="22"/>
                <w:lang w:val="ru-RU"/>
              </w:rPr>
            </w:pPr>
            <w:r w:rsidRPr="006D102C">
              <w:rPr>
                <w:szCs w:val="22"/>
                <w:lang w:val="ru-RU"/>
              </w:rPr>
              <w:t>Необходимые действия</w:t>
            </w:r>
          </w:p>
          <w:p w14:paraId="508C5A77" w14:textId="214CC0EE" w:rsidR="001E252D" w:rsidRPr="006D102C" w:rsidRDefault="00BB5F84" w:rsidP="00EB4AE6">
            <w:pPr>
              <w:rPr>
                <w:szCs w:val="22"/>
              </w:rPr>
            </w:pPr>
            <w:r w:rsidRPr="006D102C">
              <w:rPr>
                <w:szCs w:val="22"/>
              </w:rPr>
              <w:t>КГРЭ предлагается рассмотреть этот отчет и дать рекомендации, если это будет сочтено целесообразным.</w:t>
            </w:r>
          </w:p>
          <w:p w14:paraId="33776378" w14:textId="77777777" w:rsidR="001E252D" w:rsidRPr="006D102C" w:rsidRDefault="004A3CDF" w:rsidP="00EB4AE6">
            <w:pPr>
              <w:rPr>
                <w:b/>
                <w:bCs/>
                <w:szCs w:val="22"/>
              </w:rPr>
            </w:pPr>
            <w:r w:rsidRPr="006D102C">
              <w:rPr>
                <w:b/>
                <w:bCs/>
                <w:szCs w:val="22"/>
              </w:rPr>
              <w:t>Справочные материалы</w:t>
            </w:r>
          </w:p>
          <w:p w14:paraId="68F35177" w14:textId="77777777" w:rsidR="00BB5F84" w:rsidRPr="006D102C" w:rsidRDefault="00BB5F84" w:rsidP="00BB5F84">
            <w:pPr>
              <w:spacing w:after="120"/>
              <w:rPr>
                <w:szCs w:val="22"/>
              </w:rPr>
            </w:pPr>
            <w:r w:rsidRPr="006D102C">
              <w:rPr>
                <w:szCs w:val="22"/>
              </w:rPr>
              <w:t>Кигалийский план действий ВКРЭ-22</w:t>
            </w:r>
          </w:p>
          <w:p w14:paraId="062FBD14" w14:textId="355D2386" w:rsidR="001E252D" w:rsidRPr="006D102C" w:rsidRDefault="00BB5F84" w:rsidP="00BB5F84">
            <w:pPr>
              <w:spacing w:after="120"/>
            </w:pPr>
            <w:r w:rsidRPr="006D102C">
              <w:rPr>
                <w:szCs w:val="22"/>
              </w:rPr>
              <w:t xml:space="preserve">Документ </w:t>
            </w:r>
            <w:hyperlink r:id="rId14" w:history="1">
              <w:r w:rsidRPr="006D102C">
                <w:rPr>
                  <w:rStyle w:val="Hyperlink"/>
                  <w:szCs w:val="22"/>
                </w:rPr>
                <w:t>TDAG-24/2</w:t>
              </w:r>
            </w:hyperlink>
          </w:p>
        </w:tc>
      </w:tr>
      <w:bookmarkEnd w:id="8"/>
      <w:bookmarkEnd w:id="9"/>
    </w:tbl>
    <w:p w14:paraId="3BC9DD5E" w14:textId="77777777" w:rsidR="00BB5F84" w:rsidRPr="006D102C" w:rsidRDefault="00BB5F84" w:rsidP="00BB5F84">
      <w:r w:rsidRPr="006D102C">
        <w:br w:type="page"/>
      </w:r>
    </w:p>
    <w:p w14:paraId="33ABCD5B" w14:textId="6EDFEB81" w:rsidR="001E252D" w:rsidRPr="006D102C" w:rsidRDefault="00BB5F84" w:rsidP="00BB5F84">
      <w:pPr>
        <w:jc w:val="center"/>
        <w:rPr>
          <w:b/>
          <w:bCs/>
        </w:rPr>
      </w:pPr>
      <w:r w:rsidRPr="006D102C">
        <w:rPr>
          <w:b/>
          <w:bCs/>
        </w:rPr>
        <w:lastRenderedPageBreak/>
        <w:t>Содержание</w:t>
      </w:r>
    </w:p>
    <w:p w14:paraId="74509237" w14:textId="196B0DE7" w:rsidR="00BB5F84" w:rsidRPr="006D102C" w:rsidRDefault="00BB5F84" w:rsidP="00BB5F84">
      <w:pPr>
        <w:jc w:val="right"/>
        <w:rPr>
          <w:b/>
          <w:bCs/>
        </w:rPr>
      </w:pPr>
      <w:r w:rsidRPr="006D102C">
        <w:rPr>
          <w:b/>
          <w:bCs/>
        </w:rPr>
        <w:t>Стр.</w:t>
      </w:r>
    </w:p>
    <w:p w14:paraId="108D974C" w14:textId="5DEBD8F4" w:rsidR="00CE67E6" w:rsidRPr="006D102C" w:rsidRDefault="00CE67E6" w:rsidP="00065B6C">
      <w:pPr>
        <w:pStyle w:val="TOC1"/>
        <w:tabs>
          <w:tab w:val="clear" w:pos="7938"/>
          <w:tab w:val="clear" w:pos="9526"/>
          <w:tab w:val="left" w:leader="dot" w:pos="8640"/>
          <w:tab w:val="right" w:pos="9630"/>
        </w:tabs>
        <w:spacing w:before="120"/>
        <w:ind w:left="562" w:hanging="562"/>
        <w:rPr>
          <w:rFonts w:asciiTheme="minorHAnsi" w:eastAsiaTheme="minorEastAsia" w:hAnsiTheme="minorHAnsi" w:cstheme="minorBidi"/>
          <w:kern w:val="2"/>
          <w:sz w:val="24"/>
          <w:szCs w:val="24"/>
          <w:lang w:eastAsia="en-GB"/>
          <w14:ligatures w14:val="standardContextual"/>
        </w:rPr>
      </w:pPr>
      <w:r w:rsidRPr="006D102C">
        <w:fldChar w:fldCharType="begin"/>
      </w:r>
      <w:r w:rsidRPr="006D102C">
        <w:instrText xml:space="preserve"> TOC \h \z \t "Table_head,1" </w:instrText>
      </w:r>
      <w:r w:rsidRPr="006D102C">
        <w:fldChar w:fldCharType="separate"/>
      </w:r>
      <w:hyperlink w:anchor="_Toc197426998" w:history="1">
        <w:r w:rsidRPr="006D102C">
          <w:rPr>
            <w:rStyle w:val="Hyperlink"/>
          </w:rPr>
          <w:t xml:space="preserve">Приоритет 1 МСЭ-D: Возможность установления приемлемых в ценовом </w:t>
        </w:r>
        <w:r w:rsidRPr="006D102C">
          <w:rPr>
            <w:rStyle w:val="Hyperlink"/>
          </w:rPr>
          <w:br/>
          <w:t>отношении соединений</w:t>
        </w:r>
        <w:r w:rsidRPr="006D102C">
          <w:rPr>
            <w:webHidden/>
          </w:rPr>
          <w:tab/>
        </w:r>
        <w:r w:rsidRPr="006D102C">
          <w:rPr>
            <w:webHidden/>
          </w:rPr>
          <w:tab/>
        </w:r>
        <w:r w:rsidRPr="006D102C">
          <w:rPr>
            <w:webHidden/>
          </w:rPr>
          <w:fldChar w:fldCharType="begin"/>
        </w:r>
        <w:r w:rsidRPr="006D102C">
          <w:rPr>
            <w:webHidden/>
          </w:rPr>
          <w:instrText xml:space="preserve"> PAGEREF _Toc197426998 \h </w:instrText>
        </w:r>
        <w:r w:rsidRPr="006D102C">
          <w:rPr>
            <w:webHidden/>
          </w:rPr>
        </w:r>
        <w:r w:rsidRPr="006D102C">
          <w:rPr>
            <w:webHidden/>
          </w:rPr>
          <w:fldChar w:fldCharType="separate"/>
        </w:r>
        <w:r w:rsidR="00FF2D8F" w:rsidRPr="006D102C">
          <w:rPr>
            <w:webHidden/>
          </w:rPr>
          <w:t>3</w:t>
        </w:r>
        <w:r w:rsidRPr="006D102C">
          <w:rPr>
            <w:webHidden/>
          </w:rPr>
          <w:fldChar w:fldCharType="end"/>
        </w:r>
      </w:hyperlink>
    </w:p>
    <w:p w14:paraId="36AD49FE" w14:textId="578D0DAE" w:rsidR="00CE67E6" w:rsidRPr="006D102C" w:rsidRDefault="00CE67E6" w:rsidP="00065B6C">
      <w:pPr>
        <w:pStyle w:val="TOC1"/>
        <w:tabs>
          <w:tab w:val="clear" w:pos="7938"/>
          <w:tab w:val="clear" w:pos="9526"/>
          <w:tab w:val="left" w:leader="dot" w:pos="8640"/>
          <w:tab w:val="right" w:pos="9630"/>
        </w:tabs>
        <w:spacing w:before="120"/>
        <w:ind w:left="562" w:hanging="562"/>
        <w:rPr>
          <w:rFonts w:asciiTheme="minorHAnsi" w:eastAsiaTheme="minorEastAsia" w:hAnsiTheme="minorHAnsi" w:cstheme="minorBidi"/>
          <w:kern w:val="2"/>
          <w:sz w:val="24"/>
          <w:szCs w:val="24"/>
          <w:lang w:eastAsia="en-GB"/>
          <w14:ligatures w14:val="standardContextual"/>
        </w:rPr>
      </w:pPr>
      <w:hyperlink w:anchor="_Toc197427000" w:history="1">
        <w:r w:rsidRPr="006D102C">
          <w:rPr>
            <w:rStyle w:val="Hyperlink"/>
          </w:rPr>
          <w:t>Приоритет 2 МСЭ-D: Цифровая трансформация</w:t>
        </w:r>
        <w:r w:rsidRPr="006D102C">
          <w:rPr>
            <w:webHidden/>
          </w:rPr>
          <w:tab/>
        </w:r>
        <w:r w:rsidRPr="006D102C">
          <w:rPr>
            <w:webHidden/>
          </w:rPr>
          <w:tab/>
        </w:r>
        <w:r w:rsidRPr="006D102C">
          <w:rPr>
            <w:webHidden/>
          </w:rPr>
          <w:fldChar w:fldCharType="begin"/>
        </w:r>
        <w:r w:rsidRPr="006D102C">
          <w:rPr>
            <w:webHidden/>
          </w:rPr>
          <w:instrText xml:space="preserve"> PAGEREF _Toc197427000 \h </w:instrText>
        </w:r>
        <w:r w:rsidRPr="006D102C">
          <w:rPr>
            <w:webHidden/>
          </w:rPr>
        </w:r>
        <w:r w:rsidRPr="006D102C">
          <w:rPr>
            <w:webHidden/>
          </w:rPr>
          <w:fldChar w:fldCharType="separate"/>
        </w:r>
        <w:r w:rsidR="00FF2D8F" w:rsidRPr="006D102C">
          <w:rPr>
            <w:webHidden/>
          </w:rPr>
          <w:t>21</w:t>
        </w:r>
        <w:r w:rsidRPr="006D102C">
          <w:rPr>
            <w:webHidden/>
          </w:rPr>
          <w:fldChar w:fldCharType="end"/>
        </w:r>
      </w:hyperlink>
    </w:p>
    <w:p w14:paraId="5ECC8261" w14:textId="555F73DF" w:rsidR="00CE67E6" w:rsidRPr="006D102C" w:rsidRDefault="00CE67E6" w:rsidP="00065B6C">
      <w:pPr>
        <w:pStyle w:val="TOC1"/>
        <w:tabs>
          <w:tab w:val="clear" w:pos="7938"/>
          <w:tab w:val="clear" w:pos="9526"/>
          <w:tab w:val="left" w:leader="dot" w:pos="8640"/>
          <w:tab w:val="right" w:pos="9630"/>
        </w:tabs>
        <w:spacing w:before="120"/>
        <w:ind w:left="562" w:hanging="562"/>
        <w:rPr>
          <w:rFonts w:asciiTheme="minorHAnsi" w:eastAsiaTheme="minorEastAsia" w:hAnsiTheme="minorHAnsi" w:cstheme="minorBidi"/>
          <w:kern w:val="2"/>
          <w:sz w:val="24"/>
          <w:szCs w:val="24"/>
          <w:lang w:eastAsia="en-GB"/>
          <w14:ligatures w14:val="standardContextual"/>
        </w:rPr>
      </w:pPr>
      <w:hyperlink w:anchor="_Toc197427002" w:history="1">
        <w:r w:rsidRPr="006D102C">
          <w:rPr>
            <w:rStyle w:val="Hyperlink"/>
          </w:rPr>
          <w:t>Приоритет 3 МСЭ-D: Благоприятная политическая и регуляторная среда</w:t>
        </w:r>
        <w:r w:rsidRPr="006D102C">
          <w:rPr>
            <w:webHidden/>
          </w:rPr>
          <w:tab/>
        </w:r>
        <w:r w:rsidRPr="006D102C">
          <w:rPr>
            <w:webHidden/>
          </w:rPr>
          <w:tab/>
        </w:r>
        <w:r w:rsidRPr="006D102C">
          <w:rPr>
            <w:webHidden/>
          </w:rPr>
          <w:fldChar w:fldCharType="begin"/>
        </w:r>
        <w:r w:rsidRPr="006D102C">
          <w:rPr>
            <w:webHidden/>
          </w:rPr>
          <w:instrText xml:space="preserve"> PAGEREF _Toc197427002 \h </w:instrText>
        </w:r>
        <w:r w:rsidRPr="006D102C">
          <w:rPr>
            <w:webHidden/>
          </w:rPr>
        </w:r>
        <w:r w:rsidRPr="006D102C">
          <w:rPr>
            <w:webHidden/>
          </w:rPr>
          <w:fldChar w:fldCharType="separate"/>
        </w:r>
        <w:r w:rsidR="00FF2D8F" w:rsidRPr="006D102C">
          <w:rPr>
            <w:webHidden/>
          </w:rPr>
          <w:t>31</w:t>
        </w:r>
        <w:r w:rsidRPr="006D102C">
          <w:rPr>
            <w:webHidden/>
          </w:rPr>
          <w:fldChar w:fldCharType="end"/>
        </w:r>
      </w:hyperlink>
    </w:p>
    <w:p w14:paraId="6EE4870E" w14:textId="299591B5" w:rsidR="00CE67E6" w:rsidRPr="006D102C" w:rsidRDefault="00CE67E6" w:rsidP="00065B6C">
      <w:pPr>
        <w:pStyle w:val="TOC1"/>
        <w:tabs>
          <w:tab w:val="clear" w:pos="7938"/>
          <w:tab w:val="clear" w:pos="9526"/>
          <w:tab w:val="left" w:leader="dot" w:pos="8640"/>
          <w:tab w:val="right" w:pos="9630"/>
        </w:tabs>
        <w:spacing w:before="120"/>
        <w:ind w:left="562" w:hanging="562"/>
        <w:rPr>
          <w:rFonts w:asciiTheme="minorHAnsi" w:eastAsiaTheme="minorEastAsia" w:hAnsiTheme="minorHAnsi" w:cstheme="minorBidi"/>
          <w:kern w:val="2"/>
          <w:sz w:val="24"/>
          <w:szCs w:val="24"/>
          <w:lang w:eastAsia="en-GB"/>
          <w14:ligatures w14:val="standardContextual"/>
        </w:rPr>
      </w:pPr>
      <w:hyperlink w:anchor="_Toc197427004" w:history="1">
        <w:r w:rsidRPr="006D102C">
          <w:rPr>
            <w:rStyle w:val="Hyperlink"/>
          </w:rPr>
          <w:t>Приоритет 4 МСЭ-D</w:t>
        </w:r>
        <w:r w:rsidR="007D190D" w:rsidRPr="006D102C">
          <w:rPr>
            <w:rStyle w:val="Hyperlink"/>
          </w:rPr>
          <w:t>:</w:t>
        </w:r>
        <w:r w:rsidRPr="006D102C">
          <w:rPr>
            <w:rStyle w:val="Hyperlink"/>
          </w:rPr>
          <w:t xml:space="preserve"> Инклюзивная и защищенная электросвязь/ИКТ </w:t>
        </w:r>
        <w:r w:rsidR="00065B6C" w:rsidRPr="006D102C">
          <w:rPr>
            <w:rStyle w:val="Hyperlink"/>
          </w:rPr>
          <w:br/>
        </w:r>
        <w:r w:rsidRPr="006D102C">
          <w:rPr>
            <w:rStyle w:val="Hyperlink"/>
          </w:rPr>
          <w:t>для устойчивого развития</w:t>
        </w:r>
        <w:r w:rsidRPr="006D102C">
          <w:rPr>
            <w:webHidden/>
          </w:rPr>
          <w:tab/>
        </w:r>
        <w:r w:rsidR="00065B6C" w:rsidRPr="006D102C">
          <w:rPr>
            <w:webHidden/>
          </w:rPr>
          <w:tab/>
        </w:r>
        <w:r w:rsidRPr="006D102C">
          <w:rPr>
            <w:webHidden/>
          </w:rPr>
          <w:fldChar w:fldCharType="begin"/>
        </w:r>
        <w:r w:rsidRPr="006D102C">
          <w:rPr>
            <w:webHidden/>
          </w:rPr>
          <w:instrText xml:space="preserve"> PAGEREF _Toc197427004 \h </w:instrText>
        </w:r>
        <w:r w:rsidRPr="006D102C">
          <w:rPr>
            <w:webHidden/>
          </w:rPr>
        </w:r>
        <w:r w:rsidRPr="006D102C">
          <w:rPr>
            <w:webHidden/>
          </w:rPr>
          <w:fldChar w:fldCharType="separate"/>
        </w:r>
        <w:r w:rsidR="00FF2D8F" w:rsidRPr="006D102C">
          <w:rPr>
            <w:webHidden/>
          </w:rPr>
          <w:t>51</w:t>
        </w:r>
        <w:r w:rsidRPr="006D102C">
          <w:rPr>
            <w:webHidden/>
          </w:rPr>
          <w:fldChar w:fldCharType="end"/>
        </w:r>
      </w:hyperlink>
    </w:p>
    <w:p w14:paraId="2B63AAAC" w14:textId="28ECE8F6" w:rsidR="00CE67E6" w:rsidRPr="006D102C" w:rsidRDefault="00CE67E6" w:rsidP="00065B6C">
      <w:pPr>
        <w:pStyle w:val="TOC1"/>
        <w:tabs>
          <w:tab w:val="clear" w:pos="7938"/>
          <w:tab w:val="clear" w:pos="9526"/>
          <w:tab w:val="left" w:leader="dot" w:pos="8640"/>
          <w:tab w:val="right" w:pos="9630"/>
        </w:tabs>
        <w:spacing w:before="120"/>
        <w:ind w:left="562" w:hanging="562"/>
        <w:rPr>
          <w:rFonts w:asciiTheme="minorHAnsi" w:eastAsiaTheme="minorEastAsia" w:hAnsiTheme="minorHAnsi" w:cstheme="minorBidi"/>
          <w:kern w:val="2"/>
          <w:sz w:val="24"/>
          <w:szCs w:val="24"/>
          <w:lang w:eastAsia="en-GB"/>
          <w14:ligatures w14:val="standardContextual"/>
        </w:rPr>
      </w:pPr>
      <w:hyperlink w:anchor="_Toc197427006" w:history="1">
        <w:r w:rsidRPr="006D102C">
          <w:rPr>
            <w:rStyle w:val="Hyperlink"/>
          </w:rPr>
          <w:t>Приоритет 5 МСЭ-D: Мобилизация ресурсов, партнерские отношения и международное сотрудничество</w:t>
        </w:r>
        <w:r w:rsidR="0069091F" w:rsidRPr="006D102C">
          <w:rPr>
            <w:rStyle w:val="FootnoteReference"/>
          </w:rPr>
          <w:footnoteReference w:id="2"/>
        </w:r>
        <w:r w:rsidRPr="006D102C">
          <w:rPr>
            <w:webHidden/>
          </w:rPr>
          <w:tab/>
        </w:r>
        <w:r w:rsidRPr="006D102C">
          <w:rPr>
            <w:webHidden/>
          </w:rPr>
          <w:tab/>
        </w:r>
        <w:r w:rsidRPr="006D102C">
          <w:rPr>
            <w:webHidden/>
          </w:rPr>
          <w:fldChar w:fldCharType="begin"/>
        </w:r>
        <w:r w:rsidRPr="006D102C">
          <w:rPr>
            <w:webHidden/>
          </w:rPr>
          <w:instrText xml:space="preserve"> PAGEREF _Toc197427006 \h </w:instrText>
        </w:r>
        <w:r w:rsidRPr="006D102C">
          <w:rPr>
            <w:webHidden/>
          </w:rPr>
        </w:r>
        <w:r w:rsidRPr="006D102C">
          <w:rPr>
            <w:webHidden/>
          </w:rPr>
          <w:fldChar w:fldCharType="separate"/>
        </w:r>
        <w:r w:rsidR="00FF2D8F" w:rsidRPr="006D102C">
          <w:rPr>
            <w:webHidden/>
          </w:rPr>
          <w:t>57</w:t>
        </w:r>
        <w:r w:rsidRPr="006D102C">
          <w:rPr>
            <w:webHidden/>
          </w:rPr>
          <w:fldChar w:fldCharType="end"/>
        </w:r>
      </w:hyperlink>
    </w:p>
    <w:p w14:paraId="2C42A2C1" w14:textId="7CE93952" w:rsidR="00CE67E6" w:rsidRPr="006D102C" w:rsidRDefault="00CE67E6" w:rsidP="00065B6C">
      <w:pPr>
        <w:pStyle w:val="TOC1"/>
        <w:tabs>
          <w:tab w:val="clear" w:pos="7938"/>
          <w:tab w:val="clear" w:pos="9526"/>
          <w:tab w:val="left" w:leader="dot" w:pos="8640"/>
          <w:tab w:val="right" w:pos="9630"/>
        </w:tabs>
        <w:spacing w:before="120"/>
        <w:ind w:left="1109" w:hanging="562"/>
        <w:rPr>
          <w:rFonts w:asciiTheme="minorHAnsi" w:eastAsiaTheme="minorEastAsia" w:hAnsiTheme="minorHAnsi" w:cstheme="minorBidi"/>
          <w:kern w:val="2"/>
          <w:sz w:val="24"/>
          <w:szCs w:val="24"/>
          <w:lang w:eastAsia="en-GB"/>
          <w14:ligatures w14:val="standardContextual"/>
        </w:rPr>
      </w:pPr>
      <w:hyperlink w:anchor="_Toc197427008" w:history="1">
        <w:r w:rsidRPr="006D102C">
          <w:rPr>
            <w:rStyle w:val="Hyperlink"/>
          </w:rPr>
          <w:t>Средство достижения целей 1 МСЭ-D: Ориентация на интересы членов</w:t>
        </w:r>
        <w:r w:rsidRPr="006D102C">
          <w:rPr>
            <w:webHidden/>
          </w:rPr>
          <w:tab/>
        </w:r>
        <w:r w:rsidRPr="006D102C">
          <w:rPr>
            <w:webHidden/>
          </w:rPr>
          <w:tab/>
        </w:r>
        <w:r w:rsidRPr="006D102C">
          <w:rPr>
            <w:webHidden/>
          </w:rPr>
          <w:fldChar w:fldCharType="begin"/>
        </w:r>
        <w:r w:rsidRPr="006D102C">
          <w:rPr>
            <w:webHidden/>
          </w:rPr>
          <w:instrText xml:space="preserve"> PAGEREF _Toc197427008 \h </w:instrText>
        </w:r>
        <w:r w:rsidRPr="006D102C">
          <w:rPr>
            <w:webHidden/>
          </w:rPr>
        </w:r>
        <w:r w:rsidRPr="006D102C">
          <w:rPr>
            <w:webHidden/>
          </w:rPr>
          <w:fldChar w:fldCharType="separate"/>
        </w:r>
        <w:r w:rsidR="00FF2D8F" w:rsidRPr="006D102C">
          <w:rPr>
            <w:webHidden/>
          </w:rPr>
          <w:t>59</w:t>
        </w:r>
        <w:r w:rsidRPr="006D102C">
          <w:rPr>
            <w:webHidden/>
          </w:rPr>
          <w:fldChar w:fldCharType="end"/>
        </w:r>
      </w:hyperlink>
    </w:p>
    <w:p w14:paraId="78A1B22F" w14:textId="7E00A14B" w:rsidR="00CE67E6" w:rsidRPr="006D102C" w:rsidRDefault="00CE67E6" w:rsidP="00065B6C">
      <w:pPr>
        <w:pStyle w:val="TOC1"/>
        <w:tabs>
          <w:tab w:val="clear" w:pos="7938"/>
          <w:tab w:val="clear" w:pos="9526"/>
          <w:tab w:val="left" w:leader="dot" w:pos="8640"/>
          <w:tab w:val="right" w:pos="9630"/>
        </w:tabs>
        <w:spacing w:before="120"/>
        <w:ind w:left="1109" w:hanging="562"/>
        <w:rPr>
          <w:rFonts w:asciiTheme="minorHAnsi" w:eastAsiaTheme="minorEastAsia" w:hAnsiTheme="minorHAnsi" w:cstheme="minorBidi"/>
          <w:kern w:val="2"/>
          <w:sz w:val="24"/>
          <w:szCs w:val="24"/>
          <w:lang w:eastAsia="en-GB"/>
          <w14:ligatures w14:val="standardContextual"/>
        </w:rPr>
      </w:pPr>
      <w:hyperlink w:anchor="_Toc197427010" w:history="1">
        <w:r w:rsidRPr="006D102C">
          <w:rPr>
            <w:rStyle w:val="Hyperlink"/>
          </w:rPr>
          <w:t>Средство достижения целей 2 МСЭ-D: Региональное присутствие</w:t>
        </w:r>
        <w:r w:rsidRPr="006D102C">
          <w:rPr>
            <w:webHidden/>
          </w:rPr>
          <w:tab/>
        </w:r>
        <w:r w:rsidRPr="006D102C">
          <w:rPr>
            <w:webHidden/>
          </w:rPr>
          <w:tab/>
        </w:r>
        <w:r w:rsidRPr="006D102C">
          <w:rPr>
            <w:webHidden/>
          </w:rPr>
          <w:fldChar w:fldCharType="begin"/>
        </w:r>
        <w:r w:rsidRPr="006D102C">
          <w:rPr>
            <w:webHidden/>
          </w:rPr>
          <w:instrText xml:space="preserve"> PAGEREF _Toc197427010 \h </w:instrText>
        </w:r>
        <w:r w:rsidRPr="006D102C">
          <w:rPr>
            <w:webHidden/>
          </w:rPr>
        </w:r>
        <w:r w:rsidRPr="006D102C">
          <w:rPr>
            <w:webHidden/>
          </w:rPr>
          <w:fldChar w:fldCharType="separate"/>
        </w:r>
        <w:r w:rsidR="00FF2D8F" w:rsidRPr="006D102C">
          <w:rPr>
            <w:webHidden/>
          </w:rPr>
          <w:t>64</w:t>
        </w:r>
        <w:r w:rsidRPr="006D102C">
          <w:rPr>
            <w:webHidden/>
          </w:rPr>
          <w:fldChar w:fldCharType="end"/>
        </w:r>
      </w:hyperlink>
    </w:p>
    <w:p w14:paraId="51E44528" w14:textId="0DF15B26" w:rsidR="00CE67E6" w:rsidRPr="006D102C" w:rsidRDefault="00CE67E6" w:rsidP="00065B6C">
      <w:pPr>
        <w:pStyle w:val="TOC1"/>
        <w:tabs>
          <w:tab w:val="clear" w:pos="7938"/>
          <w:tab w:val="clear" w:pos="9526"/>
          <w:tab w:val="left" w:leader="dot" w:pos="8640"/>
          <w:tab w:val="right" w:pos="9630"/>
        </w:tabs>
        <w:spacing w:before="120"/>
        <w:ind w:left="1109" w:hanging="562"/>
        <w:rPr>
          <w:rFonts w:asciiTheme="minorHAnsi" w:eastAsiaTheme="minorEastAsia" w:hAnsiTheme="minorHAnsi" w:cstheme="minorBidi"/>
          <w:kern w:val="2"/>
          <w:sz w:val="24"/>
          <w:szCs w:val="24"/>
          <w:lang w:eastAsia="en-GB"/>
          <w14:ligatures w14:val="standardContextual"/>
        </w:rPr>
      </w:pPr>
      <w:hyperlink w:anchor="_Toc197427012" w:history="1">
        <w:r w:rsidRPr="006D102C">
          <w:rPr>
            <w:rStyle w:val="Hyperlink"/>
          </w:rPr>
          <w:t>Средство достижения целей 3 МСЭ-D: Разнообразие и интеграция</w:t>
        </w:r>
        <w:r w:rsidRPr="006D102C">
          <w:rPr>
            <w:webHidden/>
          </w:rPr>
          <w:tab/>
        </w:r>
        <w:r w:rsidRPr="006D102C">
          <w:rPr>
            <w:webHidden/>
          </w:rPr>
          <w:tab/>
        </w:r>
        <w:r w:rsidRPr="006D102C">
          <w:rPr>
            <w:webHidden/>
          </w:rPr>
          <w:fldChar w:fldCharType="begin"/>
        </w:r>
        <w:r w:rsidRPr="006D102C">
          <w:rPr>
            <w:webHidden/>
          </w:rPr>
          <w:instrText xml:space="preserve"> PAGEREF _Toc197427012 \h </w:instrText>
        </w:r>
        <w:r w:rsidRPr="006D102C">
          <w:rPr>
            <w:webHidden/>
          </w:rPr>
        </w:r>
        <w:r w:rsidRPr="006D102C">
          <w:rPr>
            <w:webHidden/>
          </w:rPr>
          <w:fldChar w:fldCharType="separate"/>
        </w:r>
        <w:r w:rsidR="00FF2D8F" w:rsidRPr="006D102C">
          <w:rPr>
            <w:webHidden/>
          </w:rPr>
          <w:t>66</w:t>
        </w:r>
        <w:r w:rsidRPr="006D102C">
          <w:rPr>
            <w:webHidden/>
          </w:rPr>
          <w:fldChar w:fldCharType="end"/>
        </w:r>
      </w:hyperlink>
    </w:p>
    <w:p w14:paraId="0A543D04" w14:textId="34CCB04F" w:rsidR="00CE67E6" w:rsidRPr="006D102C" w:rsidRDefault="00CE67E6" w:rsidP="00065B6C">
      <w:pPr>
        <w:pStyle w:val="TOC1"/>
        <w:tabs>
          <w:tab w:val="clear" w:pos="7938"/>
          <w:tab w:val="clear" w:pos="9526"/>
          <w:tab w:val="left" w:leader="dot" w:pos="8640"/>
          <w:tab w:val="right" w:pos="9630"/>
        </w:tabs>
        <w:spacing w:before="120"/>
        <w:ind w:left="1109" w:hanging="562"/>
        <w:rPr>
          <w:rFonts w:asciiTheme="minorHAnsi" w:eastAsiaTheme="minorEastAsia" w:hAnsiTheme="minorHAnsi" w:cstheme="minorBidi"/>
          <w:kern w:val="2"/>
          <w:sz w:val="24"/>
          <w:szCs w:val="24"/>
          <w:lang w:eastAsia="en-GB"/>
          <w14:ligatures w14:val="standardContextual"/>
        </w:rPr>
      </w:pPr>
      <w:hyperlink w:anchor="_Toc197427014" w:history="1">
        <w:r w:rsidRPr="006D102C">
          <w:rPr>
            <w:rStyle w:val="Hyperlink"/>
          </w:rPr>
          <w:t>Средство достижения целей 4 МСЭ-D: Приверженность экологической устойчивости</w:t>
        </w:r>
        <w:r w:rsidRPr="006D102C">
          <w:rPr>
            <w:webHidden/>
          </w:rPr>
          <w:tab/>
        </w:r>
        <w:r w:rsidRPr="006D102C">
          <w:rPr>
            <w:webHidden/>
          </w:rPr>
          <w:tab/>
        </w:r>
        <w:r w:rsidRPr="006D102C">
          <w:rPr>
            <w:webHidden/>
          </w:rPr>
          <w:fldChar w:fldCharType="begin"/>
        </w:r>
        <w:r w:rsidRPr="006D102C">
          <w:rPr>
            <w:webHidden/>
          </w:rPr>
          <w:instrText xml:space="preserve"> PAGEREF _Toc197427014 \h </w:instrText>
        </w:r>
        <w:r w:rsidRPr="006D102C">
          <w:rPr>
            <w:webHidden/>
          </w:rPr>
        </w:r>
        <w:r w:rsidRPr="006D102C">
          <w:rPr>
            <w:webHidden/>
          </w:rPr>
          <w:fldChar w:fldCharType="separate"/>
        </w:r>
        <w:r w:rsidR="00FF2D8F" w:rsidRPr="006D102C">
          <w:rPr>
            <w:webHidden/>
          </w:rPr>
          <w:t>73</w:t>
        </w:r>
        <w:r w:rsidRPr="006D102C">
          <w:rPr>
            <w:webHidden/>
          </w:rPr>
          <w:fldChar w:fldCharType="end"/>
        </w:r>
      </w:hyperlink>
    </w:p>
    <w:p w14:paraId="395A330C" w14:textId="00751915" w:rsidR="00CE67E6" w:rsidRPr="006D102C" w:rsidRDefault="00CE67E6" w:rsidP="00065B6C">
      <w:pPr>
        <w:pStyle w:val="TOC1"/>
        <w:tabs>
          <w:tab w:val="clear" w:pos="7938"/>
          <w:tab w:val="clear" w:pos="9526"/>
          <w:tab w:val="left" w:leader="dot" w:pos="8640"/>
          <w:tab w:val="right" w:pos="9630"/>
        </w:tabs>
        <w:spacing w:before="120"/>
        <w:ind w:left="1109" w:hanging="562"/>
        <w:rPr>
          <w:rFonts w:asciiTheme="minorHAnsi" w:eastAsiaTheme="minorEastAsia" w:hAnsiTheme="minorHAnsi" w:cstheme="minorBidi"/>
          <w:kern w:val="2"/>
          <w:sz w:val="24"/>
          <w:szCs w:val="24"/>
          <w:lang w:eastAsia="en-GB"/>
          <w14:ligatures w14:val="standardContextual"/>
        </w:rPr>
      </w:pPr>
      <w:hyperlink w:anchor="_Toc197427016" w:history="1">
        <w:r w:rsidRPr="006D102C">
          <w:rPr>
            <w:rStyle w:val="Hyperlink"/>
          </w:rPr>
          <w:t xml:space="preserve">Средство достижения целей 5 МСЭ-D: Развитие людских ресурсов </w:t>
        </w:r>
        <w:r w:rsidRPr="006D102C">
          <w:rPr>
            <w:rStyle w:val="Hyperlink"/>
          </w:rPr>
          <w:br/>
          <w:t>и организационные инновации</w:t>
        </w:r>
        <w:r w:rsidRPr="006D102C">
          <w:rPr>
            <w:webHidden/>
          </w:rPr>
          <w:tab/>
        </w:r>
        <w:r w:rsidRPr="006D102C">
          <w:rPr>
            <w:webHidden/>
          </w:rPr>
          <w:tab/>
        </w:r>
        <w:r w:rsidRPr="006D102C">
          <w:rPr>
            <w:webHidden/>
          </w:rPr>
          <w:fldChar w:fldCharType="begin"/>
        </w:r>
        <w:r w:rsidRPr="006D102C">
          <w:rPr>
            <w:webHidden/>
          </w:rPr>
          <w:instrText xml:space="preserve"> PAGEREF _Toc197427016 \h </w:instrText>
        </w:r>
        <w:r w:rsidRPr="006D102C">
          <w:rPr>
            <w:webHidden/>
          </w:rPr>
        </w:r>
        <w:r w:rsidRPr="006D102C">
          <w:rPr>
            <w:webHidden/>
          </w:rPr>
          <w:fldChar w:fldCharType="separate"/>
        </w:r>
        <w:r w:rsidR="00FF2D8F" w:rsidRPr="006D102C">
          <w:rPr>
            <w:webHidden/>
          </w:rPr>
          <w:t>77</w:t>
        </w:r>
        <w:r w:rsidRPr="006D102C">
          <w:rPr>
            <w:webHidden/>
          </w:rPr>
          <w:fldChar w:fldCharType="end"/>
        </w:r>
      </w:hyperlink>
    </w:p>
    <w:p w14:paraId="1E65BC5F" w14:textId="167E0B1F" w:rsidR="00BB5F84" w:rsidRPr="006D102C" w:rsidRDefault="00CE67E6" w:rsidP="00CE67E6">
      <w:pPr>
        <w:tabs>
          <w:tab w:val="left" w:leader="dot" w:pos="8640"/>
          <w:tab w:val="right" w:pos="9630"/>
        </w:tabs>
      </w:pPr>
      <w:r w:rsidRPr="006D102C">
        <w:fldChar w:fldCharType="end"/>
      </w:r>
    </w:p>
    <w:p w14:paraId="30225D02" w14:textId="77777777" w:rsidR="00DE2407" w:rsidRPr="006D102C" w:rsidRDefault="00DE2407" w:rsidP="00CE66E4">
      <w:pPr>
        <w:rPr>
          <w:szCs w:val="24"/>
        </w:rPr>
        <w:sectPr w:rsidR="00DE2407" w:rsidRPr="006D102C" w:rsidSect="00CE66E4">
          <w:headerReference w:type="default" r:id="rId15"/>
          <w:footerReference w:type="first" r:id="rId16"/>
          <w:pgSz w:w="11907" w:h="16840" w:code="9"/>
          <w:pgMar w:top="1418" w:right="1134" w:bottom="1418" w:left="1134" w:header="567" w:footer="567" w:gutter="0"/>
          <w:cols w:space="720"/>
          <w:titlePg/>
          <w:docGrid w:linePitch="326"/>
        </w:sectPr>
      </w:pPr>
    </w:p>
    <w:p w14:paraId="6A73AF0D" w14:textId="77777777" w:rsidR="00BB5F84" w:rsidRPr="006D102C" w:rsidRDefault="00BB5F84" w:rsidP="00BB5F84">
      <w:pPr>
        <w:pStyle w:val="Annextitle"/>
        <w:rPr>
          <w:color w:val="FFFFFF" w:themeColor="background1"/>
        </w:rPr>
      </w:pPr>
      <w:r w:rsidRPr="006D102C">
        <w:lastRenderedPageBreak/>
        <w:t>Отчет о ходе выполнения за период с мая 2024 года по апрель 2025 года</w:t>
      </w: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681"/>
        <w:gridCol w:w="8186"/>
        <w:gridCol w:w="3001"/>
      </w:tblGrid>
      <w:tr w:rsidR="00BB5F84" w:rsidRPr="006D102C" w14:paraId="47734BFC" w14:textId="77777777" w:rsidTr="000C2445">
        <w:trPr>
          <w:trHeight w:val="300"/>
        </w:trPr>
        <w:tc>
          <w:tcPr>
            <w:tcW w:w="14868" w:type="dxa"/>
            <w:gridSpan w:val="3"/>
            <w:shd w:val="clear" w:color="auto" w:fill="2F5496"/>
          </w:tcPr>
          <w:p w14:paraId="730F77C3" w14:textId="77777777" w:rsidR="00BB5F84" w:rsidRPr="006D102C" w:rsidRDefault="00BB5F84" w:rsidP="00CE67E6">
            <w:pPr>
              <w:pStyle w:val="Tablehead"/>
              <w:rPr>
                <w:rFonts w:cs="Times New Roman"/>
                <w:color w:val="FFFFFF" w:themeColor="background1"/>
                <w:sz w:val="22"/>
              </w:rPr>
            </w:pPr>
            <w:bookmarkStart w:id="13" w:name="_Toc197426998"/>
            <w:r w:rsidRPr="006D102C">
              <w:rPr>
                <w:color w:val="FFFFFF" w:themeColor="background1"/>
                <w:sz w:val="22"/>
              </w:rPr>
              <w:t>Приоритет 1 МСЭ-D: Возможность установления приемлемых в ценовом отношении соединений</w:t>
            </w:r>
            <w:bookmarkEnd w:id="13"/>
            <w:r w:rsidRPr="006D102C">
              <w:rPr>
                <w:color w:val="FFFFFF" w:themeColor="background1"/>
                <w:sz w:val="22"/>
              </w:rPr>
              <w:t xml:space="preserve"> </w:t>
            </w:r>
          </w:p>
          <w:p w14:paraId="33726AAD" w14:textId="77777777" w:rsidR="00BB5F84" w:rsidRPr="006D102C" w:rsidRDefault="00BB5F84" w:rsidP="00CE67E6">
            <w:pPr>
              <w:pStyle w:val="Tablehead"/>
              <w:rPr>
                <w:rFonts w:cstheme="minorHAnsi"/>
                <w:i/>
                <w:iCs/>
                <w:color w:val="FFFFFF"/>
                <w:sz w:val="22"/>
              </w:rPr>
            </w:pPr>
            <w:bookmarkStart w:id="14" w:name="_Toc197426999"/>
            <w:r w:rsidRPr="006D102C">
              <w:rPr>
                <w:i/>
                <w:iCs/>
                <w:color w:val="FFFFFF" w:themeColor="background1"/>
                <w:sz w:val="22"/>
              </w:rPr>
              <w:t>Содействие развитию защищенной, современной и приемлемой в ценовом отношении инфраструктуры и услуг с помощью электросвязи/ИКТ</w:t>
            </w:r>
            <w:bookmarkEnd w:id="14"/>
          </w:p>
        </w:tc>
      </w:tr>
      <w:tr w:rsidR="00BB5F84" w:rsidRPr="006D102C" w14:paraId="0664EFF7" w14:textId="77777777" w:rsidTr="000C2445">
        <w:trPr>
          <w:trHeight w:val="300"/>
        </w:trPr>
        <w:tc>
          <w:tcPr>
            <w:tcW w:w="14868" w:type="dxa"/>
            <w:gridSpan w:val="3"/>
            <w:shd w:val="clear" w:color="auto" w:fill="E5DFEC" w:themeFill="accent4" w:themeFillTint="33"/>
          </w:tcPr>
          <w:p w14:paraId="2D36D3EC" w14:textId="77777777" w:rsidR="00BB5F84" w:rsidRPr="006D102C" w:rsidRDefault="00BB5F84" w:rsidP="00BB5F84">
            <w:pPr>
              <w:spacing w:after="120"/>
              <w:rPr>
                <w:rFonts w:cstheme="minorHAnsi"/>
                <w:b/>
                <w:bCs/>
                <w:color w:val="1F497D" w:themeColor="text2"/>
              </w:rPr>
            </w:pPr>
            <w:r w:rsidRPr="006D102C">
              <w:rPr>
                <w:rFonts w:cstheme="minorHAnsi"/>
                <w:b/>
                <w:bCs/>
                <w:color w:val="1F497D" w:themeColor="text2"/>
              </w:rPr>
              <w:t>Электросвязь в чрезвычайных ситуациях</w:t>
            </w:r>
          </w:p>
          <w:p w14:paraId="2B6CC241" w14:textId="3E5A8997" w:rsidR="00CC1BED" w:rsidRPr="006D102C" w:rsidRDefault="00BB5F84" w:rsidP="000C2445">
            <w:pPr>
              <w:keepNext/>
              <w:overflowPunct/>
              <w:autoSpaceDE/>
              <w:autoSpaceDN/>
              <w:adjustRightInd/>
              <w:spacing w:after="120"/>
              <w:textAlignment w:val="auto"/>
              <w:rPr>
                <w:i/>
                <w:iCs/>
                <w:color w:val="000000"/>
              </w:rPr>
            </w:pPr>
            <w:r w:rsidRPr="006D102C">
              <w:rPr>
                <w:b/>
                <w:bCs/>
                <w:i/>
                <w:iCs/>
                <w:color w:val="000000"/>
              </w:rPr>
              <w:t>Конечный результат</w:t>
            </w:r>
            <w:r w:rsidRPr="006D102C">
              <w:rPr>
                <w:i/>
                <w:iCs/>
                <w:color w:val="000000"/>
              </w:rPr>
              <w:t>: укрепление потенциала Государств-Членов для использования электросвязи/ИКТ с целью снижения рисков бедствий и управления операциями при бедствиях, для обеспечения доступности электросвязи в чрезвычайных ситуациях и поддержки сотрудничества в этой области</w:t>
            </w:r>
          </w:p>
        </w:tc>
      </w:tr>
      <w:tr w:rsidR="00BB5F84" w:rsidRPr="006D102C" w14:paraId="7C25283A" w14:textId="77777777" w:rsidTr="000C2445">
        <w:trPr>
          <w:trHeight w:val="300"/>
        </w:trPr>
        <w:tc>
          <w:tcPr>
            <w:tcW w:w="11867" w:type="dxa"/>
            <w:gridSpan w:val="2"/>
          </w:tcPr>
          <w:p w14:paraId="69567A9E" w14:textId="77777777" w:rsidR="00BB5F84" w:rsidRPr="006D102C" w:rsidRDefault="00BB5F84" w:rsidP="000C2445">
            <w:pPr>
              <w:keepNext/>
              <w:overflowPunct/>
              <w:autoSpaceDE/>
              <w:autoSpaceDN/>
              <w:adjustRightInd/>
              <w:spacing w:after="120"/>
              <w:jc w:val="center"/>
              <w:textAlignment w:val="auto"/>
              <w:rPr>
                <w:rFonts w:cstheme="minorHAnsi"/>
                <w:b/>
                <w:bCs/>
                <w:color w:val="0070C0"/>
              </w:rPr>
            </w:pPr>
            <w:r w:rsidRPr="006D102C">
              <w:rPr>
                <w:b/>
                <w:bCs/>
                <w:color w:val="0070C0"/>
              </w:rPr>
              <w:t>Намеченные результаты деятельности</w:t>
            </w:r>
          </w:p>
        </w:tc>
        <w:tc>
          <w:tcPr>
            <w:tcW w:w="3001" w:type="dxa"/>
          </w:tcPr>
          <w:p w14:paraId="35AAFFD4" w14:textId="190F206C" w:rsidR="00BB5F84" w:rsidRPr="006D102C" w:rsidRDefault="00BB5F84" w:rsidP="000C2445">
            <w:pPr>
              <w:keepNext/>
              <w:overflowPunct/>
              <w:autoSpaceDE/>
              <w:autoSpaceDN/>
              <w:adjustRightInd/>
              <w:spacing w:after="120"/>
              <w:jc w:val="center"/>
              <w:textAlignment w:val="auto"/>
              <w:rPr>
                <w:rFonts w:cstheme="minorHAnsi"/>
                <w:b/>
                <w:bCs/>
                <w:color w:val="0070C0"/>
              </w:rPr>
            </w:pPr>
            <w:r w:rsidRPr="006D102C">
              <w:rPr>
                <w:rFonts w:cstheme="minorHAnsi"/>
                <w:b/>
                <w:bCs/>
                <w:color w:val="0070C0"/>
              </w:rPr>
              <w:t>Основные моменты</w:t>
            </w:r>
          </w:p>
        </w:tc>
      </w:tr>
      <w:tr w:rsidR="00BB5F84" w:rsidRPr="006D102C" w14:paraId="449CF560" w14:textId="77777777" w:rsidTr="000C2445">
        <w:trPr>
          <w:trHeight w:val="300"/>
        </w:trPr>
        <w:tc>
          <w:tcPr>
            <w:tcW w:w="11867" w:type="dxa"/>
            <w:gridSpan w:val="2"/>
          </w:tcPr>
          <w:p w14:paraId="38852C76" w14:textId="77777777" w:rsidR="00BB5F84" w:rsidRPr="006D102C" w:rsidRDefault="00BB5F84" w:rsidP="00BB5F84">
            <w:pPr>
              <w:rPr>
                <w:rFonts w:cstheme="minorHAnsi"/>
              </w:rPr>
            </w:pPr>
            <w:r w:rsidRPr="006D102C">
              <w:t xml:space="preserve">С мая 2024 года по апрель 2025 года БРЭ укрепляло потенциал Государств-Членов по использованию ИКТ для снижения риска бедствий и управления операциями при бедствиях, а также по обеспечению доступности электросвязи в чрезвычайных ситуациях. </w:t>
            </w:r>
          </w:p>
          <w:p w14:paraId="68077A37" w14:textId="77777777" w:rsidR="00BB5F84" w:rsidRPr="006D102C" w:rsidRDefault="00BB5F84" w:rsidP="00BB5F84">
            <w:pPr>
              <w:rPr>
                <w:rFonts w:cstheme="minorHAnsi"/>
              </w:rPr>
            </w:pPr>
            <w:r w:rsidRPr="006D102C">
              <w:t xml:space="preserve">БРЭ повысило способность членов МСЭ использовать ИКТ для управления операциями при бедствиях, обеспечив разработку основ политической базы и информационной продукции, в частности национальных планов электросвязи в чрезвычайных ситуациях (NETP), а также предоставив техническую помощь, обучение и руководство в области систем раннего предупреждения. БРЭ доставило оборудование для реагирования в случае чрезвычайной ситуации и провело обучение для поддержки стран, пострадавших от бедствий. Так, было произведено внедрение продуктов, в том числе спутникового оборудования, и оказаны услуги, такие как проведение имитационных учений, для содействия Государствам-Членам в повышении уверенности при использовании электросвязи/ИКТ и безопасности их использования. Также БРЭ организовало несколько инициатив и поддержало ряд других, в том числе приняло участие в мероприятиях по созданию национального потенциала, расширению глобальных возможностей электросвязи в чрезвычайных ситуациях и укреплению готовности к бедствиям и повышению эффективности реагирования на них. </w:t>
            </w:r>
          </w:p>
          <w:p w14:paraId="01E87789" w14:textId="77777777" w:rsidR="00BB5F84" w:rsidRPr="006D102C" w:rsidRDefault="00BB5F84" w:rsidP="00BB5F84">
            <w:pPr>
              <w:rPr>
                <w:rFonts w:cstheme="minorHAnsi"/>
              </w:rPr>
            </w:pPr>
            <w:r w:rsidRPr="006D102C">
              <w:t xml:space="preserve">В рамках предложенной Генеральным секретарем ООН инициативы "Системы раннего оповещения для всех" (EW4All) БРЭ оказало поддержку Государствам-Членам в их усилиях по укреплению потенциала использования ИКТ для создания эффективных систем раннего предупреждения и спасения жизней. В частности, БРЭ также продолжило работу по реализации инициативы EW4All, содействуя проведению технических, экономических и регуляторных оценок для внедрения систем раннего предупреждения (EWS). Системы раннего предупреждения на базе подвижной связи и внедрение сотового радиовещания по-прежнему остаются ключевыми технологиями, позволяющими использовать преимущества цифровых сетей, сервисов и мобильных телефонов для спасения жизней. </w:t>
            </w:r>
          </w:p>
          <w:p w14:paraId="4E3E774B" w14:textId="1B8F7ECF" w:rsidR="00BB5F84" w:rsidRPr="006D102C" w:rsidRDefault="00274B46" w:rsidP="00BB5F84">
            <w:pPr>
              <w:pStyle w:val="Heading1"/>
              <w:rPr>
                <w:rFonts w:cstheme="minorHAnsi"/>
                <w:sz w:val="22"/>
              </w:rPr>
            </w:pPr>
            <w:r w:rsidRPr="006D102C">
              <w:lastRenderedPageBreak/>
              <w:t>I</w:t>
            </w:r>
            <w:r w:rsidRPr="006D102C">
              <w:tab/>
            </w:r>
            <w:r w:rsidR="00BB5F84" w:rsidRPr="006D102C">
              <w:t xml:space="preserve">Инициатива </w:t>
            </w:r>
            <w:r w:rsidR="00BB5F84" w:rsidRPr="006D102C">
              <w:rPr>
                <w:b w:val="0"/>
                <w:bCs/>
              </w:rPr>
              <w:t>"</w:t>
            </w:r>
            <w:r w:rsidR="00BB5F84" w:rsidRPr="006D102C">
              <w:t>Системы раннего оповещения для всех</w:t>
            </w:r>
            <w:r w:rsidR="00BB5F84" w:rsidRPr="006D102C">
              <w:rPr>
                <w:b w:val="0"/>
                <w:bCs/>
              </w:rPr>
              <w:t xml:space="preserve">" </w:t>
            </w:r>
            <w:r w:rsidR="00BB5F84" w:rsidRPr="006D102C">
              <w:t>(EW4All)</w:t>
            </w:r>
          </w:p>
          <w:p w14:paraId="4D735EC0" w14:textId="77777777" w:rsidR="00BB5F84" w:rsidRPr="006D102C" w:rsidRDefault="00BB5F84" w:rsidP="00274B46">
            <w:pPr>
              <w:rPr>
                <w:rFonts w:cstheme="minorHAnsi"/>
              </w:rPr>
            </w:pPr>
            <w:r w:rsidRPr="006D102C">
              <w:t xml:space="preserve">Инициатива EW4All реализуется при поддержке Министерства внутренних дел и связи (MIC) Японии, Шведского агентства международного сотрудничества в целях развития (SIDA), Министерства иностранных дел Дании и Фонда инициативы "Климатические риски и системы заблаговременных предупреждений" (КРСЗП), а также при участии ФРИКТ МСЭ. </w:t>
            </w:r>
          </w:p>
          <w:p w14:paraId="5E06C8CF" w14:textId="77777777" w:rsidR="00BB5F84" w:rsidRPr="006D102C" w:rsidRDefault="00BB5F84" w:rsidP="00274B46">
            <w:pPr>
              <w:rPr>
                <w:rFonts w:cstheme="minorHAnsi"/>
              </w:rPr>
            </w:pPr>
            <w:r w:rsidRPr="006D102C">
              <w:t xml:space="preserve">В рамках инициативы EW4All МСЭ как ведущая организация по направлению 3 "Предупреждение о бедствиях и связь в случае бедствий" сотрудничал с другими ведущими организациями этого направления – Управлением Организации Объединенных Наций по снижению риска бедствий (УСРБ ООН), Всемирной метеорологической организацией (ВМО) и Международной федерацией обществ Красного Креста и Красного Полумесяца (МФКК). </w:t>
            </w:r>
          </w:p>
          <w:p w14:paraId="45529DF7" w14:textId="77777777" w:rsidR="00BB5F84" w:rsidRPr="006D102C" w:rsidRDefault="00BB5F84" w:rsidP="00274B46">
            <w:pPr>
              <w:rPr>
                <w:rFonts w:cstheme="minorHAnsi"/>
              </w:rPr>
            </w:pPr>
            <w:r w:rsidRPr="006D102C">
              <w:t>В рамках данной инициативы МСЭ совместно с УСРБ ООН, ВМО и МФКК провел в регионах ряд национальных и региональных семинаров-практикумов по оценке пробелов и созданию дорожных карт для усовершенствования EWS и содействия использованию многоканальных технологий для распространения оповещений о бедствиях согласно Протоколу общего оповещения. БРЭ повысило уровень осведомленности Государств-Членов и оказало техническую помощь в целях предоставления Государствам-Членам инструментов и знаний, необходимых для эффективного внедрения EWS.</w:t>
            </w:r>
          </w:p>
          <w:p w14:paraId="0D82F4BC" w14:textId="77777777" w:rsidR="00BB5F84" w:rsidRPr="006D102C" w:rsidRDefault="00BB5F84" w:rsidP="00274B46">
            <w:pPr>
              <w:rPr>
                <w:rFonts w:cstheme="minorHAnsi"/>
              </w:rPr>
            </w:pPr>
            <w:r w:rsidRPr="006D102C">
              <w:t xml:space="preserve">Для популяризации и продвижения работы EW4All, а также создания национального и регионального потенциала БРЭ приняло участие в ряде глобальных мероприятий, включая организованное Бразилией виртуальное сопутствующее мероприятие Рабочей группы по снижению риска бедствий в составе Группы двадцати, на котором обсуждался вопрос использования технологии сотового радиовещания для более эффективного распространения предупреждений. Также БРЭ приняло участие в 4-й Международной конференции по малым островным развивающимся государствам (СИДС4), проходившей в Антигуа и Барбуде; </w:t>
            </w:r>
            <w:hyperlink r:id="rId17" w:history="1">
              <w:r w:rsidRPr="006D102C">
                <w:rPr>
                  <w:rStyle w:val="Hyperlink"/>
                </w:rPr>
                <w:t>в рамках официальной программы конференции</w:t>
              </w:r>
            </w:hyperlink>
            <w:r w:rsidRPr="006D102C">
              <w:t xml:space="preserve"> БРЭ организовало тематическую дискуссию высокого уровня по вопросам универсальной и реальной возможности установления соединений в СИДС и выступило одним из организаторов серии партнерских мероприятий по ключевым вопросам цифровой трансформации с целью определить практические решения для удовлетворения неотложных потребностей СИДС в развитии. </w:t>
            </w:r>
          </w:p>
          <w:p w14:paraId="73F38844" w14:textId="77777777" w:rsidR="00BB5F84" w:rsidRPr="006D102C" w:rsidRDefault="00BB5F84" w:rsidP="00274B46">
            <w:pPr>
              <w:rPr>
                <w:rFonts w:cstheme="minorHAnsi"/>
              </w:rPr>
            </w:pPr>
            <w:r w:rsidRPr="006D102C">
              <w:t xml:space="preserve">На Конференции ООН по изменению климата (COP29), состоявшейся в ноябре в Баку, Азербайджан, МСЭ организовал/стал одним из организаторов пяти мероприятий EW4All и принял участие еще в трех мероприятиях, проводившихся партнерами: 1) серия мероприятий EW4All "Передовые технологии, инновации и цифровые преобразования в области наблюдения Земли"; 2) организованное Генеральным секретарем ООН мероприятие высокого уровня по вопросам обеспечения раннего предупреждения для всех и борьбы с экстремальной жарой; 3) презентации приложения Smart Weather ("«Умная» погода") для Тонги и Ямайки; 4) мероприятие по вопросам хода осуществления инициативы EW4All и обмену соответствующим опытом; 5) мероприятие по вопросам наращивания климатического финансирования для масштабной деятельности по внедрению систем раннего предупреждения как инструментов адаптации с особым вниманием к наиболее уязвимым группам; 6) четвертое собрание Консультативной группы EW4All; 7) мероприятие </w:t>
            </w:r>
            <w:r w:rsidRPr="006D102C">
              <w:lastRenderedPageBreak/>
              <w:t>высокого уровня по укреплению систем климатической информации и раннего предупреждения о различных видах бедствий в целях повышения устойчивости; и 8) мероприятие по использованию ИИ в рамках инициативы EW4All ООН.</w:t>
            </w:r>
          </w:p>
          <w:p w14:paraId="60BF8CD7" w14:textId="77777777" w:rsidR="00BB5F84" w:rsidRPr="006D102C" w:rsidRDefault="00BB5F84" w:rsidP="00274B46">
            <w:pPr>
              <w:rPr>
                <w:rFonts w:cstheme="minorHAnsi"/>
              </w:rPr>
            </w:pPr>
            <w:r w:rsidRPr="006D102C">
              <w:rPr>
                <w:color w:val="000000"/>
              </w:rPr>
              <w:t xml:space="preserve">МСЭ также присоединился к круглому столу на уровне министров по теме EW4All на Всемирном мобильном конгрессе (MWC), где операторам сетей подвижной связи было предложено заявить о своей поддержке EWS на основе подвижной связи. </w:t>
            </w:r>
          </w:p>
          <w:p w14:paraId="2F8B02ED" w14:textId="7B692D5B" w:rsidR="00BB5F84" w:rsidRPr="006D102C" w:rsidRDefault="00274B46" w:rsidP="00274B46">
            <w:pPr>
              <w:pStyle w:val="enumlev1"/>
              <w:rPr>
                <w:rFonts w:cstheme="minorHAnsi"/>
              </w:rPr>
            </w:pPr>
            <w:r w:rsidRPr="006D102C">
              <w:rPr>
                <w:rFonts w:cstheme="minorHAnsi"/>
              </w:rPr>
              <w:t>•</w:t>
            </w:r>
            <w:r w:rsidRPr="006D102C">
              <w:rPr>
                <w:rFonts w:cstheme="minorHAnsi"/>
              </w:rPr>
              <w:tab/>
            </w:r>
            <w:r w:rsidR="00BB5F84" w:rsidRPr="006D102C">
              <w:rPr>
                <w:b/>
                <w:bCs/>
              </w:rPr>
              <w:t>Региональные и национальные консультативные семинары-практикумы</w:t>
            </w:r>
          </w:p>
          <w:p w14:paraId="02FC0A61" w14:textId="77777777" w:rsidR="00BB5F84" w:rsidRPr="006D102C" w:rsidRDefault="00BB5F84" w:rsidP="000C2445">
            <w:pPr>
              <w:spacing w:after="120"/>
              <w:rPr>
                <w:rFonts w:cstheme="minorHAnsi"/>
                <w:color w:val="000000" w:themeColor="text1"/>
              </w:rPr>
            </w:pPr>
            <w:r w:rsidRPr="006D102C">
              <w:rPr>
                <w:b/>
                <w:bCs/>
                <w:color w:val="000000"/>
              </w:rPr>
              <w:t>Африка</w:t>
            </w:r>
            <w:r w:rsidRPr="006D102C">
              <w:rPr>
                <w:color w:val="000000"/>
              </w:rPr>
              <w:t xml:space="preserve">: БРЭ оказало поддержку проведению национальных консультативных семинаров-практикумов по составлению национальных дорожных карт реализации инициативы EW4All, в частности по направлению 3 "Предупреждение о бедствиях и связь в случае бедствий", в Гане, Либерии, на Мадагаскаре, в Мозамбике, Нигере, Судане, Уганде, на Сейшельских Островах, Сан-Томе и Принсипи, в Руанде, Танзании, Гамбии и Кении. В рамках семинара-практикума БРЭ по направлению 3 EW4All удалось развить потенциал Мадагаскара с целью содействовать внедрению сотового радиовещания как средства связи для оповещения о чрезвычайных ситуациях. </w:t>
            </w:r>
          </w:p>
          <w:p w14:paraId="1A26DB45" w14:textId="77777777" w:rsidR="00BB5F84" w:rsidRPr="006D102C" w:rsidRDefault="00BB5F84" w:rsidP="000C2445">
            <w:pPr>
              <w:spacing w:after="120"/>
              <w:rPr>
                <w:rFonts w:cstheme="minorHAnsi"/>
              </w:rPr>
            </w:pPr>
            <w:r w:rsidRPr="006D102C">
              <w:rPr>
                <w:color w:val="000000"/>
              </w:rPr>
              <w:t xml:space="preserve">БРЭ предоставило техническую помощь в реализации национальной дорожной карты и в создании систем раннего предупреждения Мозамбику, Либерии и Танзании. Малави, Сейшельские Острова, Замбия и Ботсвана получили техническую помощь в реализации сотового радиовещания, в частности каждой стране была дана техническая, экономическая и регуляторная оценка. </w:t>
            </w:r>
          </w:p>
          <w:p w14:paraId="5FB6AA1A" w14:textId="77777777" w:rsidR="00BB5F84" w:rsidRPr="006D102C" w:rsidRDefault="00BB5F84" w:rsidP="000C2445">
            <w:pPr>
              <w:spacing w:after="120"/>
              <w:rPr>
                <w:rFonts w:cstheme="minorHAnsi"/>
              </w:rPr>
            </w:pPr>
            <w:r w:rsidRPr="006D102C">
              <w:rPr>
                <w:color w:val="000000"/>
              </w:rPr>
              <w:t xml:space="preserve">БРЭ в сотрудничестве с Африканским союзом электросвязи (АСЭ) провело вебинар по инициативе "Системы раннего оповещения для всех" (EW4ALL), который повысил осведомленность африканских стран об инициативе EW4All, обеспечил глубокое понимание направления 3 этой инициативы, которым руководит МСЭ, и предоставил участникам знания и инструменты, необходимые для внедрения эффективных систем раннего предупреждения. </w:t>
            </w:r>
          </w:p>
          <w:p w14:paraId="7DA89596" w14:textId="77777777" w:rsidR="00BB5F84" w:rsidRPr="006D102C" w:rsidRDefault="00BB5F84" w:rsidP="000C2445">
            <w:pPr>
              <w:spacing w:after="120"/>
              <w:rPr>
                <w:rFonts w:cstheme="minorHAnsi"/>
              </w:rPr>
            </w:pPr>
            <w:r w:rsidRPr="006D102C">
              <w:rPr>
                <w:b/>
                <w:bCs/>
                <w:color w:val="000000"/>
              </w:rPr>
              <w:t>Северная и Южная Америка</w:t>
            </w:r>
            <w:r w:rsidRPr="006D102C">
              <w:rPr>
                <w:color w:val="000000"/>
              </w:rPr>
              <w:t xml:space="preserve">: Национальные консультативные семинары-практикумы были проведены в нескольких странах Северной и Южной Америки, а именно в Гайане, на Гаити, Барбадосе, Антигуа и Барбуде, в Гватемале и Эквадоре. </w:t>
            </w:r>
          </w:p>
          <w:p w14:paraId="477F9C25" w14:textId="77777777" w:rsidR="00BB5F84" w:rsidRPr="006D102C" w:rsidRDefault="00BB5F84" w:rsidP="000C2445">
            <w:pPr>
              <w:spacing w:after="120"/>
              <w:rPr>
                <w:rFonts w:cstheme="minorHAnsi"/>
              </w:rPr>
            </w:pPr>
            <w:r w:rsidRPr="006D102C">
              <w:rPr>
                <w:color w:val="000000"/>
              </w:rPr>
              <w:t xml:space="preserve">На Гаити БРЭ в сотрудничестве с национальным оператором электросвязи и двумя операторами сетей подвижной связи провело национальный семинар-практикум в целях согласования дорожной карты по EW4All и испытания системы предупреждения о бедствиях на основе подвижной связи в Кап-Аитьене. </w:t>
            </w:r>
          </w:p>
          <w:p w14:paraId="05960CA4" w14:textId="77777777" w:rsidR="00BB5F84" w:rsidRPr="006D102C" w:rsidRDefault="00BB5F84" w:rsidP="000C2445">
            <w:pPr>
              <w:spacing w:after="120"/>
              <w:rPr>
                <w:rFonts w:cstheme="minorHAnsi"/>
              </w:rPr>
            </w:pPr>
            <w:r w:rsidRPr="006D102C">
              <w:rPr>
                <w:color w:val="000000"/>
              </w:rPr>
              <w:t>Совместно с Ассоциацией GSM БРЭ организовало сессию на ежегодном общем собрании CANTO Connect в Кюрасао, где сделало обзор инициативы EW4All, уделив основное внимание достижениям в области систем сотового радиовещания и интеграции ИИ для расширения возможностей раннего предупреждения. На сессии подчеркивалось значение сотрудничества операторов сетей подвижной связи и государственного и частного секторов для увеличения в регионе потенциала мобильных систем раннего предупреждения в области спасения жизней.</w:t>
            </w:r>
          </w:p>
          <w:p w14:paraId="686F90D8" w14:textId="77777777" w:rsidR="00BB5F84" w:rsidRPr="006D102C" w:rsidRDefault="00BB5F84" w:rsidP="000C2445">
            <w:pPr>
              <w:spacing w:after="120"/>
              <w:rPr>
                <w:rFonts w:cstheme="minorHAnsi"/>
              </w:rPr>
            </w:pPr>
            <w:r w:rsidRPr="006D102C">
              <w:rPr>
                <w:b/>
                <w:bCs/>
                <w:color w:val="000000"/>
              </w:rPr>
              <w:lastRenderedPageBreak/>
              <w:t>Арабские государства</w:t>
            </w:r>
            <w:r w:rsidRPr="006D102C">
              <w:rPr>
                <w:color w:val="000000"/>
              </w:rPr>
              <w:t xml:space="preserve">: Национальные консультативные семинары-практикумы, включая учебные занятия по NETP и CAP, были проведены в нескольких странах региона, а именно на Коморских Островах, в Джибути, Сомали, Мавритании и Судане. </w:t>
            </w:r>
          </w:p>
          <w:p w14:paraId="1B14A130" w14:textId="77777777" w:rsidR="00BB5F84" w:rsidRPr="006D102C" w:rsidRDefault="00BB5F84" w:rsidP="000C2445">
            <w:pPr>
              <w:spacing w:after="120"/>
              <w:rPr>
                <w:color w:val="000000"/>
              </w:rPr>
            </w:pPr>
            <w:r w:rsidRPr="006D102C">
              <w:rPr>
                <w:b/>
                <w:bCs/>
                <w:color w:val="000000"/>
              </w:rPr>
              <w:t>Азиатско-Тихоокеанский регион</w:t>
            </w:r>
            <w:r w:rsidRPr="006D102C">
              <w:rPr>
                <w:color w:val="000000"/>
              </w:rPr>
              <w:t xml:space="preserve">: Национальные консультативные семинары-практикумы были проведены в Малайзии, Бангладеш, на Мальдивских Островах, в Непале, Лаосской Народно-Демократической Республике, Камбодже, на Кирибати, Самоа, Соломоновых Островах, Фиджи и Тонге; в Индии и на Мальдивских Островах техническая поддержка была предоставлена в формате семинара-практикума по Протоколу общего оповещения (CAP) и сотовому радиовещанию (CB). </w:t>
            </w:r>
          </w:p>
          <w:p w14:paraId="01786570" w14:textId="77777777" w:rsidR="00BB5F84" w:rsidRPr="006D102C" w:rsidRDefault="00BB5F84" w:rsidP="000C2445">
            <w:pPr>
              <w:spacing w:after="120"/>
              <w:rPr>
                <w:rFonts w:cstheme="minorHAnsi"/>
              </w:rPr>
            </w:pPr>
            <w:r w:rsidRPr="006D102C">
              <w:rPr>
                <w:color w:val="000000"/>
              </w:rPr>
              <w:t xml:space="preserve">При поддержке БРЭ Лаосская Народно-Демократическая Республика смогла завершить разработку и опубликовать свою дорожную карту EW4All, а Кирибати находится на этапе ее разработки. В Непале создана техническая рабочая группа, которая разрабатывает собственную дорожную карту EW4All. На Тонге на национальном семинаре-практикуме были определены пробелы и составлен проект концепции для EW4All, который был представлен кабинету министров в соответствии с национальной политикой по системам раннего предупреждения, учитывающим различные виды бедствий (MHEWS). </w:t>
            </w:r>
          </w:p>
          <w:p w14:paraId="02D8399B" w14:textId="77777777" w:rsidR="00BB5F84" w:rsidRPr="006D102C" w:rsidRDefault="00BB5F84" w:rsidP="000C2445">
            <w:pPr>
              <w:spacing w:after="120"/>
              <w:rPr>
                <w:rFonts w:cstheme="minorHAnsi"/>
              </w:rPr>
            </w:pPr>
            <w:r w:rsidRPr="006D102C">
              <w:rPr>
                <w:color w:val="000000"/>
              </w:rPr>
              <w:t xml:space="preserve">В Бангладеш МСЭ совместно с МФКК провел имитационные учения по эвакуации населения, в ходе которых МСЭ опробовал компонент учений, касающийся распространения предупреждений и связи в случае бедствий. </w:t>
            </w:r>
          </w:p>
          <w:p w14:paraId="3C26A077" w14:textId="77777777" w:rsidR="00BB5F84" w:rsidRPr="006D102C" w:rsidRDefault="00BB5F84" w:rsidP="000C2445">
            <w:pPr>
              <w:spacing w:after="120"/>
              <w:rPr>
                <w:rFonts w:cstheme="minorHAnsi"/>
              </w:rPr>
            </w:pPr>
            <w:r w:rsidRPr="006D102C">
              <w:rPr>
                <w:color w:val="000000"/>
              </w:rPr>
              <w:t xml:space="preserve">Фиджи и Камбодже была оказана помощь в подготовке предложений для представления в Зеленый климатический фонд (ЗКФ) для обеспечения финансирования деятельности, направленной на совершенствование распространения инклюзивных предупреждений, связи в случае бедствий и последующее снижение риска бедствий. </w:t>
            </w:r>
          </w:p>
          <w:p w14:paraId="30E6BA33" w14:textId="77777777" w:rsidR="00BB5F84" w:rsidRPr="006D102C" w:rsidRDefault="00BB5F84" w:rsidP="000C2445">
            <w:pPr>
              <w:spacing w:after="120"/>
              <w:rPr>
                <w:rFonts w:cstheme="minorHAnsi"/>
              </w:rPr>
            </w:pPr>
            <w:r w:rsidRPr="006D102C">
              <w:rPr>
                <w:color w:val="000000"/>
              </w:rPr>
              <w:t>БРЭ в сотрудничестве с Ассоциацией электросвязи островных государств Тихого океана (PITA), Ассоциацией GSM и Секретариатом Тихоокеанской региональной программы по окружающей среде (СПРЕП) работает над оценкой возможности внедрения регионального решения на базе сотового радиовещания для островных государств Тихого океана.</w:t>
            </w:r>
          </w:p>
          <w:p w14:paraId="1E821444" w14:textId="77777777" w:rsidR="00BB5F84" w:rsidRPr="006D102C" w:rsidRDefault="00BB5F84" w:rsidP="000C2445">
            <w:pPr>
              <w:spacing w:after="120"/>
              <w:rPr>
                <w:rFonts w:cstheme="minorHAnsi"/>
                <w:color w:val="000000" w:themeColor="text1"/>
              </w:rPr>
            </w:pPr>
            <w:r w:rsidRPr="006D102C">
              <w:rPr>
                <w:color w:val="000000"/>
              </w:rPr>
              <w:t xml:space="preserve">На 12-м Азиатско-Тихоокеанском форуме по устойчивому развитию (APFSD), проходившем в Бангкоке, МСЭ выступил одним из организаторов сопутствующего мероприятия "Никто не должен быть забыт: совершенствование инклюзивных систем раннего предупреждения и более широкое сотрудничество в целях развития в Азиатско-Тихоокеанском регионе". На мероприятии, проведенном в сотрудничестве с ПРООН, МФКК, Посольством Японии в Таиланде, Японским агентством международного сотрудничества (JICA), ЭСКАТО, ВМО и УСРБ ООН, была подчеркнута важность инклюзивного подхода к снижению риска бедствий, а также укрепления сотрудничества. </w:t>
            </w:r>
          </w:p>
          <w:p w14:paraId="7F503117" w14:textId="77777777" w:rsidR="00BB5F84" w:rsidRPr="006D102C" w:rsidRDefault="00BB5F84" w:rsidP="000C2445">
            <w:pPr>
              <w:spacing w:after="120"/>
              <w:rPr>
                <w:rFonts w:cstheme="minorHAnsi"/>
              </w:rPr>
            </w:pPr>
            <w:r w:rsidRPr="006D102C">
              <w:rPr>
                <w:color w:val="000000"/>
              </w:rPr>
              <w:t xml:space="preserve">В рамках Азиатско-Тихоокеанской конференции министров по снижению риска бедствий (APMCDRR-24), состоявшейся в Маниле, БРЭ организовало региональный Многосторонний форум по вопросам использования достижений в области цифровых технологий для распространения предупреждений и связи в случае бедствий. Эта сессия, проведенная в </w:t>
            </w:r>
            <w:r w:rsidRPr="006D102C">
              <w:rPr>
                <w:color w:val="000000"/>
              </w:rPr>
              <w:lastRenderedPageBreak/>
              <w:t xml:space="preserve">сотрудничестве с Ассоциацией GSM, привлекла координаторов и партнеров из разных секторов и укрепила потенциал для реализации в регионе направления 3 инициативы EW4All. </w:t>
            </w:r>
          </w:p>
          <w:p w14:paraId="42784EFE" w14:textId="77777777" w:rsidR="00BB5F84" w:rsidRPr="006D102C" w:rsidRDefault="00BB5F84" w:rsidP="000C2445">
            <w:pPr>
              <w:spacing w:after="120"/>
              <w:rPr>
                <w:rFonts w:cstheme="minorHAnsi"/>
              </w:rPr>
            </w:pPr>
            <w:r w:rsidRPr="006D102C">
              <w:rPr>
                <w:b/>
                <w:bCs/>
                <w:color w:val="000000"/>
              </w:rPr>
              <w:t>СНГ</w:t>
            </w:r>
            <w:r w:rsidRPr="006D102C">
              <w:rPr>
                <w:color w:val="000000"/>
              </w:rPr>
              <w:t>: В СНГ БРЭ помогло Таджикистану стать первой в регионе страной, которая провела национальный консультативный семинар-практикум для оценки пробелов и создания дорожной карты по системам раннего предупреждения в стране.</w:t>
            </w:r>
          </w:p>
          <w:p w14:paraId="1C7B480F" w14:textId="77777777" w:rsidR="00BB5F84" w:rsidRPr="006D102C" w:rsidRDefault="00BB5F84" w:rsidP="000C2445">
            <w:pPr>
              <w:spacing w:after="120"/>
              <w:rPr>
                <w:rFonts w:eastAsia="Aptos" w:cstheme="minorHAnsi"/>
              </w:rPr>
            </w:pPr>
            <w:r w:rsidRPr="006D102C">
              <w:rPr>
                <w:b/>
                <w:bCs/>
                <w:color w:val="000000"/>
              </w:rPr>
              <w:t>Европа</w:t>
            </w:r>
            <w:r w:rsidRPr="006D102C">
              <w:rPr>
                <w:color w:val="000000"/>
              </w:rPr>
              <w:t xml:space="preserve">: На Западных Балканах состоялся семинар-практикум "Ускорение региональных инициатив по повышению готовности к региональным чрезвычайным ситуациям", который укрепил потенциал этой части региона и заложил основу для целенаправленных действий по разработке инициативы субрегионального уровня, охватывающей Албанию, Боснию и Герцеговину, Северную Македонию, Черногорию и Сербию. Он сделал возможным эффективное развертывание сотового радиовещания и стал первым шагом в оказании помощи Северной Македонии и Черногории. </w:t>
            </w:r>
          </w:p>
          <w:p w14:paraId="40881C80" w14:textId="77777777" w:rsidR="00BB5F84" w:rsidRPr="006D102C" w:rsidRDefault="00BB5F84" w:rsidP="000C2445">
            <w:pPr>
              <w:spacing w:after="120"/>
              <w:rPr>
                <w:rFonts w:cstheme="minorHAnsi"/>
              </w:rPr>
            </w:pPr>
            <w:r w:rsidRPr="006D102C">
              <w:rPr>
                <w:color w:val="000000"/>
              </w:rPr>
              <w:t>В Молдове МСЭ разработал технико-экономическое обоснование развертывания и внедрения решения на базе сотового радиовещания для рассылки оповещений, приняв участие таким образом в создании потенциала страны. Это исследование позволило стране получить дополнительное финансирование для реализации решения этой задачи на национальном уровне.</w:t>
            </w:r>
          </w:p>
          <w:p w14:paraId="40BA250E" w14:textId="5D496CAD" w:rsidR="00BB5F84" w:rsidRPr="006D102C" w:rsidRDefault="00274B46" w:rsidP="00274B46">
            <w:pPr>
              <w:pStyle w:val="enumlev1"/>
              <w:rPr>
                <w:rFonts w:eastAsia="Aptos" w:cstheme="minorHAnsi"/>
              </w:rPr>
            </w:pPr>
            <w:r w:rsidRPr="006D102C">
              <w:rPr>
                <w:rFonts w:cs="Calibri"/>
              </w:rPr>
              <w:t>•</w:t>
            </w:r>
            <w:r w:rsidRPr="006D102C">
              <w:tab/>
            </w:r>
            <w:r w:rsidR="00BB5F84" w:rsidRPr="006D102C">
              <w:rPr>
                <w:b/>
                <w:bCs/>
              </w:rPr>
              <w:t xml:space="preserve">ИИ в рамках инициативы </w:t>
            </w:r>
            <w:r w:rsidR="00BB5F84" w:rsidRPr="006D102C">
              <w:t>"</w:t>
            </w:r>
            <w:r w:rsidR="00BB5F84" w:rsidRPr="006D102C">
              <w:rPr>
                <w:b/>
                <w:bCs/>
              </w:rPr>
              <w:t>Системы раннего оповещения для всех</w:t>
            </w:r>
            <w:r w:rsidR="00BB5F84" w:rsidRPr="006D102C">
              <w:t>"</w:t>
            </w:r>
          </w:p>
          <w:p w14:paraId="402C59A9" w14:textId="77777777" w:rsidR="00BB5F84" w:rsidRPr="006D102C" w:rsidRDefault="00BB5F84" w:rsidP="000C2445">
            <w:pPr>
              <w:spacing w:after="120"/>
              <w:rPr>
                <w:rFonts w:cstheme="minorHAnsi"/>
              </w:rPr>
            </w:pPr>
            <w:r w:rsidRPr="006D102C">
              <w:rPr>
                <w:color w:val="000000"/>
              </w:rPr>
              <w:t xml:space="preserve">Целью </w:t>
            </w:r>
            <w:hyperlink r:id="rId18" w:history="1">
              <w:r w:rsidRPr="006D102C">
                <w:rPr>
                  <w:rStyle w:val="Hyperlink"/>
                </w:rPr>
                <w:t>Рабочей подгруппы по ИИ для инициативы EW4All</w:t>
              </w:r>
            </w:hyperlink>
            <w:r w:rsidRPr="006D102C">
              <w:rPr>
                <w:color w:val="000000"/>
              </w:rPr>
              <w:t>, координируемой и возглавляемой МСЭ, является изучение, внедрение и масштабирование приложений ИИ, функционал которых направлен на поддержку осуществления инициативы EW4All. В число основных партнеров и участвующих организаций входят УСРБ ООН, ВМО, МФКК, Google, лаборатория Microsoft "ИИ во благо", компания Planet, Институт измерения показателей и оценки здоровья (IHME), Ассоциация GSM, инициатива DISHA и Группа по наблюдениям за Землей (GEO). Подгруппа руководит пилотными инициативами в области ИИ в разных странах, чтобы продемонстрировать практические преимущества использования ИИ для совершенствования систем раннего предупреждения. Она сотрудничает с целым рядом партнеров, включая НАСА, UCL, Google, Ассоциацию GSM, Everbridge, Pelmorex и несколько университетов. Для успешного выполнения каждого проекта подгруппа учреждает специальные рабочие команды, в которые входят технические специалисты, заинтересованные стороны на местах и соответствующие участники коллективной работы.</w:t>
            </w:r>
          </w:p>
          <w:p w14:paraId="00787E7E" w14:textId="77777777" w:rsidR="00BB5F84" w:rsidRPr="006D102C" w:rsidRDefault="00BB5F84" w:rsidP="000C2445">
            <w:pPr>
              <w:spacing w:after="120"/>
              <w:rPr>
                <w:rFonts w:cstheme="minorHAnsi"/>
              </w:rPr>
            </w:pPr>
            <w:r w:rsidRPr="006D102C">
              <w:rPr>
                <w:color w:val="000000"/>
              </w:rPr>
              <w:t xml:space="preserve">Одним из пилотных проектов является разработка инструмента, помогающего странам отслеживать число людей, которые не охвачены цифровыми сетями, и составлять соответствующие карты. Эта технология разработана совместно МСЭ, Microsoft, Planet и IHME, и в рамках нее ИИ применяется для анализа спутниковых снимков и картирования плотности населения с высоким разрешением на основе созданной </w:t>
            </w:r>
            <w:hyperlink r:id="rId19" w:history="1">
              <w:r w:rsidRPr="006D102C">
                <w:rPr>
                  <w:rStyle w:val="Hyperlink"/>
                </w:rPr>
                <w:t>МСЭ Карты возможности установления соединений в чрезвычайных ситуациях</w:t>
              </w:r>
            </w:hyperlink>
            <w:r w:rsidRPr="006D102C">
              <w:rPr>
                <w:color w:val="000000"/>
              </w:rPr>
              <w:t xml:space="preserve"> в целях визуализации возможностей установления соединений. Первые результаты получены для Вануату, Фиджи, Доминиканской Республики, Мозамбика, Сомали, Южного Судана, Гаити и Тонги, а ее концепция представлена в виде Глобальной карты населения, не имеющего соединений.</w:t>
            </w:r>
          </w:p>
          <w:p w14:paraId="29994FF0" w14:textId="77777777" w:rsidR="00BB5F84" w:rsidRPr="006D102C" w:rsidRDefault="00BB5F84" w:rsidP="000C2445">
            <w:pPr>
              <w:spacing w:after="120"/>
              <w:rPr>
                <w:rFonts w:cstheme="minorHAnsi"/>
              </w:rPr>
            </w:pPr>
            <w:r w:rsidRPr="006D102C">
              <w:rPr>
                <w:color w:val="000000"/>
              </w:rPr>
              <w:lastRenderedPageBreak/>
              <w:t>БРЭ также организовало семинар-практикум "Прогнозирование для будущего: использование ИИ в системах раннего предупреждения" в рамках Всемирного саммита МСЭ "ИИ во благо" в мае 2024 года. Во время Саммита будущего, прошедшего в сентябре 2024 года в Нью-Йорке, МСЭ в сотрудничестве с инициативой ООН "Глобальный пульс" и лабораторией инноваций Генерального секретаря организовал мероприятие по коалициям за использование ИИ для обеспечения готовности к гуманитарным бедствиям и реагирования на них.</w:t>
            </w:r>
          </w:p>
          <w:p w14:paraId="799C6B73" w14:textId="77777777" w:rsidR="00BB5F84" w:rsidRPr="006D102C" w:rsidRDefault="00BB5F84" w:rsidP="000C2445">
            <w:pPr>
              <w:spacing w:after="120"/>
              <w:rPr>
                <w:rFonts w:cstheme="minorHAnsi"/>
              </w:rPr>
            </w:pPr>
            <w:r w:rsidRPr="006D102C">
              <w:rPr>
                <w:color w:val="000000"/>
              </w:rPr>
              <w:t>В ходе подготовки к Глобальному саммиту "ИИ во благо" 2025 года МСЭ проводит конкурс инноваций "ИИ для EW4All" – глобальный хакатон, ориентированный на использование потенциала ИИ для EWS. Эта инициатива стартовала в апреле 2025 года и имеет целью обеспечение соответствия инновационных решений на основе ИИ четырем основным направлениям инициативы EW4All. Участники разработают решения на базе ИИ, которые заполнят конкретные пробелы, выявленные по этим четырем направлениям, используя возможности ИИ для совершенствования управления рисками бедствий, прогнозирования бедствий, связи при бедствиях и реагирования на них. Этот конкурс организуется в рамках Подгруппы по ИИ для инициативы EW4All.</w:t>
            </w:r>
          </w:p>
          <w:p w14:paraId="00D30824" w14:textId="77777777" w:rsidR="00BB5F84" w:rsidRPr="006D102C" w:rsidRDefault="00BB5F84" w:rsidP="000C2445">
            <w:pPr>
              <w:spacing w:after="120"/>
              <w:rPr>
                <w:rFonts w:cstheme="minorHAnsi"/>
              </w:rPr>
            </w:pPr>
            <w:r w:rsidRPr="006D102C">
              <w:rPr>
                <w:color w:val="000000"/>
              </w:rPr>
              <w:t>В составе Подгруппы по ИИ МСЭ разрабатывает каталог решений на основе ИИ, который представляет собой онлайновый архив инструментов, моделей и приложений на основе ИИ для систем раннего предупреждения. Цель каталога – классифицировать решения по степени отработанности и типам опасности, а также с точки зрения концепции EW4All. Прежде чем решения попадают в каталог, они проходят экспертную оценку и валидацию подгруппой.</w:t>
            </w:r>
          </w:p>
          <w:p w14:paraId="3AEBF16B" w14:textId="02FD520B" w:rsidR="00BB5F84" w:rsidRPr="006D102C" w:rsidRDefault="00465551" w:rsidP="00465551">
            <w:pPr>
              <w:pStyle w:val="Heading1"/>
              <w:rPr>
                <w:rFonts w:cstheme="minorHAnsi"/>
                <w:color w:val="000000" w:themeColor="text1"/>
                <w:sz w:val="22"/>
              </w:rPr>
            </w:pPr>
            <w:r w:rsidRPr="006D102C">
              <w:t>II</w:t>
            </w:r>
            <w:r w:rsidRPr="006D102C">
              <w:tab/>
            </w:r>
            <w:r w:rsidR="00BB5F84" w:rsidRPr="006D102C">
              <w:t>Национальные планы электросвязи в чрезвычайных ситуациях (NETP)</w:t>
            </w:r>
          </w:p>
          <w:p w14:paraId="08997363" w14:textId="77777777" w:rsidR="00BB5F84" w:rsidRPr="006D102C" w:rsidRDefault="00BB5F84" w:rsidP="000C2445">
            <w:pPr>
              <w:spacing w:after="120"/>
              <w:rPr>
                <w:rFonts w:cstheme="minorHAnsi"/>
                <w:color w:val="000000" w:themeColor="text1"/>
              </w:rPr>
            </w:pPr>
            <w:r w:rsidRPr="006D102C">
              <w:rPr>
                <w:color w:val="000000"/>
              </w:rPr>
              <w:t xml:space="preserve">Национальный план электросвязи в чрезвычайных ситуациях (NETP) является документом общего характера, содержащим нормативно-правовую базу управления рисками бедствий и определяющим конкретные меры, необходимые для использования преимуществ ИКТ на каждом этапе цикла управления операциями при бедствиях. БРЭ продолжает поддерживать Государства-Члены во всех регионах в разработке и внедрении NETP путем предоставления индивидуальной помощи, проведения семинаров-практикумов и объединения всех ключевых заинтересованных сторон для укрепления связи и координации до, во время и после чрезвычайных ситуаций. </w:t>
            </w:r>
          </w:p>
          <w:p w14:paraId="01EC4FEC" w14:textId="77777777" w:rsidR="00BB5F84" w:rsidRPr="006D102C" w:rsidRDefault="00BB5F84" w:rsidP="000C2445">
            <w:pPr>
              <w:spacing w:after="120"/>
              <w:rPr>
                <w:rFonts w:cstheme="minorHAnsi"/>
                <w:color w:val="000000" w:themeColor="text1"/>
              </w:rPr>
            </w:pPr>
            <w:r w:rsidRPr="006D102C">
              <w:rPr>
                <w:color w:val="000000"/>
              </w:rPr>
              <w:t xml:space="preserve">БРЭ организовало серию </w:t>
            </w:r>
            <w:r w:rsidRPr="006D102C">
              <w:rPr>
                <w:b/>
                <w:bCs/>
                <w:color w:val="000000"/>
              </w:rPr>
              <w:t>национальных семинаров-практикумов по разработке национального плана электросвязи в чрезвычайных ситуациях (NETP) с участием широкого круга заинтересованных сторон</w:t>
            </w:r>
            <w:r w:rsidRPr="006D102C">
              <w:rPr>
                <w:color w:val="000000"/>
              </w:rPr>
              <w:t>, которые ознаменовали собой важнейший шаг в деле обеспечения надежной связи на этапах уменьшения опасности бедствий, обеспечения готовности к бедствиям, реагирования на них и последующего восстановления, особенно в отношении бедствий, связанных с изменением климата, стихийных бедствий и пандемий. В разработке NETP БРЭ оказало поддержку 41 стране в пяти регионах:</w:t>
            </w:r>
          </w:p>
          <w:p w14:paraId="61C2B1A0" w14:textId="145E8AF5" w:rsidR="00BB5F84" w:rsidRPr="006D102C" w:rsidRDefault="00465551" w:rsidP="00465551">
            <w:pPr>
              <w:pStyle w:val="enumlev1"/>
              <w:rPr>
                <w:rFonts w:cstheme="minorHAnsi"/>
              </w:rPr>
            </w:pPr>
            <w:r w:rsidRPr="006D102C">
              <w:rPr>
                <w:rFonts w:cs="Calibri"/>
              </w:rPr>
              <w:t>•</w:t>
            </w:r>
            <w:r w:rsidRPr="006D102C">
              <w:rPr>
                <w:rFonts w:cs="Calibri"/>
              </w:rPr>
              <w:tab/>
            </w:r>
            <w:r w:rsidR="00BB5F84" w:rsidRPr="006D102C">
              <w:rPr>
                <w:b/>
                <w:bCs/>
              </w:rPr>
              <w:t>Арабские государства</w:t>
            </w:r>
            <w:r w:rsidR="00BB5F84" w:rsidRPr="006D102C">
              <w:t xml:space="preserve">: БРЭ оказало поддержку в разработке NETP Джибути, Коморским Островам и Мавритании. </w:t>
            </w:r>
          </w:p>
          <w:p w14:paraId="05253D5E" w14:textId="0B4738B5" w:rsidR="00BB5F84" w:rsidRPr="006D102C" w:rsidRDefault="00465551" w:rsidP="00465551">
            <w:pPr>
              <w:pStyle w:val="enumlev1"/>
              <w:rPr>
                <w:rFonts w:cstheme="minorHAnsi"/>
              </w:rPr>
            </w:pPr>
            <w:r w:rsidRPr="006D102C">
              <w:rPr>
                <w:rFonts w:cs="Calibri"/>
              </w:rPr>
              <w:lastRenderedPageBreak/>
              <w:t>•</w:t>
            </w:r>
            <w:r w:rsidRPr="006D102C">
              <w:rPr>
                <w:rFonts w:cs="Calibri"/>
              </w:rPr>
              <w:tab/>
            </w:r>
            <w:r w:rsidR="00BB5F84" w:rsidRPr="006D102C">
              <w:rPr>
                <w:b/>
                <w:bCs/>
              </w:rPr>
              <w:t>Азиатско-Тихоокеанский регион</w:t>
            </w:r>
            <w:r w:rsidR="00BB5F84" w:rsidRPr="006D102C">
              <w:t xml:space="preserve">: БРЭ оказало поддержку в развитии NETP Тувалу. В Бангладеш МСЭ начал программу прямой страновой помощи в создании NETP наряду с другими соответствующими мероприятиями в рамках EW4All. </w:t>
            </w:r>
          </w:p>
          <w:p w14:paraId="00AFFB65" w14:textId="6B059640" w:rsidR="00BB5F84" w:rsidRPr="006D102C" w:rsidRDefault="00465551" w:rsidP="00465551">
            <w:pPr>
              <w:pStyle w:val="enumlev1"/>
              <w:rPr>
                <w:rFonts w:cstheme="minorHAnsi"/>
              </w:rPr>
            </w:pPr>
            <w:r w:rsidRPr="006D102C">
              <w:tab/>
            </w:r>
            <w:r w:rsidR="00BB5F84" w:rsidRPr="006D102C">
              <w:t>На Фиджи МСЭ оказал содействие в проведении национального собрания Тематического блока по вопросам электросвязи в чрезвычайных ситуациях, где был представлен для рассмотрения перечень мероприятий из 23</w:t>
            </w:r>
            <w:r w:rsidR="00F66AD1">
              <w:t> </w:t>
            </w:r>
            <w:r w:rsidR="00BB5F84" w:rsidRPr="006D102C">
              <w:t>пунктов. В Пакистане БРЭ в сотрудничестве с Ассоциацией GSM и ЮНИСЕФ организовало семинар-практикум "Роль электросвязи в обеспечении готовности к бедствиям, реагировании на бедствия и восстановлении после них", на котором обсуждались способы повышения устойчивости страны к последствиям бедствий при помощи технологий подвижной связи, был обновлен NETP и проведено учебное мероприятие по настольному моделированию в целях оценки эффективности национальных стратегий и планов использования ИКТ для снижения риска бедствий.</w:t>
            </w:r>
          </w:p>
          <w:p w14:paraId="7A4C06AA" w14:textId="19BAA141" w:rsidR="00BB5F84" w:rsidRPr="006D102C" w:rsidRDefault="00465551" w:rsidP="00465551">
            <w:pPr>
              <w:pStyle w:val="enumlev1"/>
              <w:rPr>
                <w:rFonts w:cstheme="minorHAnsi"/>
                <w:color w:val="000000" w:themeColor="text1"/>
              </w:rPr>
            </w:pPr>
            <w:r w:rsidRPr="006D102C">
              <w:tab/>
            </w:r>
            <w:r w:rsidR="00BB5F84" w:rsidRPr="006D102C">
              <w:t xml:space="preserve">В целях усиления поддержки в разработке NETP МСЭ подписал соглашение о сотрудничестве с Центром по координации гуманитарной помощи для ликвидации последствий бедствий АСЕАН (Центр AHA). Это укрепит создание потенциала в области электросвязи в чрезвычайных ситуациях, в частности в разработке NETP и проведении теоретических имитационных упражнений, а также в использовании новых технологий для реагирования при бедствиях. </w:t>
            </w:r>
          </w:p>
          <w:p w14:paraId="51A891B5" w14:textId="27C8F968" w:rsidR="00BB5F84" w:rsidRPr="006D102C" w:rsidRDefault="00465551" w:rsidP="00465551">
            <w:pPr>
              <w:pStyle w:val="enumlev1"/>
              <w:rPr>
                <w:rFonts w:cstheme="minorHAnsi"/>
              </w:rPr>
            </w:pPr>
            <w:r w:rsidRPr="006D102C">
              <w:rPr>
                <w:rFonts w:cs="Calibri"/>
              </w:rPr>
              <w:t>•</w:t>
            </w:r>
            <w:r w:rsidRPr="006D102C">
              <w:rPr>
                <w:rFonts w:cs="Calibri"/>
              </w:rPr>
              <w:tab/>
            </w:r>
            <w:r w:rsidR="00BB5F84" w:rsidRPr="006D102C">
              <w:rPr>
                <w:b/>
                <w:bCs/>
              </w:rPr>
              <w:t>Северная и Южная Америка</w:t>
            </w:r>
            <w:r w:rsidR="00BB5F84" w:rsidRPr="006D102C">
              <w:t xml:space="preserve">: БРЭ в сотрудничестве с Тематическим блоком по вопросам электросвязи в чрезвычайных ситуациях провело семинар-практикум для Карибского региона, позволивший укрепить сотрудничество между заинтересованными сторонами по вопросам практического использования NETP, повысить потенциал по внедрению EWS и расширить знания об использовании спутникового оборудования МСЭ. </w:t>
            </w:r>
          </w:p>
          <w:p w14:paraId="4AEAABFD" w14:textId="6414C67F" w:rsidR="00BB5F84" w:rsidRPr="006D102C" w:rsidRDefault="00465551" w:rsidP="00465551">
            <w:pPr>
              <w:pStyle w:val="enumlev1"/>
              <w:rPr>
                <w:rFonts w:cstheme="minorHAnsi"/>
              </w:rPr>
            </w:pPr>
            <w:r w:rsidRPr="006D102C">
              <w:rPr>
                <w:rFonts w:cs="Calibri"/>
              </w:rPr>
              <w:t>•</w:t>
            </w:r>
            <w:r w:rsidRPr="006D102C">
              <w:rPr>
                <w:rFonts w:cs="Calibri"/>
              </w:rPr>
              <w:tab/>
            </w:r>
            <w:r w:rsidR="00BB5F84" w:rsidRPr="006D102C">
              <w:rPr>
                <w:b/>
                <w:bCs/>
              </w:rPr>
              <w:t>Африка</w:t>
            </w:r>
            <w:r w:rsidR="00BB5F84" w:rsidRPr="006D102C">
              <w:t>: БРЭ оказало поддержку в развитии NETP Гвинеи-Бисау, Гамбии, Намибии, Танзании, Зимбабве, Кабо-Верде, Ботсваны, Сейшельских Островов и Замбии. В рамках этой программы в целях обмена передовым опытом был проведен ряд семинаров-практикумов по созданию потенциала в области ситуационного анализа NETP для стран Западной Африки.</w:t>
            </w:r>
          </w:p>
          <w:p w14:paraId="27D4DD95" w14:textId="0C0FED6D" w:rsidR="00BB5F84" w:rsidRPr="006D102C" w:rsidRDefault="00465551" w:rsidP="00465551">
            <w:pPr>
              <w:pStyle w:val="enumlev1"/>
              <w:rPr>
                <w:rFonts w:cstheme="minorHAnsi"/>
              </w:rPr>
            </w:pPr>
            <w:r w:rsidRPr="006D102C">
              <w:tab/>
            </w:r>
            <w:r w:rsidR="00BB5F84" w:rsidRPr="006D102C">
              <w:t xml:space="preserve">На региональном уровне МСЭ организовал для стран Западной Африки сессии по созданию потенциала в области ситуационного анализа NETP, направленные на обмен передовым опытом разработки NETP между участниками. </w:t>
            </w:r>
          </w:p>
          <w:p w14:paraId="2C455A59" w14:textId="5A1428AA" w:rsidR="00BB5F84" w:rsidRPr="006D102C" w:rsidRDefault="00465551" w:rsidP="00465551">
            <w:pPr>
              <w:pStyle w:val="enumlev1"/>
              <w:rPr>
                <w:rFonts w:cstheme="minorHAnsi"/>
              </w:rPr>
            </w:pPr>
            <w:r w:rsidRPr="006D102C">
              <w:tab/>
            </w:r>
            <w:r w:rsidR="00BB5F84" w:rsidRPr="006D102C">
              <w:t xml:space="preserve">Региону также пошла на пользу разработка двух региональных концепций NETP: одной для Сообщества развития Юга Африки (САДК), охватывающего 16 стран (Ангола, Ботсвана, Коморские Острова, Демократическая Республика Конго, Эсватини, Лесото, Мадагаскар, Малави, Маврикий, Мозамбик, Намибия, Сейшельские Острова, Южно-Африканская Республика, Танзания, Замбия, Зимбабве), и другой для </w:t>
            </w:r>
            <w:r w:rsidR="00BB5F84" w:rsidRPr="006D102C">
              <w:lastRenderedPageBreak/>
              <w:t>англоязычных стран Африки, к которым относятся 11 стран (Гамбия, Гана, Нигерия, Либерия, Сьерра-Леоне, Кения, Ангола, Экваториальная Гвинея, Гвинея, Сан-Томе и Принсипи, Кабо-Верде).</w:t>
            </w:r>
          </w:p>
          <w:p w14:paraId="7BA7CB2A" w14:textId="5268F931" w:rsidR="00BB5F84" w:rsidRPr="006D102C" w:rsidRDefault="00465551" w:rsidP="00465551">
            <w:pPr>
              <w:pStyle w:val="enumlev1"/>
              <w:rPr>
                <w:rFonts w:cstheme="minorHAnsi"/>
              </w:rPr>
            </w:pPr>
            <w:r w:rsidRPr="006D102C">
              <w:tab/>
            </w:r>
            <w:r w:rsidR="00BB5F84" w:rsidRPr="006D102C">
              <w:t>После регионального семинара-практикума по NETP МСЭ и Секретариат САДК провели в Малави семинар-практикум по реализации типового NETP для САДК и повышению осведомленности об инициативе EW4All. Семинар-практикум, в котором приняли участие Государства – Члены САДК, стал площадкой, где страны оценили свою готовность к внедрению и практическому осуществлению типового NETP для САДК.</w:t>
            </w:r>
          </w:p>
          <w:p w14:paraId="6F2A0B5B" w14:textId="2CBAD31B" w:rsidR="00BB5F84" w:rsidRPr="006D102C" w:rsidRDefault="00465551" w:rsidP="00465551">
            <w:pPr>
              <w:pStyle w:val="enumlev1"/>
              <w:rPr>
                <w:rFonts w:cstheme="minorHAnsi"/>
              </w:rPr>
            </w:pPr>
            <w:r w:rsidRPr="006D102C">
              <w:rPr>
                <w:rFonts w:cs="Calibri"/>
              </w:rPr>
              <w:t>•</w:t>
            </w:r>
            <w:r w:rsidRPr="006D102C">
              <w:rPr>
                <w:rFonts w:cs="Calibri"/>
              </w:rPr>
              <w:tab/>
            </w:r>
            <w:r w:rsidR="00BB5F84" w:rsidRPr="006D102C">
              <w:rPr>
                <w:b/>
                <w:bCs/>
              </w:rPr>
              <w:t>Европа</w:t>
            </w:r>
            <w:r w:rsidR="00BB5F84" w:rsidRPr="006D102C">
              <w:t>: В Грузии БРЭ оказало правительству поддержку посредством разработки рекомендаций по NETP. В рамках этой работы в дополнение к имеющемуся набору итоговых документов был подготовлен документ с подробным описанием решения для рассылки оповещений с использованием технологий на базе сотового радиовещания, расширивший рамочную основу для деятельности по обеспечению национальной готовности.</w:t>
            </w:r>
          </w:p>
          <w:p w14:paraId="3B02A110" w14:textId="70418561" w:rsidR="00BB5F84" w:rsidRPr="006D102C" w:rsidRDefault="00465551" w:rsidP="00465551">
            <w:pPr>
              <w:pStyle w:val="Heading1"/>
              <w:rPr>
                <w:rFonts w:cstheme="minorHAnsi"/>
                <w:color w:val="000000" w:themeColor="text1"/>
                <w:sz w:val="22"/>
              </w:rPr>
            </w:pPr>
            <w:r w:rsidRPr="006D102C">
              <w:t>III</w:t>
            </w:r>
            <w:r w:rsidRPr="006D102C">
              <w:tab/>
            </w:r>
            <w:r w:rsidR="00BB5F84" w:rsidRPr="006D102C">
              <w:t>Реагирование на бедствия</w:t>
            </w:r>
          </w:p>
          <w:p w14:paraId="6EE9B827" w14:textId="12103804" w:rsidR="00BB5F84" w:rsidRPr="006D102C" w:rsidRDefault="00465551" w:rsidP="00465551">
            <w:pPr>
              <w:pStyle w:val="enumlev1"/>
              <w:rPr>
                <w:rFonts w:cstheme="minorHAnsi"/>
                <w:color w:val="000000" w:themeColor="text1"/>
              </w:rPr>
            </w:pPr>
            <w:r w:rsidRPr="006D102C">
              <w:rPr>
                <w:rFonts w:cs="Calibri"/>
              </w:rPr>
              <w:t>•</w:t>
            </w:r>
            <w:r w:rsidRPr="006D102C">
              <w:tab/>
            </w:r>
            <w:r w:rsidR="00BB5F84" w:rsidRPr="006D102C">
              <w:rPr>
                <w:b/>
                <w:bCs/>
              </w:rPr>
              <w:t>Развертывание оборудования электросвязи</w:t>
            </w:r>
          </w:p>
          <w:p w14:paraId="174AAC1A" w14:textId="77777777" w:rsidR="00BB5F84" w:rsidRPr="006D102C" w:rsidRDefault="00BB5F84" w:rsidP="00465551">
            <w:pPr>
              <w:rPr>
                <w:rFonts w:cstheme="minorHAnsi"/>
                <w:color w:val="000000" w:themeColor="text1"/>
              </w:rPr>
            </w:pPr>
            <w:r w:rsidRPr="006D102C">
              <w:t xml:space="preserve">БРЭ продолжило работу по </w:t>
            </w:r>
            <w:r w:rsidRPr="006D102C">
              <w:rPr>
                <w:b/>
                <w:bCs/>
              </w:rPr>
              <w:t>реагированию на бедствия</w:t>
            </w:r>
            <w:r w:rsidRPr="006D102C">
              <w:t xml:space="preserve"> в период после бедствий и содействовало укреплению потенциала Государств-Членов в области оперативного развертывания терминалов спутниковой электросвязи и координации национальных мер реагирования после бедствий. Эта поддержка была предоставлена благодаря предварительному стратегическому размещению в различных географических точках спутникового оборудования электросвязи в чрезвычайных ситуациях для сокращения времени реагирования непосредственно после бедствий.</w:t>
            </w:r>
          </w:p>
          <w:p w14:paraId="26B925B5" w14:textId="77777777" w:rsidR="00BB5F84" w:rsidRPr="006D102C" w:rsidRDefault="00BB5F84" w:rsidP="00465551">
            <w:pPr>
              <w:rPr>
                <w:rFonts w:cstheme="minorHAnsi"/>
                <w:color w:val="000000" w:themeColor="text1"/>
              </w:rPr>
            </w:pPr>
            <w:r w:rsidRPr="006D102C">
              <w:t>БРЭ завершило работу по предварительному размещению спутникового оборудования в следующих регионах:</w:t>
            </w:r>
          </w:p>
          <w:p w14:paraId="27E85670" w14:textId="19D67597" w:rsidR="00BB5F84" w:rsidRPr="006D102C" w:rsidRDefault="00465551" w:rsidP="00465551">
            <w:pPr>
              <w:pStyle w:val="enumlev2"/>
              <w:rPr>
                <w:rFonts w:cstheme="minorHAnsi"/>
                <w:color w:val="000000" w:themeColor="text1"/>
              </w:rPr>
            </w:pPr>
            <w:r w:rsidRPr="006D102C">
              <w:t>−</w:t>
            </w:r>
            <w:r w:rsidRPr="006D102C">
              <w:tab/>
            </w:r>
            <w:r w:rsidR="00BB5F84" w:rsidRPr="006D102C">
              <w:t>в Дубае – для охвата арабских государств, Африканского и Азиатско-Тихоокеанского регионов;</w:t>
            </w:r>
          </w:p>
          <w:p w14:paraId="1748DDAF" w14:textId="746A15A8" w:rsidR="00BB5F84" w:rsidRPr="006D102C" w:rsidRDefault="00465551" w:rsidP="00465551">
            <w:pPr>
              <w:pStyle w:val="enumlev2"/>
              <w:rPr>
                <w:rFonts w:cstheme="minorHAnsi"/>
                <w:color w:val="000000" w:themeColor="text1"/>
              </w:rPr>
            </w:pPr>
            <w:r w:rsidRPr="006D102C">
              <w:t>−</w:t>
            </w:r>
            <w:r w:rsidRPr="006D102C">
              <w:tab/>
            </w:r>
            <w:r w:rsidR="00BB5F84" w:rsidRPr="006D102C">
              <w:t>в Зимбабве – для помощи государствам – членам САДК;</w:t>
            </w:r>
          </w:p>
          <w:p w14:paraId="616D31A1" w14:textId="24CDBFC6" w:rsidR="00BB5F84" w:rsidRPr="006D102C" w:rsidRDefault="00465551" w:rsidP="00465551">
            <w:pPr>
              <w:pStyle w:val="enumlev2"/>
              <w:rPr>
                <w:rFonts w:cstheme="minorHAnsi"/>
                <w:color w:val="000000" w:themeColor="text1"/>
              </w:rPr>
            </w:pPr>
            <w:r w:rsidRPr="006D102C">
              <w:t>−</w:t>
            </w:r>
            <w:r w:rsidRPr="006D102C">
              <w:tab/>
            </w:r>
            <w:r w:rsidR="00BB5F84" w:rsidRPr="006D102C">
              <w:t>на Барбадосе – для помощи странам Северной и Южной Америки и Карибского бассейна.</w:t>
            </w:r>
          </w:p>
          <w:p w14:paraId="3515CA07" w14:textId="77777777" w:rsidR="00BB5F84" w:rsidRPr="006D102C" w:rsidRDefault="00BB5F84" w:rsidP="00465551">
            <w:pPr>
              <w:rPr>
                <w:rFonts w:cstheme="minorHAnsi"/>
                <w:color w:val="000000" w:themeColor="text1"/>
              </w:rPr>
            </w:pPr>
            <w:r w:rsidRPr="006D102C">
              <w:t xml:space="preserve">С мая 2024 года по апрель 2025 года спутниковое оборудование было развернуто в следующих странах: </w:t>
            </w:r>
          </w:p>
          <w:p w14:paraId="1FF42E89" w14:textId="5A477F23" w:rsidR="00BB5F84" w:rsidRPr="006D102C" w:rsidRDefault="00465551" w:rsidP="00465551">
            <w:pPr>
              <w:pStyle w:val="enumlev2"/>
              <w:rPr>
                <w:rFonts w:cstheme="minorHAnsi"/>
              </w:rPr>
            </w:pPr>
            <w:r w:rsidRPr="006D102C">
              <w:t>−</w:t>
            </w:r>
            <w:r w:rsidRPr="006D102C">
              <w:tab/>
            </w:r>
            <w:r w:rsidR="00BB5F84" w:rsidRPr="006D102C">
              <w:rPr>
                <w:b/>
                <w:bCs/>
              </w:rPr>
              <w:t>Ямайка, Гренада, Сент-Винсент и Гренадины</w:t>
            </w:r>
            <w:r w:rsidR="00BB5F84" w:rsidRPr="006D102C">
              <w:t xml:space="preserve"> – в качестве поддержки усилий по реагированию на ураганы; </w:t>
            </w:r>
          </w:p>
          <w:p w14:paraId="75A9F5E3" w14:textId="03E55290" w:rsidR="00BB5F84" w:rsidRPr="006D102C" w:rsidRDefault="00465551" w:rsidP="00465551">
            <w:pPr>
              <w:pStyle w:val="enumlev2"/>
              <w:rPr>
                <w:rFonts w:cstheme="minorHAnsi"/>
              </w:rPr>
            </w:pPr>
            <w:r w:rsidRPr="006D102C">
              <w:t>−</w:t>
            </w:r>
            <w:r w:rsidRPr="006D102C">
              <w:tab/>
            </w:r>
            <w:r w:rsidR="00BB5F84" w:rsidRPr="006D102C">
              <w:rPr>
                <w:b/>
                <w:bCs/>
              </w:rPr>
              <w:t>Мозамбик</w:t>
            </w:r>
            <w:r w:rsidR="00BB5F84" w:rsidRPr="006D102C">
              <w:t xml:space="preserve"> – для оказания помощи правительству в период восстановления наземной инфраструктуры, которая была повреждена циклоном "Шидо". </w:t>
            </w:r>
          </w:p>
          <w:p w14:paraId="144B078B" w14:textId="77777777" w:rsidR="00BB5F84" w:rsidRPr="006D102C" w:rsidRDefault="00BB5F84" w:rsidP="00465551">
            <w:pPr>
              <w:rPr>
                <w:rFonts w:cstheme="minorHAnsi"/>
                <w:color w:val="000000" w:themeColor="text1"/>
              </w:rPr>
            </w:pPr>
            <w:r w:rsidRPr="006D102C">
              <w:t xml:space="preserve">БРЭ также формирует партнерства для усиления потенциала Государств-Членов в области обеспечения готовности к бедствиям и реагирования на них. БРЭ в сотрудничестве с Ассоциацией GSM организовало семинар-практикум "Роль электросвязи в обеспечении готовности к бедствиям, реагировании на них и последующем восстановлении" в рамках принятой Ассоциацией Хартии по обеспечению возможности установления соединений в гуманитарных целях. В ходе </w:t>
            </w:r>
            <w:r w:rsidRPr="006D102C">
              <w:lastRenderedPageBreak/>
              <w:t xml:space="preserve">семинара-практикума обсуждались способы повышения устойчивости страны к последствиям бедствий при помощи технологий подвижной связи, обновлен NETP и проведено учебное мероприятие по настольному моделированию в целях оценки эффективности национальных стратегий и планов использования ИКТ для снижения риска бедствий. </w:t>
            </w:r>
          </w:p>
          <w:p w14:paraId="1D6D1F90" w14:textId="77777777" w:rsidR="00BB5F84" w:rsidRPr="006D102C" w:rsidRDefault="00BB5F84" w:rsidP="00465551">
            <w:pPr>
              <w:rPr>
                <w:rFonts w:cstheme="minorHAnsi"/>
                <w:color w:val="000000" w:themeColor="text1"/>
              </w:rPr>
            </w:pPr>
            <w:r w:rsidRPr="006D102C">
              <w:t xml:space="preserve">В рамках недавней работы, связанной с реагированием на бедствия, БРЭ и Intelsat объявили о заключении соглашения о сотрудничестве, которое имеет целью повышение готовности к стихийным бедствиям и эффективности мер реагирования на них при помощи электросвязи. В соответствии с этим соглашением компания Intelsat безвозмездно передала МСЭ развертываемые терминалы VSAT и обязалась предоставлять услуги во время бедствий. Кроме того, Intelsat провела тренинг по использованию этого оборудования. </w:t>
            </w:r>
          </w:p>
          <w:p w14:paraId="7E609666" w14:textId="5BC456EE" w:rsidR="00BB5F84" w:rsidRPr="006D102C" w:rsidRDefault="00465551" w:rsidP="00465551">
            <w:pPr>
              <w:pStyle w:val="enumlev1"/>
              <w:rPr>
                <w:rFonts w:cstheme="minorHAnsi"/>
              </w:rPr>
            </w:pPr>
            <w:r w:rsidRPr="006D102C">
              <w:rPr>
                <w:rFonts w:cs="Calibri"/>
              </w:rPr>
              <w:t>•</w:t>
            </w:r>
            <w:r w:rsidRPr="006D102C">
              <w:tab/>
            </w:r>
            <w:r w:rsidR="00BB5F84" w:rsidRPr="006D102C">
              <w:rPr>
                <w:b/>
                <w:bCs/>
              </w:rPr>
              <w:t>Карта установления соединений в чрезвычайных ситуациях (DCM)</w:t>
            </w:r>
          </w:p>
          <w:p w14:paraId="5A76C502" w14:textId="77777777" w:rsidR="00BB5F84" w:rsidRPr="006D102C" w:rsidRDefault="00BB5F84" w:rsidP="00465551">
            <w:pPr>
              <w:rPr>
                <w:rFonts w:cstheme="minorHAnsi"/>
              </w:rPr>
            </w:pPr>
            <w:r w:rsidRPr="006D102C">
              <w:t xml:space="preserve">При возникновении чрезвычайных ситуаций БРЭ оказывает поддержку в мониторинге выхода из строя сетей и нарушений подключения. Начатая МСЭ в 2020 году в сотрудничестве с Тематическим блоком по вопросам электросвязи в чрезвычайных ситуациях (ETC) и Ассоциацией GSM инициатива DCM представляет собой карту, на которой в режиме реального времени отражена информация о типе, уровне и качестве соединений, доступных на местах во время бедствий. МСЭ обеспечивает работу этого инструмента, который осуществляет мониторинг выхода сетей из строя в целях информирования служб быстрого реагирования и обоснования принимаемых решений. На ней также показаны области, в которых требуется поддержка для восстановления линий электросвязи, что имеет важнейшее значение для эффективной координации реагирования на местах. </w:t>
            </w:r>
          </w:p>
          <w:p w14:paraId="1970C49B" w14:textId="77777777" w:rsidR="00BB5F84" w:rsidRPr="006D102C" w:rsidRDefault="00BB5F84" w:rsidP="00465551">
            <w:pPr>
              <w:rPr>
                <w:rFonts w:cstheme="minorHAnsi"/>
                <w:color w:val="000000" w:themeColor="text1"/>
              </w:rPr>
            </w:pPr>
            <w:r w:rsidRPr="006D102C">
              <w:t xml:space="preserve">В 2024 и 2025 годах система DCM применялась для того, чтобы почти в реальном времени предоставлять данные о возможности установления соединений в следующих странах: </w:t>
            </w:r>
          </w:p>
          <w:p w14:paraId="163330D9" w14:textId="6598E8FD" w:rsidR="00BB5F84" w:rsidRPr="006D102C" w:rsidRDefault="005711CE" w:rsidP="005711CE">
            <w:pPr>
              <w:pStyle w:val="enumlev2"/>
              <w:rPr>
                <w:rFonts w:cstheme="minorHAnsi"/>
                <w:color w:val="000000" w:themeColor="text1"/>
              </w:rPr>
            </w:pPr>
            <w:r w:rsidRPr="006D102C">
              <w:t>−</w:t>
            </w:r>
            <w:r w:rsidRPr="006D102C">
              <w:tab/>
            </w:r>
            <w:r w:rsidR="00BB5F84" w:rsidRPr="006D102C">
              <w:t>Мозамбик: 3–24 марта 2024 года (тропический циклон "Шидо");</w:t>
            </w:r>
          </w:p>
          <w:p w14:paraId="44E5B3B2" w14:textId="73013771" w:rsidR="00BB5F84" w:rsidRPr="006D102C" w:rsidRDefault="005711CE" w:rsidP="005711CE">
            <w:pPr>
              <w:pStyle w:val="enumlev2"/>
              <w:rPr>
                <w:rFonts w:cstheme="minorHAnsi"/>
                <w:color w:val="000000" w:themeColor="text1"/>
              </w:rPr>
            </w:pPr>
            <w:r w:rsidRPr="006D102C">
              <w:t>−</w:t>
            </w:r>
            <w:r w:rsidRPr="006D102C">
              <w:tab/>
            </w:r>
            <w:r w:rsidR="00BB5F84" w:rsidRPr="006D102C">
              <w:t>Мадагаскар: 26 марта – 9 апреля 2024 года (циклон "Гамане");</w:t>
            </w:r>
          </w:p>
          <w:p w14:paraId="3B2B9CB7" w14:textId="10B8E157" w:rsidR="00BB5F84" w:rsidRPr="006D102C" w:rsidRDefault="005711CE" w:rsidP="005711CE">
            <w:pPr>
              <w:pStyle w:val="enumlev2"/>
              <w:rPr>
                <w:rFonts w:cstheme="minorHAnsi"/>
                <w:color w:val="000000" w:themeColor="text1"/>
              </w:rPr>
            </w:pPr>
            <w:r w:rsidRPr="006D102C">
              <w:t>−</w:t>
            </w:r>
            <w:r w:rsidRPr="006D102C">
              <w:tab/>
            </w:r>
            <w:r w:rsidR="00BB5F84" w:rsidRPr="006D102C">
              <w:t>Гренада, Сент-Винсент и Гренадины: июнь 2024 года (ураган "Берил");</w:t>
            </w:r>
          </w:p>
          <w:p w14:paraId="1327E549" w14:textId="1FA980AD" w:rsidR="00BB5F84" w:rsidRPr="006D102C" w:rsidRDefault="005711CE" w:rsidP="005711CE">
            <w:pPr>
              <w:pStyle w:val="enumlev2"/>
              <w:rPr>
                <w:rFonts w:cstheme="minorHAnsi"/>
                <w:color w:val="000000" w:themeColor="text1"/>
              </w:rPr>
            </w:pPr>
            <w:r w:rsidRPr="006D102C">
              <w:t>−</w:t>
            </w:r>
            <w:r w:rsidRPr="006D102C">
              <w:tab/>
            </w:r>
            <w:r w:rsidR="00BB5F84" w:rsidRPr="006D102C">
              <w:t>Кения и Танзания: 1 мая – 3 июня (тропический циклон "Хидайя");</w:t>
            </w:r>
          </w:p>
          <w:p w14:paraId="7C93DBF6" w14:textId="44BA3DEC" w:rsidR="00BB5F84" w:rsidRPr="006D102C" w:rsidRDefault="005711CE" w:rsidP="005711CE">
            <w:pPr>
              <w:pStyle w:val="enumlev2"/>
              <w:rPr>
                <w:rFonts w:cstheme="minorHAnsi"/>
                <w:color w:val="000000" w:themeColor="text1"/>
              </w:rPr>
            </w:pPr>
            <w:r w:rsidRPr="006D102C">
              <w:t>−</w:t>
            </w:r>
            <w:r w:rsidRPr="006D102C">
              <w:tab/>
            </w:r>
            <w:r w:rsidR="00BB5F84" w:rsidRPr="006D102C">
              <w:t>Мьянма и Таиланд: 28 марта 2025 года (землетрясение магнитудой 7,7 с эпицентром в Мьянме).</w:t>
            </w:r>
          </w:p>
        </w:tc>
        <w:tc>
          <w:tcPr>
            <w:tcW w:w="3001" w:type="dxa"/>
            <w:shd w:val="clear" w:color="auto" w:fill="auto"/>
          </w:tcPr>
          <w:p w14:paraId="4F6A6048" w14:textId="77777777" w:rsidR="00BB5F84" w:rsidRPr="006D102C" w:rsidRDefault="00BB5F84" w:rsidP="00274B46">
            <w:pPr>
              <w:overflowPunct/>
              <w:autoSpaceDE/>
              <w:autoSpaceDN/>
              <w:adjustRightInd/>
              <w:spacing w:after="120"/>
              <w:textAlignment w:val="auto"/>
              <w:rPr>
                <w:rFonts w:cstheme="minorHAnsi"/>
                <w:b/>
                <w:bCs/>
                <w:color w:val="0070C0"/>
              </w:rPr>
            </w:pPr>
            <w:r w:rsidRPr="006D102C">
              <w:rPr>
                <w:rFonts w:cstheme="minorHAnsi"/>
                <w:b/>
                <w:bCs/>
                <w:color w:val="0070C0"/>
              </w:rPr>
              <w:lastRenderedPageBreak/>
              <w:t>NETP</w:t>
            </w:r>
          </w:p>
          <w:p w14:paraId="3EFC83FF" w14:textId="20CCD8CA" w:rsidR="00BB5F84" w:rsidRPr="006D102C" w:rsidRDefault="00274B46" w:rsidP="00274B46">
            <w:pPr>
              <w:tabs>
                <w:tab w:val="clear" w:pos="1134"/>
                <w:tab w:val="left" w:pos="346"/>
              </w:tabs>
              <w:ind w:left="346" w:hanging="346"/>
              <w:rPr>
                <w:rFonts w:cstheme="minorHAnsi"/>
              </w:rPr>
            </w:pPr>
            <w:r w:rsidRPr="006D102C">
              <w:rPr>
                <w:rFonts w:cs="Calibri"/>
              </w:rPr>
              <w:t>•</w:t>
            </w:r>
            <w:r w:rsidRPr="006D102C">
              <w:tab/>
            </w:r>
            <w:r w:rsidR="00BB5F84" w:rsidRPr="006D102C">
              <w:rPr>
                <w:b/>
                <w:bCs/>
              </w:rPr>
              <w:t>Арабские страны</w:t>
            </w:r>
            <w:r w:rsidR="00BB5F84" w:rsidRPr="006D102C">
              <w:t xml:space="preserve">: Ливия, </w:t>
            </w:r>
            <w:r w:rsidR="00BB5F84" w:rsidRPr="006D102C">
              <w:rPr>
                <w:rFonts w:eastAsiaTheme="minorHAnsi" w:cstheme="minorBidi"/>
              </w:rPr>
              <w:t>Мавритания</w:t>
            </w:r>
            <w:r w:rsidR="00BB5F84" w:rsidRPr="006D102C">
              <w:t>, Коморские Острова и Джибути</w:t>
            </w:r>
          </w:p>
          <w:p w14:paraId="78609F4E" w14:textId="00406A14" w:rsidR="00BB5F84" w:rsidRPr="006D102C" w:rsidRDefault="00274B46" w:rsidP="00274B46">
            <w:pPr>
              <w:tabs>
                <w:tab w:val="clear" w:pos="1134"/>
                <w:tab w:val="left" w:pos="346"/>
              </w:tabs>
              <w:ind w:left="346" w:hanging="346"/>
              <w:rPr>
                <w:rFonts w:cstheme="minorHAnsi"/>
              </w:rPr>
            </w:pPr>
            <w:r w:rsidRPr="006D102C">
              <w:rPr>
                <w:rFonts w:cs="Calibri"/>
              </w:rPr>
              <w:t>•</w:t>
            </w:r>
            <w:r w:rsidRPr="006D102C">
              <w:tab/>
            </w:r>
            <w:r w:rsidR="00BB5F84" w:rsidRPr="006D102C">
              <w:rPr>
                <w:b/>
                <w:bCs/>
              </w:rPr>
              <w:t>Азиатско-Тихоокеанский регион</w:t>
            </w:r>
            <w:r w:rsidR="00BB5F84" w:rsidRPr="006D102C">
              <w:t xml:space="preserve">: </w:t>
            </w:r>
            <w:r w:rsidR="00BB5F84" w:rsidRPr="006D102C">
              <w:rPr>
                <w:rFonts w:eastAsiaTheme="minorHAnsi" w:cstheme="minorBidi"/>
              </w:rPr>
              <w:t>Тувалу</w:t>
            </w:r>
          </w:p>
          <w:p w14:paraId="2DCC7317" w14:textId="423238A3" w:rsidR="00BB5F84" w:rsidRPr="006D102C" w:rsidRDefault="00274B46" w:rsidP="00274B46">
            <w:pPr>
              <w:tabs>
                <w:tab w:val="clear" w:pos="1134"/>
                <w:tab w:val="left" w:pos="346"/>
              </w:tabs>
              <w:ind w:left="346" w:hanging="346"/>
              <w:rPr>
                <w:rFonts w:cstheme="minorHAnsi"/>
              </w:rPr>
            </w:pPr>
            <w:r w:rsidRPr="006D102C">
              <w:rPr>
                <w:rFonts w:cs="Calibri"/>
              </w:rPr>
              <w:t>•</w:t>
            </w:r>
            <w:r w:rsidRPr="006D102C">
              <w:tab/>
            </w:r>
            <w:r w:rsidR="00BB5F84" w:rsidRPr="006D102C">
              <w:rPr>
                <w:b/>
                <w:bCs/>
              </w:rPr>
              <w:t>Европа</w:t>
            </w:r>
            <w:r w:rsidR="00BB5F84" w:rsidRPr="006D102C">
              <w:t xml:space="preserve">: </w:t>
            </w:r>
            <w:r w:rsidR="00BB5F84" w:rsidRPr="006D102C">
              <w:rPr>
                <w:rFonts w:eastAsiaTheme="minorHAnsi" w:cstheme="minorBidi"/>
              </w:rPr>
              <w:t>страны</w:t>
            </w:r>
            <w:r w:rsidR="00BB5F84" w:rsidRPr="006D102C">
              <w:t xml:space="preserve"> Западных Балкан</w:t>
            </w:r>
          </w:p>
          <w:p w14:paraId="0CFA8AC1" w14:textId="1BB3A7F9" w:rsidR="00BB5F84" w:rsidRPr="006D102C" w:rsidRDefault="00274B46" w:rsidP="00274B46">
            <w:pPr>
              <w:tabs>
                <w:tab w:val="clear" w:pos="1134"/>
                <w:tab w:val="left" w:pos="346"/>
              </w:tabs>
              <w:ind w:left="346" w:hanging="346"/>
              <w:rPr>
                <w:rFonts w:cstheme="minorHAnsi"/>
              </w:rPr>
            </w:pPr>
            <w:r w:rsidRPr="006D102C">
              <w:rPr>
                <w:rFonts w:cs="Calibri"/>
              </w:rPr>
              <w:t>•</w:t>
            </w:r>
            <w:r w:rsidRPr="006D102C">
              <w:tab/>
            </w:r>
            <w:r w:rsidR="00BB5F84" w:rsidRPr="006D102C">
              <w:rPr>
                <w:b/>
                <w:bCs/>
              </w:rPr>
              <w:t>Африка</w:t>
            </w:r>
            <w:r w:rsidR="00BB5F84" w:rsidRPr="006D102C">
              <w:t xml:space="preserve">: </w:t>
            </w:r>
            <w:r w:rsidR="00BB5F84" w:rsidRPr="006D102C">
              <w:rPr>
                <w:rFonts w:eastAsiaTheme="minorHAnsi" w:cstheme="minorBidi"/>
              </w:rPr>
              <w:t>САДК</w:t>
            </w:r>
            <w:r w:rsidR="00BB5F84" w:rsidRPr="006D102C">
              <w:t xml:space="preserve"> и страны Западной Африки</w:t>
            </w:r>
          </w:p>
          <w:p w14:paraId="02A9D5F9" w14:textId="77777777" w:rsidR="00BB5F84" w:rsidRPr="006D102C" w:rsidRDefault="00BB5F84" w:rsidP="00274B46">
            <w:pPr>
              <w:overflowPunct/>
              <w:autoSpaceDE/>
              <w:autoSpaceDN/>
              <w:adjustRightInd/>
              <w:spacing w:after="120"/>
              <w:textAlignment w:val="auto"/>
              <w:rPr>
                <w:rFonts w:cstheme="minorHAnsi"/>
                <w:b/>
                <w:bCs/>
                <w:color w:val="0070C0"/>
              </w:rPr>
            </w:pPr>
            <w:r w:rsidRPr="006D102C">
              <w:rPr>
                <w:rFonts w:cstheme="minorHAnsi"/>
                <w:b/>
                <w:bCs/>
                <w:color w:val="0070C0"/>
              </w:rPr>
              <w:t>EW4ALL</w:t>
            </w:r>
          </w:p>
          <w:p w14:paraId="48826C5A" w14:textId="38C934B8" w:rsidR="00BB5F84" w:rsidRPr="006D102C" w:rsidRDefault="00274B46" w:rsidP="00274B46">
            <w:pPr>
              <w:tabs>
                <w:tab w:val="clear" w:pos="1134"/>
                <w:tab w:val="left" w:pos="346"/>
              </w:tabs>
              <w:ind w:left="346" w:hanging="346"/>
              <w:rPr>
                <w:rFonts w:cstheme="minorHAnsi"/>
                <w:color w:val="000000" w:themeColor="text1"/>
              </w:rPr>
            </w:pPr>
            <w:r w:rsidRPr="006D102C">
              <w:rPr>
                <w:rFonts w:cs="Calibri"/>
              </w:rPr>
              <w:t>•</w:t>
            </w:r>
            <w:r w:rsidRPr="006D102C">
              <w:tab/>
            </w:r>
            <w:r w:rsidR="00BB5F84" w:rsidRPr="006D102C">
              <w:rPr>
                <w:b/>
                <w:bCs/>
                <w:color w:val="000000"/>
              </w:rPr>
              <w:t>Африка</w:t>
            </w:r>
            <w:r w:rsidR="00BB5F84" w:rsidRPr="006D102C">
              <w:rPr>
                <w:color w:val="000000"/>
              </w:rPr>
              <w:t xml:space="preserve">: </w:t>
            </w:r>
            <w:r w:rsidR="00BB5F84" w:rsidRPr="006D102C">
              <w:t>Либерия</w:t>
            </w:r>
            <w:r w:rsidR="00BB5F84" w:rsidRPr="006D102C">
              <w:rPr>
                <w:color w:val="000000"/>
              </w:rPr>
              <w:t>, Сейшельские Острова, Мозамбик, Танзания, Уганда</w:t>
            </w:r>
          </w:p>
          <w:p w14:paraId="4E8389B2" w14:textId="19F8454C" w:rsidR="00BB5F84" w:rsidRPr="006D102C" w:rsidRDefault="00274B46" w:rsidP="00274B46">
            <w:pPr>
              <w:tabs>
                <w:tab w:val="clear" w:pos="1134"/>
                <w:tab w:val="left" w:pos="346"/>
              </w:tabs>
              <w:ind w:left="346" w:hanging="346"/>
              <w:rPr>
                <w:rFonts w:cstheme="minorHAnsi"/>
              </w:rPr>
            </w:pPr>
            <w:r w:rsidRPr="006D102C">
              <w:rPr>
                <w:rFonts w:cs="Calibri"/>
              </w:rPr>
              <w:t>•</w:t>
            </w:r>
            <w:r w:rsidRPr="006D102C">
              <w:tab/>
            </w:r>
            <w:r w:rsidR="00BB5F84" w:rsidRPr="006D102C">
              <w:rPr>
                <w:b/>
                <w:bCs/>
                <w:color w:val="000000"/>
              </w:rPr>
              <w:t>Северная и Южная Америка</w:t>
            </w:r>
            <w:r w:rsidR="00BB5F84" w:rsidRPr="006D102C">
              <w:rPr>
                <w:color w:val="000000"/>
              </w:rPr>
              <w:t xml:space="preserve">: </w:t>
            </w:r>
          </w:p>
          <w:p w14:paraId="274649B5" w14:textId="64872EE7" w:rsidR="00BB5F84" w:rsidRPr="006D102C" w:rsidRDefault="00274B46" w:rsidP="00274B46">
            <w:pPr>
              <w:tabs>
                <w:tab w:val="clear" w:pos="1134"/>
                <w:tab w:val="left" w:pos="346"/>
              </w:tabs>
              <w:ind w:left="346" w:hanging="346"/>
              <w:rPr>
                <w:rFonts w:cstheme="minorHAnsi"/>
              </w:rPr>
            </w:pPr>
            <w:r w:rsidRPr="006D102C">
              <w:rPr>
                <w:rFonts w:cs="Calibri"/>
              </w:rPr>
              <w:lastRenderedPageBreak/>
              <w:t>•</w:t>
            </w:r>
            <w:r w:rsidRPr="006D102C">
              <w:tab/>
            </w:r>
            <w:r w:rsidR="00BB5F84" w:rsidRPr="006D102C">
              <w:rPr>
                <w:b/>
                <w:bCs/>
                <w:color w:val="000000"/>
              </w:rPr>
              <w:t>Азиатско-Тихоокеанский регион</w:t>
            </w:r>
            <w:r w:rsidR="00BB5F84" w:rsidRPr="006D102C">
              <w:rPr>
                <w:color w:val="000000"/>
              </w:rPr>
              <w:t xml:space="preserve">: </w:t>
            </w:r>
            <w:r w:rsidR="00BB5F84" w:rsidRPr="006D102C">
              <w:rPr>
                <w:rFonts w:cstheme="minorHAnsi"/>
              </w:rPr>
              <w:t>Бангладеш</w:t>
            </w:r>
            <w:r w:rsidR="00BB5F84" w:rsidRPr="006D102C">
              <w:rPr>
                <w:color w:val="000000"/>
              </w:rPr>
              <w:t>, Камбоджа, Лаос (Н.Д.Р.), Мальдивские Острова, Непал, Фиджи</w:t>
            </w:r>
          </w:p>
          <w:p w14:paraId="4E8668A3" w14:textId="311F39E6" w:rsidR="00BB5F84" w:rsidRPr="006D102C" w:rsidRDefault="00274B46" w:rsidP="00274B46">
            <w:pPr>
              <w:tabs>
                <w:tab w:val="clear" w:pos="1134"/>
                <w:tab w:val="left" w:pos="346"/>
              </w:tabs>
              <w:ind w:left="346" w:hanging="346"/>
              <w:rPr>
                <w:rFonts w:cstheme="minorHAnsi"/>
              </w:rPr>
            </w:pPr>
            <w:r w:rsidRPr="006D102C">
              <w:rPr>
                <w:rFonts w:cs="Calibri"/>
              </w:rPr>
              <w:t>•</w:t>
            </w:r>
            <w:r w:rsidRPr="006D102C">
              <w:tab/>
            </w:r>
            <w:r w:rsidR="00BB5F84" w:rsidRPr="006D102C">
              <w:rPr>
                <w:b/>
                <w:bCs/>
                <w:color w:val="000000"/>
              </w:rPr>
              <w:t>Арабские государства</w:t>
            </w:r>
            <w:r w:rsidR="00BB5F84" w:rsidRPr="006D102C">
              <w:rPr>
                <w:color w:val="000000"/>
              </w:rPr>
              <w:t xml:space="preserve">: Сомали </w:t>
            </w:r>
          </w:p>
          <w:p w14:paraId="156924C9" w14:textId="0CB9713E" w:rsidR="00BB5F84" w:rsidRPr="006D102C" w:rsidRDefault="00274B46" w:rsidP="00274B46">
            <w:pPr>
              <w:tabs>
                <w:tab w:val="clear" w:pos="1134"/>
                <w:tab w:val="left" w:pos="346"/>
              </w:tabs>
              <w:ind w:left="346" w:hanging="346"/>
              <w:rPr>
                <w:rFonts w:cstheme="minorHAnsi"/>
              </w:rPr>
            </w:pPr>
            <w:r w:rsidRPr="006D102C">
              <w:rPr>
                <w:rFonts w:cs="Calibri"/>
              </w:rPr>
              <w:t>•</w:t>
            </w:r>
            <w:r w:rsidRPr="006D102C">
              <w:tab/>
            </w:r>
            <w:r w:rsidR="00BB5F84" w:rsidRPr="006D102C">
              <w:rPr>
                <w:b/>
                <w:bCs/>
                <w:color w:val="000000"/>
              </w:rPr>
              <w:t>СНГ</w:t>
            </w:r>
            <w:r w:rsidR="00BB5F84" w:rsidRPr="006D102C">
              <w:rPr>
                <w:color w:val="000000"/>
              </w:rPr>
              <w:t>: Таджикистан</w:t>
            </w:r>
          </w:p>
          <w:p w14:paraId="22A4A929" w14:textId="77777777" w:rsidR="00BB5F84" w:rsidRPr="006D102C" w:rsidRDefault="00BB5F84" w:rsidP="000C2445">
            <w:pPr>
              <w:overflowPunct/>
              <w:autoSpaceDE/>
              <w:autoSpaceDN/>
              <w:adjustRightInd/>
              <w:spacing w:after="120"/>
              <w:textAlignment w:val="auto"/>
              <w:rPr>
                <w:rFonts w:cstheme="minorHAnsi"/>
                <w:b/>
                <w:bCs/>
                <w:color w:val="0070C0"/>
              </w:rPr>
            </w:pPr>
            <w:r w:rsidRPr="006D102C">
              <w:rPr>
                <w:rFonts w:cstheme="minorHAnsi"/>
                <w:b/>
                <w:bCs/>
                <w:color w:val="0070C0"/>
              </w:rPr>
              <w:t>Развертывание оборудования</w:t>
            </w:r>
          </w:p>
          <w:p w14:paraId="21FA51C1" w14:textId="22CCC21F" w:rsidR="00BB5F84" w:rsidRPr="006D102C" w:rsidRDefault="00274B46" w:rsidP="00274B46">
            <w:pPr>
              <w:tabs>
                <w:tab w:val="clear" w:pos="1134"/>
                <w:tab w:val="left" w:pos="346"/>
              </w:tabs>
              <w:ind w:left="346" w:hanging="346"/>
              <w:rPr>
                <w:rFonts w:cstheme="minorHAnsi"/>
                <w:b/>
                <w:bCs/>
              </w:rPr>
            </w:pPr>
            <w:r w:rsidRPr="006D102C">
              <w:rPr>
                <w:rFonts w:cs="Calibri"/>
              </w:rPr>
              <w:t>•</w:t>
            </w:r>
            <w:r w:rsidRPr="006D102C">
              <w:tab/>
            </w:r>
            <w:r w:rsidR="00BB5F84" w:rsidRPr="006D102C">
              <w:rPr>
                <w:b/>
                <w:bCs/>
                <w:color w:val="000000"/>
              </w:rPr>
              <w:t>Африка</w:t>
            </w:r>
            <w:r w:rsidR="00BB5F84" w:rsidRPr="006D102C">
              <w:rPr>
                <w:color w:val="000000"/>
              </w:rPr>
              <w:t>: Зимбабве (центр для стран САДК)</w:t>
            </w:r>
          </w:p>
          <w:p w14:paraId="1B1F1402" w14:textId="243FE180" w:rsidR="00BB5F84" w:rsidRPr="006D102C" w:rsidRDefault="00274B46" w:rsidP="00274B46">
            <w:pPr>
              <w:tabs>
                <w:tab w:val="clear" w:pos="1134"/>
                <w:tab w:val="left" w:pos="346"/>
              </w:tabs>
              <w:ind w:left="346" w:hanging="346"/>
              <w:rPr>
                <w:rFonts w:cstheme="minorHAnsi"/>
                <w:b/>
                <w:bCs/>
              </w:rPr>
            </w:pPr>
            <w:r w:rsidRPr="006D102C">
              <w:rPr>
                <w:rFonts w:cs="Calibri"/>
              </w:rPr>
              <w:t>•</w:t>
            </w:r>
            <w:r w:rsidRPr="006D102C">
              <w:tab/>
            </w:r>
            <w:r w:rsidR="00BB5F84" w:rsidRPr="006D102C">
              <w:rPr>
                <w:b/>
                <w:bCs/>
                <w:color w:val="000000"/>
              </w:rPr>
              <w:t>Северная и Южная Америка</w:t>
            </w:r>
            <w:r w:rsidR="00BB5F84" w:rsidRPr="006D102C">
              <w:rPr>
                <w:color w:val="000000"/>
              </w:rPr>
              <w:t>: Барбадос (для оказания помощи Карибскому региону), Гренада</w:t>
            </w:r>
          </w:p>
          <w:p w14:paraId="124F61BA" w14:textId="41BAB4DB" w:rsidR="00BB5F84" w:rsidRPr="006D102C" w:rsidRDefault="00274B46" w:rsidP="00274B46">
            <w:pPr>
              <w:tabs>
                <w:tab w:val="clear" w:pos="1134"/>
                <w:tab w:val="left" w:pos="346"/>
              </w:tabs>
              <w:ind w:left="346" w:hanging="346"/>
              <w:rPr>
                <w:rFonts w:cstheme="minorHAnsi"/>
                <w:b/>
                <w:bCs/>
              </w:rPr>
            </w:pPr>
            <w:r w:rsidRPr="006D102C">
              <w:rPr>
                <w:rFonts w:cs="Calibri"/>
              </w:rPr>
              <w:t>•</w:t>
            </w:r>
            <w:r w:rsidRPr="006D102C">
              <w:tab/>
            </w:r>
            <w:r w:rsidR="00BB5F84" w:rsidRPr="006D102C">
              <w:rPr>
                <w:b/>
                <w:bCs/>
                <w:color w:val="000000"/>
              </w:rPr>
              <w:t>Арабские государства</w:t>
            </w:r>
            <w:r w:rsidR="00BB5F84" w:rsidRPr="006D102C">
              <w:rPr>
                <w:color w:val="000000"/>
              </w:rPr>
              <w:t>: Дубай (для оказания помощи арабским государствам, странам Африки и Азиатско-Тихоокеанского региона)</w:t>
            </w:r>
          </w:p>
          <w:p w14:paraId="1E556515" w14:textId="77777777" w:rsidR="00EC3D86" w:rsidRPr="006D102C" w:rsidRDefault="00BB5F84" w:rsidP="000C2445">
            <w:pPr>
              <w:overflowPunct/>
              <w:autoSpaceDE/>
              <w:autoSpaceDN/>
              <w:adjustRightInd/>
              <w:spacing w:after="120"/>
              <w:textAlignment w:val="auto"/>
              <w:rPr>
                <w:rFonts w:cstheme="minorHAnsi"/>
                <w:b/>
                <w:bCs/>
                <w:color w:val="0070C0"/>
              </w:rPr>
            </w:pPr>
            <w:r w:rsidRPr="006D102C">
              <w:rPr>
                <w:rFonts w:cstheme="minorHAnsi"/>
                <w:b/>
                <w:bCs/>
                <w:color w:val="0070C0"/>
              </w:rPr>
              <w:t>НРС/ЛЛДС и СИДС участвуют/получают помощь – Возможность установления приемлемых в ценовом отношении</w:t>
            </w:r>
            <w:r w:rsidRPr="006D102C">
              <w:rPr>
                <w:b/>
                <w:bCs/>
                <w:color w:val="000000"/>
              </w:rPr>
              <w:t xml:space="preserve"> </w:t>
            </w:r>
            <w:r w:rsidRPr="006D102C">
              <w:rPr>
                <w:rFonts w:cstheme="minorHAnsi"/>
                <w:b/>
                <w:bCs/>
                <w:color w:val="0070C0"/>
              </w:rPr>
              <w:t>соединений</w:t>
            </w:r>
          </w:p>
          <w:p w14:paraId="5951A081" w14:textId="4438498D" w:rsidR="00BB5F84" w:rsidRPr="006D102C" w:rsidRDefault="00BB5F84" w:rsidP="00EC3D86">
            <w:pPr>
              <w:overflowPunct/>
              <w:autoSpaceDE/>
              <w:autoSpaceDN/>
              <w:adjustRightInd/>
              <w:spacing w:after="120"/>
              <w:textAlignment w:val="auto"/>
            </w:pPr>
            <w:r w:rsidRPr="006D102C">
              <w:rPr>
                <w:b/>
                <w:bCs/>
                <w:color w:val="000000"/>
              </w:rPr>
              <w:lastRenderedPageBreak/>
              <w:t>46 НРС, ЛЛДС и СИДС</w:t>
            </w:r>
            <w:r w:rsidR="00EC3D86" w:rsidRPr="006D102C">
              <w:rPr>
                <w:color w:val="000000"/>
              </w:rPr>
              <w:t xml:space="preserve">, </w:t>
            </w:r>
            <w:r w:rsidRPr="006D102C">
              <w:t xml:space="preserve">27 </w:t>
            </w:r>
            <w:r w:rsidR="00EC3D86" w:rsidRPr="006D102C">
              <w:t xml:space="preserve">из которых </w:t>
            </w:r>
            <w:r w:rsidRPr="006D102C">
              <w:t>получили техническую помощь.</w:t>
            </w:r>
          </w:p>
          <w:p w14:paraId="2B876089" w14:textId="2ED11FDB" w:rsidR="00BB5F84" w:rsidRPr="006D102C" w:rsidRDefault="00274B46" w:rsidP="00274B46">
            <w:pPr>
              <w:tabs>
                <w:tab w:val="clear" w:pos="1134"/>
                <w:tab w:val="left" w:pos="346"/>
              </w:tabs>
              <w:ind w:left="346" w:hanging="346"/>
              <w:rPr>
                <w:color w:val="000000"/>
              </w:rPr>
            </w:pPr>
            <w:r w:rsidRPr="006D102C">
              <w:rPr>
                <w:rFonts w:cs="Calibri"/>
              </w:rPr>
              <w:t>•</w:t>
            </w:r>
            <w:r w:rsidRPr="006D102C">
              <w:tab/>
            </w:r>
            <w:r w:rsidR="00BB5F84" w:rsidRPr="006D102C">
              <w:rPr>
                <w:color w:val="000000"/>
              </w:rPr>
              <w:t>Разработано 26 политических рамочных программ и продуктов знаний.</w:t>
            </w:r>
          </w:p>
          <w:p w14:paraId="038F4249" w14:textId="77777777" w:rsidR="00BB5F84" w:rsidRPr="006D102C" w:rsidRDefault="00BB5F84" w:rsidP="00274B46">
            <w:r w:rsidRPr="006D102C">
              <w:t>Шести странам оказана помощь в работе с данными и статистическими сведениями.</w:t>
            </w:r>
          </w:p>
          <w:p w14:paraId="29EEAE2E" w14:textId="77777777" w:rsidR="00BB5F84" w:rsidRPr="006D102C" w:rsidRDefault="00BB5F84" w:rsidP="00274B46">
            <w:pPr>
              <w:rPr>
                <w:rFonts w:cstheme="minorHAnsi"/>
                <w:b/>
              </w:rPr>
            </w:pPr>
            <w:r w:rsidRPr="006D102C">
              <w:t>Ведется</w:t>
            </w:r>
            <w:r w:rsidRPr="006D102C">
              <w:rPr>
                <w:color w:val="000000"/>
              </w:rPr>
              <w:t xml:space="preserve"> </w:t>
            </w:r>
            <w:r w:rsidRPr="006D102C">
              <w:rPr>
                <w:b/>
                <w:bCs/>
                <w:color w:val="000000"/>
              </w:rPr>
              <w:t xml:space="preserve">четыре проекта, относящихся к тематической области </w:t>
            </w:r>
            <w:r w:rsidRPr="00F66AD1">
              <w:rPr>
                <w:color w:val="000000"/>
              </w:rPr>
              <w:t>"</w:t>
            </w:r>
            <w:r w:rsidRPr="006D102C">
              <w:rPr>
                <w:b/>
                <w:bCs/>
                <w:color w:val="000000"/>
              </w:rPr>
              <w:t>Возможность установления приемлемых в ценовом отношении соединений</w:t>
            </w:r>
            <w:r w:rsidRPr="00F66AD1">
              <w:rPr>
                <w:color w:val="000000"/>
              </w:rPr>
              <w:t>"</w:t>
            </w:r>
            <w:r w:rsidRPr="006D102C">
              <w:rPr>
                <w:color w:val="000000"/>
              </w:rPr>
              <w:t>.</w:t>
            </w:r>
          </w:p>
        </w:tc>
      </w:tr>
      <w:tr w:rsidR="00BB5F84" w:rsidRPr="006D102C" w14:paraId="1CCA9C96" w14:textId="77777777" w:rsidTr="000C2445">
        <w:trPr>
          <w:trHeight w:val="300"/>
        </w:trPr>
        <w:tc>
          <w:tcPr>
            <w:tcW w:w="14868" w:type="dxa"/>
            <w:gridSpan w:val="3"/>
            <w:shd w:val="clear" w:color="auto" w:fill="E5DFEC" w:themeFill="accent4" w:themeFillTint="33"/>
          </w:tcPr>
          <w:p w14:paraId="547E3579" w14:textId="7987EEA9" w:rsidR="00BB5F84" w:rsidRPr="006D102C" w:rsidRDefault="00BB5F84" w:rsidP="000C2445">
            <w:pPr>
              <w:spacing w:after="120"/>
              <w:rPr>
                <w:rFonts w:cstheme="minorHAnsi"/>
                <w:b/>
                <w:bCs/>
                <w:color w:val="1F497D" w:themeColor="text2"/>
              </w:rPr>
            </w:pPr>
            <w:bookmarkStart w:id="15" w:name="_Hlk162438207"/>
            <w:bookmarkStart w:id="16" w:name="_Toc194665836"/>
            <w:r w:rsidRPr="006D102C">
              <w:rPr>
                <w:rFonts w:cstheme="minorHAnsi"/>
                <w:b/>
                <w:bCs/>
                <w:color w:val="1F497D" w:themeColor="text2"/>
              </w:rPr>
              <w:lastRenderedPageBreak/>
              <w:t xml:space="preserve">Сеть и цифровая инфраструктура </w:t>
            </w:r>
          </w:p>
          <w:p w14:paraId="08D63562" w14:textId="7E75F962" w:rsidR="00AA3D2A" w:rsidRPr="006D102C" w:rsidRDefault="00BB5F84" w:rsidP="000C2445">
            <w:pPr>
              <w:spacing w:after="120"/>
              <w:rPr>
                <w:i/>
                <w:iCs/>
                <w:color w:val="000000"/>
              </w:rPr>
            </w:pPr>
            <w:r w:rsidRPr="006D102C">
              <w:rPr>
                <w:b/>
                <w:bCs/>
                <w:i/>
                <w:iCs/>
                <w:color w:val="000000"/>
              </w:rPr>
              <w:t>Конечный результат</w:t>
            </w:r>
            <w:r w:rsidRPr="006D102C">
              <w:rPr>
                <w:i/>
                <w:iCs/>
                <w:color w:val="000000"/>
              </w:rPr>
              <w:t>: совершенствование инфраструктуры и услуг электросвязи/ИКТ, в частности охвата широкополосной связью</w:t>
            </w:r>
          </w:p>
        </w:tc>
      </w:tr>
      <w:bookmarkEnd w:id="15"/>
      <w:tr w:rsidR="00BB5F84" w:rsidRPr="006D102C" w14:paraId="18FEBBB8" w14:textId="77777777" w:rsidTr="000C2445">
        <w:trPr>
          <w:trHeight w:val="300"/>
        </w:trPr>
        <w:tc>
          <w:tcPr>
            <w:tcW w:w="11867" w:type="dxa"/>
            <w:gridSpan w:val="2"/>
          </w:tcPr>
          <w:p w14:paraId="23E5F1DF" w14:textId="77777777" w:rsidR="00BB5F84" w:rsidRPr="006D102C" w:rsidDel="00CC7F87" w:rsidRDefault="00BB5F84" w:rsidP="005711CE">
            <w:pPr>
              <w:keepNext/>
              <w:overflowPunct/>
              <w:autoSpaceDE/>
              <w:autoSpaceDN/>
              <w:adjustRightInd/>
              <w:spacing w:after="120"/>
              <w:jc w:val="center"/>
              <w:textAlignment w:val="auto"/>
              <w:rPr>
                <w:rFonts w:cstheme="minorHAnsi"/>
                <w:b/>
                <w:bCs/>
                <w:color w:val="0070C0"/>
              </w:rPr>
            </w:pPr>
            <w:r w:rsidRPr="006D102C">
              <w:rPr>
                <w:b/>
                <w:bCs/>
                <w:color w:val="0070C0"/>
              </w:rPr>
              <w:t>Намеченные результаты деятельности</w:t>
            </w:r>
          </w:p>
        </w:tc>
        <w:tc>
          <w:tcPr>
            <w:tcW w:w="3001" w:type="dxa"/>
            <w:shd w:val="clear" w:color="auto" w:fill="auto"/>
          </w:tcPr>
          <w:p w14:paraId="477CC783" w14:textId="77777777" w:rsidR="00BB5F84" w:rsidRPr="006D102C" w:rsidRDefault="00BB5F84" w:rsidP="005711CE">
            <w:pPr>
              <w:keepNext/>
              <w:overflowPunct/>
              <w:autoSpaceDE/>
              <w:autoSpaceDN/>
              <w:adjustRightInd/>
              <w:spacing w:after="120"/>
              <w:jc w:val="center"/>
              <w:textAlignment w:val="auto"/>
              <w:rPr>
                <w:rFonts w:cstheme="minorHAnsi"/>
                <w:b/>
                <w:bCs/>
                <w:color w:val="0070C0"/>
              </w:rPr>
            </w:pPr>
            <w:r w:rsidRPr="006D102C">
              <w:rPr>
                <w:b/>
                <w:bCs/>
                <w:color w:val="0070C0"/>
              </w:rPr>
              <w:t>Основные моменты</w:t>
            </w:r>
          </w:p>
        </w:tc>
      </w:tr>
      <w:tr w:rsidR="00BB5F84" w:rsidRPr="006D102C" w14:paraId="62BDA879" w14:textId="77777777" w:rsidTr="000C2445">
        <w:trPr>
          <w:trHeight w:val="300"/>
        </w:trPr>
        <w:tc>
          <w:tcPr>
            <w:tcW w:w="11867" w:type="dxa"/>
            <w:gridSpan w:val="2"/>
          </w:tcPr>
          <w:p w14:paraId="7F742E1F" w14:textId="77777777" w:rsidR="00BB5F84" w:rsidRPr="006D102C" w:rsidRDefault="00BB5F84" w:rsidP="005711CE">
            <w:pPr>
              <w:rPr>
                <w:rFonts w:cstheme="minorHAnsi"/>
              </w:rPr>
            </w:pPr>
            <w:r w:rsidRPr="006D102C">
              <w:t xml:space="preserve">Проведенные БРЭ мероприятия по картированию и анализу инфраструктуры во всех регионах внесли значительный вклад в повышение осведомленности о пробелах в инфраструктуре ИКТ </w:t>
            </w:r>
            <w:r w:rsidRPr="006D102C">
              <w:rPr>
                <w:b/>
                <w:bCs/>
              </w:rPr>
              <w:t xml:space="preserve">более чем в 25 странах в разных регионах, способствуя </w:t>
            </w:r>
            <w:r w:rsidRPr="006D102C">
              <w:rPr>
                <w:b/>
                <w:bCs/>
              </w:rPr>
              <w:lastRenderedPageBreak/>
              <w:t>улучшению процесса принятия решений по обеспечению охвата широкополосной связью и ее устойчивости</w:t>
            </w:r>
            <w:r w:rsidRPr="006D102C">
              <w:t xml:space="preserve">. Исследование, сбор и обработка данных об инфраструктуре ИКТ проводились в Африке, Северной и Южной Америке, арабских государствах, Азиатско-Тихоокеанском регионе и странах СНГ. </w:t>
            </w:r>
          </w:p>
          <w:p w14:paraId="271A68E1" w14:textId="77777777" w:rsidR="00BB5F84" w:rsidRPr="006D102C" w:rsidRDefault="00BB5F84" w:rsidP="005711CE">
            <w:pPr>
              <w:rPr>
                <w:rFonts w:cstheme="minorHAnsi"/>
                <w:b/>
                <w:bCs/>
              </w:rPr>
            </w:pPr>
            <w:r w:rsidRPr="006D102C">
              <w:t xml:space="preserve">Государства-Члены познакомились с результатами анализа возможностей установления соединений и анализа инфраструктуры, учитывающими необходимость </w:t>
            </w:r>
            <w:hyperlink r:id="rId20" w:history="1">
              <w:r w:rsidRPr="006D102C">
                <w:rPr>
                  <w:rStyle w:val="Hyperlink"/>
                </w:rPr>
                <w:t>подключения школ</w:t>
              </w:r>
            </w:hyperlink>
            <w:r w:rsidRPr="006D102C">
              <w:t xml:space="preserve">, для отдельных стран, участвующих в проектах БРЭ, что способствовало </w:t>
            </w:r>
            <w:r w:rsidRPr="006D102C">
              <w:rPr>
                <w:b/>
                <w:bCs/>
              </w:rPr>
              <w:t>активизации работы по картированию широкополосной связи на глобальном уровне</w:t>
            </w:r>
            <w:r w:rsidRPr="006D102C">
              <w:t xml:space="preserve">. </w:t>
            </w:r>
          </w:p>
          <w:p w14:paraId="3B363EE7" w14:textId="77777777" w:rsidR="00BB5F84" w:rsidRPr="006D102C" w:rsidRDefault="00BB5F84" w:rsidP="005711CE">
            <w:pPr>
              <w:rPr>
                <w:rFonts w:cstheme="minorHAnsi"/>
              </w:rPr>
            </w:pPr>
            <w:r w:rsidRPr="006D102C">
              <w:t xml:space="preserve">С мая 2024 года по март 2025 года при поддержке Министерства науки и ИКТ (MSIT) Республики Кореи БРЭ провело семинары-практикумы и практические учебные занятия по картированию, анализу и планированию инфраструктуры ИКТ для Уругвая, Алжира, Индонезии, Малайзии, Доминиканской Республики и Таджикистана. Семинары-практикумы </w:t>
            </w:r>
            <w:r w:rsidRPr="006D102C">
              <w:rPr>
                <w:b/>
                <w:bCs/>
              </w:rPr>
              <w:t>повысили уровень как теоретических знаний, так и практических навыков</w:t>
            </w:r>
            <w:r w:rsidRPr="006D102C">
              <w:t xml:space="preserve"> участников в области применения инструментов ГИС для анализа и планирования соединений. Семинар-практикум, проведенный в Уругвае и Доминиканской Республике, </w:t>
            </w:r>
            <w:r w:rsidRPr="006D102C">
              <w:rPr>
                <w:b/>
                <w:bCs/>
              </w:rPr>
              <w:t>укрепил потенциал Государств-Членов в области разработки базовых принципов картирования инфраструктуры ИКТ, в том числе анализа страновой инфраструктуры</w:t>
            </w:r>
            <w:r w:rsidRPr="006D102C">
              <w:t xml:space="preserve">. Кроме того, была оказана первоначальная помощь Сан-Томе и Принсипи в проведении анализа школьной инфраструктуры, на основе чего позже был создан отдельный проект. </w:t>
            </w:r>
          </w:p>
          <w:p w14:paraId="2B18027B" w14:textId="77777777" w:rsidR="00BB5F84" w:rsidRPr="006D102C" w:rsidRDefault="00BB5F84" w:rsidP="005711CE">
            <w:pPr>
              <w:rPr>
                <w:rFonts w:cstheme="minorHAnsi"/>
              </w:rPr>
            </w:pPr>
            <w:r w:rsidRPr="006D102C">
              <w:t>В</w:t>
            </w:r>
            <w:r w:rsidRPr="006D102C">
              <w:rPr>
                <w:b/>
                <w:bCs/>
              </w:rPr>
              <w:t xml:space="preserve"> Африке</w:t>
            </w:r>
            <w:r w:rsidRPr="006D102C">
              <w:t xml:space="preserve"> в рамках Проекта БРЭ по подключению школ Giga для Сан-Томе и Принсипи БРЭ провело оценку и анализ возможности реализации различных решений по подключению всех школ к интернету с точки зрения затрат и ценообразования, в частности составило полный бюджет затрат на подключение. В рамках того же проекта в Сан-Томе и Принсипи был проведен курс профессиональной подготовки по картированию цифровой инфраструктуры, который позволил </w:t>
            </w:r>
            <w:r w:rsidRPr="006D102C">
              <w:rPr>
                <w:b/>
                <w:bCs/>
              </w:rPr>
              <w:t xml:space="preserve">повысить осведомленность о важности передачи знаний об использовании данных электросвязи/ИКТ в целях стимулирования инвестиций в универсальную и реальную возможность установления соединений </w:t>
            </w:r>
            <w:r w:rsidRPr="006D102C">
              <w:t>в стране. На мероприятии, в котором приняли участие ключевые заинтересованные стороны, представляющие регуляторный орган AGER, правительство, сектор образования и сектор электросвязи, была подчеркнута важность организации и использования геопространственных данных в области электросвязи/ИКТ, а кроме того, оно упростило рассмотрение и валидацию имеющейся доступной информации в сотрудничестве с AGER и национальными операторами связи в стране.</w:t>
            </w:r>
          </w:p>
          <w:p w14:paraId="5323E500" w14:textId="77777777" w:rsidR="00BB5F84" w:rsidRPr="006D102C" w:rsidRDefault="00BB5F84" w:rsidP="005711CE">
            <w:pPr>
              <w:rPr>
                <w:rFonts w:cstheme="minorHAnsi"/>
              </w:rPr>
            </w:pPr>
            <w:r w:rsidRPr="006D102C">
              <w:t xml:space="preserve">БРЭ играет важную роль в содействии использованию инструментов географических информационных систем (ГИС) для решения сложных задач обеспечения связи с наиболее проблемными районами. Комплект материалов по картам инфраструктуры ИКТ доступен по адресу: </w:t>
            </w:r>
            <w:hyperlink r:id="rId21" w:history="1">
              <w:r w:rsidRPr="006D102C">
                <w:rPr>
                  <w:rStyle w:val="Hyperlink"/>
                </w:rPr>
                <w:t>https://bbmaps.itu.int/toolkit</w:t>
              </w:r>
            </w:hyperlink>
            <w:r w:rsidRPr="006D102C">
              <w:t xml:space="preserve">. </w:t>
            </w:r>
          </w:p>
          <w:p w14:paraId="2315134F" w14:textId="77777777" w:rsidR="00BB5F84" w:rsidRPr="006D102C" w:rsidRDefault="00BB5F84" w:rsidP="005711CE">
            <w:pPr>
              <w:rPr>
                <w:rFonts w:cstheme="minorHAnsi"/>
              </w:rPr>
            </w:pPr>
            <w:r w:rsidRPr="006D102C">
              <w:t xml:space="preserve">Что касается эффективного применения появляющихся технологий развивающимися странами на благо общества, то БРЭ при поддержке проекта MSIT Кореи осуществляет </w:t>
            </w:r>
            <w:hyperlink r:id="rId22" w:history="1">
              <w:r w:rsidRPr="006D102C">
                <w:rPr>
                  <w:rStyle w:val="Hyperlink"/>
                </w:rPr>
                <w:t>новую программу</w:t>
              </w:r>
            </w:hyperlink>
            <w:r w:rsidRPr="006D102C">
              <w:t xml:space="preserve">, направленную на расширение деятельности по подготовке кадров в сфере ИИ и содействие внедрению сценариев использования ИИ в целях развития сетей. В рамках этой программы была проведена сессия </w:t>
            </w:r>
            <w:hyperlink r:id="rId23" w:history="1">
              <w:r w:rsidRPr="006D102C">
                <w:rPr>
                  <w:rStyle w:val="Hyperlink"/>
                </w:rPr>
                <w:t xml:space="preserve">"Преобразующие технологии: глубокое погружение в ИИ для установления </w:t>
              </w:r>
              <w:r w:rsidRPr="006D102C">
                <w:rPr>
                  <w:rStyle w:val="Hyperlink"/>
                </w:rPr>
                <w:lastRenderedPageBreak/>
                <w:t>соединений"</w:t>
              </w:r>
            </w:hyperlink>
            <w:r w:rsidRPr="006D102C">
              <w:t xml:space="preserve"> в рамках Глобального молодежного саммита МСЭ 2025 года (GYS-25) в Варадеро, Куба. Участники дискуссии поделились полезными идеями, и каждый из них озвучил свой взгляд на то, как ИИ меняет мир.</w:t>
            </w:r>
          </w:p>
          <w:p w14:paraId="7A927D29" w14:textId="77777777" w:rsidR="00BB5F84" w:rsidRPr="006D102C" w:rsidRDefault="00BB5F84" w:rsidP="005711CE">
            <w:pPr>
              <w:rPr>
                <w:rFonts w:cstheme="minorHAnsi"/>
              </w:rPr>
            </w:pPr>
            <w:r w:rsidRPr="006D102C">
              <w:t>БРЭ готовит первый технический курс по ИИ, предназначенный для ознакомления членов Союза с этой технологией в применении для развития инфраструктуры ИКТ, который будет проведен во втором квартале 2025 года.</w:t>
            </w:r>
          </w:p>
          <w:p w14:paraId="60D88853" w14:textId="77777777" w:rsidR="00BB5F84" w:rsidRPr="006D102C" w:rsidRDefault="00BB5F84" w:rsidP="005711CE">
            <w:pPr>
              <w:rPr>
                <w:rFonts w:cstheme="minorHAnsi"/>
              </w:rPr>
            </w:pPr>
            <w:r w:rsidRPr="006D102C">
              <w:t xml:space="preserve">Что касается создания потенциала в области </w:t>
            </w:r>
            <w:r w:rsidRPr="006D102C">
              <w:rPr>
                <w:b/>
                <w:bCs/>
              </w:rPr>
              <w:t>инфраструктуры и спектра</w:t>
            </w:r>
            <w:r w:rsidRPr="006D102C">
              <w:t>, то на платформе Академии МСЭ БРЭ открыло доступ к нескольким бесплатным онлайновым курсам для самостоятельного обучения, в том числе:</w:t>
            </w:r>
          </w:p>
          <w:p w14:paraId="6DF2D0DC" w14:textId="191C69C0" w:rsidR="00BB5F84" w:rsidRPr="006D102C" w:rsidRDefault="005711CE" w:rsidP="005711CE">
            <w:pPr>
              <w:pStyle w:val="enumlev1"/>
              <w:rPr>
                <w:rFonts w:cstheme="minorHAnsi"/>
              </w:rPr>
            </w:pPr>
            <w:r w:rsidRPr="006D102C">
              <w:rPr>
                <w:rFonts w:cs="Calibri"/>
              </w:rPr>
              <w:t>•</w:t>
            </w:r>
            <w:r w:rsidRPr="006D102C">
              <w:tab/>
            </w:r>
            <w:hyperlink r:id="rId24" w:history="1">
              <w:r w:rsidR="00BB5F84" w:rsidRPr="006D102C">
                <w:rPr>
                  <w:rStyle w:val="Hyperlink"/>
                </w:rPr>
                <w:t>"Введение в картирование широкополосной связи"</w:t>
              </w:r>
            </w:hyperlink>
            <w:r w:rsidR="00BB5F84" w:rsidRPr="006D102C">
              <w:t xml:space="preserve">: В этом учебном курсе собрана воедино информация о том, как начать работу с географическими информационными системами (ГИС) применительно к анализу и планированию разрывов в сетях ИКТ, а также другие вводные концепции и виды практики. </w:t>
            </w:r>
          </w:p>
          <w:p w14:paraId="174379AA" w14:textId="7211B646" w:rsidR="00BB5F84" w:rsidRPr="006D102C" w:rsidRDefault="005711CE" w:rsidP="005711CE">
            <w:pPr>
              <w:pStyle w:val="enumlev1"/>
              <w:rPr>
                <w:rFonts w:cstheme="minorHAnsi"/>
              </w:rPr>
            </w:pPr>
            <w:r w:rsidRPr="006D102C">
              <w:rPr>
                <w:rFonts w:cs="Calibri"/>
              </w:rPr>
              <w:t>•</w:t>
            </w:r>
            <w:r w:rsidRPr="006D102C">
              <w:tab/>
            </w:r>
            <w:hyperlink r:id="rId25" w:history="1">
              <w:r w:rsidR="00BB5F84" w:rsidRPr="006D102C">
                <w:rPr>
                  <w:rStyle w:val="Hyperlink"/>
                </w:rPr>
                <w:t>Курс для самостоятельного обучения "Расширенные возможности картирования широкополосной связи"</w:t>
              </w:r>
            </w:hyperlink>
            <w:r w:rsidR="00BB5F84" w:rsidRPr="006D102C">
              <w:t>: Этот учебный курс содержит более сложные темы и является продолжение существующего курса "Введение в картирование широкополосной связи". В нем добавлены такие тему, как: 1. управление геопространственными данными; 2. передовые геопространственные инструменты для анализа инфраструктуры; 3. открытая сеть данных, передаваемых по волоконным сетям.</w:t>
            </w:r>
          </w:p>
          <w:p w14:paraId="129F3E69" w14:textId="2C8A9F3B" w:rsidR="00BB5F84" w:rsidRPr="006D102C" w:rsidRDefault="005711CE" w:rsidP="005711CE">
            <w:pPr>
              <w:pStyle w:val="enumlev1"/>
              <w:rPr>
                <w:rFonts w:cstheme="minorHAnsi"/>
              </w:rPr>
            </w:pPr>
            <w:r w:rsidRPr="006D102C">
              <w:rPr>
                <w:rFonts w:cs="Calibri"/>
              </w:rPr>
              <w:t>•</w:t>
            </w:r>
            <w:r w:rsidRPr="006D102C">
              <w:tab/>
            </w:r>
            <w:hyperlink r:id="rId26" w:history="1">
              <w:r w:rsidR="00BB5F84" w:rsidRPr="006D102C">
                <w:rPr>
                  <w:rStyle w:val="Hyperlink"/>
                </w:rPr>
                <w:t>"Бизнес-планирование развития инфраструктуры ИКТ"</w:t>
              </w:r>
            </w:hyperlink>
            <w:r w:rsidR="00BB5F84" w:rsidRPr="006D102C">
              <w:t>: Данный курс предлагает регуляторным и директивным органам, а также заинтересованным сторонам практический подход для точной экономической оценки планов установки и развертывания инфраструктуры широкополосной связи на основе Комплекта материалов по бизнес-планированию инфраструктуры ИКТ для сетей 5G.</w:t>
            </w:r>
          </w:p>
          <w:p w14:paraId="0229F8D9" w14:textId="5D0B6164" w:rsidR="00BB5F84" w:rsidRPr="006D102C" w:rsidRDefault="005711CE" w:rsidP="005711CE">
            <w:pPr>
              <w:pStyle w:val="enumlev1"/>
              <w:rPr>
                <w:rFonts w:cstheme="minorHAnsi"/>
              </w:rPr>
            </w:pPr>
            <w:r w:rsidRPr="006D102C">
              <w:rPr>
                <w:rFonts w:cs="Calibri"/>
              </w:rPr>
              <w:t>•</w:t>
            </w:r>
            <w:r w:rsidRPr="006D102C">
              <w:tab/>
            </w:r>
            <w:hyperlink r:id="rId27" w:history="1">
              <w:r w:rsidR="00BB5F84" w:rsidRPr="006D102C">
                <w:rPr>
                  <w:rStyle w:val="Hyperlink"/>
                </w:rPr>
                <w:t>Курс Академии МСЭ "Основы глобального регулирования спутниковой связи: ключевые принципы, институциональная среда и роль МСЭ"</w:t>
              </w:r>
            </w:hyperlink>
            <w:r w:rsidR="00BB5F84" w:rsidRPr="006D102C">
              <w:t>: Данный курс знакомит с основными принципами нормативно-правового регулирования проектов в области спутниковой связи, использования радиочастотного спектра и спутниковых орбит и управления ими. Практические сценарии и исследования конкретных ситуаций иллюстрируют применение этих регламентарных положений в реальных условиях.</w:t>
            </w:r>
          </w:p>
          <w:p w14:paraId="1F3C40E0" w14:textId="18A413B2" w:rsidR="00BB5F84" w:rsidRPr="006D102C" w:rsidRDefault="005711CE" w:rsidP="005711CE">
            <w:pPr>
              <w:pStyle w:val="enumlev1"/>
              <w:rPr>
                <w:rFonts w:cstheme="minorHAnsi"/>
              </w:rPr>
            </w:pPr>
            <w:r w:rsidRPr="006D102C">
              <w:rPr>
                <w:rFonts w:cs="Calibri"/>
              </w:rPr>
              <w:t>•</w:t>
            </w:r>
            <w:r w:rsidRPr="006D102C">
              <w:tab/>
            </w:r>
            <w:hyperlink r:id="rId28" w:history="1">
              <w:r w:rsidR="00BB5F84" w:rsidRPr="006D102C">
                <w:rPr>
                  <w:rStyle w:val="Hyperlink"/>
                </w:rPr>
                <w:t>"Введение в управление использованием спектра"</w:t>
              </w:r>
            </w:hyperlink>
            <w:r w:rsidR="00BB5F84" w:rsidRPr="006D102C">
              <w:t xml:space="preserve">: В этом учебном курсе излагаются основы управления использованием ресурсов радиочастотного спектра и базовые сведения в отношении мобильных приложений в целом по состоянию на 2024 год. </w:t>
            </w:r>
          </w:p>
          <w:p w14:paraId="65919303" w14:textId="69944963" w:rsidR="00BB5F84" w:rsidRPr="006D102C" w:rsidRDefault="005711CE" w:rsidP="005711CE">
            <w:pPr>
              <w:pStyle w:val="enumlev1"/>
              <w:rPr>
                <w:rFonts w:cstheme="minorHAnsi"/>
              </w:rPr>
            </w:pPr>
            <w:r w:rsidRPr="006D102C">
              <w:rPr>
                <w:rFonts w:cs="Calibri"/>
              </w:rPr>
              <w:t>•</w:t>
            </w:r>
            <w:r w:rsidRPr="006D102C">
              <w:tab/>
            </w:r>
            <w:r w:rsidR="00BB5F84" w:rsidRPr="006D102C">
              <w:t xml:space="preserve">Презентация, посвященная картированию инфраструктуры, в рамках темы "Цифровое регулирование для Африканского региона", Академия МСЭ: </w:t>
            </w:r>
            <w:hyperlink r:id="rId29" w:history="1">
              <w:r w:rsidR="00BB5F84" w:rsidRPr="006D102C">
                <w:rPr>
                  <w:rStyle w:val="Hyperlink"/>
                </w:rPr>
                <w:t>https://academycourses.itu.int/course/view.php?id=1832&amp;section=2</w:t>
              </w:r>
            </w:hyperlink>
            <w:r w:rsidR="00BB5F84" w:rsidRPr="006D102C">
              <w:t>.</w:t>
            </w:r>
          </w:p>
          <w:p w14:paraId="1CC1CF6E" w14:textId="45AD20A3" w:rsidR="00BB5F84" w:rsidRPr="00705B18" w:rsidRDefault="00BB5F84" w:rsidP="005711CE">
            <w:pPr>
              <w:rPr>
                <w:rFonts w:cstheme="minorHAnsi"/>
                <w:lang w:val="en-GB"/>
              </w:rPr>
            </w:pPr>
            <w:r w:rsidRPr="006D102C">
              <w:t xml:space="preserve">Далее, в рамках совместного проекта МСЭ и Министерства иностранных дел, по делам Содружества и развития Соединенного Королевства (FCDO) БРЭ провело мероприятия по созданию потенциала, включая семинары-практикумы по картированию ИКТ, и открыло доступ к курсу для самостоятельного обучения по теме </w:t>
            </w:r>
            <w:hyperlink r:id="rId30" w:history="1">
              <w:r w:rsidRPr="006D102C">
                <w:rPr>
                  <w:rStyle w:val="Hyperlink"/>
                </w:rPr>
                <w:t xml:space="preserve">"Картирование и планирование </w:t>
              </w:r>
              <w:r w:rsidRPr="006D102C">
                <w:rPr>
                  <w:rStyle w:val="Hyperlink"/>
                </w:rPr>
                <w:lastRenderedPageBreak/>
                <w:t>инфраструктуры"</w:t>
              </w:r>
            </w:hyperlink>
            <w:r w:rsidRPr="006D102C">
              <w:t xml:space="preserve">, благодаря чему в Государствах-Членах был </w:t>
            </w:r>
            <w:r w:rsidRPr="006D102C">
              <w:rPr>
                <w:b/>
                <w:bCs/>
              </w:rPr>
              <w:t>улучшен потенциал по расширению возможностей установления соединений в сельских и обслуживаемых в недостаточной степени районах</w:t>
            </w:r>
            <w:r w:rsidRPr="006D102C">
              <w:t>.</w:t>
            </w:r>
          </w:p>
          <w:p w14:paraId="523F73AB" w14:textId="77777777" w:rsidR="00BB5F84" w:rsidRPr="006D102C" w:rsidRDefault="00BB5F84" w:rsidP="005711CE">
            <w:pPr>
              <w:rPr>
                <w:rFonts w:cstheme="minorHAnsi"/>
              </w:rPr>
            </w:pPr>
            <w:r w:rsidRPr="006D102C">
              <w:t xml:space="preserve">Также в рамках совместного проекта МСЭ и FCDO на базе Академии МСЭ было организован курс для самостоятельного обучения на тему </w:t>
            </w:r>
            <w:hyperlink r:id="rId31" w:history="1">
              <w:r w:rsidRPr="006D102C">
                <w:rPr>
                  <w:rStyle w:val="Hyperlink"/>
                </w:rPr>
                <w:t>"Картирование и планирование инфраструктуры"</w:t>
              </w:r>
            </w:hyperlink>
            <w:r w:rsidRPr="006D102C">
              <w:t xml:space="preserve">, по окончании которого </w:t>
            </w:r>
            <w:r w:rsidRPr="006D102C">
              <w:rPr>
                <w:b/>
                <w:bCs/>
              </w:rPr>
              <w:t>440 специалистов повысили уровень знаний в области ИКТ</w:t>
            </w:r>
            <w:r w:rsidRPr="006D102C">
              <w:t>.</w:t>
            </w:r>
          </w:p>
          <w:p w14:paraId="6745569D" w14:textId="77777777" w:rsidR="00BB5F84" w:rsidRPr="006D102C" w:rsidRDefault="00BB5F84" w:rsidP="005711CE">
            <w:pPr>
              <w:rPr>
                <w:rFonts w:eastAsia="Aptos" w:cstheme="minorHAnsi"/>
              </w:rPr>
            </w:pPr>
            <w:r w:rsidRPr="006D102C">
              <w:t>БРЭ продолжает оказывать помощь Государствам-Членам в выполнении решений всемирных и региональных конференций МСЭ, в том числе в вопросах планирования использования спектра, координации деятельности членов МСЭ, совместного использования знаний, а также технического обслуживания программных средств и более эффективного выполнения обязательств по управлению использованием спектра администрациями развивающихся стран.</w:t>
            </w:r>
          </w:p>
          <w:p w14:paraId="6A18A9A9" w14:textId="77777777" w:rsidR="00BB5F84" w:rsidRPr="006D102C" w:rsidRDefault="00BB5F84" w:rsidP="005711CE">
            <w:pPr>
              <w:rPr>
                <w:rFonts w:eastAsia="Aptos" w:cstheme="minorHAnsi"/>
              </w:rPr>
            </w:pPr>
            <w:r w:rsidRPr="006D102C">
              <w:t xml:space="preserve">В ходе подготовки к ВКРЭ-25 в рамках собраний исследовательских комиссий и рабочих групп БРЭ ведет регулярный сбор необходимой информации и готовит письменные материалы и другие соответствующие вклады/итоговые документы для ВКРЭ, собраний ИК и РГ МСЭ, которые отвечают конкретным потребностям развивающихся стран в области управления использованием спектра. Представление предложений для ВКРЭ-25 – способ гарантировать, что актуальные потребности развивающихся стран в области управления использованием спектра будут учтены должным образом. </w:t>
            </w:r>
          </w:p>
          <w:p w14:paraId="4F31B66C" w14:textId="6C7E55C4" w:rsidR="00BB5F84" w:rsidRPr="00705B18" w:rsidRDefault="00BB5F84" w:rsidP="005711CE">
            <w:pPr>
              <w:rPr>
                <w:rFonts w:eastAsia="Aptos" w:cstheme="minorHAnsi"/>
                <w:lang w:val="en-GB"/>
              </w:rPr>
            </w:pPr>
            <w:r w:rsidRPr="006D102C">
              <w:t xml:space="preserve">Посредством оказания </w:t>
            </w:r>
            <w:r w:rsidRPr="006D102C">
              <w:rPr>
                <w:rFonts w:eastAsia="Aptos" w:cstheme="minorHAnsi"/>
                <w:b/>
                <w:color w:val="1F497D" w:themeColor="text2"/>
                <w:szCs w:val="24"/>
              </w:rPr>
              <w:t>прямой помощи Государствам-Членам в вопросах управления использованием спектра</w:t>
            </w:r>
            <w:r w:rsidRPr="006D102C">
              <w:rPr>
                <w:sz w:val="28"/>
                <w:szCs w:val="24"/>
              </w:rPr>
              <w:t xml:space="preserve"> </w:t>
            </w:r>
            <w:r w:rsidRPr="006D102C">
              <w:t xml:space="preserve">БРЭ повысило </w:t>
            </w:r>
            <w:r w:rsidRPr="006D102C">
              <w:rPr>
                <w:b/>
                <w:bCs/>
              </w:rPr>
              <w:t>осведомленность национальных директивных органов</w:t>
            </w:r>
            <w:r w:rsidRPr="006D102C">
              <w:t xml:space="preserve"> о способах </w:t>
            </w:r>
            <w:r w:rsidRPr="006D102C">
              <w:rPr>
                <w:b/>
                <w:bCs/>
              </w:rPr>
              <w:t>обеспечения эффективного управления использованием спектра в интересах социально-экономического развития</w:t>
            </w:r>
            <w:r w:rsidRPr="006D102C">
              <w:t>.</w:t>
            </w:r>
          </w:p>
          <w:p w14:paraId="41303B01" w14:textId="77777777" w:rsidR="00BB5F84" w:rsidRPr="006D102C" w:rsidRDefault="00BB5F84" w:rsidP="005711CE">
            <w:pPr>
              <w:rPr>
                <w:rFonts w:eastAsia="Aptos" w:cstheme="minorHAnsi"/>
              </w:rPr>
            </w:pPr>
            <w:r w:rsidRPr="006D102C">
              <w:t>В 2024 году была успешно оказана помощь Гамбии в вопросах стратегии и регулирования использования спектра. Стартовал проект планирования частот DAB в полосе 174–230 МГц в Армении, Азербайджане и Грузии, и в настоящее время ведется создание технической рабочей группы с участием БРЭ и трех заинтересованных стран. Проект по улучшению регуляторной среды в области управления использованием спектра, направленный в первую очередь на разработку NFAT, был инициирован с целью оказать помощь странам АСЕАН и островным странам Тихоокеанского региона (Науру, Вануату и Палау).</w:t>
            </w:r>
          </w:p>
          <w:p w14:paraId="7254732C" w14:textId="1DC9DE5D" w:rsidR="00BB5F84" w:rsidRPr="00705B18" w:rsidRDefault="00BB5F84" w:rsidP="005711CE">
            <w:pPr>
              <w:rPr>
                <w:rFonts w:eastAsia="Aptos" w:cstheme="minorHAnsi"/>
                <w:lang w:val="en-GB"/>
              </w:rPr>
            </w:pPr>
            <w:r w:rsidRPr="006D102C">
              <w:t xml:space="preserve">Что касается </w:t>
            </w:r>
            <w:r w:rsidRPr="006D102C">
              <w:rPr>
                <w:rFonts w:eastAsia="Aptos" w:cstheme="minorHAnsi"/>
                <w:b/>
                <w:color w:val="1F497D" w:themeColor="text2"/>
                <w:szCs w:val="24"/>
              </w:rPr>
              <w:t>автоматизированных систем управления использованием частот и контроля за этим процессом</w:t>
            </w:r>
            <w:r w:rsidRPr="006D102C">
              <w:t>, то БРЭ продолжает совершенствовать ПО "Система управления использованием спектра для развивающихся стран" (SMS4DC), а также обеспечивать помощь и подготовку при внедрении этого ПО. БРЭ также предоставляет экспертные рекомендации развивающимся странам по вопросам их участия в региональной или международной деятельности по радиоконтролю, поощряет администрации и оказывает им поддержку в создании региональных систем радиоконтроля. По результатам ВКР-23 в 2024 году и в начале 2025 года была завершена модернизация программного инструмента SMS4DC. Требования и условия переноса базы данных Oracle SMS4DC на платформу SQL находятся на стадии оценки.</w:t>
            </w:r>
          </w:p>
          <w:p w14:paraId="2CD348B6" w14:textId="77777777" w:rsidR="00BB5F84" w:rsidRPr="006D102C" w:rsidRDefault="00BB5F84" w:rsidP="005711CE">
            <w:pPr>
              <w:rPr>
                <w:rFonts w:eastAsia="Aptos" w:cstheme="minorHAnsi"/>
              </w:rPr>
            </w:pPr>
            <w:r w:rsidRPr="006D102C">
              <w:t xml:space="preserve">БРЭ продолжает оказывать поддержку в разработке программного инструмента "Согласованный метод расчета для Африки" (HCM4A). В марте 2025 года была предоставлена первая серия программных модулей и проведено обучение </w:t>
            </w:r>
            <w:r w:rsidRPr="006D102C">
              <w:lastRenderedPageBreak/>
              <w:t xml:space="preserve">участвующих администраций из Африки. Основные задачи, касающиеся HCM4A, заключаются том, чтобы помочь специалистам по управлению использованием спектра приобрести исчерпывающие знания о современных тенденциях регулирования в области управления использованием спектра, а также о появляющихся технологиях и подходах в использовании спектра, предназначенных для повышения эффективности и экономичности использования спектра, посредством курсов профессиональной подготовки, специализированных семинаров МСЭ и приобретения национального опыта. </w:t>
            </w:r>
          </w:p>
          <w:p w14:paraId="40992CFB" w14:textId="646464C2" w:rsidR="00BB5F84" w:rsidRPr="00705B18" w:rsidRDefault="00BB5F84" w:rsidP="005711CE">
            <w:pPr>
              <w:rPr>
                <w:rFonts w:eastAsia="Aptos" w:cstheme="minorHAnsi"/>
                <w:lang w:val="en-GB"/>
              </w:rPr>
            </w:pPr>
            <w:r w:rsidRPr="006D102C">
              <w:rPr>
                <w:color w:val="000000"/>
              </w:rPr>
              <w:t xml:space="preserve">В сотрудничестве с Академией МСЭ и центрами профессионального мастерства БРЭ приступило к реализации комплексной Программы подготовки по управлению использованием спектра (SMTP). В сентябре 2024 года началось осуществление проекта по внесению изменений в </w:t>
            </w:r>
            <w:r w:rsidRPr="006D102C">
              <w:rPr>
                <w:b/>
                <w:bCs/>
                <w:color w:val="000000"/>
              </w:rPr>
              <w:t>Руководящие указания по системам управления использованием спектра на национальном уровне (NSMS)</w:t>
            </w:r>
            <w:r w:rsidRPr="006D102C">
              <w:rPr>
                <w:color w:val="000000"/>
              </w:rPr>
              <w:t xml:space="preserve"> для развивающихся стран, в рамках которого БРЭ внесло существенный вклад в распространение знаний и обмен опытом в области составления и ведения национальных таблиц распределения частот в ходе трех региональных семинаров-практикумов МСЭ.</w:t>
            </w:r>
          </w:p>
          <w:p w14:paraId="4F5F823C" w14:textId="77777777" w:rsidR="00BB5F84" w:rsidRPr="006D102C" w:rsidRDefault="00BB5F84" w:rsidP="005711CE">
            <w:pPr>
              <w:rPr>
                <w:rFonts w:eastAsia="Arial" w:cstheme="minorHAnsi"/>
                <w:b/>
                <w:bCs/>
                <w:color w:val="231F20"/>
              </w:rPr>
            </w:pPr>
            <w:r w:rsidRPr="006D102C">
              <w:rPr>
                <w:color w:val="000000"/>
              </w:rPr>
              <w:t>Что касается космической связи и спутниковых соединений, то БРЭ провело онлайновый учебный курс "</w:t>
            </w:r>
            <w:r w:rsidRPr="006D102C">
              <w:rPr>
                <w:b/>
                <w:bCs/>
                <w:color w:val="000000"/>
              </w:rPr>
              <w:t>Основы глобального регулирования спутниковой связи: ключевые принципы, институциональная среда и роль МСЭ</w:t>
            </w:r>
            <w:r w:rsidRPr="006D102C">
              <w:rPr>
                <w:color w:val="000000"/>
              </w:rPr>
              <w:t>".</w:t>
            </w:r>
          </w:p>
          <w:p w14:paraId="1E14049A" w14:textId="77777777" w:rsidR="00BB5F84" w:rsidRPr="006D102C" w:rsidRDefault="00BB5F84" w:rsidP="005711CE">
            <w:pPr>
              <w:rPr>
                <w:rFonts w:eastAsia="Arial" w:cstheme="minorHAnsi"/>
                <w:color w:val="231F20"/>
              </w:rPr>
            </w:pPr>
            <w:r w:rsidRPr="006D102C">
              <w:rPr>
                <w:color w:val="000000"/>
              </w:rPr>
              <w:t>Помимо этого, БРЭ организовало семинары-практикумы по космической связи и спутниковым соединениям в Сент-Джорджесе, Гренада, и в Монголии, а также приняло участие в мероприятиях, посвященных космосу, в Саудовской Аравии.</w:t>
            </w:r>
          </w:p>
          <w:p w14:paraId="01014265" w14:textId="5EA38B6B" w:rsidR="00BB5F84" w:rsidRPr="006D102C" w:rsidRDefault="005711CE" w:rsidP="005711CE">
            <w:pPr>
              <w:pStyle w:val="enumlev1"/>
              <w:rPr>
                <w:rFonts w:eastAsiaTheme="minorEastAsia" w:cstheme="minorHAnsi"/>
              </w:rPr>
            </w:pPr>
            <w:r w:rsidRPr="006D102C">
              <w:rPr>
                <w:rFonts w:cs="Calibri"/>
              </w:rPr>
              <w:t>•</w:t>
            </w:r>
            <w:r w:rsidRPr="006D102C">
              <w:tab/>
            </w:r>
            <w:r w:rsidR="00BB5F84" w:rsidRPr="006D102C">
              <w:rPr>
                <w:b/>
                <w:bCs/>
              </w:rPr>
              <w:t>Африка</w:t>
            </w:r>
            <w:r w:rsidR="00BB5F84" w:rsidRPr="006D102C">
              <w:t>: При поддержке Европейской комиссии начата реализация проекта национальных систем картирования широкополосной связи в странах Африки. Он направлен на оказание помощи странам в создании и совершенствовании систем картирования инфраструктуры для содействия инвестициям и цифровой трансформации на Африканском континенте. Проект на первоначальном этапе охватит 11 стран: Бенин, Ботсвану, Бурунди, Кот-д'Ивуар, Эфиопию, Кению, Малави, Нигерию, Уганду, Замбию и Зимбабве. 26</w:t>
            </w:r>
            <w:r w:rsidR="00EC3D86" w:rsidRPr="006D102C">
              <w:t>−</w:t>
            </w:r>
            <w:r w:rsidR="00BB5F84" w:rsidRPr="006D102C">
              <w:t>27</w:t>
            </w:r>
            <w:r w:rsidR="00EC3D86" w:rsidRPr="006D102C">
              <w:t> </w:t>
            </w:r>
            <w:r w:rsidR="00BB5F84" w:rsidRPr="006D102C">
              <w:t xml:space="preserve">марта 2025 года состоялось стартовое собрание проекта, на котором была представлена информация о состоянии картирования инфраструктуры всех стран-бенефициаров и определены дальнейшие шаги для каждой страны. </w:t>
            </w:r>
          </w:p>
          <w:p w14:paraId="285CC3E1" w14:textId="29CE7A98" w:rsidR="00BB5F84" w:rsidRPr="006D102C" w:rsidRDefault="005711CE" w:rsidP="005711CE">
            <w:pPr>
              <w:pStyle w:val="enumlev1"/>
              <w:rPr>
                <w:rFonts w:eastAsia="Aptos" w:cstheme="minorHAnsi"/>
              </w:rPr>
            </w:pPr>
            <w:r w:rsidRPr="006D102C">
              <w:tab/>
            </w:r>
            <w:r w:rsidR="00BB5F84" w:rsidRPr="006D102C">
              <w:t>В целях укрепления сотрудничества с региональными ассоциациями регуляторных органов в областях, представляющих взаимный интерес, МСЭ и Ассоциация регуляторных органов электросвязи стран Западной Африки (WATRA) подписали совместное письмо в поддержку предметного сотрудничества и совместной информационно-разъяснительной работы по вопросам сбора данных об инфраструктуре, управления ими и картирования для целей принятия решений, направленных на обеспечение приемлемого в ценовом отношении подключения для всех. В рамках этого сотрудничества будет продолжен обмен информацией об имеющихся ресурсах для создания потенциала в области картирования инфраструктуры и широкополосной связи и по мере необходимости будут проводиться совместные обучающие мероприятия для Государств-</w:t>
            </w:r>
            <w:r w:rsidR="00BB5F84" w:rsidRPr="006D102C">
              <w:lastRenderedPageBreak/>
              <w:t>Членов. В июне 2024 года был проведен совместный технический семинар-практикум в рамках собрания Рабочей группы WATRA по развитию инфраструктуры в Гамбии.</w:t>
            </w:r>
          </w:p>
          <w:p w14:paraId="09D36882" w14:textId="7141DB9A" w:rsidR="00BB5F84" w:rsidRPr="006D102C" w:rsidRDefault="005711CE" w:rsidP="005711CE">
            <w:pPr>
              <w:pStyle w:val="enumlev1"/>
              <w:rPr>
                <w:rFonts w:eastAsia="Aptos" w:cstheme="minorHAnsi"/>
              </w:rPr>
            </w:pPr>
            <w:r w:rsidRPr="006D102C">
              <w:rPr>
                <w:rFonts w:cs="Calibri"/>
              </w:rPr>
              <w:t>•</w:t>
            </w:r>
            <w:r w:rsidRPr="006D102C">
              <w:tab/>
            </w:r>
            <w:r w:rsidR="00BB5F84" w:rsidRPr="006D102C">
              <w:t xml:space="preserve">Что касается </w:t>
            </w:r>
            <w:r w:rsidR="00BB5F84" w:rsidRPr="006D102C">
              <w:rPr>
                <w:b/>
                <w:bCs/>
              </w:rPr>
              <w:t>арабских государств</w:t>
            </w:r>
            <w:r w:rsidR="00BB5F84" w:rsidRPr="006D102C">
              <w:t xml:space="preserve">, то БРЭ МСЭ в сотрудничестве с компанией Algerie Telecom и при поддержке Министерства почт и электросвязи Алжира организовало в стране региональный семинар-практикум МСЭ для региона арабских государств на тему "Универсальная и реальная возможность установления соединений". В семинаре-практикуме приняли участие 278 представителей (24 процента из которых – женщины) широкого круга заинтересованных сторон, в том числе высокопоставленные деятели, в частности представители директивных и регуляторных органов, руководители компаний частного сектора, сотрудники академических организаций и региональных и международных учреждений, чтобы обсудить вопросы развития инфраструктуры, а также насущные проблемы и возможности, связанные с обеспечением универсальной и реальной возможности установления соединений в Арабском регионе. Мероприятие послужило площадкой для обмена знаниями, поиска совместных решений и демонстрации инновационных подходов, а также </w:t>
            </w:r>
            <w:r w:rsidR="00BB5F84" w:rsidRPr="006D102C">
              <w:rPr>
                <w:b/>
                <w:bCs/>
              </w:rPr>
              <w:t>способствовало расширению деятельности по картированию широкополосной связи и налаживанию сотрудничества между различными заинтересованными сторонами в целях содействия цифровой трансформации на основе сбора фактических данных и вовлечения большого числа заинтересованных сторон</w:t>
            </w:r>
            <w:r w:rsidR="00BB5F84" w:rsidRPr="006D102C">
              <w:t>. Этот семинар-практикум заложил основу для формирования эффективных партнерств и выработки действенных стратегий для расширения и поддержки устойчивой, универсальной и реальной возможности установления соединений в регионе.</w:t>
            </w:r>
          </w:p>
          <w:p w14:paraId="0E5CF312" w14:textId="0692A09B" w:rsidR="00BB5F84" w:rsidRPr="006D102C" w:rsidRDefault="005711CE" w:rsidP="005711CE">
            <w:pPr>
              <w:pStyle w:val="enumlev1"/>
              <w:rPr>
                <w:rFonts w:cstheme="minorHAnsi"/>
              </w:rPr>
            </w:pPr>
            <w:r w:rsidRPr="006D102C">
              <w:rPr>
                <w:rFonts w:cs="Calibri"/>
              </w:rPr>
              <w:t>•</w:t>
            </w:r>
            <w:r w:rsidRPr="006D102C">
              <w:tab/>
            </w:r>
            <w:r w:rsidR="00BB5F84" w:rsidRPr="006D102C">
              <w:t xml:space="preserve">В </w:t>
            </w:r>
            <w:r w:rsidR="00BB5F84" w:rsidRPr="006D102C">
              <w:rPr>
                <w:b/>
                <w:bCs/>
              </w:rPr>
              <w:t>Азиатско-Тихоокеанском регионе</w:t>
            </w:r>
            <w:r w:rsidR="00BB5F84" w:rsidRPr="006D102C">
              <w:t xml:space="preserve">, в Индонезии (17–18 февраля 2025 г.) и Малайзии (20–21 февраля 2025 г.), при поддержке MSIT Кореи были проведены национальные учебные занятия по планированию, картированию и анализу инфраструктуры широкополосной связи. На базе практического подхода с использованием инструментов с открытым исходным кодом участники из различных государственных ведомств приобрели навыки сбора, анализа и визуализации данных об инфраструктуре ИКТ, а также планирования и оптимизации сетей широкополосной связи. Участники усовершенствовали навыки в области выявления нарушений подключения, планирования инфраструктурных проектов и принятия решений на основе данных в целях расширения широкополосного доступа в районах, не имеющих соединения/соединенных в недостаточной степени. </w:t>
            </w:r>
          </w:p>
          <w:p w14:paraId="1EE5BF56" w14:textId="24F6A021" w:rsidR="00BB5F84" w:rsidRPr="006D102C" w:rsidRDefault="005711CE" w:rsidP="005711CE">
            <w:pPr>
              <w:pStyle w:val="enumlev1"/>
              <w:rPr>
                <w:rFonts w:cstheme="minorHAnsi"/>
              </w:rPr>
            </w:pPr>
            <w:r w:rsidRPr="006D102C">
              <w:tab/>
            </w:r>
            <w:r w:rsidR="00BB5F84" w:rsidRPr="006D102C">
              <w:t>При поддержке Министерства инфраструктуры, транспорта, регионального развития, связи и искусств Австралии (DIRDCA) РО-АТР организовало в рамках состоявшегося в 2024 году 19-го Азиатского саммита СМИ мастер-класс по всеохватному и устойчивому развитию радиовещания. Организатором мероприятия выступил Азиатско-Тихоокеанский институт развития радиовещания (AIBD). Это мероприятие способствовало внедрению новых технологий и стратегий в производстве, распределении и других сферах радиовещания в поддержку устойчивого развития.</w:t>
            </w:r>
          </w:p>
          <w:p w14:paraId="6EEA1481" w14:textId="24B696CC" w:rsidR="00BB5F84" w:rsidRPr="006D102C" w:rsidRDefault="005711CE" w:rsidP="005711CE">
            <w:pPr>
              <w:pStyle w:val="enumlev1"/>
              <w:rPr>
                <w:rFonts w:cstheme="minorHAnsi"/>
              </w:rPr>
            </w:pPr>
            <w:r w:rsidRPr="006D102C">
              <w:lastRenderedPageBreak/>
              <w:tab/>
            </w:r>
            <w:r w:rsidR="00BB5F84" w:rsidRPr="006D102C">
              <w:t>Семинар-практикум МСЭ по национальным таблицам распределения частот (NTFA) для Района 3 (РР), 28</w:t>
            </w:r>
            <w:r w:rsidR="00B11C41" w:rsidRPr="006D102C">
              <w:t>−</w:t>
            </w:r>
            <w:r w:rsidR="00BB5F84" w:rsidRPr="006D102C">
              <w:t>31</w:t>
            </w:r>
            <w:r w:rsidR="00B11C41" w:rsidRPr="006D102C">
              <w:t> </w:t>
            </w:r>
            <w:r w:rsidR="00BB5F84" w:rsidRPr="006D102C">
              <w:t>мая 2024 года, Шанхай, Китайская Народная Республика. В семинаре-практикуме приняли участие 70</w:t>
            </w:r>
            <w:r w:rsidR="00B11C41" w:rsidRPr="006D102C">
              <w:t> </w:t>
            </w:r>
            <w:r w:rsidR="00BB5F84" w:rsidRPr="006D102C">
              <w:t>представителей из 10 стран, чтобы обсудить региональные проблемы в области распределения частот. Ключевым итогом мероприятия стала договоренность о согласовании национальных таблиц распределения частот, что будет способствовать расширению возможности установления трансграничных соединений в Районе 3, которыми к 2030 году смогут воспользоваться свыше 500 млн. человек. РО-АТР обеспечило должное освещение работы БРЭ в области управления использованием спектра на национальном уровне, представив обзор Системы управления использованием спектра для развивающихся стран (SMS4DC) как ключевого инструмента автоматизации национальных процессов управления использованием спектра, рассказав об основных видах деятельности РО-АТР и оказываемой странам прямой помощи в вопросах управления использованием спектра на национальном уровне и радиочастотного контроля.</w:t>
            </w:r>
          </w:p>
          <w:p w14:paraId="25217B49" w14:textId="00924546" w:rsidR="00BB5F84" w:rsidRPr="006D102C" w:rsidRDefault="00DE7136" w:rsidP="005711CE">
            <w:pPr>
              <w:pStyle w:val="enumlev1"/>
              <w:rPr>
                <w:rFonts w:cstheme="minorHAnsi"/>
              </w:rPr>
            </w:pPr>
            <w:r w:rsidRPr="006D102C">
              <w:tab/>
            </w:r>
            <w:r w:rsidR="00BB5F84" w:rsidRPr="006D102C">
              <w:t>Учебное мероприятие по Системе управления использованием спектра для развивающихся стран (SMS4DC), 29</w:t>
            </w:r>
            <w:r w:rsidR="00B11C41" w:rsidRPr="006D102C">
              <w:t> </w:t>
            </w:r>
            <w:r w:rsidR="00BB5F84" w:rsidRPr="006D102C">
              <w:t>апреля – 2 мая 2024 года, Вануату. В рамках 28-го ежегодного общего собрания Ассоциации электросвязи островных государств Тихого океана (PITA) в Вануату МСЭ организовал учебное мероприятие по SMS4DC. В</w:t>
            </w:r>
            <w:r w:rsidR="00EC3D86" w:rsidRPr="006D102C">
              <w:t> </w:t>
            </w:r>
            <w:r w:rsidR="00BB5F84" w:rsidRPr="006D102C">
              <w:t>ходе мероприятия участники из 10 малых островных развивающихся государств (СИДС) Тихого океана прошли обучение по автоматизации процессов управления использованием спектра. Организаторы получили положительные отзывы, а участники повысили уровень своих технических знаний и навыков, необходимых для эффективного управления использованием спектра с помощью SMS4DC.</w:t>
            </w:r>
          </w:p>
          <w:p w14:paraId="1083564C" w14:textId="2D9B3B31" w:rsidR="00BB5F84" w:rsidRPr="006D102C" w:rsidRDefault="00DE7136" w:rsidP="005711CE">
            <w:pPr>
              <w:pStyle w:val="enumlev1"/>
              <w:rPr>
                <w:rFonts w:cstheme="minorHAnsi"/>
              </w:rPr>
            </w:pPr>
            <w:r w:rsidRPr="006D102C">
              <w:tab/>
            </w:r>
            <w:r w:rsidR="00BB5F84" w:rsidRPr="006D102C">
              <w:t>Собрание группы пользователей Syniverse в Азиатско-Тихоокеанском регионе, 8</w:t>
            </w:r>
            <w:r w:rsidR="00B11C41" w:rsidRPr="006D102C">
              <w:t>−</w:t>
            </w:r>
            <w:r w:rsidR="00BB5F84" w:rsidRPr="006D102C">
              <w:t>9 мая 2024 года, Бангкок, Таиланд. МСЭ принял участие в собрании Группы пользователей Syniverse в Азиатско-Тихоокеанском регионе, на котором обсуждались ключевые условия, необходимые для развертывания 5G в Азиатско-Тихоокеанском регионе, анализ соответствующих данных и накопленный регионом опыт. Организатором мероприятия выступила компания Syniverse Technologies Limited (Китай) – новый Член Сектора МСЭ-D. МСЭ подчеркнул важность использования статистических данных при внедрении 5G и принятии регуляторных решений в этой области.</w:t>
            </w:r>
          </w:p>
          <w:p w14:paraId="19924C9F" w14:textId="6D6BD49C" w:rsidR="00BB5F84" w:rsidRPr="006D102C" w:rsidRDefault="00DE7136" w:rsidP="005711CE">
            <w:pPr>
              <w:pStyle w:val="enumlev1"/>
              <w:rPr>
                <w:rFonts w:cstheme="minorHAnsi"/>
              </w:rPr>
            </w:pPr>
            <w:r w:rsidRPr="006D102C">
              <w:tab/>
            </w:r>
            <w:r w:rsidR="00BB5F84" w:rsidRPr="006D102C">
              <w:t>Азиатско-Тихоокеанский саммит по вопросам ИКТ, 14 августа 2024 года, Бангкок, Таиланд. В докладе МСЭ были освещены основные выводы отчета об условиях, необходимых для внедрения 5G, в котором рассматриваются важнейшие факторы, влияющие на развитие 5G в Азиатско-Тихоокеанском регионе. Саммит способствовал укреплению сотрудничества между МСЭ и Huawei в деле содействия цифровой трансформации во всем регионе.</w:t>
            </w:r>
          </w:p>
          <w:p w14:paraId="1C922D48" w14:textId="5CC846FA" w:rsidR="00BB5F84" w:rsidRPr="006D102C" w:rsidRDefault="00DE7136" w:rsidP="005711CE">
            <w:pPr>
              <w:pStyle w:val="enumlev1"/>
              <w:rPr>
                <w:rFonts w:cstheme="minorHAnsi"/>
              </w:rPr>
            </w:pPr>
            <w:r w:rsidRPr="006D102C">
              <w:tab/>
            </w:r>
            <w:r w:rsidR="00BB5F84" w:rsidRPr="006D102C">
              <w:t xml:space="preserve">Собрание Стратегической группы AIBD, 14 марта 2024 года, виртуальный формат. МСЭ принял участие в качестве консультанта в собрании Стратегической группы AIBD, на котором собрались представители радиовещательных организаций и партнеров из Азиатско-Тихоокеанского региона. На мероприятии рассматривались результаты деятельности и проектов AIBD и обсуждались будущие инициативы. </w:t>
            </w:r>
            <w:r w:rsidR="00BB5F84" w:rsidRPr="006D102C">
              <w:lastRenderedPageBreak/>
              <w:t>Представители МСЭ подчеркнули важность сотрудничества в секторе радиовещания в целях ускорения цифровой трансформации и повышения эффективности процесса разработки политики во всем регионе.</w:t>
            </w:r>
          </w:p>
          <w:p w14:paraId="2EDFDB81" w14:textId="0A57CAA7" w:rsidR="00BB5F84" w:rsidRPr="006D102C" w:rsidRDefault="00DE7136" w:rsidP="005711CE">
            <w:pPr>
              <w:pStyle w:val="enumlev1"/>
              <w:rPr>
                <w:rFonts w:cstheme="minorHAnsi"/>
              </w:rPr>
            </w:pPr>
            <w:r w:rsidRPr="006D102C">
              <w:tab/>
            </w:r>
            <w:r w:rsidR="00BB5F84" w:rsidRPr="006D102C">
              <w:t>1–2 октября 2024 года, Международный союз электросвязи (МСЭ) и Международный научно-исследовательский центр для развивающихся стран, не имеющих выхода к морю (ITTLLDC), опираясь на опыт плодотворного сотрудничества в 2023 году и поддержку Министерства инфраструктуры, транспорта, регионального развития, связи и искусств (DIRDCA) Австралии, совместно организовали семинар в Улан-Баторе, Монголия, посвященный услугам спутниковых и космических служб как средству обеспечения приемлемой в ценовом отношении, устойчивой и универсальной возможности установления соединений. В рамках мероприятия были рассмотрены 10 исследований конкретных ситуаций в отдельных странах и проведены заседания по вопросам национального регулирования спутниковой связи и политики в отношении космических служб. Очно в мероприятии приняли участие около 50 представителей из более чем 15 стран. В программу мероприятия был также включен сегмент Цифровой коалиции "Партнерства для подключения" (P2C), в рамках которого новые обязательства были впервые представлены монгольскими организациями. Делегатам и странам было также предложено выразить заинтересованность в реализации обязательств, связанных с установлением соединений и спутниковой связью, с целью помочь докладчикам и участникам в поиске потенциальных партнеров.</w:t>
            </w:r>
          </w:p>
          <w:p w14:paraId="5CF4AE1E" w14:textId="6506165F" w:rsidR="00BB5F84" w:rsidRPr="006D102C" w:rsidRDefault="00DE7136" w:rsidP="005711CE">
            <w:pPr>
              <w:pStyle w:val="enumlev1"/>
              <w:rPr>
                <w:rFonts w:cstheme="minorHAnsi"/>
              </w:rPr>
            </w:pPr>
            <w:r w:rsidRPr="006D102C">
              <w:tab/>
            </w:r>
            <w:r w:rsidR="00BB5F84" w:rsidRPr="006D102C">
              <w:t>По приглашению Малазийской комиссии по коммуникациям и мультимедиа в октябре 2024 года БРЭ приняло участие в мероприятии "Цифровые перспективы – 2024" на тему "Орбитальные инновации: приоткрывая завесу будущего спутниковой связи". Выступление представителей БРЭ было посвящено международным механизмам регулирования спутниковой связи, в том числе решениям ВКР-23 и пунктам повестки дня ВКР-27, касающимся спутниковой связи, в частности НГСО, NTN и HIBS. В рамках подведения итогов мероприятия были в том числе представлены основные итоги совместного семинара МСЭ и ITTLLDC 2024 года, посвященного национальной политике и регулированию в области космических служб.</w:t>
            </w:r>
          </w:p>
          <w:p w14:paraId="31C88EF7" w14:textId="35953313" w:rsidR="00BB5F84" w:rsidRPr="006D102C" w:rsidRDefault="00DE7136" w:rsidP="005711CE">
            <w:pPr>
              <w:pStyle w:val="enumlev1"/>
              <w:rPr>
                <w:rFonts w:cstheme="minorHAnsi"/>
              </w:rPr>
            </w:pPr>
            <w:r w:rsidRPr="006D102C">
              <w:tab/>
            </w:r>
            <w:r w:rsidR="00BB5F84" w:rsidRPr="006D102C">
              <w:t>В октябре 2024 года БРЭ приняло участие в заключительном семинаре-практикуме по проекту АСЕАН "Руководство по передовым методам контроля за использованием спектра для технологий подвижной широкополосной связи в государствах – членах АСЕАН (Mon MBT)", осуществление которого началось по инициативе Индонезии в 2022 году. Представители БРЭ рассказали о последних тенденциях в области радиочастотного контроля, включая, помимо прочего, использование ИИ, аналитики на основе глубокого обучения, методы контроля с использованием облачных вычислений и пассивного мониторинга. МСЭ также представил обзор своих рекомендаций, касающихся разработки региональных соглашений по вопросам ослабления влияния трансграничных РЧ-помех. Итоги этого семинара-практикума и результаты проекта будут представлены на собрании министров электросвязи и информационных технологий стран АСЕАН (TELMIN) для разработки концепции АСЕАН по развитию ИКТ 2025 года.</w:t>
            </w:r>
          </w:p>
          <w:p w14:paraId="762159F1" w14:textId="416552FE" w:rsidR="00BB5F84" w:rsidRPr="006D102C" w:rsidRDefault="00DE7136" w:rsidP="00DE7136">
            <w:pPr>
              <w:pStyle w:val="enumlev1"/>
              <w:rPr>
                <w:rFonts w:cstheme="minorHAnsi"/>
              </w:rPr>
            </w:pPr>
            <w:r w:rsidRPr="006D102C">
              <w:lastRenderedPageBreak/>
              <w:tab/>
            </w:r>
            <w:r w:rsidR="00BB5F84" w:rsidRPr="006D102C">
              <w:t xml:space="preserve">В сентябре 2024 года для содействия достижению цели региональной инициативы ASP 3, в частности ожидаемого результата 6, БРЭ оказало БР помощь в организации </w:t>
            </w:r>
            <w:hyperlink r:id="rId32" w:history="1">
              <w:r w:rsidR="00BB5F84" w:rsidRPr="006D102C">
                <w:rPr>
                  <w:rStyle w:val="Hyperlink"/>
                </w:rPr>
                <w:t>Регионального семинара по радиосвязи для Азиатско-Тихоокеанского региона на Самоа</w:t>
              </w:r>
            </w:hyperlink>
            <w:r w:rsidR="00BB5F84" w:rsidRPr="006D102C">
              <w:t>. Помимо организационной поддержки, БРЭ поделилось накопленным передовым опытом в вопросах содействия переходу от аналогового радиовещания к цифровому и рассказало о видах услуг в области управления использованием спектра на национальном уровне, включая автоматизацию посредством SMS4DC.</w:t>
            </w:r>
          </w:p>
          <w:p w14:paraId="788465F0" w14:textId="672DC186" w:rsidR="00BB5F84" w:rsidRPr="006D102C" w:rsidRDefault="00DE7136" w:rsidP="00DE7136">
            <w:pPr>
              <w:pStyle w:val="enumlev1"/>
              <w:rPr>
                <w:rFonts w:cstheme="minorHAnsi"/>
              </w:rPr>
            </w:pPr>
            <w:r w:rsidRPr="006D102C">
              <w:rPr>
                <w:rFonts w:cs="Calibri"/>
              </w:rPr>
              <w:t>•</w:t>
            </w:r>
            <w:r w:rsidRPr="006D102C">
              <w:tab/>
            </w:r>
            <w:r w:rsidR="00BB5F84" w:rsidRPr="006D102C">
              <w:t>В</w:t>
            </w:r>
            <w:r w:rsidR="00BB5F84" w:rsidRPr="006D102C">
              <w:rPr>
                <w:b/>
                <w:bCs/>
              </w:rPr>
              <w:t xml:space="preserve"> СНГ</w:t>
            </w:r>
            <w:r w:rsidR="00BB5F84" w:rsidRPr="006D102C">
              <w:t xml:space="preserve"> был проведен первый региональный семинар МСЭ/ВМО "Наблюдения Земли для достижения Целей в области устойчивого развития: технологии, спектр, применения, воздействие" c глобальным участием, способствовавший </w:t>
            </w:r>
            <w:r w:rsidR="00BB5F84" w:rsidRPr="006D102C">
              <w:rPr>
                <w:b/>
                <w:bCs/>
              </w:rPr>
              <w:t>укреплению потенциала Государств-Членов в области управления использованием спектра</w:t>
            </w:r>
            <w:r w:rsidR="00BB5F84" w:rsidRPr="006D102C">
              <w:t>. В семинаре, приуроченном к собраниям рабочих групп 7-й Исследовательской комиссии МСЭ-R в Алматы, Казахстан, приняли участие более 100 специалистов.</w:t>
            </w:r>
          </w:p>
          <w:p w14:paraId="0A479DE7" w14:textId="6166170E" w:rsidR="00BB5F84" w:rsidRPr="006D102C" w:rsidRDefault="00DE7136" w:rsidP="00DE7136">
            <w:pPr>
              <w:pStyle w:val="enumlev1"/>
              <w:rPr>
                <w:rFonts w:cstheme="minorHAnsi"/>
              </w:rPr>
            </w:pPr>
            <w:r w:rsidRPr="006D102C">
              <w:rPr>
                <w:b/>
                <w:bCs/>
              </w:rPr>
              <w:tab/>
            </w:r>
            <w:r w:rsidR="00BB5F84" w:rsidRPr="006D102C">
              <w:rPr>
                <w:b/>
                <w:bCs/>
              </w:rPr>
              <w:t>В Ташкенте, Узбекистан, был организован круглый стол на тему передачи голоса по LTE (VoLTE)</w:t>
            </w:r>
            <w:r w:rsidR="00BB5F84" w:rsidRPr="006D102C">
              <w:t xml:space="preserve">. Принявшие участие в круглом столе операторы представили обновленную информацию о состоянии услуг VoLTE и обсудили вывод на рынок новых услуг передачи голоса по Wi-Fi (VoWiFi). Участники мероприятия также рассмотрели технические аспекты и стратегии реализации моделей роуминга VoLTE, уделив особое внимание методам домашней маршрутизации через S8 (S8HR) и локального приземления трафика (Local Breakout, LBO). </w:t>
            </w:r>
          </w:p>
          <w:p w14:paraId="7881682D" w14:textId="248F6B13" w:rsidR="00BB5F84" w:rsidRPr="006D102C" w:rsidRDefault="00DE7136" w:rsidP="00DE7136">
            <w:pPr>
              <w:pStyle w:val="enumlev1"/>
              <w:rPr>
                <w:rFonts w:cstheme="minorHAnsi"/>
              </w:rPr>
            </w:pPr>
            <w:r w:rsidRPr="006D102C">
              <w:tab/>
            </w:r>
            <w:r w:rsidR="00BB5F84" w:rsidRPr="006D102C">
              <w:t xml:space="preserve">По просьбе Государств-Членов МСЭ начал </w:t>
            </w:r>
            <w:r w:rsidR="00BB5F84" w:rsidRPr="006D102C">
              <w:rPr>
                <w:b/>
                <w:bCs/>
              </w:rPr>
              <w:t xml:space="preserve">разработку программы по созданию потенциала </w:t>
            </w:r>
            <w:r w:rsidR="00BB5F84" w:rsidRPr="006D102C">
              <w:t>"</w:t>
            </w:r>
            <w:r w:rsidR="00BB5F84" w:rsidRPr="006D102C">
              <w:rPr>
                <w:b/>
                <w:bCs/>
              </w:rPr>
              <w:t>Будущее возможности установления соединений</w:t>
            </w:r>
            <w:r w:rsidR="00BB5F84" w:rsidRPr="006D102C">
              <w:t>". В 2024 году были проведены подробные консультации с заинтересованными сторонами в регионе и подготовлены учебные материалы. В 2025 году планируется начать проведение страновых учебных курсов: первый семинар-практикум для представителей директивных и регуляторных органов и участников отрасли Армении состоится в марте 2025 года.</w:t>
            </w:r>
          </w:p>
          <w:p w14:paraId="17868E92" w14:textId="2D0B7C77" w:rsidR="00BB5F84" w:rsidRPr="006D102C" w:rsidRDefault="00DE7136" w:rsidP="00DE7136">
            <w:pPr>
              <w:pStyle w:val="enumlev1"/>
              <w:rPr>
                <w:rFonts w:cstheme="minorHAnsi"/>
              </w:rPr>
            </w:pPr>
            <w:r w:rsidRPr="006D102C">
              <w:tab/>
            </w:r>
            <w:r w:rsidR="00BB5F84" w:rsidRPr="006D102C">
              <w:t xml:space="preserve">В рамках ежегодной конференции Digital Almaty БРЭ помогло Международной организации спутниковой связи "Интерспутник" в проведении семинара-практикума "Космическая деятельность в современных реалиях". Это мероприятие предоставило уникальную возможность обменяться примерами передового опыта в разработке либо совершенствовании национального законодательства в области космической деятельности и уделить внимание вопросам, связанным с национальной политикой доступа к рынку спутниковых систем. Мероприятие привлекло большое внимание сообщества спутниковой связи и получило высокую оценку членов МСЭ. </w:t>
            </w:r>
          </w:p>
          <w:p w14:paraId="20183335" w14:textId="65B3475E" w:rsidR="00BB5F84" w:rsidRPr="006D102C" w:rsidRDefault="00DE7136" w:rsidP="00DE7136">
            <w:pPr>
              <w:pStyle w:val="enumlev1"/>
              <w:rPr>
                <w:rFonts w:cstheme="minorHAnsi"/>
              </w:rPr>
            </w:pPr>
            <w:r w:rsidRPr="006D102C">
              <w:tab/>
            </w:r>
            <w:r w:rsidR="00BB5F84" w:rsidRPr="006D102C">
              <w:t xml:space="preserve">В марте 2025 года в Таджикистане был проведен семинар-практикум и учебное занятие по инфраструктуре ИКТ. Мероприятие было организовано с целью поддержать Республику Таджикистан в обеспечении полного и устойчивого подключения. Этот семинар-практикум был специально разработан для изучения вопросов картирования, анализа и планирования инфраструктуры ИКТ. На нем участники повысили уровень теоретических знаний и практических навыков в области сбора данных об инфраструктуре ИКТ, определения обслуживаемых в недостаточной степени районов, применения инструментов ГИС и использования моделей </w:t>
            </w:r>
            <w:r w:rsidR="00BB5F84" w:rsidRPr="006D102C">
              <w:lastRenderedPageBreak/>
              <w:t>подключения для тестирования и сравнения выбранных сценариев подключения. Участники получили подробные знания о способах изучения возможных вариантов подключения и подходах к принятию обоснованных решений на основе имеющихся данных.</w:t>
            </w:r>
          </w:p>
          <w:p w14:paraId="5B714C9F" w14:textId="29C5C7CD" w:rsidR="00BB5F84" w:rsidRPr="006D102C" w:rsidRDefault="00DE7136" w:rsidP="00DE7136">
            <w:pPr>
              <w:pStyle w:val="enumlev1"/>
              <w:rPr>
                <w:rFonts w:cstheme="minorHAnsi"/>
              </w:rPr>
            </w:pPr>
            <w:r w:rsidRPr="006D102C">
              <w:tab/>
            </w:r>
            <w:r w:rsidR="00BB5F84" w:rsidRPr="006D102C">
              <w:t>В апреле 2025 года в Кыргызском государственном техническом университете для преподавателей и профессоров был организован семинар-практикум по развертыванию сетей 5G, который позволил участникам расширить знания в области технических спецификаций и внедрения технологий 5G, а также дал возможность для обновления учебных материалов.</w:t>
            </w:r>
          </w:p>
          <w:p w14:paraId="24955DD5" w14:textId="238ED778" w:rsidR="00BB5F84" w:rsidRPr="006D102C" w:rsidRDefault="00DE7136" w:rsidP="00DE7136">
            <w:pPr>
              <w:pStyle w:val="enumlev1"/>
              <w:rPr>
                <w:rFonts w:cstheme="minorHAnsi"/>
              </w:rPr>
            </w:pPr>
            <w:r w:rsidRPr="006D102C">
              <w:rPr>
                <w:rFonts w:cs="Calibri"/>
              </w:rPr>
              <w:t>•</w:t>
            </w:r>
            <w:r w:rsidRPr="006D102C">
              <w:tab/>
            </w:r>
            <w:r w:rsidR="00BB5F84" w:rsidRPr="006D102C">
              <w:t>В</w:t>
            </w:r>
            <w:r w:rsidR="00BB5F84" w:rsidRPr="006D102C">
              <w:rPr>
                <w:b/>
                <w:bCs/>
              </w:rPr>
              <w:t xml:space="preserve"> Северной и Южной Америке</w:t>
            </w:r>
            <w:r w:rsidR="00BB5F84" w:rsidRPr="006D102C">
              <w:t xml:space="preserve"> в рамках инициативы по установлению соединений в школах GIGA в Тринидаде и Тобаго, Белизе, Суринаме и в странах Организации восточнокарибских государств (ОВКГ) проводилась работа по расширению картирования школ. В Уругвае был организован национальный учебный семинар-практикум по картам широкополосной связи МСЭ и современным геоинформационным системам.</w:t>
            </w:r>
          </w:p>
          <w:p w14:paraId="113D87B4" w14:textId="38439E30" w:rsidR="00BB5F84" w:rsidRPr="006D102C" w:rsidRDefault="00DE7136" w:rsidP="00DE7136">
            <w:pPr>
              <w:pStyle w:val="enumlev1"/>
              <w:rPr>
                <w:rFonts w:cstheme="minorHAnsi"/>
              </w:rPr>
            </w:pPr>
            <w:r w:rsidRPr="006D102C">
              <w:tab/>
            </w:r>
            <w:r w:rsidR="00BB5F84" w:rsidRPr="006D102C">
              <w:t xml:space="preserve">В русле этих усилий была также проведена серия онлайновых семинаров-практикумов, после чего был организован семинар-практикум МСЭ и TAIEX Европейской комиссии по проблемам внедрения 5G. </w:t>
            </w:r>
          </w:p>
          <w:p w14:paraId="008BB745" w14:textId="151869F0" w:rsidR="00BB5F84" w:rsidRPr="006D102C" w:rsidRDefault="00DE7136" w:rsidP="00DE7136">
            <w:pPr>
              <w:pStyle w:val="enumlev1"/>
              <w:rPr>
                <w:rFonts w:cstheme="minorHAnsi"/>
              </w:rPr>
            </w:pPr>
            <w:r w:rsidRPr="006D102C">
              <w:rPr>
                <w:rFonts w:cs="Calibri"/>
              </w:rPr>
              <w:t>•</w:t>
            </w:r>
            <w:r w:rsidRPr="006D102C">
              <w:tab/>
            </w:r>
            <w:r w:rsidR="00BB5F84" w:rsidRPr="006D102C">
              <w:t>В</w:t>
            </w:r>
            <w:r w:rsidR="00BB5F84" w:rsidRPr="006D102C">
              <w:rPr>
                <w:b/>
                <w:bCs/>
              </w:rPr>
              <w:t xml:space="preserve"> Европе</w:t>
            </w:r>
            <w:r w:rsidR="00BB5F84" w:rsidRPr="006D102C">
              <w:t xml:space="preserve"> была оказана помощь Черногории в ходе разработки Национального плана развития сетей широкополосного доступа в интернет. В плане, официально представленном Министерству экономического развития в минувшем сентябре, сформулирована стратегическая концепция, задачи и ожидаемые результаты. Национальный план, разработанный на основе исследований и консультаций с заинтересованными сторонами, ориентирован на расширение широкополосного доступа в интернет с высокой пропускной способностью по всей стране в период 2025</w:t>
            </w:r>
            <w:r w:rsidR="00BB5F84" w:rsidRPr="006D102C">
              <w:rPr>
                <w:rFonts w:cstheme="minorHAnsi"/>
              </w:rPr>
              <w:t>–</w:t>
            </w:r>
            <w:r w:rsidR="00BB5F84" w:rsidRPr="006D102C">
              <w:t xml:space="preserve">2029 годов и охватывает такие аспекты, как модернизация инфраструктуры, упорядочение нормативно-правовой базы и привлечение инвестиций, а также необходимость соединения сельских и обслуживаемых в недостаточной степени районов. </w:t>
            </w:r>
          </w:p>
        </w:tc>
        <w:tc>
          <w:tcPr>
            <w:tcW w:w="3001" w:type="dxa"/>
            <w:shd w:val="clear" w:color="auto" w:fill="auto"/>
          </w:tcPr>
          <w:p w14:paraId="0B02925C" w14:textId="77777777" w:rsidR="00BB5F84" w:rsidRPr="006D102C" w:rsidRDefault="00BB5F84" w:rsidP="000C2445">
            <w:pPr>
              <w:overflowPunct/>
              <w:autoSpaceDE/>
              <w:autoSpaceDN/>
              <w:adjustRightInd/>
              <w:spacing w:after="120"/>
              <w:textAlignment w:val="auto"/>
              <w:rPr>
                <w:rFonts w:cstheme="minorHAnsi"/>
                <w:b/>
                <w:bCs/>
                <w:color w:val="0070C0"/>
              </w:rPr>
            </w:pPr>
            <w:r w:rsidRPr="006D102C">
              <w:rPr>
                <w:rFonts w:cstheme="minorHAnsi"/>
                <w:b/>
                <w:bCs/>
                <w:color w:val="0070C0"/>
              </w:rPr>
              <w:lastRenderedPageBreak/>
              <w:t>Карты широкополосной связи</w:t>
            </w:r>
          </w:p>
          <w:p w14:paraId="7CB5810D" w14:textId="172B9488" w:rsidR="00BB5F84" w:rsidRPr="006D102C" w:rsidRDefault="005711CE" w:rsidP="005711CE">
            <w:pPr>
              <w:tabs>
                <w:tab w:val="clear" w:pos="1134"/>
                <w:tab w:val="left" w:pos="346"/>
              </w:tabs>
              <w:ind w:left="346" w:hanging="346"/>
              <w:rPr>
                <w:rFonts w:cstheme="minorHAnsi"/>
              </w:rPr>
            </w:pPr>
            <w:r w:rsidRPr="006D102C">
              <w:rPr>
                <w:rFonts w:cs="Calibri"/>
              </w:rPr>
              <w:lastRenderedPageBreak/>
              <w:t>•</w:t>
            </w:r>
            <w:r w:rsidRPr="006D102C">
              <w:tab/>
            </w:r>
            <w:r w:rsidR="00BB5F84" w:rsidRPr="006D102C">
              <w:rPr>
                <w:b/>
                <w:bCs/>
                <w:color w:val="000000"/>
              </w:rPr>
              <w:t>Северная и Южная Америка</w:t>
            </w:r>
            <w:r w:rsidR="00BB5F84" w:rsidRPr="006D102C">
              <w:rPr>
                <w:color w:val="000000"/>
              </w:rPr>
              <w:t>: Уругвай</w:t>
            </w:r>
          </w:p>
          <w:p w14:paraId="5A24CCD0" w14:textId="7DEDDB34" w:rsidR="00BB5F84" w:rsidRPr="006D102C" w:rsidRDefault="005711CE" w:rsidP="005711CE">
            <w:pPr>
              <w:tabs>
                <w:tab w:val="clear" w:pos="1134"/>
                <w:tab w:val="left" w:pos="346"/>
              </w:tabs>
              <w:ind w:left="346" w:hanging="346"/>
              <w:rPr>
                <w:rFonts w:cstheme="minorHAnsi"/>
              </w:rPr>
            </w:pPr>
            <w:r w:rsidRPr="006D102C">
              <w:rPr>
                <w:rFonts w:cs="Calibri"/>
              </w:rPr>
              <w:t>•</w:t>
            </w:r>
            <w:r w:rsidRPr="006D102C">
              <w:tab/>
            </w:r>
            <w:r w:rsidR="00BB5F84" w:rsidRPr="006D102C">
              <w:rPr>
                <w:b/>
                <w:bCs/>
                <w:color w:val="000000"/>
              </w:rPr>
              <w:t>Арабские государства</w:t>
            </w:r>
            <w:r w:rsidR="00BB5F84" w:rsidRPr="006D102C">
              <w:rPr>
                <w:color w:val="000000"/>
              </w:rPr>
              <w:t>: Алжир</w:t>
            </w:r>
          </w:p>
          <w:p w14:paraId="50D23E2C" w14:textId="28FF43C4" w:rsidR="00BB5F84" w:rsidRPr="006D102C" w:rsidRDefault="005711CE" w:rsidP="005711CE">
            <w:pPr>
              <w:tabs>
                <w:tab w:val="clear" w:pos="1134"/>
                <w:tab w:val="left" w:pos="346"/>
              </w:tabs>
              <w:ind w:left="346" w:hanging="346"/>
              <w:rPr>
                <w:rFonts w:cstheme="minorHAnsi"/>
              </w:rPr>
            </w:pPr>
            <w:r w:rsidRPr="006D102C">
              <w:rPr>
                <w:rFonts w:cs="Calibri"/>
              </w:rPr>
              <w:t>•</w:t>
            </w:r>
            <w:r w:rsidRPr="006D102C">
              <w:tab/>
            </w:r>
            <w:r w:rsidR="00BB5F84" w:rsidRPr="006D102C">
              <w:rPr>
                <w:b/>
                <w:bCs/>
                <w:color w:val="000000"/>
              </w:rPr>
              <w:t>Азиатско-Тихоокеанский регион</w:t>
            </w:r>
            <w:r w:rsidR="00BB5F84" w:rsidRPr="006D102C">
              <w:rPr>
                <w:color w:val="000000"/>
              </w:rPr>
              <w:t>: Индонезия, Малайзия</w:t>
            </w:r>
          </w:p>
          <w:p w14:paraId="2CA80C6E" w14:textId="63D78301" w:rsidR="00BB5F84" w:rsidRPr="006D102C" w:rsidRDefault="005711CE" w:rsidP="005711CE">
            <w:pPr>
              <w:tabs>
                <w:tab w:val="clear" w:pos="1134"/>
                <w:tab w:val="left" w:pos="346"/>
              </w:tabs>
              <w:ind w:left="346" w:hanging="346"/>
              <w:rPr>
                <w:rFonts w:cstheme="minorHAnsi"/>
              </w:rPr>
            </w:pPr>
            <w:r w:rsidRPr="006D102C">
              <w:rPr>
                <w:rFonts w:cs="Calibri"/>
              </w:rPr>
              <w:t>•</w:t>
            </w:r>
            <w:r w:rsidRPr="006D102C">
              <w:tab/>
            </w:r>
            <w:r w:rsidR="00BB5F84" w:rsidRPr="006D102C">
              <w:rPr>
                <w:b/>
                <w:bCs/>
                <w:color w:val="000000"/>
              </w:rPr>
              <w:t>Европа</w:t>
            </w:r>
            <w:r w:rsidR="00BB5F84" w:rsidRPr="006D102C">
              <w:rPr>
                <w:color w:val="000000"/>
              </w:rPr>
              <w:t>: Албания, Молдова, Франция, Италия, Португалия, Румыния, Кипр, Хорватия, Словения, Литва</w:t>
            </w:r>
          </w:p>
          <w:p w14:paraId="45F1A7C2" w14:textId="5DC99E2B" w:rsidR="00BB5F84" w:rsidRPr="006D102C" w:rsidRDefault="005711CE" w:rsidP="005711CE">
            <w:pPr>
              <w:tabs>
                <w:tab w:val="clear" w:pos="1134"/>
                <w:tab w:val="left" w:pos="346"/>
              </w:tabs>
              <w:ind w:left="346" w:hanging="346"/>
              <w:rPr>
                <w:rFonts w:cstheme="minorHAnsi"/>
              </w:rPr>
            </w:pPr>
            <w:r w:rsidRPr="006D102C">
              <w:rPr>
                <w:rFonts w:cs="Calibri"/>
              </w:rPr>
              <w:t>•</w:t>
            </w:r>
            <w:r w:rsidRPr="006D102C">
              <w:tab/>
            </w:r>
            <w:r w:rsidR="00BB5F84" w:rsidRPr="006D102C">
              <w:rPr>
                <w:b/>
                <w:bCs/>
                <w:color w:val="000000"/>
              </w:rPr>
              <w:t>СНГ</w:t>
            </w:r>
            <w:r w:rsidR="00BB5F84" w:rsidRPr="006D102C">
              <w:rPr>
                <w:color w:val="000000"/>
              </w:rPr>
              <w:t>: Азербайджан, Армения, Казахстан, Кыргызстан, Российская Федерация, Таджикистан, Узбекистан</w:t>
            </w:r>
          </w:p>
        </w:tc>
      </w:tr>
      <w:tr w:rsidR="00BB5F84" w:rsidRPr="006D102C" w14:paraId="591F369D" w14:textId="77777777" w:rsidTr="009A5771">
        <w:trPr>
          <w:trHeight w:val="355"/>
        </w:trPr>
        <w:tc>
          <w:tcPr>
            <w:tcW w:w="3681" w:type="dxa"/>
            <w:tcBorders>
              <w:top w:val="dotted" w:sz="4" w:space="0" w:color="0070C0"/>
              <w:left w:val="dotted" w:sz="4" w:space="0" w:color="0070C0"/>
              <w:bottom w:val="dotted" w:sz="4" w:space="0" w:color="0070C0"/>
              <w:right w:val="dotted" w:sz="4" w:space="0" w:color="0070C0"/>
            </w:tcBorders>
            <w:shd w:val="clear" w:color="auto" w:fill="auto"/>
          </w:tcPr>
          <w:p w14:paraId="20F5127C" w14:textId="77777777" w:rsidR="00BB5F84" w:rsidRPr="006D102C" w:rsidRDefault="00BB5F84" w:rsidP="000C2445">
            <w:pPr>
              <w:overflowPunct/>
              <w:autoSpaceDE/>
              <w:autoSpaceDN/>
              <w:adjustRightInd/>
              <w:spacing w:after="120"/>
              <w:textAlignment w:val="auto"/>
              <w:rPr>
                <w:rFonts w:cstheme="minorHAnsi"/>
                <w:b/>
                <w:bCs/>
              </w:rPr>
            </w:pPr>
            <w:r w:rsidRPr="006D102C">
              <w:rPr>
                <w:b/>
                <w:bCs/>
                <w:color w:val="000000"/>
              </w:rPr>
              <w:lastRenderedPageBreak/>
              <w:t>Вклад в выполнение задач ЦУР</w:t>
            </w:r>
            <w:r w:rsidRPr="006D102C">
              <w:rPr>
                <w:color w:val="000000"/>
              </w:rPr>
              <w:t xml:space="preserve"> </w:t>
            </w:r>
          </w:p>
        </w:tc>
        <w:tc>
          <w:tcPr>
            <w:tcW w:w="11187" w:type="dxa"/>
            <w:gridSpan w:val="2"/>
            <w:tcBorders>
              <w:top w:val="dotted" w:sz="4" w:space="0" w:color="0070C0"/>
              <w:left w:val="dotted" w:sz="4" w:space="0" w:color="0070C0"/>
              <w:bottom w:val="dotted" w:sz="4" w:space="0" w:color="0070C0"/>
              <w:right w:val="dotted" w:sz="4" w:space="0" w:color="0070C0"/>
            </w:tcBorders>
            <w:shd w:val="clear" w:color="auto" w:fill="auto"/>
          </w:tcPr>
          <w:p w14:paraId="74D2E16E" w14:textId="77777777" w:rsidR="00BB5F84" w:rsidRPr="006D102C" w:rsidRDefault="00BB5F84" w:rsidP="000C2445">
            <w:pPr>
              <w:tabs>
                <w:tab w:val="left" w:pos="10335"/>
              </w:tabs>
              <w:overflowPunct/>
              <w:autoSpaceDE/>
              <w:autoSpaceDN/>
              <w:adjustRightInd/>
              <w:spacing w:after="120"/>
              <w:textAlignment w:val="auto"/>
              <w:rPr>
                <w:rFonts w:cstheme="minorHAnsi"/>
              </w:rPr>
            </w:pPr>
            <w:r w:rsidRPr="006D102C">
              <w:rPr>
                <w:color w:val="000000"/>
              </w:rPr>
              <w:t>ЦУР 1, 3, 4, 5, 8, 9, 10, 11, 16, 17</w:t>
            </w:r>
          </w:p>
        </w:tc>
      </w:tr>
      <w:tr w:rsidR="00BB5F84" w:rsidRPr="006D102C" w14:paraId="0C33EC6C" w14:textId="77777777" w:rsidTr="009A5771">
        <w:trPr>
          <w:trHeight w:val="300"/>
        </w:trPr>
        <w:tc>
          <w:tcPr>
            <w:tcW w:w="3681" w:type="dxa"/>
            <w:tcBorders>
              <w:top w:val="dotted" w:sz="4" w:space="0" w:color="0070C0"/>
              <w:left w:val="dotted" w:sz="4" w:space="0" w:color="0070C0"/>
              <w:bottom w:val="dotted" w:sz="4" w:space="0" w:color="0070C0"/>
              <w:right w:val="dotted" w:sz="4" w:space="0" w:color="0070C0"/>
            </w:tcBorders>
          </w:tcPr>
          <w:p w14:paraId="1D7F1667" w14:textId="7DA47160" w:rsidR="00BB5F84" w:rsidRPr="006D102C" w:rsidRDefault="00BB5F84" w:rsidP="000C2445">
            <w:pPr>
              <w:overflowPunct/>
              <w:autoSpaceDE/>
              <w:autoSpaceDN/>
              <w:adjustRightInd/>
              <w:spacing w:after="120"/>
              <w:textAlignment w:val="auto"/>
              <w:rPr>
                <w:rFonts w:cstheme="minorHAnsi"/>
                <w:b/>
                <w:bCs/>
              </w:rPr>
            </w:pPr>
            <w:r w:rsidRPr="006D102C">
              <w:rPr>
                <w:b/>
                <w:bCs/>
                <w:color w:val="000000"/>
              </w:rPr>
              <w:t>Направление деятельности ВВУИО</w:t>
            </w:r>
          </w:p>
        </w:tc>
        <w:tc>
          <w:tcPr>
            <w:tcW w:w="11187" w:type="dxa"/>
            <w:gridSpan w:val="2"/>
            <w:tcBorders>
              <w:top w:val="dotted" w:sz="4" w:space="0" w:color="0070C0"/>
              <w:left w:val="dotted" w:sz="4" w:space="0" w:color="0070C0"/>
              <w:bottom w:val="dotted" w:sz="4" w:space="0" w:color="0070C0"/>
              <w:right w:val="dotted" w:sz="4" w:space="0" w:color="0070C0"/>
            </w:tcBorders>
          </w:tcPr>
          <w:p w14:paraId="2F8B4071" w14:textId="77777777" w:rsidR="00BB5F84" w:rsidRPr="006D102C" w:rsidRDefault="00BB5F84" w:rsidP="000C2445">
            <w:pPr>
              <w:overflowPunct/>
              <w:autoSpaceDE/>
              <w:autoSpaceDN/>
              <w:adjustRightInd/>
              <w:spacing w:after="120"/>
              <w:textAlignment w:val="auto"/>
              <w:rPr>
                <w:rFonts w:cstheme="minorHAnsi"/>
              </w:rPr>
            </w:pPr>
            <w:r w:rsidRPr="006D102C">
              <w:rPr>
                <w:color w:val="000000"/>
              </w:rPr>
              <w:t>C1, C2, C3, C4, C5, C6, C7, C11</w:t>
            </w:r>
          </w:p>
        </w:tc>
      </w:tr>
      <w:tr w:rsidR="00BB5F84" w:rsidRPr="006D102C" w14:paraId="58C87B00" w14:textId="77777777" w:rsidTr="009A5771">
        <w:trPr>
          <w:trHeight w:val="300"/>
        </w:trPr>
        <w:tc>
          <w:tcPr>
            <w:tcW w:w="3681" w:type="dxa"/>
            <w:tcBorders>
              <w:top w:val="dotted" w:sz="4" w:space="0" w:color="0070C0"/>
              <w:left w:val="dotted" w:sz="4" w:space="0" w:color="0070C0"/>
              <w:bottom w:val="dotted" w:sz="4" w:space="0" w:color="0070C0"/>
              <w:right w:val="dotted" w:sz="4" w:space="0" w:color="0070C0"/>
            </w:tcBorders>
          </w:tcPr>
          <w:p w14:paraId="3F0195A5" w14:textId="77777777" w:rsidR="00BB5F84" w:rsidRPr="006D102C" w:rsidRDefault="00BB5F84" w:rsidP="000C2445">
            <w:pPr>
              <w:overflowPunct/>
              <w:autoSpaceDE/>
              <w:autoSpaceDN/>
              <w:adjustRightInd/>
              <w:spacing w:after="120"/>
              <w:textAlignment w:val="auto"/>
              <w:rPr>
                <w:rFonts w:cstheme="minorHAnsi"/>
                <w:b/>
                <w:bCs/>
              </w:rPr>
            </w:pPr>
            <w:r w:rsidRPr="006D102C">
              <w:rPr>
                <w:b/>
                <w:bCs/>
                <w:color w:val="000000"/>
              </w:rPr>
              <w:t>Резолюции</w:t>
            </w:r>
            <w:r w:rsidRPr="006D102C">
              <w:rPr>
                <w:color w:val="000000"/>
              </w:rPr>
              <w:t xml:space="preserve"> </w:t>
            </w:r>
          </w:p>
        </w:tc>
        <w:tc>
          <w:tcPr>
            <w:tcW w:w="11187" w:type="dxa"/>
            <w:gridSpan w:val="2"/>
            <w:tcBorders>
              <w:top w:val="dotted" w:sz="4" w:space="0" w:color="0070C0"/>
              <w:left w:val="dotted" w:sz="4" w:space="0" w:color="0070C0"/>
              <w:bottom w:val="dotted" w:sz="4" w:space="0" w:color="0070C0"/>
              <w:right w:val="dotted" w:sz="4" w:space="0" w:color="0070C0"/>
            </w:tcBorders>
          </w:tcPr>
          <w:p w14:paraId="3AD6AD70" w14:textId="77777777" w:rsidR="00BB5F84" w:rsidRPr="006D102C" w:rsidRDefault="00BB5F84" w:rsidP="000C2445">
            <w:pPr>
              <w:overflowPunct/>
              <w:autoSpaceDE/>
              <w:autoSpaceDN/>
              <w:adjustRightInd/>
              <w:spacing w:after="120"/>
              <w:textAlignment w:val="auto"/>
              <w:rPr>
                <w:rFonts w:cstheme="minorHAnsi"/>
              </w:rPr>
            </w:pPr>
            <w:r w:rsidRPr="006D102C">
              <w:rPr>
                <w:color w:val="000000"/>
              </w:rPr>
              <w:t>136 ПК; 34, 43, 66 ВКРЭ; 646, 647 ВКР; Вопросы 1/1, 3/1, 5/1, 4/2 ИК</w:t>
            </w:r>
          </w:p>
        </w:tc>
      </w:tr>
    </w:tbl>
    <w:p w14:paraId="1E239C9F" w14:textId="77777777" w:rsidR="00BB5F84" w:rsidRPr="006D102C" w:rsidRDefault="00BB5F84" w:rsidP="00CE67E6"/>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681"/>
        <w:gridCol w:w="8113"/>
        <w:gridCol w:w="3085"/>
      </w:tblGrid>
      <w:tr w:rsidR="00BB5F84" w:rsidRPr="006D102C" w14:paraId="73AE9554" w14:textId="77777777" w:rsidTr="00AA3D2A">
        <w:tc>
          <w:tcPr>
            <w:tcW w:w="14879" w:type="dxa"/>
            <w:gridSpan w:val="3"/>
            <w:tcBorders>
              <w:bottom w:val="dotted" w:sz="4" w:space="0" w:color="0070C0"/>
            </w:tcBorders>
            <w:shd w:val="clear" w:color="auto" w:fill="365F91" w:themeFill="accent1" w:themeFillShade="BF"/>
          </w:tcPr>
          <w:p w14:paraId="573C4FA2" w14:textId="77777777" w:rsidR="00BB5F84" w:rsidRPr="006D102C" w:rsidRDefault="00BB5F84" w:rsidP="009A5771">
            <w:pPr>
              <w:pStyle w:val="Tablehead"/>
              <w:pageBreakBefore/>
              <w:rPr>
                <w:color w:val="FFFFFF" w:themeColor="background1"/>
                <w:sz w:val="22"/>
              </w:rPr>
            </w:pPr>
            <w:bookmarkStart w:id="17" w:name="_Toc197427000"/>
            <w:r w:rsidRPr="006D102C">
              <w:rPr>
                <w:color w:val="FFFFFF" w:themeColor="background1"/>
                <w:sz w:val="22"/>
              </w:rPr>
              <w:lastRenderedPageBreak/>
              <w:t>Приоритет 2 МСЭ-D: Цифровая трансформация</w:t>
            </w:r>
            <w:bookmarkEnd w:id="17"/>
          </w:p>
          <w:p w14:paraId="3FC7EBD1" w14:textId="77777777" w:rsidR="00BB5F84" w:rsidRPr="006D102C" w:rsidRDefault="00BB5F84" w:rsidP="00CE67E6">
            <w:pPr>
              <w:pStyle w:val="Tablehead"/>
              <w:rPr>
                <w:i/>
                <w:iCs/>
                <w:color w:val="FFFFFF" w:themeColor="background1"/>
                <w:sz w:val="22"/>
              </w:rPr>
            </w:pPr>
            <w:bookmarkStart w:id="18" w:name="_Toc197427001"/>
            <w:r w:rsidRPr="006D102C">
              <w:rPr>
                <w:i/>
                <w:iCs/>
                <w:color w:val="FFFFFF" w:themeColor="background1"/>
                <w:sz w:val="22"/>
              </w:rPr>
              <w:t>Ускорение цифровой трансформации благодаря предпринимательству на базе ИКТ и увеличению объема инноваций на базе ИКТ в экосистеме ИКТ</w:t>
            </w:r>
            <w:bookmarkEnd w:id="18"/>
          </w:p>
        </w:tc>
      </w:tr>
      <w:tr w:rsidR="00BB5F84" w:rsidRPr="006D102C" w14:paraId="55961DE3" w14:textId="77777777" w:rsidTr="00AA3D2A">
        <w:tc>
          <w:tcPr>
            <w:tcW w:w="14879" w:type="dxa"/>
            <w:gridSpan w:val="3"/>
            <w:shd w:val="clear" w:color="auto" w:fill="E5DFEC" w:themeFill="accent4" w:themeFillTint="33"/>
          </w:tcPr>
          <w:p w14:paraId="0BA3A0A5" w14:textId="77777777" w:rsidR="00BB5F84" w:rsidRPr="006D102C" w:rsidRDefault="00BB5F84" w:rsidP="00AA3D2A">
            <w:pPr>
              <w:spacing w:after="120"/>
              <w:rPr>
                <w:rFonts w:cstheme="minorHAnsi"/>
                <w:b/>
                <w:bCs/>
                <w:color w:val="1F497D" w:themeColor="text2"/>
              </w:rPr>
            </w:pPr>
            <w:r w:rsidRPr="006D102C">
              <w:rPr>
                <w:rFonts w:cstheme="minorHAnsi"/>
                <w:b/>
                <w:bCs/>
                <w:color w:val="1F497D" w:themeColor="text2"/>
              </w:rPr>
              <w:t>Экосистема цифровых инноваций</w:t>
            </w:r>
          </w:p>
          <w:p w14:paraId="1F56876D" w14:textId="77777777" w:rsidR="00BB5F84" w:rsidRPr="006D102C" w:rsidRDefault="00BB5F84" w:rsidP="00AA3D2A">
            <w:pPr>
              <w:keepNext/>
              <w:spacing w:after="120"/>
              <w:rPr>
                <w:rFonts w:eastAsiaTheme="minorEastAsia" w:cstheme="minorHAnsi"/>
                <w:color w:val="000000" w:themeColor="text1"/>
              </w:rPr>
            </w:pPr>
            <w:r w:rsidRPr="006D102C">
              <w:rPr>
                <w:b/>
                <w:bCs/>
                <w:i/>
                <w:iCs/>
                <w:color w:val="000000"/>
              </w:rPr>
              <w:t>Конечный результат</w:t>
            </w:r>
            <w:r w:rsidRPr="006D102C">
              <w:rPr>
                <w:i/>
                <w:iCs/>
                <w:color w:val="000000"/>
              </w:rPr>
              <w:t>: укрепление потенциала членов МСЭ для интеграции инноваций в области электросвязи/ИКТ и цифровизации в свои национальные повестки дня в сфере развития и для разработки стратегий содействия осуществлению ориентированных на инновации инициатив, в том числе путем формирования государственных, частных и государственно-частных партнерств</w:t>
            </w:r>
          </w:p>
        </w:tc>
      </w:tr>
      <w:tr w:rsidR="00BB5F84" w:rsidRPr="006D102C" w14:paraId="61808288" w14:textId="77777777" w:rsidTr="00AA3D2A">
        <w:tc>
          <w:tcPr>
            <w:tcW w:w="11794" w:type="dxa"/>
            <w:gridSpan w:val="2"/>
            <w:shd w:val="clear" w:color="auto" w:fill="auto"/>
          </w:tcPr>
          <w:p w14:paraId="7B057DA1" w14:textId="77777777" w:rsidR="00BB5F84" w:rsidRPr="006D102C" w:rsidRDefault="00BB5F84" w:rsidP="00AA3D2A">
            <w:pPr>
              <w:keepNext/>
              <w:overflowPunct/>
              <w:autoSpaceDE/>
              <w:autoSpaceDN/>
              <w:adjustRightInd/>
              <w:spacing w:after="120"/>
              <w:jc w:val="center"/>
              <w:textAlignment w:val="auto"/>
              <w:rPr>
                <w:rFonts w:eastAsia="Calibri" w:cstheme="minorHAnsi"/>
                <w:b/>
                <w:bCs/>
                <w:color w:val="0070C0"/>
              </w:rPr>
            </w:pPr>
            <w:r w:rsidRPr="006D102C">
              <w:rPr>
                <w:b/>
                <w:bCs/>
                <w:color w:val="0070C0"/>
              </w:rPr>
              <w:t>Намеченный результат деятельности</w:t>
            </w:r>
          </w:p>
        </w:tc>
        <w:tc>
          <w:tcPr>
            <w:tcW w:w="3085" w:type="dxa"/>
            <w:shd w:val="clear" w:color="auto" w:fill="auto"/>
          </w:tcPr>
          <w:p w14:paraId="1CB18679" w14:textId="77777777" w:rsidR="00BB5F84" w:rsidRPr="006D102C" w:rsidRDefault="00BB5F84" w:rsidP="00AA3D2A">
            <w:pPr>
              <w:keepNext/>
              <w:overflowPunct/>
              <w:autoSpaceDE/>
              <w:autoSpaceDN/>
              <w:adjustRightInd/>
              <w:spacing w:after="120"/>
              <w:jc w:val="center"/>
              <w:textAlignment w:val="auto"/>
              <w:rPr>
                <w:rFonts w:eastAsia="Calibri" w:cstheme="minorHAnsi"/>
                <w:b/>
                <w:bCs/>
                <w:color w:val="0070C0"/>
              </w:rPr>
            </w:pPr>
            <w:r w:rsidRPr="006D102C">
              <w:rPr>
                <w:b/>
                <w:bCs/>
                <w:color w:val="0070C0"/>
              </w:rPr>
              <w:t>Основные моменты</w:t>
            </w:r>
          </w:p>
        </w:tc>
      </w:tr>
      <w:tr w:rsidR="00BB5F84" w:rsidRPr="006D102C" w14:paraId="599FD43E" w14:textId="77777777" w:rsidTr="00AA3D2A">
        <w:tc>
          <w:tcPr>
            <w:tcW w:w="11794" w:type="dxa"/>
            <w:gridSpan w:val="2"/>
            <w:vMerge w:val="restart"/>
          </w:tcPr>
          <w:p w14:paraId="1A1C8C8D" w14:textId="77777777" w:rsidR="00BB5F84" w:rsidRPr="006D102C" w:rsidRDefault="00BB5F84" w:rsidP="00AA3D2A">
            <w:pPr>
              <w:rPr>
                <w:rFonts w:cstheme="minorHAnsi"/>
              </w:rPr>
            </w:pPr>
            <w:r w:rsidRPr="006D102C">
              <w:t>БРЭ продолжило оказывать Государствам-Членам поддержку в усилиях по ускорению цифровой трансформации, предоставляя инструменты для разработки политических основ инноваций и развития экосистем, проводя мероприятия по развитию потенциала, оказывая техническую помощь и реализуя проекты по стимулированию инноваций. БРЭ завершило разработку семи руководств, в которых всесторонне излагаются базовые принципы и содержатся инструменты развития экосистем и содействия инновациям и предпринимательству, в том числе для стратегического прогнозирования, экспериментирования в политике, разработки экосистемных инициатив, роста стартапов и МСП, инноваций в области открытых технологий, стратегического взаимодействия, партнерств и мобилизации ресурсов.</w:t>
            </w:r>
          </w:p>
          <w:p w14:paraId="5448BB56" w14:textId="35D84BB9" w:rsidR="00BB5F84" w:rsidRPr="006D102C" w:rsidDel="008310DF" w:rsidRDefault="00DE7136" w:rsidP="00AA3D2A">
            <w:pPr>
              <w:pStyle w:val="enumlev1"/>
              <w:rPr>
                <w:rFonts w:cstheme="minorHAnsi"/>
              </w:rPr>
            </w:pPr>
            <w:r w:rsidRPr="006D102C">
              <w:rPr>
                <w:rFonts w:cs="Calibri"/>
              </w:rPr>
              <w:t>•</w:t>
            </w:r>
            <w:r w:rsidRPr="006D102C">
              <w:tab/>
            </w:r>
            <w:r w:rsidR="00BB5F84" w:rsidRPr="006D102C">
              <w:t>В</w:t>
            </w:r>
            <w:r w:rsidR="00BB5F84" w:rsidRPr="006D102C">
              <w:rPr>
                <w:b/>
                <w:bCs/>
              </w:rPr>
              <w:t xml:space="preserve"> арабских государствах</w:t>
            </w:r>
            <w:r w:rsidR="00BB5F84" w:rsidRPr="006D102C">
              <w:t xml:space="preserve"> была завершена работа над профилем цифровых инноваций для Бахрейна, которая включала проведение всесторонней оценки экосистемы и подготовку ключевых рекомендаций по выводу экосистемы на новый уровень. Кроме того, в настоящее время разрабатываются профили цифровых инноваций для Катара и Иордании, которые, как ожидается, будут завершены в первом и втором кварталах 2025 года соответственно. Также началась разработка профиля цифровых инноваций для Палестины. </w:t>
            </w:r>
          </w:p>
          <w:p w14:paraId="0547C257" w14:textId="216C5870" w:rsidR="00BB5F84" w:rsidRPr="006D102C" w:rsidRDefault="00DE7136" w:rsidP="00AA3D2A">
            <w:pPr>
              <w:pStyle w:val="enumlev1"/>
              <w:rPr>
                <w:rFonts w:cstheme="minorHAnsi"/>
              </w:rPr>
            </w:pPr>
            <w:r w:rsidRPr="006D102C">
              <w:rPr>
                <w:rFonts w:cs="Calibri"/>
              </w:rPr>
              <w:t>•</w:t>
            </w:r>
            <w:r w:rsidRPr="006D102C">
              <w:tab/>
            </w:r>
            <w:r w:rsidR="00BB5F84" w:rsidRPr="006D102C">
              <w:t xml:space="preserve">В </w:t>
            </w:r>
            <w:r w:rsidR="00BB5F84" w:rsidRPr="006D102C">
              <w:rPr>
                <w:b/>
                <w:bCs/>
              </w:rPr>
              <w:t>СНГ</w:t>
            </w:r>
            <w:r w:rsidR="00BB5F84" w:rsidRPr="006D102C">
              <w:t xml:space="preserve"> экспертная помощь в области цифровых инноваций и создания экосистем стартапов оказывается Кыргызстану. Государственное агентство интеллектуальной собственности и инноваций Кыргызстана как ответственный государственный орган при поддержке экспертов МСЭ проводит оценку общего состояния экосистемы инноваций и стартапов в стране и разрабатывает специальную программу обучения для менеджеров стартап-акселераторов, задачей которых будет разрабатывать и запускать акселерационные программы. Конечные результаты реализации данной программы были представлены на Региональном форуме по вопросам развития для стран СНГ 2025 года. </w:t>
            </w:r>
          </w:p>
          <w:p w14:paraId="2CF72CE4" w14:textId="548983E6" w:rsidR="00BB5F84" w:rsidRPr="006D102C" w:rsidRDefault="00DE7136" w:rsidP="00AA3D2A">
            <w:pPr>
              <w:pStyle w:val="enumlev1"/>
              <w:rPr>
                <w:rFonts w:cstheme="minorHAnsi"/>
              </w:rPr>
            </w:pPr>
            <w:r w:rsidRPr="006D102C">
              <w:rPr>
                <w:rFonts w:cs="Calibri"/>
              </w:rPr>
              <w:t>•</w:t>
            </w:r>
            <w:r w:rsidRPr="006D102C">
              <w:tab/>
            </w:r>
            <w:r w:rsidR="00BB5F84" w:rsidRPr="006D102C">
              <w:t>В</w:t>
            </w:r>
            <w:r w:rsidR="00BB5F84" w:rsidRPr="006D102C">
              <w:rPr>
                <w:b/>
                <w:bCs/>
              </w:rPr>
              <w:t xml:space="preserve"> Европе</w:t>
            </w:r>
            <w:r w:rsidR="00BB5F84" w:rsidRPr="006D102C">
              <w:t xml:space="preserve"> в порядке оказания эффективной помощи Албании в развитии цифровых инноваций завершается работа над отчетом о реализации профиля цифровых инноваций, в котором особое внимание уделяется практическим предложениям по согласованию профиля цифровых инноваций со Стратегией "умной" специализации страны и национальной Программой реформ на 2024–2027 годы.</w:t>
            </w:r>
          </w:p>
          <w:p w14:paraId="218203E4" w14:textId="3A95E5C6" w:rsidR="00BB5F84" w:rsidRPr="006D102C" w:rsidRDefault="00DE7136" w:rsidP="00AA3D2A">
            <w:pPr>
              <w:pStyle w:val="enumlev1"/>
              <w:rPr>
                <w:rFonts w:cstheme="minorHAnsi"/>
              </w:rPr>
            </w:pPr>
            <w:r w:rsidRPr="006D102C">
              <w:rPr>
                <w:rFonts w:cs="Calibri"/>
              </w:rPr>
              <w:lastRenderedPageBreak/>
              <w:t>•</w:t>
            </w:r>
            <w:r w:rsidRPr="006D102C">
              <w:tab/>
            </w:r>
            <w:r w:rsidR="00BB5F84" w:rsidRPr="006D102C">
              <w:t xml:space="preserve">Для поддержки инновационной экосистемы Мальты завершается работа над отчетом </w:t>
            </w:r>
            <w:r w:rsidR="00BB5F84" w:rsidRPr="00705B18">
              <w:t>"</w:t>
            </w:r>
            <w:r w:rsidR="00BB5F84" w:rsidRPr="006D102C">
              <w:rPr>
                <w:i/>
                <w:iCs/>
              </w:rPr>
              <w:t>Инновационный ландшафт Мальты: передовой опыт и будущие направления</w:t>
            </w:r>
            <w:r w:rsidR="00BB5F84" w:rsidRPr="00705B18">
              <w:t>"</w:t>
            </w:r>
            <w:r w:rsidR="00BB5F84" w:rsidRPr="006D102C">
              <w:t>, начатая в рамках Всемирного форума по инновациям 2024 года. В отчете основное внимание уделяется Экономической концепции Мальты на период до 2031 года, в частности подробно рассматривается ее взаимосвязь с национальными и региональными приоритетами, а также предусмотренные ею инновации и мероприятия по обеспечению экономическом роста, устойчивости и гибкости. Кроме того, в нем приводится обзор передового опыта мальтийской экосистемы инноваций, а также анализируется вклад шести основных групп заинтересованных сторон: государственного сектора, частного сектора, финансовых учреждений, академических организаций, сетей поддержки предпринимательства и самих предпринимателей. Наконец, отчет дает представление о будущем направлении развития Мальты и может послужить ориентиром для других стран в том, что касается создания конкурентоспособных и устойчивых экосистем, имеющих мировое значение.</w:t>
            </w:r>
          </w:p>
          <w:p w14:paraId="13DC0C3C" w14:textId="239CA0E4" w:rsidR="00BB5F84" w:rsidRPr="006D102C" w:rsidRDefault="00DE7136" w:rsidP="00AA3D2A">
            <w:pPr>
              <w:pStyle w:val="enumlev1"/>
              <w:rPr>
                <w:rFonts w:cstheme="minorHAnsi"/>
              </w:rPr>
            </w:pPr>
            <w:r w:rsidRPr="006D102C">
              <w:rPr>
                <w:rFonts w:cs="Calibri"/>
              </w:rPr>
              <w:t>•</w:t>
            </w:r>
            <w:r w:rsidRPr="006D102C">
              <w:tab/>
            </w:r>
            <w:r w:rsidR="00BB5F84" w:rsidRPr="006D102C">
              <w:t xml:space="preserve">В </w:t>
            </w:r>
            <w:r w:rsidR="00BB5F84" w:rsidRPr="006D102C">
              <w:rPr>
                <w:b/>
                <w:bCs/>
              </w:rPr>
              <w:t>Африке</w:t>
            </w:r>
            <w:r w:rsidR="00BB5F84" w:rsidRPr="006D102C">
              <w:t xml:space="preserve"> в сентябре 2024 года МСЭ организовал семинар-практикум по совместной разработке и проверке экосистемы инноваций в Зимбабве, а также провел встречу с заинтересованными сторонами. Работа по оценке цифровых профилей была начата для Мозамбика и Замбии. В марте 2025 года в рамках проекта "Создание фундамента для VaMoz Digital!" в Мапуту был проведен технический семинар-практикум по национальному профилю цифровых инноваций, целью которого было завершение разработки Профиля цифровых инноваций Мозамбика.</w:t>
            </w:r>
          </w:p>
          <w:p w14:paraId="7BCE1B6E" w14:textId="4AD51B00" w:rsidR="00BB5F84" w:rsidRPr="006D102C" w:rsidRDefault="00DE7136" w:rsidP="00AA3D2A">
            <w:pPr>
              <w:pStyle w:val="enumlev1"/>
              <w:rPr>
                <w:rFonts w:cstheme="minorHAnsi"/>
              </w:rPr>
            </w:pPr>
            <w:r w:rsidRPr="006D102C">
              <w:rPr>
                <w:rFonts w:cs="Calibri"/>
              </w:rPr>
              <w:t>•</w:t>
            </w:r>
            <w:r w:rsidRPr="006D102C">
              <w:tab/>
            </w:r>
            <w:r w:rsidR="00BB5F84" w:rsidRPr="006D102C">
              <w:t xml:space="preserve">БРЭ приступило к выпуску новой серии отчетов о стратегическом прогнозировании, первый из которых посвящен вопросам формирования будущего сферы образования. Планируется подготовить дополнительные отчеты, в том числе два для Группы двадцати и один для Комиссии Саудовской Аравии по связи, науке и технологиям. Эти отчеты демонстрируют расширенные возможности исследования тенденций, которые могут помочь странам ориентироваться в меняющейся среде. </w:t>
            </w:r>
          </w:p>
        </w:tc>
        <w:tc>
          <w:tcPr>
            <w:tcW w:w="3085" w:type="dxa"/>
          </w:tcPr>
          <w:p w14:paraId="2CFF4FA9" w14:textId="77777777" w:rsidR="00BB5F84" w:rsidRPr="006D102C" w:rsidRDefault="00BB5F84" w:rsidP="00AA3D2A">
            <w:pPr>
              <w:spacing w:after="120"/>
              <w:rPr>
                <w:rFonts w:cstheme="minorHAnsi"/>
                <w:b/>
                <w:bCs/>
                <w:color w:val="0070C0"/>
              </w:rPr>
            </w:pPr>
          </w:p>
        </w:tc>
      </w:tr>
      <w:tr w:rsidR="00BB5F84" w:rsidRPr="006D102C" w14:paraId="0F3D5C55" w14:textId="77777777" w:rsidTr="00AA3D2A">
        <w:tc>
          <w:tcPr>
            <w:tcW w:w="11794" w:type="dxa"/>
            <w:gridSpan w:val="2"/>
            <w:vMerge/>
          </w:tcPr>
          <w:p w14:paraId="639E4429" w14:textId="77777777" w:rsidR="00BB5F84" w:rsidRPr="006D102C" w:rsidRDefault="00BB5F84" w:rsidP="00AA3D2A">
            <w:pPr>
              <w:spacing w:after="120"/>
              <w:rPr>
                <w:rFonts w:cstheme="minorHAnsi"/>
              </w:rPr>
            </w:pPr>
          </w:p>
        </w:tc>
        <w:tc>
          <w:tcPr>
            <w:tcW w:w="3085" w:type="dxa"/>
          </w:tcPr>
          <w:p w14:paraId="49A9B97A" w14:textId="77777777" w:rsidR="00BB5F84" w:rsidRPr="006D102C" w:rsidRDefault="00BB5F84" w:rsidP="00AA3D2A">
            <w:pPr>
              <w:spacing w:after="120"/>
              <w:rPr>
                <w:rFonts w:cstheme="minorHAnsi"/>
                <w:b/>
                <w:bCs/>
                <w:color w:val="0070C0"/>
              </w:rPr>
            </w:pPr>
          </w:p>
        </w:tc>
      </w:tr>
      <w:tr w:rsidR="00BB5F84" w:rsidRPr="006D102C" w14:paraId="5FA67ADE" w14:textId="77777777" w:rsidTr="00AA3D2A">
        <w:tc>
          <w:tcPr>
            <w:tcW w:w="11794" w:type="dxa"/>
            <w:gridSpan w:val="2"/>
            <w:vMerge/>
          </w:tcPr>
          <w:p w14:paraId="400BE8A5" w14:textId="77777777" w:rsidR="00BB5F84" w:rsidRPr="006D102C" w:rsidRDefault="00BB5F84" w:rsidP="00AA3D2A">
            <w:pPr>
              <w:spacing w:after="120"/>
              <w:rPr>
                <w:rFonts w:cstheme="minorHAnsi"/>
              </w:rPr>
            </w:pPr>
          </w:p>
        </w:tc>
        <w:tc>
          <w:tcPr>
            <w:tcW w:w="3085" w:type="dxa"/>
            <w:tcBorders>
              <w:bottom w:val="dotted" w:sz="4" w:space="0" w:color="0070C0"/>
            </w:tcBorders>
            <w:shd w:val="clear" w:color="auto" w:fill="auto"/>
          </w:tcPr>
          <w:p w14:paraId="23E8CB86" w14:textId="77777777" w:rsidR="00BB5F84" w:rsidRPr="006D102C" w:rsidRDefault="00BB5F84" w:rsidP="00B11C41">
            <w:pPr>
              <w:overflowPunct/>
              <w:autoSpaceDE/>
              <w:autoSpaceDN/>
              <w:adjustRightInd/>
              <w:spacing w:before="1200" w:after="120"/>
              <w:textAlignment w:val="auto"/>
              <w:rPr>
                <w:rFonts w:cstheme="minorHAnsi"/>
                <w:b/>
                <w:bCs/>
                <w:color w:val="0070C0"/>
              </w:rPr>
            </w:pPr>
            <w:r w:rsidRPr="006D102C">
              <w:rPr>
                <w:rFonts w:cstheme="minorHAnsi"/>
                <w:b/>
                <w:bCs/>
                <w:color w:val="0070C0"/>
              </w:rPr>
              <w:t>Стратегии, политика и дорожные карты развития экосистемы инноваций, а также профили цифровых инноваций</w:t>
            </w:r>
          </w:p>
          <w:p w14:paraId="34D49565" w14:textId="70B56279" w:rsidR="00BB5F84" w:rsidRPr="006D102C" w:rsidRDefault="00444A11" w:rsidP="00AA3D2A">
            <w:pPr>
              <w:tabs>
                <w:tab w:val="clear" w:pos="1134"/>
                <w:tab w:val="left" w:pos="346"/>
              </w:tabs>
              <w:ind w:left="346" w:hanging="346"/>
              <w:rPr>
                <w:rFonts w:cstheme="minorHAnsi"/>
                <w:b/>
                <w:bCs/>
              </w:rPr>
            </w:pPr>
            <w:r w:rsidRPr="006D102C">
              <w:rPr>
                <w:rFonts w:cs="Calibri"/>
                <w:color w:val="000000"/>
              </w:rPr>
              <w:t>•</w:t>
            </w:r>
            <w:r w:rsidRPr="006D102C">
              <w:rPr>
                <w:color w:val="000000"/>
              </w:rPr>
              <w:tab/>
            </w:r>
            <w:r w:rsidR="00BB5F84" w:rsidRPr="006D102C">
              <w:rPr>
                <w:b/>
                <w:bCs/>
                <w:color w:val="000000"/>
              </w:rPr>
              <w:t>Африка</w:t>
            </w:r>
            <w:r w:rsidR="00BB5F84" w:rsidRPr="006D102C">
              <w:rPr>
                <w:color w:val="000000"/>
              </w:rPr>
              <w:t>: Замбия, Мозамбик</w:t>
            </w:r>
          </w:p>
          <w:p w14:paraId="5A7402A1" w14:textId="52F1C994" w:rsidR="00BB5F84" w:rsidRPr="006D102C" w:rsidRDefault="00444A11" w:rsidP="00AA3D2A">
            <w:pPr>
              <w:tabs>
                <w:tab w:val="clear" w:pos="1134"/>
                <w:tab w:val="left" w:pos="346"/>
              </w:tabs>
              <w:ind w:left="346" w:hanging="346"/>
              <w:rPr>
                <w:rFonts w:cstheme="minorHAnsi"/>
                <w:b/>
              </w:rPr>
            </w:pPr>
            <w:r w:rsidRPr="006D102C">
              <w:rPr>
                <w:rFonts w:cs="Calibri"/>
                <w:color w:val="000000"/>
              </w:rPr>
              <w:t>•</w:t>
            </w:r>
            <w:r w:rsidRPr="006D102C">
              <w:rPr>
                <w:color w:val="000000"/>
              </w:rPr>
              <w:tab/>
            </w:r>
            <w:r w:rsidR="00BB5F84" w:rsidRPr="006D102C">
              <w:rPr>
                <w:b/>
                <w:bCs/>
                <w:color w:val="000000"/>
              </w:rPr>
              <w:t>Арабские государства</w:t>
            </w:r>
            <w:r w:rsidR="00BB5F84" w:rsidRPr="006D102C">
              <w:rPr>
                <w:color w:val="000000"/>
              </w:rPr>
              <w:t>: Бахрейн, Катар, Иордания, Палестина</w:t>
            </w:r>
          </w:p>
          <w:p w14:paraId="5C03955A" w14:textId="77777777" w:rsidR="00BB5F84" w:rsidRPr="006D102C" w:rsidRDefault="00BB5F84" w:rsidP="00AA3D2A">
            <w:pPr>
              <w:overflowPunct/>
              <w:autoSpaceDE/>
              <w:autoSpaceDN/>
              <w:adjustRightInd/>
              <w:spacing w:before="1680" w:after="120"/>
              <w:textAlignment w:val="auto"/>
              <w:rPr>
                <w:rFonts w:cstheme="minorHAnsi"/>
                <w:b/>
                <w:bCs/>
                <w:color w:val="0070C0"/>
              </w:rPr>
            </w:pPr>
            <w:r w:rsidRPr="006D102C">
              <w:rPr>
                <w:rFonts w:cstheme="minorHAnsi"/>
                <w:b/>
                <w:bCs/>
                <w:color w:val="0070C0"/>
              </w:rPr>
              <w:lastRenderedPageBreak/>
              <w:t>Вовлечение/помощь НРС/ЛЛДС и СИДС – Цифровая трансформация:</w:t>
            </w:r>
          </w:p>
          <w:p w14:paraId="10857511" w14:textId="70365119" w:rsidR="00BB5F84" w:rsidRPr="006D102C" w:rsidRDefault="00444A11" w:rsidP="00AA3D2A">
            <w:pPr>
              <w:tabs>
                <w:tab w:val="clear" w:pos="1134"/>
                <w:tab w:val="left" w:pos="346"/>
              </w:tabs>
              <w:ind w:left="346" w:hanging="346"/>
              <w:rPr>
                <w:color w:val="000000"/>
              </w:rPr>
            </w:pPr>
            <w:r w:rsidRPr="006D102C">
              <w:rPr>
                <w:rFonts w:cs="Calibri"/>
                <w:color w:val="000000"/>
              </w:rPr>
              <w:t>•</w:t>
            </w:r>
            <w:r w:rsidRPr="006D102C">
              <w:rPr>
                <w:color w:val="000000"/>
              </w:rPr>
              <w:tab/>
            </w:r>
            <w:r w:rsidR="00BB5F84" w:rsidRPr="006D102C">
              <w:rPr>
                <w:color w:val="000000"/>
              </w:rPr>
              <w:t xml:space="preserve">Оказана поддержка 37 НРС, ЛЛДС и СИДС. </w:t>
            </w:r>
          </w:p>
          <w:p w14:paraId="6AE8B8B5" w14:textId="6ED21F3F" w:rsidR="00BB5F84" w:rsidRPr="006D102C" w:rsidRDefault="00444A11" w:rsidP="00AA3D2A">
            <w:pPr>
              <w:tabs>
                <w:tab w:val="clear" w:pos="1134"/>
                <w:tab w:val="left" w:pos="346"/>
              </w:tabs>
              <w:ind w:left="346" w:hanging="346"/>
              <w:rPr>
                <w:color w:val="000000"/>
              </w:rPr>
            </w:pPr>
            <w:r w:rsidRPr="006D102C">
              <w:rPr>
                <w:rFonts w:cs="Calibri"/>
                <w:color w:val="000000"/>
              </w:rPr>
              <w:t>•</w:t>
            </w:r>
            <w:r w:rsidRPr="006D102C">
              <w:rPr>
                <w:color w:val="000000"/>
              </w:rPr>
              <w:tab/>
            </w:r>
            <w:r w:rsidR="00BB5F84" w:rsidRPr="006D102C">
              <w:rPr>
                <w:color w:val="000000"/>
              </w:rPr>
              <w:t>17 стран получили техническую помощь.</w:t>
            </w:r>
          </w:p>
          <w:p w14:paraId="7D02E60C" w14:textId="0E0594C6" w:rsidR="00BB5F84" w:rsidRPr="006D102C" w:rsidRDefault="00444A11" w:rsidP="00AA3D2A">
            <w:pPr>
              <w:tabs>
                <w:tab w:val="clear" w:pos="1134"/>
                <w:tab w:val="left" w:pos="346"/>
              </w:tabs>
              <w:ind w:left="346" w:hanging="346"/>
              <w:rPr>
                <w:color w:val="000000"/>
              </w:rPr>
            </w:pPr>
            <w:r w:rsidRPr="006D102C">
              <w:rPr>
                <w:rFonts w:cs="Calibri"/>
                <w:color w:val="000000"/>
              </w:rPr>
              <w:t>•</w:t>
            </w:r>
            <w:r w:rsidRPr="006D102C">
              <w:rPr>
                <w:color w:val="000000"/>
              </w:rPr>
              <w:tab/>
            </w:r>
            <w:r w:rsidR="00BB5F84" w:rsidRPr="006D102C">
              <w:rPr>
                <w:color w:val="000000"/>
              </w:rPr>
              <w:t xml:space="preserve">Разработано 22 политических рамочных программы и продукта знаний. </w:t>
            </w:r>
          </w:p>
          <w:p w14:paraId="73404295" w14:textId="07291E2A" w:rsidR="00BB5F84" w:rsidRPr="006D102C" w:rsidRDefault="00444A11" w:rsidP="00AA3D2A">
            <w:pPr>
              <w:tabs>
                <w:tab w:val="clear" w:pos="1134"/>
                <w:tab w:val="left" w:pos="346"/>
              </w:tabs>
              <w:ind w:left="346" w:hanging="346"/>
              <w:rPr>
                <w:color w:val="000000"/>
              </w:rPr>
            </w:pPr>
            <w:r w:rsidRPr="006D102C">
              <w:rPr>
                <w:rFonts w:cs="Calibri"/>
                <w:color w:val="000000"/>
              </w:rPr>
              <w:t>•</w:t>
            </w:r>
            <w:r w:rsidRPr="006D102C">
              <w:rPr>
                <w:color w:val="000000"/>
              </w:rPr>
              <w:tab/>
            </w:r>
            <w:r w:rsidR="00BB5F84" w:rsidRPr="006D102C">
              <w:rPr>
                <w:color w:val="000000"/>
              </w:rPr>
              <w:t>В шести странах проведены занятия по повышению осведомленности.</w:t>
            </w:r>
          </w:p>
          <w:p w14:paraId="03474173" w14:textId="4F76E781" w:rsidR="00BB5F84" w:rsidRPr="006D102C" w:rsidRDefault="00444A11" w:rsidP="00AA3D2A">
            <w:pPr>
              <w:tabs>
                <w:tab w:val="clear" w:pos="1134"/>
                <w:tab w:val="left" w:pos="346"/>
              </w:tabs>
              <w:ind w:left="346" w:hanging="346"/>
              <w:rPr>
                <w:rFonts w:cstheme="minorHAnsi"/>
                <w:color w:val="000000" w:themeColor="text1"/>
              </w:rPr>
            </w:pPr>
            <w:r w:rsidRPr="006D102C">
              <w:rPr>
                <w:rFonts w:cs="Calibri"/>
                <w:color w:val="000000"/>
              </w:rPr>
              <w:t>•</w:t>
            </w:r>
            <w:r w:rsidRPr="006D102C">
              <w:rPr>
                <w:color w:val="000000"/>
              </w:rPr>
              <w:tab/>
            </w:r>
            <w:r w:rsidR="00BB5F84" w:rsidRPr="006D102C">
              <w:rPr>
                <w:color w:val="000000"/>
              </w:rPr>
              <w:t>Ведется восемь проектов.</w:t>
            </w:r>
          </w:p>
        </w:tc>
      </w:tr>
      <w:tr w:rsidR="00BB5F84" w:rsidRPr="006D102C" w14:paraId="4A03A008" w14:textId="77777777" w:rsidTr="00AA3D2A">
        <w:tc>
          <w:tcPr>
            <w:tcW w:w="11794" w:type="dxa"/>
            <w:gridSpan w:val="2"/>
          </w:tcPr>
          <w:p w14:paraId="10C4894B" w14:textId="77777777" w:rsidR="00BB5F84" w:rsidRPr="006D102C" w:rsidRDefault="00BB5F84" w:rsidP="00AA3D2A">
            <w:pPr>
              <w:rPr>
                <w:rFonts w:cstheme="minorHAnsi"/>
              </w:rPr>
            </w:pPr>
            <w:r w:rsidRPr="006D102C">
              <w:lastRenderedPageBreak/>
              <w:t xml:space="preserve">БРЭ продолжает курировать работу Альянса инноваций и предпринимательства для целей цифрового развития. В Малави МСЭ организовал мероприятие под названием "Проверка проектного решения Центра ускорения МСЭ и услуги по развитию инициатив в области экосистем для сквозной цифровой трансформации". В ходе обсуждения концептуального плана Центра совместно с заинтересованными сторонами, вовлеченными в экосистему, были определены его концепция, задача, модель предоставления услуг, бизнес-стратегия, структура людских ресурсов, партнерские отношения, принципы мобилизации ресурсов и структура управления. Разработка проекта и валидация Центра ускорения МСЭ были также проведены в Танзании, Замбии, Кении, Китае, Доминиканской Республике и Аргентине. Кроме того, в сентябре 2024 года Центр ускорения МСЭ был официально открыт Габоном в сотрудничестве с БРЭ. Работы по запуску всех центров в 2025 году находятся на завершающей стадии. </w:t>
            </w:r>
          </w:p>
          <w:p w14:paraId="5ED3C947" w14:textId="77777777" w:rsidR="00BB5F84" w:rsidRPr="006D102C" w:rsidRDefault="00BB5F84" w:rsidP="00AA3D2A">
            <w:pPr>
              <w:rPr>
                <w:rFonts w:cstheme="minorHAnsi"/>
              </w:rPr>
            </w:pPr>
            <w:r w:rsidRPr="006D102C">
              <w:lastRenderedPageBreak/>
              <w:t xml:space="preserve">В ответ на новые просьбы от стран и по итогам проведенной валидации БРЭ приняло в состав Альянса два новых центра: один – центр Министерства связи и цифровых технологий Южно-Африканской Республики и другой – центр Комиссии по связи, космосу и технологиям Саудовской Аравии. Согласно новому подходу БРЭ, выдача кандидатам статуса новых центров будет осуществляться по мере поступления заявок и будет зависеть от наличия ресурсов и возможностей поддержки их развертывания. </w:t>
            </w:r>
          </w:p>
          <w:p w14:paraId="7DDD8A1F" w14:textId="77777777" w:rsidR="00BB5F84" w:rsidRPr="006D102C" w:rsidRDefault="00BB5F84" w:rsidP="00AA3D2A">
            <w:pPr>
              <w:rPr>
                <w:rFonts w:cstheme="minorHAnsi"/>
              </w:rPr>
            </w:pPr>
            <w:r w:rsidRPr="006D102C">
              <w:t xml:space="preserve">С полной информацией о работе Альянса можно ознакомиться в </w:t>
            </w:r>
            <w:hyperlink r:id="rId33" w:history="1">
              <w:r w:rsidRPr="006D102C">
                <w:rPr>
                  <w:rStyle w:val="Hyperlink"/>
                </w:rPr>
                <w:t>отчете для КГРЭ</w:t>
              </w:r>
            </w:hyperlink>
            <w:r w:rsidRPr="006D102C">
              <w:t>.</w:t>
            </w:r>
          </w:p>
          <w:p w14:paraId="3708C597" w14:textId="77777777" w:rsidR="00BB5F84" w:rsidRPr="006D102C" w:rsidRDefault="00BB5F84" w:rsidP="00AA3D2A">
            <w:pPr>
              <w:rPr>
                <w:rFonts w:cstheme="minorHAnsi"/>
              </w:rPr>
            </w:pPr>
            <w:r w:rsidRPr="006D102C">
              <w:t>Проект "Ускоритель региональных инициатив", финансируемый из средств Фонда сотрудничества МСЭ</w:t>
            </w:r>
            <w:r w:rsidRPr="006D102C">
              <w:rPr>
                <w:rFonts w:cstheme="minorHAnsi"/>
              </w:rPr>
              <w:t>–</w:t>
            </w:r>
            <w:r w:rsidRPr="006D102C">
              <w:t>MIIT Китая, стартовал в Чунцине, Китай, во время ежегодной конференции МСЭ</w:t>
            </w:r>
            <w:r w:rsidRPr="006D102C">
              <w:rPr>
                <w:rFonts w:cstheme="minorHAnsi"/>
              </w:rPr>
              <w:t>–</w:t>
            </w:r>
            <w:r w:rsidRPr="006D102C">
              <w:t>MIIT. Цель этой пилотной инициативы – продемонстрировать новые возможности для более эффективной реализации региональных приоритетов за счет придания импульса формированию идей и технической проработке региональных инициатив (РИ) и концепций проектов. Первая группа участников проекта, в состав которой вошло 45 участников из пяти стран Западных Балкан, встретилась 3</w:t>
            </w:r>
            <w:r w:rsidRPr="006D102C">
              <w:rPr>
                <w:rFonts w:cstheme="minorHAnsi"/>
              </w:rPr>
              <w:t>–</w:t>
            </w:r>
            <w:r w:rsidRPr="006D102C">
              <w:t xml:space="preserve">5 февраля 2025 года в Подгорице, Черногория, в рамках Региональной инициативы EUR2. Результатом стала разработка концепций пяти проектов на общую сумму 20 млн. долларов США. Следующая группа </w:t>
            </w:r>
            <w:r w:rsidRPr="006D102C">
              <w:rPr>
                <w:rFonts w:cstheme="minorHAnsi"/>
              </w:rPr>
              <w:t>–</w:t>
            </w:r>
            <w:r w:rsidRPr="006D102C">
              <w:t xml:space="preserve"> из Азиатско-Тихоокеанского региона </w:t>
            </w:r>
            <w:r w:rsidRPr="006D102C">
              <w:rPr>
                <w:rFonts w:cstheme="minorHAnsi"/>
              </w:rPr>
              <w:t>–</w:t>
            </w:r>
            <w:r w:rsidRPr="006D102C">
              <w:t xml:space="preserve"> встретится 27 апреля, и БРЭ планирует дополнительно собрать группы из развивающихся стран.</w:t>
            </w:r>
          </w:p>
          <w:p w14:paraId="66911549" w14:textId="77777777" w:rsidR="00BB5F84" w:rsidRPr="006D102C" w:rsidRDefault="00BB5F84" w:rsidP="00AA3D2A">
            <w:pPr>
              <w:rPr>
                <w:rFonts w:cstheme="minorHAnsi"/>
              </w:rPr>
            </w:pPr>
            <w:r w:rsidRPr="006D102C">
              <w:t xml:space="preserve">БРЭ также оказывает поддержку правительству Южно-Африканской Республики в период ее председательства в Группе двадцати по такому приоритетному направлению работы, как экосистемы цифровых инноваций, и участвует в разработке двух отчетов о прогнозах </w:t>
            </w:r>
            <w:r w:rsidRPr="006D102C">
              <w:rPr>
                <w:rFonts w:cstheme="minorHAnsi"/>
              </w:rPr>
              <w:t>–</w:t>
            </w:r>
            <w:r w:rsidRPr="006D102C">
              <w:t xml:space="preserve"> "Формирование будущего МСП" и "Формирование африканской экосистемы венчурного капитала для справедливого финансирования". </w:t>
            </w:r>
          </w:p>
          <w:p w14:paraId="66EA6CC8" w14:textId="77777777" w:rsidR="00BB5F84" w:rsidRPr="006D102C" w:rsidRDefault="00BB5F84" w:rsidP="00AA3D2A">
            <w:pPr>
              <w:rPr>
                <w:rFonts w:cstheme="minorHAnsi"/>
              </w:rPr>
            </w:pPr>
            <w:r w:rsidRPr="006D102C">
              <w:t>МСЭ в партнерстве с ЮНФПА в Бенине успешно разработали и официально утвердили дорожную карту реализации и последующие шаги для проекта "Разработка и развитие устойчивых экосистем цифровых инноваций для ускорения способности к восстановлению и расширения прав и возможностей молодежи в Бенине с использованием эффективного гендерного подхода". Был утвержден комплект материалов по стандартным рабочим процедурам.</w:t>
            </w:r>
          </w:p>
        </w:tc>
        <w:tc>
          <w:tcPr>
            <w:tcW w:w="3085" w:type="dxa"/>
            <w:tcBorders>
              <w:bottom w:val="dotted" w:sz="4" w:space="0" w:color="0070C0"/>
            </w:tcBorders>
            <w:shd w:val="clear" w:color="auto" w:fill="auto"/>
          </w:tcPr>
          <w:p w14:paraId="4A5C17A3" w14:textId="77777777" w:rsidR="00BB5F84" w:rsidRPr="006D102C" w:rsidRDefault="00BB5F84" w:rsidP="00AA3D2A">
            <w:pPr>
              <w:overflowPunct/>
              <w:autoSpaceDE/>
              <w:autoSpaceDN/>
              <w:adjustRightInd/>
              <w:spacing w:after="120"/>
              <w:textAlignment w:val="auto"/>
              <w:rPr>
                <w:rFonts w:cstheme="minorHAnsi"/>
                <w:b/>
                <w:bCs/>
                <w:color w:val="0070C0"/>
              </w:rPr>
            </w:pPr>
            <w:r w:rsidRPr="006D102C">
              <w:rPr>
                <w:rFonts w:cstheme="minorHAnsi"/>
                <w:b/>
                <w:bCs/>
                <w:color w:val="0070C0"/>
              </w:rPr>
              <w:lastRenderedPageBreak/>
              <w:t>Проекты и инициативы по ускорению цифровых инноваций</w:t>
            </w:r>
          </w:p>
        </w:tc>
      </w:tr>
      <w:tr w:rsidR="00BB5F84" w:rsidRPr="006D102C" w14:paraId="7F57E065" w14:textId="77777777" w:rsidTr="00AA3D2A">
        <w:tc>
          <w:tcPr>
            <w:tcW w:w="14879" w:type="dxa"/>
            <w:gridSpan w:val="3"/>
            <w:shd w:val="clear" w:color="auto" w:fill="E5DFEC" w:themeFill="accent4" w:themeFillTint="33"/>
          </w:tcPr>
          <w:p w14:paraId="081F2841" w14:textId="77777777" w:rsidR="00BB5F84" w:rsidRPr="006D102C" w:rsidRDefault="00BB5F84" w:rsidP="00AA3D2A">
            <w:pPr>
              <w:spacing w:after="120"/>
              <w:rPr>
                <w:rFonts w:cstheme="minorHAnsi"/>
                <w:b/>
                <w:bCs/>
                <w:color w:val="1F497D" w:themeColor="text2"/>
              </w:rPr>
            </w:pPr>
            <w:r w:rsidRPr="006D102C">
              <w:rPr>
                <w:rFonts w:cstheme="minorHAnsi"/>
                <w:b/>
                <w:bCs/>
                <w:color w:val="1F497D" w:themeColor="text2"/>
              </w:rPr>
              <w:t>Экосистема цифровых инноваций</w:t>
            </w:r>
          </w:p>
          <w:p w14:paraId="2E57F4D2" w14:textId="77777777" w:rsidR="00BB5F84" w:rsidRPr="006D102C" w:rsidRDefault="00BB5F84" w:rsidP="00AA3D2A">
            <w:pPr>
              <w:keepNext/>
              <w:spacing w:after="120"/>
              <w:rPr>
                <w:rFonts w:eastAsiaTheme="minorEastAsia" w:cstheme="minorHAnsi"/>
                <w:i/>
                <w:iCs/>
                <w:color w:val="000000" w:themeColor="text1"/>
              </w:rPr>
            </w:pPr>
            <w:r w:rsidRPr="006D102C">
              <w:rPr>
                <w:b/>
                <w:bCs/>
                <w:i/>
                <w:iCs/>
                <w:color w:val="000000"/>
              </w:rPr>
              <w:t>Конечный результат</w:t>
            </w:r>
            <w:r w:rsidRPr="006D102C">
              <w:rPr>
                <w:i/>
                <w:iCs/>
                <w:color w:val="000000"/>
              </w:rPr>
              <w:t>: укрепление человеческого и институционального потенциала членов МСЭ в области электросвязи/ИКТ для содействия цифровой трансформации</w:t>
            </w:r>
          </w:p>
        </w:tc>
      </w:tr>
      <w:tr w:rsidR="00BB5F84" w:rsidRPr="006D102C" w14:paraId="798B5982" w14:textId="77777777" w:rsidTr="00AA3D2A">
        <w:tc>
          <w:tcPr>
            <w:tcW w:w="11794" w:type="dxa"/>
            <w:gridSpan w:val="2"/>
          </w:tcPr>
          <w:p w14:paraId="6948872A" w14:textId="4197575A" w:rsidR="00BB5F84" w:rsidRPr="00705B18" w:rsidRDefault="00BB5F84" w:rsidP="00AA3D2A">
            <w:pPr>
              <w:rPr>
                <w:rFonts w:cstheme="minorHAnsi"/>
                <w:lang w:val="en-GB"/>
              </w:rPr>
            </w:pPr>
            <w:r w:rsidRPr="006D102C">
              <w:t>БРЭ продолжает наращивать человеческий и институциональный потенциал Государств-Членов для внедрения инноваций и поддержки цифровой трансформации.</w:t>
            </w:r>
          </w:p>
          <w:p w14:paraId="1E76357E" w14:textId="7A7A518C" w:rsidR="00BB5F84" w:rsidRPr="00705B18" w:rsidRDefault="00BB5F84" w:rsidP="00AA3D2A">
            <w:pPr>
              <w:rPr>
                <w:rFonts w:cstheme="minorHAnsi"/>
              </w:rPr>
            </w:pPr>
            <w:r w:rsidRPr="006D102C">
              <w:t>Особое внимание уделяется развитию потенциала молодежи в рамках совместных проектов и при поддержке Академических организаций – Членов МСЭ и других заинтересованных сторон</w:t>
            </w:r>
            <w:r w:rsidRPr="00705B18">
              <w:t>.</w:t>
            </w:r>
          </w:p>
          <w:p w14:paraId="37EEF771" w14:textId="77777777" w:rsidR="00BB5F84" w:rsidRPr="006D102C" w:rsidRDefault="00BB5F84" w:rsidP="00AA3D2A">
            <w:pPr>
              <w:rPr>
                <w:rFonts w:cstheme="minorHAnsi"/>
              </w:rPr>
            </w:pPr>
            <w:r w:rsidRPr="006D102C">
              <w:lastRenderedPageBreak/>
              <w:t>В</w:t>
            </w:r>
            <w:r w:rsidRPr="006D102C">
              <w:rPr>
                <w:b/>
                <w:bCs/>
              </w:rPr>
              <w:t xml:space="preserve"> СНГ</w:t>
            </w:r>
            <w:r w:rsidRPr="006D102C">
              <w:t xml:space="preserve"> в мае 2024 года МСЭ организовал посвященный созданию стартапов "</w:t>
            </w:r>
            <w:r w:rsidRPr="006D102C">
              <w:rPr>
                <w:b/>
                <w:bCs/>
              </w:rPr>
              <w:t>идеатон</w:t>
            </w:r>
            <w:r w:rsidRPr="006D102C">
              <w:t>"</w:t>
            </w:r>
            <w:r w:rsidRPr="006D102C">
              <w:rPr>
                <w:b/>
                <w:bCs/>
              </w:rPr>
              <w:t xml:space="preserve"> для студентов и молодых специалистов, в Худжанде, Таджикистан</w:t>
            </w:r>
            <w:r w:rsidRPr="006D102C">
              <w:t>. В течение двух дней участники проходили интенсивное обучение по генерации идей, построению бизнес-моделей, подготовке убедительных презентаций, налаживанию взаимодействия с инвесторами и установлению контактов с целевой аудиторией. Эксперты из Казахстана, Узбекистана и Таджикистана поделились наблюдениями об экосистемах стартапов в своих странах, рассказав о возможностях для новых предприятий, находящихся на разных стадиях формирования − от оформления концепции до наличия "минимально жизнеспособного продукта" (MVP) и первых пользователей. Во второй день участники представили свои идеи в ходе презентационной сессии. Шесть команд презентовали свои бизнес-концепции судейской коллегии и другим участникам. Всего в мероприятии приняли участие более 30 молодых новаторов из Таджикистана.</w:t>
            </w:r>
          </w:p>
          <w:p w14:paraId="65978DA1" w14:textId="65FEFC52" w:rsidR="00BB5F84" w:rsidRPr="00705B18" w:rsidRDefault="00BB5F84" w:rsidP="00AA3D2A">
            <w:pPr>
              <w:rPr>
                <w:rFonts w:cstheme="minorHAnsi"/>
                <w:lang w:val="en-GB"/>
              </w:rPr>
            </w:pPr>
            <w:r w:rsidRPr="006D102C">
              <w:rPr>
                <w:b/>
                <w:bCs/>
              </w:rPr>
              <w:t>В октябре</w:t>
            </w:r>
            <w:r w:rsidR="00B11C41" w:rsidRPr="006D102C">
              <w:rPr>
                <w:b/>
                <w:bCs/>
              </w:rPr>
              <w:t>−</w:t>
            </w:r>
            <w:r w:rsidRPr="006D102C">
              <w:rPr>
                <w:b/>
                <w:bCs/>
              </w:rPr>
              <w:t xml:space="preserve">ноябре 2024 года в Беларуси был проведен хакатон для студентов технических вузов, посвященный созданию стартапов, ориентированных на развитие </w:t>
            </w:r>
            <w:r w:rsidRPr="006D102C">
              <w:t>"</w:t>
            </w:r>
            <w:r w:rsidRPr="006D102C">
              <w:rPr>
                <w:b/>
                <w:bCs/>
              </w:rPr>
              <w:t>умных</w:t>
            </w:r>
            <w:r w:rsidRPr="006D102C">
              <w:t>"</w:t>
            </w:r>
            <w:r w:rsidRPr="006D102C">
              <w:rPr>
                <w:b/>
                <w:bCs/>
              </w:rPr>
              <w:t xml:space="preserve"> городов</w:t>
            </w:r>
            <w:r w:rsidRPr="006D102C">
              <w:t xml:space="preserve">. </w:t>
            </w:r>
            <w:r w:rsidRPr="006D102C">
              <w:rPr>
                <w:b/>
                <w:bCs/>
              </w:rPr>
              <w:t>Программа двухмесячного хакатона</w:t>
            </w:r>
            <w:r w:rsidRPr="006D102C">
              <w:t xml:space="preserve"> включала в себя тренинги с экспертами и индивидуальные консультации с наставниками и завершилась презентационной сессией, на которой участники представили свои идеи для стартапов. Всего в нем приняли участие 107 студентов из шести белорусских и одного российского университета.</w:t>
            </w:r>
          </w:p>
          <w:p w14:paraId="022142B1" w14:textId="20498A76" w:rsidR="00BB5F84" w:rsidRPr="00705B18" w:rsidRDefault="00BB5F84" w:rsidP="00AA3D2A">
            <w:pPr>
              <w:rPr>
                <w:rFonts w:eastAsiaTheme="minorEastAsia" w:cstheme="minorHAnsi"/>
                <w:color w:val="212529"/>
                <w:lang w:val="en-GB"/>
              </w:rPr>
            </w:pPr>
            <w:r w:rsidRPr="006D102C">
              <w:t>В 2025 году аналогичные программы были организованы совместно с Академическими организациями – Членами МСЭ:</w:t>
            </w:r>
          </w:p>
          <w:p w14:paraId="510834AD" w14:textId="4368682B" w:rsidR="00BB5F84" w:rsidRPr="006D102C" w:rsidRDefault="00444A11" w:rsidP="00AA3D2A">
            <w:pPr>
              <w:pStyle w:val="enumlev1"/>
              <w:rPr>
                <w:rFonts w:eastAsiaTheme="minorEastAsia" w:cstheme="minorHAnsi"/>
                <w:color w:val="212529"/>
              </w:rPr>
            </w:pPr>
            <w:r w:rsidRPr="006D102C">
              <w:rPr>
                <w:rFonts w:cs="Calibri"/>
              </w:rPr>
              <w:t>•</w:t>
            </w:r>
            <w:r w:rsidRPr="006D102C">
              <w:rPr>
                <w:rFonts w:cs="Calibri"/>
              </w:rPr>
              <w:tab/>
            </w:r>
            <w:r w:rsidR="00BB5F84" w:rsidRPr="006D102C">
              <w:t>Более 60 молодых людей из Костанайского инженерно-экономического университета приняли участие в хакатоне "AI Challenge", 26 из которых вышли в финал, представив собственные решения на основе ИИ и продемонстрировав их работу.</w:t>
            </w:r>
          </w:p>
          <w:p w14:paraId="42D9A96A" w14:textId="405192A8" w:rsidR="00BB5F84" w:rsidRPr="00705B18" w:rsidRDefault="00444A11" w:rsidP="00AA3D2A">
            <w:pPr>
              <w:pStyle w:val="enumlev1"/>
              <w:rPr>
                <w:rFonts w:cstheme="minorHAnsi"/>
                <w:lang w:val="en-GB"/>
              </w:rPr>
            </w:pPr>
            <w:r w:rsidRPr="006D102C">
              <w:rPr>
                <w:rFonts w:cs="Calibri"/>
              </w:rPr>
              <w:t>•</w:t>
            </w:r>
            <w:r w:rsidRPr="006D102C">
              <w:rPr>
                <w:rFonts w:cs="Calibri"/>
              </w:rPr>
              <w:tab/>
            </w:r>
            <w:r w:rsidR="00BB5F84" w:rsidRPr="006D102C">
              <w:t>Кыргызский государственный технический университет совместно с властями Баткенской области и Баткенским государственным университетом привлек более 100 участников к хакатону "BATKEN 4.0: Цифровые решения для Баткенской области".</w:t>
            </w:r>
          </w:p>
          <w:p w14:paraId="33452CD0" w14:textId="77777777" w:rsidR="00BB5F84" w:rsidRPr="006D102C" w:rsidRDefault="00BB5F84" w:rsidP="00AA3D2A">
            <w:pPr>
              <w:rPr>
                <w:rFonts w:cstheme="minorHAnsi"/>
              </w:rPr>
            </w:pPr>
            <w:r w:rsidRPr="006D102C">
              <w:t>В</w:t>
            </w:r>
            <w:r w:rsidRPr="006D102C">
              <w:rPr>
                <w:b/>
                <w:bCs/>
              </w:rPr>
              <w:t xml:space="preserve"> Африке</w:t>
            </w:r>
            <w:r w:rsidRPr="006D102C">
              <w:t xml:space="preserve"> БРЭ участвовало в проведении 4-го ежегодного конкурса Африканского союза электросвязи, ориентированного на выявление и поддержку молодых африканских новаторов, а также учреждений. Его цель – выработка решений и создание благоприятной среды для реагирования на важнейшие вызовы на всем континенте. В этом году особое внимание было уделено новаторам с решениями на основе ИИ.</w:t>
            </w:r>
          </w:p>
          <w:p w14:paraId="7FD4F137" w14:textId="77777777" w:rsidR="00BB5F84" w:rsidRPr="006D102C" w:rsidRDefault="00BB5F84" w:rsidP="00AA3D2A">
            <w:pPr>
              <w:rPr>
                <w:rFonts w:cstheme="minorHAnsi"/>
              </w:rPr>
            </w:pPr>
            <w:r w:rsidRPr="006D102C">
              <w:t>В</w:t>
            </w:r>
            <w:r w:rsidRPr="006D102C">
              <w:rPr>
                <w:b/>
                <w:bCs/>
              </w:rPr>
              <w:t xml:space="preserve"> Азиатско-Тихоокеанском регионе</w:t>
            </w:r>
            <w:r w:rsidRPr="006D102C">
              <w:t xml:space="preserve"> БРЭ организовало консультационное собрание с представителями Государств-Членов (Индии, Непала, Бутана, Бангладеш, Мальдивских Островов) и другими заинтересованными сторонами для обсуждения своей работы и будущей деятельности. Участники собрания обсудили возможности для сотрудничества в области инноваций, а сделанные по итогам встречи выводы послужили основой для планирования предстоящих мероприятий Инновационного центра в Индии. МСЭ и его партнеры рассмотрели новые способы стимулирования цифровых инноваций в регионе.</w:t>
            </w:r>
          </w:p>
        </w:tc>
        <w:tc>
          <w:tcPr>
            <w:tcW w:w="3085" w:type="dxa"/>
            <w:tcBorders>
              <w:bottom w:val="dotted" w:sz="4" w:space="0" w:color="0070C0"/>
            </w:tcBorders>
            <w:shd w:val="clear" w:color="auto" w:fill="auto"/>
          </w:tcPr>
          <w:p w14:paraId="2736BA07" w14:textId="77777777" w:rsidR="00BB5F84" w:rsidRPr="006D102C" w:rsidRDefault="00BB5F84" w:rsidP="00AA3D2A">
            <w:pPr>
              <w:overflowPunct/>
              <w:autoSpaceDE/>
              <w:autoSpaceDN/>
              <w:adjustRightInd/>
              <w:spacing w:after="120"/>
              <w:textAlignment w:val="auto"/>
              <w:rPr>
                <w:rFonts w:cstheme="minorHAnsi"/>
                <w:b/>
                <w:bCs/>
                <w:color w:val="0070C0"/>
              </w:rPr>
            </w:pPr>
            <w:r w:rsidRPr="006D102C">
              <w:rPr>
                <w:rFonts w:cstheme="minorHAnsi"/>
                <w:b/>
                <w:bCs/>
                <w:color w:val="0070C0"/>
              </w:rPr>
              <w:lastRenderedPageBreak/>
              <w:t>Поддержка экосистемы стартапов</w:t>
            </w:r>
          </w:p>
        </w:tc>
      </w:tr>
      <w:tr w:rsidR="00BB5F84" w:rsidRPr="006D102C" w14:paraId="308BFF75" w14:textId="77777777" w:rsidTr="00AA3D2A">
        <w:tc>
          <w:tcPr>
            <w:tcW w:w="11794" w:type="dxa"/>
            <w:gridSpan w:val="2"/>
          </w:tcPr>
          <w:p w14:paraId="71F5CE8E" w14:textId="77777777" w:rsidR="00BB5F84" w:rsidRPr="006D102C" w:rsidRDefault="00BB5F84" w:rsidP="00AA3D2A">
            <w:pPr>
              <w:rPr>
                <w:rFonts w:cstheme="minorHAnsi"/>
              </w:rPr>
            </w:pPr>
            <w:r w:rsidRPr="006D102C">
              <w:lastRenderedPageBreak/>
              <w:t>С 23 по 30 октября в Валлетте, Мальта, прошел Всемирный форум по инновациям (GIF) 2024 года. Форум был посвящен теме "Формирование нашего цифрового будущего в интересах процветания и благополучия для всех" и обеспечил возможности для обмена знаниями, налаживания контактов и продвижения инноваций. Он предоставил ценную платформу для выработки различных способов преодоления разрыва в цифровых инновациях, в том числе за счет обмена знаниями о мерах политического стимулирования и расширения прав и возможностей заинтересованных сторон. Форум открыл Президент Мальты, а в числе его участников были представители различных организаций и государств, в том числе высокопоставленные должностные лица правительств разных стран.</w:t>
            </w:r>
          </w:p>
          <w:p w14:paraId="7E020103" w14:textId="77777777" w:rsidR="00BB5F84" w:rsidRPr="006D102C" w:rsidRDefault="00BB5F84" w:rsidP="00AA3D2A">
            <w:pPr>
              <w:rPr>
                <w:rFonts w:cstheme="minorHAnsi"/>
              </w:rPr>
            </w:pPr>
            <w:r w:rsidRPr="006D102C">
              <w:t xml:space="preserve">БРЭ продолжило разработку учебной программы по развитию экосистем инноваций и включило в нее два новых курса продвинутого уровня </w:t>
            </w:r>
            <w:r w:rsidRPr="006D102C">
              <w:rPr>
                <w:rFonts w:cstheme="minorHAnsi"/>
              </w:rPr>
              <w:t>–</w:t>
            </w:r>
            <w:r w:rsidRPr="006D102C">
              <w:t xml:space="preserve"> "Стратегическое прогнозирование" и "Разработка инициатив в экосистемах".</w:t>
            </w:r>
          </w:p>
          <w:p w14:paraId="2DEDD1CB" w14:textId="77777777" w:rsidR="00BB5F84" w:rsidRPr="006D102C" w:rsidRDefault="00BB5F84" w:rsidP="00AA3D2A">
            <w:pPr>
              <w:rPr>
                <w:rFonts w:cstheme="minorHAnsi"/>
              </w:rPr>
            </w:pPr>
            <w:r w:rsidRPr="006D102C">
              <w:t xml:space="preserve">БРЭ провело региональный учебный курс в центре цифровых инноваций I-CoDI с использованием учебных пособий по стратегическому прогнозированию Альянса инноваций и предпринимательства для целей цифрового развития и предоставило экспериментальную модель, на основе которой региональные приоритеты могут быть определены более точно. Об этом мероприятии в своем вкладе рассказали ОАЭ на Региональном форуме по вопросам развития для арабских стран. </w:t>
            </w:r>
          </w:p>
          <w:p w14:paraId="17961C69" w14:textId="77777777" w:rsidR="00BB5F84" w:rsidRPr="006D102C" w:rsidRDefault="00BB5F84" w:rsidP="00AA3D2A">
            <w:pPr>
              <w:rPr>
                <w:rFonts w:cstheme="minorHAnsi"/>
              </w:rPr>
            </w:pPr>
            <w:r w:rsidRPr="006D102C">
              <w:t>БРЭ поддержало внедрение продуктов и услуг Кафе инноваций на Фиджи, а региональное отделение возглавило усилия по совместной разработке инновационных продуктов и услуг вместе с Государствами-Членами. Кафе инноваций МСЭ – это динамичная платформа, предназначенная для содействия совместной разработке продуктов и услуг, совместному решению проблем и обмену знаниями между различными заинтересованными сторонами в экосистеме цифровых инноваций. В рамках обязательств МСЭ в области инноваций Кафе обеспечивает структурированную и стимулирующую участие среду, в которой представители директивных органов, лидеры отрасли, представители академических организаций и предприниматели могут совместно участвовать в разработке и применении подходов, ориентированных на человека.</w:t>
            </w:r>
          </w:p>
        </w:tc>
        <w:tc>
          <w:tcPr>
            <w:tcW w:w="3085" w:type="dxa"/>
            <w:tcBorders>
              <w:bottom w:val="dotted" w:sz="4" w:space="0" w:color="0070C0"/>
            </w:tcBorders>
            <w:shd w:val="clear" w:color="auto" w:fill="auto"/>
          </w:tcPr>
          <w:p w14:paraId="74CC9C71" w14:textId="77777777" w:rsidR="00BB5F84" w:rsidRPr="006D102C" w:rsidRDefault="00BB5F84" w:rsidP="00AA3D2A">
            <w:pPr>
              <w:overflowPunct/>
              <w:autoSpaceDE/>
              <w:autoSpaceDN/>
              <w:adjustRightInd/>
              <w:spacing w:after="120"/>
              <w:textAlignment w:val="auto"/>
              <w:rPr>
                <w:rFonts w:cstheme="minorHAnsi"/>
                <w:b/>
                <w:bCs/>
                <w:color w:val="0070C0"/>
              </w:rPr>
            </w:pPr>
            <w:r w:rsidRPr="006D102C">
              <w:rPr>
                <w:rFonts w:cstheme="minorHAnsi"/>
                <w:b/>
                <w:bCs/>
                <w:color w:val="0070C0"/>
              </w:rPr>
              <w:t>Всемирный форум по инновациям и развитие инновационного потенциала</w:t>
            </w:r>
          </w:p>
          <w:p w14:paraId="689A9302" w14:textId="77777777" w:rsidR="00BB5F84" w:rsidRPr="006D102C" w:rsidRDefault="00BB5F84" w:rsidP="00AA3D2A">
            <w:pPr>
              <w:rPr>
                <w:rFonts w:cstheme="minorHAnsi"/>
              </w:rPr>
            </w:pPr>
            <w:r w:rsidRPr="006D102C">
              <w:rPr>
                <w:b/>
                <w:bCs/>
              </w:rPr>
              <w:t>Европа</w:t>
            </w:r>
            <w:r w:rsidRPr="006D102C">
              <w:t>: Мальта</w:t>
            </w:r>
          </w:p>
          <w:p w14:paraId="0D06AC97" w14:textId="77777777" w:rsidR="00BB5F84" w:rsidRPr="006D102C" w:rsidRDefault="00BB5F84" w:rsidP="00AA3D2A">
            <w:pPr>
              <w:rPr>
                <w:rFonts w:cstheme="minorHAnsi"/>
              </w:rPr>
            </w:pPr>
            <w:r w:rsidRPr="006D102C">
              <w:rPr>
                <w:b/>
                <w:bCs/>
              </w:rPr>
              <w:t>АТР</w:t>
            </w:r>
            <w:r w:rsidRPr="006D102C">
              <w:t>: Фиджи</w:t>
            </w:r>
          </w:p>
          <w:p w14:paraId="5417CFCE" w14:textId="77777777" w:rsidR="00BB5F84" w:rsidRPr="006D102C" w:rsidRDefault="00BB5F84" w:rsidP="00AA3D2A">
            <w:pPr>
              <w:rPr>
                <w:rFonts w:cstheme="minorHAnsi"/>
              </w:rPr>
            </w:pPr>
            <w:r w:rsidRPr="006D102C">
              <w:rPr>
                <w:b/>
                <w:bCs/>
              </w:rPr>
              <w:t>Арабские страны</w:t>
            </w:r>
            <w:r w:rsidRPr="006D102C">
              <w:t>: Дубай</w:t>
            </w:r>
          </w:p>
        </w:tc>
      </w:tr>
      <w:tr w:rsidR="00BB5F84" w:rsidRPr="006D102C" w14:paraId="5B51B382" w14:textId="77777777" w:rsidTr="00AA3D2A">
        <w:tc>
          <w:tcPr>
            <w:tcW w:w="14879" w:type="dxa"/>
            <w:gridSpan w:val="3"/>
            <w:shd w:val="clear" w:color="auto" w:fill="E5DFEC" w:themeFill="accent4" w:themeFillTint="33"/>
          </w:tcPr>
          <w:p w14:paraId="05D3FB62" w14:textId="77777777" w:rsidR="00BB5F84" w:rsidRPr="006D102C" w:rsidRDefault="00BB5F84" w:rsidP="00B11C41">
            <w:pPr>
              <w:keepNext/>
              <w:spacing w:after="120"/>
              <w:rPr>
                <w:rFonts w:cstheme="minorHAnsi"/>
                <w:b/>
                <w:bCs/>
                <w:color w:val="1F497D" w:themeColor="text2"/>
              </w:rPr>
            </w:pPr>
            <w:r w:rsidRPr="006D102C">
              <w:rPr>
                <w:rFonts w:cstheme="minorHAnsi"/>
                <w:b/>
                <w:bCs/>
                <w:color w:val="1F497D" w:themeColor="text2"/>
              </w:rPr>
              <w:lastRenderedPageBreak/>
              <w:t>Цифровые услуги и приложения</w:t>
            </w:r>
          </w:p>
          <w:p w14:paraId="305F83D8" w14:textId="77777777" w:rsidR="00BB5F84" w:rsidRPr="006D102C" w:rsidRDefault="00BB5F84" w:rsidP="00B11C41">
            <w:pPr>
              <w:keepNext/>
              <w:spacing w:after="120"/>
              <w:rPr>
                <w:rFonts w:cstheme="minorHAnsi"/>
                <w:b/>
                <w:bCs/>
                <w:i/>
                <w:iCs/>
              </w:rPr>
            </w:pPr>
            <w:r w:rsidRPr="006D102C">
              <w:rPr>
                <w:b/>
                <w:bCs/>
                <w:i/>
                <w:iCs/>
                <w:color w:val="000000"/>
              </w:rPr>
              <w:t>Конечный результат</w:t>
            </w:r>
            <w:r w:rsidRPr="006D102C">
              <w:rPr>
                <w:i/>
                <w:iCs/>
                <w:color w:val="000000"/>
              </w:rPr>
              <w:t>: повышение способности членов МСЭ ускорять цифровую трансформацию и устойчивое социально-экономическое развитие путем использования и применения новых и появляющихся технологий и услуг электросвязи/ИКТ</w:t>
            </w:r>
          </w:p>
        </w:tc>
      </w:tr>
      <w:tr w:rsidR="00BB5F84" w:rsidRPr="006D102C" w14:paraId="3A7787A5" w14:textId="77777777" w:rsidTr="00AA3D2A">
        <w:trPr>
          <w:trHeight w:val="3633"/>
        </w:trPr>
        <w:tc>
          <w:tcPr>
            <w:tcW w:w="11794" w:type="dxa"/>
            <w:gridSpan w:val="2"/>
          </w:tcPr>
          <w:p w14:paraId="68606B59" w14:textId="1473FCF1" w:rsidR="00BB5F84" w:rsidRPr="00705B18" w:rsidRDefault="00BB5F84" w:rsidP="00AA3D2A">
            <w:pPr>
              <w:rPr>
                <w:rFonts w:eastAsiaTheme="minorEastAsia" w:cstheme="minorHAnsi"/>
                <w:lang w:val="en-GB"/>
              </w:rPr>
            </w:pPr>
            <w:r w:rsidRPr="006D102C">
              <w:t>БРЭ продолжило оказывать поддержку Государствам-Членам в разработке и продвижении решений с использованием цифровых технологий для удовлетворения потребностей в области устойчивого развития:</w:t>
            </w:r>
          </w:p>
          <w:p w14:paraId="56032F77" w14:textId="29CC5310" w:rsidR="00BB5F84" w:rsidRPr="006D102C" w:rsidRDefault="00444A11" w:rsidP="00AA3D2A">
            <w:pPr>
              <w:pStyle w:val="enumlev1"/>
              <w:rPr>
                <w:rFonts w:eastAsiaTheme="minorEastAsia" w:cstheme="minorHAnsi"/>
              </w:rPr>
            </w:pPr>
            <w:r w:rsidRPr="006D102C">
              <w:rPr>
                <w:rFonts w:cs="Calibri"/>
              </w:rPr>
              <w:t>•</w:t>
            </w:r>
            <w:r w:rsidRPr="006D102C">
              <w:tab/>
            </w:r>
            <w:r w:rsidR="00BB5F84" w:rsidRPr="006D102C">
              <w:t xml:space="preserve">Что касается </w:t>
            </w:r>
            <w:r w:rsidR="00BB5F84" w:rsidRPr="006D102C">
              <w:rPr>
                <w:b/>
                <w:bCs/>
              </w:rPr>
              <w:t>арабских государств</w:t>
            </w:r>
            <w:r w:rsidR="00BB5F84" w:rsidRPr="006D102C">
              <w:t>, то 10–11 декабря 2024 года в "</w:t>
            </w:r>
            <w:r w:rsidR="00BB5F84" w:rsidRPr="006D102C">
              <w:rPr>
                <w:rFonts w:cstheme="minorHAnsi"/>
              </w:rPr>
              <w:t>«</w:t>
            </w:r>
            <w:r w:rsidR="00BB5F84" w:rsidRPr="006D102C">
              <w:t>Умной</w:t>
            </w:r>
            <w:r w:rsidR="00BB5F84" w:rsidRPr="006D102C">
              <w:rPr>
                <w:rFonts w:cstheme="minorHAnsi"/>
              </w:rPr>
              <w:t>»</w:t>
            </w:r>
            <w:r w:rsidR="00BB5F84" w:rsidRPr="006D102C">
              <w:t xml:space="preserve"> деревне" в Египте был проведен национальный форум "5G и последующие системы: содействие развитию "умных" устойчивых городов и сообществ", на котором собрались мировые эксперты, сотрудники директивных органов, представители ведущих компаний отрасли и другие заинтересованные стороны, с тем чтобы договориться о конкретных практических действиях. Участники форума обсудили вопросы использования преобразующего потенциала 5G и появляющихся технологий в поддержку "умного" и устойчивого развития городов с целью заложить основу для сотрудничества и инноваций в интересах соединенного будущего.</w:t>
            </w:r>
          </w:p>
          <w:p w14:paraId="5340C4EA" w14:textId="033200C5" w:rsidR="00BB5F84" w:rsidRPr="006D102C" w:rsidRDefault="00444A11" w:rsidP="00AA3D2A">
            <w:pPr>
              <w:pStyle w:val="enumlev1"/>
              <w:rPr>
                <w:rFonts w:cstheme="minorHAnsi"/>
              </w:rPr>
            </w:pPr>
            <w:r w:rsidRPr="006D102C">
              <w:tab/>
            </w:r>
            <w:r w:rsidR="00BB5F84" w:rsidRPr="006D102C">
              <w:t>В Иордании в партнерстве с Министерством цифровой экономики и предпринимательства и ЭСКЗА ООН было подготовлено исследование по оценке благоприятной среды для иммерсивных технологий. Задача исследования заключалась в определении сильных и слабых сторон, возможностей и угроз для экосистемы с точки зрения создания новых рабочих мест в этом перспективном секторе и представлении рекомендаций в этом отношении.</w:t>
            </w:r>
          </w:p>
          <w:p w14:paraId="76CF394B" w14:textId="0EFC616B" w:rsidR="00BB5F84" w:rsidRPr="006D102C" w:rsidRDefault="00444A11" w:rsidP="00AA3D2A">
            <w:pPr>
              <w:pStyle w:val="enumlev1"/>
              <w:rPr>
                <w:rFonts w:cstheme="minorHAnsi"/>
                <w:b/>
              </w:rPr>
            </w:pPr>
            <w:r w:rsidRPr="006D102C">
              <w:rPr>
                <w:rFonts w:cs="Calibri"/>
              </w:rPr>
              <w:t>•</w:t>
            </w:r>
            <w:r w:rsidRPr="006D102C">
              <w:tab/>
            </w:r>
            <w:r w:rsidR="00BB5F84" w:rsidRPr="006D102C">
              <w:t>В</w:t>
            </w:r>
            <w:r w:rsidR="00BB5F84" w:rsidRPr="006D102C">
              <w:rPr>
                <w:b/>
                <w:bCs/>
              </w:rPr>
              <w:t xml:space="preserve"> Африке</w:t>
            </w:r>
            <w:r w:rsidR="00BB5F84" w:rsidRPr="006D102C">
              <w:t xml:space="preserve"> БРЭ провело стратегические консультации с несколькими странами Западной Африки, включая Гвинею-Бисау, Гамбию, Гвинею, Сенегал и Нигерию. Эти обсуждения проводятся с опорой на финансируемые Всемирным банком проекты, направленные на внедрение подхода GovStack и Эталонной архитектуры экосистемы государственного управления (PAERA) в целях содействия скоординированной и эффективной цифровизации государственных услуг. Консультации охватывают ряд важных аспектов, включая разработку структур функциональной совместимости, реализацию архитектуры предприятия, технические спецификации для сервисных шин/платформ обмена данными и комплексные программы по созданию потенциала. Центральное место в этих обсуждениях было отведено концепции GovStack, нацеленной на ускорение цифровой трансформации с помощью многократно используемых функционально совместимых цифровых структурных модулей. Как ожидается, такой подход позволит снизить затраты, упростить архитектуру решений и сократить время, необходимое для реализации программ цифровизации. В инициативе уделяется особое внимание устойчивому внедрению на основе точечного управления изменениями одновременно на правительственном и государственно-административном уровнях. </w:t>
            </w:r>
          </w:p>
          <w:p w14:paraId="06D5EEDB" w14:textId="2EF825D1" w:rsidR="00BB5F84" w:rsidRPr="006D102C" w:rsidRDefault="00444A11" w:rsidP="00AA3D2A">
            <w:pPr>
              <w:pStyle w:val="enumlev1"/>
              <w:rPr>
                <w:rFonts w:cstheme="minorHAnsi"/>
              </w:rPr>
            </w:pPr>
            <w:r w:rsidRPr="006D102C">
              <w:tab/>
            </w:r>
            <w:r w:rsidR="00BB5F84" w:rsidRPr="006D102C">
              <w:t xml:space="preserve">В Кении БРЭ приступило к стратегически важной работе по созданию национального потенциала в области решений с открытым исходным кодом и запустило проект "Создание экосистем с открытым исходным кодом" </w:t>
            </w:r>
            <w:r w:rsidR="00BB5F84" w:rsidRPr="006D102C">
              <w:lastRenderedPageBreak/>
              <w:t>(OSEE). По итогам этой работы будет учреждено национальное управление по программам с открытым исходным кодом (OSPO), целью которого станет расширение возможностей цифровой экосистемы Кении и ускорение развития цифровых общественных благ и инфраструктуры. Кенийское управление OSPO проведет обширную серию учебных программ – начиная с базового до экспертного уровня, – предназначенных для приобретения опыта на местах и активизации масштабной работы цифровых государственных услуг на основе решений с открытым исходным кодом. Благодаря этой инициативе Кения имеет все возможности, чтобы стать региональным лидером в области открытой, инклюзивной и устойчивой цифровой трансформации. Параллельно с этим БРЭ в тесном сотрудничестве с GIZ оказывает поддержку правительству Кении в разработке национальной дорожной карты по созданию цифровой инфраструктуры общего пользования (DPI), что еще больше укрепит стратегические амбиции страны в цифровой сфере. БРЭ также сотрудничает с ПРООН в целях поддержки Группы двадцати в вопросах защиты цифровой инфраструктуры общего пользования (DPI) и вносит вклад в работу предстоящего Саммита по DPI, который состоится в конце этого года в Кейптауне, Южно-Африканская Республика.</w:t>
            </w:r>
          </w:p>
          <w:p w14:paraId="5838FDBB" w14:textId="1AF181EE" w:rsidR="00BB5F84" w:rsidRPr="006D102C" w:rsidRDefault="00B11C41" w:rsidP="00AA3D2A">
            <w:pPr>
              <w:pStyle w:val="enumlev1"/>
              <w:rPr>
                <w:rFonts w:cstheme="minorHAnsi"/>
              </w:rPr>
            </w:pPr>
            <w:r w:rsidRPr="006D102C">
              <w:rPr>
                <w:rFonts w:cs="Calibri"/>
              </w:rPr>
              <w:t>•</w:t>
            </w:r>
            <w:r w:rsidR="00444A11" w:rsidRPr="006D102C">
              <w:tab/>
            </w:r>
            <w:r w:rsidR="00BB5F84" w:rsidRPr="006D102C">
              <w:t>Признавая растущую конвергенцию услуг электросвязи и финансовых услуг, МСЭ в рамках инициативы "Цифровые финансовые услуги" (ЦФУ) продолжает оказывать поддержку национальным регуляторным органам (НРО) в упрощении взаимодействия и сотрудничества с финансовыми регуляторными органами для обеспечения целостности, безопасности, стабильности и защиты участников и конечных пользователей, связанных с предоставлением этих услуг.</w:t>
            </w:r>
          </w:p>
          <w:p w14:paraId="1D6AD54A" w14:textId="36C3C821" w:rsidR="00BB5F84" w:rsidRPr="006D102C" w:rsidRDefault="00444A11" w:rsidP="00AA3D2A">
            <w:pPr>
              <w:pStyle w:val="enumlev1"/>
              <w:rPr>
                <w:rFonts w:cstheme="minorHAnsi"/>
              </w:rPr>
            </w:pPr>
            <w:r w:rsidRPr="006D102C">
              <w:tab/>
            </w:r>
            <w:r w:rsidR="00BB5F84" w:rsidRPr="006D102C">
              <w:t>Другие африканские страны продолжают изучать возможности цифровой инфраструктуры общего пользования применительно к собственным обстоятельствам, пользуясь в качестве ориентира ресурсами и опытом GovStack.</w:t>
            </w:r>
          </w:p>
          <w:p w14:paraId="26853002" w14:textId="6D74C1D2" w:rsidR="00BB5F84" w:rsidRPr="006D102C" w:rsidRDefault="00444A11" w:rsidP="00AA3D2A">
            <w:pPr>
              <w:pStyle w:val="enumlev1"/>
              <w:rPr>
                <w:rFonts w:cstheme="minorHAnsi"/>
              </w:rPr>
            </w:pPr>
            <w:r w:rsidRPr="006D102C">
              <w:rPr>
                <w:rFonts w:cs="Calibri"/>
              </w:rPr>
              <w:t>•</w:t>
            </w:r>
            <w:r w:rsidRPr="006D102C">
              <w:tab/>
            </w:r>
            <w:r w:rsidR="00BB5F84" w:rsidRPr="006D102C">
              <w:t>В</w:t>
            </w:r>
            <w:r w:rsidR="00BB5F84" w:rsidRPr="006D102C">
              <w:rPr>
                <w:b/>
                <w:bCs/>
              </w:rPr>
              <w:t xml:space="preserve"> Северной и Южной Америке</w:t>
            </w:r>
            <w:r w:rsidR="00BB5F84" w:rsidRPr="006D102C">
              <w:t xml:space="preserve"> в рамках совместной программы ООН "Инновационные финансовые услуги для необслуживаемых групп населения" БРЭ в сотрудничестве с правительствами Антигуа и Барбуды и Сент-Люсии разработало комплексный подход к усовершенствованию экосистемы цифровых финансовых услуг (ЦФУ), охватывающий вопросы политики, регулирования и кибербезопасности. Более 65 специалистов в сфере ЦФУ из этих стран были ознакомлены с комплектом материалов и рекомендациями по безопасности мобильных ЦФУ, и более 15 человек проходят подготовительный курс по вопросам обеспечения безопасности мобильных устройств, включая аудит безопасности приложений и инфраструктуры мобильных платежей.</w:t>
            </w:r>
          </w:p>
          <w:p w14:paraId="5E8F7213" w14:textId="71A1680B" w:rsidR="00BB5F84" w:rsidRPr="006D102C" w:rsidRDefault="00444A11" w:rsidP="00AA3D2A">
            <w:pPr>
              <w:pStyle w:val="enumlev1"/>
              <w:rPr>
                <w:rFonts w:eastAsia="Calibri" w:cstheme="minorHAnsi"/>
              </w:rPr>
            </w:pPr>
            <w:r w:rsidRPr="006D102C">
              <w:rPr>
                <w:rFonts w:cs="Calibri"/>
              </w:rPr>
              <w:t>•</w:t>
            </w:r>
            <w:r w:rsidRPr="006D102C">
              <w:tab/>
            </w:r>
            <w:r w:rsidR="00BB5F84" w:rsidRPr="006D102C">
              <w:t>В</w:t>
            </w:r>
            <w:r w:rsidR="00BB5F84" w:rsidRPr="006D102C">
              <w:rPr>
                <w:b/>
                <w:bCs/>
              </w:rPr>
              <w:t xml:space="preserve"> Азиатско-Тихоокеанском регионе</w:t>
            </w:r>
            <w:r w:rsidR="00BB5F84" w:rsidRPr="006D102C">
              <w:t xml:space="preserve"> в 2024 году по линии инициативы "«Умные» острова и "умные" деревни" (SVSI), а также финансируемой ЕС программы STREIT базовым цифровым навыкам было обучено более 2000 местных жителей в разных тихоокеанских странах, что преобразило жизнь и уклад их сообществ. Благодаря инициативе SVSI по меньшей мере 1623 человека в Тихоокеанском регионе приобрели важнейшие навыки, открывшие для них новые возможности в сфере образования, сельского хозяйства и экономики. Кроме того, в рамках финансируемого ЕС проекта STREIT-PNG более 450 человек в Папуа-Новой Гвинее получили в свое </w:t>
            </w:r>
            <w:r w:rsidR="00BB5F84" w:rsidRPr="006D102C">
              <w:lastRenderedPageBreak/>
              <w:t>распоряжение цифровые инструменты, способствующие укреплению их источников средств к существованию в секторах сельского хозяйства и рыболовства. Эти достижения в 2024 году стали возможны благодаря сотрудничеству с сообществами, участвующими в реализации инициативы "«Умные» острова", правительствами стран Тихоокеанского региона, национальными заинтересованными сторонами, учреждениями ООН, Совместным фондом ЦУР, Европейским союзом, Азиатским банком развития, академическими организациями и партнерами из гражданского общества, став наглядным свидетельством эффективности коллективных действий как движущей силы цифровой трансформации в сельских и отдаленных сообществах Тихоокеанского региона. В Пакистане продолжилась реализация проекта "«Умная» деревня": теперь, помимо деревни Гокина, предоставление цифровых услуг и обучение цифровым навыкам организованы в деревнях Самбриял и Сваби. В 2024 году проект помог усовершенствовать навыки 65</w:t>
            </w:r>
            <w:r w:rsidR="00705B18">
              <w:rPr>
                <w:lang w:val="en-GB"/>
              </w:rPr>
              <w:t> </w:t>
            </w:r>
            <w:r w:rsidR="00BB5F84" w:rsidRPr="006D102C">
              <w:t>участникам.</w:t>
            </w:r>
          </w:p>
          <w:p w14:paraId="40182954" w14:textId="3F67DE0A" w:rsidR="00BB5F84" w:rsidRPr="006D102C" w:rsidRDefault="00444A11" w:rsidP="00AA3D2A">
            <w:pPr>
              <w:pStyle w:val="enumlev1"/>
              <w:rPr>
                <w:rFonts w:eastAsia="Calibri" w:cstheme="minorHAnsi"/>
              </w:rPr>
            </w:pPr>
            <w:r w:rsidRPr="006D102C">
              <w:tab/>
            </w:r>
            <w:r w:rsidR="00BB5F84" w:rsidRPr="006D102C">
              <w:t>В 2024 году более 800 участников повысили уровень информированности и навыков внедрения общегосударственного подхода с использованием GovStack, пройдя онлайновые и офлайновые тренинги и семинары-практикумы (была оказана специализированная помощь Бангладеш, Камбодже, Лаосу и Папуа-Новой Гвинее в развитии потенциала для внедрения GovStack, в том числе в виде онлайновых и очных миссий). МСЭ вел (и продолжает) совместную работу с Секретариатом АСЕАН в целях разработки технической основы для внедрения общегосударственного подхода в масштабах всей АСЕАН.</w:t>
            </w:r>
          </w:p>
          <w:p w14:paraId="79F660F7" w14:textId="40F54CE2" w:rsidR="00BB5F84" w:rsidRPr="006D102C" w:rsidRDefault="00444A11" w:rsidP="00AA3D2A">
            <w:pPr>
              <w:pStyle w:val="enumlev1"/>
              <w:rPr>
                <w:rFonts w:eastAsia="Calibri" w:cstheme="minorHAnsi"/>
              </w:rPr>
            </w:pPr>
            <w:r w:rsidRPr="006D102C">
              <w:tab/>
            </w:r>
            <w:r w:rsidR="00BB5F84" w:rsidRPr="006D102C">
              <w:t>В мае</w:t>
            </w:r>
            <w:r w:rsidRPr="006D102C">
              <w:t>−</w:t>
            </w:r>
            <w:r w:rsidR="00BB5F84" w:rsidRPr="006D102C">
              <w:t xml:space="preserve">июле БРЭ через Зональное отделение МСЭ для Южной Азии и Инновационный центр в Дели в партнерстве с несколькими заинтересованными сторонами из разных регионов Индии организовало для целевой аудитории серию учебных занятий в рамках празднования в Индии дня "Девушки в ИКТ". Мероприятие посетили более 1000 участников. Целью мероприятия являлось повышение вовлеченности индийских женщин в сектор ИКТ, задействование потенциала ИКТ как инструмента достижения гендерного равенства и расширение прав и возможностей женщин для активного участия в построении открытого для всех и устойчивого цифрового будущего. В партнерстве с Центром развития телематики (C-DOT) были организованы обучающие семинары-практикумы, на которых учащиеся со всей Индии приобрели навыки программирования на языках Python и Java; по итогам обучения был проведен общенациональный конкурс по программированию. </w:t>
            </w:r>
          </w:p>
          <w:p w14:paraId="7BF2E1AE" w14:textId="1D935EE2" w:rsidR="00BB5F84" w:rsidRPr="006D102C" w:rsidRDefault="00444A11" w:rsidP="00AA3D2A">
            <w:pPr>
              <w:pStyle w:val="enumlev1"/>
              <w:rPr>
                <w:rFonts w:eastAsia="Calibri" w:cstheme="minorHAnsi"/>
              </w:rPr>
            </w:pPr>
            <w:r w:rsidRPr="006D102C">
              <w:tab/>
            </w:r>
            <w:r w:rsidR="00BB5F84" w:rsidRPr="006D102C">
              <w:t>26–27 июня в Бангладеш прошел семинар-практикум GovStack на тему "Цифровая трансформация правительства в целом с использованием GovStack". В семинаре-практикуме приняли участие соответствующие заинтересованные стороны из Бангладеш, которые рассмотрели актуальные вопросы в области цифрового управления, глобальные тенденции и местные нововведения, связанные с созданием защищенной функционально совместимой цифровой инфраструктуры.</w:t>
            </w:r>
          </w:p>
          <w:p w14:paraId="2FC8DD74" w14:textId="60CAE4E9" w:rsidR="00BB5F84" w:rsidRPr="006D102C" w:rsidRDefault="00444A11" w:rsidP="00AA3D2A">
            <w:pPr>
              <w:pStyle w:val="enumlev1"/>
              <w:rPr>
                <w:rFonts w:eastAsiaTheme="minorEastAsia" w:cstheme="minorHAnsi"/>
              </w:rPr>
            </w:pPr>
            <w:r w:rsidRPr="006D102C">
              <w:rPr>
                <w:rFonts w:cs="Calibri"/>
              </w:rPr>
              <w:t>•</w:t>
            </w:r>
            <w:r w:rsidRPr="006D102C">
              <w:tab/>
            </w:r>
            <w:r w:rsidR="00BB5F84" w:rsidRPr="006D102C">
              <w:t>В</w:t>
            </w:r>
            <w:r w:rsidR="00BB5F84" w:rsidRPr="006D102C">
              <w:rPr>
                <w:b/>
                <w:bCs/>
              </w:rPr>
              <w:t xml:space="preserve"> СНГ</w:t>
            </w:r>
            <w:r w:rsidR="00BB5F84" w:rsidRPr="006D102C">
              <w:t xml:space="preserve"> в целях дальнейшей поддержки Государств-Членов в продвижении цифровых услуг между МСЭ и АО "Национальные информационные технологии" Республики Казахстан было подписано Рамочное соглашение </w:t>
            </w:r>
            <w:r w:rsidR="00BB5F84" w:rsidRPr="006D102C">
              <w:lastRenderedPageBreak/>
              <w:t>о сотрудничестве и реализации инициативы по развитию цифрового правительства для стран Центральной Азии и Кавказа. Проект поддерживает Евразийский банк развития. Этот двухлетний проект стартовал в январе 2025 года и относится к Региональной инициативе CIS3 "Создание благоприятной законодательной и регуляторной среды для ускорения цифровой трансформации".</w:t>
            </w:r>
          </w:p>
          <w:p w14:paraId="47E46DC0" w14:textId="6BA38014" w:rsidR="00BB5F84" w:rsidRPr="006D102C" w:rsidRDefault="00444A11" w:rsidP="00AA3D2A">
            <w:pPr>
              <w:pStyle w:val="enumlev1"/>
              <w:rPr>
                <w:rFonts w:cstheme="minorHAnsi"/>
              </w:rPr>
            </w:pPr>
            <w:r w:rsidRPr="006D102C">
              <w:rPr>
                <w:rFonts w:cs="Calibri"/>
              </w:rPr>
              <w:t>•</w:t>
            </w:r>
            <w:r w:rsidRPr="006D102C">
              <w:tab/>
            </w:r>
            <w:r w:rsidR="00BB5F84" w:rsidRPr="006D102C">
              <w:t>В</w:t>
            </w:r>
            <w:r w:rsidR="00BB5F84" w:rsidRPr="006D102C">
              <w:rPr>
                <w:b/>
                <w:bCs/>
              </w:rPr>
              <w:t xml:space="preserve"> Европе</w:t>
            </w:r>
            <w:r w:rsidR="00BB5F84" w:rsidRPr="006D102C">
              <w:t xml:space="preserve"> внедрение подхода на основе структурных модулей было выполнение при поддержке стратегического партнерства с учреждениями ООН в рамках трех проектов "Цифрового окна" Совместного фонда ЦУР, ориентированных на Албанию, Черногорию и Сербию. </w:t>
            </w:r>
          </w:p>
          <w:p w14:paraId="21534AF3" w14:textId="7A75658A" w:rsidR="00BB5F84" w:rsidRPr="006D102C" w:rsidRDefault="00444A11" w:rsidP="00AA3D2A">
            <w:pPr>
              <w:pStyle w:val="enumlev1"/>
              <w:rPr>
                <w:rFonts w:cstheme="minorHAnsi"/>
              </w:rPr>
            </w:pPr>
            <w:r w:rsidRPr="006D102C">
              <w:tab/>
            </w:r>
            <w:r w:rsidR="00BB5F84" w:rsidRPr="006D102C">
              <w:t>В мероприятии по случаю начала реализации проекта в Албании, состоявшемся 8 ноября 2024 года, приняли участие ключевые партнеры, вклад которых имеет важнейшее значение для достижения желаемых результатов. Кроме того, партнеры проекта успешно прошли обучение по программе GovStack Architects, получив представление о ключевых ценностях и принципах, которыми необходимо руководствоваться на разных этапах реализации проекта.</w:t>
            </w:r>
          </w:p>
          <w:p w14:paraId="136F0AD8" w14:textId="04C55D17" w:rsidR="00BB5F84" w:rsidRPr="006D102C" w:rsidRDefault="00444A11" w:rsidP="00AA3D2A">
            <w:pPr>
              <w:pStyle w:val="enumlev1"/>
              <w:rPr>
                <w:rFonts w:cstheme="minorHAnsi"/>
              </w:rPr>
            </w:pPr>
            <w:r w:rsidRPr="006D102C">
              <w:tab/>
            </w:r>
            <w:r w:rsidR="00BB5F84" w:rsidRPr="006D102C">
              <w:t>В октябре 2024 года в Сербии совместно с партнерами был дан старт проекту "</w:t>
            </w:r>
            <w:r w:rsidR="00BB5F84" w:rsidRPr="006D102C">
              <w:rPr>
                <w:b/>
                <w:bCs/>
              </w:rPr>
              <w:t>Центр разработки цифровых услуг – цифровое единство с населением</w:t>
            </w:r>
            <w:r w:rsidR="00BB5F84" w:rsidRPr="006D102C">
              <w:t xml:space="preserve">". Будучи информационно-аналитическим партнером проекта, МСЭ предоставил всю необходимую информацию и инструменты для повышения качества государственных услуг за счет ориентированного на пользователя дизайна и помогает стране задействовать ее экспертные знания и опыт для стимулирования технологической трансформации. В этом контексте партнеры проекта прошли обучение на вводном семинаре-практикуме GovStack и получили набор инструментов с ресурсами, руководствами, списком мероприятий и т. д. для внедрения подхода на основе структурных модулей. </w:t>
            </w:r>
          </w:p>
          <w:p w14:paraId="25FFCDA6" w14:textId="2290FBDF" w:rsidR="00BB5F84" w:rsidRPr="006D102C" w:rsidRDefault="00444A11" w:rsidP="00AA3D2A">
            <w:pPr>
              <w:pStyle w:val="enumlev1"/>
              <w:rPr>
                <w:rFonts w:cstheme="minorHAnsi"/>
              </w:rPr>
            </w:pPr>
            <w:r w:rsidRPr="006D102C">
              <w:tab/>
            </w:r>
            <w:r w:rsidR="00BB5F84" w:rsidRPr="006D102C">
              <w:t>В декабре 2024 года началось осуществление проекта "</w:t>
            </w:r>
            <w:r w:rsidR="00BB5F84" w:rsidRPr="006D102C">
              <w:rPr>
                <w:b/>
                <w:bCs/>
              </w:rPr>
              <w:t>Цифровая трансформация местных органов самоуправления в Черногории</w:t>
            </w:r>
            <w:r w:rsidR="00BB5F84" w:rsidRPr="006D102C">
              <w:t>", призванного содействовать цифровизации местных органов власти и созданию местного электронного правительства и заложить основу для реализации концепции "</w:t>
            </w:r>
            <w:r w:rsidR="00BB5F84" w:rsidRPr="006D102C">
              <w:rPr>
                <w:rFonts w:cstheme="minorHAnsi"/>
              </w:rPr>
              <w:t>«</w:t>
            </w:r>
            <w:r w:rsidR="00BB5F84" w:rsidRPr="006D102C">
              <w:t>Умные</w:t>
            </w:r>
            <w:r w:rsidR="00BB5F84" w:rsidRPr="006D102C">
              <w:rPr>
                <w:rFonts w:cstheme="minorHAnsi"/>
              </w:rPr>
              <w:t>»</w:t>
            </w:r>
            <w:r w:rsidR="00BB5F84" w:rsidRPr="006D102C">
              <w:t xml:space="preserve"> устойчивые города". МСЭ отвечает за создание потенциала шести местных администраций, необходимого для разработки рентабельных и удобных для пользователей услуг на основе подхода GovStack. В этих целях будут организованы мероприятия в виртуальном формате и очно на местах, по итогам которых будут разработаны три прототипа услуг.</w:t>
            </w:r>
          </w:p>
          <w:p w14:paraId="6181103A" w14:textId="77777777" w:rsidR="00BB5F84" w:rsidRPr="006D102C" w:rsidRDefault="00BB5F84" w:rsidP="00AA3D2A">
            <w:pPr>
              <w:rPr>
                <w:rFonts w:cstheme="minorHAnsi"/>
              </w:rPr>
            </w:pPr>
            <w:r w:rsidRPr="006D102C">
              <w:t>На Глобальном саммите по цифровой инфраструктуре общего пользования (DPI), прошедшем 1–3 октября 2024 года в Каире, Египет, собрались представители более 100 стран, а также заинтересованные стороны из государственного и частного секторов и представители гражданского общества, чтобы обсудить преобразующее воздействие DPI на общественную инфраструктуру и способствовать образованию стратегических партнерств в интересах устойчивого развития.</w:t>
            </w:r>
          </w:p>
          <w:p w14:paraId="2F586061" w14:textId="77777777" w:rsidR="00BB5F84" w:rsidRPr="006D102C" w:rsidRDefault="00BB5F84" w:rsidP="00AA3D2A">
            <w:pPr>
              <w:rPr>
                <w:rFonts w:eastAsia="Calibri" w:cstheme="minorHAnsi"/>
              </w:rPr>
            </w:pPr>
            <w:r w:rsidRPr="006D102C">
              <w:t xml:space="preserve">БРЭ принимает активное участие в многочисленных мероприятиях в области цифровой инфраструктуры общего пользования (DPI) с целью содействия созданию открытых для всех и безопасных цифровых экосистем. В мае 2024 года </w:t>
            </w:r>
            <w:r w:rsidRPr="006D102C">
              <w:lastRenderedPageBreak/>
              <w:t>МСЭ стал одним из организаторов мероприятия высокого уровня Форума ВВУИО+20 в Женеве, специальный сегмент которого был посвящен DPI и в рамках которого были представлены различные точки зрения на потенциал DPI для национальных повесток дня. (</w:t>
            </w:r>
            <w:hyperlink r:id="rId34">
              <w:r w:rsidRPr="006D102C">
                <w:rPr>
                  <w:rStyle w:val="Hyperlink"/>
                  <w:rFonts w:eastAsia="Calibri" w:cstheme="minorHAnsi"/>
                </w:rPr>
                <w:t>itu.int</w:t>
              </w:r>
            </w:hyperlink>
            <w:r w:rsidRPr="006D102C">
              <w:t>)</w:t>
            </w:r>
          </w:p>
          <w:p w14:paraId="6C7644E0" w14:textId="77777777" w:rsidR="00BB5F84" w:rsidRPr="006D102C" w:rsidRDefault="00BB5F84" w:rsidP="00AA3D2A">
            <w:pPr>
              <w:rPr>
                <w:rFonts w:eastAsia="Calibri" w:cstheme="minorHAnsi"/>
              </w:rPr>
            </w:pPr>
            <w:r w:rsidRPr="006D102C">
              <w:t>БРЭ также внесло вклад в ежегодное собрание членов Альянса за цифровые общественные блага (DPGA), которое состоялось 13–15 ноября 2024 года в Сингапуре, где при поддержке местного представительства проектов GovStack и OSEE был проведен ряд сессии по цифровым общественным благам (DPG) и ПО с открытым исходным кодом.</w:t>
            </w:r>
          </w:p>
          <w:p w14:paraId="103D24D6" w14:textId="77777777" w:rsidR="00BB5F84" w:rsidRPr="006D102C" w:rsidRDefault="00BB5F84" w:rsidP="00AA3D2A">
            <w:pPr>
              <w:rPr>
                <w:rStyle w:val="Hyperlink"/>
                <w:rFonts w:eastAsia="Calibri" w:cstheme="minorHAnsi"/>
              </w:rPr>
            </w:pPr>
            <w:r w:rsidRPr="006D102C">
              <w:t>В октябре 2024 года на Глобальном саммите по DPI в Каире БРЭ уделило внимание таким инициативам, как Концептуальный план DPI в Африке и открытые стандарты функциональной совместимости. (</w:t>
            </w:r>
            <w:hyperlink r:id="rId35">
              <w:r w:rsidRPr="006D102C">
                <w:rPr>
                  <w:rStyle w:val="Hyperlink"/>
                  <w:rFonts w:eastAsia="Calibri" w:cstheme="minorHAnsi"/>
                </w:rPr>
                <w:t>itu.int</w:t>
              </w:r>
            </w:hyperlink>
            <w:r w:rsidRPr="006D102C">
              <w:t>)</w:t>
            </w:r>
          </w:p>
          <w:p w14:paraId="14BAE91B" w14:textId="77777777" w:rsidR="00BB5F84" w:rsidRPr="006D102C" w:rsidRDefault="00BB5F84" w:rsidP="00AA3D2A">
            <w:pPr>
              <w:rPr>
                <w:rFonts w:eastAsia="Calibri" w:cstheme="minorHAnsi"/>
              </w:rPr>
            </w:pPr>
            <w:r w:rsidRPr="006D102C">
              <w:t>Кроме того, БРЭ совместно с международными финансовыми институтами и председательствовавшей в Группе двадцати Бразилией запустило Инициативу по инвестициям в цифровую инфраструктуру, направленную на преодоление цифрового неравенства. (</w:t>
            </w:r>
            <w:hyperlink r:id="rId36">
              <w:r w:rsidRPr="006D102C">
                <w:rPr>
                  <w:rStyle w:val="Hyperlink"/>
                  <w:rFonts w:eastAsia="Calibri" w:cstheme="minorHAnsi"/>
                </w:rPr>
                <w:t>itu.int</w:t>
              </w:r>
            </w:hyperlink>
            <w:r w:rsidRPr="006D102C">
              <w:t>)</w:t>
            </w:r>
          </w:p>
          <w:p w14:paraId="618D6F99" w14:textId="77777777" w:rsidR="00BB5F84" w:rsidRPr="006D102C" w:rsidRDefault="00BB5F84" w:rsidP="00AA3D2A">
            <w:pPr>
              <w:rPr>
                <w:rFonts w:eastAsia="Calibri" w:cstheme="minorHAnsi"/>
              </w:rPr>
            </w:pPr>
            <w:r w:rsidRPr="006D102C">
              <w:t>В январе 2025 года МСЭ стал одним из организаторов конференции Citizen Stack 2025 в Женеве, посвященной ориентированным на граждан цифровым трансформациям и опыту Индии в области DPI. (</w:t>
            </w:r>
            <w:hyperlink r:id="rId37">
              <w:r w:rsidRPr="006D102C">
                <w:rPr>
                  <w:rStyle w:val="Hyperlink"/>
                  <w:rFonts w:eastAsia="Calibri" w:cstheme="minorHAnsi"/>
                </w:rPr>
                <w:t>itu.int</w:t>
              </w:r>
            </w:hyperlink>
            <w:r w:rsidRPr="006D102C">
              <w:t>)</w:t>
            </w:r>
          </w:p>
          <w:p w14:paraId="09FF22AB" w14:textId="77777777" w:rsidR="00BB5F84" w:rsidRPr="006D102C" w:rsidRDefault="00BB5F84" w:rsidP="00AA3D2A">
            <w:pPr>
              <w:rPr>
                <w:rFonts w:eastAsia="Calibri" w:cstheme="minorHAnsi"/>
              </w:rPr>
            </w:pPr>
            <w:r w:rsidRPr="006D102C">
              <w:t>Кроме того, МСЭ играет важную роль в разработке политики и базовых принципов в отношении DPI в "умных" устойчивых городах в рамках инициативы "Объединение усилий в целях построения "умных" устойчивых городов" (U4SSC). (</w:t>
            </w:r>
            <w:hyperlink r:id="rId38" w:history="1">
              <w:hyperlink r:id="rId39" w:history="1">
                <w:r w:rsidRPr="006D102C">
                  <w:rPr>
                    <w:rStyle w:val="Hyperlink"/>
                    <w:rFonts w:eastAsia="Calibri" w:cstheme="minorHAnsi"/>
                  </w:rPr>
                  <w:t>u4ssc.itu.int</w:t>
                </w:r>
              </w:hyperlink>
            </w:hyperlink>
            <w:r w:rsidRPr="006D102C">
              <w:t>)</w:t>
            </w:r>
          </w:p>
        </w:tc>
        <w:tc>
          <w:tcPr>
            <w:tcW w:w="3085" w:type="dxa"/>
            <w:shd w:val="clear" w:color="auto" w:fill="auto"/>
          </w:tcPr>
          <w:p w14:paraId="1BE1A4AF" w14:textId="77777777" w:rsidR="00BB5F84" w:rsidRPr="006D102C" w:rsidRDefault="00BB5F84" w:rsidP="00AA3D2A">
            <w:pPr>
              <w:spacing w:after="120"/>
              <w:rPr>
                <w:rFonts w:cstheme="minorHAnsi"/>
              </w:rPr>
            </w:pPr>
          </w:p>
        </w:tc>
      </w:tr>
      <w:tr w:rsidR="00BB5F84" w:rsidRPr="006D102C" w14:paraId="73477AB2" w14:textId="77777777" w:rsidTr="00DE502B">
        <w:trPr>
          <w:trHeight w:val="463"/>
        </w:trPr>
        <w:tc>
          <w:tcPr>
            <w:tcW w:w="3681" w:type="dxa"/>
            <w:shd w:val="clear" w:color="auto" w:fill="FFFFFF" w:themeFill="background1"/>
          </w:tcPr>
          <w:p w14:paraId="169B9604" w14:textId="77777777" w:rsidR="00BB5F84" w:rsidRPr="006D102C" w:rsidRDefault="00BB5F84" w:rsidP="00AA3D2A">
            <w:pPr>
              <w:spacing w:after="120"/>
              <w:rPr>
                <w:rFonts w:cstheme="minorHAnsi"/>
                <w:b/>
                <w:bCs/>
              </w:rPr>
            </w:pPr>
            <w:r w:rsidRPr="006D102C">
              <w:rPr>
                <w:b/>
                <w:bCs/>
                <w:color w:val="000000"/>
              </w:rPr>
              <w:lastRenderedPageBreak/>
              <w:t>Вклад в выполнение задач ЦУР</w:t>
            </w:r>
            <w:r w:rsidRPr="006D102C">
              <w:rPr>
                <w:color w:val="000000"/>
              </w:rPr>
              <w:t xml:space="preserve"> </w:t>
            </w:r>
          </w:p>
        </w:tc>
        <w:tc>
          <w:tcPr>
            <w:tcW w:w="11198" w:type="dxa"/>
            <w:gridSpan w:val="2"/>
            <w:shd w:val="clear" w:color="auto" w:fill="FFFFFF" w:themeFill="background1"/>
          </w:tcPr>
          <w:p w14:paraId="69D6DF75" w14:textId="77777777" w:rsidR="00BB5F84" w:rsidRPr="006D102C" w:rsidRDefault="00BB5F84" w:rsidP="00AA3D2A">
            <w:pPr>
              <w:tabs>
                <w:tab w:val="left" w:pos="10335"/>
              </w:tabs>
              <w:spacing w:after="120"/>
              <w:rPr>
                <w:rFonts w:cstheme="minorHAnsi"/>
              </w:rPr>
            </w:pPr>
            <w:r w:rsidRPr="006D102C">
              <w:rPr>
                <w:color w:val="000000"/>
              </w:rPr>
              <w:t>ЦУР 1, 3, 4, 5, 8, 9, 10, 11, 16, 17</w:t>
            </w:r>
          </w:p>
        </w:tc>
      </w:tr>
      <w:tr w:rsidR="00BB5F84" w:rsidRPr="006D102C" w14:paraId="313F1FFB" w14:textId="77777777" w:rsidTr="00DE502B">
        <w:tc>
          <w:tcPr>
            <w:tcW w:w="3681" w:type="dxa"/>
          </w:tcPr>
          <w:p w14:paraId="183AEDC9" w14:textId="77777777" w:rsidR="00BB5F84" w:rsidRPr="006D102C" w:rsidRDefault="00BB5F84" w:rsidP="00AA3D2A">
            <w:pPr>
              <w:spacing w:after="120"/>
              <w:rPr>
                <w:rFonts w:cstheme="minorHAnsi"/>
                <w:b/>
                <w:bCs/>
              </w:rPr>
            </w:pPr>
            <w:r w:rsidRPr="006D102C">
              <w:rPr>
                <w:b/>
                <w:bCs/>
                <w:color w:val="000000"/>
              </w:rPr>
              <w:t>Направление деятельности ВВУИО</w:t>
            </w:r>
            <w:r w:rsidRPr="006D102C">
              <w:rPr>
                <w:color w:val="000000"/>
              </w:rPr>
              <w:t xml:space="preserve"> </w:t>
            </w:r>
          </w:p>
        </w:tc>
        <w:tc>
          <w:tcPr>
            <w:tcW w:w="11198" w:type="dxa"/>
            <w:gridSpan w:val="2"/>
          </w:tcPr>
          <w:p w14:paraId="27C0F9E2" w14:textId="77777777" w:rsidR="00BB5F84" w:rsidRPr="006D102C" w:rsidRDefault="00BB5F84" w:rsidP="00AA3D2A">
            <w:pPr>
              <w:spacing w:after="120"/>
              <w:rPr>
                <w:rFonts w:eastAsia="Calibri" w:cstheme="minorHAnsi"/>
              </w:rPr>
            </w:pPr>
            <w:r w:rsidRPr="006D102C">
              <w:rPr>
                <w:color w:val="000000"/>
              </w:rPr>
              <w:t>C1, C2, C3, C4, C5, C6, C7, C11</w:t>
            </w:r>
          </w:p>
        </w:tc>
      </w:tr>
      <w:tr w:rsidR="00BB5F84" w:rsidRPr="006D102C" w14:paraId="4396313B" w14:textId="77777777" w:rsidTr="00DE502B">
        <w:tc>
          <w:tcPr>
            <w:tcW w:w="3681" w:type="dxa"/>
          </w:tcPr>
          <w:p w14:paraId="5DBAA198" w14:textId="77777777" w:rsidR="00BB5F84" w:rsidRPr="006D102C" w:rsidRDefault="00BB5F84" w:rsidP="00AA3D2A">
            <w:pPr>
              <w:spacing w:after="120"/>
              <w:rPr>
                <w:rFonts w:cstheme="minorHAnsi"/>
                <w:b/>
                <w:bCs/>
              </w:rPr>
            </w:pPr>
            <w:r w:rsidRPr="006D102C">
              <w:rPr>
                <w:b/>
                <w:bCs/>
                <w:color w:val="000000"/>
              </w:rPr>
              <w:t>Резолюции</w:t>
            </w:r>
            <w:r w:rsidRPr="006D102C">
              <w:rPr>
                <w:color w:val="000000"/>
              </w:rPr>
              <w:t xml:space="preserve"> </w:t>
            </w:r>
          </w:p>
        </w:tc>
        <w:tc>
          <w:tcPr>
            <w:tcW w:w="11198" w:type="dxa"/>
            <w:gridSpan w:val="2"/>
          </w:tcPr>
          <w:p w14:paraId="5BD63403" w14:textId="77777777" w:rsidR="00BB5F84" w:rsidRPr="006D102C" w:rsidRDefault="00BB5F84" w:rsidP="00AA3D2A">
            <w:pPr>
              <w:spacing w:after="120"/>
              <w:rPr>
                <w:rFonts w:cstheme="minorHAnsi"/>
              </w:rPr>
            </w:pPr>
            <w:r w:rsidRPr="006D102C">
              <w:rPr>
                <w:color w:val="000000"/>
              </w:rPr>
              <w:t>205 ПК; 16, 30, 37, 85, 90 ВКРЭ; Вопросы 2/1, 4/1, 1/2, 2/2 ИК</w:t>
            </w:r>
          </w:p>
        </w:tc>
      </w:tr>
    </w:tbl>
    <w:p w14:paraId="1814F223" w14:textId="77777777" w:rsidR="00A8350B" w:rsidRPr="006D102C" w:rsidRDefault="00A8350B" w:rsidP="00A8350B">
      <w:r w:rsidRPr="006D102C">
        <w:br w:type="page"/>
      </w:r>
    </w:p>
    <w:tbl>
      <w:tblPr>
        <w:tblStyle w:val="TableGrid4"/>
        <w:tblW w:w="14884"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686"/>
        <w:gridCol w:w="8112"/>
        <w:gridCol w:w="3086"/>
      </w:tblGrid>
      <w:tr w:rsidR="00BB5F84" w:rsidRPr="006D102C" w14:paraId="5084804F" w14:textId="77777777" w:rsidTr="000C2445">
        <w:trPr>
          <w:trHeight w:val="300"/>
        </w:trPr>
        <w:tc>
          <w:tcPr>
            <w:tcW w:w="14884" w:type="dxa"/>
            <w:gridSpan w:val="3"/>
            <w:shd w:val="clear" w:color="auto" w:fill="2F5496"/>
          </w:tcPr>
          <w:p w14:paraId="3AE8405A" w14:textId="77777777" w:rsidR="00BB5F84" w:rsidRPr="006D102C" w:rsidRDefault="00BB5F84" w:rsidP="00CE67E6">
            <w:pPr>
              <w:pStyle w:val="Tablehead"/>
              <w:rPr>
                <w:color w:val="FFFFFF" w:themeColor="background1"/>
                <w:sz w:val="22"/>
              </w:rPr>
            </w:pPr>
            <w:bookmarkStart w:id="19" w:name="_Toc197427002"/>
            <w:r w:rsidRPr="006D102C">
              <w:rPr>
                <w:color w:val="FFFFFF" w:themeColor="background1"/>
                <w:sz w:val="22"/>
              </w:rPr>
              <w:lastRenderedPageBreak/>
              <w:t>Приоритет 3 МСЭ-D: Благоприятная политическая и регуляторная среда</w:t>
            </w:r>
            <w:bookmarkEnd w:id="19"/>
          </w:p>
          <w:p w14:paraId="7AF97EDB" w14:textId="77777777" w:rsidR="00BB5F84" w:rsidRPr="006D102C" w:rsidRDefault="00BB5F84" w:rsidP="00CE67E6">
            <w:pPr>
              <w:pStyle w:val="Tablehead"/>
              <w:rPr>
                <w:i/>
                <w:iCs/>
                <w:color w:val="FFFFFF" w:themeColor="background1"/>
                <w:sz w:val="22"/>
              </w:rPr>
            </w:pPr>
            <w:bookmarkStart w:id="20" w:name="_Toc197427003"/>
            <w:r w:rsidRPr="006D102C">
              <w:rPr>
                <w:i/>
                <w:iCs/>
                <w:color w:val="FFFFFF" w:themeColor="background1"/>
                <w:sz w:val="22"/>
              </w:rPr>
              <w:t>Содействие благоприятной политической и регуляторной среде, способствующей устойчивому развитию электросвязи/ИКТ</w:t>
            </w:r>
            <w:bookmarkEnd w:id="20"/>
          </w:p>
        </w:tc>
      </w:tr>
      <w:tr w:rsidR="00BB5F84" w:rsidRPr="006D102C" w14:paraId="0D4C4EBA" w14:textId="77777777" w:rsidTr="000C2445">
        <w:trPr>
          <w:trHeight w:val="300"/>
        </w:trPr>
        <w:tc>
          <w:tcPr>
            <w:tcW w:w="14884" w:type="dxa"/>
            <w:gridSpan w:val="3"/>
            <w:shd w:val="clear" w:color="auto" w:fill="E5DFEC" w:themeFill="accent4" w:themeFillTint="33"/>
          </w:tcPr>
          <w:p w14:paraId="063B2E25" w14:textId="7D91A3A7" w:rsidR="00BB5F84" w:rsidRPr="006D102C" w:rsidRDefault="00BB5F84" w:rsidP="00DE7136">
            <w:pPr>
              <w:spacing w:after="120"/>
              <w:rPr>
                <w:rFonts w:cstheme="minorHAnsi"/>
                <w:b/>
                <w:bCs/>
                <w:color w:val="1F497D" w:themeColor="text2"/>
              </w:rPr>
            </w:pPr>
            <w:r w:rsidRPr="006D102C">
              <w:rPr>
                <w:rFonts w:cstheme="minorHAnsi"/>
                <w:b/>
                <w:bCs/>
                <w:color w:val="1F497D" w:themeColor="text2"/>
              </w:rPr>
              <w:t>Развитие потенциала</w:t>
            </w:r>
          </w:p>
          <w:p w14:paraId="2765F3F2" w14:textId="663A2C93" w:rsidR="00AA3D2A" w:rsidRPr="006D102C" w:rsidRDefault="00BB5F84" w:rsidP="000C2445">
            <w:pPr>
              <w:keepNext/>
              <w:overflowPunct/>
              <w:autoSpaceDE/>
              <w:autoSpaceDN/>
              <w:adjustRightInd/>
              <w:spacing w:after="120"/>
              <w:textAlignment w:val="auto"/>
              <w:rPr>
                <w:i/>
                <w:iCs/>
                <w:color w:val="000000"/>
              </w:rPr>
            </w:pPr>
            <w:r w:rsidRPr="006D102C">
              <w:rPr>
                <w:b/>
                <w:bCs/>
                <w:i/>
                <w:iCs/>
                <w:color w:val="000000"/>
              </w:rPr>
              <w:t>Конечный результат</w:t>
            </w:r>
            <w:r w:rsidRPr="006D102C">
              <w:rPr>
                <w:i/>
                <w:iCs/>
                <w:color w:val="000000"/>
              </w:rPr>
              <w:t>: укрепление человеческого и институционального потенциала членов МСЭ в области электросвязи/ИКТ для содействия цифровой трансформации</w:t>
            </w:r>
          </w:p>
        </w:tc>
      </w:tr>
      <w:tr w:rsidR="00BB5F84" w:rsidRPr="006D102C" w14:paraId="14D0DFC2" w14:textId="77777777" w:rsidTr="000C2445">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4374F7CF" w14:textId="77777777" w:rsidR="00BB5F84" w:rsidRPr="006D102C" w:rsidRDefault="00BB5F84" w:rsidP="000C2445">
            <w:pPr>
              <w:keepNext/>
              <w:overflowPunct/>
              <w:autoSpaceDE/>
              <w:autoSpaceDN/>
              <w:adjustRightInd/>
              <w:spacing w:after="120"/>
              <w:jc w:val="center"/>
              <w:textAlignment w:val="auto"/>
              <w:rPr>
                <w:rFonts w:cstheme="minorHAnsi"/>
                <w:b/>
                <w:bCs/>
                <w:color w:val="0070C0"/>
              </w:rPr>
            </w:pPr>
            <w:r w:rsidRPr="006D102C">
              <w:rPr>
                <w:b/>
                <w:bCs/>
                <w:color w:val="0070C0"/>
              </w:rPr>
              <w:t>Намеченный результат деятельности</w:t>
            </w: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7953898D" w14:textId="77777777" w:rsidR="00BB5F84" w:rsidRPr="006D102C" w:rsidRDefault="00BB5F84" w:rsidP="000C2445">
            <w:pPr>
              <w:keepNext/>
              <w:overflowPunct/>
              <w:autoSpaceDE/>
              <w:autoSpaceDN/>
              <w:adjustRightInd/>
              <w:spacing w:after="120"/>
              <w:jc w:val="center"/>
              <w:textAlignment w:val="auto"/>
              <w:rPr>
                <w:b/>
                <w:bCs/>
                <w:color w:val="0070C0"/>
              </w:rPr>
            </w:pPr>
            <w:r w:rsidRPr="006D102C">
              <w:rPr>
                <w:b/>
                <w:bCs/>
                <w:color w:val="0070C0"/>
              </w:rPr>
              <w:t>Основные моменты</w:t>
            </w:r>
          </w:p>
        </w:tc>
      </w:tr>
      <w:tr w:rsidR="00BB5F84" w:rsidRPr="006D102C" w14:paraId="1E580800" w14:textId="77777777" w:rsidTr="000C2445">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2C24E0EE" w14:textId="77777777" w:rsidR="00BB5F84" w:rsidRPr="006D102C" w:rsidRDefault="00BB5F84" w:rsidP="00D76B19">
            <w:pPr>
              <w:rPr>
                <w:rFonts w:cstheme="minorHAnsi"/>
              </w:rPr>
            </w:pPr>
            <w:r w:rsidRPr="006D102C">
              <w:t xml:space="preserve">МСЭ стремится к укреплению как человеческого, так и институционального потенциала своих членов и продолжает уделять первостепенное внимание проведению высококачественных программ профессиональной подготовки. Были организованы курсы профессиональной подготовки по линии </w:t>
            </w:r>
            <w:hyperlink r:id="rId40" w:history="1">
              <w:r w:rsidRPr="006D102C">
                <w:rPr>
                  <w:rStyle w:val="Hyperlink"/>
                  <w:b/>
                  <w:bCs/>
                </w:rPr>
                <w:t>Академии МСЭ</w:t>
              </w:r>
            </w:hyperlink>
            <w:r w:rsidRPr="006D102C">
              <w:rPr>
                <w:b/>
                <w:bCs/>
              </w:rPr>
              <w:t xml:space="preserve"> </w:t>
            </w:r>
            <w:r w:rsidRPr="006D102C">
              <w:t>и</w:t>
            </w:r>
            <w:r w:rsidRPr="006D102C">
              <w:rPr>
                <w:b/>
                <w:bCs/>
              </w:rPr>
              <w:t xml:space="preserve"> </w:t>
            </w:r>
            <w:hyperlink r:id="rId41" w:history="1">
              <w:r w:rsidRPr="006D102C">
                <w:rPr>
                  <w:rStyle w:val="Hyperlink"/>
                  <w:b/>
                  <w:bCs/>
                </w:rPr>
                <w:t>Центров профессиональной подготовки Академии МСЭ</w:t>
              </w:r>
            </w:hyperlink>
            <w:r w:rsidRPr="006D102C">
              <w:rPr>
                <w:b/>
                <w:bCs/>
              </w:rPr>
              <w:t xml:space="preserve"> (ATC)</w:t>
            </w:r>
            <w:r w:rsidRPr="006D102C">
              <w:t xml:space="preserve">, призванные принести членам МСЭ реальную пользу. С мая 2024 года по апрель 2025 года в Академии МСЭ было зарегистрировано </w:t>
            </w:r>
            <w:r w:rsidRPr="006D102C">
              <w:rPr>
                <w:b/>
                <w:bCs/>
              </w:rPr>
              <w:t>15 200 новых пользователей, в результате чего общее число учащихся из всех Государств-Членов превысило 63 000 человек</w:t>
            </w:r>
            <w:r w:rsidRPr="006D102C">
              <w:t xml:space="preserve">, причем более 70 процентов из них – из развивающихся стран. За этот период с помощью платформы было проведено более 160 курсов более чем для 22 000 зарегистрированных слушателей, из которых к марту 2025 года обучение завершили более 6200 человек. Более 4000 участников также заполнили вопросники об оценке курсов, при этом 95 процентов из них сообщили, что весьма удовлетворены или удовлетворены своим опытом. </w:t>
            </w:r>
          </w:p>
          <w:p w14:paraId="1DD5E0EE" w14:textId="5E2686F1" w:rsidR="00BB5F84" w:rsidRPr="006D102C" w:rsidRDefault="00BB5F84" w:rsidP="00D76B19">
            <w:pPr>
              <w:rPr>
                <w:rStyle w:val="xnormaltextrun"/>
                <w:rFonts w:cstheme="minorHAnsi"/>
                <w:bdr w:val="none" w:sz="0" w:space="0" w:color="auto" w:frame="1"/>
                <w:shd w:val="clear" w:color="auto" w:fill="FFFFFF"/>
              </w:rPr>
            </w:pPr>
            <w:r w:rsidRPr="006D102C">
              <w:t xml:space="preserve">В течение второго года реализации за этот же период (май 2024 г. – апрель 2025 г.) </w:t>
            </w:r>
            <w:r w:rsidRPr="006D102C">
              <w:rPr>
                <w:b/>
                <w:bCs/>
              </w:rPr>
              <w:t>по линии ATC было организовано 64</w:t>
            </w:r>
            <w:r w:rsidR="00B11C41" w:rsidRPr="006D102C">
              <w:rPr>
                <w:b/>
                <w:bCs/>
              </w:rPr>
              <w:t> </w:t>
            </w:r>
            <w:r w:rsidRPr="006D102C">
              <w:rPr>
                <w:b/>
                <w:bCs/>
              </w:rPr>
              <w:t>курса</w:t>
            </w:r>
            <w:r w:rsidRPr="006D102C">
              <w:t xml:space="preserve">, для прохождения которых зарегистрировалось более 3000 человек, причем к апрелю 2025 года обучение завершило более 1200 человек. В 2024 и 2025 годах БРЭ организовало несколько учебных мероприятий по проведению интерактивного онлайнового обучения, предназначенных для инструкторов из 14 ATC. Цель инициативы – повысить качество курсов профессиональной подготовки за счет улучшения методических навыков и навыков проведения занятий в виртуальном формате и организации обмена передовым опытом между участвующими учреждениями. На </w:t>
            </w:r>
            <w:hyperlink r:id="rId42" w:history="1">
              <w:r w:rsidRPr="006D102C">
                <w:rPr>
                  <w:rStyle w:val="Hyperlink"/>
                </w:rPr>
                <w:t>втором глобальном ежегодном собрании ATC</w:t>
              </w:r>
            </w:hyperlink>
            <w:r w:rsidRPr="006D102C">
              <w:t xml:space="preserve"> встретились представители всех 14 ATC, чтобы проанализировать извлеченные уроки и обменяться передовым опытом в области организации и масштабирования учебных курсов, согласовать оптимальные подходы к обеспечению качества обучения, методике проведения и оценке воздействия, а также укрепить сотрудничество с учреждениями, участвующими в реализации программы. </w:t>
            </w:r>
          </w:p>
          <w:p w14:paraId="3122D577" w14:textId="77777777" w:rsidR="00BB5F84" w:rsidRPr="006D102C" w:rsidRDefault="00BB5F84" w:rsidP="00D76B19">
            <w:pPr>
              <w:rPr>
                <w:rFonts w:cstheme="minorHAnsi"/>
              </w:rPr>
            </w:pPr>
            <w:r w:rsidRPr="006D102C">
              <w:t xml:space="preserve">В начале 2024 года МСЭ в сотрудничестве с ПРООН приступил к реализации </w:t>
            </w:r>
            <w:r w:rsidRPr="006D102C">
              <w:rPr>
                <w:b/>
                <w:bCs/>
              </w:rPr>
              <w:t xml:space="preserve">нового проекта </w:t>
            </w:r>
            <w:r w:rsidRPr="006D102C">
              <w:t>"</w:t>
            </w:r>
            <w:r w:rsidRPr="006D102C">
              <w:rPr>
                <w:b/>
                <w:bCs/>
              </w:rPr>
              <w:t>Развитие потенциала для цифровой трансформации</w:t>
            </w:r>
            <w:r w:rsidRPr="006D102C">
              <w:t xml:space="preserve">". Финансирование проекта осуществляется по линии инициативы Европейской комиссии "Глобальный портал" и рассчитано на четыре года. Проект содействует организации курсов профессиональной подготовки для сотрудников директивных органов и государственных служащих на базе платформы Академии МСЭ. С начала реализации проекта было проведено 27 курсов в очном формате, в онлайновом формате под руководством инструктора, </w:t>
            </w:r>
            <w:r w:rsidRPr="006D102C">
              <w:lastRenderedPageBreak/>
              <w:t>а также в формате самостоятельного обучения. Обучение прошли 1390 человек из 160 стран (в основном из развивающихся), при этом показатель удовлетворенности курсами среди участников составил 97 процентов.</w:t>
            </w:r>
          </w:p>
          <w:p w14:paraId="20640941" w14:textId="77777777" w:rsidR="00BB5F84" w:rsidRPr="006D102C" w:rsidRDefault="00BB5F84" w:rsidP="00D76B19">
            <w:pPr>
              <w:rPr>
                <w:rFonts w:cstheme="minorHAnsi"/>
              </w:rPr>
            </w:pPr>
            <w:r w:rsidRPr="006D102C">
              <w:rPr>
                <w:color w:val="000000"/>
              </w:rPr>
              <w:t xml:space="preserve">В сотрудничестве с компанией </w:t>
            </w:r>
            <w:r w:rsidRPr="006D102C">
              <w:rPr>
                <w:b/>
                <w:bCs/>
                <w:color w:val="000000"/>
              </w:rPr>
              <w:t>Cisco</w:t>
            </w:r>
            <w:r w:rsidRPr="006D102C">
              <w:rPr>
                <w:color w:val="000000"/>
              </w:rPr>
              <w:t xml:space="preserve"> продолжается расширение деятельности в рамках </w:t>
            </w:r>
            <w:hyperlink r:id="rId43" w:history="1">
              <w:r w:rsidRPr="006D102C">
                <w:rPr>
                  <w:rStyle w:val="Hyperlink"/>
                  <w:b/>
                  <w:bCs/>
                </w:rPr>
                <w:t xml:space="preserve">инициативы </w:t>
              </w:r>
              <w:r w:rsidRPr="006D102C">
                <w:rPr>
                  <w:rStyle w:val="Hyperlink"/>
                </w:rPr>
                <w:t>"</w:t>
              </w:r>
              <w:r w:rsidRPr="006D102C">
                <w:rPr>
                  <w:rStyle w:val="Hyperlink"/>
                  <w:b/>
                  <w:bCs/>
                </w:rPr>
                <w:t>Центры цифровой трансформации</w:t>
              </w:r>
              <w:r w:rsidRPr="006D102C">
                <w:rPr>
                  <w:rStyle w:val="Hyperlink"/>
                </w:rPr>
                <w:t>"</w:t>
              </w:r>
              <w:r w:rsidRPr="006D102C">
                <w:rPr>
                  <w:rStyle w:val="Hyperlink"/>
                  <w:b/>
                  <w:bCs/>
                </w:rPr>
                <w:t xml:space="preserve"> (DTC)</w:t>
              </w:r>
            </w:hyperlink>
            <w:r w:rsidRPr="006D102C">
              <w:rPr>
                <w:b/>
                <w:bCs/>
                <w:color w:val="000000"/>
              </w:rPr>
              <w:t xml:space="preserve"> </w:t>
            </w:r>
            <w:r w:rsidRPr="006D102C">
              <w:rPr>
                <w:color w:val="000000"/>
              </w:rPr>
              <w:t xml:space="preserve">при оказании постоянной поддержки DTC. С начала реализации инициативы DTC общее число слушателей курсов, обучающих цифровым навыкам базового и среднего уровней, составило 435 760 человек, 54 процента из которых – женщины. За отчетный период в мероприятиях DTC участвовало 80 699 человек (56 процентов из которых – женщины). </w:t>
            </w:r>
          </w:p>
          <w:p w14:paraId="38C3BFFB" w14:textId="77777777" w:rsidR="00BB5F84" w:rsidRPr="006D102C" w:rsidRDefault="00BB5F84" w:rsidP="00D76B19">
            <w:pPr>
              <w:rPr>
                <w:rFonts w:cstheme="minorHAnsi"/>
              </w:rPr>
            </w:pPr>
            <w:r w:rsidRPr="006D102C">
              <w:rPr>
                <w:color w:val="000000"/>
              </w:rPr>
              <w:t xml:space="preserve">В рамках проекта "Развитие цифровых навыков с использованием центров цифровой трансформации" БРЭ и </w:t>
            </w:r>
            <w:r w:rsidRPr="006D102C">
              <w:rPr>
                <w:b/>
                <w:bCs/>
                <w:color w:val="000000"/>
              </w:rPr>
              <w:t>правительство Норвегии</w:t>
            </w:r>
            <w:r w:rsidRPr="006D102C">
              <w:rPr>
                <w:color w:val="000000"/>
              </w:rPr>
              <w:t xml:space="preserve"> оказали поддержку деятельности DTC в Гане, организовав за три года реализации проекта обучение более чем для 22 000 граждан, 68 процентов из которых составляют женщины. DTC в Гане перевыполнил практически все установленные проектом целевые показатели, привнеся изменения в жизнь граждан во всех 16 областях страны. Этот проект был завершен в сентябре 2024 года. В начале этого года МСЭ получил новый пакет финансирования от правительства Норвегии для продолжения осуществления инициативы DTC. Этот проект предполагает поддержку образовательной деятельности DTC и инициативы DTC на глобальном уровне до конца декабря 2025 года. </w:t>
            </w:r>
          </w:p>
          <w:p w14:paraId="48A8D0F5" w14:textId="77777777" w:rsidR="00BB5F84" w:rsidRPr="006D102C" w:rsidRDefault="00BB5F84" w:rsidP="00D76B19">
            <w:pPr>
              <w:rPr>
                <w:rFonts w:cstheme="minorHAnsi"/>
              </w:rPr>
            </w:pPr>
            <w:r w:rsidRPr="006D102C">
              <w:rPr>
                <w:color w:val="000000"/>
              </w:rPr>
              <w:t xml:space="preserve">Партнеры МСЭ и инициативы DTC оказали поддержку пяти DTC – в Кот-д'Ивуаре, Демократической Республике Конго, Пакистане, на Филиппинах и в Сенегале – в </w:t>
            </w:r>
            <w:r w:rsidRPr="006D102C">
              <w:rPr>
                <w:b/>
                <w:bCs/>
                <w:color w:val="000000"/>
              </w:rPr>
              <w:t>создании институционального потенциала, организовав мероприятия по подготовке инструкторов</w:t>
            </w:r>
            <w:r w:rsidRPr="006D102C">
              <w:rPr>
                <w:color w:val="000000"/>
              </w:rPr>
              <w:t>, в которых приняло участие 144 человека (в том числе 47 женщин). DTC в Пакистане была оказана помощь с подготовкой инструкторов с нарушениями зрения, наряду со зрячими инструкторами, по теме "</w:t>
            </w:r>
            <w:r w:rsidRPr="006D102C">
              <w:rPr>
                <w:b/>
                <w:bCs/>
                <w:color w:val="000000"/>
              </w:rPr>
              <w:t>Основы компьютерной грамотности для лиц с нарушениями зрения</w:t>
            </w:r>
            <w:r w:rsidRPr="006D102C">
              <w:rPr>
                <w:color w:val="000000"/>
              </w:rPr>
              <w:t xml:space="preserve">" </w:t>
            </w:r>
            <w:r w:rsidRPr="006D102C">
              <w:rPr>
                <w:b/>
                <w:bCs/>
                <w:color w:val="000000"/>
              </w:rPr>
              <w:t>(ICBVI)</w:t>
            </w:r>
            <w:r w:rsidRPr="006D102C">
              <w:rPr>
                <w:color w:val="000000"/>
              </w:rPr>
              <w:t>; таким образом, такое обучение проведено в четырех DTC. DTC в Уганде приступит к реализации программы ICBVI, и первое мероприятие по подготовке инструкторов запланировано на апрель-май 2025 года. DTC в Уганде, работающий на базе Института информационно-коммуникационных технологий Уганды (UICT), в 2024 и 2025 годах также стал бенефициаром курсов подготовки инструкторов, организованных МСЭ и правительством Уганды при финансовой поддержке Фонда глобального развития и сотрудничества Юг</w:t>
            </w:r>
            <w:r w:rsidRPr="006D102C">
              <w:rPr>
                <w:rFonts w:cstheme="minorHAnsi"/>
                <w:color w:val="000000"/>
              </w:rPr>
              <w:t>–</w:t>
            </w:r>
            <w:r w:rsidRPr="006D102C">
              <w:rPr>
                <w:color w:val="000000"/>
              </w:rPr>
              <w:t xml:space="preserve">Юг в рамках программы "Техническая помощь и профессиональная подготовка для Уганды по национальной стратегии развития ИКТ". DTC в Сенегале и Замбии организовали мероприятия по работе с населением в целях повышения уровня осведомленности о важности цифровых навыков, в том числе среди лиц с нарушениями зрения. DTC в семи странах – в Кот-д'Ивуаре, Доминиканской Республике, Марокко, Пакистане, на Филиппинах, в Сенегале и Замбии – получили поддержку в организации обучения обслуживаемых в недостаточной степени сообществ цифровым навыкам базового и среднего уровней. </w:t>
            </w:r>
          </w:p>
          <w:p w14:paraId="0F651981" w14:textId="77777777" w:rsidR="00BB5F84" w:rsidRPr="006D102C" w:rsidRDefault="00BB5F84" w:rsidP="00D76B19">
            <w:pPr>
              <w:rPr>
                <w:rFonts w:cstheme="minorHAnsi"/>
              </w:rPr>
            </w:pPr>
            <w:hyperlink r:id="rId44" w:history="1">
              <w:r w:rsidRPr="006D102C">
                <w:rPr>
                  <w:rStyle w:val="Hyperlink"/>
                  <w:b/>
                  <w:bCs/>
                </w:rPr>
                <w:t>Форум МСЭ по цифровым навыкам</w:t>
              </w:r>
            </w:hyperlink>
            <w:r w:rsidRPr="006D102C">
              <w:t>, прошедший в сентябре 2024 года в Бахрейне и посвященный теме "</w:t>
            </w:r>
            <w:r w:rsidRPr="006D102C">
              <w:rPr>
                <w:b/>
                <w:bCs/>
              </w:rPr>
              <w:t>Развитие навыков для цифровой трансформации</w:t>
            </w:r>
            <w:r w:rsidRPr="006D102C">
              <w:t xml:space="preserve">", собрал более 700 участников, представляющих различные группы заинтересованных сторон, из 66 стран. На форуме обсуждались ключевые вопросы, связанные с пробелами в цифровых навыках и способами их восполнения, начиная от преодоления разрыва в цифровых навыках, обучения цифровым навыкам для достойного трудоустройства и значения ИИ и заканчивая развитием навыков кибербезопасности и </w:t>
            </w:r>
            <w:r w:rsidRPr="006D102C">
              <w:lastRenderedPageBreak/>
              <w:t>безопасности в онлайновой среде. Основные итоги форума, а также рекомендации по преодолению появляющегося разрыва в навыках отражены в кратком отчете Председателя.</w:t>
            </w:r>
          </w:p>
          <w:p w14:paraId="34901CD1" w14:textId="162005C2" w:rsidR="00BB5F84" w:rsidRPr="006D102C" w:rsidRDefault="00BB5F84" w:rsidP="00D76B19">
            <w:pPr>
              <w:rPr>
                <w:rFonts w:eastAsia="Times New Roman" w:cstheme="minorHAnsi"/>
              </w:rPr>
            </w:pPr>
            <w:r w:rsidRPr="006D102C">
              <w:t xml:space="preserve">В сентябре был обнародован </w:t>
            </w:r>
            <w:hyperlink r:id="rId45" w:history="1">
              <w:r w:rsidRPr="006D102C">
                <w:rPr>
                  <w:rStyle w:val="Hyperlink"/>
                  <w:b/>
                  <w:bCs/>
                </w:rPr>
                <w:t>Комплект материалов МСЭ по цифровым навыкам 2024 года</w:t>
              </w:r>
            </w:hyperlink>
            <w:r w:rsidRPr="006D102C">
              <w:t xml:space="preserve">, в котором содержится </w:t>
            </w:r>
            <w:r w:rsidRPr="006D102C">
              <w:rPr>
                <w:b/>
                <w:bCs/>
              </w:rPr>
              <w:t>комплексное пошаговое руководство в помощь членам МСЭ при выработке эффективных национальных стратегий и политики в области цифровых навыков</w:t>
            </w:r>
            <w:r w:rsidRPr="006D102C">
              <w:t>. Он представляет собой основательную переработку предыдущей версии 2018</w:t>
            </w:r>
            <w:r w:rsidR="00705B18">
              <w:rPr>
                <w:lang w:val="en-GB"/>
              </w:rPr>
              <w:t> </w:t>
            </w:r>
            <w:r w:rsidRPr="006D102C">
              <w:t>года и включает три части: часть 1 посвящена понятию цифровых навыков и содержит описание основ и концепций цифровой грамотности, в части 2 представлена подробная дорожная карта для разработки национальной стратегии развития цифровых навыков, а в части 3 представлены многочисленные примеры стратегий и программ по развитию цифровых навыков из разных регионов мира.</w:t>
            </w:r>
          </w:p>
          <w:p w14:paraId="17AE452F" w14:textId="6ECAB0C1" w:rsidR="00BB5F84" w:rsidRPr="006D102C" w:rsidRDefault="008C6B9A" w:rsidP="008C6B9A">
            <w:pPr>
              <w:pStyle w:val="enumlev1"/>
              <w:rPr>
                <w:rFonts w:cstheme="minorHAnsi"/>
              </w:rPr>
            </w:pPr>
            <w:r w:rsidRPr="006D102C">
              <w:rPr>
                <w:rFonts w:cs="Calibri"/>
              </w:rPr>
              <w:t>•</w:t>
            </w:r>
            <w:r w:rsidRPr="006D102C">
              <w:tab/>
            </w:r>
            <w:r w:rsidR="00BB5F84" w:rsidRPr="006D102C">
              <w:t>В</w:t>
            </w:r>
            <w:r w:rsidR="00BB5F84" w:rsidRPr="006D102C">
              <w:rPr>
                <w:b/>
                <w:bCs/>
              </w:rPr>
              <w:t xml:space="preserve"> Африке</w:t>
            </w:r>
            <w:r w:rsidR="00BB5F84" w:rsidRPr="006D102C">
              <w:t xml:space="preserve"> МСЭ организовал серию программ обучения цифровым навыкам через центры цифровой трансформации (DTC) в Африканском регионе с целью расширить права и возможности молодежи, сократить гендерный цифровой разрыв и разрыв в цифровых навыках, а также дать импульс формированию местных экосистем развития цифровых навыков в сельских и труднодоступных районах. Соответствующую подготовку прошли 270 слушателей из Демократической Республики Конго, Замбии и Кот-д'Ивуара. Стремясь расширить масштабы инициативы "Африканские девушки умеют программировать" (AGCCI), МСЭ обновил представленный на платформе Академии МСЭ курс для самостоятельного обучения, включив в него шесть модулей и подмодулей, посвященных как техническим, так и коммуникативным навыкам, и сделав их доступными на английском, французском и португальском языках для расширения охвата. С опорой на Руководство МСЭ по оценке цифровых навыков, новый комплект материалов и соответствующие ресурсы была завершена оценка национального уровня цифровых навыков в Уганде, Кении и Южном Судане.</w:t>
            </w:r>
          </w:p>
          <w:p w14:paraId="13A0EBF3" w14:textId="70EBDDA9" w:rsidR="00BB5F84" w:rsidRPr="006D102C" w:rsidRDefault="008C6B9A" w:rsidP="008C6B9A">
            <w:pPr>
              <w:pStyle w:val="enumlev1"/>
              <w:rPr>
                <w:rFonts w:eastAsia="Aptos" w:cstheme="minorHAnsi"/>
              </w:rPr>
            </w:pPr>
            <w:r w:rsidRPr="006D102C">
              <w:tab/>
            </w:r>
            <w:r w:rsidR="00BB5F84" w:rsidRPr="006D102C">
              <w:t xml:space="preserve">БРЭ оказало поддержку развитию цифровых навыков через </w:t>
            </w:r>
            <w:r w:rsidR="00BB5F84" w:rsidRPr="006D102C">
              <w:rPr>
                <w:b/>
                <w:bCs/>
              </w:rPr>
              <w:t>DTC в Сьерра-Леоне</w:t>
            </w:r>
            <w:r w:rsidR="00BB5F84" w:rsidRPr="006D102C">
              <w:t xml:space="preserve">. В рамках программы в партнерстве с неправительственной организацией, имеющей в своем распоряжении сеть оснащенных необходимым оборудованием учебных центров в обеих странах, было успешно организовано обучение цифровым навыкам базового и среднего уровней для </w:t>
            </w:r>
            <w:r w:rsidR="00BB5F84" w:rsidRPr="006D102C">
              <w:rPr>
                <w:b/>
                <w:bCs/>
              </w:rPr>
              <w:t>480 юношей и девушек из маргинализированных сообществ</w:t>
            </w:r>
            <w:r w:rsidR="00BB5F84" w:rsidRPr="006D102C">
              <w:t>. Одним из основных результатов стало значительное повышение уровня цифровой грамотности среди прошедших обучение молодых людей: по меньшей мере 80 процентов из них в совершенстве овладели цифровыми навыками базового и среднего уровней. Речь идет о таких навыках, как навыки работы с компьютером, навигация в интернете и использование стандартных программных приложений. Успеху программы способствовали два ключевых компонента: информационно-просветительские кампании, ориентированные на сообщества и местные администрации, и подход, основанный на подготовке инструкторов (ToT). Методика ToT оказалась особенно эффективной как инструмент обеспечения долгосрочной стабильности, поскольку она позволяет создавать потенциал на местах, способствующий непрерывной передаче знаний.</w:t>
            </w:r>
          </w:p>
          <w:p w14:paraId="1F8894E2" w14:textId="69B608B7" w:rsidR="00BB5F84" w:rsidRPr="006D102C" w:rsidRDefault="008C6B9A" w:rsidP="008C6B9A">
            <w:pPr>
              <w:pStyle w:val="enumlev1"/>
              <w:rPr>
                <w:rFonts w:eastAsia="Times New Roman" w:cstheme="minorHAnsi"/>
              </w:rPr>
            </w:pPr>
            <w:r w:rsidRPr="006D102C">
              <w:lastRenderedPageBreak/>
              <w:tab/>
            </w:r>
            <w:r w:rsidR="00BB5F84" w:rsidRPr="006D102C">
              <w:t>В 2024 году в Уганде в рамках проекта "Техническая помощь и профессиональная подготовка для Уганды по национальной стратегии развития ИКТ" [9UGA21008] была проведена национальная оценка цифровых навыков с использованием усовершенствованного комплекта материалов МСЭ по цифровым навыкам 2024</w:t>
            </w:r>
            <w:r w:rsidR="00705B18">
              <w:rPr>
                <w:lang w:val="en-GB"/>
              </w:rPr>
              <w:t> </w:t>
            </w:r>
            <w:r w:rsidR="00BB5F84" w:rsidRPr="006D102C">
              <w:t xml:space="preserve">года и дополнительных механизмов; в 2025 году оценка была проведена в Южном Судане. В 2024 году в Кении также была проведена национальная оценка цифровых навыков при финансовой поддержке совместного проекта МСЭ и FCDO Соединенного Королевства "Цифровой доступ". </w:t>
            </w:r>
          </w:p>
          <w:p w14:paraId="55C46024" w14:textId="5FDF3C4D" w:rsidR="00BB5F84" w:rsidRPr="006D102C" w:rsidRDefault="008C6B9A" w:rsidP="008C6B9A">
            <w:pPr>
              <w:pStyle w:val="enumlev1"/>
              <w:rPr>
                <w:rFonts w:eastAsia="Times New Roman" w:cstheme="minorHAnsi"/>
              </w:rPr>
            </w:pPr>
            <w:r w:rsidRPr="006D102C">
              <w:rPr>
                <w:rFonts w:cs="Calibri"/>
              </w:rPr>
              <w:t>•</w:t>
            </w:r>
            <w:r w:rsidRPr="006D102C">
              <w:tab/>
            </w:r>
            <w:r w:rsidR="00BB5F84" w:rsidRPr="006D102C">
              <w:t xml:space="preserve">В </w:t>
            </w:r>
            <w:r w:rsidR="00BB5F84" w:rsidRPr="006D102C">
              <w:rPr>
                <w:b/>
                <w:bCs/>
              </w:rPr>
              <w:t>Северной и Южной Америке</w:t>
            </w:r>
            <w:r w:rsidR="00BB5F84" w:rsidRPr="006D102C">
              <w:t xml:space="preserve"> БРЭ повысило уровень знаний мелких предпринимателей за счет проведения в рамках инициативы "Комплект цифровых материалов для развития навыков предпринимателей, микро- и малых предприятий" семинара-практикума по цифровой трансформации, в котором приняли участие 206</w:t>
            </w:r>
            <w:r w:rsidR="006D102C">
              <w:rPr>
                <w:lang w:val="en-GB"/>
              </w:rPr>
              <w:t> </w:t>
            </w:r>
            <w:r w:rsidR="00BB5F84" w:rsidRPr="006D102C">
              <w:t xml:space="preserve">мелких предпринимателей из стран Латинской Америки – </w:t>
            </w:r>
            <w:r w:rsidR="00BB5F84" w:rsidRPr="006D102C">
              <w:rPr>
                <w:b/>
                <w:bCs/>
              </w:rPr>
              <w:t>Гондураса, Кубы, Парагвая и Уругвая</w:t>
            </w:r>
            <w:r w:rsidR="00BB5F84" w:rsidRPr="006D102C">
              <w:t xml:space="preserve">. Будучи частью </w:t>
            </w:r>
            <w:hyperlink r:id="rId46" w:history="1">
              <w:r w:rsidR="00BB5F84" w:rsidRPr="006D102C">
                <w:rPr>
                  <w:rStyle w:val="Hyperlink"/>
                </w:rPr>
                <w:t>инициативы "Комплект цифровых материалов"</w:t>
              </w:r>
            </w:hyperlink>
            <w:r w:rsidR="00BB5F84" w:rsidRPr="006D102C">
              <w:t xml:space="preserve">, направленной на содействие цифровой трансформации, эти мероприятия в настоящее время проводятся в рамках </w:t>
            </w:r>
            <w:r w:rsidR="00BB5F84" w:rsidRPr="006D102C">
              <w:rPr>
                <w:b/>
                <w:bCs/>
              </w:rPr>
              <w:t>проекта</w:t>
            </w:r>
            <w:r w:rsidR="00BB5F84" w:rsidRPr="006D102C">
              <w:t xml:space="preserve"> </w:t>
            </w:r>
            <w:r w:rsidR="00BB5F84" w:rsidRPr="006D102C">
              <w:rPr>
                <w:b/>
                <w:bCs/>
              </w:rPr>
              <w:t>МСЭ и Huawei</w:t>
            </w:r>
            <w:r w:rsidR="00BB5F84" w:rsidRPr="006D102C">
              <w:t xml:space="preserve"> в поддержку региональных инициатив для Северной и Южной Америки. </w:t>
            </w:r>
          </w:p>
          <w:p w14:paraId="69A92E33" w14:textId="565779BC" w:rsidR="00BB5F84" w:rsidRPr="006D102C" w:rsidRDefault="008C6B9A" w:rsidP="008C6B9A">
            <w:pPr>
              <w:pStyle w:val="enumlev1"/>
              <w:rPr>
                <w:rFonts w:eastAsia="Times New Roman" w:cstheme="minorHAnsi"/>
              </w:rPr>
            </w:pPr>
            <w:r w:rsidRPr="006D102C">
              <w:tab/>
            </w:r>
            <w:r w:rsidR="00BB5F84" w:rsidRPr="006D102C">
              <w:t xml:space="preserve">Кроме того, БРЭ помогло </w:t>
            </w:r>
            <w:r w:rsidR="00BB5F84" w:rsidRPr="006D102C">
              <w:rPr>
                <w:b/>
                <w:bCs/>
              </w:rPr>
              <w:t>коренным народам и сельским сообществам усовершенствовать навыки управления проектами</w:t>
            </w:r>
            <w:r w:rsidR="00BB5F84" w:rsidRPr="006D102C">
              <w:t xml:space="preserve">, организовав пятимодульный онлайновый курс на платформе Академии МСЭ и очный тренинг по созданию общинных сетей в Гватемале, а также </w:t>
            </w:r>
            <w:r w:rsidR="00BB5F84" w:rsidRPr="006D102C">
              <w:rPr>
                <w:b/>
                <w:bCs/>
              </w:rPr>
              <w:t>повысило уровень информированности в вопросах обеспечения доступности ИКТ п</w:t>
            </w:r>
            <w:r w:rsidR="00BB5F84" w:rsidRPr="006D102C">
              <w:t>осредством проведения учебной сессии для старших должностных лиц в рамках мероприятия "Доступная Северная и Южная Америка – 2024: ИКТ для всех" (Мехико, 12</w:t>
            </w:r>
            <w:r w:rsidR="00DE502B" w:rsidRPr="006D102C">
              <w:t>−</w:t>
            </w:r>
            <w:r w:rsidR="00BB5F84" w:rsidRPr="006D102C">
              <w:t>14</w:t>
            </w:r>
            <w:r w:rsidR="00DE502B" w:rsidRPr="006D102C">
              <w:t> </w:t>
            </w:r>
            <w:r w:rsidR="00BB5F84" w:rsidRPr="006D102C">
              <w:t>ноября 2024 г.).</w:t>
            </w:r>
          </w:p>
          <w:p w14:paraId="1A5E54AA" w14:textId="6A09A28F" w:rsidR="00BB5F84" w:rsidRPr="006D102C" w:rsidRDefault="008C6B9A" w:rsidP="008C6B9A">
            <w:pPr>
              <w:pStyle w:val="enumlev1"/>
              <w:rPr>
                <w:rFonts w:cstheme="minorHAnsi"/>
                <w:b/>
                <w:bCs/>
              </w:rPr>
            </w:pPr>
            <w:r w:rsidRPr="006D102C">
              <w:tab/>
            </w:r>
            <w:r w:rsidR="00BB5F84" w:rsidRPr="006D102C">
              <w:t>МСЭ совместно с Управлением электросвязи (TATT) и Министерством цифровой трансформации Тринидада и Тобаго завершает подготовку проекта по развитию цифровых навыков, реализацию которого планируется начать в 2025 году. Проект призван поддержать усилия Министерства по укреплению потенциала горизонтального и вертикального воздействия цифровой трансформации и обучить людей цифровым навыкам базового, среднего и продвинутого уровней, которые позволят им идти в ногу с современными и будущими тенденциями в области цифровой экономики. Ожидается, что в рамках проекта будут подготовлены 40 наставников и обучены 10 тыс. человек (50 процентов – мужчины и 50 процентов – женщины).</w:t>
            </w:r>
          </w:p>
          <w:p w14:paraId="2FE2B415" w14:textId="5E1BFB40" w:rsidR="00BB5F84" w:rsidRPr="006D102C" w:rsidRDefault="008C6B9A" w:rsidP="008C6B9A">
            <w:pPr>
              <w:pStyle w:val="enumlev1"/>
              <w:rPr>
                <w:rFonts w:cstheme="minorHAnsi"/>
              </w:rPr>
            </w:pPr>
            <w:r w:rsidRPr="006D102C">
              <w:rPr>
                <w:rFonts w:cs="Calibri"/>
              </w:rPr>
              <w:t>•</w:t>
            </w:r>
            <w:r w:rsidRPr="006D102C">
              <w:rPr>
                <w:b/>
                <w:bCs/>
              </w:rPr>
              <w:tab/>
            </w:r>
            <w:r w:rsidR="00BB5F84" w:rsidRPr="006D102C">
              <w:rPr>
                <w:b/>
                <w:bCs/>
              </w:rPr>
              <w:t>Арабские государства</w:t>
            </w:r>
            <w:r w:rsidR="00BB5F84" w:rsidRPr="006D102C">
              <w:t>: В Тунисе в партнерстве с Германским агентством по международному сотрудничеству (GIZ) была завершена реализация совместного проекта, направленного на ускорение цифровой трансформации в стране. Главная задача проекта заключалась в поддержке государственных инициатив в двух стратегических областях – развитие цифрового потенциала и совершенствование инфраструктуры. Благодаря тесному сотрудничеству со всеми заинтересованными сторонами МСЭ успешно достиг цели проекта, обучив на курсах Академии МСЭ 217 сотрудников государственных органов.</w:t>
            </w:r>
          </w:p>
          <w:p w14:paraId="2723578E" w14:textId="4E6EF936" w:rsidR="00BB5F84" w:rsidRPr="006D102C" w:rsidRDefault="008C6B9A" w:rsidP="008C6B9A">
            <w:pPr>
              <w:pStyle w:val="enumlev1"/>
              <w:rPr>
                <w:rFonts w:cstheme="minorHAnsi"/>
              </w:rPr>
            </w:pPr>
            <w:r w:rsidRPr="006D102C">
              <w:rPr>
                <w:rFonts w:cs="Calibri"/>
              </w:rPr>
              <w:lastRenderedPageBreak/>
              <w:t>•</w:t>
            </w:r>
            <w:r w:rsidRPr="006D102C">
              <w:tab/>
            </w:r>
            <w:r w:rsidR="00BB5F84" w:rsidRPr="006D102C">
              <w:rPr>
                <w:b/>
                <w:bCs/>
              </w:rPr>
              <w:t>Азиатско-Тихоокеанский регион</w:t>
            </w:r>
            <w:r w:rsidR="00BB5F84" w:rsidRPr="006D102C">
              <w:t>: МСЭ и Управление Верховного комиссара Организации Объединенных Наций по делам беженцев (УВКБ ООН) с помощью платформы Digital Gateway совместно провели комплексную оценку владения цифровыми навыками среди беженцев в Индии, чтобы выявить пробелы в цифровой грамотности и повысить степень их интеграции и участия в жизни общества. Эта инициатива направлена на удовлетворение потребностей более 47 тыс. беженцев и просителей убежища, зарегистрированных УВКБ ООН в Индии. Исследование проводилось в два этапа и включало разработку методики с учетом уникальной ситуации беженцев и в соответствии с мировой передовой практикой и этическими стандартами. Цель оценки заключается в сокращении цифровых разрывов и содействии расширению прав и возможностей беженцев путем улучшения доступа к цифровым инструментам и навыкам. Это сотрудничество является свидетельством приверженности МСЭ обеспечению всеохватной цифровой трансформации и достижению Целей в области устойчивого развития.</w:t>
            </w:r>
          </w:p>
          <w:p w14:paraId="11E2B8D5" w14:textId="07795390" w:rsidR="00BB5F84" w:rsidRPr="00705B18" w:rsidRDefault="008C6B9A" w:rsidP="008C6B9A">
            <w:pPr>
              <w:pStyle w:val="enumlev1"/>
              <w:rPr>
                <w:rFonts w:eastAsiaTheme="minorEastAsia" w:cstheme="minorHAnsi"/>
                <w:lang w:val="en-GB"/>
              </w:rPr>
            </w:pPr>
            <w:r w:rsidRPr="006D102C">
              <w:rPr>
                <w:rFonts w:cs="Calibri"/>
              </w:rPr>
              <w:t>•</w:t>
            </w:r>
            <w:r w:rsidRPr="006D102C">
              <w:tab/>
            </w:r>
            <w:r w:rsidR="00BB5F84" w:rsidRPr="006D102C">
              <w:rPr>
                <w:b/>
                <w:bCs/>
              </w:rPr>
              <w:t>СНГ</w:t>
            </w:r>
            <w:r w:rsidR="00BB5F84" w:rsidRPr="006D102C">
              <w:t>: Была проведена оценка цифровых навыков в Азербайджане, и полученные результаты были представлены партнерам Азербайджана в мае 2024 года на специальной сессии, состоявшейся в рамках конференции M360 в Баку. Заключительный отчет, опубликованный в ноябре 2024 года, служит ценным ресурсом для разработки целевых мероприятий, основанных на данных, необходимых для повышения уровня цифровой грамотности в Азербайджане. Публикация также может послужить моделью для более регулярной оценки уровня цифровой грамотности в Азербайджане. Кроме того, рекомендации служат основой для разработки и планирования соответствующих мероприятий, политики и стратегий, включая отраслевые мероприятия, кампании по повышению осведомленности и пропагандистскую деятельность.</w:t>
            </w:r>
          </w:p>
          <w:p w14:paraId="41D9797A" w14:textId="75AE8B75" w:rsidR="00BB5F84" w:rsidRPr="006D102C" w:rsidRDefault="00B11C41" w:rsidP="008C6B9A">
            <w:pPr>
              <w:pStyle w:val="enumlev1"/>
              <w:rPr>
                <w:rFonts w:eastAsia="Times New Roman" w:cstheme="minorHAnsi"/>
              </w:rPr>
            </w:pPr>
            <w:r w:rsidRPr="006D102C">
              <w:rPr>
                <w:rFonts w:cs="Calibri"/>
              </w:rPr>
              <w:t>•</w:t>
            </w:r>
            <w:r w:rsidR="008C6B9A" w:rsidRPr="006D102C">
              <w:tab/>
            </w:r>
            <w:r w:rsidR="00BB5F84" w:rsidRPr="006D102C">
              <w:t xml:space="preserve">В </w:t>
            </w:r>
            <w:r w:rsidR="00BB5F84" w:rsidRPr="006D102C">
              <w:rPr>
                <w:b/>
                <w:bCs/>
              </w:rPr>
              <w:t>Европе</w:t>
            </w:r>
            <w:r w:rsidR="00BB5F84" w:rsidRPr="006D102C">
              <w:t xml:space="preserve"> по итогам переговоров с партнерами из системы ООН была достигнута договоренность о проведении совместно с МОТ оценки цифровой грамотности взрослого населения Молдовы. В настоящее время завершается подготовка соглашения между учреждениями ООН, в котором будет закреплена рамочная основа для совместной деятельности с МОТ в Молдове по линии уже реализуемого в стране проекта "Инклюзивная и производительная занятость в Молдове". Проект предусматривает проведение оценки уровня цифровой грамотности среди жителей сельских районов в возрасте старше 45 лет с уделением особого внимания женщинам и группам населения, находящимся в неблагоприятном положении, в целях выявления пробелов в навыках, сказывающихся на трудоустройстве. Цель заключается в улучшении возможностей трудоустройства путем устранения этих пробелов и формирования необходимых технических навыков.</w:t>
            </w:r>
          </w:p>
        </w:tc>
        <w:tc>
          <w:tcPr>
            <w:tcW w:w="3086" w:type="dxa"/>
            <w:tcBorders>
              <w:top w:val="dotted" w:sz="4" w:space="0" w:color="0070C0"/>
              <w:left w:val="dotted" w:sz="4" w:space="0" w:color="0070C0"/>
              <w:bottom w:val="dotted" w:sz="4" w:space="0" w:color="0070C0"/>
              <w:right w:val="dotted" w:sz="4" w:space="0" w:color="0070C0"/>
            </w:tcBorders>
          </w:tcPr>
          <w:p w14:paraId="4F161CB4" w14:textId="77777777" w:rsidR="00BB5F84" w:rsidRPr="006D102C" w:rsidRDefault="00BB5F84" w:rsidP="000C2445">
            <w:pPr>
              <w:overflowPunct/>
              <w:autoSpaceDE/>
              <w:autoSpaceDN/>
              <w:adjustRightInd/>
              <w:spacing w:after="120"/>
              <w:textAlignment w:val="auto"/>
              <w:rPr>
                <w:rFonts w:cstheme="minorHAnsi"/>
                <w:b/>
                <w:bCs/>
                <w:color w:val="0070C0"/>
              </w:rPr>
            </w:pPr>
            <w:r w:rsidRPr="006D102C">
              <w:rPr>
                <w:rFonts w:cstheme="minorHAnsi"/>
                <w:b/>
                <w:bCs/>
                <w:color w:val="0070C0"/>
              </w:rPr>
              <w:lastRenderedPageBreak/>
              <w:t>Развитие потенциала</w:t>
            </w:r>
          </w:p>
        </w:tc>
      </w:tr>
      <w:tr w:rsidR="00BB5F84" w:rsidRPr="006D102C" w14:paraId="7EAFA921" w14:textId="77777777" w:rsidTr="000C2445">
        <w:trPr>
          <w:trHeight w:val="300"/>
        </w:trPr>
        <w:tc>
          <w:tcPr>
            <w:tcW w:w="11798" w:type="dxa"/>
            <w:gridSpan w:val="2"/>
            <w:vMerge/>
          </w:tcPr>
          <w:p w14:paraId="32379CFA" w14:textId="77777777" w:rsidR="00BB5F84" w:rsidRPr="006D102C" w:rsidRDefault="00BB5F84" w:rsidP="00444A11">
            <w:pPr>
              <w:numPr>
                <w:ilvl w:val="0"/>
                <w:numId w:val="2"/>
              </w:numPr>
              <w:overflowPunct/>
              <w:autoSpaceDE/>
              <w:autoSpaceDN/>
              <w:adjustRightInd/>
              <w:spacing w:after="120"/>
              <w:jc w:val="both"/>
              <w:textAlignment w:val="auto"/>
              <w:rPr>
                <w:rFonts w:cstheme="minorHAnsi"/>
              </w:rPr>
            </w:pP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1A8DE669" w14:textId="77777777" w:rsidR="00BB5F84" w:rsidRPr="006D102C" w:rsidRDefault="00BB5F84" w:rsidP="000C2445">
            <w:pPr>
              <w:overflowPunct/>
              <w:autoSpaceDE/>
              <w:autoSpaceDN/>
              <w:adjustRightInd/>
              <w:spacing w:after="120"/>
              <w:textAlignment w:val="auto"/>
              <w:rPr>
                <w:rFonts w:cstheme="minorHAnsi"/>
                <w:color w:val="0070C0"/>
              </w:rPr>
            </w:pPr>
            <w:r w:rsidRPr="006D102C">
              <w:rPr>
                <w:rFonts w:cstheme="minorHAnsi"/>
                <w:b/>
                <w:bCs/>
                <w:color w:val="0070C0"/>
              </w:rPr>
              <w:t>Академия МСЭ</w:t>
            </w:r>
            <w:r w:rsidRPr="006D102C">
              <w:rPr>
                <w:rFonts w:cstheme="minorHAnsi"/>
                <w:color w:val="0070C0"/>
              </w:rPr>
              <w:t>:</w:t>
            </w:r>
          </w:p>
          <w:p w14:paraId="50CCF77A" w14:textId="5BF406A7" w:rsidR="00BB5F84" w:rsidRPr="006D102C" w:rsidRDefault="00D76B19" w:rsidP="00D76B19">
            <w:pPr>
              <w:tabs>
                <w:tab w:val="clear" w:pos="1134"/>
                <w:tab w:val="left" w:pos="346"/>
              </w:tabs>
              <w:ind w:left="346" w:hanging="346"/>
              <w:rPr>
                <w:rFonts w:cstheme="minorBidi"/>
                <w:color w:val="000000"/>
              </w:rPr>
            </w:pPr>
            <w:r w:rsidRPr="006D102C">
              <w:rPr>
                <w:rFonts w:cs="Calibri"/>
                <w:color w:val="000000"/>
              </w:rPr>
              <w:t>•</w:t>
            </w:r>
            <w:r w:rsidRPr="006D102C">
              <w:rPr>
                <w:rFonts w:cs="Calibri"/>
                <w:color w:val="000000"/>
              </w:rPr>
              <w:tab/>
            </w:r>
            <w:r w:rsidR="00BB5F84" w:rsidRPr="006D102C">
              <w:rPr>
                <w:color w:val="000000"/>
              </w:rPr>
              <w:t xml:space="preserve">15 200 новых пользователей. </w:t>
            </w:r>
          </w:p>
          <w:p w14:paraId="623ED909" w14:textId="0E153EA6" w:rsidR="00BB5F84" w:rsidRPr="006D102C" w:rsidRDefault="00D76B19" w:rsidP="00D76B19">
            <w:pPr>
              <w:tabs>
                <w:tab w:val="clear" w:pos="1134"/>
                <w:tab w:val="left" w:pos="346"/>
              </w:tabs>
              <w:ind w:left="346" w:hanging="346"/>
              <w:rPr>
                <w:rFonts w:cstheme="minorBidi"/>
                <w:color w:val="000000"/>
              </w:rPr>
            </w:pPr>
            <w:r w:rsidRPr="006D102C">
              <w:rPr>
                <w:rFonts w:cs="Calibri"/>
                <w:color w:val="000000"/>
              </w:rPr>
              <w:t>•</w:t>
            </w:r>
            <w:r w:rsidRPr="006D102C">
              <w:rPr>
                <w:rFonts w:cs="Calibri"/>
                <w:color w:val="000000"/>
              </w:rPr>
              <w:tab/>
            </w:r>
            <w:r w:rsidR="00BB5F84" w:rsidRPr="006D102C">
              <w:rPr>
                <w:color w:val="000000"/>
              </w:rPr>
              <w:t>Проведено 160 курсов.</w:t>
            </w:r>
          </w:p>
          <w:p w14:paraId="201926AE" w14:textId="60111788" w:rsidR="00BB5F84" w:rsidRPr="006D102C" w:rsidRDefault="00D76B19" w:rsidP="00D76B19">
            <w:pPr>
              <w:tabs>
                <w:tab w:val="clear" w:pos="1134"/>
                <w:tab w:val="left" w:pos="346"/>
              </w:tabs>
              <w:ind w:left="346" w:hanging="346"/>
              <w:rPr>
                <w:rFonts w:cstheme="minorBidi"/>
                <w:color w:val="000000"/>
              </w:rPr>
            </w:pPr>
            <w:r w:rsidRPr="006D102C">
              <w:rPr>
                <w:rFonts w:cs="Calibri"/>
                <w:color w:val="000000"/>
              </w:rPr>
              <w:t>•</w:t>
            </w:r>
            <w:r w:rsidRPr="006D102C">
              <w:rPr>
                <w:rFonts w:cs="Calibri"/>
                <w:color w:val="000000"/>
              </w:rPr>
              <w:tab/>
            </w:r>
            <w:r w:rsidR="00BB5F84" w:rsidRPr="006D102C">
              <w:rPr>
                <w:color w:val="000000"/>
              </w:rPr>
              <w:t>14 ATC, организующих высококачественные курсы во всех регионах.</w:t>
            </w:r>
          </w:p>
          <w:p w14:paraId="7FEDB713" w14:textId="0AC0A336" w:rsidR="00BB5F84" w:rsidRPr="006D102C" w:rsidRDefault="00D76B19" w:rsidP="00D76B19">
            <w:pPr>
              <w:tabs>
                <w:tab w:val="clear" w:pos="1134"/>
                <w:tab w:val="left" w:pos="346"/>
              </w:tabs>
              <w:ind w:left="346" w:hanging="346"/>
              <w:rPr>
                <w:rFonts w:cstheme="minorBidi"/>
                <w:color w:val="000000"/>
              </w:rPr>
            </w:pPr>
            <w:r w:rsidRPr="006D102C">
              <w:rPr>
                <w:rFonts w:cs="Calibri"/>
                <w:color w:val="000000"/>
              </w:rPr>
              <w:t>•</w:t>
            </w:r>
            <w:r w:rsidRPr="006D102C">
              <w:rPr>
                <w:rFonts w:cs="Calibri"/>
                <w:color w:val="000000"/>
              </w:rPr>
              <w:tab/>
            </w:r>
            <w:r w:rsidR="00BB5F84" w:rsidRPr="006D102C">
              <w:rPr>
                <w:color w:val="000000"/>
              </w:rPr>
              <w:t>Учебными курсами воспользовались все Государства – Члены МСЭ.</w:t>
            </w:r>
          </w:p>
          <w:p w14:paraId="5D955A3F" w14:textId="1B420A30" w:rsidR="00BB5F84" w:rsidRPr="006D102C" w:rsidRDefault="00D76B19" w:rsidP="00D76B19">
            <w:pPr>
              <w:tabs>
                <w:tab w:val="clear" w:pos="1134"/>
                <w:tab w:val="left" w:pos="346"/>
              </w:tabs>
              <w:ind w:left="346" w:hanging="346"/>
              <w:rPr>
                <w:rFonts w:cstheme="minorBidi"/>
                <w:color w:val="000000"/>
              </w:rPr>
            </w:pPr>
            <w:r w:rsidRPr="006D102C">
              <w:rPr>
                <w:rFonts w:cs="Calibri"/>
                <w:color w:val="000000"/>
              </w:rPr>
              <w:t>•</w:t>
            </w:r>
            <w:r w:rsidRPr="006D102C">
              <w:rPr>
                <w:rFonts w:cs="Calibri"/>
                <w:color w:val="000000"/>
              </w:rPr>
              <w:tab/>
            </w:r>
            <w:r w:rsidR="00BB5F84" w:rsidRPr="006D102C">
              <w:rPr>
                <w:color w:val="000000"/>
              </w:rPr>
              <w:t>Высокий уровень удовлетворенности участников.</w:t>
            </w:r>
          </w:p>
          <w:p w14:paraId="28E14FFB" w14:textId="77777777" w:rsidR="00BB5F84" w:rsidRPr="006D102C" w:rsidRDefault="00BB5F84" w:rsidP="000C2445">
            <w:pPr>
              <w:overflowPunct/>
              <w:autoSpaceDE/>
              <w:autoSpaceDN/>
              <w:adjustRightInd/>
              <w:spacing w:after="120"/>
              <w:textAlignment w:val="auto"/>
              <w:rPr>
                <w:rFonts w:cstheme="minorHAnsi"/>
                <w:color w:val="0070C0"/>
              </w:rPr>
            </w:pPr>
            <w:r w:rsidRPr="006D102C">
              <w:rPr>
                <w:rFonts w:cstheme="minorHAnsi"/>
                <w:b/>
                <w:bCs/>
                <w:color w:val="0070C0"/>
              </w:rPr>
              <w:t>АТС</w:t>
            </w:r>
            <w:r w:rsidRPr="006D102C">
              <w:rPr>
                <w:rFonts w:cstheme="minorHAnsi"/>
                <w:color w:val="0070C0"/>
              </w:rPr>
              <w:t xml:space="preserve">: </w:t>
            </w:r>
          </w:p>
          <w:p w14:paraId="66C612A5" w14:textId="3FAD4BBD"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14 организаций во всех регионах.</w:t>
            </w:r>
          </w:p>
          <w:p w14:paraId="57C62233" w14:textId="763F73F7" w:rsidR="00BB5F84" w:rsidRPr="006D102C" w:rsidRDefault="00D76B19" w:rsidP="00D76B19">
            <w:pPr>
              <w:tabs>
                <w:tab w:val="clear" w:pos="1134"/>
                <w:tab w:val="left" w:pos="346"/>
              </w:tabs>
              <w:ind w:left="346" w:hanging="346"/>
              <w:rPr>
                <w:rFonts w:cstheme="minorHAnsi"/>
              </w:rPr>
            </w:pPr>
            <w:r w:rsidRPr="006D102C">
              <w:rPr>
                <w:rFonts w:cs="Calibri"/>
                <w:color w:val="000000"/>
              </w:rPr>
              <w:t>•</w:t>
            </w:r>
            <w:r w:rsidRPr="006D102C">
              <w:rPr>
                <w:rFonts w:cs="Calibri"/>
                <w:color w:val="000000"/>
              </w:rPr>
              <w:tab/>
            </w:r>
            <w:r w:rsidR="00BB5F84" w:rsidRPr="006D102C">
              <w:rPr>
                <w:color w:val="000000"/>
              </w:rPr>
              <w:t xml:space="preserve">3099 человек, принявших участие в 64 курсах развития цифровых </w:t>
            </w:r>
            <w:r w:rsidR="00BB5F84" w:rsidRPr="006D102C">
              <w:rPr>
                <w:color w:val="000000"/>
              </w:rPr>
              <w:lastRenderedPageBreak/>
              <w:t>навыков по следующим темам:</w:t>
            </w:r>
          </w:p>
          <w:p w14:paraId="671AEBB2" w14:textId="64250C78" w:rsidR="00BB5F84" w:rsidRPr="006D102C" w:rsidRDefault="00D76B19" w:rsidP="00D76B19">
            <w:pPr>
              <w:ind w:left="692" w:hanging="270"/>
              <w:rPr>
                <w:rFonts w:cstheme="minorHAnsi"/>
              </w:rPr>
            </w:pPr>
            <w:r w:rsidRPr="006D102C">
              <w:t>−</w:t>
            </w:r>
            <w:r w:rsidRPr="006D102C">
              <w:tab/>
            </w:r>
            <w:r w:rsidR="00BB5F84" w:rsidRPr="006D102C">
              <w:t>Политика и регулирование</w:t>
            </w:r>
          </w:p>
          <w:p w14:paraId="0ED0FE75" w14:textId="623B70BD" w:rsidR="00BB5F84" w:rsidRPr="006D102C" w:rsidRDefault="00D76B19" w:rsidP="00D76B19">
            <w:pPr>
              <w:ind w:left="692" w:hanging="270"/>
              <w:rPr>
                <w:rFonts w:cstheme="minorHAnsi"/>
              </w:rPr>
            </w:pPr>
            <w:r w:rsidRPr="006D102C">
              <w:t>−</w:t>
            </w:r>
            <w:r w:rsidRPr="006D102C">
              <w:tab/>
            </w:r>
            <w:r w:rsidR="00BB5F84" w:rsidRPr="006D102C">
              <w:t>Сеть и инфраструктура</w:t>
            </w:r>
          </w:p>
          <w:p w14:paraId="02BE8C79" w14:textId="1D60F860" w:rsidR="00BB5F84" w:rsidRPr="006D102C" w:rsidRDefault="00D76B19" w:rsidP="00D76B19">
            <w:pPr>
              <w:ind w:left="692" w:hanging="270"/>
              <w:rPr>
                <w:rFonts w:cstheme="minorHAnsi"/>
              </w:rPr>
            </w:pPr>
            <w:r w:rsidRPr="006D102C">
              <w:t>−</w:t>
            </w:r>
            <w:r w:rsidRPr="006D102C">
              <w:tab/>
            </w:r>
            <w:r w:rsidR="00BB5F84" w:rsidRPr="006D102C">
              <w:t>Управление использованием спектра</w:t>
            </w:r>
          </w:p>
          <w:p w14:paraId="631FB9BF" w14:textId="2C253C10" w:rsidR="00BB5F84" w:rsidRPr="006D102C" w:rsidRDefault="00D76B19" w:rsidP="00D76B19">
            <w:pPr>
              <w:ind w:left="692" w:hanging="270"/>
              <w:rPr>
                <w:rFonts w:cstheme="minorHAnsi"/>
              </w:rPr>
            </w:pPr>
            <w:r w:rsidRPr="006D102C">
              <w:t>−</w:t>
            </w:r>
            <w:r w:rsidRPr="006D102C">
              <w:tab/>
            </w:r>
            <w:r w:rsidR="00BB5F84" w:rsidRPr="006D102C">
              <w:t>Кибербезопасность</w:t>
            </w:r>
          </w:p>
          <w:p w14:paraId="5325D2A4" w14:textId="2B7E0CB4" w:rsidR="00BB5F84" w:rsidRPr="006D102C" w:rsidRDefault="00D76B19" w:rsidP="00D76B19">
            <w:pPr>
              <w:ind w:left="692" w:hanging="270"/>
              <w:rPr>
                <w:rFonts w:cstheme="minorHAnsi"/>
              </w:rPr>
            </w:pPr>
            <w:r w:rsidRPr="006D102C">
              <w:t>−</w:t>
            </w:r>
            <w:r w:rsidRPr="006D102C">
              <w:tab/>
            </w:r>
            <w:r w:rsidR="00BB5F84" w:rsidRPr="006D102C">
              <w:t>Охват цифровыми технологиями</w:t>
            </w:r>
          </w:p>
          <w:p w14:paraId="6D0ED0E4" w14:textId="1DBA1588" w:rsidR="00BB5F84" w:rsidRPr="006D102C" w:rsidRDefault="00D76B19" w:rsidP="00D76B19">
            <w:pPr>
              <w:ind w:left="692" w:hanging="270"/>
              <w:rPr>
                <w:rFonts w:cstheme="minorHAnsi"/>
              </w:rPr>
            </w:pPr>
            <w:r w:rsidRPr="006D102C">
              <w:t>−</w:t>
            </w:r>
            <w:r w:rsidRPr="006D102C">
              <w:tab/>
            </w:r>
            <w:r w:rsidR="00BB5F84" w:rsidRPr="006D102C">
              <w:t>Цифровые услуги</w:t>
            </w:r>
          </w:p>
          <w:p w14:paraId="392631DD" w14:textId="77777777" w:rsidR="00BB5F84" w:rsidRPr="006D102C" w:rsidRDefault="00BB5F84" w:rsidP="000C2445">
            <w:pPr>
              <w:overflowPunct/>
              <w:autoSpaceDE/>
              <w:autoSpaceDN/>
              <w:adjustRightInd/>
              <w:spacing w:after="120"/>
              <w:textAlignment w:val="auto"/>
              <w:rPr>
                <w:rFonts w:cstheme="minorHAnsi"/>
                <w:b/>
                <w:bCs/>
                <w:color w:val="0070C0"/>
              </w:rPr>
            </w:pPr>
            <w:r w:rsidRPr="006D102C">
              <w:rPr>
                <w:rFonts w:cstheme="minorHAnsi"/>
                <w:b/>
                <w:bCs/>
                <w:color w:val="0070C0"/>
              </w:rPr>
              <w:t>DTC</w:t>
            </w:r>
            <w:r w:rsidRPr="006D102C">
              <w:rPr>
                <w:rFonts w:cstheme="minorHAnsi"/>
                <w:color w:val="0070C0"/>
              </w:rPr>
              <w:t>:</w:t>
            </w:r>
          </w:p>
          <w:p w14:paraId="0953AD73" w14:textId="74300285"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352 курса, проведенных в 14 DTC во всех регионах.</w:t>
            </w:r>
          </w:p>
          <w:p w14:paraId="6A31D729" w14:textId="2F8E8EC9"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80 699 человек (56</w:t>
            </w:r>
            <w:r w:rsidR="006D102C">
              <w:rPr>
                <w:color w:val="000000"/>
                <w:lang w:val="en-GB"/>
              </w:rPr>
              <w:t> </w:t>
            </w:r>
            <w:r w:rsidR="00BB5F84" w:rsidRPr="006D102C">
              <w:rPr>
                <w:color w:val="000000"/>
              </w:rPr>
              <w:t>процентов – женщины) приняло участие в курсах DTC, ориентированных на жителей сельских и отдаленных районов.</w:t>
            </w:r>
          </w:p>
          <w:p w14:paraId="5DFE1526" w14:textId="77777777" w:rsidR="00BB5F84" w:rsidRPr="006D102C" w:rsidRDefault="00BB5F84" w:rsidP="000C2445">
            <w:pPr>
              <w:overflowPunct/>
              <w:autoSpaceDE/>
              <w:autoSpaceDN/>
              <w:adjustRightInd/>
              <w:spacing w:after="120"/>
              <w:textAlignment w:val="auto"/>
              <w:rPr>
                <w:rFonts w:cstheme="minorHAnsi"/>
                <w:b/>
                <w:bCs/>
                <w:color w:val="0070C0"/>
              </w:rPr>
            </w:pPr>
            <w:r w:rsidRPr="006D102C">
              <w:rPr>
                <w:rFonts w:cstheme="minorHAnsi"/>
                <w:b/>
                <w:bCs/>
                <w:color w:val="0070C0"/>
              </w:rPr>
              <w:t>Содействие развитию цифровых навыков среди</w:t>
            </w:r>
            <w:r w:rsidRPr="006D102C">
              <w:rPr>
                <w:rFonts w:cstheme="minorHAnsi"/>
                <w:color w:val="0070C0"/>
              </w:rPr>
              <w:t>:</w:t>
            </w:r>
          </w:p>
          <w:p w14:paraId="777E4538" w14:textId="034800E1"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специалистов в области ИКТ</w:t>
            </w:r>
            <w:r w:rsidRPr="006D102C">
              <w:rPr>
                <w:color w:val="000000"/>
              </w:rPr>
              <w:t>;</w:t>
            </w:r>
          </w:p>
          <w:p w14:paraId="42325D32" w14:textId="7C5667C4"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коренных народов и отдаленных сообществ</w:t>
            </w:r>
            <w:r w:rsidRPr="006D102C">
              <w:rPr>
                <w:color w:val="000000"/>
              </w:rPr>
              <w:t>;</w:t>
            </w:r>
          </w:p>
          <w:p w14:paraId="212E17B7" w14:textId="19D7B49B"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женщин и девушек</w:t>
            </w:r>
            <w:r w:rsidRPr="006D102C">
              <w:rPr>
                <w:color w:val="000000"/>
              </w:rPr>
              <w:t>;</w:t>
            </w:r>
          </w:p>
          <w:p w14:paraId="00508513" w14:textId="0338662B" w:rsidR="00BB5F84" w:rsidRPr="006D102C" w:rsidRDefault="00D76B19" w:rsidP="00D76B19">
            <w:pPr>
              <w:tabs>
                <w:tab w:val="clear" w:pos="1134"/>
                <w:tab w:val="left" w:pos="346"/>
              </w:tabs>
              <w:ind w:left="346" w:hanging="346"/>
              <w:rPr>
                <w:color w:val="000000"/>
              </w:rPr>
            </w:pPr>
            <w:r w:rsidRPr="006D102C">
              <w:rPr>
                <w:rFonts w:cs="Calibri"/>
                <w:color w:val="000000"/>
              </w:rPr>
              <w:lastRenderedPageBreak/>
              <w:t>•</w:t>
            </w:r>
            <w:r w:rsidRPr="006D102C">
              <w:rPr>
                <w:rFonts w:cs="Calibri"/>
                <w:color w:val="000000"/>
              </w:rPr>
              <w:tab/>
            </w:r>
            <w:r w:rsidR="00BB5F84" w:rsidRPr="006D102C">
              <w:rPr>
                <w:color w:val="000000"/>
              </w:rPr>
              <w:t>молодежи</w:t>
            </w:r>
            <w:r w:rsidRPr="006D102C">
              <w:rPr>
                <w:color w:val="000000"/>
              </w:rPr>
              <w:t>;</w:t>
            </w:r>
          </w:p>
          <w:p w14:paraId="2C0DE938" w14:textId="25B43A84"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лиц с ограниченными возможностями</w:t>
            </w:r>
            <w:r w:rsidRPr="006D102C">
              <w:rPr>
                <w:color w:val="000000"/>
              </w:rPr>
              <w:t>;</w:t>
            </w:r>
          </w:p>
          <w:p w14:paraId="2CB8CF7B" w14:textId="3BEC2AAF"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мелких предпринимателей</w:t>
            </w:r>
            <w:r w:rsidRPr="006D102C">
              <w:rPr>
                <w:color w:val="000000"/>
              </w:rPr>
              <w:t>.</w:t>
            </w:r>
          </w:p>
          <w:p w14:paraId="159ABDB4" w14:textId="4F1F20FA" w:rsidR="00BB5F84" w:rsidRPr="006D102C" w:rsidRDefault="00BB5F84" w:rsidP="000C2445">
            <w:pPr>
              <w:overflowPunct/>
              <w:autoSpaceDE/>
              <w:autoSpaceDN/>
              <w:adjustRightInd/>
              <w:spacing w:after="120"/>
              <w:textAlignment w:val="auto"/>
              <w:rPr>
                <w:rFonts w:cstheme="minorHAnsi"/>
              </w:rPr>
            </w:pPr>
            <w:r w:rsidRPr="006D102C">
              <w:rPr>
                <w:rFonts w:cstheme="minorHAnsi"/>
                <w:b/>
                <w:bCs/>
                <w:color w:val="0070C0"/>
              </w:rPr>
              <w:t>НРС/ЛЛДС и СИДС участвуют/получают помощь − Благоприятная политика и регуляторная среда</w:t>
            </w:r>
            <w:r w:rsidRPr="006D102C">
              <w:rPr>
                <w:rFonts w:cstheme="minorHAnsi"/>
                <w:color w:val="0070C0"/>
              </w:rPr>
              <w:t>:</w:t>
            </w:r>
            <w:r w:rsidRPr="006D102C">
              <w:rPr>
                <w:color w:val="000000"/>
              </w:rPr>
              <w:t xml:space="preserve"> всего 47</w:t>
            </w:r>
            <w:r w:rsidR="00D76B19" w:rsidRPr="006D102C">
              <w:rPr>
                <w:color w:val="000000"/>
              </w:rPr>
              <w:t> </w:t>
            </w:r>
            <w:r w:rsidRPr="006D102C">
              <w:rPr>
                <w:color w:val="000000"/>
              </w:rPr>
              <w:t xml:space="preserve">НРС, ЛЛДС и СИДС. </w:t>
            </w:r>
          </w:p>
          <w:p w14:paraId="6C6C6932" w14:textId="1A9269F3"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32 страны получили техническую помощь.</w:t>
            </w:r>
          </w:p>
          <w:p w14:paraId="160C95F5" w14:textId="655C57BF"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Разработано 14</w:t>
            </w:r>
            <w:r w:rsidRPr="006D102C">
              <w:rPr>
                <w:color w:val="000000"/>
              </w:rPr>
              <w:t> </w:t>
            </w:r>
            <w:r w:rsidR="00BB5F84" w:rsidRPr="006D102C">
              <w:rPr>
                <w:color w:val="000000"/>
              </w:rPr>
              <w:t>политических рамочных программ и продуктов знаний.</w:t>
            </w:r>
          </w:p>
          <w:p w14:paraId="7BE195F7" w14:textId="13FC1E71"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 xml:space="preserve">В шести странах проведены занятия по повышению осведомленности. </w:t>
            </w:r>
          </w:p>
          <w:p w14:paraId="18432D41" w14:textId="4A288621" w:rsidR="00BB5F84" w:rsidRPr="006D102C" w:rsidRDefault="00D76B19" w:rsidP="00D76B19">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 xml:space="preserve">В одной стране организована платформа для созыва мероприятий. </w:t>
            </w:r>
          </w:p>
          <w:p w14:paraId="642BC84A" w14:textId="0FAE78DB" w:rsidR="00BB5F84" w:rsidRPr="006D102C" w:rsidRDefault="00D76B19" w:rsidP="00D76B19">
            <w:pPr>
              <w:tabs>
                <w:tab w:val="clear" w:pos="1134"/>
                <w:tab w:val="left" w:pos="346"/>
              </w:tabs>
              <w:ind w:left="346" w:hanging="346"/>
              <w:rPr>
                <w:rFonts w:cstheme="minorHAnsi"/>
              </w:rPr>
            </w:pPr>
            <w:r w:rsidRPr="006D102C">
              <w:rPr>
                <w:rFonts w:cs="Calibri"/>
                <w:color w:val="000000"/>
              </w:rPr>
              <w:t>•</w:t>
            </w:r>
            <w:r w:rsidRPr="006D102C">
              <w:rPr>
                <w:rFonts w:cs="Calibri"/>
                <w:color w:val="000000"/>
              </w:rPr>
              <w:tab/>
            </w:r>
            <w:r w:rsidR="00BB5F84" w:rsidRPr="006D102C">
              <w:rPr>
                <w:color w:val="000000"/>
              </w:rPr>
              <w:t>Ведется два проекта.</w:t>
            </w:r>
          </w:p>
        </w:tc>
      </w:tr>
      <w:tr w:rsidR="00BB5F84" w:rsidRPr="006D102C" w14:paraId="56B7A142" w14:textId="77777777" w:rsidTr="000C2445">
        <w:trPr>
          <w:trHeight w:val="300"/>
        </w:trPr>
        <w:tc>
          <w:tcPr>
            <w:tcW w:w="14884" w:type="dxa"/>
            <w:gridSpan w:val="3"/>
            <w:shd w:val="clear" w:color="auto" w:fill="E5DFEC" w:themeFill="accent4" w:themeFillTint="33"/>
          </w:tcPr>
          <w:p w14:paraId="33F8468F" w14:textId="77777777" w:rsidR="00BB5F84" w:rsidRPr="006D102C" w:rsidRDefault="00BB5F84" w:rsidP="008C6B9A">
            <w:pPr>
              <w:keepNext/>
              <w:overflowPunct/>
              <w:autoSpaceDE/>
              <w:autoSpaceDN/>
              <w:adjustRightInd/>
              <w:spacing w:after="120"/>
              <w:textAlignment w:val="auto"/>
              <w:rPr>
                <w:rFonts w:cstheme="minorHAnsi"/>
                <w:b/>
                <w:bCs/>
                <w:i/>
                <w:iCs/>
                <w:color w:val="000000"/>
              </w:rPr>
            </w:pPr>
            <w:r w:rsidRPr="006D102C">
              <w:rPr>
                <w:b/>
                <w:bCs/>
                <w:i/>
                <w:iCs/>
                <w:color w:val="000000"/>
              </w:rPr>
              <w:lastRenderedPageBreak/>
              <w:t>Конечный результат</w:t>
            </w:r>
            <w:r w:rsidRPr="006D102C">
              <w:rPr>
                <w:i/>
                <w:iCs/>
                <w:color w:val="000000"/>
              </w:rPr>
              <w:t>: укрепление потенциала Государств-Членов для совершенствования политики и нормативно-правовой базы в области электросвязи/ИКТ, способствующих устойчивому развитию и цифровой трансформации</w:t>
            </w:r>
          </w:p>
        </w:tc>
      </w:tr>
      <w:tr w:rsidR="00BB5F84" w:rsidRPr="006D102C" w14:paraId="100BEAA5" w14:textId="77777777" w:rsidTr="000C244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5DB23B7D" w14:textId="5487712F" w:rsidR="00BB5F84" w:rsidRPr="00705B18" w:rsidRDefault="00BB5F84" w:rsidP="000C2445">
            <w:pPr>
              <w:spacing w:after="120"/>
              <w:rPr>
                <w:rFonts w:cstheme="minorHAnsi"/>
                <w:b/>
                <w:bCs/>
                <w:color w:val="1F497D" w:themeColor="text2"/>
                <w:lang w:val="en-GB"/>
              </w:rPr>
            </w:pPr>
            <w:r w:rsidRPr="006D102C">
              <w:rPr>
                <w:rFonts w:cstheme="minorHAnsi"/>
                <w:b/>
                <w:bCs/>
                <w:color w:val="1F497D" w:themeColor="text2"/>
              </w:rPr>
              <w:t>Политика и регулирование</w:t>
            </w:r>
          </w:p>
          <w:p w14:paraId="19A11470" w14:textId="77777777" w:rsidR="00BB5F84" w:rsidRPr="006D102C" w:rsidRDefault="00BB5F84" w:rsidP="00AA3D2A">
            <w:pPr>
              <w:pStyle w:val="Headingb"/>
              <w:rPr>
                <w:rFonts w:eastAsia="Times New Roman" w:cstheme="minorHAnsi"/>
                <w:b w:val="0"/>
                <w:bCs/>
                <w:lang w:val="ru-RU"/>
              </w:rPr>
            </w:pPr>
            <w:r w:rsidRPr="006D102C">
              <w:rPr>
                <w:lang w:val="ru-RU"/>
              </w:rPr>
              <w:t>Возможности членов МСЭ по совершенствованию политики и нормативно-правовой базы расширились за счет повышения осведомленности и увеличения доступа к инструментам, помогающим членам ориентироваться в быстро меняющейся среде и решать новые проблемы цифровой экосистемы, стимулировать инвестиции и создавать условия для более активного роста рынка. Также повысился уровень осведомленности и расширился доступ к регуляторным и экономическим данным и результатам их анализа, что способствовало принятию решений на основе фактической информации</w:t>
            </w:r>
            <w:r w:rsidRPr="006D102C">
              <w:rPr>
                <w:b w:val="0"/>
                <w:bCs/>
                <w:lang w:val="ru-RU"/>
              </w:rPr>
              <w:t>.</w:t>
            </w:r>
          </w:p>
          <w:p w14:paraId="5399C0FD" w14:textId="77777777" w:rsidR="00BB5F84" w:rsidRPr="006D102C" w:rsidRDefault="00BB5F84" w:rsidP="00AA3D2A">
            <w:pPr>
              <w:pStyle w:val="Headingb"/>
              <w:rPr>
                <w:rFonts w:cstheme="minorHAnsi"/>
                <w:lang w:val="ru-RU"/>
              </w:rPr>
            </w:pPr>
            <w:r w:rsidRPr="006D102C">
              <w:rPr>
                <w:lang w:val="ru-RU"/>
              </w:rPr>
              <w:t>Совершенствование юридических и экономических исследований и анализа</w:t>
            </w:r>
            <w:r w:rsidRPr="006D102C">
              <w:rPr>
                <w:b w:val="0"/>
                <w:bCs/>
                <w:lang w:val="ru-RU"/>
              </w:rPr>
              <w:t>:</w:t>
            </w:r>
          </w:p>
          <w:p w14:paraId="4C8D7B82" w14:textId="6B0E08EA" w:rsidR="00BB5F84" w:rsidRPr="00705B18" w:rsidRDefault="00BB5F84" w:rsidP="008C6B9A">
            <w:pPr>
              <w:rPr>
                <w:rFonts w:cstheme="minorHAnsi"/>
                <w:lang w:val="en-GB"/>
              </w:rPr>
            </w:pPr>
            <w:r w:rsidRPr="006D102C">
              <w:t>Продукты, предоставленные в рамках глобальной деятельности за отчетный период:</w:t>
            </w:r>
          </w:p>
          <w:p w14:paraId="6AC7FCA5" w14:textId="52FFC446" w:rsidR="00BB5F84" w:rsidRPr="006D102C" w:rsidRDefault="0041674B" w:rsidP="008C6B9A">
            <w:pPr>
              <w:pStyle w:val="enumlev1"/>
              <w:rPr>
                <w:rFonts w:cstheme="minorHAnsi"/>
                <w:color w:val="000000"/>
              </w:rPr>
            </w:pPr>
            <w:r w:rsidRPr="006D102C">
              <w:rPr>
                <w:rFonts w:cs="Calibri"/>
                <w:color w:val="000000"/>
              </w:rPr>
              <w:t>•</w:t>
            </w:r>
            <w:r w:rsidRPr="006D102C">
              <w:rPr>
                <w:color w:val="000000"/>
              </w:rPr>
              <w:tab/>
            </w:r>
            <w:r w:rsidR="00BB5F84" w:rsidRPr="006D102C">
              <w:rPr>
                <w:color w:val="000000"/>
              </w:rPr>
              <w:t xml:space="preserve">В сотрудничестве с регуляторными органами в области ИКТ Катара и Омана велось два новых исследования в рамках </w:t>
            </w:r>
            <w:hyperlink r:id="rId47" w:history="1">
              <w:r w:rsidR="00BB5F84" w:rsidRPr="006D102C">
                <w:rPr>
                  <w:rStyle w:val="Hyperlink"/>
                </w:rPr>
                <w:t>серии совместных страновых обзоров цифрового регулирования</w:t>
              </w:r>
            </w:hyperlink>
            <w:r w:rsidR="00BB5F84" w:rsidRPr="006D102C">
              <w:rPr>
                <w:color w:val="000000"/>
              </w:rPr>
              <w:t xml:space="preserve">. В ходе совместного проекта МСЭ и Министерства иностранных дел, по делам Содружества и развития Соединенного Королевства (FCDO) было опубликовано </w:t>
            </w:r>
            <w:hyperlink r:id="rId48" w:history="1">
              <w:r w:rsidR="00BB5F84" w:rsidRPr="006D102C">
                <w:rPr>
                  <w:rStyle w:val="Hyperlink"/>
                </w:rPr>
                <w:t>исследование по Южно-Африканской Республике</w:t>
              </w:r>
            </w:hyperlink>
            <w:r w:rsidR="00BB5F84" w:rsidRPr="006D102C">
              <w:rPr>
                <w:color w:val="000000"/>
              </w:rPr>
              <w:t>. Все страновые обзоры проводятся в соответствии со стандартной методикой, и по их результатам предлагается комплекс практических рекомендаций в целях формирования более глубокого понимания роли и значения сотрудничества и совместного управления, а также использования новых инструментов регулирования рынков ИКТ и цифровых рынков.</w:t>
            </w:r>
          </w:p>
          <w:p w14:paraId="15343EA7" w14:textId="49D880E6" w:rsidR="00BB5F84" w:rsidRPr="006D102C" w:rsidDel="00771097" w:rsidRDefault="0041674B" w:rsidP="008C6B9A">
            <w:pPr>
              <w:pStyle w:val="enumlev1"/>
              <w:rPr>
                <w:rFonts w:eastAsia="Times New Roman" w:cstheme="minorHAnsi"/>
              </w:rPr>
            </w:pPr>
            <w:r w:rsidRPr="006D102C">
              <w:rPr>
                <w:rFonts w:cs="Calibri"/>
                <w:color w:val="000000"/>
              </w:rPr>
              <w:t>•</w:t>
            </w:r>
            <w:r w:rsidRPr="006D102C">
              <w:rPr>
                <w:color w:val="000000"/>
              </w:rPr>
              <w:tab/>
            </w:r>
            <w:r w:rsidR="00BB5F84" w:rsidRPr="006D102C">
              <w:rPr>
                <w:color w:val="000000"/>
              </w:rPr>
              <w:t>По итогам Глобального симпозиума для регуляторных органов (ГСР) 2024 года были приняты и распространены Руководящие указания на основе примеров передового опыта "Определение направления развития трансформационных технологий для позитивного воздействия".</w:t>
            </w:r>
          </w:p>
          <w:p w14:paraId="10545820" w14:textId="1478E7FB" w:rsidR="00BB5F84" w:rsidRPr="00705B18" w:rsidRDefault="0041674B" w:rsidP="008C6B9A">
            <w:pPr>
              <w:pStyle w:val="enumlev1"/>
              <w:rPr>
                <w:rFonts w:eastAsia="SimSun" w:cstheme="minorHAnsi"/>
                <w:lang w:val="en-GB"/>
              </w:rPr>
            </w:pPr>
            <w:r w:rsidRPr="006D102C">
              <w:rPr>
                <w:rFonts w:cs="Calibri"/>
                <w:color w:val="000000"/>
              </w:rPr>
              <w:t>•</w:t>
            </w:r>
            <w:r w:rsidRPr="006D102C">
              <w:rPr>
                <w:color w:val="000000"/>
              </w:rPr>
              <w:tab/>
            </w:r>
            <w:r w:rsidR="00BB5F84" w:rsidRPr="006D102C">
              <w:rPr>
                <w:color w:val="000000"/>
              </w:rPr>
              <w:t>Были внесены обновления в существующие статьи об управлении использованием спектра, и в 2025 году была опубликована новая статья о технологии сетей подвижной связи 6G; в мае 2024 года на Digital Regulation Platform (Платформа по цифровому регулированию) было опубликовано два новых документа и статьи, направленные на повышение человеческого и институционального потенциала членов МСЭ. Они посвящены таким темам, как управление данными, проблемы преобразующих технологий (ИИ) и принципы регулирования. Подготовка еще одного документа была завершена, ожидается публикация. Основное внимание в нем уделено руководящим принципам учета экологических, социальных и управленческих аспектов (ESG) в процессе разработки политики и регулирования для обеспечения соответствия.</w:t>
            </w:r>
          </w:p>
          <w:p w14:paraId="0EC573BB" w14:textId="7D683C1B" w:rsidR="00BB5F84" w:rsidRPr="00705B18" w:rsidRDefault="0041674B" w:rsidP="008C6B9A">
            <w:pPr>
              <w:pStyle w:val="enumlev1"/>
              <w:rPr>
                <w:rFonts w:eastAsia="SimSun" w:cstheme="minorHAnsi"/>
                <w:lang w:val="en-GB"/>
              </w:rPr>
            </w:pPr>
            <w:r w:rsidRPr="006D102C">
              <w:rPr>
                <w:rFonts w:cs="Calibri"/>
                <w:color w:val="000000"/>
              </w:rPr>
              <w:lastRenderedPageBreak/>
              <w:t>•</w:t>
            </w:r>
            <w:r w:rsidRPr="006D102C">
              <w:rPr>
                <w:color w:val="000000"/>
              </w:rPr>
              <w:tab/>
            </w:r>
            <w:r w:rsidR="00BB5F84" w:rsidRPr="006D102C">
              <w:rPr>
                <w:color w:val="000000"/>
              </w:rPr>
              <w:t xml:space="preserve">На </w:t>
            </w:r>
            <w:hyperlink r:id="rId49" w:history="1">
              <w:r w:rsidR="00BB5F84" w:rsidRPr="006D102C">
                <w:rPr>
                  <w:rStyle w:val="Hyperlink"/>
                </w:rPr>
                <w:t>Платформе цифрового регулирования</w:t>
              </w:r>
            </w:hyperlink>
            <w:r w:rsidR="00BB5F84" w:rsidRPr="006D102C">
              <w:rPr>
                <w:color w:val="000000"/>
              </w:rPr>
              <w:t xml:space="preserve"> запущено два новых модуля по принятию решений на основе фактических данных и совместному цифровому управлению в целях содействия регуляторным и директивным органам в понимании проблем и возможностей цифровой трансформации. Завершается пересмотр модуля "Доступ для всех" в рамках финансируемого МСЭ и Европейским союзом (ЕС) проекта в Центральной Африке при поддержке Представительства ЕС в Демократической Республике Конго (COFED).</w:t>
            </w:r>
          </w:p>
          <w:p w14:paraId="47F597F0" w14:textId="1C7DF25B" w:rsidR="00BB5F84" w:rsidRPr="006D102C" w:rsidDel="00C007C2" w:rsidRDefault="0041674B" w:rsidP="008C6B9A">
            <w:pPr>
              <w:pStyle w:val="enumlev1"/>
              <w:rPr>
                <w:rFonts w:eastAsia="SimSun" w:cstheme="minorHAnsi"/>
              </w:rPr>
            </w:pPr>
            <w:r w:rsidRPr="006D102C">
              <w:rPr>
                <w:rFonts w:cs="Calibri"/>
                <w:color w:val="000000"/>
              </w:rPr>
              <w:t>•</w:t>
            </w:r>
            <w:r w:rsidRPr="006D102C">
              <w:rPr>
                <w:color w:val="000000"/>
              </w:rPr>
              <w:tab/>
            </w:r>
            <w:r w:rsidR="00BB5F84" w:rsidRPr="006D102C">
              <w:rPr>
                <w:color w:val="000000"/>
              </w:rPr>
              <w:t xml:space="preserve">После участия БРЭ в работе СИДС4 был подготовлен </w:t>
            </w:r>
            <w:hyperlink r:id="rId50" w:anchor="p=1" w:history="1">
              <w:r w:rsidR="00BB5F84" w:rsidRPr="006D102C">
                <w:rPr>
                  <w:rStyle w:val="Hyperlink"/>
                </w:rPr>
                <w:t>план из десяти шагов по ускорению цифровой трансформации в СИДС</w:t>
              </w:r>
            </w:hyperlink>
            <w:r w:rsidR="00BB5F84" w:rsidRPr="006D102C">
              <w:rPr>
                <w:color w:val="000000"/>
              </w:rPr>
              <w:t xml:space="preserve"> – в нем были определены ключевые области действий, в которых МСЭ может оказать поддержку СИДС в ускорении реализации Повестки дня Антигуа и Барбуды для СИДС.</w:t>
            </w:r>
          </w:p>
          <w:p w14:paraId="33D2A536" w14:textId="1873FDFE" w:rsidR="00BB5F84" w:rsidRPr="006D102C" w:rsidRDefault="0041674B" w:rsidP="008C6B9A">
            <w:pPr>
              <w:pStyle w:val="enumlev1"/>
              <w:rPr>
                <w:rFonts w:eastAsia="Aptos" w:cstheme="minorHAnsi"/>
              </w:rPr>
            </w:pPr>
            <w:r w:rsidRPr="006D102C">
              <w:rPr>
                <w:rFonts w:cs="Calibri"/>
                <w:color w:val="000000"/>
              </w:rPr>
              <w:t>•</w:t>
            </w:r>
            <w:r w:rsidRPr="006D102C">
              <w:rPr>
                <w:color w:val="000000"/>
              </w:rPr>
              <w:tab/>
            </w:r>
            <w:r w:rsidR="00BB5F84" w:rsidRPr="006D102C">
              <w:rPr>
                <w:b/>
                <w:bCs/>
                <w:color w:val="000000"/>
              </w:rPr>
              <w:t>Африка</w:t>
            </w:r>
            <w:r w:rsidR="00BB5F84" w:rsidRPr="006D102C">
              <w:rPr>
                <w:color w:val="000000"/>
              </w:rPr>
              <w:t>: В рамках Программы по управлению региональной и национальной инфраструктурой (PAGIRN) МСЭ и ЕС реализуют совместный проект "Рейтинговое тестирование ИКТ в Центральной Африке", направленный на повышение эффективности управления ИКТ в регионе Центральной Африки и содействие разработке политики на основе фактических данных. Была завершена оценка политических и нормативно-правовых рамок в области ИКТ в 11 странах – членах ЭСЦАГ (Экономическое сообщество центральноафриканских государств). Оценка проводилась с целью анализа их эффективности, выявления пробелов и определения аспектов, требующих улучшения. Основное внимание было уделено пониманию того, насколько эти рамки благоприятствуют цифровой трансформации, совместному регулированию и универсальному доступу к услугам и согласуются ли они с передовым международным опытом. Ключевые выводы были представлены заинтересованным сторонам в ходе онлайнового мероприятия в начале октября 2024 года, а в ноябре 2024 года был проведен очный семинар-практикум в Экваториальной Гвинее с целью обсуждения рекомендаций и дорожных карт. Они будут переданы странам-бенефициарам к июню 2025 года. Была оказана техническая помощь Лесото и Южному Судану в разработке их национальных стратегий цифровой трансформации, а также Ассоциации регуляторных органов в области связи стран юга Африки (CRASA) – в пересмотре и обновлении комплекта материалов САДК по финансированию универсального доступа в рамках проекта МСЭ/FCDO.</w:t>
            </w:r>
          </w:p>
          <w:p w14:paraId="3318C5FC" w14:textId="34E3BCA3" w:rsidR="00BB5F84" w:rsidRPr="006D102C" w:rsidRDefault="0041674B" w:rsidP="008C6B9A">
            <w:pPr>
              <w:pStyle w:val="enumlev1"/>
              <w:rPr>
                <w:rFonts w:eastAsia="Times New Roman" w:cstheme="minorHAnsi"/>
              </w:rPr>
            </w:pPr>
            <w:r w:rsidRPr="006D102C">
              <w:rPr>
                <w:rFonts w:cs="Calibri"/>
                <w:color w:val="000000"/>
              </w:rPr>
              <w:t>•</w:t>
            </w:r>
            <w:r w:rsidRPr="006D102C">
              <w:rPr>
                <w:color w:val="000000"/>
              </w:rPr>
              <w:tab/>
            </w:r>
            <w:r w:rsidR="00BB5F84" w:rsidRPr="006D102C">
              <w:rPr>
                <w:color w:val="000000"/>
              </w:rPr>
              <w:t>В</w:t>
            </w:r>
            <w:r w:rsidR="00BB5F84" w:rsidRPr="006D102C">
              <w:rPr>
                <w:b/>
                <w:bCs/>
                <w:color w:val="000000"/>
              </w:rPr>
              <w:t xml:space="preserve"> Северной и Южной Америке</w:t>
            </w:r>
            <w:r w:rsidR="00BB5F84" w:rsidRPr="006D102C">
              <w:rPr>
                <w:color w:val="000000"/>
              </w:rPr>
              <w:t xml:space="preserve"> была оказана техническая помощь правительству Гондураса в рамках инициативы по модернизации нормативно-правовой базы в области ИКТ, осуществляемой в первый год реализации проекта, соглашение о котором было подписано с регуляторным органом электросвязи CONATEL. Помимо того, правительству Панамы были представлены результаты первоначального анализа нормативно-правовой базы в области электросвязи, которые послужат отправной точкой для модернизации отраслевого законодательства в стране.</w:t>
            </w:r>
          </w:p>
          <w:p w14:paraId="58702552" w14:textId="22D6D34B" w:rsidR="00BB5F84" w:rsidRPr="00705B18" w:rsidRDefault="0041674B" w:rsidP="008C6B9A">
            <w:pPr>
              <w:pStyle w:val="enumlev1"/>
              <w:rPr>
                <w:rFonts w:eastAsia="Times New Roman" w:cstheme="minorHAnsi"/>
                <w:lang w:val="en-GB"/>
              </w:rPr>
            </w:pPr>
            <w:r w:rsidRPr="006D102C">
              <w:rPr>
                <w:color w:val="000000"/>
              </w:rPr>
              <w:tab/>
            </w:r>
            <w:r w:rsidR="00BB5F84" w:rsidRPr="006D102C">
              <w:rPr>
                <w:color w:val="000000"/>
              </w:rPr>
              <w:t>В Сент-Китсе и Невисе и Доминике была проведена оценка разработки политики и законодательства в области электронной идентификации (E-ID) с целью усовершенствовать навыки разработки соответствующей политики и регулирования. Это будет способствовать расширению доступа к онлайновым приложениям и цифровым услугам и укреплению доверия при их использовании.</w:t>
            </w:r>
          </w:p>
          <w:p w14:paraId="61548D49" w14:textId="4882EE95" w:rsidR="00BB5F84" w:rsidRPr="006D102C" w:rsidRDefault="0041674B" w:rsidP="0041674B">
            <w:pPr>
              <w:pStyle w:val="enumlev1"/>
              <w:rPr>
                <w:rFonts w:cstheme="minorHAnsi"/>
                <w:color w:val="000000" w:themeColor="text1"/>
              </w:rPr>
            </w:pPr>
            <w:r w:rsidRPr="006D102C">
              <w:rPr>
                <w:rFonts w:cs="Calibri"/>
                <w:color w:val="000000"/>
              </w:rPr>
              <w:lastRenderedPageBreak/>
              <w:t>•</w:t>
            </w:r>
            <w:r w:rsidRPr="006D102C">
              <w:rPr>
                <w:color w:val="000000"/>
              </w:rPr>
              <w:tab/>
            </w:r>
            <w:r w:rsidR="00BB5F84" w:rsidRPr="006D102C">
              <w:t>В</w:t>
            </w:r>
            <w:r w:rsidR="00BB5F84" w:rsidRPr="006D102C">
              <w:rPr>
                <w:b/>
                <w:bCs/>
              </w:rPr>
              <w:t xml:space="preserve"> арабских государствах</w:t>
            </w:r>
            <w:r w:rsidR="00BB5F84" w:rsidRPr="006D102C">
              <w:t xml:space="preserve"> БРЭ оказало техническую помощь Сирии и завершило подготовку отчетов для второго этапа обзора и анализа рынка ИКТ, а также разработало механизм регулирования ценообразования для Регуляторного органа почты и электросвязи (SyTPRA). Этот этап предусматривал оказание профильному министерству и сирийскому регуляторному органу поддержки в процессе консультаций для окончательного подведения итогов обзора и анализа рынка, а также в разработке отчета с рекомендациями относительно механизма регулирования цен на услуги ИКТ.</w:t>
            </w:r>
          </w:p>
          <w:p w14:paraId="03BD02D7" w14:textId="62079E46" w:rsidR="00BB5F84" w:rsidRPr="00705B18" w:rsidRDefault="0041674B" w:rsidP="0041674B">
            <w:pPr>
              <w:pStyle w:val="enumlev1"/>
              <w:rPr>
                <w:rFonts w:cstheme="minorHAnsi"/>
              </w:rPr>
            </w:pPr>
            <w:r w:rsidRPr="006D102C">
              <w:rPr>
                <w:rFonts w:cs="Calibri"/>
                <w:color w:val="000000"/>
              </w:rPr>
              <w:t>•</w:t>
            </w:r>
            <w:r w:rsidRPr="006D102C">
              <w:rPr>
                <w:color w:val="000000"/>
              </w:rPr>
              <w:tab/>
            </w:r>
            <w:r w:rsidR="00BB5F84" w:rsidRPr="006D102C">
              <w:t>В</w:t>
            </w:r>
            <w:r w:rsidR="00BB5F84" w:rsidRPr="006D102C">
              <w:rPr>
                <w:b/>
                <w:bCs/>
              </w:rPr>
              <w:t xml:space="preserve"> Азиатско-Тихоокеанском регионе</w:t>
            </w:r>
            <w:r w:rsidR="00BB5F84" w:rsidRPr="006D102C">
              <w:t xml:space="preserve"> в рамках программы "Приоритетные области сотрудничества" (ПОС) велась работа по укреплению взаимодействия с АСЕАН, что включало в себя разработку эталонных принципов взаимодействия со странами АСЕАН, охватывающих ключевые продукты и услуги БРЭ. БРЭ также оказало </w:t>
            </w:r>
            <w:r w:rsidR="00BB5F84" w:rsidRPr="006D102C">
              <w:rPr>
                <w:b/>
                <w:bCs/>
              </w:rPr>
              <w:t>техническую помощь в разработке политики универсального обслуживания и политики совместного использования инфраструктуры</w:t>
            </w:r>
            <w:r w:rsidR="00BB5F84" w:rsidRPr="006D102C">
              <w:t>, и в настоящее время проводятся мероприятия, направленные на расширение возможностей установления соединений в сельских и отдаленных районах Тонги и Вануату. Для оказания дополнительной поддержки Государствам-Членам в Азиатско-Тихоокеанском регионе создается хранилище политических документов и нормативных актов, позволяющее Государствам-Членам легко обращаться к политической практике стран региона.</w:t>
            </w:r>
          </w:p>
          <w:p w14:paraId="05229301" w14:textId="77777777" w:rsidR="00BB5F84" w:rsidRPr="006D102C" w:rsidRDefault="00BB5F84" w:rsidP="0041674B">
            <w:pPr>
              <w:pStyle w:val="Headingb"/>
              <w:rPr>
                <w:rFonts w:cstheme="minorHAnsi"/>
                <w:b w:val="0"/>
                <w:bCs/>
                <w:lang w:val="ru-RU"/>
              </w:rPr>
            </w:pPr>
            <w:r w:rsidRPr="006D102C">
              <w:rPr>
                <w:lang w:val="ru-RU"/>
              </w:rPr>
              <w:t>Улучшение предоставления регуляторных и экономических данных и статистических сведений</w:t>
            </w:r>
            <w:r w:rsidRPr="006D102C">
              <w:rPr>
                <w:b w:val="0"/>
                <w:bCs/>
                <w:lang w:val="ru-RU"/>
              </w:rPr>
              <w:t>:</w:t>
            </w:r>
          </w:p>
          <w:p w14:paraId="1A6E36E0" w14:textId="2674A4E9" w:rsidR="00BB5F84" w:rsidRPr="00705B18" w:rsidRDefault="0041674B" w:rsidP="0041674B">
            <w:pPr>
              <w:pStyle w:val="enumlev1"/>
              <w:rPr>
                <w:rFonts w:eastAsia="Times New Roman" w:cstheme="minorHAnsi"/>
                <w:lang w:val="en-GB"/>
              </w:rPr>
            </w:pPr>
            <w:r w:rsidRPr="006D102C">
              <w:rPr>
                <w:rFonts w:cs="Calibri"/>
                <w:color w:val="000000"/>
              </w:rPr>
              <w:t>•</w:t>
            </w:r>
            <w:r w:rsidRPr="006D102C">
              <w:rPr>
                <w:color w:val="000000"/>
              </w:rPr>
              <w:tab/>
            </w:r>
            <w:r w:rsidR="00BB5F84" w:rsidRPr="006D102C">
              <w:t xml:space="preserve">В 2024 году членам были разосланы опросники по регуляторной и тарифной политике. Собранные данные анализируются, интегрируются и публикуются в </w:t>
            </w:r>
            <w:hyperlink r:id="rId51" w:history="1">
              <w:r w:rsidR="00BB5F84" w:rsidRPr="006D102C">
                <w:rPr>
                  <w:rStyle w:val="Hyperlink"/>
                </w:rPr>
                <w:t>Центре данных МСЭ</w:t>
              </w:r>
            </w:hyperlink>
            <w:r w:rsidR="00BB5F84" w:rsidRPr="006D102C">
              <w:t>.</w:t>
            </w:r>
          </w:p>
          <w:p w14:paraId="113BFAFB" w14:textId="109432D8" w:rsidR="00BB5F84" w:rsidRPr="006D102C" w:rsidRDefault="0041674B" w:rsidP="0041674B">
            <w:pPr>
              <w:pStyle w:val="enumlev1"/>
              <w:rPr>
                <w:rFonts w:eastAsia="Times New Roman" w:cstheme="minorHAnsi"/>
              </w:rPr>
            </w:pPr>
            <w:r w:rsidRPr="006D102C">
              <w:rPr>
                <w:rFonts w:cs="Calibri"/>
                <w:color w:val="000000"/>
              </w:rPr>
              <w:t>•</w:t>
            </w:r>
            <w:r w:rsidRPr="006D102C">
              <w:rPr>
                <w:color w:val="000000"/>
              </w:rPr>
              <w:tab/>
            </w:r>
            <w:r w:rsidR="00BB5F84" w:rsidRPr="006D102C">
              <w:t>В 2022 году вышла онлайновая версия Инструмента отслеживания нормативной базы в области ИКТ (ICT Regulatory Tracker). Являясь одним из наиболее комплексных показателей оценки зрелости регулирования и регуляторного потенциала в области ИКТ с 2007 года, ICT Regulatory Tracker широко используется регуляторными органами, организациями системы ООН и исследователями. Он размещен на платформе Ускорителя G5, где доступны все регуляторные контрольные показатели МСЭ, что позволяет проводить анализ по индивидуальным параметрам и подробно изучать данные по 100 показателям в разбивке по регионам и странам.</w:t>
            </w:r>
          </w:p>
          <w:p w14:paraId="45182D39" w14:textId="77777777" w:rsidR="00BB5F84" w:rsidRPr="006D102C" w:rsidRDefault="00BB5F84" w:rsidP="0041674B">
            <w:pPr>
              <w:pStyle w:val="Headingb"/>
              <w:rPr>
                <w:b w:val="0"/>
                <w:bCs/>
                <w:lang w:val="ru-RU"/>
              </w:rPr>
            </w:pPr>
            <w:r w:rsidRPr="006D102C">
              <w:rPr>
                <w:lang w:val="ru-RU"/>
              </w:rPr>
              <w:t>БРЭ также предоставляет платформы для созыва мероприятий, инструменты, услуги, а также техническую помощь для укрепления потенциала физических и юридических лиц путем обмена знаниями и развития их способности решать проблемы и использовать возможности цифровой трансформации</w:t>
            </w:r>
            <w:r w:rsidRPr="006D102C">
              <w:rPr>
                <w:b w:val="0"/>
                <w:bCs/>
                <w:lang w:val="ru-RU"/>
              </w:rPr>
              <w:t>.</w:t>
            </w:r>
          </w:p>
          <w:p w14:paraId="4B8BCCD5" w14:textId="00E3401C" w:rsidR="00BB5F84" w:rsidRPr="006D102C" w:rsidRDefault="0041674B" w:rsidP="0041674B">
            <w:pPr>
              <w:pStyle w:val="enumlev1"/>
            </w:pPr>
            <w:r w:rsidRPr="006D102C">
              <w:rPr>
                <w:rFonts w:cs="Calibri"/>
                <w:color w:val="000000"/>
              </w:rPr>
              <w:t>•</w:t>
            </w:r>
            <w:r w:rsidRPr="006D102C">
              <w:rPr>
                <w:color w:val="000000"/>
              </w:rPr>
              <w:tab/>
            </w:r>
            <w:r w:rsidR="00BB5F84" w:rsidRPr="006D102C">
              <w:t>В</w:t>
            </w:r>
            <w:r w:rsidR="00BB5F84" w:rsidRPr="006D102C">
              <w:rPr>
                <w:b/>
                <w:bCs/>
              </w:rPr>
              <w:t xml:space="preserve"> Африке</w:t>
            </w:r>
            <w:r w:rsidR="00BB5F84" w:rsidRPr="006D102C">
              <w:t xml:space="preserve"> в сотрудничестве с Комиссией по связи, космосу и технологиям (CST) Саудовской Аравии, Исламским банком развития (ИБР) и проектом МСЭ/FCDO была организована </w:t>
            </w:r>
            <w:r w:rsidR="00BB5F84" w:rsidRPr="006D102C">
              <w:rPr>
                <w:b/>
                <w:bCs/>
              </w:rPr>
              <w:t>профессиональная подготовка по регулированию цифровой среды для Африканского региона</w:t>
            </w:r>
            <w:r w:rsidR="00BB5F84" w:rsidRPr="006D102C">
              <w:t xml:space="preserve">. Мероприятие проходило в два этапа: в онлайновом режиме (12 и 14 ноября) и в очном формате (18–20 ноября) в Абудже, Нигерия, при содействии Комиссии по связи Нигерии (NCC). В двухэтапной программе обучения, посвященной стратегиям цифровой </w:t>
            </w:r>
            <w:r w:rsidR="00BB5F84" w:rsidRPr="006D102C">
              <w:lastRenderedPageBreak/>
              <w:t>трансформации, регуляторному управлению, принятию решений на основе фактических данных, регуляторным "песочницам", конкуренции и экономике (анализу рынка), совместному использованию инфраструктуры, а также эффективности финансирования универсального доступа и услуг, приняли участие 44 человека, 32 процента из которых − женщины из 16 стран; 39 участников получили сертификаты.</w:t>
            </w:r>
          </w:p>
          <w:p w14:paraId="4D3DDB26" w14:textId="291F2CD8" w:rsidR="00BB5F84" w:rsidRPr="006D102C" w:rsidRDefault="0041674B" w:rsidP="0041674B">
            <w:pPr>
              <w:pStyle w:val="enumlev1"/>
            </w:pPr>
            <w:r w:rsidRPr="006D102C">
              <w:rPr>
                <w:rFonts w:cs="Calibri"/>
                <w:color w:val="000000"/>
              </w:rPr>
              <w:t>•</w:t>
            </w:r>
            <w:r w:rsidRPr="006D102C">
              <w:rPr>
                <w:color w:val="000000"/>
              </w:rPr>
              <w:tab/>
            </w:r>
            <w:r w:rsidR="00BB5F84" w:rsidRPr="006D102C">
              <w:t>В</w:t>
            </w:r>
            <w:r w:rsidR="00BB5F84" w:rsidRPr="006D102C">
              <w:rPr>
                <w:b/>
                <w:bCs/>
              </w:rPr>
              <w:t xml:space="preserve"> Азиатско-Тихоокеанском регионе</w:t>
            </w:r>
            <w:r w:rsidR="00BB5F84" w:rsidRPr="006D102C">
              <w:t xml:space="preserve"> учебное мероприятие для старших должностных лиц малых стран (Цифровой форум для малых стран) по вопросам формирования основы для цифрового будущего, организованное в ноябре 2024 года на базе Управления по развитию инфокоммуникационных средств (IMDA) в Сингапуре, способствовало укреплению приверженности цифровой трансформации в малых государствах в духе инициативы </w:t>
            </w:r>
            <w:r w:rsidR="00BB5F84" w:rsidRPr="006D102C">
              <w:rPr>
                <w:b/>
                <w:bCs/>
              </w:rPr>
              <w:t xml:space="preserve">цифровой коалиции </w:t>
            </w:r>
            <w:r w:rsidR="00BB5F84" w:rsidRPr="006D102C">
              <w:t>"</w:t>
            </w:r>
            <w:r w:rsidR="00BB5F84" w:rsidRPr="006D102C">
              <w:rPr>
                <w:b/>
                <w:bCs/>
              </w:rPr>
              <w:t>Партнерства для подключения</w:t>
            </w:r>
            <w:r w:rsidR="00BB5F84" w:rsidRPr="006D102C">
              <w:t>"</w:t>
            </w:r>
            <w:r w:rsidR="00BB5F84" w:rsidRPr="006D102C">
              <w:rPr>
                <w:b/>
                <w:bCs/>
              </w:rPr>
              <w:t xml:space="preserve"> (P2C) </w:t>
            </w:r>
            <w:r w:rsidR="00BB5F84" w:rsidRPr="006D102C">
              <w:t xml:space="preserve">и на благо членов во всем мире. Обучение было направлено на повышение квалификации сотрудников директивных и регуляторных органов малых государств в области регулирования цифровой среды; в нем приняли участие 25 представителей 25 стран. </w:t>
            </w:r>
          </w:p>
          <w:p w14:paraId="590D1D7D" w14:textId="2C081690" w:rsidR="00BB5F84" w:rsidRPr="006D102C" w:rsidRDefault="0041674B" w:rsidP="0041674B">
            <w:pPr>
              <w:pStyle w:val="enumlev1"/>
            </w:pPr>
            <w:r w:rsidRPr="006D102C">
              <w:rPr>
                <w:rFonts w:cs="Calibri"/>
                <w:color w:val="000000"/>
              </w:rPr>
              <w:t>•</w:t>
            </w:r>
            <w:r w:rsidRPr="006D102C">
              <w:rPr>
                <w:color w:val="000000"/>
              </w:rPr>
              <w:tab/>
            </w:r>
            <w:r w:rsidR="00BB5F84" w:rsidRPr="006D102C">
              <w:t>В</w:t>
            </w:r>
            <w:r w:rsidR="00BB5F84" w:rsidRPr="006D102C">
              <w:rPr>
                <w:b/>
                <w:bCs/>
              </w:rPr>
              <w:t xml:space="preserve"> Северной и Южной Америке </w:t>
            </w:r>
            <w:r w:rsidR="00BB5F84" w:rsidRPr="006D102C">
              <w:t xml:space="preserve">БРЭ оказало техническую помощь Никарагуа в вопросах внедрения инноваций в области регулирования и создания регуляторных "песочниц", дополнительно подготовив технический документ и предложение по регулированию. На Гаити при поддержке инициативы "Соединение для восстановления" (C2R) было проведено </w:t>
            </w:r>
            <w:r w:rsidR="00BB5F84" w:rsidRPr="006D102C">
              <w:rPr>
                <w:b/>
                <w:bCs/>
              </w:rPr>
              <w:t>мероприятие по оценке устойчивости сетей</w:t>
            </w:r>
            <w:r w:rsidR="00BB5F84" w:rsidRPr="006D102C">
              <w:t>, благодаря которому прошедшие обучение участники улучшили свои навыки по разработке новых мер политики и правил и принятию более эффективных решений в области управления рисками стихийных бедствий и оптимизации использования цифровых услуг.</w:t>
            </w:r>
          </w:p>
          <w:p w14:paraId="673138B2" w14:textId="6E3116D2" w:rsidR="00BB5F84" w:rsidRPr="006D102C" w:rsidRDefault="0041674B" w:rsidP="0041674B">
            <w:pPr>
              <w:pStyle w:val="enumlev1"/>
              <w:rPr>
                <w:rFonts w:eastAsia="SimSun"/>
                <w:color w:val="000000" w:themeColor="text1"/>
              </w:rPr>
            </w:pPr>
            <w:r w:rsidRPr="006D102C">
              <w:rPr>
                <w:rFonts w:cs="Calibri"/>
                <w:color w:val="000000"/>
              </w:rPr>
              <w:t>•</w:t>
            </w:r>
            <w:r w:rsidRPr="006D102C">
              <w:rPr>
                <w:color w:val="000000"/>
              </w:rPr>
              <w:tab/>
            </w:r>
            <w:r w:rsidR="00BB5F84" w:rsidRPr="006D102C">
              <w:rPr>
                <w:bCs/>
                <w:color w:val="000000" w:themeColor="text1"/>
              </w:rPr>
              <w:t>В</w:t>
            </w:r>
            <w:r w:rsidR="00BB5F84" w:rsidRPr="006D102C">
              <w:rPr>
                <w:b/>
                <w:color w:val="000000" w:themeColor="text1"/>
              </w:rPr>
              <w:t xml:space="preserve"> арабских государствах </w:t>
            </w:r>
            <w:r w:rsidR="00BB5F84" w:rsidRPr="006D102C">
              <w:rPr>
                <w:bCs/>
                <w:color w:val="000000" w:themeColor="text1"/>
              </w:rPr>
              <w:t>в 2024 году МСЭ в сотрудничестве с Регуляторным органом электросвязи Омана (TRA) и Регуляторным органом связи Катара (CRA) организовал национальные семинары-практикумы по совместному цифровому регулированию, прошедшие 21 февраля и 24 июля 2024 года соответственно.</w:t>
            </w:r>
            <w:r w:rsidR="00BB5F84" w:rsidRPr="006D102C">
              <w:rPr>
                <w:b/>
                <w:color w:val="000000" w:themeColor="text1"/>
              </w:rPr>
              <w:t xml:space="preserve"> </w:t>
            </w:r>
            <w:r w:rsidR="00BB5F84" w:rsidRPr="006D102C">
              <w:rPr>
                <w:color w:val="000000" w:themeColor="text1"/>
              </w:rPr>
              <w:t>Цель семинаров-практикумов заключалась в повышении квалификации кадров путем предоставления им инструментов, необходимых для эффективного совместного регулирования. Кроме того, 28 октября и 26</w:t>
            </w:r>
            <w:r w:rsidRPr="006D102C">
              <w:rPr>
                <w:color w:val="000000" w:themeColor="text1"/>
              </w:rPr>
              <w:t> </w:t>
            </w:r>
            <w:r w:rsidR="00BB5F84" w:rsidRPr="006D102C">
              <w:rPr>
                <w:color w:val="000000" w:themeColor="text1"/>
              </w:rPr>
              <w:t>ноября 2024 года МСЭ организовал виртуальные национальные семинары-практикумы с участием широкого круга заинтересованных сторон по обзору и анализу рынка ИКТ и его ценовому регулированию, в которых приняли участие все операторы сетей подвижной связи и поставщики услуг интернета, работающие в Сирии, а также представители профильного министерства и SyTPRA.</w:t>
            </w:r>
          </w:p>
          <w:p w14:paraId="66590145" w14:textId="6EB00987" w:rsidR="00BB5F84" w:rsidRPr="006D102C" w:rsidRDefault="0041674B" w:rsidP="0041674B">
            <w:pPr>
              <w:pStyle w:val="enumlev1"/>
            </w:pPr>
            <w:r w:rsidRPr="006D102C">
              <w:rPr>
                <w:rFonts w:cs="Calibri"/>
                <w:color w:val="000000"/>
              </w:rPr>
              <w:t>•</w:t>
            </w:r>
            <w:r w:rsidRPr="006D102C">
              <w:rPr>
                <w:color w:val="000000"/>
              </w:rPr>
              <w:tab/>
            </w:r>
            <w:r w:rsidR="00BB5F84" w:rsidRPr="006D102C">
              <w:t xml:space="preserve">В </w:t>
            </w:r>
            <w:r w:rsidR="00BB5F84" w:rsidRPr="006D102C">
              <w:rPr>
                <w:b/>
                <w:bCs/>
              </w:rPr>
              <w:t>Европе</w:t>
            </w:r>
            <w:r w:rsidR="00BB5F84" w:rsidRPr="006D102C">
              <w:t xml:space="preserve"> в русле усилий по преодолению разрыва в цифровом регулировании было организовано </w:t>
            </w:r>
            <w:r w:rsidR="00BB5F84" w:rsidRPr="006D102C">
              <w:rPr>
                <w:b/>
                <w:bCs/>
              </w:rPr>
              <w:t>учебное мероприятие МСЭ, Евросредиземноморской группы регуляторных органов (EMERG) и Сети регуляторных органов электронной связи Восточного Партнерства (EaPeReg) по вопросу регулирования в области цифровой трансформации</w:t>
            </w:r>
            <w:r w:rsidR="00BB5F84" w:rsidRPr="006D102C">
              <w:t xml:space="preserve">, прошедшее с 10 апреля по 30 мая 2024 года и позволившее специалистам отрасли получить углубленные знания о стратегиях цифрового регулирования, принятии решений на основе фактических данных и последних тенденциях в регулировании. Число слушателей онлайнового курса, к </w:t>
            </w:r>
            <w:r w:rsidR="00BB5F84" w:rsidRPr="006D102C">
              <w:lastRenderedPageBreak/>
              <w:t>участию в котором приглашались граждане стран Европы и других стран мира, составило 139 человек из 57</w:t>
            </w:r>
            <w:r w:rsidR="00AA3D2A" w:rsidRPr="006D102C">
              <w:t> </w:t>
            </w:r>
            <w:r w:rsidR="00BB5F84" w:rsidRPr="006D102C">
              <w:t xml:space="preserve">стран. 98 участникам были вручены сертификаты. </w:t>
            </w:r>
          </w:p>
          <w:p w14:paraId="7F929086" w14:textId="77777777" w:rsidR="00BB5F84" w:rsidRPr="006D102C" w:rsidRDefault="00BB5F84" w:rsidP="0041674B">
            <w:pPr>
              <w:pStyle w:val="Headingb"/>
              <w:rPr>
                <w:b w:val="0"/>
                <w:bCs/>
                <w:lang w:val="ru-RU"/>
              </w:rPr>
            </w:pPr>
            <w:r w:rsidRPr="006D102C">
              <w:rPr>
                <w:lang w:val="ru-RU"/>
              </w:rPr>
              <w:t>Оказание технической помощи</w:t>
            </w:r>
            <w:r w:rsidRPr="006D102C">
              <w:rPr>
                <w:b w:val="0"/>
                <w:bCs/>
                <w:lang w:val="ru-RU"/>
              </w:rPr>
              <w:t>:</w:t>
            </w:r>
          </w:p>
          <w:p w14:paraId="34BF6A6D" w14:textId="6EFF09C9" w:rsidR="00BB5F84" w:rsidRPr="006D102C" w:rsidRDefault="0041674B" w:rsidP="0041674B">
            <w:pPr>
              <w:pStyle w:val="enumlev1"/>
            </w:pPr>
            <w:r w:rsidRPr="006D102C">
              <w:rPr>
                <w:rFonts w:cs="Calibri"/>
                <w:color w:val="000000"/>
              </w:rPr>
              <w:t>•</w:t>
            </w:r>
            <w:r w:rsidRPr="006D102C">
              <w:rPr>
                <w:color w:val="000000"/>
              </w:rPr>
              <w:tab/>
            </w:r>
            <w:r w:rsidR="00BB5F84" w:rsidRPr="006D102C">
              <w:rPr>
                <w:bCs/>
              </w:rPr>
              <w:t>В</w:t>
            </w:r>
            <w:r w:rsidR="00BB5F84" w:rsidRPr="006D102C">
              <w:rPr>
                <w:b/>
              </w:rPr>
              <w:t xml:space="preserve"> Африке </w:t>
            </w:r>
            <w:r w:rsidR="00BB5F84" w:rsidRPr="006D102C">
              <w:t>в рамках проекта цифровой трансформации, осуществляемого совместно правительством Уганды и МСЭ при финансовой поддержке китайского Фонда глобального развития и сотрудничества Юг − Юг, Уганде была оказана техническая помощь в решении ряда определенных правительством Уганды приоритетных технических вопросов, начиная от разработки руководства по политике в области соединений "последней мили", совместного использования инфраструктуры, применения и использования больших данных и оценки ситуации в области ИИ и заканчивая выработкой стратегии развертывания в стране 5G и создания экологичных центров обработки данных.</w:t>
            </w:r>
            <w:r w:rsidR="00BB5F84" w:rsidRPr="006D102C">
              <w:rPr>
                <w:b/>
              </w:rPr>
              <w:t xml:space="preserve"> </w:t>
            </w:r>
            <w:r w:rsidR="00BB5F84" w:rsidRPr="006D102C">
              <w:t>Кроме того, были проведены четыре пробных испытания в поддержку выполнения соответствующих рекомендаций, в частности для составления карты покрытия мобильным интернетом сельских районов с помощью водителей бода-бода, для разработки открытого портала с данными об образовании и для обеспечения технопредпринимателей цифровыми и деловыми навыками для масштабирования их цифрового бизнеса. Была оказана техническая помощь Намибии в разработке национальной политики в области ИКТ и Лесото в разработке стратегии цифровой трансформации. Помимо этого, в рамках проекта МСЭ/FCDO была оказана дополнительная техническая помощь CRASA в обновлении комплекта материалов по универсальному обслуживанию.</w:t>
            </w:r>
          </w:p>
          <w:p w14:paraId="2E62BA48" w14:textId="4927675E" w:rsidR="00BB5F84" w:rsidRPr="006D102C" w:rsidRDefault="0041674B" w:rsidP="0041674B">
            <w:pPr>
              <w:pStyle w:val="enumlev1"/>
              <w:rPr>
                <w:rFonts w:eastAsiaTheme="minorEastAsia"/>
              </w:rPr>
            </w:pPr>
            <w:r w:rsidRPr="006D102C">
              <w:rPr>
                <w:rFonts w:cs="Calibri"/>
                <w:color w:val="000000"/>
              </w:rPr>
              <w:t>•</w:t>
            </w:r>
            <w:r w:rsidRPr="006D102C">
              <w:rPr>
                <w:color w:val="000000"/>
              </w:rPr>
              <w:tab/>
            </w:r>
            <w:r w:rsidR="00BB5F84" w:rsidRPr="006D102C">
              <w:rPr>
                <w:rFonts w:eastAsiaTheme="minorEastAsia"/>
              </w:rPr>
              <w:t>В рамках проекта "Инициатива в области политики и регулирования для цифровой Африки" (PRIDA) МСЭ в сотрудничестве с Национальным органом связи (NCA) Сомали оказал помощь в разработке методической концепции ценообразования на спектр в целях обеспечения структурированного, прозрачного и гибкого подхода к ценообразованию на спектр в Сомали. Концепция направлена на создание справедливой, последовательной и экономически устойчивой модели ценообразования на спектр, которая позволит соблюсти баланс между потребностями коммерческих операторов, общественными интересами и интересами потребителей; реализация данной концепции поможет стране обеспечить эффективное управление ресурсами радиочастотного спектра, что будет способствовать экономическому росту, технологическим инновациям и охвату цифровыми технологиями. Кроме того, в феврале 2025 года была завершена работа по оказанию технической помощи Экваториальной Гвинее по оценке цифрового дивиденда.</w:t>
            </w:r>
          </w:p>
          <w:p w14:paraId="1C91181A" w14:textId="74A96177" w:rsidR="00BB5F84" w:rsidRPr="006D102C" w:rsidRDefault="0041674B" w:rsidP="0041674B">
            <w:pPr>
              <w:pStyle w:val="enumlev1"/>
            </w:pPr>
            <w:r w:rsidRPr="006D102C">
              <w:rPr>
                <w:rFonts w:cs="Calibri"/>
                <w:color w:val="000000"/>
              </w:rPr>
              <w:t>•</w:t>
            </w:r>
            <w:r w:rsidRPr="006D102C">
              <w:rPr>
                <w:color w:val="000000"/>
              </w:rPr>
              <w:tab/>
            </w:r>
            <w:r w:rsidR="00BB5F84" w:rsidRPr="006D102C">
              <w:t>Помимо этого, было разработано программное обеспечение для HCM4A, а с 3 по 7 марта 2025 года в Аддис</w:t>
            </w:r>
            <w:r w:rsidR="00BB5F84" w:rsidRPr="006D102C">
              <w:rPr>
                <w:rFonts w:ascii="Cambria Math" w:hAnsi="Cambria Math" w:cs="Cambria Math"/>
              </w:rPr>
              <w:t>‑</w:t>
            </w:r>
            <w:r w:rsidR="00BB5F84" w:rsidRPr="006D102C">
              <w:t xml:space="preserve">Абебе, Эфиопия, было проведено техническое обучение по HCM4A. В обучении по эксплуатации и сопровождению программного обеспечения HCM4A (по координации частот в полосе от 29,7 МГц до 43,5 ГГц) для фиксированной и сухопутной подвижной служб приняли участие представители 45 Государств-Членов: 41 Государство-Член было представлено 55 участниками очно, а 4 Государства-Члена участвовали в </w:t>
            </w:r>
            <w:r w:rsidR="00BB5F84" w:rsidRPr="006D102C">
              <w:lastRenderedPageBreak/>
              <w:t>онлайновом режиме; всего в этой подготовке, проводившейся в гибридном формате, приняли участие 70</w:t>
            </w:r>
            <w:r w:rsidR="00B11C41" w:rsidRPr="006D102C">
              <w:t> </w:t>
            </w:r>
            <w:r w:rsidR="00BB5F84" w:rsidRPr="006D102C">
              <w:t>человек.</w:t>
            </w:r>
          </w:p>
          <w:p w14:paraId="05565CEA" w14:textId="319E0ED4" w:rsidR="00BB5F84" w:rsidRPr="006D102C" w:rsidRDefault="0041674B" w:rsidP="0041674B">
            <w:pPr>
              <w:pStyle w:val="enumlev1"/>
            </w:pPr>
            <w:r w:rsidRPr="006D102C">
              <w:rPr>
                <w:rFonts w:cs="Calibri"/>
                <w:color w:val="000000"/>
              </w:rPr>
              <w:t>•</w:t>
            </w:r>
            <w:r w:rsidRPr="006D102C">
              <w:rPr>
                <w:color w:val="000000"/>
              </w:rPr>
              <w:tab/>
            </w:r>
            <w:r w:rsidR="00BB5F84" w:rsidRPr="006D102C">
              <w:t>С 4 по 8 ноября 2024 года в Габороне, Ботсвана, для членов CRASA был проведен семинар-практикум по вопросам конкуренции и регулирования рынка в области электросвязи, цифровых рынков и IP-транзита. Семинар-практикум был посвящен оценке особенностей рынка, узких мест и барьеров для выхода на рынок, которые могут препятствовать конкуренции, включая сетевые эффекты, капитальные затраты, политику и регулирование в отношении рынка и затрат, которые могут влиять на уровень конкуренции (ограничения, стимулы и т. д.), среди прочего, на цифровых рынках. Кроме того, на семинаре-практикуме обсуждались регуляторные подходы к оптовому рынку, транзиту при межсетевом соединении и ценообразованию для конечных пользователей цифровых услуг, а также был проведен сравнительный анализ существующих видов практики на национальном и региональном уровнях, которые могут послужить ориентиром для пересмотра руководящих указаний по оптовому ценообразованию для членов CRASA.</w:t>
            </w:r>
          </w:p>
          <w:p w14:paraId="5D372AB6" w14:textId="77777777" w:rsidR="00BB5F84" w:rsidRPr="006D102C" w:rsidRDefault="00BB5F84" w:rsidP="0041674B">
            <w:pPr>
              <w:pStyle w:val="Headingb"/>
              <w:rPr>
                <w:lang w:val="ru-RU"/>
              </w:rPr>
            </w:pPr>
            <w:r w:rsidRPr="006D102C">
              <w:rPr>
                <w:lang w:val="ru-RU"/>
              </w:rPr>
              <w:t>Платформы для созыва мероприятий</w:t>
            </w:r>
          </w:p>
          <w:p w14:paraId="286E80AE" w14:textId="616CF24C" w:rsidR="00BB5F84" w:rsidRPr="006D102C" w:rsidRDefault="0041674B" w:rsidP="0041674B">
            <w:pPr>
              <w:pStyle w:val="enumlev1"/>
            </w:pPr>
            <w:r w:rsidRPr="006D102C">
              <w:rPr>
                <w:rFonts w:cs="Calibri"/>
                <w:color w:val="000000"/>
              </w:rPr>
              <w:t>•</w:t>
            </w:r>
            <w:r w:rsidRPr="006D102C">
              <w:rPr>
                <w:color w:val="000000"/>
              </w:rPr>
              <w:tab/>
            </w:r>
            <w:r w:rsidR="00BB5F84" w:rsidRPr="006D102C">
              <w:t xml:space="preserve">В 2024 году состоялся </w:t>
            </w:r>
            <w:hyperlink r:id="rId52" w:history="1">
              <w:r w:rsidR="00BB5F84" w:rsidRPr="006D102C">
                <w:rPr>
                  <w:rStyle w:val="Hyperlink"/>
                  <w:rFonts w:cstheme="minorHAnsi"/>
                  <w:b/>
                  <w:bCs/>
                  <w:szCs w:val="24"/>
                </w:rPr>
                <w:t>Глобальный симпозиум для регуляторных органов (ГСР-24)</w:t>
              </w:r>
            </w:hyperlink>
            <w:r w:rsidR="00BB5F84" w:rsidRPr="006D102C">
              <w:t>, организованный МСЭ в сотрудничестве с правительством Уганды. Мероприятие, прошедшее 1−4 июля 2024 года и посвященное теме "Регулирование как инструмент оказания воздействия", собрало более 600 участников из более чем 75 стран, включая министров правительств, глав регуляторных органов и старших руководителей отраслевых компаний. В рамках ГСР-24 были организованы тематические сессии по актуальным вопросам, предоставившие глобальную площадку для обмена знаниями представителям регуляторных и директивных органов и других заинтересованных сторон в сфере цифровых технологий со всего мира. Были проведены два специальных мероприятия, посвященные темам "Инструменты устойчивой деятельности в космосе" и "Искусственный интеллект и робототехника в действии", обеспечившие возможность обменяться знаниями и обсудить возникающие проблемы. В порядке подготовки к ГСР-24 были организованы такие мероприятия, как Собрание региональных ассоциаций регуляторных органов и Сети цифрового регулирования, Круглый стол исполнительных руководителей регуляторных органов, собрание Отраслевой консультативной группы по вопросам развития и старших сотрудников по регулированию из частного сектора (IAGDI-CRO) и заседание "Сети женщин" (NoW) в БРЭ.</w:t>
            </w:r>
            <w:r w:rsidR="00BB5F84" w:rsidRPr="006D102C" w:rsidDel="006E07B8">
              <w:t xml:space="preserve"> </w:t>
            </w:r>
          </w:p>
          <w:p w14:paraId="324B50A7" w14:textId="2B5BD3D3" w:rsidR="00BB5F84" w:rsidRPr="006D102C" w:rsidDel="006D2E13" w:rsidRDefault="0041674B" w:rsidP="0041674B">
            <w:pPr>
              <w:pStyle w:val="enumlev1"/>
            </w:pPr>
            <w:r w:rsidRPr="006D102C">
              <w:rPr>
                <w:rFonts w:cs="Calibri"/>
                <w:color w:val="000000"/>
              </w:rPr>
              <w:t>•</w:t>
            </w:r>
            <w:r w:rsidRPr="006D102C">
              <w:rPr>
                <w:color w:val="000000"/>
              </w:rPr>
              <w:tab/>
            </w:r>
            <w:r w:rsidR="00BB5F84" w:rsidRPr="006D102C">
              <w:t xml:space="preserve">В 2024 году в рамках мероприятия высокого уровня Форума Всемирной встречи на высшем уровне по вопросам информационного общества (ВВУИО) + 20 прошла </w:t>
            </w:r>
            <w:r w:rsidR="00BB5F84" w:rsidRPr="006D102C">
              <w:rPr>
                <w:b/>
                <w:bCs/>
              </w:rPr>
              <w:t xml:space="preserve">интерактивная сессия по Направлению деятельности C6 (Благоприятная среда) </w:t>
            </w:r>
            <w:r w:rsidR="00BB5F84" w:rsidRPr="006D102C">
              <w:t>на тему "Сотрудничество для оказания воздействия". Цель сессии заключалась в активизации обсуждений с региональными ассоциациями регуляторных органов и их членами для решения важнейших проблем, с которыми сталкиваются заинтересованные стороны в сфере ИКТ при внедрении преобразующих технологий, нацеленных на обеспечение более масштабного воздействия.</w:t>
            </w:r>
          </w:p>
          <w:p w14:paraId="0E61EE6A" w14:textId="25FFEDB8" w:rsidR="00BB5F84" w:rsidRPr="006D102C" w:rsidRDefault="0041674B" w:rsidP="0041674B">
            <w:pPr>
              <w:pStyle w:val="enumlev1"/>
              <w:rPr>
                <w:rFonts w:eastAsia="Times New Roman"/>
              </w:rPr>
            </w:pPr>
            <w:r w:rsidRPr="006D102C">
              <w:rPr>
                <w:rFonts w:cs="Calibri"/>
                <w:color w:val="000000"/>
              </w:rPr>
              <w:lastRenderedPageBreak/>
              <w:t>•</w:t>
            </w:r>
            <w:r w:rsidRPr="006D102C">
              <w:rPr>
                <w:color w:val="000000"/>
              </w:rPr>
              <w:tab/>
            </w:r>
            <w:r w:rsidR="00BB5F84" w:rsidRPr="006D102C">
              <w:t xml:space="preserve">Инициатива </w:t>
            </w:r>
            <w:hyperlink r:id="rId53" w:history="1">
              <w:r w:rsidR="00BB5F84" w:rsidRPr="006D102C">
                <w:rPr>
                  <w:rStyle w:val="Hyperlink"/>
                  <w:rFonts w:cstheme="minorHAnsi"/>
                  <w:szCs w:val="24"/>
                </w:rPr>
                <w:t>"Сеть цифрового регулирования" (DRN)</w:t>
              </w:r>
            </w:hyperlink>
            <w:r w:rsidR="00BB5F84" w:rsidRPr="006D102C">
              <w:t xml:space="preserve"> была запущена Директором БРЭ д-ром Космасом Завазавой в июне 2023 года во время собрания региональных ассоциаций регуляторных органов на ГСР-23. DRN действует при содействии регулирующих ассоциаций на региональном, межрегиональном и глобальном уровнях, используя возможности сотрудничества Юг − Юг, Север − Юг и трехстороннего сотрудничества. Работа DRN сосредоточена на трех основных направлениях: лидерство в области идей, развитие потенциала, а также эксперименты и инновации в области регулирования. Цель Сети − ускорить устойчивую цифровую трансформацию с помощью общих подходов к совместной цифровой политике, регулированию и управлению в различных секторах экономики и на разных территориях. </w:t>
            </w:r>
            <w:r w:rsidR="00BB5F84" w:rsidRPr="006D102C">
              <w:rPr>
                <w:rFonts w:eastAsiaTheme="minorEastAsia"/>
              </w:rPr>
              <w:t>Специальная сессия с участием представителей Региональной ассоциации регуляторных органов была посвящена теме максимального использования цифровых возможностей в регионе Северной и Южной Америки и роли правительств, регуляторных органов и региональных ассоциаций регуляторных органов в обеспечении согласованных подходов к решению сложных проблем. На этих сессиях обсуждались основные направления деятельности региональных ассоциаций и то, каким образом инициатива DRN могла бы им содействовать.</w:t>
            </w:r>
          </w:p>
          <w:p w14:paraId="5E040085" w14:textId="654AF313" w:rsidR="00BB5F84" w:rsidRPr="006D102C" w:rsidRDefault="0041674B" w:rsidP="0041674B">
            <w:pPr>
              <w:pStyle w:val="enumlev1"/>
              <w:rPr>
                <w:rFonts w:eastAsia="Times New Roman"/>
              </w:rPr>
            </w:pPr>
            <w:r w:rsidRPr="006D102C">
              <w:rPr>
                <w:rFonts w:cs="Calibri"/>
                <w:color w:val="000000"/>
              </w:rPr>
              <w:t>•</w:t>
            </w:r>
            <w:r w:rsidRPr="006D102C">
              <w:rPr>
                <w:color w:val="000000"/>
              </w:rPr>
              <w:tab/>
            </w:r>
            <w:r w:rsidR="00BB5F84" w:rsidRPr="006D102C">
              <w:t>В</w:t>
            </w:r>
            <w:r w:rsidR="00BB5F84" w:rsidRPr="006D102C">
              <w:rPr>
                <w:b/>
                <w:bCs/>
              </w:rPr>
              <w:t xml:space="preserve"> Северной и Южной Америке</w:t>
            </w:r>
            <w:r w:rsidR="00BB5F84" w:rsidRPr="006D102C">
              <w:t xml:space="preserve"> 2</w:t>
            </w:r>
            <w:r w:rsidR="000B000B">
              <w:rPr>
                <w:lang w:val="en-GB"/>
              </w:rPr>
              <w:t>−</w:t>
            </w:r>
            <w:r w:rsidR="00BB5F84" w:rsidRPr="006D102C">
              <w:t xml:space="preserve">6 сентября в Перу прошел </w:t>
            </w:r>
            <w:hyperlink r:id="rId54" w:history="1">
              <w:r w:rsidR="00BB5F84" w:rsidRPr="006D102C">
                <w:rPr>
                  <w:rStyle w:val="Hyperlink"/>
                  <w:rFonts w:cstheme="minorHAnsi"/>
                  <w:szCs w:val="24"/>
                </w:rPr>
                <w:t>Коллоквиум МСЭ по вопросам политики и экономики (IPEC-24)</w:t>
              </w:r>
            </w:hyperlink>
            <w:r w:rsidR="00BB5F84" w:rsidRPr="006D102C">
              <w:t xml:space="preserve">, посвященный проблеме нехватки финансирования в контексте привлечения инвестиций и обеспечения открытого для всех и устойчивого цифрового развития в регионе Северной и Южной Америки; в нем приняли участие более 150 делегатов из 21 страны. На </w:t>
            </w:r>
            <w:r w:rsidR="00BB5F84" w:rsidRPr="006D102C">
              <w:rPr>
                <w:b/>
                <w:bCs/>
              </w:rPr>
              <w:t>Региональном экономическом диалоге (РЭД</w:t>
            </w:r>
            <w:r w:rsidR="000B000B" w:rsidRPr="000B000B">
              <w:rPr>
                <w:b/>
                <w:bCs/>
              </w:rPr>
              <w:noBreakHyphen/>
            </w:r>
            <w:r w:rsidR="00BB5F84" w:rsidRPr="006D102C">
              <w:rPr>
                <w:b/>
                <w:bCs/>
              </w:rPr>
              <w:t>АМР)</w:t>
            </w:r>
            <w:r w:rsidR="00BB5F84" w:rsidRPr="006D102C">
              <w:t xml:space="preserve"> обсуждались передовые методы экономической политики и регулирования, а также была проведена оценка требований к инфраструктуре и услугам ИКТ, механизмов финансирования и инвестиций в Северной и Южной Америке. </w:t>
            </w:r>
            <w:r w:rsidR="00BB5F84" w:rsidRPr="006D102C">
              <w:rPr>
                <w:rFonts w:eastAsiaTheme="minorEastAsia"/>
              </w:rPr>
              <w:t xml:space="preserve">Была проведена отдельная сессия, посвященная способам продвижения в регионе передового опыта, связанного с разработкой стратегий регулирования определения затрат и ценообразования. </w:t>
            </w:r>
          </w:p>
          <w:p w14:paraId="5A94C801" w14:textId="057E6C83" w:rsidR="00BB5F84" w:rsidRPr="006D102C" w:rsidRDefault="0041674B" w:rsidP="0041674B">
            <w:pPr>
              <w:pStyle w:val="enumlev1"/>
            </w:pPr>
            <w:r w:rsidRPr="006D102C">
              <w:rPr>
                <w:rFonts w:cs="Calibri"/>
                <w:color w:val="000000"/>
              </w:rPr>
              <w:t>•</w:t>
            </w:r>
            <w:r w:rsidRPr="006D102C">
              <w:rPr>
                <w:color w:val="000000"/>
              </w:rPr>
              <w:tab/>
            </w:r>
            <w:r w:rsidR="00BB5F84" w:rsidRPr="006D102C">
              <w:t>В</w:t>
            </w:r>
            <w:r w:rsidR="00BB5F84" w:rsidRPr="006D102C">
              <w:rPr>
                <w:b/>
                <w:bCs/>
              </w:rPr>
              <w:t xml:space="preserve"> Европе </w:t>
            </w:r>
            <w:r w:rsidR="00BB5F84" w:rsidRPr="006D102C">
              <w:t>в мае прошла Международная конференция по регламентарным вопросам (IRC) 2024 года, принимающей стороной которой выступила Северная Македония. Мероприятие под названием "Преодоление разрыва: вступление в новую эпоху" предоставило платформу для обсуждения вопросов электронной связи, преодоления разрыва с помощью технологий и соединения обществ и стран. В рамках мероприятия состоялось три групповых обсуждения по вопросам управления использованием спектра и контроля за использованием спектра, кибербезопасности, регулирования и широкополосной связи.</w:t>
            </w:r>
          </w:p>
          <w:p w14:paraId="18C9B877" w14:textId="5E1580A8" w:rsidR="00BB5F84" w:rsidRPr="006D102C" w:rsidRDefault="0041674B" w:rsidP="0041674B">
            <w:pPr>
              <w:pStyle w:val="enumlev1"/>
            </w:pPr>
            <w:r w:rsidRPr="006D102C">
              <w:tab/>
            </w:r>
            <w:r w:rsidR="00BB5F84" w:rsidRPr="006D102C">
              <w:t xml:space="preserve">В сентябре в Будве, Черногория, МСЭ и Агентство электронной связи и почтовых услуг (EKIP) провели Региональный форум регуляторных органов, участие в котором приняли более 150 экспертов в области регулирования из более чем 20 стран, получив возможность ознакомиться с новейшими глобальными и региональными тенденциями и обменяться национальным опытом. На Форуме выступили 35 докладчиков, затронувших такие темы, как стратегии регулирования появляющихся технологий электросвязи, тенденции и </w:t>
            </w:r>
            <w:r w:rsidR="00BB5F84" w:rsidRPr="006D102C">
              <w:lastRenderedPageBreak/>
              <w:t>разработки в области цифровой инфраструктуры, качество услуг электросвязи и права, связанные с этими услугами, кибербезопасность и конфиденциальность, устойчивость и меры реагирования на бедствия.</w:t>
            </w:r>
          </w:p>
          <w:p w14:paraId="0DB66881" w14:textId="3BD30EE3" w:rsidR="00BB5F84" w:rsidRPr="006D102C" w:rsidRDefault="0041674B" w:rsidP="0041674B">
            <w:pPr>
              <w:pStyle w:val="enumlev1"/>
            </w:pPr>
            <w:r w:rsidRPr="006D102C">
              <w:tab/>
            </w:r>
            <w:r w:rsidR="00BB5F84" w:rsidRPr="006D102C">
              <w:t>МСЭ выступил соорганизатором Конференции 5G Techritory, которая прошла в Риге, Латвия, с 30 по 31 октября. Конференция служит региону важной дискуссионной площадкой, на которой выступают представители правительств, международных организаций, академических учреждений и частного сектора. В</w:t>
            </w:r>
            <w:r w:rsidR="00705B18">
              <w:rPr>
                <w:lang w:val="en-GB"/>
              </w:rPr>
              <w:t> </w:t>
            </w:r>
            <w:r w:rsidR="00BB5F84" w:rsidRPr="006D102C">
              <w:t>2024 году в двухдневном мероприятии приняли участие более 1000 человек из более чем 40 стран. В ходе 26 групповых дискуссий, были рассмотрены, в числе прочего, приоритетные задачи Европы в области установления соединений, кибербезопасности, морской связи и охвата цифровыми технологиями.</w:t>
            </w:r>
          </w:p>
          <w:p w14:paraId="29D3C3FA" w14:textId="6039E916" w:rsidR="00BB5F84" w:rsidRPr="006D102C" w:rsidRDefault="0041674B" w:rsidP="0041674B">
            <w:pPr>
              <w:pStyle w:val="enumlev1"/>
            </w:pPr>
            <w:r w:rsidRPr="006D102C">
              <w:tab/>
            </w:r>
            <w:r w:rsidR="00BB5F84" w:rsidRPr="006D102C">
              <w:t>В ноябре в сотрудничестве с БР и БСЭ был организован семинар-практикум "Будущее телевидения в Европе", чтобы обсудить с соответствующими заинтересованными сторонами такие аспекты этой темы, как нормативно-правовые и политические рамки, появляющиеся и конвергированные инфраструктуры и услуги ИКТ, а также пользовательские интерфейсы и человеческий фактор. Также были рассмотрены вопросы, касающиеся опыта пользователей, регулирования и политики, надежного и устойчивого радиовещания. Семинар-практикум был организован в сотрудничестве с Группой Докладчика по Вопросу 2/1 1</w:t>
            </w:r>
            <w:r w:rsidRPr="006D102C">
              <w:noBreakHyphen/>
            </w:r>
            <w:r w:rsidR="00BB5F84" w:rsidRPr="006D102C">
              <w:t>й</w:t>
            </w:r>
            <w:r w:rsidRPr="006D102C">
              <w:t> </w:t>
            </w:r>
            <w:r w:rsidR="00BB5F84" w:rsidRPr="006D102C">
              <w:t xml:space="preserve">Исследовательской комиссии МСЭ-D. </w:t>
            </w:r>
          </w:p>
          <w:p w14:paraId="3C12209E" w14:textId="448FE344" w:rsidR="00BB5F84" w:rsidRPr="006D102C" w:rsidRDefault="00BB5F84" w:rsidP="0041674B">
            <w:r w:rsidRPr="006D102C">
              <w:t>Все это позволило укрепить партнерские отношения, взаимодействие и сотрудничество между регуляторными органами, ассоциациями регуляторных органов, частным сектором и директивными органами из разных секторов, обогатить дискуссии и продемонстрировать сотрудничество между секторами для ускорения цифровой трансформации.</w:t>
            </w: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1E7A1C3A" w14:textId="77777777" w:rsidR="00BB5F84" w:rsidRPr="006D102C" w:rsidRDefault="00BB5F84" w:rsidP="000C2445">
            <w:pPr>
              <w:overflowPunct/>
              <w:autoSpaceDE/>
              <w:autoSpaceDN/>
              <w:adjustRightInd/>
              <w:spacing w:after="120"/>
              <w:textAlignment w:val="auto"/>
              <w:rPr>
                <w:rFonts w:cstheme="minorHAnsi"/>
                <w:color w:val="0070C0"/>
              </w:rPr>
            </w:pPr>
            <w:r w:rsidRPr="006D102C">
              <w:rPr>
                <w:rFonts w:cstheme="minorHAnsi"/>
                <w:b/>
                <w:bCs/>
                <w:color w:val="0070C0"/>
              </w:rPr>
              <w:lastRenderedPageBreak/>
              <w:t>Совершенствование национальной политики и регулирования</w:t>
            </w:r>
            <w:r w:rsidRPr="006D102C">
              <w:rPr>
                <w:rFonts w:cstheme="minorHAnsi"/>
                <w:color w:val="0070C0"/>
              </w:rPr>
              <w:t>:</w:t>
            </w:r>
          </w:p>
          <w:p w14:paraId="4D9993D8" w14:textId="2C994956" w:rsidR="00BB5F84" w:rsidRPr="006D102C" w:rsidRDefault="008C6B9A" w:rsidP="008C6B9A">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Руководящие указания ГСР на основе примеров передового опыта.</w:t>
            </w:r>
          </w:p>
          <w:p w14:paraId="17C996D8" w14:textId="60A54557" w:rsidR="00BB5F84" w:rsidRPr="006D102C" w:rsidRDefault="008C6B9A" w:rsidP="008C6B9A">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Статьи на актуальные темы, опубликованные на Платформе по цифровому регулированию</w:t>
            </w:r>
          </w:p>
          <w:p w14:paraId="179C3742" w14:textId="77777777" w:rsidR="00BB5F84" w:rsidRPr="006D102C" w:rsidRDefault="00BB5F84" w:rsidP="000C2445">
            <w:pPr>
              <w:keepNext/>
              <w:overflowPunct/>
              <w:autoSpaceDE/>
              <w:autoSpaceDN/>
              <w:adjustRightInd/>
              <w:spacing w:after="120"/>
              <w:textAlignment w:val="auto"/>
              <w:rPr>
                <w:rFonts w:cstheme="minorHAnsi"/>
              </w:rPr>
            </w:pPr>
            <w:r w:rsidRPr="006D102C">
              <w:rPr>
                <w:b/>
                <w:bCs/>
                <w:color w:val="000000"/>
              </w:rPr>
              <w:t>Африка</w:t>
            </w:r>
            <w:r w:rsidRPr="006D102C">
              <w:rPr>
                <w:color w:val="000000"/>
              </w:rPr>
              <w:t xml:space="preserve">: </w:t>
            </w:r>
          </w:p>
          <w:p w14:paraId="5F00A93B" w14:textId="7CE74264" w:rsidR="00BB5F84" w:rsidRPr="006D102C" w:rsidRDefault="008C6B9A" w:rsidP="008C6B9A">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 xml:space="preserve">Проект "Рейтинговое тестирование ИКТ в Центральной Африке" </w:t>
            </w:r>
          </w:p>
          <w:p w14:paraId="37691680" w14:textId="4EEAF99A" w:rsidR="00BB5F84" w:rsidRPr="006D102C" w:rsidRDefault="008C6B9A" w:rsidP="008C6B9A">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Проект "Техническая помощь и профессиональная подготовка для Уганды по национальной стратегии развития ИКТ"</w:t>
            </w:r>
          </w:p>
          <w:p w14:paraId="33D5F582" w14:textId="77777777" w:rsidR="00BB5F84" w:rsidRPr="006D102C" w:rsidRDefault="00BB5F84" w:rsidP="000C2445">
            <w:pPr>
              <w:overflowPunct/>
              <w:autoSpaceDE/>
              <w:autoSpaceDN/>
              <w:adjustRightInd/>
              <w:spacing w:after="120"/>
              <w:textAlignment w:val="auto"/>
              <w:rPr>
                <w:rFonts w:eastAsia="Times New Roman" w:cstheme="minorHAnsi"/>
              </w:rPr>
            </w:pPr>
            <w:r w:rsidRPr="006D102C">
              <w:rPr>
                <w:b/>
                <w:bCs/>
                <w:color w:val="000000"/>
              </w:rPr>
              <w:t>Северная и Южная Америка</w:t>
            </w:r>
            <w:r w:rsidRPr="006D102C">
              <w:rPr>
                <w:color w:val="000000"/>
              </w:rPr>
              <w:t xml:space="preserve">: </w:t>
            </w:r>
          </w:p>
          <w:p w14:paraId="32384B94" w14:textId="5C2E0C15" w:rsidR="00BB5F84" w:rsidRPr="006D102C" w:rsidRDefault="008C6B9A" w:rsidP="008C6B9A">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 xml:space="preserve">Поддержка в совершенствовании регулирования в Гондурасе </w:t>
            </w:r>
          </w:p>
          <w:p w14:paraId="34B82DF4" w14:textId="77777777" w:rsidR="00BB5F84" w:rsidRPr="006D102C" w:rsidRDefault="00BB5F84" w:rsidP="000C2445">
            <w:pPr>
              <w:overflowPunct/>
              <w:autoSpaceDE/>
              <w:autoSpaceDN/>
              <w:adjustRightInd/>
              <w:spacing w:after="120"/>
              <w:textAlignment w:val="auto"/>
              <w:rPr>
                <w:rFonts w:cstheme="minorHAnsi"/>
              </w:rPr>
            </w:pPr>
            <w:r w:rsidRPr="006D102C">
              <w:rPr>
                <w:b/>
                <w:bCs/>
                <w:color w:val="000000"/>
              </w:rPr>
              <w:t>Арабские государства</w:t>
            </w:r>
            <w:r w:rsidRPr="006D102C">
              <w:rPr>
                <w:color w:val="000000"/>
              </w:rPr>
              <w:t xml:space="preserve">: </w:t>
            </w:r>
          </w:p>
          <w:p w14:paraId="18C7C488" w14:textId="6EE767F8" w:rsidR="00BB5F84" w:rsidRPr="006D102C" w:rsidRDefault="008C6B9A" w:rsidP="008C6B9A">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 xml:space="preserve">Оман, Катар и Сирия </w:t>
            </w:r>
          </w:p>
          <w:p w14:paraId="0D9DA1EC" w14:textId="77777777" w:rsidR="00BB5F84" w:rsidRPr="006D102C" w:rsidRDefault="00BB5F84" w:rsidP="000C2445">
            <w:pPr>
              <w:overflowPunct/>
              <w:autoSpaceDE/>
              <w:autoSpaceDN/>
              <w:adjustRightInd/>
              <w:spacing w:after="120"/>
              <w:textAlignment w:val="auto"/>
              <w:rPr>
                <w:rFonts w:cstheme="minorHAnsi"/>
              </w:rPr>
            </w:pPr>
            <w:r w:rsidRPr="006D102C">
              <w:rPr>
                <w:b/>
                <w:bCs/>
                <w:color w:val="000000"/>
              </w:rPr>
              <w:lastRenderedPageBreak/>
              <w:t>Европа</w:t>
            </w:r>
            <w:r w:rsidRPr="006D102C">
              <w:rPr>
                <w:color w:val="000000"/>
              </w:rPr>
              <w:t xml:space="preserve">: </w:t>
            </w:r>
          </w:p>
          <w:p w14:paraId="735987D7" w14:textId="212538DF" w:rsidR="00BB5F84" w:rsidRPr="006D102C" w:rsidRDefault="008C6B9A" w:rsidP="008C6B9A">
            <w:pPr>
              <w:tabs>
                <w:tab w:val="clear" w:pos="1134"/>
                <w:tab w:val="left" w:pos="346"/>
              </w:tabs>
              <w:ind w:left="346" w:hanging="346"/>
              <w:rPr>
                <w:color w:val="000000"/>
              </w:rPr>
            </w:pPr>
            <w:r w:rsidRPr="006D102C">
              <w:rPr>
                <w:rFonts w:cs="Calibri"/>
                <w:color w:val="000000"/>
              </w:rPr>
              <w:t>•</w:t>
            </w:r>
            <w:r w:rsidRPr="006D102C">
              <w:rPr>
                <w:rFonts w:cs="Calibri"/>
                <w:color w:val="000000"/>
              </w:rPr>
              <w:tab/>
            </w:r>
            <w:r w:rsidR="00BB5F84" w:rsidRPr="006D102C">
              <w:rPr>
                <w:color w:val="000000"/>
              </w:rPr>
              <w:t>Украина</w:t>
            </w:r>
          </w:p>
          <w:p w14:paraId="4CBD2A48" w14:textId="2C038E17" w:rsidR="00BB5F84" w:rsidRPr="006D102C" w:rsidRDefault="008C6B9A" w:rsidP="008C6B9A">
            <w:pPr>
              <w:tabs>
                <w:tab w:val="clear" w:pos="1134"/>
                <w:tab w:val="left" w:pos="346"/>
              </w:tabs>
              <w:ind w:left="346" w:hanging="346"/>
              <w:rPr>
                <w:rFonts w:cstheme="minorHAnsi"/>
              </w:rPr>
            </w:pPr>
            <w:r w:rsidRPr="006D102C">
              <w:rPr>
                <w:rFonts w:cs="Calibri"/>
                <w:color w:val="000000"/>
              </w:rPr>
              <w:t>•</w:t>
            </w:r>
            <w:r w:rsidRPr="006D102C">
              <w:rPr>
                <w:rFonts w:cs="Calibri"/>
                <w:color w:val="000000"/>
              </w:rPr>
              <w:tab/>
            </w:r>
            <w:r w:rsidR="00BB5F84" w:rsidRPr="006D102C">
              <w:rPr>
                <w:color w:val="000000"/>
              </w:rPr>
              <w:t>Латвия</w:t>
            </w:r>
          </w:p>
        </w:tc>
      </w:tr>
      <w:bookmarkEnd w:id="16"/>
      <w:tr w:rsidR="008E5A7C" w:rsidRPr="006D102C" w14:paraId="43824BE7" w14:textId="77777777" w:rsidTr="000C2445">
        <w:trPr>
          <w:trHeight w:val="300"/>
        </w:trPr>
        <w:tc>
          <w:tcPr>
            <w:tcW w:w="14884" w:type="dxa"/>
            <w:gridSpan w:val="3"/>
            <w:shd w:val="clear" w:color="auto" w:fill="E5DFEC" w:themeFill="accent4" w:themeFillTint="33"/>
          </w:tcPr>
          <w:p w14:paraId="08A77D21" w14:textId="77777777" w:rsidR="008E5A7C" w:rsidRPr="006D102C" w:rsidRDefault="008E5A7C" w:rsidP="000C2445">
            <w:pPr>
              <w:spacing w:after="120"/>
              <w:rPr>
                <w:rFonts w:cstheme="minorHAnsi"/>
                <w:b/>
                <w:bCs/>
                <w:color w:val="1F497D" w:themeColor="text2"/>
              </w:rPr>
            </w:pPr>
            <w:r w:rsidRPr="006D102C">
              <w:rPr>
                <w:rFonts w:cstheme="minorHAnsi"/>
                <w:b/>
                <w:bCs/>
                <w:color w:val="1F497D" w:themeColor="text2"/>
              </w:rPr>
              <w:lastRenderedPageBreak/>
              <w:t>Статистические данные</w:t>
            </w:r>
          </w:p>
          <w:p w14:paraId="1C7805C6" w14:textId="77777777" w:rsidR="008E5A7C" w:rsidRPr="006D102C" w:rsidRDefault="008E5A7C" w:rsidP="000C2445">
            <w:pPr>
              <w:overflowPunct/>
              <w:autoSpaceDE/>
              <w:autoSpaceDN/>
              <w:adjustRightInd/>
              <w:spacing w:after="120"/>
              <w:textAlignment w:val="auto"/>
              <w:rPr>
                <w:rFonts w:cstheme="minorHAnsi"/>
                <w:b/>
                <w:bCs/>
                <w:i/>
                <w:iCs/>
                <w:color w:val="000000"/>
              </w:rPr>
            </w:pPr>
            <w:r w:rsidRPr="006D102C">
              <w:rPr>
                <w:rFonts w:cstheme="minorHAnsi"/>
                <w:b/>
                <w:bCs/>
                <w:i/>
                <w:iCs/>
              </w:rPr>
              <w:t xml:space="preserve">Конечный результат: </w:t>
            </w:r>
            <w:r w:rsidRPr="006D102C">
              <w:rPr>
                <w:rFonts w:cstheme="minorHAnsi"/>
                <w:i/>
                <w:iCs/>
              </w:rPr>
              <w:t>укрепление потенциала Государств-Членов для создания и сбора высококачественных и сопоставимых на международном уровне статистических данных, в которых отражены достижения и тенденции в области электросвязи/ИКТ, ставшие возможными благодаря новым и появляющимся технологиям и услугам, на основе согласованных стандартов и методик</w:t>
            </w:r>
            <w:r w:rsidRPr="006D102C">
              <w:rPr>
                <w:rFonts w:cstheme="minorHAnsi"/>
                <w:i/>
                <w:iCs/>
                <w:color w:val="000000"/>
              </w:rPr>
              <w:t>.</w:t>
            </w:r>
          </w:p>
        </w:tc>
      </w:tr>
      <w:tr w:rsidR="008E5A7C" w:rsidRPr="006D102C" w14:paraId="03A4D1A2" w14:textId="77777777" w:rsidTr="000C244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78A6C7FD" w14:textId="77777777" w:rsidR="008E5A7C" w:rsidRPr="006D102C" w:rsidRDefault="008E5A7C" w:rsidP="008E5A7C">
            <w:pPr>
              <w:pStyle w:val="Headingb"/>
              <w:rPr>
                <w:b w:val="0"/>
                <w:bCs/>
                <w:lang w:val="ru-RU"/>
              </w:rPr>
            </w:pPr>
            <w:r w:rsidRPr="006D102C">
              <w:rPr>
                <w:lang w:val="ru-RU"/>
              </w:rPr>
              <w:t xml:space="preserve">Серия публикаций </w:t>
            </w:r>
            <w:r w:rsidRPr="006D102C">
              <w:rPr>
                <w:b w:val="0"/>
                <w:bCs/>
                <w:lang w:val="ru-RU"/>
              </w:rPr>
              <w:t>"</w:t>
            </w:r>
            <w:r w:rsidRPr="006D102C">
              <w:rPr>
                <w:lang w:val="ru-RU"/>
              </w:rPr>
              <w:t>Измерение цифрового развития</w:t>
            </w:r>
            <w:r w:rsidRPr="006D102C">
              <w:rPr>
                <w:b w:val="0"/>
                <w:bCs/>
                <w:lang w:val="ru-RU"/>
              </w:rPr>
              <w:t>"</w:t>
            </w:r>
          </w:p>
          <w:p w14:paraId="31532468" w14:textId="77777777" w:rsidR="008E5A7C" w:rsidRPr="006D102C" w:rsidRDefault="008E5A7C" w:rsidP="00EF7637">
            <w:r w:rsidRPr="006D102C">
              <w:t>Новые аналитические продукты способствовали повышению уровня информированности Государств-Членов об универсальной и реальной возможности установления соединений (UMC) как о политическом императиве и расширению их возможностей по оценке состояния цифрового развития и осмыслению цифровой трансформации.</w:t>
            </w:r>
          </w:p>
          <w:p w14:paraId="5DA8680C" w14:textId="20DFBCE1" w:rsidR="008E5A7C" w:rsidRPr="006D102C" w:rsidRDefault="0058632F" w:rsidP="0058632F">
            <w:pPr>
              <w:pStyle w:val="enumlev1"/>
            </w:pPr>
            <w:r w:rsidRPr="006D102C">
              <w:rPr>
                <w:rFonts w:cs="Calibri"/>
              </w:rPr>
              <w:t>•</w:t>
            </w:r>
            <w:r w:rsidRPr="006D102C">
              <w:tab/>
            </w:r>
            <w:r w:rsidR="008E5A7C" w:rsidRPr="006D102C">
              <w:t>В 2024 году в преддверии глобальных конференций для СИДС и ЛЛДС, вышли в свет два специальных выпуска отчета "Факты и цифры", посвященные</w:t>
            </w:r>
            <w:r w:rsidR="00C14A10" w:rsidRPr="006D102C">
              <w:t>,</w:t>
            </w:r>
            <w:r w:rsidR="008E5A7C" w:rsidRPr="006D102C">
              <w:t xml:space="preserve"> соответственно</w:t>
            </w:r>
            <w:r w:rsidR="00C14A10" w:rsidRPr="006D102C">
              <w:t>,</w:t>
            </w:r>
            <w:r w:rsidR="008E5A7C" w:rsidRPr="006D102C">
              <w:t xml:space="preserve"> </w:t>
            </w:r>
            <w:hyperlink r:id="rId55" w:history="1">
              <w:r w:rsidR="008E5A7C" w:rsidRPr="006D102C">
                <w:rPr>
                  <w:rStyle w:val="Hyperlink"/>
                  <w:rFonts w:eastAsia="Times New Roman" w:cstheme="minorHAnsi"/>
                </w:rPr>
                <w:t>СИДС</w:t>
              </w:r>
            </w:hyperlink>
            <w:r w:rsidR="008E5A7C" w:rsidRPr="006D102C">
              <w:t xml:space="preserve"> и </w:t>
            </w:r>
            <w:hyperlink r:id="rId56" w:history="1">
              <w:r w:rsidR="008E5A7C" w:rsidRPr="006D102C">
                <w:rPr>
                  <w:rStyle w:val="Hyperlink"/>
                  <w:rFonts w:eastAsia="Times New Roman" w:cstheme="minorHAnsi"/>
                </w:rPr>
                <w:t>ЛЛДС</w:t>
              </w:r>
            </w:hyperlink>
            <w:r w:rsidR="008E5A7C" w:rsidRPr="006D102C">
              <w:t>. В публикациях, основанных на оценках на 2023 год, представлен анализ возможностей установления соединений в СИДС и ЛЛДС с описанием существующих между ними различий, общих проблем и сильных сторон, на которые можно опираться.</w:t>
            </w:r>
          </w:p>
          <w:p w14:paraId="20AC6C07" w14:textId="51044E48" w:rsidR="008E5A7C" w:rsidRPr="006D102C" w:rsidRDefault="0058632F" w:rsidP="0058632F">
            <w:pPr>
              <w:pStyle w:val="enumlev1"/>
            </w:pPr>
            <w:r w:rsidRPr="006D102C">
              <w:rPr>
                <w:rFonts w:cs="Calibri"/>
              </w:rPr>
              <w:lastRenderedPageBreak/>
              <w:t>•</w:t>
            </w:r>
            <w:r w:rsidRPr="006D102C">
              <w:tab/>
            </w:r>
            <w:r w:rsidR="008E5A7C" w:rsidRPr="006D102C">
              <w:t>В аналитической записке "</w:t>
            </w:r>
            <w:hyperlink r:id="rId57" w:history="1">
              <w:r w:rsidR="008E5A7C" w:rsidRPr="006D102C">
                <w:rPr>
                  <w:rStyle w:val="Hyperlink"/>
                  <w:rFonts w:eastAsia="Times New Roman" w:cstheme="minorHAnsi"/>
                </w:rPr>
                <w:t>Приемлемость цен на ИКТ в 2023 году</w:t>
              </w:r>
            </w:hyperlink>
            <w:r w:rsidR="008E5A7C" w:rsidRPr="006D102C">
              <w:t xml:space="preserve">" изложены основные выводы, сделанные по итогам анализа набора </w:t>
            </w:r>
            <w:hyperlink r:id="rId58" w:history="1">
              <w:r w:rsidR="008E5A7C" w:rsidRPr="006D102C">
                <w:rPr>
                  <w:rStyle w:val="Hyperlink"/>
                  <w:rFonts w:eastAsia="Times New Roman" w:cstheme="minorHAnsi"/>
                </w:rPr>
                <w:t>данных по ценам на ИКТ за 2023 год</w:t>
              </w:r>
            </w:hyperlink>
            <w:r w:rsidR="008E5A7C" w:rsidRPr="006D102C">
              <w:t>.</w:t>
            </w:r>
          </w:p>
          <w:p w14:paraId="11B90FF4" w14:textId="2D3BFE58" w:rsidR="008E5A7C" w:rsidRPr="006D102C" w:rsidRDefault="0058632F" w:rsidP="0058632F">
            <w:pPr>
              <w:pStyle w:val="enumlev1"/>
            </w:pPr>
            <w:r w:rsidRPr="006D102C">
              <w:rPr>
                <w:rFonts w:cs="Calibri"/>
              </w:rPr>
              <w:t>•</w:t>
            </w:r>
            <w:r w:rsidRPr="006D102C">
              <w:tab/>
            </w:r>
            <w:r w:rsidR="008E5A7C" w:rsidRPr="006D102C">
              <w:t>В июне был опубликован отчет "</w:t>
            </w:r>
            <w:hyperlink r:id="rId59" w:history="1">
              <w:r w:rsidR="008E5A7C" w:rsidRPr="006D102C">
                <w:rPr>
                  <w:rStyle w:val="Hyperlink"/>
                  <w:rFonts w:eastAsia="Times New Roman" w:cstheme="minorHAnsi"/>
                </w:rPr>
                <w:t>Индекс развития ИКТ − 2024</w:t>
              </w:r>
            </w:hyperlink>
            <w:r w:rsidR="008E5A7C" w:rsidRPr="006D102C">
              <w:t xml:space="preserve">", являющийся вторым изданием серии, основанным на новой </w:t>
            </w:r>
            <w:hyperlink r:id="rId60" w:history="1">
              <w:r w:rsidR="008E5A7C" w:rsidRPr="006D102C">
                <w:rPr>
                  <w:rStyle w:val="Hyperlink"/>
                  <w:rFonts w:eastAsia="Times New Roman" w:cstheme="minorHAnsi"/>
                </w:rPr>
                <w:t>методике расчета индекса развития ИКТ (IDI)</w:t>
              </w:r>
            </w:hyperlink>
            <w:r w:rsidR="008E5A7C" w:rsidRPr="006D102C">
              <w:t xml:space="preserve">, а также представлена новая </w:t>
            </w:r>
            <w:hyperlink r:id="rId61" w:history="1">
              <w:r w:rsidR="008E5A7C" w:rsidRPr="006D102C">
                <w:rPr>
                  <w:rStyle w:val="Hyperlink"/>
                  <w:rFonts w:eastAsia="Times New Roman" w:cstheme="minorHAnsi"/>
                </w:rPr>
                <w:t>информационная панель IDI</w:t>
              </w:r>
            </w:hyperlink>
            <w:r w:rsidR="008E5A7C" w:rsidRPr="006D102C">
              <w:t xml:space="preserve"> на платформе Центра данных МСЭ.</w:t>
            </w:r>
          </w:p>
          <w:p w14:paraId="03A5BB17" w14:textId="70AF653B" w:rsidR="008E5A7C" w:rsidRPr="006D102C" w:rsidRDefault="0058632F" w:rsidP="0058632F">
            <w:pPr>
              <w:pStyle w:val="enumlev1"/>
            </w:pPr>
            <w:r w:rsidRPr="006D102C">
              <w:rPr>
                <w:rFonts w:cs="Calibri"/>
              </w:rPr>
              <w:t>•</w:t>
            </w:r>
            <w:r w:rsidRPr="006D102C">
              <w:tab/>
            </w:r>
            <w:r w:rsidR="008E5A7C" w:rsidRPr="006D102C">
              <w:t xml:space="preserve">В ноябре было выпущено </w:t>
            </w:r>
            <w:hyperlink r:id="rId62" w:history="1">
              <w:r w:rsidR="008E5A7C" w:rsidRPr="006D102C">
                <w:rPr>
                  <w:rStyle w:val="Hyperlink"/>
                  <w:rFonts w:eastAsia="Times New Roman" w:cstheme="minorHAnsi"/>
                </w:rPr>
                <w:t>издание глобального отчета "Факты и цифры" за 2024 год</w:t>
              </w:r>
            </w:hyperlink>
            <w:r w:rsidR="008E5A7C" w:rsidRPr="006D102C">
              <w:t>, в котором оценивались основные показатели в области ИКТ по миру, регионам МСЭ, группам с разным уровнем дохода и группам, выделяемым ООН по другим признакам.</w:t>
            </w:r>
          </w:p>
          <w:p w14:paraId="080724B8" w14:textId="13CB78FB" w:rsidR="008E5A7C" w:rsidRPr="006D102C" w:rsidRDefault="0058632F" w:rsidP="0058632F">
            <w:pPr>
              <w:pStyle w:val="enumlev1"/>
            </w:pPr>
            <w:r w:rsidRPr="006D102C">
              <w:rPr>
                <w:rFonts w:cs="Calibri"/>
              </w:rPr>
              <w:t>•</w:t>
            </w:r>
            <w:r w:rsidRPr="006D102C">
              <w:tab/>
            </w:r>
            <w:r w:rsidR="008E5A7C" w:rsidRPr="006D102C">
              <w:t xml:space="preserve">Серия из </w:t>
            </w:r>
            <w:hyperlink r:id="rId63" w:history="1">
              <w:r w:rsidR="008E5A7C" w:rsidRPr="006D102C">
                <w:rPr>
                  <w:rStyle w:val="Hyperlink"/>
                  <w:rFonts w:eastAsia="Times New Roman" w:cstheme="minorHAnsi"/>
                </w:rPr>
                <w:t>шести публикаций о состоянии цифрового развития и тенденциях</w:t>
              </w:r>
            </w:hyperlink>
            <w:r w:rsidR="008E5A7C" w:rsidRPr="006D102C">
              <w:t>, каждая из которых посвящена одному из регионов МСЭ, была выпущена на соответствующих региональных форумах по вопросам развития (РФР).</w:t>
            </w:r>
          </w:p>
          <w:p w14:paraId="151865A3" w14:textId="77777777" w:rsidR="008E5A7C" w:rsidRPr="006D102C" w:rsidRDefault="008E5A7C" w:rsidP="008E5A7C">
            <w:pPr>
              <w:pStyle w:val="Headingb"/>
              <w:rPr>
                <w:lang w:val="ru-RU"/>
              </w:rPr>
            </w:pPr>
            <w:r w:rsidRPr="006D102C">
              <w:rPr>
                <w:lang w:val="ru-RU"/>
              </w:rPr>
              <w:t>Инструменты цифрового присутствия и повышения производительности</w:t>
            </w:r>
          </w:p>
          <w:p w14:paraId="63FFD9EE" w14:textId="77777777" w:rsidR="008E5A7C" w:rsidRPr="006D102C" w:rsidRDefault="008E5A7C" w:rsidP="00EF7637">
            <w:r w:rsidRPr="006D102C">
              <w:t>Расширение онлайнового присутствия способствовало укреплению потенциала Государств-Членов в плане представления качественных данных и улучшению доступа к статистическим данным и регуляторной информации по ИКТ.</w:t>
            </w:r>
          </w:p>
          <w:p w14:paraId="695876BF" w14:textId="0826FDE8" w:rsidR="008E5A7C" w:rsidRPr="006D102C" w:rsidRDefault="0058632F" w:rsidP="0058632F">
            <w:pPr>
              <w:pStyle w:val="enumlev1"/>
            </w:pPr>
            <w:r w:rsidRPr="006D102C">
              <w:rPr>
                <w:rFonts w:cs="Calibri"/>
              </w:rPr>
              <w:t>•</w:t>
            </w:r>
            <w:r w:rsidRPr="006D102C">
              <w:tab/>
            </w:r>
            <w:r w:rsidR="008E5A7C" w:rsidRPr="006D102C">
              <w:t>Вопросник по всемирным показателям в области электросвязи/ИКТ (WTI) теперь доступен на шести официальных языках.</w:t>
            </w:r>
          </w:p>
          <w:p w14:paraId="01D05DD3" w14:textId="5AE7537E" w:rsidR="008E5A7C" w:rsidRPr="006D102C" w:rsidRDefault="0058632F" w:rsidP="0058632F">
            <w:pPr>
              <w:pStyle w:val="enumlev1"/>
            </w:pPr>
            <w:r w:rsidRPr="006D102C">
              <w:rPr>
                <w:rFonts w:cs="Calibri"/>
              </w:rPr>
              <w:t>•</w:t>
            </w:r>
            <w:r w:rsidRPr="006D102C">
              <w:tab/>
            </w:r>
            <w:r w:rsidR="008E5A7C" w:rsidRPr="006D102C">
              <w:t xml:space="preserve">На платформу </w:t>
            </w:r>
            <w:hyperlink r:id="rId64" w:history="1">
              <w:r w:rsidR="008E5A7C" w:rsidRPr="006D102C">
                <w:rPr>
                  <w:rStyle w:val="Hyperlink"/>
                  <w:rFonts w:eastAsia="Times New Roman" w:cstheme="minorHAnsi"/>
                </w:rPr>
                <w:t>Центра данных МСЭ</w:t>
              </w:r>
            </w:hyperlink>
            <w:r w:rsidR="008E5A7C" w:rsidRPr="006D102C">
              <w:t xml:space="preserve"> были добавлены новые функции и инструменты, включая </w:t>
            </w:r>
            <w:hyperlink r:id="rId65" w:history="1">
              <w:r w:rsidR="008E5A7C" w:rsidRPr="006D102C">
                <w:rPr>
                  <w:rStyle w:val="Hyperlink"/>
                  <w:rFonts w:eastAsia="Times New Roman" w:cstheme="minorHAnsi"/>
                </w:rPr>
                <w:t>усовершенствованный инструмент поиска данных</w:t>
              </w:r>
            </w:hyperlink>
            <w:r w:rsidR="008E5A7C" w:rsidRPr="006D102C">
              <w:t xml:space="preserve"> и </w:t>
            </w:r>
            <w:hyperlink r:id="rId66" w:history="1">
              <w:r w:rsidR="008E5A7C" w:rsidRPr="006D102C">
                <w:rPr>
                  <w:rStyle w:val="Hyperlink"/>
                  <w:rFonts w:eastAsia="Times New Roman" w:cstheme="minorHAnsi"/>
                </w:rPr>
                <w:t>фоновую картограмму</w:t>
              </w:r>
            </w:hyperlink>
            <w:r w:rsidR="008E5A7C" w:rsidRPr="006D102C">
              <w:t xml:space="preserve"> для одновременной визуализации положения в разных странах по выбранному показателю. В январе 2024 года было опубликовано последнее обновление доступной по подписке базы данных по WTI, обслуживание которой впоследствии было прекращено, поскольку все соответствующие данные теперь представлены в свободном доступе на платформе Центра данных МСЭ.</w:t>
            </w:r>
          </w:p>
          <w:p w14:paraId="31AC125D" w14:textId="777AFB09" w:rsidR="008E5A7C" w:rsidRPr="006D102C" w:rsidRDefault="0058632F" w:rsidP="0058632F">
            <w:pPr>
              <w:pStyle w:val="enumlev1"/>
            </w:pPr>
            <w:r w:rsidRPr="006D102C">
              <w:rPr>
                <w:rFonts w:cs="Calibri"/>
              </w:rPr>
              <w:t>•</w:t>
            </w:r>
            <w:r w:rsidRPr="006D102C">
              <w:tab/>
            </w:r>
            <w:r w:rsidR="008E5A7C" w:rsidRPr="006D102C">
              <w:t>За период с декабря 2023 года по ноябрь 2024 года показатели трафика Центра данных увеличились на 170 процентов.</w:t>
            </w:r>
          </w:p>
          <w:p w14:paraId="314941CB" w14:textId="77777777" w:rsidR="008E5A7C" w:rsidRPr="006D102C" w:rsidRDefault="008E5A7C" w:rsidP="008E5A7C">
            <w:pPr>
              <w:pStyle w:val="Headingb"/>
              <w:rPr>
                <w:lang w:val="ru-RU"/>
              </w:rPr>
            </w:pPr>
            <w:r w:rsidRPr="006D102C">
              <w:rPr>
                <w:lang w:val="ru-RU"/>
              </w:rPr>
              <w:t>Сбор данных и производство статистической информации</w:t>
            </w:r>
          </w:p>
          <w:p w14:paraId="626DE894" w14:textId="77777777" w:rsidR="008E5A7C" w:rsidRPr="006D102C" w:rsidRDefault="008E5A7C" w:rsidP="00EF7637">
            <w:r w:rsidRPr="006D102C">
              <w:t>Усилия по сбору данных способствовали наращиванию потенциала Государств-Членов по оценке возможностей установления соединений и прогресса в области внедрения UMC, а также разработке эффективных мероприятий.</w:t>
            </w:r>
          </w:p>
          <w:p w14:paraId="2D805BD2" w14:textId="075C10F9" w:rsidR="008E5A7C" w:rsidRPr="000B000B" w:rsidRDefault="0058632F" w:rsidP="0058632F">
            <w:pPr>
              <w:pStyle w:val="enumlev1"/>
              <w:rPr>
                <w:lang w:val="en-GB"/>
              </w:rPr>
            </w:pPr>
            <w:r w:rsidRPr="006D102C">
              <w:rPr>
                <w:rFonts w:cs="Calibri"/>
              </w:rPr>
              <w:t>•</w:t>
            </w:r>
            <w:r w:rsidRPr="006D102C">
              <w:tab/>
            </w:r>
            <w:r w:rsidR="008E5A7C" w:rsidRPr="006D102C">
              <w:t xml:space="preserve">В ходе весенней кампании по сбору данных 2024 года доля стран, представивших данные в МСЭ, несколько увеличилась по сравнению с осенней кампанией 2023 года. При этом несмотря на то, что с момента предыдущего отчетного цикла прошло всего шесть месяцев, отмечается улучшение показателей по трем из </w:t>
            </w:r>
            <w:r w:rsidR="008E5A7C" w:rsidRPr="006D102C">
              <w:lastRenderedPageBreak/>
              <w:t>пяти KPI КГРЭ, связанных с представлением данных Государствами-Членами. Кроме того, количество единиц данных, представленных в Центре данных, возросло до 613 000, что на 6 процентов больше, чем в 2023 году.</w:t>
            </w:r>
          </w:p>
          <w:p w14:paraId="304F49E7" w14:textId="5F43E1E8" w:rsidR="008E5A7C" w:rsidRPr="006D102C" w:rsidRDefault="0058632F" w:rsidP="0058632F">
            <w:pPr>
              <w:pStyle w:val="enumlev1"/>
            </w:pPr>
            <w:r w:rsidRPr="006D102C">
              <w:rPr>
                <w:rFonts w:cs="Calibri"/>
              </w:rPr>
              <w:t>•</w:t>
            </w:r>
            <w:r w:rsidRPr="006D102C">
              <w:tab/>
            </w:r>
            <w:r w:rsidR="008E5A7C" w:rsidRPr="006D102C">
              <w:t xml:space="preserve">МСЭ ведет самую большую и полную </w:t>
            </w:r>
            <w:hyperlink r:id="rId67" w:history="1">
              <w:r w:rsidR="008E5A7C" w:rsidRPr="006D102C">
                <w:rPr>
                  <w:rStyle w:val="Hyperlink"/>
                  <w:rFonts w:eastAsia="Times New Roman" w:cstheme="minorHAnsi"/>
                </w:rPr>
                <w:t>коллекцию данных по ценам на услуги ИКТ</w:t>
              </w:r>
            </w:hyperlink>
            <w:r w:rsidR="008E5A7C" w:rsidRPr="006D102C">
              <w:t xml:space="preserve">. В 2024 году были собраны данные по рекордному числу в 218 стран и территорий и восьми корзинам цен. </w:t>
            </w:r>
            <w:hyperlink r:id="rId68" w:history="1">
              <w:r w:rsidR="008E5A7C" w:rsidRPr="006D102C">
                <w:rPr>
                  <w:rStyle w:val="Hyperlink"/>
                  <w:rFonts w:eastAsia="Times New Roman" w:cstheme="minorHAnsi"/>
                </w:rPr>
                <w:t>Медианные цены</w:t>
              </w:r>
            </w:hyperlink>
            <w:r w:rsidR="008E5A7C" w:rsidRPr="006D102C">
              <w:t xml:space="preserve"> на базовую корзину услуг передачи данных в сетях подвижной связи и корзину услуг фиксированной широкополосной связи по миру, регионам МСЭ, группам с разным уровнем дохода и другим группам, выделяемым ООН по конкретным признакам, представлены в отчете "Факты и цифры" за 2024 год. Полный набор данных по </w:t>
            </w:r>
            <w:hyperlink r:id="rId69" w:history="1">
              <w:r w:rsidR="008E5A7C" w:rsidRPr="006D102C">
                <w:rPr>
                  <w:rStyle w:val="Hyperlink"/>
                  <w:rFonts w:eastAsia="Times New Roman" w:cstheme="minorHAnsi"/>
                </w:rPr>
                <w:t>ценам на ИКТ на национальном уровне за 2024 год</w:t>
              </w:r>
            </w:hyperlink>
            <w:r w:rsidR="008E5A7C" w:rsidRPr="006D102C">
              <w:t xml:space="preserve"> был опубликован в начале 2025 года. Сбор данных по ценам на ИКТ за 2025 год проводился в феврале.</w:t>
            </w:r>
          </w:p>
          <w:p w14:paraId="6CD2E8C0" w14:textId="4A3E5DBE" w:rsidR="008E5A7C" w:rsidRPr="006D102C" w:rsidRDefault="0058632F" w:rsidP="0058632F">
            <w:pPr>
              <w:pStyle w:val="enumlev1"/>
            </w:pPr>
            <w:r w:rsidRPr="006D102C">
              <w:rPr>
                <w:rFonts w:cs="Calibri"/>
              </w:rPr>
              <w:t>•</w:t>
            </w:r>
            <w:r w:rsidRPr="006D102C">
              <w:tab/>
            </w:r>
            <w:r w:rsidR="008E5A7C" w:rsidRPr="006D102C">
              <w:t xml:space="preserve">В декабре 2024 года впервые был опубликован </w:t>
            </w:r>
            <w:hyperlink r:id="rId70" w:history="1">
              <w:r w:rsidR="008E5A7C" w:rsidRPr="006D102C">
                <w:rPr>
                  <w:rStyle w:val="Hyperlink"/>
                  <w:rFonts w:eastAsia="Times New Roman" w:cstheme="minorHAnsi"/>
                </w:rPr>
                <w:t>сводный график рассылки всех запланированных вопросников БРЭ по данным</w:t>
              </w:r>
            </w:hyperlink>
            <w:r w:rsidR="008E5A7C" w:rsidRPr="006D102C">
              <w:t xml:space="preserve"> с учетом отзывов, полученных от Государств − Членов МСЭ, в частности в ходе КГРЭ-24. График на 2025 год призван свести к минимуму дублирование усилий и их избыточность, помочь Государствам-Членам в планировании и способствовать своевременному представлению данных. В нем указаны сроки заполнения каждого вопросника, а также контактные адреса электронной почты для любых вопросов или разъяснений по конкретным обследованиям. Цикл сбора данных в 2025 году включает в себя следующие вопросники: Вопросник по корзине цен на услуги ИКТ, Вопросник по доступу домашних хозяйств и отдельных лиц к ИКТ и их использованию, Вопросник по всемирным показателям в области электросвязи/ИКТ и Информационный вопросник по тарифной политике в области электросвязи/ИКТ.</w:t>
            </w:r>
          </w:p>
          <w:p w14:paraId="7237F2AD" w14:textId="77777777" w:rsidR="008E5A7C" w:rsidRPr="006D102C" w:rsidRDefault="008E5A7C" w:rsidP="008E5A7C">
            <w:pPr>
              <w:pStyle w:val="Headingb"/>
              <w:keepNext/>
              <w:keepLines/>
              <w:rPr>
                <w:lang w:val="ru-RU"/>
              </w:rPr>
            </w:pPr>
            <w:r w:rsidRPr="006D102C">
              <w:rPr>
                <w:lang w:val="ru-RU"/>
              </w:rPr>
              <w:t>Наука о данных как основа для официальной статистики</w:t>
            </w:r>
          </w:p>
          <w:p w14:paraId="6765CA76" w14:textId="77777777" w:rsidR="008E5A7C" w:rsidRPr="006D102C" w:rsidRDefault="008E5A7C" w:rsidP="00EF7637">
            <w:r w:rsidRPr="006D102C">
              <w:t>Информационно-пропагандистские мероприятия способствовали повышению осведомленности о потенциале использования науки о данных для ведения официальной статистики в области ИКТ. Предоставление Государствам-Членам технической помощи и инструментов помогло им расширить возможности по использованию науки о данных как основы для сбора статистических данных в области ИКТ.</w:t>
            </w:r>
          </w:p>
          <w:p w14:paraId="4714F532" w14:textId="33653397" w:rsidR="008E5A7C" w:rsidRPr="006D102C" w:rsidRDefault="0058632F" w:rsidP="0058632F">
            <w:pPr>
              <w:pStyle w:val="enumlev1"/>
              <w:rPr>
                <w:rFonts w:eastAsia="Times New Roman" w:cstheme="minorHAnsi"/>
              </w:rPr>
            </w:pPr>
            <w:r w:rsidRPr="006D102C">
              <w:rPr>
                <w:rFonts w:cs="Calibri"/>
              </w:rPr>
              <w:t>•</w:t>
            </w:r>
            <w:r w:rsidRPr="006D102C">
              <w:tab/>
            </w:r>
            <w:r w:rsidR="008E5A7C" w:rsidRPr="006D102C">
              <w:rPr>
                <w:rFonts w:eastAsia="Times New Roman" w:cstheme="minorHAnsi"/>
              </w:rPr>
              <w:t xml:space="preserve">МСЭ возглавляет </w:t>
            </w:r>
            <w:hyperlink r:id="rId71" w:history="1">
              <w:r w:rsidR="008E5A7C" w:rsidRPr="006D102C">
                <w:rPr>
                  <w:rStyle w:val="Hyperlink"/>
                  <w:rFonts w:eastAsia="Times New Roman" w:cstheme="minorHAnsi"/>
                </w:rPr>
                <w:t>Целевую группу по данным мобильных телефонов</w:t>
              </w:r>
            </w:hyperlink>
            <w:r w:rsidR="008E5A7C" w:rsidRPr="006D102C">
              <w:rPr>
                <w:rFonts w:eastAsia="Times New Roman" w:cstheme="minorHAnsi"/>
              </w:rPr>
              <w:t xml:space="preserve"> и руководит ее подгруппой по синтетическим данным в рамках </w:t>
            </w:r>
            <w:hyperlink r:id="rId72" w:history="1">
              <w:r w:rsidR="008E5A7C" w:rsidRPr="006D102C">
                <w:rPr>
                  <w:rStyle w:val="Hyperlink"/>
                  <w:rFonts w:eastAsia="Times New Roman" w:cstheme="minorHAnsi"/>
                </w:rPr>
                <w:t>Комитета экспертов ООН по использованию больших данных и обработке и анализу данных для целей официальной статистики</w:t>
              </w:r>
            </w:hyperlink>
            <w:r w:rsidR="008E5A7C" w:rsidRPr="006D102C">
              <w:rPr>
                <w:rFonts w:eastAsia="Times New Roman" w:cstheme="minorHAnsi"/>
              </w:rPr>
              <w:t>.</w:t>
            </w:r>
          </w:p>
          <w:p w14:paraId="0A0F6153" w14:textId="4C7906DD" w:rsidR="008E5A7C" w:rsidRPr="006D102C" w:rsidRDefault="0058632F" w:rsidP="0058632F">
            <w:pPr>
              <w:pStyle w:val="enumlev1"/>
              <w:rPr>
                <w:rFonts w:eastAsia="Times New Roman" w:cstheme="minorHAnsi"/>
              </w:rPr>
            </w:pPr>
            <w:r w:rsidRPr="006D102C">
              <w:rPr>
                <w:rFonts w:cs="Calibri"/>
              </w:rPr>
              <w:t>•</w:t>
            </w:r>
            <w:r w:rsidRPr="006D102C">
              <w:tab/>
            </w:r>
            <w:r w:rsidR="008E5A7C" w:rsidRPr="006D102C">
              <w:rPr>
                <w:rFonts w:eastAsia="Times New Roman" w:cstheme="minorHAnsi"/>
              </w:rPr>
              <w:t xml:space="preserve">Полным ходом идет реализация </w:t>
            </w:r>
            <w:hyperlink r:id="rId73" w:history="1">
              <w:r w:rsidR="008E5A7C" w:rsidRPr="006D102C">
                <w:rPr>
                  <w:rStyle w:val="Hyperlink"/>
                  <w:rFonts w:eastAsia="Times New Roman" w:cstheme="minorHAnsi"/>
                </w:rPr>
                <w:t>проекта</w:t>
              </w:r>
            </w:hyperlink>
            <w:r w:rsidR="008E5A7C" w:rsidRPr="006D102C">
              <w:rPr>
                <w:rFonts w:eastAsia="Times New Roman" w:cstheme="minorHAnsi"/>
              </w:rPr>
              <w:t xml:space="preserve"> МСЭ и Всемирного банка "Использование больших данных мобильных телефонов в целях формирования политики". В октябре 2024 года был проведен стартовый </w:t>
            </w:r>
            <w:hyperlink r:id="rId74" w:history="1">
              <w:r w:rsidR="008E5A7C" w:rsidRPr="006D102C">
                <w:rPr>
                  <w:rStyle w:val="Hyperlink"/>
                  <w:rFonts w:eastAsia="Times New Roman" w:cstheme="minorHAnsi"/>
                </w:rPr>
                <w:t>семинар-практикум</w:t>
              </w:r>
            </w:hyperlink>
            <w:r w:rsidR="008E5A7C" w:rsidRPr="006D102C">
              <w:rPr>
                <w:rFonts w:eastAsia="Times New Roman" w:cstheme="minorHAnsi"/>
              </w:rPr>
              <w:t xml:space="preserve"> с участием представителей национальных статистических служб, регуляторных органов и операторов электросвязи из 18 стран, отобранных в первую группу участников. Состав первой группы был официально объявлен на Всемирном форуме ООН по использованию данных 2024 года в Медельине, Колумбия.</w:t>
            </w:r>
          </w:p>
          <w:p w14:paraId="0B155EAF" w14:textId="5A093269" w:rsidR="008E5A7C" w:rsidRPr="006D102C" w:rsidRDefault="0058632F" w:rsidP="0058632F">
            <w:pPr>
              <w:pStyle w:val="enumlev1"/>
              <w:rPr>
                <w:rFonts w:eastAsia="Times New Roman" w:cstheme="minorHAnsi"/>
              </w:rPr>
            </w:pPr>
            <w:r w:rsidRPr="006D102C">
              <w:rPr>
                <w:rFonts w:cs="Calibri"/>
              </w:rPr>
              <w:lastRenderedPageBreak/>
              <w:t>•</w:t>
            </w:r>
            <w:r w:rsidRPr="006D102C">
              <w:tab/>
            </w:r>
            <w:r w:rsidR="008E5A7C" w:rsidRPr="006D102C">
              <w:rPr>
                <w:rFonts w:eastAsia="Times New Roman" w:cstheme="minorHAnsi"/>
              </w:rPr>
              <w:t>МСЭ была разработана новая программа Jupiter Notebooks для расчета показателя числа интернет-пользователей на основе данных мобильных телефонов (MPD). Программа была представлена на Международной конференции по большим данным в Бильбао, Испания, а также на Симпозиуме по всемирным показателям в области электросвязи 2024 года (WTIS-24) и вызвала большой интерес у Государств-Членов: более 20 стран обратились с просьбой об использовании соответствующих кодов.</w:t>
            </w:r>
          </w:p>
          <w:p w14:paraId="4DDE1586" w14:textId="2DDFD617" w:rsidR="008E5A7C" w:rsidRPr="006D102C" w:rsidRDefault="0058632F" w:rsidP="0058632F">
            <w:pPr>
              <w:pStyle w:val="enumlev1"/>
              <w:rPr>
                <w:rFonts w:eastAsia="Times New Roman" w:cstheme="minorHAnsi"/>
              </w:rPr>
            </w:pPr>
            <w:r w:rsidRPr="006D102C">
              <w:rPr>
                <w:rFonts w:cs="Calibri"/>
              </w:rPr>
              <w:t>•</w:t>
            </w:r>
            <w:r w:rsidRPr="006D102C">
              <w:tab/>
            </w:r>
            <w:r w:rsidR="008E5A7C" w:rsidRPr="006D102C">
              <w:rPr>
                <w:rFonts w:eastAsia="Times New Roman" w:cstheme="minorHAnsi"/>
              </w:rPr>
              <w:t>Была оказана страновая помощь Уганде в выработке стратегии использования больших данных в государственных учреждениях, а также Тунису, Либерии и Малайзии − в использовании MPD для расчета показателей развития информационного общества и в других областях статистики. Презентации, посвященные MPD, были проведены в Аргентине, Уругвае, Коста-Рике и Монголии.</w:t>
            </w:r>
          </w:p>
          <w:p w14:paraId="5BEC8720" w14:textId="7F24F210" w:rsidR="008E5A7C" w:rsidRPr="006D102C" w:rsidRDefault="0058632F" w:rsidP="0058632F">
            <w:pPr>
              <w:pStyle w:val="enumlev1"/>
              <w:rPr>
                <w:rFonts w:eastAsia="Times New Roman" w:cstheme="minorHAnsi"/>
              </w:rPr>
            </w:pPr>
            <w:r w:rsidRPr="006D102C">
              <w:rPr>
                <w:rFonts w:cs="Calibri"/>
              </w:rPr>
              <w:t>•</w:t>
            </w:r>
            <w:r w:rsidRPr="006D102C">
              <w:tab/>
            </w:r>
            <w:r w:rsidR="008E5A7C" w:rsidRPr="006D102C">
              <w:rPr>
                <w:rFonts w:eastAsia="Times New Roman" w:cstheme="minorHAnsi"/>
              </w:rPr>
              <w:t xml:space="preserve">БРЭ расширило техническую работу по оценке показателей использования интернета на субнациональном уровне с помощью открытых источников больших данных. </w:t>
            </w:r>
          </w:p>
          <w:p w14:paraId="1C08C17A" w14:textId="47675B7B" w:rsidR="008E5A7C" w:rsidRPr="006D102C" w:rsidRDefault="0058632F" w:rsidP="0058632F">
            <w:pPr>
              <w:pStyle w:val="enumlev1"/>
              <w:rPr>
                <w:rFonts w:eastAsia="Times New Roman" w:cstheme="minorHAnsi"/>
              </w:rPr>
            </w:pPr>
            <w:r w:rsidRPr="006D102C">
              <w:rPr>
                <w:rFonts w:cs="Calibri"/>
              </w:rPr>
              <w:t>•</w:t>
            </w:r>
            <w:r w:rsidRPr="006D102C">
              <w:tab/>
            </w:r>
            <w:r w:rsidR="008E5A7C" w:rsidRPr="006D102C">
              <w:rPr>
                <w:rFonts w:eastAsia="Times New Roman" w:cstheme="minorHAnsi"/>
              </w:rPr>
              <w:t xml:space="preserve">Источники больших данных были интегрированы в основные процессы сбора статистики МСЭ, а также было создано озеро данных для упорядочения сбора и обработки данных и обмена ими. </w:t>
            </w:r>
          </w:p>
          <w:p w14:paraId="16F3198C" w14:textId="632D4756" w:rsidR="008E5A7C" w:rsidRPr="006D102C" w:rsidRDefault="0058632F" w:rsidP="0058632F">
            <w:pPr>
              <w:pStyle w:val="enumlev1"/>
              <w:rPr>
                <w:rFonts w:eastAsia="Times New Roman" w:cstheme="minorHAnsi"/>
              </w:rPr>
            </w:pPr>
            <w:r w:rsidRPr="006D102C">
              <w:rPr>
                <w:rFonts w:cs="Calibri"/>
              </w:rPr>
              <w:t>•</w:t>
            </w:r>
            <w:r w:rsidRPr="006D102C">
              <w:tab/>
            </w:r>
            <w:r w:rsidR="008E5A7C" w:rsidRPr="006D102C">
              <w:rPr>
                <w:rFonts w:eastAsia="Times New Roman" w:cstheme="minorHAnsi"/>
              </w:rPr>
              <w:t>БРЭ организовало сессии по использованию больших данных для целей статистики в области ИКТ в рамках Всемирного форума по использованию данных 2024 года и Международной конференции по большим данным, а также несколько вебинаров по использованию MPD для расчета показателей развития информационного общества, проведенных при содействии региональных центров Комитета экспертов ООН по использованию больших данных.</w:t>
            </w:r>
          </w:p>
          <w:p w14:paraId="0727DA7E" w14:textId="77777777" w:rsidR="008E5A7C" w:rsidRPr="006D102C" w:rsidRDefault="008E5A7C" w:rsidP="008E5A7C">
            <w:pPr>
              <w:pStyle w:val="Headingb"/>
              <w:rPr>
                <w:lang w:val="ru-RU"/>
              </w:rPr>
            </w:pPr>
            <w:r w:rsidRPr="006D102C">
              <w:rPr>
                <w:lang w:val="ru-RU"/>
              </w:rPr>
              <w:t>Развитие потенциала и статистические стандарты (EGTI и EGH)</w:t>
            </w:r>
          </w:p>
          <w:p w14:paraId="1EF5C3F4" w14:textId="77777777" w:rsidR="008E5A7C" w:rsidRPr="006D102C" w:rsidRDefault="008E5A7C" w:rsidP="00EF7637">
            <w:r w:rsidRPr="006D102C">
              <w:t>Работа Группы экспертов по показателям ИКТ в домашних хозяйствах (EGH) и Группы экспертов по показателям электросвязи/ИКТ (EGTI), мероприятия по развитию потенциала и техническая помощь способствовали повышению качества и актуальности показателей МСЭ, а также укреплению потенциала Государств-Членов в области производства и сбора высококачественных статистических данных по ИКТ.</w:t>
            </w:r>
          </w:p>
          <w:p w14:paraId="556B399C" w14:textId="20B7C5BD" w:rsidR="008E5A7C" w:rsidRPr="006D102C" w:rsidRDefault="0058632F" w:rsidP="0058632F">
            <w:pPr>
              <w:pStyle w:val="enumlev1"/>
            </w:pPr>
            <w:r w:rsidRPr="006D102C">
              <w:rPr>
                <w:rFonts w:cs="Calibri"/>
              </w:rPr>
              <w:t>•</w:t>
            </w:r>
            <w:r w:rsidRPr="006D102C">
              <w:tab/>
            </w:r>
            <w:r w:rsidR="008E5A7C" w:rsidRPr="006D102C">
              <w:t xml:space="preserve">Ежегодные собрания </w:t>
            </w:r>
            <w:hyperlink r:id="rId75" w:history="1">
              <w:r w:rsidR="008E5A7C" w:rsidRPr="006D102C">
                <w:rPr>
                  <w:rStyle w:val="Hyperlink"/>
                  <w:rFonts w:eastAsia="Times New Roman" w:cstheme="minorHAnsi"/>
                </w:rPr>
                <w:t>групп экспертов по показателям ИКТ</w:t>
              </w:r>
            </w:hyperlink>
            <w:r w:rsidR="008E5A7C" w:rsidRPr="006D102C">
              <w:t xml:space="preserve"> 2024 года были проведены совместно 25−26</w:t>
            </w:r>
            <w:r w:rsidR="00C14A10" w:rsidRPr="006D102C">
              <w:t> </w:t>
            </w:r>
            <w:r w:rsidR="008E5A7C" w:rsidRPr="006D102C">
              <w:t>сентября в Женеве; в них приняли участие 263 человека.</w:t>
            </w:r>
          </w:p>
          <w:p w14:paraId="0D8E0AF0" w14:textId="74F5B2A5" w:rsidR="008E5A7C" w:rsidRPr="006D102C" w:rsidRDefault="0058632F" w:rsidP="0058632F">
            <w:pPr>
              <w:pStyle w:val="enumlev2"/>
              <w:rPr>
                <w:rFonts w:eastAsia="Times New Roman" w:cstheme="minorHAnsi"/>
              </w:rPr>
            </w:pPr>
            <w:r w:rsidRPr="006D102C">
              <w:rPr>
                <w:rFonts w:eastAsia="Times New Roman" w:cstheme="minorHAnsi"/>
              </w:rPr>
              <w:t>−</w:t>
            </w:r>
            <w:r w:rsidRPr="006D102C">
              <w:rPr>
                <w:rFonts w:eastAsia="Times New Roman" w:cstheme="minorHAnsi"/>
              </w:rPr>
              <w:tab/>
            </w:r>
            <w:r w:rsidR="008E5A7C" w:rsidRPr="006D102C">
              <w:rPr>
                <w:rFonts w:eastAsia="Times New Roman" w:cstheme="minorHAnsi"/>
              </w:rPr>
              <w:t xml:space="preserve">В рамках </w:t>
            </w:r>
            <w:hyperlink r:id="rId76" w:history="1">
              <w:r w:rsidR="008E5A7C" w:rsidRPr="006D102C">
                <w:rPr>
                  <w:rStyle w:val="Hyperlink"/>
                  <w:rFonts w:eastAsia="Times New Roman" w:cstheme="minorHAnsi"/>
                </w:rPr>
                <w:t>12-го собрания EGH</w:t>
              </w:r>
            </w:hyperlink>
            <w:r w:rsidR="008E5A7C" w:rsidRPr="006D102C">
              <w:rPr>
                <w:rFonts w:eastAsia="Times New Roman" w:cstheme="minorHAnsi"/>
              </w:rPr>
              <w:t xml:space="preserve"> прошли заседания по оценке навыков в области ИКТ, </w:t>
            </w:r>
            <w:hyperlink r:id="rId77" w:history="1">
              <w:r w:rsidR="008E5A7C" w:rsidRPr="006D102C">
                <w:rPr>
                  <w:rStyle w:val="Hyperlink"/>
                  <w:rFonts w:eastAsia="Times New Roman" w:cstheme="minorHAnsi"/>
                </w:rPr>
                <w:t>работе</w:t>
              </w:r>
            </w:hyperlink>
            <w:r w:rsidR="008E5A7C" w:rsidRPr="006D102C">
              <w:rPr>
                <w:rFonts w:eastAsia="Times New Roman" w:cstheme="minorHAnsi"/>
              </w:rPr>
              <w:t xml:space="preserve"> объединенной подгруппы EGTI/EGH по методике расчета Индекса развития ИКТ (совместное заседание с EGH), по составлению вопросников, по измерению использования ИИ на индивидуальном уровне.</w:t>
            </w:r>
          </w:p>
          <w:p w14:paraId="1D4656EE" w14:textId="041724B2" w:rsidR="008E5A7C" w:rsidRPr="006D102C" w:rsidRDefault="0058632F" w:rsidP="0058632F">
            <w:pPr>
              <w:pStyle w:val="enumlev2"/>
              <w:rPr>
                <w:rFonts w:eastAsia="Times New Roman" w:cstheme="minorHAnsi"/>
              </w:rPr>
            </w:pPr>
            <w:r w:rsidRPr="006D102C">
              <w:rPr>
                <w:rFonts w:eastAsia="Times New Roman" w:cstheme="minorHAnsi"/>
              </w:rPr>
              <w:t>−</w:t>
            </w:r>
            <w:r w:rsidRPr="006D102C">
              <w:rPr>
                <w:rFonts w:eastAsia="Times New Roman" w:cstheme="minorHAnsi"/>
              </w:rPr>
              <w:tab/>
            </w:r>
            <w:r w:rsidR="008E5A7C" w:rsidRPr="006D102C">
              <w:rPr>
                <w:rFonts w:eastAsia="Times New Roman" w:cstheme="minorHAnsi"/>
              </w:rPr>
              <w:t xml:space="preserve">В рамках </w:t>
            </w:r>
            <w:hyperlink r:id="rId78" w:history="1">
              <w:r w:rsidR="008E5A7C" w:rsidRPr="006D102C">
                <w:rPr>
                  <w:rStyle w:val="Hyperlink"/>
                  <w:rFonts w:eastAsia="Times New Roman" w:cstheme="minorHAnsi"/>
                </w:rPr>
                <w:t>15-го собрания EGTI</w:t>
              </w:r>
            </w:hyperlink>
            <w:r w:rsidR="008E5A7C" w:rsidRPr="006D102C">
              <w:rPr>
                <w:rFonts w:eastAsia="Times New Roman" w:cstheme="minorHAnsi"/>
              </w:rPr>
              <w:t xml:space="preserve"> были проведены заседания, посвященные рассмотрению выводов подгруппы по корзинам цен на услуги ИКТ, вопросам измерения качества обслуживания и оценки пользователем качества услуги и измерения воздействия сектора ИКТ на окружающую среду, а также </w:t>
            </w:r>
            <w:r w:rsidR="008E5A7C" w:rsidRPr="006D102C">
              <w:rPr>
                <w:rFonts w:eastAsia="Times New Roman" w:cstheme="minorHAnsi"/>
              </w:rPr>
              <w:lastRenderedPageBreak/>
              <w:t>состоялся обмен многочисленными примерами опыта стран, включая передовую практику сбора данных о рынке ИКТ.</w:t>
            </w:r>
          </w:p>
          <w:p w14:paraId="2E81B5B7" w14:textId="3DDCD3C2" w:rsidR="008E5A7C" w:rsidRPr="006D102C" w:rsidRDefault="0058632F" w:rsidP="0058632F">
            <w:pPr>
              <w:pStyle w:val="enumlev1"/>
            </w:pPr>
            <w:r w:rsidRPr="006D102C">
              <w:rPr>
                <w:rFonts w:cs="Calibri"/>
              </w:rPr>
              <w:t>•</w:t>
            </w:r>
            <w:r w:rsidRPr="006D102C">
              <w:tab/>
            </w:r>
            <w:r w:rsidR="008E5A7C" w:rsidRPr="006D102C">
              <w:t xml:space="preserve">На основе выводов EGH и EGTI МСЭ обновил </w:t>
            </w:r>
            <w:hyperlink r:id="rId79" w:history="1">
              <w:r w:rsidR="008E5A7C" w:rsidRPr="006D102C">
                <w:rPr>
                  <w:rStyle w:val="Hyperlink"/>
                  <w:rFonts w:eastAsia="Times New Roman" w:cstheme="minorHAnsi"/>
                </w:rPr>
                <w:t>основные разделы</w:t>
              </w:r>
            </w:hyperlink>
            <w:r w:rsidR="008E5A7C" w:rsidRPr="006D102C">
              <w:t xml:space="preserve"> своего </w:t>
            </w:r>
            <w:r w:rsidR="008E5A7C" w:rsidRPr="006D102C">
              <w:rPr>
                <w:i/>
                <w:iCs/>
              </w:rPr>
              <w:t>Руководства по оценке доступа к ИКТ и их использования на уровне домохозяйств и отдельных лиц</w:t>
            </w:r>
            <w:r w:rsidR="008E5A7C" w:rsidRPr="006D102C">
              <w:t xml:space="preserve">, представив новые рекомендации по измерению навыков в области ИКТ. Рекомендации также были включены в </w:t>
            </w:r>
            <w:hyperlink r:id="rId80" w:history="1">
              <w:r w:rsidR="008E5A7C" w:rsidRPr="006D102C">
                <w:rPr>
                  <w:rStyle w:val="Hyperlink"/>
                  <w:rFonts w:eastAsia="Times New Roman" w:cstheme="minorHAnsi"/>
                </w:rPr>
                <w:t>метаданные</w:t>
              </w:r>
            </w:hyperlink>
            <w:r w:rsidR="008E5A7C" w:rsidRPr="006D102C">
              <w:t xml:space="preserve"> для показателя 4.4.1 Целей ООН в области устойчивого развития (ЦУР), что позволило предложить странам стандартизированный на глобальном уровне подход к измерению уровня навыков отдельных лиц в области ИКТ. Кроме того, МСЭ обновил метаданные для показателя 9.c.1 ЦУР ООН. Теперь в данном показателе отдельно выделяются группы населения, охваченные сетями 5G, что позволяет получить более актуальное и глубокое представление о глобальной возможности установления соединений.</w:t>
            </w:r>
          </w:p>
          <w:p w14:paraId="4124EB5F" w14:textId="5BB49856" w:rsidR="008E5A7C" w:rsidRPr="006D102C" w:rsidRDefault="0058632F" w:rsidP="0058632F">
            <w:pPr>
              <w:pStyle w:val="enumlev1"/>
            </w:pPr>
            <w:r w:rsidRPr="006D102C">
              <w:rPr>
                <w:rFonts w:cs="Calibri"/>
              </w:rPr>
              <w:t>•</w:t>
            </w:r>
            <w:r w:rsidRPr="006D102C">
              <w:tab/>
            </w:r>
            <w:r w:rsidR="008E5A7C" w:rsidRPr="006D102C">
              <w:t>БРЭ провело серию из девяти региональных семинаров по расширению и измерению UMC, предназначенных для директивных органов, отвечающих за выработку национальной политики и стратегий в области установления цифровых соединений, и специалистов по сбору статистики в области развития электросвязи/ИКТ из министерств, национальных статистических служб, регуляторных органов, операторов электросвязи, научно-исследовательских институтов и других соответствующих организаций. Эти семинары организуются в сотрудничестве с региональными отделениями МСЭ при финансовой поддержке со стороны принимающей организации и/или Европейского союза в рамках реализации проекта "Продвижение и измерение универсальной и реальной возможности установления соединений". Семинары длятся три дня и преследуют три цели: 1) выполнение императива UMC; 2) укрепление сотрудничества между статистическими службами и директивными органами; и 3) преодоление проблем, связанных с измерением. Были проведены следующие семинары-практикумы:</w:t>
            </w:r>
          </w:p>
          <w:p w14:paraId="406676B3" w14:textId="267DD284" w:rsidR="008E5A7C" w:rsidRPr="006D102C" w:rsidRDefault="0058632F" w:rsidP="0058632F">
            <w:pPr>
              <w:pStyle w:val="enumlev2"/>
              <w:rPr>
                <w:rFonts w:eastAsia="Times New Roman" w:cstheme="minorHAnsi"/>
              </w:rPr>
            </w:pPr>
            <w:r w:rsidRPr="006D102C">
              <w:t>−</w:t>
            </w:r>
            <w:r w:rsidRPr="006D102C">
              <w:tab/>
            </w:r>
            <w:hyperlink r:id="rId81" w:history="1"/>
            <w:r w:rsidR="008E5A7C" w:rsidRPr="006D102C">
              <w:rPr>
                <w:rFonts w:eastAsia="Times New Roman" w:cstheme="minorHAnsi"/>
              </w:rPr>
              <w:t xml:space="preserve">в Нассау, </w:t>
            </w:r>
            <w:hyperlink r:id="rId82" w:history="1">
              <w:r w:rsidR="008E5A7C" w:rsidRPr="006D102C">
                <w:rPr>
                  <w:rStyle w:val="Hyperlink"/>
                  <w:rFonts w:eastAsia="Times New Roman" w:cstheme="minorHAnsi"/>
                </w:rPr>
                <w:t>Карибский регион</w:t>
              </w:r>
            </w:hyperlink>
            <w:r w:rsidR="008E5A7C" w:rsidRPr="006D102C">
              <w:rPr>
                <w:rFonts w:eastAsia="Times New Roman" w:cstheme="minorHAnsi"/>
              </w:rPr>
              <w:t>, в сотрудничестве с Управлением по вопросам регулирования и конкуренции в сфере коммунальных услуг (URCA) Багамских Островов (июнь 2024 г.);</w:t>
            </w:r>
          </w:p>
          <w:p w14:paraId="35E48D0A" w14:textId="3BBBFCE4" w:rsidR="008E5A7C" w:rsidRPr="006D102C" w:rsidRDefault="0058632F" w:rsidP="0058632F">
            <w:pPr>
              <w:pStyle w:val="enumlev2"/>
              <w:rPr>
                <w:rFonts w:eastAsia="Times New Roman" w:cstheme="minorHAnsi"/>
              </w:rPr>
            </w:pPr>
            <w:r w:rsidRPr="006D102C">
              <w:t>−</w:t>
            </w:r>
            <w:r w:rsidRPr="006D102C">
              <w:tab/>
            </w:r>
            <w:r w:rsidR="008E5A7C" w:rsidRPr="006D102C">
              <w:t xml:space="preserve">в Дохе, </w:t>
            </w:r>
            <w:hyperlink r:id="rId83" w:history="1">
              <w:r w:rsidR="008E5A7C" w:rsidRPr="006D102C">
                <w:rPr>
                  <w:rStyle w:val="Hyperlink"/>
                </w:rPr>
                <w:t>арабские государства</w:t>
              </w:r>
            </w:hyperlink>
            <w:r w:rsidR="008E5A7C" w:rsidRPr="006D102C">
              <w:t>, в сотрудничестве с Регуляторным органом связи (CRA) Катара (октябрь);</w:t>
            </w:r>
          </w:p>
          <w:p w14:paraId="1C039493" w14:textId="35E17AA4" w:rsidR="008E5A7C" w:rsidRPr="006D102C" w:rsidRDefault="0058632F" w:rsidP="0058632F">
            <w:pPr>
              <w:pStyle w:val="enumlev2"/>
              <w:rPr>
                <w:rFonts w:eastAsia="Times New Roman" w:cstheme="minorHAnsi"/>
              </w:rPr>
            </w:pPr>
            <w:r w:rsidRPr="006D102C">
              <w:t>−</w:t>
            </w:r>
            <w:r w:rsidRPr="006D102C">
              <w:tab/>
            </w:r>
            <w:r w:rsidR="008E5A7C" w:rsidRPr="006D102C">
              <w:t xml:space="preserve">в Бангкоке, </w:t>
            </w:r>
            <w:hyperlink r:id="rId84" w:history="1">
              <w:r w:rsidR="008E5A7C" w:rsidRPr="006D102C">
                <w:rPr>
                  <w:rStyle w:val="Hyperlink"/>
                </w:rPr>
                <w:t>Азия</w:t>
              </w:r>
            </w:hyperlink>
            <w:r w:rsidR="008E5A7C" w:rsidRPr="006D102C">
              <w:t>, в сотрудничестве с Управлением Национальной комиссии по радиовещанию и электросвязи (NBTC) Таиланда (декабрь);</w:t>
            </w:r>
          </w:p>
          <w:p w14:paraId="50677A02" w14:textId="262AA7D1" w:rsidR="008E5A7C" w:rsidRPr="006D102C" w:rsidRDefault="0058632F" w:rsidP="0058632F">
            <w:pPr>
              <w:pStyle w:val="enumlev2"/>
              <w:rPr>
                <w:rFonts w:eastAsia="Times New Roman" w:cstheme="minorHAnsi"/>
              </w:rPr>
            </w:pPr>
            <w:r w:rsidRPr="006D102C">
              <w:t>−</w:t>
            </w:r>
            <w:r w:rsidRPr="006D102C">
              <w:tab/>
            </w:r>
            <w:r w:rsidR="008E5A7C" w:rsidRPr="006D102C">
              <w:t xml:space="preserve">в Санто-Доминго, </w:t>
            </w:r>
            <w:hyperlink r:id="rId85" w:history="1">
              <w:r w:rsidR="008E5A7C" w:rsidRPr="006D102C">
                <w:rPr>
                  <w:rStyle w:val="Hyperlink"/>
                </w:rPr>
                <w:t>Латинская Америка</w:t>
              </w:r>
            </w:hyperlink>
            <w:r w:rsidR="008E5A7C" w:rsidRPr="006D102C">
              <w:t>, в сотрудничестве с Национальным статистическим управлением (ONE) Доминиканской Республики и Доминиканским институтом электросвязи (INDOTEL) (апрель 2025 г.</w:t>
            </w:r>
            <w:r w:rsidR="008E5A7C" w:rsidRPr="006D102C">
              <w:rPr>
                <w:rFonts w:eastAsia="Times New Roman" w:cstheme="minorHAnsi"/>
              </w:rPr>
              <w:t>).</w:t>
            </w:r>
          </w:p>
          <w:p w14:paraId="2CC077D1" w14:textId="11DFA40B" w:rsidR="008E5A7C" w:rsidRPr="006D102C" w:rsidRDefault="0058632F" w:rsidP="0058632F">
            <w:pPr>
              <w:pStyle w:val="enumlev1"/>
            </w:pPr>
            <w:r w:rsidRPr="006D102C">
              <w:rPr>
                <w:rFonts w:cs="Calibri"/>
              </w:rPr>
              <w:t>•</w:t>
            </w:r>
            <w:r w:rsidRPr="006D102C">
              <w:tab/>
            </w:r>
            <w:r w:rsidR="008E5A7C" w:rsidRPr="006D102C">
              <w:t>В</w:t>
            </w:r>
            <w:r w:rsidR="008E5A7C" w:rsidRPr="006D102C">
              <w:rPr>
                <w:b/>
                <w:bCs/>
              </w:rPr>
              <w:t xml:space="preserve"> СНГ </w:t>
            </w:r>
            <w:r w:rsidR="008E5A7C" w:rsidRPr="006D102C">
              <w:t xml:space="preserve">в Ташкенте, Узбекистан, прошел региональный учебный курс МСЭ по мониторингу UMC с использованием статистических данных в области ИКТ, который позволил изучить концепцию UMC, а также способы ее оптимизации в рамках национальной цифровой политики, способы повышения статистического потенциала стран региона для получения и распространения соответствующих статистических данных, а </w:t>
            </w:r>
            <w:r w:rsidR="008E5A7C" w:rsidRPr="006D102C">
              <w:lastRenderedPageBreak/>
              <w:t>также способы использования этих данных для определения передового опыта и выработки политических рекомендаций. В обучении приняли участие более 80 человек: представители директивных органов, отвечающие за выработку национальной политики и стратегий в области установления цифровых соединений, руководители и специалисты, ответственные за измерение уровня развития электросвязи/ИКТ, из министерств, национальных статистических служб, регуляторных органов, операторов электросвязи, научно-исследовательских институтов и других соответствующих организаций из стран СНГ. В результате участники получили представление о концепции UMC и новом политическом императиве; прошли обучение по статистическим стандартам в области ИКТ; а также обсудили ситуацию со статистическими данными в области ИКТ в странах СНГ на страновом и региональном уровнях.</w:t>
            </w:r>
          </w:p>
          <w:p w14:paraId="6EC165A3" w14:textId="18732329" w:rsidR="008E5A7C" w:rsidRPr="006D102C" w:rsidRDefault="0058632F" w:rsidP="0058632F">
            <w:pPr>
              <w:pStyle w:val="enumlev1"/>
            </w:pPr>
            <w:r w:rsidRPr="006D102C">
              <w:rPr>
                <w:rFonts w:cs="Calibri"/>
              </w:rPr>
              <w:t>•</w:t>
            </w:r>
            <w:r w:rsidRPr="006D102C">
              <w:tab/>
            </w:r>
            <w:r w:rsidR="008E5A7C" w:rsidRPr="006D102C">
              <w:t>Некоторым странам в регионе СНГ была предоставлена более специализированная экспертная помощь. В</w:t>
            </w:r>
            <w:r w:rsidR="000B000B">
              <w:rPr>
                <w:lang w:val="en-GB"/>
              </w:rPr>
              <w:t> </w:t>
            </w:r>
            <w:r w:rsidR="008E5A7C" w:rsidRPr="006D102C">
              <w:t xml:space="preserve">частности, в апреле 2024 года в Кыргызстане был проведен национальный семинар-практикум "Цифровое развитие на основе данных: обмен опытом по сбору, анализу и распространению данных в области электросвязи/ИКТ", в рамках которого более 30 представителей Министерства цифрового развития и Национального статистического комитета получили глубокие знания. В марте 2025 года в Армении был проведен национальный семинар-практикум "Инструменты поддержки формирования отраслевой политики и регулирования: статистические данные в области ИКТ и оценка качества предоставления услуг" для представителей политических, регуляторных и статистических органов. В ходе этих учебных мероприятий национальные представители при содействии экспертов МСЭ обсудили подходы стран к сбору данных и существующие методики, рассмотрели пробелы и проблемы, а также выработали рекомендации по данным домохозяйств и административным данным. </w:t>
            </w:r>
          </w:p>
          <w:p w14:paraId="0C6520D1" w14:textId="119E87FA" w:rsidR="008E5A7C" w:rsidRPr="006D102C" w:rsidRDefault="0058632F" w:rsidP="0058632F">
            <w:pPr>
              <w:pStyle w:val="enumlev1"/>
            </w:pPr>
            <w:r w:rsidRPr="006D102C">
              <w:rPr>
                <w:rFonts w:cs="Calibri"/>
              </w:rPr>
              <w:t>•</w:t>
            </w:r>
            <w:r w:rsidRPr="006D102C">
              <w:tab/>
            </w:r>
            <w:r w:rsidR="008E5A7C" w:rsidRPr="006D102C">
              <w:t xml:space="preserve">Три курса Академии МСЭ по сбору данных в сфере ИКТ (по </w:t>
            </w:r>
            <w:hyperlink r:id="rId86" w:history="1">
              <w:r w:rsidR="008E5A7C" w:rsidRPr="006D102C">
                <w:rPr>
                  <w:rStyle w:val="Hyperlink"/>
                  <w:rFonts w:cstheme="minorHAnsi"/>
                </w:rPr>
                <w:t>показателям электросвязи/ИКТ</w:t>
              </w:r>
            </w:hyperlink>
            <w:r w:rsidR="008E5A7C" w:rsidRPr="006D102C">
              <w:t xml:space="preserve">, </w:t>
            </w:r>
            <w:hyperlink r:id="rId87" w:history="1">
              <w:r w:rsidR="008E5A7C" w:rsidRPr="006D102C">
                <w:rPr>
                  <w:rStyle w:val="Hyperlink"/>
                  <w:rFonts w:cstheme="minorHAnsi"/>
                </w:rPr>
                <w:t>доступу к ИКТ и их использованию в домохозяйствах</w:t>
              </w:r>
            </w:hyperlink>
            <w:r w:rsidR="008E5A7C" w:rsidRPr="006D102C">
              <w:t xml:space="preserve">, а также </w:t>
            </w:r>
            <w:hyperlink r:id="rId88" w:history="1">
              <w:r w:rsidR="008E5A7C" w:rsidRPr="006D102C">
                <w:rPr>
                  <w:rStyle w:val="Hyperlink"/>
                  <w:rFonts w:cstheme="minorHAnsi"/>
                </w:rPr>
                <w:t>MPD</w:t>
              </w:r>
            </w:hyperlink>
            <w:r w:rsidR="008E5A7C" w:rsidRPr="006D102C">
              <w:t>) были обновлены и дополнены новым содержанием.</w:t>
            </w:r>
          </w:p>
          <w:p w14:paraId="1EA8BC7B" w14:textId="09D339F2" w:rsidR="008E5A7C" w:rsidRPr="006D102C" w:rsidRDefault="0058632F" w:rsidP="0058632F">
            <w:pPr>
              <w:pStyle w:val="enumlev1"/>
              <w:rPr>
                <w:rFonts w:eastAsia="Times New Roman"/>
              </w:rPr>
            </w:pPr>
            <w:r w:rsidRPr="006D102C">
              <w:rPr>
                <w:rFonts w:cs="Calibri"/>
              </w:rPr>
              <w:t>•</w:t>
            </w:r>
            <w:r w:rsidRPr="006D102C">
              <w:tab/>
            </w:r>
            <w:r w:rsidR="008E5A7C" w:rsidRPr="006D102C">
              <w:rPr>
                <w:rFonts w:eastAsia="Times New Roman"/>
              </w:rPr>
              <w:t xml:space="preserve">В феврале 2025 года было выпущено новое </w:t>
            </w:r>
            <w:hyperlink r:id="rId89" w:history="1">
              <w:r w:rsidR="008E5A7C" w:rsidRPr="006D102C">
                <w:rPr>
                  <w:rStyle w:val="Hyperlink"/>
                  <w:rFonts w:eastAsia="Times New Roman" w:cstheme="minorHAnsi"/>
                </w:rPr>
                <w:t>Пособие по корзине цен на услуги ИКТ 2025 года,</w:t>
              </w:r>
            </w:hyperlink>
            <w:r w:rsidR="008E5A7C" w:rsidRPr="006D102C">
              <w:rPr>
                <w:rFonts w:eastAsia="Times New Roman"/>
              </w:rPr>
              <w:t xml:space="preserve"> дополненное </w:t>
            </w:r>
            <w:hyperlink r:id="rId90" w:history="1">
              <w:r w:rsidR="008E5A7C" w:rsidRPr="006D102C">
                <w:rPr>
                  <w:rStyle w:val="Hyperlink"/>
                  <w:rFonts w:eastAsia="Times New Roman" w:cstheme="minorHAnsi"/>
                </w:rPr>
                <w:t>наглядным руководством</w:t>
              </w:r>
            </w:hyperlink>
            <w:r w:rsidR="008E5A7C" w:rsidRPr="006D102C">
              <w:rPr>
                <w:rFonts w:eastAsia="Times New Roman"/>
              </w:rPr>
              <w:t xml:space="preserve"> по сбору данных о ценах на услуги ИКТ, в котором отражена новая методика, принятая EGTI.</w:t>
            </w:r>
          </w:p>
          <w:p w14:paraId="4A538A42" w14:textId="19EBA200" w:rsidR="008E5A7C" w:rsidRPr="00934537" w:rsidRDefault="0058632F" w:rsidP="0058632F">
            <w:pPr>
              <w:pStyle w:val="enumlev1"/>
              <w:rPr>
                <w:rFonts w:eastAsia="Times New Roman" w:cstheme="minorHAnsi"/>
              </w:rPr>
            </w:pPr>
            <w:r w:rsidRPr="006D102C">
              <w:rPr>
                <w:rFonts w:eastAsia="Times New Roman" w:cstheme="minorHAnsi"/>
              </w:rPr>
              <w:tab/>
            </w:r>
            <w:r w:rsidR="008E5A7C" w:rsidRPr="006D102C">
              <w:rPr>
                <w:rFonts w:eastAsia="Times New Roman" w:cstheme="minorHAnsi"/>
              </w:rPr>
              <w:t xml:space="preserve">С февраля по апрель перед началом кампаний по сбору статистических данных для соответствующих координаторов была организована </w:t>
            </w:r>
            <w:hyperlink r:id="rId91" w:history="1">
              <w:r w:rsidR="008E5A7C" w:rsidRPr="006D102C">
                <w:rPr>
                  <w:rStyle w:val="Hyperlink"/>
                  <w:rFonts w:eastAsia="Times New Roman" w:cstheme="minorHAnsi"/>
                </w:rPr>
                <w:t>серия из четырех технических вебинаров</w:t>
              </w:r>
            </w:hyperlink>
            <w:r w:rsidR="008E5A7C" w:rsidRPr="006D102C">
              <w:rPr>
                <w:rFonts w:eastAsia="Times New Roman" w:cstheme="minorHAnsi"/>
              </w:rPr>
              <w:t xml:space="preserve"> (практикумов) по Вопроснику по корзине цен на услуги ИКТ, Вопроснику по доступу домашних хозяйств и отдельных лиц к ИКТ и их использованию (два вебинара), а также Вопроснику по всемирным показателям в области электросвязи/ИКТ, в ходе которых приводились конкретные примеры заполнения вопросников, разъяснялись изменения в показателях и проходили сессии вопросов и ответов.</w:t>
            </w:r>
          </w:p>
          <w:p w14:paraId="01EBDC13" w14:textId="77777777" w:rsidR="008E5A7C" w:rsidRPr="006D102C" w:rsidRDefault="008E5A7C" w:rsidP="00C14A10">
            <w:pPr>
              <w:pStyle w:val="Headingb"/>
              <w:keepNext/>
              <w:rPr>
                <w:lang w:val="ru-RU"/>
              </w:rPr>
            </w:pPr>
            <w:r w:rsidRPr="006D102C">
              <w:rPr>
                <w:lang w:val="ru-RU"/>
              </w:rPr>
              <w:lastRenderedPageBreak/>
              <w:t>Партнерства и международное сотрудничество</w:t>
            </w:r>
          </w:p>
          <w:p w14:paraId="50666D10" w14:textId="7FB2AB4B" w:rsidR="008E5A7C" w:rsidRPr="006D102C" w:rsidRDefault="008E5A7C" w:rsidP="00EF7637">
            <w:r w:rsidRPr="006D102C">
              <w:t>Проведенные мероприятия и информационно-пропагандистская деятельность способствовали повышению осведомленности Государств-Членов и заинтересованных сторон о важности обеспечения UMC и ее измерения, а также привлечению внимания к проблематике ведения статистики по ИКТ и совершенствованию методов ее сбора.</w:t>
            </w:r>
          </w:p>
          <w:p w14:paraId="0472E672" w14:textId="1155E9DA" w:rsidR="008E5A7C" w:rsidRPr="006D102C" w:rsidRDefault="0058632F" w:rsidP="0058632F">
            <w:pPr>
              <w:pStyle w:val="enumlev1"/>
            </w:pPr>
            <w:r w:rsidRPr="006D102C">
              <w:rPr>
                <w:rFonts w:cs="Calibri"/>
              </w:rPr>
              <w:t>•</w:t>
            </w:r>
            <w:r w:rsidRPr="006D102C">
              <w:tab/>
            </w:r>
            <w:r w:rsidR="008E5A7C" w:rsidRPr="006D102C">
              <w:t xml:space="preserve">23−24 сентября в Женеве состоялся </w:t>
            </w:r>
            <w:hyperlink r:id="rId92" w:history="1">
              <w:r w:rsidR="008E5A7C" w:rsidRPr="006D102C">
                <w:rPr>
                  <w:rStyle w:val="Hyperlink"/>
                  <w:rFonts w:eastAsia="Times New Roman" w:cstheme="minorHAnsi"/>
                </w:rPr>
                <w:t>Симпозиум по всемирным показателям в области электросвязи</w:t>
              </w:r>
            </w:hyperlink>
            <w:r w:rsidR="008E5A7C" w:rsidRPr="006D102C">
              <w:t xml:space="preserve"> 2024 года (WTIS-24), посвященный теме "От показателей к действиям: восполнение пробелов в данных в интересах обеспечения универсальной и реальной возможности установления соединений". Программа симпозиума, участие в котором приняли 276 человек из 85 стран, включала восемь сессий и выступления 32 докладчиков. Сорок три процента участников составили женщины.</w:t>
            </w:r>
          </w:p>
          <w:p w14:paraId="46FF4F8C" w14:textId="27F91162" w:rsidR="008E5A7C" w:rsidRPr="006D102C" w:rsidRDefault="0058632F" w:rsidP="0058632F">
            <w:pPr>
              <w:pStyle w:val="enumlev1"/>
            </w:pPr>
            <w:r w:rsidRPr="006D102C">
              <w:rPr>
                <w:rFonts w:cs="Calibri"/>
              </w:rPr>
              <w:t>•</w:t>
            </w:r>
            <w:r w:rsidRPr="006D102C">
              <w:tab/>
            </w:r>
            <w:r w:rsidR="008E5A7C" w:rsidRPr="006D102C">
              <w:t xml:space="preserve">В период бразильского </w:t>
            </w:r>
            <w:hyperlink r:id="rId93" w:history="1">
              <w:r w:rsidR="008E5A7C" w:rsidRPr="006D102C">
                <w:rPr>
                  <w:rStyle w:val="Hyperlink"/>
                  <w:rFonts w:eastAsia="Times New Roman" w:cstheme="minorHAnsi"/>
                </w:rPr>
                <w:t>председательства в "Группе двадцати"</w:t>
              </w:r>
            </w:hyperlink>
            <w:r w:rsidR="008E5A7C" w:rsidRPr="006D102C">
              <w:t xml:space="preserve"> в 2024 году МСЭ выступал в качестве информационно-аналитического партнера Рабочей группы по цифровой экономике (DEWG). В частности, МСЭ было поручено оказывать содействие в разработке руководящих указаний по показателям UMC. Уделение председательством внимания проблеме измерения UMC стало свидетельством растущего интереса к UMC − концепции, представленной МСЭ в 2021 году, – и подчеркнуло важность данных и принятия решений на основе фактической информации.</w:t>
            </w:r>
          </w:p>
          <w:p w14:paraId="4B9B872C" w14:textId="7B885F7C" w:rsidR="008E5A7C" w:rsidRPr="006D102C" w:rsidRDefault="0058632F" w:rsidP="0058632F">
            <w:pPr>
              <w:pStyle w:val="enumlev2"/>
            </w:pPr>
            <w:r w:rsidRPr="006D102C">
              <w:t>−</w:t>
            </w:r>
            <w:r w:rsidRPr="006D102C">
              <w:tab/>
            </w:r>
            <w:r w:rsidR="008E5A7C" w:rsidRPr="006D102C">
              <w:t xml:space="preserve">МСЭ принял участие в обсуждениях DEWG и сопутствующих мероприятиях "Группы двадцати", а также в подготовке ряда итоговых документов. МСЭ внес вклад в подготовку </w:t>
            </w:r>
            <w:hyperlink r:id="rId94" w:history="1">
              <w:r w:rsidR="008E5A7C" w:rsidRPr="006D102C">
                <w:rPr>
                  <w:rStyle w:val="Hyperlink"/>
                  <w:rFonts w:eastAsia="Times New Roman" w:cstheme="minorHAnsi"/>
                </w:rPr>
                <w:t>документа</w:t>
              </w:r>
            </w:hyperlink>
            <w:r w:rsidR="008E5A7C" w:rsidRPr="006D102C">
              <w:t xml:space="preserve"> "Универсальная и реальная возможность установления соединений: система показателей и метрик", в котором пропагандируется внедрение UMC, предлагаются соответствующие показатели, оценивается потенциал членов "Группы двадцати" в области сбора статистики, описываются новые подходы к измерению и даются соответствующие рекомендации.</w:t>
            </w:r>
          </w:p>
          <w:p w14:paraId="289D909B" w14:textId="04625F86" w:rsidR="008E5A7C" w:rsidRPr="006D102C" w:rsidRDefault="0058632F" w:rsidP="0058632F">
            <w:pPr>
              <w:pStyle w:val="enumlev2"/>
            </w:pPr>
            <w:r w:rsidRPr="006D102C">
              <w:t>−</w:t>
            </w:r>
            <w:r w:rsidRPr="006D102C">
              <w:tab/>
            </w:r>
            <w:r w:rsidR="008E5A7C" w:rsidRPr="006D102C">
              <w:t xml:space="preserve">Резюме этого документа приведено в приложении к </w:t>
            </w:r>
            <w:hyperlink r:id="rId95" w:history="1">
              <w:r w:rsidR="008E5A7C" w:rsidRPr="006D102C">
                <w:rPr>
                  <w:rStyle w:val="Hyperlink"/>
                  <w:rFonts w:eastAsia="Times New Roman" w:cstheme="minorHAnsi"/>
                </w:rPr>
                <w:t>министерской декларации DEWG</w:t>
              </w:r>
            </w:hyperlink>
            <w:r w:rsidR="008E5A7C" w:rsidRPr="006D102C">
              <w:t>, принятой министрами цифровой экономики "Группы двадцати". В декларации подчеркивается важность UMC и подтверждается приверженность реализации этой концепции, а также признается вклад МСЭ.</w:t>
            </w:r>
          </w:p>
          <w:p w14:paraId="3FC15A2F" w14:textId="59CC187B" w:rsidR="008E5A7C" w:rsidRPr="006D102C" w:rsidRDefault="0058632F" w:rsidP="0058632F">
            <w:pPr>
              <w:pStyle w:val="enumlev1"/>
            </w:pPr>
            <w:r w:rsidRPr="006D102C">
              <w:rPr>
                <w:rFonts w:cs="Calibri"/>
              </w:rPr>
              <w:t>•</w:t>
            </w:r>
            <w:r w:rsidRPr="006D102C">
              <w:tab/>
            </w:r>
            <w:r w:rsidR="008E5A7C" w:rsidRPr="006D102C">
              <w:t xml:space="preserve">Были организованы мероприятия по случаю 20-й годовщины </w:t>
            </w:r>
            <w:hyperlink r:id="rId96" w:history="1">
              <w:r w:rsidR="008E5A7C" w:rsidRPr="006D102C">
                <w:rPr>
                  <w:rStyle w:val="Hyperlink"/>
                  <w:rFonts w:eastAsia="Times New Roman" w:cstheme="minorHAnsi"/>
                </w:rPr>
                <w:t>Партнерства по измерению ИКТ в целях развития</w:t>
              </w:r>
            </w:hyperlink>
            <w:r w:rsidR="008E5A7C" w:rsidRPr="006D102C">
              <w:t>, в том числе сессия на Форуме ВВУИО 2024 года в Женеве, сессия на семинаре-практикуме по методике проведения обследований, организованном Бразильским сетевым информационным центром (NIC.br) и Бразильским центром исследований информационно-коммуникационных технологий (CETIC) в Сан-Паулу, где в 2004 году было объявлено о создании Партнерства, а также сессия в рамках WTIS-24. Проведено мероприятие по оценке достигнутого прогресса и определению приоритетов.</w:t>
            </w:r>
          </w:p>
          <w:p w14:paraId="77AD88AC" w14:textId="05D40B2B" w:rsidR="008E5A7C" w:rsidRPr="006D102C" w:rsidRDefault="0058632F" w:rsidP="0058632F">
            <w:pPr>
              <w:pStyle w:val="enumlev1"/>
            </w:pPr>
            <w:r w:rsidRPr="006D102C">
              <w:rPr>
                <w:rFonts w:cs="Calibri"/>
              </w:rPr>
              <w:lastRenderedPageBreak/>
              <w:t>•</w:t>
            </w:r>
            <w:r w:rsidRPr="006D102C">
              <w:tab/>
            </w:r>
            <w:r w:rsidR="008E5A7C" w:rsidRPr="006D102C">
              <w:t>БРЭ предоставило материалы по статистическим данным в области ИКТ для подготовки международных документов, в том числе документов Комитета ООН по координации статистической деятельности (ККСД), Политического форума высокого уровня (ПФВУ) и Статистической комиссии ООН.</w:t>
            </w:r>
          </w:p>
          <w:p w14:paraId="57613940" w14:textId="32BD13FD" w:rsidR="008E5A7C" w:rsidRPr="006D102C" w:rsidRDefault="0058632F" w:rsidP="0058632F">
            <w:pPr>
              <w:pStyle w:val="enumlev1"/>
            </w:pPr>
            <w:r w:rsidRPr="006D102C">
              <w:rPr>
                <w:rFonts w:cs="Calibri"/>
              </w:rPr>
              <w:t>•</w:t>
            </w:r>
            <w:r w:rsidRPr="006D102C">
              <w:tab/>
            </w:r>
            <w:r w:rsidR="008E5A7C" w:rsidRPr="006D102C">
              <w:t xml:space="preserve">Как организация, ответственная за </w:t>
            </w:r>
            <w:hyperlink r:id="rId97" w:history="1">
              <w:r w:rsidR="008E5A7C" w:rsidRPr="006D102C">
                <w:rPr>
                  <w:rStyle w:val="Hyperlink"/>
                  <w:rFonts w:eastAsia="Times New Roman" w:cstheme="minorHAnsi"/>
                </w:rPr>
                <w:t>шесть показателей ЦУР ООН</w:t>
              </w:r>
            </w:hyperlink>
            <w:r w:rsidR="008E5A7C" w:rsidRPr="006D102C">
              <w:t xml:space="preserve">, МСЭ сыграл ключевую роль в формировании глобального прогресса, предоставив обновленные данные для включения в </w:t>
            </w:r>
            <w:hyperlink r:id="rId98" w:history="1">
              <w:r w:rsidR="008E5A7C" w:rsidRPr="006D102C">
                <w:rPr>
                  <w:rStyle w:val="Hyperlink"/>
                  <w:rFonts w:eastAsia="Times New Roman" w:cstheme="minorHAnsi"/>
                </w:rPr>
                <w:t>Базу данных показателей ЦУР ООН</w:t>
              </w:r>
            </w:hyperlink>
            <w:r w:rsidR="008E5A7C" w:rsidRPr="006D102C">
              <w:t>. МСЭ также предоставил дополнительные данные по этим показателям, запрошенным региональными комиссиями ООН, и активно отвечал на запросы данных, обеспечивая их доступность и ясность для заинтересованных сторон во всем мире.</w:t>
            </w:r>
          </w:p>
          <w:p w14:paraId="47DE3560" w14:textId="1AB4A090" w:rsidR="008E5A7C" w:rsidRPr="006D102C" w:rsidRDefault="0058632F" w:rsidP="0058632F">
            <w:pPr>
              <w:pStyle w:val="enumlev1"/>
            </w:pPr>
            <w:r w:rsidRPr="006D102C">
              <w:rPr>
                <w:rFonts w:cs="Calibri"/>
              </w:rPr>
              <w:t>•</w:t>
            </w:r>
            <w:r w:rsidRPr="006D102C">
              <w:tab/>
            </w:r>
            <w:r w:rsidR="008E5A7C" w:rsidRPr="006D102C">
              <w:t>Продолжается реализация проекта "Продвижение и измерение универсальной и реальной возможности установления соединений", финансируемого Европейским союзом. Проект содействует осуществлению основных видов деятельности, включая развитие потенциала и предоставление соответствующих инструментов, проведение научных исследований и обеспечение цифрового присутствия.</w:t>
            </w: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32B277A5" w14:textId="77777777" w:rsidR="008E5A7C" w:rsidRPr="006D102C" w:rsidRDefault="008E5A7C" w:rsidP="000C2445">
            <w:pPr>
              <w:overflowPunct/>
              <w:autoSpaceDE/>
              <w:autoSpaceDN/>
              <w:adjustRightInd/>
              <w:spacing w:after="120"/>
              <w:textAlignment w:val="auto"/>
              <w:rPr>
                <w:rFonts w:cstheme="minorHAnsi"/>
              </w:rPr>
            </w:pPr>
          </w:p>
        </w:tc>
      </w:tr>
      <w:tr w:rsidR="008E5A7C" w:rsidRPr="006D102C" w14:paraId="761D6D35" w14:textId="77777777" w:rsidTr="00C14A10">
        <w:trPr>
          <w:trHeight w:val="300"/>
        </w:trPr>
        <w:tc>
          <w:tcPr>
            <w:tcW w:w="3686" w:type="dxa"/>
            <w:tcBorders>
              <w:top w:val="dotted" w:sz="4" w:space="0" w:color="0070C0"/>
              <w:left w:val="dotted" w:sz="4" w:space="0" w:color="0070C0"/>
              <w:bottom w:val="dotted" w:sz="4" w:space="0" w:color="0070C0"/>
              <w:right w:val="dotted" w:sz="4" w:space="0" w:color="0070C0"/>
            </w:tcBorders>
          </w:tcPr>
          <w:p w14:paraId="650ADB69" w14:textId="77777777" w:rsidR="008E5A7C" w:rsidRPr="006D102C" w:rsidRDefault="008E5A7C" w:rsidP="000C2445">
            <w:pPr>
              <w:overflowPunct/>
              <w:autoSpaceDE/>
              <w:autoSpaceDN/>
              <w:adjustRightInd/>
              <w:spacing w:after="120"/>
              <w:textAlignment w:val="auto"/>
              <w:rPr>
                <w:rFonts w:cstheme="minorHAnsi"/>
                <w:i/>
                <w:iCs/>
                <w:color w:val="000000"/>
              </w:rPr>
            </w:pPr>
            <w:r w:rsidRPr="006D102C">
              <w:rPr>
                <w:rFonts w:cstheme="minorHAnsi"/>
                <w:b/>
                <w:bCs/>
              </w:rPr>
              <w:lastRenderedPageBreak/>
              <w:t>Вклад в выполнение задач ЦУР</w:t>
            </w:r>
          </w:p>
        </w:tc>
        <w:tc>
          <w:tcPr>
            <w:tcW w:w="11198" w:type="dxa"/>
            <w:gridSpan w:val="2"/>
            <w:tcBorders>
              <w:top w:val="dotted" w:sz="4" w:space="0" w:color="0070C0"/>
              <w:left w:val="dotted" w:sz="4" w:space="0" w:color="0070C0"/>
              <w:bottom w:val="dotted" w:sz="4" w:space="0" w:color="0070C0"/>
              <w:right w:val="dotted" w:sz="4" w:space="0" w:color="0070C0"/>
            </w:tcBorders>
          </w:tcPr>
          <w:p w14:paraId="6C9047BF" w14:textId="77777777" w:rsidR="008E5A7C" w:rsidRPr="006D102C" w:rsidRDefault="008E5A7C" w:rsidP="000C2445">
            <w:pPr>
              <w:overflowPunct/>
              <w:autoSpaceDE/>
              <w:autoSpaceDN/>
              <w:adjustRightInd/>
              <w:spacing w:after="120"/>
              <w:textAlignment w:val="auto"/>
              <w:rPr>
                <w:rFonts w:cstheme="minorHAnsi"/>
              </w:rPr>
            </w:pPr>
            <w:r w:rsidRPr="006D102C">
              <w:t>ЦУР 1, 3, 4, 5, 8, 9, 10, 11, 16, 17</w:t>
            </w:r>
          </w:p>
        </w:tc>
      </w:tr>
      <w:tr w:rsidR="008E5A7C" w:rsidRPr="006D102C" w14:paraId="5E79F34C" w14:textId="77777777" w:rsidTr="00C14A10">
        <w:trPr>
          <w:trHeight w:val="300"/>
        </w:trPr>
        <w:tc>
          <w:tcPr>
            <w:tcW w:w="3686" w:type="dxa"/>
            <w:tcBorders>
              <w:top w:val="dotted" w:sz="4" w:space="0" w:color="0070C0"/>
              <w:left w:val="dotted" w:sz="4" w:space="0" w:color="0070C0"/>
              <w:bottom w:val="dotted" w:sz="4" w:space="0" w:color="0070C0"/>
              <w:right w:val="dotted" w:sz="4" w:space="0" w:color="0070C0"/>
            </w:tcBorders>
          </w:tcPr>
          <w:p w14:paraId="61F39026" w14:textId="77777777" w:rsidR="008E5A7C" w:rsidRPr="006D102C" w:rsidRDefault="008E5A7C" w:rsidP="000C2445">
            <w:pPr>
              <w:overflowPunct/>
              <w:autoSpaceDE/>
              <w:autoSpaceDN/>
              <w:adjustRightInd/>
              <w:spacing w:after="120"/>
              <w:textAlignment w:val="auto"/>
              <w:rPr>
                <w:rFonts w:cstheme="minorHAnsi"/>
                <w:b/>
                <w:bCs/>
              </w:rPr>
            </w:pPr>
            <w:r w:rsidRPr="006D102C">
              <w:rPr>
                <w:rFonts w:cstheme="minorHAnsi"/>
                <w:b/>
                <w:bCs/>
              </w:rPr>
              <w:t>Направление деятельности ВВУИО</w:t>
            </w:r>
          </w:p>
        </w:tc>
        <w:tc>
          <w:tcPr>
            <w:tcW w:w="11198" w:type="dxa"/>
            <w:gridSpan w:val="2"/>
            <w:tcBorders>
              <w:top w:val="dotted" w:sz="4" w:space="0" w:color="0070C0"/>
              <w:left w:val="dotted" w:sz="4" w:space="0" w:color="0070C0"/>
              <w:bottom w:val="dotted" w:sz="4" w:space="0" w:color="0070C0"/>
              <w:right w:val="dotted" w:sz="4" w:space="0" w:color="0070C0"/>
            </w:tcBorders>
          </w:tcPr>
          <w:p w14:paraId="57EDF26C" w14:textId="77777777" w:rsidR="008E5A7C" w:rsidRPr="006D102C" w:rsidRDefault="008E5A7C" w:rsidP="000C2445">
            <w:pPr>
              <w:overflowPunct/>
              <w:autoSpaceDE/>
              <w:autoSpaceDN/>
              <w:adjustRightInd/>
              <w:spacing w:after="120"/>
              <w:textAlignment w:val="auto"/>
              <w:rPr>
                <w:rFonts w:cstheme="minorHAnsi"/>
              </w:rPr>
            </w:pPr>
            <w:r w:rsidRPr="006D102C">
              <w:t>C1, C2, C3, C4, C5, C6, C7, C11</w:t>
            </w:r>
          </w:p>
        </w:tc>
      </w:tr>
      <w:tr w:rsidR="008E5A7C" w:rsidRPr="006D102C" w14:paraId="1A72EC52" w14:textId="77777777" w:rsidTr="00C14A10">
        <w:trPr>
          <w:trHeight w:val="300"/>
        </w:trPr>
        <w:tc>
          <w:tcPr>
            <w:tcW w:w="3686" w:type="dxa"/>
            <w:tcBorders>
              <w:top w:val="dotted" w:sz="4" w:space="0" w:color="0070C0"/>
              <w:left w:val="dotted" w:sz="4" w:space="0" w:color="0070C0"/>
              <w:bottom w:val="dotted" w:sz="4" w:space="0" w:color="0070C0"/>
              <w:right w:val="dotted" w:sz="4" w:space="0" w:color="0070C0"/>
            </w:tcBorders>
          </w:tcPr>
          <w:p w14:paraId="07779131" w14:textId="77777777" w:rsidR="008E5A7C" w:rsidRPr="006D102C" w:rsidRDefault="008E5A7C" w:rsidP="000C2445">
            <w:pPr>
              <w:overflowPunct/>
              <w:autoSpaceDE/>
              <w:autoSpaceDN/>
              <w:adjustRightInd/>
              <w:spacing w:after="120"/>
              <w:textAlignment w:val="auto"/>
              <w:rPr>
                <w:rFonts w:cstheme="minorHAnsi"/>
                <w:b/>
                <w:bCs/>
              </w:rPr>
            </w:pPr>
            <w:r w:rsidRPr="006D102C">
              <w:rPr>
                <w:rFonts w:cstheme="minorHAnsi"/>
                <w:b/>
                <w:bCs/>
              </w:rPr>
              <w:t>Резолюции</w:t>
            </w:r>
          </w:p>
        </w:tc>
        <w:tc>
          <w:tcPr>
            <w:tcW w:w="11198" w:type="dxa"/>
            <w:gridSpan w:val="2"/>
            <w:tcBorders>
              <w:top w:val="dotted" w:sz="4" w:space="0" w:color="0070C0"/>
              <w:left w:val="dotted" w:sz="4" w:space="0" w:color="0070C0"/>
              <w:bottom w:val="dotted" w:sz="4" w:space="0" w:color="0070C0"/>
              <w:right w:val="dotted" w:sz="4" w:space="0" w:color="0070C0"/>
            </w:tcBorders>
          </w:tcPr>
          <w:p w14:paraId="1109AB78" w14:textId="77777777" w:rsidR="008E5A7C" w:rsidRPr="006D102C" w:rsidRDefault="008E5A7C" w:rsidP="000C2445">
            <w:pPr>
              <w:overflowPunct/>
              <w:autoSpaceDE/>
              <w:autoSpaceDN/>
              <w:adjustRightInd/>
              <w:spacing w:after="120"/>
              <w:textAlignment w:val="auto"/>
              <w:rPr>
                <w:rFonts w:cstheme="minorHAnsi"/>
              </w:rPr>
            </w:pPr>
            <w:r w:rsidRPr="006D102C">
              <w:rPr>
                <w:rFonts w:cstheme="minorHAnsi"/>
              </w:rPr>
              <w:t>2, 8, 10, 18, 21, 22, 131, 135, 138, 139, 174, 191, 195, 196, 201 ПК;</w:t>
            </w:r>
          </w:p>
          <w:p w14:paraId="3B03C395" w14:textId="77777777" w:rsidR="008E5A7C" w:rsidRPr="006D102C" w:rsidRDefault="008E5A7C" w:rsidP="000C2445">
            <w:pPr>
              <w:overflowPunct/>
              <w:autoSpaceDE/>
              <w:autoSpaceDN/>
              <w:adjustRightInd/>
              <w:spacing w:after="120"/>
              <w:textAlignment w:val="auto"/>
              <w:rPr>
                <w:rFonts w:cstheme="minorHAnsi"/>
              </w:rPr>
            </w:pPr>
            <w:r w:rsidRPr="006D102C">
              <w:rPr>
                <w:rFonts w:cstheme="minorHAnsi"/>
              </w:rPr>
              <w:t>8, 16, 17, 22, 23, 25, 30, 37, 48, 64, 71, 77, 78, 79, 80, 84, 85 ВКРЭ</w:t>
            </w:r>
          </w:p>
        </w:tc>
      </w:tr>
      <w:tr w:rsidR="008E5A7C" w:rsidRPr="006D102C" w14:paraId="55865CC4" w14:textId="77777777" w:rsidTr="00C14A10">
        <w:trPr>
          <w:trHeight w:val="300"/>
        </w:trPr>
        <w:tc>
          <w:tcPr>
            <w:tcW w:w="3686" w:type="dxa"/>
            <w:tcBorders>
              <w:top w:val="dotted" w:sz="4" w:space="0" w:color="0070C0"/>
              <w:left w:val="dotted" w:sz="4" w:space="0" w:color="0070C0"/>
              <w:bottom w:val="dotted" w:sz="4" w:space="0" w:color="0070C0"/>
              <w:right w:val="dotted" w:sz="4" w:space="0" w:color="0070C0"/>
            </w:tcBorders>
          </w:tcPr>
          <w:p w14:paraId="45E0BA50" w14:textId="77777777" w:rsidR="008E5A7C" w:rsidRPr="006D102C" w:rsidRDefault="008E5A7C" w:rsidP="000C2445">
            <w:pPr>
              <w:overflowPunct/>
              <w:autoSpaceDE/>
              <w:autoSpaceDN/>
              <w:adjustRightInd/>
              <w:spacing w:after="120"/>
              <w:textAlignment w:val="auto"/>
              <w:rPr>
                <w:rFonts w:cstheme="minorHAnsi"/>
                <w:b/>
                <w:bCs/>
              </w:rPr>
            </w:pPr>
            <w:r w:rsidRPr="006D102C">
              <w:rPr>
                <w:rFonts w:cstheme="minorHAnsi"/>
                <w:b/>
                <w:bCs/>
              </w:rPr>
              <w:t>Исследовательские комиссии</w:t>
            </w:r>
          </w:p>
        </w:tc>
        <w:tc>
          <w:tcPr>
            <w:tcW w:w="11198" w:type="dxa"/>
            <w:gridSpan w:val="2"/>
            <w:tcBorders>
              <w:top w:val="dotted" w:sz="4" w:space="0" w:color="0070C0"/>
              <w:left w:val="dotted" w:sz="4" w:space="0" w:color="0070C0"/>
              <w:bottom w:val="dotted" w:sz="4" w:space="0" w:color="0070C0"/>
              <w:right w:val="dotted" w:sz="4" w:space="0" w:color="0070C0"/>
            </w:tcBorders>
          </w:tcPr>
          <w:p w14:paraId="59587590" w14:textId="77777777" w:rsidR="008E5A7C" w:rsidRPr="006D102C" w:rsidRDefault="008E5A7C" w:rsidP="000C2445">
            <w:pPr>
              <w:overflowPunct/>
              <w:autoSpaceDE/>
              <w:autoSpaceDN/>
              <w:adjustRightInd/>
              <w:spacing w:after="120"/>
              <w:textAlignment w:val="auto"/>
              <w:rPr>
                <w:rFonts w:cstheme="minorHAnsi"/>
              </w:rPr>
            </w:pPr>
            <w:r w:rsidRPr="006D102C">
              <w:rPr>
                <w:rFonts w:cstheme="minorHAnsi"/>
              </w:rPr>
              <w:t xml:space="preserve">Все Вопросы 1-й Исследовательской комиссии, касающиеся создания благоприятной среды для обеспечения реальной возможности установления соединений </w:t>
            </w:r>
          </w:p>
          <w:p w14:paraId="31A301BC" w14:textId="77777777" w:rsidR="008E5A7C" w:rsidRPr="006D102C" w:rsidRDefault="008E5A7C" w:rsidP="000C2445">
            <w:pPr>
              <w:overflowPunct/>
              <w:autoSpaceDE/>
              <w:autoSpaceDN/>
              <w:adjustRightInd/>
              <w:spacing w:after="120"/>
              <w:textAlignment w:val="auto"/>
              <w:rPr>
                <w:rFonts w:cstheme="minorHAnsi"/>
              </w:rPr>
            </w:pPr>
            <w:r w:rsidRPr="006D102C">
              <w:rPr>
                <w:rFonts w:cstheme="minorHAnsi"/>
              </w:rPr>
              <w:t>Вопросы 5/2, 6/2, 7/2 2-й Исследовательской комиссии по цифровой трансформации</w:t>
            </w:r>
          </w:p>
        </w:tc>
      </w:tr>
    </w:tbl>
    <w:p w14:paraId="6FD64AC0" w14:textId="77777777" w:rsidR="00CE67E6" w:rsidRPr="006D102C" w:rsidRDefault="00CE67E6" w:rsidP="00CE67E6">
      <w:r w:rsidRPr="006D102C">
        <w:br w:type="page"/>
      </w:r>
    </w:p>
    <w:tbl>
      <w:tblPr>
        <w:tblStyle w:val="TableGrid5"/>
        <w:tblW w:w="1493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3823"/>
        <w:gridCol w:w="8052"/>
        <w:gridCol w:w="3060"/>
      </w:tblGrid>
      <w:tr w:rsidR="008E5A7C" w:rsidRPr="006D102C" w14:paraId="7669395B" w14:textId="77777777" w:rsidTr="00F41E8E">
        <w:trPr>
          <w:trHeight w:val="300"/>
        </w:trPr>
        <w:tc>
          <w:tcPr>
            <w:tcW w:w="1493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40C2E20D" w14:textId="672D9DAD" w:rsidR="008E5A7C" w:rsidRPr="006D102C" w:rsidRDefault="008E5A7C" w:rsidP="00CE67E6">
            <w:pPr>
              <w:pStyle w:val="Tablehead"/>
              <w:rPr>
                <w:color w:val="FFFFFF" w:themeColor="background1"/>
                <w:sz w:val="22"/>
              </w:rPr>
            </w:pPr>
            <w:bookmarkStart w:id="21" w:name="_Toc197427004"/>
            <w:r w:rsidRPr="006D102C">
              <w:rPr>
                <w:color w:val="FFFFFF" w:themeColor="background1"/>
                <w:sz w:val="22"/>
              </w:rPr>
              <w:lastRenderedPageBreak/>
              <w:t>Приоритет 4 МСЭ-D</w:t>
            </w:r>
            <w:r w:rsidR="007D190D" w:rsidRPr="006D102C">
              <w:rPr>
                <w:color w:val="FFFFFF" w:themeColor="background1"/>
                <w:sz w:val="22"/>
              </w:rPr>
              <w:t>:</w:t>
            </w:r>
            <w:r w:rsidRPr="006D102C">
              <w:rPr>
                <w:color w:val="FFFFFF" w:themeColor="background1"/>
                <w:sz w:val="22"/>
              </w:rPr>
              <w:t xml:space="preserve"> Инклюзивная и защищенная электросвязь/ИКТ для устойчивого развития</w:t>
            </w:r>
            <w:bookmarkEnd w:id="21"/>
          </w:p>
          <w:p w14:paraId="0F66D0E9" w14:textId="77777777" w:rsidR="008E5A7C" w:rsidRPr="006D102C" w:rsidRDefault="008E5A7C" w:rsidP="00CE67E6">
            <w:pPr>
              <w:pStyle w:val="Tablehead"/>
              <w:rPr>
                <w:i/>
                <w:iCs/>
                <w:color w:val="FFFFFF" w:themeColor="background1"/>
                <w:sz w:val="22"/>
              </w:rPr>
            </w:pPr>
            <w:bookmarkStart w:id="22" w:name="_Toc197427005"/>
            <w:r w:rsidRPr="006D102C">
              <w:rPr>
                <w:i/>
                <w:iCs/>
                <w:color w:val="FFFFFF" w:themeColor="background1"/>
                <w:sz w:val="22"/>
              </w:rPr>
              <w:t>Содействие созданию национальных стратегий кибербезопасности и развитию цифровых навыков</w:t>
            </w:r>
            <w:bookmarkEnd w:id="22"/>
          </w:p>
        </w:tc>
      </w:tr>
      <w:tr w:rsidR="008E5A7C" w:rsidRPr="006D102C" w14:paraId="16D9B1D1" w14:textId="77777777" w:rsidTr="00F41E8E">
        <w:trPr>
          <w:trHeight w:val="300"/>
        </w:trPr>
        <w:tc>
          <w:tcPr>
            <w:tcW w:w="1493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DCA5989" w14:textId="77777777" w:rsidR="008E5A7C" w:rsidRPr="006D102C" w:rsidRDefault="008E5A7C" w:rsidP="000C2445">
            <w:pPr>
              <w:keepNext/>
              <w:spacing w:after="120"/>
              <w:rPr>
                <w:rFonts w:eastAsiaTheme="minorEastAsia" w:cstheme="minorHAnsi"/>
                <w:b/>
                <w:bCs/>
                <w:i/>
                <w:iCs/>
              </w:rPr>
            </w:pPr>
            <w:r w:rsidRPr="006D102C">
              <w:rPr>
                <w:rFonts w:eastAsiaTheme="minorEastAsia" w:cstheme="minorHAnsi"/>
                <w:b/>
                <w:bCs/>
                <w:i/>
                <w:iCs/>
              </w:rPr>
              <w:t xml:space="preserve">Конечный результат: </w:t>
            </w:r>
            <w:r w:rsidRPr="006D102C">
              <w:rPr>
                <w:rFonts w:eastAsiaTheme="minorEastAsia" w:cstheme="minorHAnsi"/>
                <w:i/>
                <w:iCs/>
              </w:rPr>
              <w:t>поддержка Государств-Членов в разработке национальных стратегий кибербезопасности и создании CIRT. Повышение уровня защищенности онлайновых услуг, включая защиту ребенка в онлайновой среде, и мобилизация ресурсов для маргинализированных групп и лиц с особыми потребностями</w:t>
            </w:r>
          </w:p>
        </w:tc>
      </w:tr>
      <w:tr w:rsidR="008E5A7C" w:rsidRPr="006D102C" w14:paraId="5E979FAB" w14:textId="77777777" w:rsidTr="00F41E8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3887589F"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cstheme="minorHAnsi"/>
                <w:b/>
                <w:bCs/>
                <w:color w:val="0070C0"/>
              </w:rPr>
              <w:t>Намеченные результаты деятельности</w:t>
            </w:r>
          </w:p>
        </w:tc>
        <w:tc>
          <w:tcPr>
            <w:tcW w:w="3060" w:type="dxa"/>
            <w:tcBorders>
              <w:top w:val="dotted" w:sz="4" w:space="0" w:color="0070C0"/>
              <w:left w:val="dotted" w:sz="4" w:space="0" w:color="0070C0"/>
              <w:bottom w:val="dotted" w:sz="4" w:space="0" w:color="0070C0"/>
              <w:right w:val="dotted" w:sz="4" w:space="0" w:color="0070C0"/>
            </w:tcBorders>
          </w:tcPr>
          <w:p w14:paraId="3B5FA05B"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cstheme="minorHAnsi"/>
                <w:b/>
                <w:bCs/>
                <w:color w:val="0070C0"/>
              </w:rPr>
              <w:t xml:space="preserve">Основные моменты </w:t>
            </w:r>
          </w:p>
        </w:tc>
      </w:tr>
      <w:tr w:rsidR="008E5A7C" w:rsidRPr="006D102C" w14:paraId="0128195E" w14:textId="77777777" w:rsidTr="00F41E8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79D55070" w14:textId="77777777" w:rsidR="008E5A7C" w:rsidRPr="006D102C" w:rsidRDefault="008E5A7C" w:rsidP="000C2445">
            <w:pPr>
              <w:spacing w:after="120"/>
              <w:rPr>
                <w:rFonts w:eastAsiaTheme="majorEastAsia" w:cstheme="minorHAnsi"/>
                <w:b/>
                <w:bCs/>
                <w:color w:val="1F497D" w:themeColor="text2"/>
              </w:rPr>
            </w:pPr>
            <w:r w:rsidRPr="006D102C">
              <w:rPr>
                <w:rFonts w:eastAsiaTheme="majorEastAsia" w:cstheme="minorHAnsi"/>
                <w:b/>
                <w:bCs/>
                <w:color w:val="1F497D" w:themeColor="text2"/>
              </w:rPr>
              <w:t>Кибербезопасность</w:t>
            </w:r>
          </w:p>
          <w:p w14:paraId="077BD96B" w14:textId="1B65E41B" w:rsidR="008E5A7C" w:rsidRPr="006D102C" w:rsidRDefault="008E5A7C" w:rsidP="00F41E8E">
            <w:pPr>
              <w:pStyle w:val="Headingb"/>
              <w:rPr>
                <w:lang w:val="ru-RU"/>
              </w:rPr>
            </w:pPr>
            <w:r w:rsidRPr="006D102C">
              <w:rPr>
                <w:lang w:val="ru-RU"/>
              </w:rPr>
              <w:t>Развитие потенциала:</w:t>
            </w:r>
          </w:p>
          <w:p w14:paraId="355093BF" w14:textId="59D054F2" w:rsidR="008E5A7C" w:rsidRPr="006D102C" w:rsidRDefault="00C37838" w:rsidP="00C37838">
            <w:pPr>
              <w:pStyle w:val="enumlev1"/>
            </w:pPr>
            <w:r w:rsidRPr="006D102C">
              <w:rPr>
                <w:rFonts w:cs="Calibri"/>
              </w:rPr>
              <w:t>•</w:t>
            </w:r>
            <w:r w:rsidRPr="006D102C">
              <w:tab/>
            </w:r>
            <w:r w:rsidR="008E5A7C" w:rsidRPr="006D102C">
              <w:rPr>
                <w:bCs/>
              </w:rPr>
              <w:t>В</w:t>
            </w:r>
            <w:r w:rsidR="008E5A7C" w:rsidRPr="006D102C">
              <w:rPr>
                <w:b/>
              </w:rPr>
              <w:t xml:space="preserve"> Африканском регионе </w:t>
            </w:r>
            <w:r w:rsidR="008E5A7C" w:rsidRPr="006D102C">
              <w:t>БРЭ в сотрудничестве с Интерполом провело в Аккре, Гана, региональные тренировочные занятия по кибербезопасности для Африки по приглашению Управления кибербезопасности Ганы.</w:t>
            </w:r>
            <w:r w:rsidR="008E5A7C" w:rsidRPr="000B000B">
              <w:rPr>
                <w:bCs/>
              </w:rPr>
              <w:t xml:space="preserve"> </w:t>
            </w:r>
            <w:r w:rsidR="008E5A7C" w:rsidRPr="006D102C">
              <w:t>Это мероприятие повысило потенциал участников в области коммуникации и управления реагированием на инциденты, а также способствовало сотрудничеству в борьбе с киберугрозами. Более 210 участников из 29 африканских стран приняли участие в однодневном мероприятии, посвященном обмену передовым опытом и практикой.</w:t>
            </w:r>
          </w:p>
          <w:p w14:paraId="6F40D0DD" w14:textId="1A3681D7" w:rsidR="008E5A7C" w:rsidRPr="006D102C" w:rsidRDefault="00C37838" w:rsidP="00C37838">
            <w:pPr>
              <w:pStyle w:val="enumlev1"/>
              <w:rPr>
                <w:rFonts w:eastAsia="Calibri"/>
              </w:rPr>
            </w:pPr>
            <w:r w:rsidRPr="006D102C">
              <w:tab/>
            </w:r>
            <w:r w:rsidR="008E5A7C" w:rsidRPr="006D102C">
              <w:t>Четыре Члена МСЭ-D из частного сектора − компании BitSight, CTM360, ImmuniWeb и NRD − в рамках проекта "</w:t>
            </w:r>
            <w:r w:rsidR="008E5A7C" w:rsidRPr="006D102C">
              <w:rPr>
                <w:b/>
              </w:rPr>
              <w:t>Кибертехнологии во благо</w:t>
            </w:r>
            <w:r w:rsidR="008E5A7C" w:rsidRPr="006D102C">
              <w:t xml:space="preserve">" предоставили 19 африканским НРС возможность бесплатно пользоваться инструментами и услугами и пройти учебные курсы в целях сокращения разрыва в киберпотенциале между развитыми, развивающимися и наименее развитыми странами (НРС). </w:t>
            </w:r>
            <w:r w:rsidR="008E5A7C" w:rsidRPr="006D102C">
              <w:rPr>
                <w:rFonts w:eastAsia="Calibri"/>
              </w:rPr>
              <w:t>В сотрудничестве с БСЭ была проведена серия практикумов по безопасности ЦФУ для Гамбии, Южного Судана, Ганы, Зимбабве, Малави, Лесото, Эфиопии, Эсватини, Сьерра-Леоне, Буркина-Фасо и Габона. В практикумах по ЦФУ принимают участие представители регуляторных органов в сфере ИКТ и финансов, операторов электросвязи и поставщиков финансовых услуг; основной целью практикумов по ЦФУ является оказание технической помощи странам по вопросам безопасности ЦФУ и помощь Государствам-Членам в принятии рекомендаций МСЭ по безопасности ЦФУ и разработке собственных лабораторий безопасности ЦФУ для подтверждения соответствия приложений ЦФУ рекомендациям МСЭ по ЦФУ.</w:t>
            </w:r>
          </w:p>
          <w:p w14:paraId="24999D42" w14:textId="33097F3D" w:rsidR="008E5A7C" w:rsidRPr="006D102C" w:rsidRDefault="00C37838" w:rsidP="00C37838">
            <w:pPr>
              <w:pStyle w:val="enumlev1"/>
              <w:rPr>
                <w:rFonts w:eastAsia="Calibri"/>
              </w:rPr>
            </w:pPr>
            <w:r w:rsidRPr="006D102C">
              <w:rPr>
                <w:rFonts w:eastAsia="Calibri"/>
              </w:rPr>
              <w:tab/>
            </w:r>
            <w:r w:rsidR="008E5A7C" w:rsidRPr="006D102C">
              <w:rPr>
                <w:rFonts w:eastAsia="Calibri"/>
              </w:rPr>
              <w:t>В сотрудничестве с GIZ и УНП ООН МСЭ реализовал на базе Академии МСЭ программу "Ее киберследы", в которой приняли участие представители 19 стран Африки. Пятимесячная учебная программа включала онлайновые и одно очное занятие, проведенное в Гане в сотрудничестве с Управлением кибербезопасности Ганы.</w:t>
            </w:r>
          </w:p>
          <w:p w14:paraId="3432A0E7" w14:textId="728ADBFC" w:rsidR="008E5A7C" w:rsidRPr="006D102C" w:rsidRDefault="00C37838" w:rsidP="00C37838">
            <w:pPr>
              <w:pStyle w:val="enumlev1"/>
            </w:pPr>
            <w:r w:rsidRPr="006D102C">
              <w:rPr>
                <w:rFonts w:cs="Calibri"/>
              </w:rPr>
              <w:lastRenderedPageBreak/>
              <w:t>•</w:t>
            </w:r>
            <w:r w:rsidRPr="006D102C">
              <w:tab/>
            </w:r>
            <w:r w:rsidR="008E5A7C" w:rsidRPr="006D102C">
              <w:rPr>
                <w:bCs/>
              </w:rPr>
              <w:t>В</w:t>
            </w:r>
            <w:r w:rsidR="008E5A7C" w:rsidRPr="006D102C">
              <w:rPr>
                <w:b/>
              </w:rPr>
              <w:t xml:space="preserve"> Северной и Южной Америк</w:t>
            </w:r>
            <w:r w:rsidR="00C14A10" w:rsidRPr="006D102C">
              <w:rPr>
                <w:b/>
              </w:rPr>
              <w:t>е</w:t>
            </w:r>
            <w:r w:rsidR="008E5A7C" w:rsidRPr="006D102C">
              <w:rPr>
                <w:b/>
              </w:rPr>
              <w:t xml:space="preserve"> </w:t>
            </w:r>
            <w:r w:rsidR="008E5A7C" w:rsidRPr="006D102C">
              <w:t>МСЭ, ЮНИСЕФ и Организация Восточно-карибских государств (ОВКГ) сотрудничали и взаимодействовали в областях, представляющих взаимный интерес, включая подключение школ и реализацию инициативы Giga в Восточно-карибском регионе, в частности в разработке политики и стратегических рамок по защите ребенка в онлайновой среде, проведении пилотного исследования в сельских сообществах Барбадоса (включая предоставление ИТ</w:t>
            </w:r>
            <w:r w:rsidR="008E5A7C" w:rsidRPr="006D102C">
              <w:noBreakHyphen/>
              <w:t>оборудования и обучение) и оказании государствам − членам ОВКГ всесторонней поддержки в модернизации широкополосной связи по линии Giga.</w:t>
            </w:r>
          </w:p>
          <w:p w14:paraId="1553930A" w14:textId="307E97B5" w:rsidR="008E5A7C" w:rsidRPr="006D102C" w:rsidRDefault="00C37838" w:rsidP="00C37838">
            <w:pPr>
              <w:pStyle w:val="enumlev1"/>
            </w:pPr>
            <w:r w:rsidRPr="006D102C">
              <w:rPr>
                <w:rFonts w:cs="Calibri"/>
              </w:rPr>
              <w:t>•</w:t>
            </w:r>
            <w:r w:rsidRPr="006D102C">
              <w:tab/>
            </w:r>
            <w:r w:rsidR="008E5A7C" w:rsidRPr="006D102C">
              <w:t>На Барбадосе в пилотном порядке была проведена модернизация широкополосной связи в 27 школах, охватившая в общей сложности 18 057 учащихся и 1382 учителя по всей стране. В рамках глобальной программы МСЭ по защите ребенка в онлайновой среде в марте 2024 года была проведена программа подготовки инструкторов для преподавателей в Суринаме и Коста-Рике, в августе 2024 года − в Эквадоре и в феврале 2025 года − на Багамских Островах. Кроме того, Руководящие указания по защите ребенка в онлайновой среде были переведены на языки аймара, голландский и кечуа. В марте 2025 года Гаити присоединилось к проекту МСЭ "Кибертехнологии во благо" и получило доступ к инструментам, услугам и обучению, предоставленным Членами Секторов МСЭ.</w:t>
            </w:r>
          </w:p>
          <w:p w14:paraId="423CA74C" w14:textId="038EBA39" w:rsidR="008E5A7C" w:rsidRPr="006D102C" w:rsidRDefault="00C37838" w:rsidP="00C37838">
            <w:pPr>
              <w:pStyle w:val="enumlev1"/>
            </w:pPr>
            <w:r w:rsidRPr="006D102C">
              <w:tab/>
            </w:r>
            <w:r w:rsidR="008E5A7C" w:rsidRPr="006D102C">
              <w:t>Региональный семинар по кибербезопасности и кибердипломатии, организованный МСЭ, Региональной технической комиссией по электросвязи (COMTELCA) и Национальным управлением общественных служб (ASEP) Панамы, пройдет в апреле 2025 года в Панаме. Он проводится в рамках программы МСЭ "Женщины в сфере кибербезопасности" и направлен на расширение прав и возможностей сотрудниц директивных органов и укрепление системы управления кибербезопасностью и кибердипломатии в Северной и Южной Америке с помощью экспертных дискуссий и практических занятий.</w:t>
            </w:r>
          </w:p>
          <w:p w14:paraId="2BEADF15" w14:textId="4E67DB32" w:rsidR="008E5A7C" w:rsidRPr="006D102C" w:rsidRDefault="00C37838" w:rsidP="00C37838">
            <w:pPr>
              <w:pStyle w:val="enumlev1"/>
            </w:pPr>
            <w:r w:rsidRPr="006D102C">
              <w:rPr>
                <w:rFonts w:cs="Calibri"/>
              </w:rPr>
              <w:t>•</w:t>
            </w:r>
            <w:r w:rsidRPr="006D102C">
              <w:tab/>
            </w:r>
            <w:r w:rsidR="008E5A7C" w:rsidRPr="006D102C">
              <w:rPr>
                <w:bCs/>
              </w:rPr>
              <w:t>В</w:t>
            </w:r>
            <w:r w:rsidR="008E5A7C" w:rsidRPr="006D102C">
              <w:rPr>
                <w:b/>
              </w:rPr>
              <w:t xml:space="preserve"> арабских государствах</w:t>
            </w:r>
            <w:r w:rsidR="008E5A7C" w:rsidRPr="006D102C">
              <w:t xml:space="preserve"> в рамках инициативы по </w:t>
            </w:r>
            <w:r w:rsidR="008E5A7C" w:rsidRPr="006D102C">
              <w:rPr>
                <w:b/>
              </w:rPr>
              <w:t>развитию навыков кибербезопасности у женщин</w:t>
            </w:r>
            <w:r w:rsidR="008E5A7C" w:rsidRPr="006D102C">
              <w:t xml:space="preserve"> было проведено учебное мероприятие для сотрудниц директивных органов стран Арабского региона по вопросам управления национальной кибербезопасностью и кибердипломатии; оно было организовано в сотрудничестве с Всеобщим союзом женщин и Советом ОАЭ по кибербезопасности и позволило расширить права и возможности участниц для их эффективного вовлечения в разработку политики в области кибербезопасности на национальном и международном уровнях.</w:t>
            </w:r>
          </w:p>
          <w:p w14:paraId="6C7D059D" w14:textId="0150E4E9" w:rsidR="008E5A7C" w:rsidRPr="006D102C" w:rsidRDefault="00C37838" w:rsidP="00C37838">
            <w:pPr>
              <w:pStyle w:val="enumlev1"/>
            </w:pPr>
            <w:r w:rsidRPr="006D102C">
              <w:tab/>
            </w:r>
            <w:r w:rsidR="008E5A7C" w:rsidRPr="006D102C">
              <w:t>В рамках проекта "Кибертехнологии во благо" Сомали был предоставлен бесплатный доступ к платформам CTM360 и ImmuniWeb. В рамках глобальной программы МСЭ по защите ребенка в онлайновой среде в Марокко были разработаны локализованные материалы по повышению осведомленности для детей и опекунов.</w:t>
            </w:r>
          </w:p>
          <w:p w14:paraId="134D41D6" w14:textId="4CF75425" w:rsidR="008E5A7C" w:rsidRPr="006D102C" w:rsidRDefault="00C37838" w:rsidP="00C37838">
            <w:pPr>
              <w:pStyle w:val="enumlev1"/>
            </w:pPr>
            <w:r w:rsidRPr="006D102C">
              <w:rPr>
                <w:rFonts w:cs="Calibri"/>
              </w:rPr>
              <w:t>•</w:t>
            </w:r>
            <w:r w:rsidRPr="006D102C">
              <w:tab/>
            </w:r>
            <w:r w:rsidR="008E5A7C" w:rsidRPr="006D102C">
              <w:rPr>
                <w:bCs/>
              </w:rPr>
              <w:t>В</w:t>
            </w:r>
            <w:r w:rsidR="008E5A7C" w:rsidRPr="006D102C">
              <w:rPr>
                <w:b/>
              </w:rPr>
              <w:t xml:space="preserve"> Азиатско-Тихоокеанском регионе</w:t>
            </w:r>
            <w:r w:rsidR="008E5A7C" w:rsidRPr="006D102C">
              <w:t xml:space="preserve"> в рамках проекта "</w:t>
            </w:r>
            <w:r w:rsidR="008E5A7C" w:rsidRPr="006D102C">
              <w:rPr>
                <w:b/>
              </w:rPr>
              <w:t>Кибертехнологии во благо</w:t>
            </w:r>
            <w:r w:rsidR="008E5A7C" w:rsidRPr="006D102C">
              <w:t xml:space="preserve">" БРЭ работает с НРС для расширения их возможностей по решению проблем кибербезопасности. Лаосу (Н.Д.Р) и Камбодже был предоставлен бесплатный доступ к инструментам, разработанным Членами МСЭ из частного сектора, в частности CTM360 и ImmuniWeb. В рамках своей программы реагирования на инциденты БРЭ оказало </w:t>
            </w:r>
            <w:r w:rsidR="008E5A7C" w:rsidRPr="006D102C">
              <w:lastRenderedPageBreak/>
              <w:t>техническую помощь Мальдивским Островам, проведя учебные занятия и подготовив отчет об оценке пробелов в создании потенциала.</w:t>
            </w:r>
          </w:p>
          <w:p w14:paraId="15E37481" w14:textId="4763FFAF" w:rsidR="008E5A7C" w:rsidRPr="006D102C" w:rsidRDefault="00C37838" w:rsidP="00C37838">
            <w:pPr>
              <w:pStyle w:val="enumlev1"/>
            </w:pPr>
            <w:r w:rsidRPr="006D102C">
              <w:tab/>
            </w:r>
            <w:r w:rsidR="008E5A7C" w:rsidRPr="006D102C">
              <w:t>В ноябре 2024 года в Бандар-Сери-Бегаване, Бруней-Даруссалам, БРЭ в сотрудничестве с Управлением кибербезопасности Брунея (CSB) и Министерством транспорта и инфокоммуникаций (MTIC) Брунея-Даруссалама провело региональные тренировочные занятия МСЭ по кибербезопасности для Азиатско-Тихоокеанского региона. В региональной конференции в рамках тренировочных занятий по кибербезопасности приняли участие более 130 человек. Кроме того, 80 человек из 19 Государств-Членов также приняли участие в учебных сессиях и практических занятиях на основе сценариев, которые помогли им укрепить свой потенциал по управлению реагированием на киберинциденты.</w:t>
            </w:r>
          </w:p>
          <w:p w14:paraId="51F93076" w14:textId="6254BA28" w:rsidR="008E5A7C" w:rsidRPr="006D102C" w:rsidRDefault="00C37838" w:rsidP="00C37838">
            <w:pPr>
              <w:pStyle w:val="enumlev1"/>
            </w:pPr>
            <w:r w:rsidRPr="006D102C">
              <w:tab/>
            </w:r>
            <w:r w:rsidR="008E5A7C" w:rsidRPr="006D102C">
              <w:t>Помимо этого, МСЭ в сотрудничестве с Министерством почты и электросвязи Камбоджи (MPTC) и JICA провел семинар-практикум по повышению устойчивости критической информационной инфраструктуры. Семинар-практикум, в котором приняли участие 30 представителей заинтересованных сторон в сфере критической информационной инфраструктуры Камбоджи, включая Камбоджийскую группу реагирования на нарушения компьютерной защиты (CamCERT), расширил знания участников в области реагирования на технические инциденты, выработки национальной стратегии кибербезопасности и кризисного регулирования.</w:t>
            </w:r>
          </w:p>
          <w:p w14:paraId="5FC4F02A" w14:textId="64C94532" w:rsidR="008E5A7C" w:rsidRPr="006D102C" w:rsidRDefault="00C37838" w:rsidP="00C37838">
            <w:pPr>
              <w:pStyle w:val="enumlev1"/>
            </w:pPr>
            <w:r w:rsidRPr="006D102C">
              <w:tab/>
            </w:r>
            <w:r w:rsidR="008E5A7C" w:rsidRPr="006D102C">
              <w:t>С 3 по 5 февраля 2025 года БРЭ провело в Бангкоке учебный курс по кибербезопасности для руководящих работников из числа государственных служащих Бутана. В рамках этого учебного курса, проведенного в партнерстве с отделением JICA в Бутане, 11 руководителей из 7 государственных учреждений приняли участие в мероприятиях по моделированию, учебных занятиях и ознакомительных поездках высокого уровня, посвященных теме кибербезопасности. С 17 по 20 февраля 2025 года БРЭ провело учебный курс по повышению устойчивости критической информационной инфраструктуры с помощью услуг национальной группы реагирования на компьютерные инциденты для Филиппин. Этот учебный курс был организован в партнерстве с JICA и Министерством информационно-коммуникационных технологий (DICT) Филиппин.</w:t>
            </w:r>
          </w:p>
          <w:p w14:paraId="213E582C" w14:textId="0AABEC7D" w:rsidR="008E5A7C" w:rsidRPr="006D102C" w:rsidRDefault="00C37838" w:rsidP="00C37838">
            <w:pPr>
              <w:pStyle w:val="enumlev1"/>
            </w:pPr>
            <w:r w:rsidRPr="006D102C">
              <w:rPr>
                <w:b/>
              </w:rPr>
              <w:tab/>
            </w:r>
            <w:r w:rsidR="008E5A7C" w:rsidRPr="006D102C">
              <w:rPr>
                <w:bCs/>
              </w:rPr>
              <w:t>В</w:t>
            </w:r>
            <w:r w:rsidR="008E5A7C" w:rsidRPr="006D102C">
              <w:rPr>
                <w:b/>
              </w:rPr>
              <w:t xml:space="preserve"> регионе СНГ</w:t>
            </w:r>
            <w:r w:rsidR="008E5A7C" w:rsidRPr="006D102C">
              <w:t xml:space="preserve"> было проведено </w:t>
            </w:r>
            <w:r w:rsidR="008E5A7C" w:rsidRPr="006D102C">
              <w:rPr>
                <w:b/>
              </w:rPr>
              <w:t>первое Национальное тренировочное занятие по кибербезопасности</w:t>
            </w:r>
            <w:r w:rsidR="008E5A7C" w:rsidRPr="006D102C">
              <w:t>, организованное в Армении совместно с армянским Агентством информационных систем (ISAA). Данное тренировочное занятие способствовало укреплению потенциала заинтересованных сторон из государственного сектора в том, что касается навыков технического реагирования и управления кибербезопасностью, и помогло заложить основу для развития сектора кибербезопасности Армении.</w:t>
            </w:r>
          </w:p>
          <w:p w14:paraId="6FC94C73" w14:textId="7D0682D1" w:rsidR="008E5A7C" w:rsidRPr="006D102C" w:rsidRDefault="00C37838" w:rsidP="00C37838">
            <w:pPr>
              <w:pStyle w:val="enumlev1"/>
            </w:pPr>
            <w:r w:rsidRPr="006D102C">
              <w:tab/>
            </w:r>
            <w:r w:rsidR="008E5A7C" w:rsidRPr="006D102C">
              <w:t xml:space="preserve">В рамках глобальной программы МСЭ по защите ребенка в онлайновой среде МСЭ поддержал проведение двухдневного курса "Кибербезопасность для семьи" в апреле 2025 года в Казахстане, организованного TechnoWomen при поддержке Национальной комиссии по делам женщин и семейно-демографической политике при Президенте Республики Казахстан и Министерства цифрового развития, инноваций и аэрокосмической промышленности Республики Казахстан. Данный курс был ориентирован на сотрудниц правоохранительных органов и других профильных организаций и был посвящен цифровым тенденциям, </w:t>
            </w:r>
            <w:r w:rsidR="008E5A7C" w:rsidRPr="006D102C">
              <w:lastRenderedPageBreak/>
              <w:t>кибербезопасности и цифровой гигиене, а также методам решения проблем, связанных с онлайновыми рисками и защитой от них; в ходе курса были рассмотрены, в частности, такие темы, как предотвращение киберзапугивания, онлайновое преследование, безопасность онлайновых платежей и механизмы родительского контроля.</w:t>
            </w:r>
          </w:p>
          <w:p w14:paraId="1886C806" w14:textId="5D0CA8E0" w:rsidR="008E5A7C" w:rsidRPr="006D102C" w:rsidRDefault="00C37838" w:rsidP="00C37838">
            <w:pPr>
              <w:pStyle w:val="enumlev1"/>
            </w:pPr>
            <w:r w:rsidRPr="006D102C">
              <w:rPr>
                <w:rFonts w:cs="Calibri"/>
              </w:rPr>
              <w:t>•</w:t>
            </w:r>
            <w:r w:rsidRPr="006D102C">
              <w:tab/>
            </w:r>
            <w:r w:rsidR="008E5A7C" w:rsidRPr="006D102C">
              <w:rPr>
                <w:bCs/>
              </w:rPr>
              <w:t>В</w:t>
            </w:r>
            <w:r w:rsidR="008E5A7C" w:rsidRPr="006D102C">
              <w:rPr>
                <w:b/>
              </w:rPr>
              <w:t xml:space="preserve"> регионе Европы </w:t>
            </w:r>
            <w:r w:rsidR="008E5A7C" w:rsidRPr="006D102C">
              <w:t>с 26 по 29 ноября 2024 года в Софии, Болгария, состоялись Форум по кибербезопасности и тренировочное занятие МСЭ по кибербезопасности для Европы и средиземноморских стран, в котором приняли участие представители Албании, Боснии и Герцеговины, Болгарии, Германии, Греции, Италии, Молдовы, Черногории, Польши, Румынии, Испании, Швейцарии, Северной Македонии, Украины, Соединенного Королевства, Египта, Туниса, Ливана и Иордании, а также эксперты из FIRST, Европола, Всемирного банка и Агентства Европейского союза по кибербезопасности (ENISA).</w:t>
            </w:r>
          </w:p>
          <w:p w14:paraId="05B4458E" w14:textId="49B771F1" w:rsidR="008E5A7C" w:rsidRPr="006D102C" w:rsidRDefault="00C37838" w:rsidP="00C37838">
            <w:pPr>
              <w:pStyle w:val="enumlev1"/>
            </w:pPr>
            <w:r w:rsidRPr="006D102C">
              <w:tab/>
            </w:r>
            <w:r w:rsidR="008E5A7C" w:rsidRPr="006D102C">
              <w:t>Руководящие указания по защите ребенка в онлайновой среде были переведены на мальтийский язык, и в дополнение к ним были подготовлены карточки с цитатами, обобщающими основные рекомендации. Кроме того, были организованы мероприятия по созданию потенциала, направленные на повышение уровня осведомленности в стране и совершенствование навыков мальтийских заинтересованных сторон. Эти усилия расширили возможности Мальты по решению проблем защиты ребенка в онлайновой среде, способствуя созданию более безопасной и защищенной цифровой среды для детей.</w:t>
            </w:r>
          </w:p>
          <w:p w14:paraId="6FDD14FA" w14:textId="1D9AF8DA" w:rsidR="008E5A7C" w:rsidRPr="006D102C" w:rsidRDefault="00C37838" w:rsidP="00C37838">
            <w:pPr>
              <w:pStyle w:val="enumlev1"/>
            </w:pPr>
            <w:r w:rsidRPr="006D102C">
              <w:tab/>
            </w:r>
            <w:r w:rsidR="008E5A7C" w:rsidRPr="006D102C">
              <w:t>Разработка национальной оценки уровня защищенности ребенка в онлайновой среде), а также организация национальных консультаций с заинтересованными сторонами, состоявшихся 2−3 декабря 2024 года, помогли Андорре усовершенствовать стратегический подход к защите детей в онлайновой среде. За счет содействия сотрудничеству широкого круга заинтересованных сторон, выявления пробелов и определения приоритетности действий эти усилия прокладывают путь к созданию всеобъемлющего и всеохватного механизма защиты ребенка в онлайновой среде, адаптированного к конкретным потребностям страны.</w:t>
            </w:r>
          </w:p>
          <w:p w14:paraId="0F7AA419" w14:textId="5D4995EA" w:rsidR="008E5A7C" w:rsidRPr="006D102C" w:rsidRDefault="00C37838" w:rsidP="00C37838">
            <w:pPr>
              <w:pStyle w:val="enumlev1"/>
            </w:pPr>
            <w:r w:rsidRPr="006D102C">
              <w:rPr>
                <w:rFonts w:eastAsia="Calibri"/>
              </w:rPr>
              <w:tab/>
            </w:r>
            <w:r w:rsidR="008E5A7C" w:rsidRPr="006D102C">
              <w:rPr>
                <w:rFonts w:eastAsia="Calibri"/>
              </w:rPr>
              <w:t>В сотрудничестве с GIZ и УНП ООН МСЭ реализовал на базе Академии МСЭ программу "Ее киберследы", в которой приняли участие представители восьми стран Европы. Пятимесячная учебная программа включала онлайновые и одно очное занятие, проведенное в Албании в сотрудничестве с Национальным агентством кибербезопасности Албании.</w:t>
            </w:r>
          </w:p>
          <w:p w14:paraId="6EF60E7F" w14:textId="77777777" w:rsidR="008E5A7C" w:rsidRPr="006D102C" w:rsidRDefault="008E5A7C" w:rsidP="00C37838">
            <w:pPr>
              <w:pStyle w:val="Headingb"/>
              <w:rPr>
                <w:b w:val="0"/>
                <w:bCs/>
                <w:lang w:val="ru-RU"/>
              </w:rPr>
            </w:pPr>
            <w:r w:rsidRPr="006D102C">
              <w:rPr>
                <w:lang w:val="ru-RU"/>
              </w:rPr>
              <w:t>Оказание технической помощи</w:t>
            </w:r>
            <w:r w:rsidRPr="006D102C">
              <w:rPr>
                <w:b w:val="0"/>
                <w:bCs/>
                <w:lang w:val="ru-RU"/>
              </w:rPr>
              <w:t>:</w:t>
            </w:r>
          </w:p>
          <w:p w14:paraId="70971FE9" w14:textId="26E6CBD6" w:rsidR="008E5A7C" w:rsidRPr="006D102C" w:rsidRDefault="00C37838" w:rsidP="00C37838">
            <w:pPr>
              <w:pStyle w:val="enumlev1"/>
              <w:rPr>
                <w:color w:val="000000" w:themeColor="text1"/>
              </w:rPr>
            </w:pPr>
            <w:r w:rsidRPr="006D102C">
              <w:rPr>
                <w:rFonts w:cs="Calibri"/>
              </w:rPr>
              <w:t>•</w:t>
            </w:r>
            <w:r w:rsidRPr="006D102C">
              <w:tab/>
            </w:r>
            <w:r w:rsidR="008E5A7C" w:rsidRPr="006D102C">
              <w:rPr>
                <w:bCs/>
              </w:rPr>
              <w:t>В</w:t>
            </w:r>
            <w:r w:rsidR="008E5A7C" w:rsidRPr="006D102C">
              <w:rPr>
                <w:b/>
              </w:rPr>
              <w:t xml:space="preserve"> Африканском регионе</w:t>
            </w:r>
            <w:r w:rsidR="008E5A7C" w:rsidRPr="000B000B">
              <w:rPr>
                <w:bCs/>
              </w:rPr>
              <w:t xml:space="preserve"> </w:t>
            </w:r>
            <w:r w:rsidR="008E5A7C" w:rsidRPr="006D102C">
              <w:rPr>
                <w:bCs/>
              </w:rPr>
              <w:t>БРЭ провело оценку готовности национальной группы реагирования на компьютерные инциденты (CIRT) Сейшельских Островов.</w:t>
            </w:r>
            <w:r w:rsidR="008E5A7C" w:rsidRPr="006D102C">
              <w:rPr>
                <w:b/>
              </w:rPr>
              <w:t xml:space="preserve"> </w:t>
            </w:r>
            <w:r w:rsidR="008E5A7C" w:rsidRPr="006D102C">
              <w:t xml:space="preserve">Кроме того, было оказано содействие проведению кабинетных учений по вопросам экосистемы кибербезопасности Лесото. Это мероприятие способствовало развитию у ключевых национальных заинтересованных сторон навыков стратегического мышления в области управления кибербезопасностью в целях выполнения задач Национальной стратегии кибербезопасности Лесото. Министерству связи, науки и технологий Королевства Лесото также была оказана поддержка в </w:t>
            </w:r>
            <w:r w:rsidR="008E5A7C" w:rsidRPr="006D102C">
              <w:lastRenderedPageBreak/>
              <w:t>подготовке национальной оценки киберрисков как ключевого элемента, необходимого для укрепления доверия к ИКТ в Королевстве.</w:t>
            </w:r>
          </w:p>
          <w:p w14:paraId="70B01E8F" w14:textId="67768BB6" w:rsidR="008E5A7C" w:rsidRPr="006D102C" w:rsidRDefault="00C37838" w:rsidP="00C37838">
            <w:pPr>
              <w:pStyle w:val="enumlev1"/>
              <w:rPr>
                <w:color w:val="000000" w:themeColor="text1"/>
              </w:rPr>
            </w:pPr>
            <w:r w:rsidRPr="006D102C">
              <w:tab/>
            </w:r>
            <w:r w:rsidR="008E5A7C" w:rsidRPr="006D102C">
              <w:t>Кроме того, БРЭ провело мероприятия по наращиванию потенциала экосистемы кибербезопасности в Бисау, которые позволили укрепить потенциал национальных заинтересованных сторон по разработке стратегических подходов к организации работы CIRT и укреплению экосистемы кибербезопасности в Бисау.</w:t>
            </w:r>
          </w:p>
          <w:p w14:paraId="2F9149F6" w14:textId="087692CC" w:rsidR="008E5A7C" w:rsidRPr="006D102C" w:rsidRDefault="00C37838" w:rsidP="00C37838">
            <w:pPr>
              <w:pStyle w:val="enumlev1"/>
            </w:pPr>
            <w:r w:rsidRPr="006D102C">
              <w:tab/>
            </w:r>
            <w:r w:rsidR="008E5A7C" w:rsidRPr="006D102C">
              <w:t>В рамках глобальной программы МСЭ по защите ребенка в онлайновой среде в Малави была создана национальная целевая группа по защите ребенка для содействия осуществлению национальной стратегии защиты ребенка в онлайновой среде, ранее разработанной при поддержке МСЭ.</w:t>
            </w:r>
          </w:p>
          <w:p w14:paraId="73CF3F80" w14:textId="49DAB6A2" w:rsidR="008E5A7C" w:rsidRPr="006D102C" w:rsidRDefault="00C37838" w:rsidP="00C37838">
            <w:pPr>
              <w:pStyle w:val="enumlev1"/>
              <w:rPr>
                <w:color w:val="000000" w:themeColor="text1"/>
              </w:rPr>
            </w:pPr>
            <w:r w:rsidRPr="006D102C">
              <w:rPr>
                <w:rFonts w:cs="Calibri"/>
              </w:rPr>
              <w:t>•</w:t>
            </w:r>
            <w:r w:rsidRPr="006D102C">
              <w:tab/>
            </w:r>
            <w:r w:rsidR="008E5A7C" w:rsidRPr="006D102C">
              <w:rPr>
                <w:bCs/>
                <w:color w:val="000000" w:themeColor="text1"/>
              </w:rPr>
              <w:t>В</w:t>
            </w:r>
            <w:r w:rsidR="008E5A7C" w:rsidRPr="006D102C">
              <w:rPr>
                <w:b/>
                <w:color w:val="000000" w:themeColor="text1"/>
              </w:rPr>
              <w:t xml:space="preserve"> Северной и Южной Америк</w:t>
            </w:r>
            <w:r w:rsidR="00C14A10" w:rsidRPr="006D102C">
              <w:rPr>
                <w:b/>
                <w:color w:val="000000" w:themeColor="text1"/>
              </w:rPr>
              <w:t>е</w:t>
            </w:r>
            <w:r w:rsidR="008E5A7C" w:rsidRPr="000B000B">
              <w:rPr>
                <w:bCs/>
                <w:color w:val="000000" w:themeColor="text1"/>
              </w:rPr>
              <w:t xml:space="preserve"> </w:t>
            </w:r>
            <w:r w:rsidR="008E5A7C" w:rsidRPr="006D102C">
              <w:rPr>
                <w:bCs/>
                <w:color w:val="000000" w:themeColor="text1"/>
              </w:rPr>
              <w:t>БРЭ провело три тренировочных занятия по кибербезопасности.</w:t>
            </w:r>
            <w:r w:rsidR="008E5A7C" w:rsidRPr="006D102C">
              <w:rPr>
                <w:b/>
                <w:color w:val="000000" w:themeColor="text1"/>
              </w:rPr>
              <w:t xml:space="preserve"> </w:t>
            </w:r>
            <w:r w:rsidR="008E5A7C" w:rsidRPr="006D102C">
              <w:rPr>
                <w:color w:val="000000" w:themeColor="text1"/>
              </w:rPr>
              <w:t>С 14 по 17 мая 2024 года по приглашению Министерства народной власти по вопросам науки и технологий Боливарианской Республики Венесуэла в Каракасе, Венесуэла, состоялось 13-е мероприятие по созданию потенциала кибербезопасности в Андском регионе Америки, организованное совместно с Национальной комиссией по информационным технологиям (CONATI) и Главным управлением услуг электронной сертификации (SUSCERTE). С 23 по 27 сентября 2024 года по приглашению и при содействии Национального инженерного университета (INICTEL-UNI), а также при совместной организации Министерства транспорта и связи и Генерального Секретариата Андского сообщества в Лиме, Перу, состоялось 14-е региональное тренировочное занятие по кибербезопасности для стран Северной и Южной Америки. С 15 по 17 января 2025 года по приглашению правительства Багамских Островов в Нассау, Багамские Острова, прошло тренировочное занятие МСЭ по кибербезопасности для стран Карибского региона. Эти три мероприятия предоставили группам реагирования на инциденты возможность улучшить свои навыки, обменяться передовым опытом и укрепить связи между участниками.</w:t>
            </w:r>
          </w:p>
          <w:p w14:paraId="70C4093C" w14:textId="390B661A" w:rsidR="008E5A7C" w:rsidRPr="006D102C" w:rsidRDefault="00C37838" w:rsidP="00C37838">
            <w:pPr>
              <w:pStyle w:val="enumlev1"/>
            </w:pPr>
            <w:r w:rsidRPr="006D102C">
              <w:tab/>
            </w:r>
            <w:r w:rsidR="008E5A7C" w:rsidRPr="006D102C">
              <w:t>В рамках глобальной программы МСЭ по защите ребенка в онлайновой среде в Эквадоре, Перу, Боливии, Суринаме и на Багамских Островах были разработаны проекты национальных рамочных программ.</w:t>
            </w:r>
          </w:p>
          <w:p w14:paraId="2BA326D4" w14:textId="42533778" w:rsidR="008E5A7C" w:rsidRPr="006D102C" w:rsidRDefault="00C37838" w:rsidP="00C37838">
            <w:pPr>
              <w:pStyle w:val="enumlev1"/>
            </w:pPr>
            <w:r w:rsidRPr="006D102C">
              <w:rPr>
                <w:rFonts w:cs="Calibri"/>
              </w:rPr>
              <w:t>•</w:t>
            </w:r>
            <w:r w:rsidRPr="006D102C">
              <w:tab/>
            </w:r>
            <w:r w:rsidR="008E5A7C" w:rsidRPr="006D102C">
              <w:rPr>
                <w:bCs/>
              </w:rPr>
              <w:t>В</w:t>
            </w:r>
            <w:r w:rsidR="008E5A7C" w:rsidRPr="006D102C">
              <w:rPr>
                <w:b/>
              </w:rPr>
              <w:t xml:space="preserve"> Арабском регионе </w:t>
            </w:r>
            <w:r w:rsidR="008E5A7C" w:rsidRPr="006D102C">
              <w:rPr>
                <w:bCs/>
              </w:rPr>
              <w:t>МСЭ провел два региональных тренировочных занятия по кибербезопасности для стран Арабского региона, включая Региональную неделю кибербезопасности и тренировочные занятия по кибербезопасности для стран Арабского региона с участием Группы реагирования на нарушения компьютерной защиты Организации исламского сотрудничества (OIC-CERT) в Маскате, Оман, 28−30 октября 2024 года и региональные учения МСЭ по обеспечению готовности к кибербезопасности в Марракеше, Марокко, 29−31 мая 2024 года.</w:t>
            </w:r>
            <w:r w:rsidR="008E5A7C" w:rsidRPr="006D102C">
              <w:rPr>
                <w:b/>
              </w:rPr>
              <w:t xml:space="preserve"> </w:t>
            </w:r>
            <w:r w:rsidR="008E5A7C" w:rsidRPr="006D102C">
              <w:t>Региональные учения по обеспечению готовности к кибербезопасности проводились по приглашению Генерального директората по безопасности информационных систем (DGSSI). Эти занятия не только позволили собрать вместе группы реагирования на инциденты со всего региона для совершенствования их навыков, но и способствовали консолидации и совместному использованию знаний.</w:t>
            </w:r>
          </w:p>
          <w:p w14:paraId="2D155960" w14:textId="0D83DFF2" w:rsidR="008E5A7C" w:rsidRPr="006D102C" w:rsidRDefault="00C37838" w:rsidP="00C37838">
            <w:pPr>
              <w:pStyle w:val="enumlev1"/>
            </w:pPr>
            <w:r w:rsidRPr="006D102C">
              <w:tab/>
            </w:r>
            <w:r w:rsidR="008E5A7C" w:rsidRPr="006D102C">
              <w:t xml:space="preserve">С 23 по 25 апреля 2024 года в Объединенных Арабских Эмиратах состоялись Глобальные тренировочные занятия МСЭ по кибербезопасности, в которых приняли участие 104 страны. Совет ОАЭ по кибербезопасности </w:t>
            </w:r>
            <w:r w:rsidR="008E5A7C" w:rsidRPr="006D102C">
              <w:lastRenderedPageBreak/>
              <w:t>предоставил стипендии, которые покрывали расходы на проезд и проживание для участников из 104 отобранных стран.</w:t>
            </w:r>
          </w:p>
          <w:p w14:paraId="271280DB" w14:textId="1733093A" w:rsidR="008E5A7C" w:rsidRPr="006D102C" w:rsidRDefault="00C37838" w:rsidP="00C37838">
            <w:pPr>
              <w:pStyle w:val="enumlev1"/>
            </w:pPr>
            <w:r w:rsidRPr="006D102C">
              <w:tab/>
            </w:r>
            <w:r w:rsidR="008E5A7C" w:rsidRPr="006D102C">
              <w:t>В рамках глобальной программы МСЭ по защите ребенка в онлайновой среде в Ливане была создана национальная целевая группа по защите ребенка, с которой были проведены консультации для содействия осуществлению национальной стратегии защиты ребенка в онлайновой среде.</w:t>
            </w:r>
          </w:p>
          <w:p w14:paraId="0BE62841" w14:textId="3B3C47B4" w:rsidR="008E5A7C" w:rsidRPr="006D102C" w:rsidRDefault="00C37838" w:rsidP="00C37838">
            <w:pPr>
              <w:pStyle w:val="enumlev1"/>
            </w:pPr>
            <w:r w:rsidRPr="006D102C">
              <w:rPr>
                <w:rFonts w:cs="Calibri"/>
              </w:rPr>
              <w:t>•</w:t>
            </w:r>
            <w:r w:rsidRPr="006D102C">
              <w:tab/>
            </w:r>
            <w:r w:rsidR="008E5A7C" w:rsidRPr="006D102C">
              <w:t>В</w:t>
            </w:r>
            <w:r w:rsidR="008E5A7C" w:rsidRPr="006D102C">
              <w:rPr>
                <w:b/>
                <w:bCs/>
              </w:rPr>
              <w:t xml:space="preserve"> Азиатско-Тихоокеанском регионе</w:t>
            </w:r>
            <w:r w:rsidR="008E5A7C" w:rsidRPr="000B000B">
              <w:t xml:space="preserve"> </w:t>
            </w:r>
            <w:r w:rsidR="008E5A7C" w:rsidRPr="006D102C">
              <w:t>МСЭ поддерживает усилия по осуществлению инициатив в области обеспечения кибербезопасности, защиты ребенка в онлайновой среде и создания потенциала.</w:t>
            </w:r>
            <w:r w:rsidR="008E5A7C" w:rsidRPr="006D102C">
              <w:rPr>
                <w:b/>
                <w:bCs/>
              </w:rPr>
              <w:t xml:space="preserve"> </w:t>
            </w:r>
            <w:r w:rsidR="008E5A7C" w:rsidRPr="006D102C">
              <w:t>В рамках оказания технической помощи в области кибербезопасности МСЭ завершил оценку зрелости CIRT в Тиморе-Лешти, подготовив в сотрудничестве с Национальным органом связи (ANC) рекомендации для Группы реагирования Тимора-Лешти на инциденты в сфере компьютерной безопасности (TLCSIRT), призванные повысить уровень готовности TLCSIRT к обеспечению кибербезопасности. Кроме того, МСЭ организовал закрытый брифинг высокого уровня по вопросам политики и рассчитал Глобальный индекс кибербезопасности (GCI) для Мальдивских Островов в целях углубления представления о политике в области кибербезопасности в стране.</w:t>
            </w:r>
          </w:p>
          <w:p w14:paraId="17A2FF29" w14:textId="12978967" w:rsidR="008E5A7C" w:rsidRPr="006D102C" w:rsidRDefault="00C37838" w:rsidP="00C37838">
            <w:pPr>
              <w:pStyle w:val="enumlev1"/>
            </w:pPr>
            <w:r w:rsidRPr="006D102C">
              <w:tab/>
            </w:r>
            <w:r w:rsidR="008E5A7C" w:rsidRPr="006D102C">
              <w:t>В рамках своей программы реагирования на инциденты МСЭ провел в январе 2025 года оценку готовности национальной CIRT в Палау. БРЭ планирует провести оценку готовности CIRT в Науру в апреле 2025 года.</w:t>
            </w:r>
          </w:p>
          <w:p w14:paraId="63238E8D" w14:textId="5A7EF30F" w:rsidR="008E5A7C" w:rsidRPr="006D102C" w:rsidRDefault="00C37838" w:rsidP="00C37838">
            <w:pPr>
              <w:pStyle w:val="enumlev1"/>
            </w:pPr>
            <w:r w:rsidRPr="006D102C">
              <w:tab/>
            </w:r>
            <w:r w:rsidR="008E5A7C" w:rsidRPr="006D102C">
              <w:t>В рамках глобальной программы МСЭ по защите ребенка в онлайновой среде в Индонезии была создана национальная целевая группа по защите ребенка, с которой были проведены консультации для содействия осуществлению национальной стратегии защиты ребенка в онлайновой среде.</w:t>
            </w:r>
          </w:p>
        </w:tc>
        <w:tc>
          <w:tcPr>
            <w:tcW w:w="3060" w:type="dxa"/>
            <w:tcBorders>
              <w:top w:val="dotted" w:sz="4" w:space="0" w:color="0070C0"/>
              <w:left w:val="dotted" w:sz="4" w:space="0" w:color="0070C0"/>
              <w:bottom w:val="dotted" w:sz="4" w:space="0" w:color="0070C0"/>
              <w:right w:val="dotted" w:sz="4" w:space="0" w:color="0070C0"/>
            </w:tcBorders>
            <w:shd w:val="clear" w:color="auto" w:fill="auto"/>
          </w:tcPr>
          <w:p w14:paraId="66209C13" w14:textId="53101A51" w:rsidR="008E5A7C" w:rsidRPr="006D102C" w:rsidRDefault="008E5A7C" w:rsidP="000C2445">
            <w:pPr>
              <w:spacing w:after="120"/>
              <w:rPr>
                <w:rFonts w:cstheme="minorHAnsi"/>
                <w:b/>
                <w:bCs/>
                <w:color w:val="0070C0"/>
              </w:rPr>
            </w:pPr>
            <w:r w:rsidRPr="006D102C">
              <w:rPr>
                <w:rFonts w:cstheme="minorHAnsi"/>
                <w:b/>
                <w:bCs/>
                <w:color w:val="0070C0"/>
              </w:rPr>
              <w:lastRenderedPageBreak/>
              <w:t>Глобальный индекс кибербезопасности 2024</w:t>
            </w:r>
            <w:r w:rsidR="00D759B9" w:rsidRPr="006D102C">
              <w:rPr>
                <w:rFonts w:cstheme="minorHAnsi"/>
                <w:b/>
                <w:bCs/>
                <w:color w:val="0070C0"/>
              </w:rPr>
              <w:t> </w:t>
            </w:r>
            <w:r w:rsidRPr="006D102C">
              <w:rPr>
                <w:rFonts w:cstheme="minorHAnsi"/>
                <w:b/>
                <w:bCs/>
                <w:color w:val="0070C0"/>
              </w:rPr>
              <w:t>года представлен в сентябре</w:t>
            </w:r>
            <w:r w:rsidRPr="006D102C">
              <w:rPr>
                <w:rFonts w:cstheme="minorHAnsi"/>
                <w:color w:val="0070C0"/>
              </w:rPr>
              <w:t>.</w:t>
            </w:r>
          </w:p>
          <w:p w14:paraId="0C10717A" w14:textId="77777777" w:rsidR="008E5A7C" w:rsidRPr="006D102C" w:rsidRDefault="008E5A7C" w:rsidP="000C2445">
            <w:pPr>
              <w:spacing w:after="120"/>
              <w:rPr>
                <w:rFonts w:cstheme="minorHAnsi"/>
                <w:b/>
                <w:bCs/>
                <w:color w:val="0070C0"/>
              </w:rPr>
            </w:pPr>
            <w:r w:rsidRPr="006D102C">
              <w:rPr>
                <w:rFonts w:cstheme="minorHAnsi"/>
                <w:b/>
                <w:bCs/>
                <w:color w:val="0070C0"/>
              </w:rPr>
              <w:t>Программа реагирования на инциденты</w:t>
            </w:r>
            <w:r w:rsidRPr="006D102C">
              <w:rPr>
                <w:rFonts w:cstheme="minorHAnsi"/>
                <w:color w:val="0070C0"/>
              </w:rPr>
              <w:t>:</w:t>
            </w:r>
          </w:p>
          <w:p w14:paraId="6DDE105D" w14:textId="195CAE8F" w:rsidR="008E5A7C" w:rsidRPr="006D102C" w:rsidRDefault="00C37838" w:rsidP="00C37838">
            <w:pPr>
              <w:pStyle w:val="enumlev1"/>
              <w:tabs>
                <w:tab w:val="clear" w:pos="1134"/>
                <w:tab w:val="left" w:pos="331"/>
              </w:tabs>
              <w:ind w:left="331" w:hanging="331"/>
            </w:pPr>
            <w:r w:rsidRPr="006D102C">
              <w:rPr>
                <w:rFonts w:cs="Calibri"/>
              </w:rPr>
              <w:t>•</w:t>
            </w:r>
            <w:r w:rsidRPr="006D102C">
              <w:tab/>
            </w:r>
            <w:r w:rsidR="008E5A7C" w:rsidRPr="006D102C">
              <w:t>тренировочные занятия по кибербезопасности были организованы для 160 стран во всех регионах.</w:t>
            </w:r>
          </w:p>
          <w:p w14:paraId="13A3D815" w14:textId="77777777" w:rsidR="008E5A7C" w:rsidRPr="006D102C" w:rsidRDefault="008E5A7C" w:rsidP="000C2445">
            <w:pPr>
              <w:overflowPunct/>
              <w:autoSpaceDE/>
              <w:autoSpaceDN/>
              <w:adjustRightInd/>
              <w:spacing w:after="120"/>
              <w:textAlignment w:val="auto"/>
              <w:rPr>
                <w:rFonts w:eastAsia="Calibri" w:cstheme="minorHAnsi"/>
                <w:color w:val="0070C0"/>
              </w:rPr>
            </w:pPr>
            <w:r w:rsidRPr="006D102C">
              <w:rPr>
                <w:rFonts w:eastAsia="Calibri" w:cstheme="minorHAnsi"/>
                <w:b/>
                <w:bCs/>
                <w:color w:val="0070C0"/>
              </w:rPr>
              <w:t>Вовлечение/помощь НРС/ЛЛДС и СИДС − Инклюзивная и защищенная электросвязь/ИКТ для устойчивого развития</w:t>
            </w:r>
            <w:r w:rsidRPr="006D102C">
              <w:rPr>
                <w:rFonts w:eastAsia="Calibri" w:cstheme="minorHAnsi"/>
                <w:color w:val="0070C0"/>
              </w:rPr>
              <w:t>:</w:t>
            </w:r>
          </w:p>
          <w:p w14:paraId="0FA54C03" w14:textId="77777777" w:rsidR="008E5A7C" w:rsidRPr="006D102C" w:rsidRDefault="008E5A7C" w:rsidP="000C2445">
            <w:pPr>
              <w:overflowPunct/>
              <w:autoSpaceDE/>
              <w:autoSpaceDN/>
              <w:adjustRightInd/>
              <w:spacing w:after="120"/>
              <w:textAlignment w:val="auto"/>
              <w:rPr>
                <w:rFonts w:eastAsia="Calibri" w:cstheme="minorHAnsi"/>
              </w:rPr>
            </w:pPr>
            <w:r w:rsidRPr="006D102C">
              <w:rPr>
                <w:rFonts w:eastAsia="Calibri" w:cstheme="minorHAnsi"/>
              </w:rPr>
              <w:t xml:space="preserve">В общей сложности помощь была оказана 40 НРС, ЛЛДС и СИДС: </w:t>
            </w:r>
          </w:p>
          <w:p w14:paraId="5361D346" w14:textId="1787D264" w:rsidR="008E5A7C" w:rsidRPr="006D102C" w:rsidRDefault="00C37838" w:rsidP="00C37838">
            <w:pPr>
              <w:tabs>
                <w:tab w:val="clear" w:pos="1134"/>
                <w:tab w:val="left" w:pos="346"/>
              </w:tabs>
              <w:ind w:left="346" w:hanging="346"/>
            </w:pPr>
            <w:r w:rsidRPr="006D102C">
              <w:rPr>
                <w:rFonts w:cs="Calibri"/>
              </w:rPr>
              <w:t>•</w:t>
            </w:r>
            <w:r w:rsidRPr="006D102C">
              <w:tab/>
            </w:r>
            <w:r w:rsidR="008E5A7C" w:rsidRPr="006D102C">
              <w:t xml:space="preserve">11 странам была оказана техническая помощь; </w:t>
            </w:r>
          </w:p>
          <w:p w14:paraId="6AF30981" w14:textId="509EFB27" w:rsidR="008E5A7C" w:rsidRPr="006D102C" w:rsidRDefault="00C37838" w:rsidP="00C37838">
            <w:pPr>
              <w:tabs>
                <w:tab w:val="clear" w:pos="1134"/>
                <w:tab w:val="left" w:pos="346"/>
              </w:tabs>
              <w:ind w:left="346" w:hanging="346"/>
            </w:pPr>
            <w:r w:rsidRPr="006D102C">
              <w:rPr>
                <w:rFonts w:cs="Calibri"/>
              </w:rPr>
              <w:t>•</w:t>
            </w:r>
            <w:r w:rsidRPr="006D102C">
              <w:tab/>
            </w:r>
            <w:r w:rsidR="008E5A7C" w:rsidRPr="006D102C">
              <w:t xml:space="preserve">было разработано 28 политических </w:t>
            </w:r>
            <w:r w:rsidR="008E5A7C" w:rsidRPr="006D102C">
              <w:lastRenderedPageBreak/>
              <w:t>рамочных программ и продуктов знаний;</w:t>
            </w:r>
          </w:p>
          <w:p w14:paraId="08C09B58" w14:textId="0F4813A6" w:rsidR="008E5A7C" w:rsidRPr="006D102C" w:rsidRDefault="008E5A7C" w:rsidP="00D759B9">
            <w:r w:rsidRPr="006D102C">
              <w:t xml:space="preserve">в 5 странах были проведены занятия по повышению осведомленности, а в 2 странах − созданы платформы для созыва мероприятий; </w:t>
            </w:r>
          </w:p>
          <w:p w14:paraId="60142DA6" w14:textId="6F9FCC8C" w:rsidR="008E5A7C" w:rsidRPr="006D102C" w:rsidRDefault="008E5A7C" w:rsidP="00D759B9">
            <w:r w:rsidRPr="006D102C">
              <w:t xml:space="preserve">продолжается реализация 6 проектов в НРС, ЛЛДС и СИДС в рамках тематической области "Инклюзивная и защищенная электросвязь/ИКТ для устойчивого развития". </w:t>
            </w:r>
          </w:p>
        </w:tc>
      </w:tr>
      <w:tr w:rsidR="008E5A7C" w:rsidRPr="006D102C" w14:paraId="40278FB1" w14:textId="77777777" w:rsidTr="00C14A10">
        <w:trPr>
          <w:trHeight w:val="300"/>
        </w:trPr>
        <w:tc>
          <w:tcPr>
            <w:tcW w:w="3823" w:type="dxa"/>
            <w:tcBorders>
              <w:top w:val="dotted" w:sz="4" w:space="0" w:color="0070C0"/>
              <w:left w:val="dotted" w:sz="4" w:space="0" w:color="0070C0"/>
              <w:bottom w:val="dotted" w:sz="4" w:space="0" w:color="0070C0"/>
              <w:right w:val="dotted" w:sz="4" w:space="0" w:color="0070C0"/>
            </w:tcBorders>
          </w:tcPr>
          <w:p w14:paraId="7A61D960" w14:textId="77777777" w:rsidR="008E5A7C" w:rsidRPr="006D102C" w:rsidRDefault="008E5A7C" w:rsidP="000C2445">
            <w:pPr>
              <w:spacing w:after="120"/>
              <w:rPr>
                <w:rFonts w:cstheme="minorHAnsi"/>
                <w:i/>
                <w:iCs/>
                <w:color w:val="000000"/>
              </w:rPr>
            </w:pPr>
            <w:r w:rsidRPr="006D102C">
              <w:rPr>
                <w:b/>
                <w:bCs/>
              </w:rPr>
              <w:lastRenderedPageBreak/>
              <w:t>Вклад в выполнение задач ЦУР</w:t>
            </w:r>
          </w:p>
        </w:tc>
        <w:tc>
          <w:tcPr>
            <w:tcW w:w="11112" w:type="dxa"/>
            <w:gridSpan w:val="2"/>
            <w:tcBorders>
              <w:top w:val="dotted" w:sz="4" w:space="0" w:color="0070C0"/>
              <w:left w:val="dotted" w:sz="4" w:space="0" w:color="0070C0"/>
              <w:bottom w:val="dotted" w:sz="4" w:space="0" w:color="0070C0"/>
              <w:right w:val="dotted" w:sz="4" w:space="0" w:color="0070C0"/>
            </w:tcBorders>
          </w:tcPr>
          <w:p w14:paraId="16DD3ADB" w14:textId="77777777" w:rsidR="008E5A7C" w:rsidRPr="006D102C" w:rsidRDefault="008E5A7C" w:rsidP="000C2445">
            <w:pPr>
              <w:spacing w:after="120"/>
              <w:rPr>
                <w:rFonts w:cstheme="minorHAnsi"/>
              </w:rPr>
            </w:pPr>
            <w:r w:rsidRPr="006D102C">
              <w:t>ЦУР 1, 3, 4, 5, 8, 9, 10, 11, 16, 17</w:t>
            </w:r>
          </w:p>
        </w:tc>
      </w:tr>
      <w:tr w:rsidR="008E5A7C" w:rsidRPr="006D102C" w14:paraId="2A2682E8" w14:textId="77777777" w:rsidTr="00C14A10">
        <w:trPr>
          <w:trHeight w:val="300"/>
        </w:trPr>
        <w:tc>
          <w:tcPr>
            <w:tcW w:w="3823" w:type="dxa"/>
            <w:tcBorders>
              <w:top w:val="dotted" w:sz="4" w:space="0" w:color="0070C0"/>
              <w:left w:val="dotted" w:sz="4" w:space="0" w:color="0070C0"/>
              <w:bottom w:val="dotted" w:sz="4" w:space="0" w:color="0070C0"/>
              <w:right w:val="dotted" w:sz="4" w:space="0" w:color="0070C0"/>
            </w:tcBorders>
          </w:tcPr>
          <w:p w14:paraId="48C0529D" w14:textId="77777777" w:rsidR="008E5A7C" w:rsidRPr="006D102C" w:rsidRDefault="008E5A7C" w:rsidP="000C2445">
            <w:pPr>
              <w:spacing w:after="120"/>
              <w:rPr>
                <w:rFonts w:cstheme="minorHAnsi"/>
                <w:b/>
                <w:bCs/>
              </w:rPr>
            </w:pPr>
            <w:r w:rsidRPr="006D102C">
              <w:rPr>
                <w:b/>
                <w:bCs/>
              </w:rPr>
              <w:t>Направление деятельности ВВУИО</w:t>
            </w:r>
          </w:p>
        </w:tc>
        <w:tc>
          <w:tcPr>
            <w:tcW w:w="11112" w:type="dxa"/>
            <w:gridSpan w:val="2"/>
            <w:tcBorders>
              <w:top w:val="dotted" w:sz="4" w:space="0" w:color="0070C0"/>
              <w:left w:val="dotted" w:sz="4" w:space="0" w:color="0070C0"/>
              <w:bottom w:val="dotted" w:sz="4" w:space="0" w:color="0070C0"/>
              <w:right w:val="dotted" w:sz="4" w:space="0" w:color="0070C0"/>
            </w:tcBorders>
          </w:tcPr>
          <w:p w14:paraId="152E3EA8" w14:textId="77777777" w:rsidR="008E5A7C" w:rsidRPr="006D102C" w:rsidRDefault="008E5A7C" w:rsidP="000C2445">
            <w:pPr>
              <w:spacing w:after="120"/>
              <w:rPr>
                <w:rFonts w:cstheme="minorHAnsi"/>
              </w:rPr>
            </w:pPr>
            <w:r w:rsidRPr="006D102C">
              <w:t>C1, C2, C3, C4, C5, C6, C7, C11</w:t>
            </w:r>
          </w:p>
        </w:tc>
      </w:tr>
      <w:tr w:rsidR="008E5A7C" w:rsidRPr="006D102C" w14:paraId="202388FD" w14:textId="77777777" w:rsidTr="00C14A10">
        <w:trPr>
          <w:trHeight w:val="300"/>
        </w:trPr>
        <w:tc>
          <w:tcPr>
            <w:tcW w:w="3823" w:type="dxa"/>
            <w:tcBorders>
              <w:top w:val="dotted" w:sz="4" w:space="0" w:color="0070C0"/>
              <w:left w:val="dotted" w:sz="4" w:space="0" w:color="0070C0"/>
              <w:bottom w:val="dotted" w:sz="4" w:space="0" w:color="0070C0"/>
              <w:right w:val="dotted" w:sz="4" w:space="0" w:color="0070C0"/>
            </w:tcBorders>
          </w:tcPr>
          <w:p w14:paraId="2278C9E3" w14:textId="77777777" w:rsidR="008E5A7C" w:rsidRPr="006D102C" w:rsidRDefault="008E5A7C" w:rsidP="000C2445">
            <w:pPr>
              <w:spacing w:after="120"/>
              <w:rPr>
                <w:rFonts w:cstheme="minorHAnsi"/>
                <w:b/>
                <w:bCs/>
              </w:rPr>
            </w:pPr>
            <w:r w:rsidRPr="006D102C">
              <w:rPr>
                <w:b/>
                <w:bCs/>
              </w:rPr>
              <w:t>Резолюции</w:t>
            </w:r>
          </w:p>
        </w:tc>
        <w:tc>
          <w:tcPr>
            <w:tcW w:w="11112" w:type="dxa"/>
            <w:gridSpan w:val="2"/>
            <w:tcBorders>
              <w:top w:val="dotted" w:sz="4" w:space="0" w:color="0070C0"/>
              <w:left w:val="dotted" w:sz="4" w:space="0" w:color="0070C0"/>
              <w:bottom w:val="dotted" w:sz="4" w:space="0" w:color="0070C0"/>
              <w:right w:val="dotted" w:sz="4" w:space="0" w:color="0070C0"/>
            </w:tcBorders>
          </w:tcPr>
          <w:p w14:paraId="0EE5C782" w14:textId="77777777" w:rsidR="008E5A7C" w:rsidRPr="006D102C" w:rsidRDefault="008E5A7C" w:rsidP="000C2445">
            <w:pPr>
              <w:spacing w:after="120"/>
              <w:rPr>
                <w:rFonts w:cstheme="minorHAnsi"/>
              </w:rPr>
            </w:pPr>
            <w:r w:rsidRPr="006D102C">
              <w:t>130, 174, 179 ПК; 45, 69 ВКРЭ; 52, 58 ВАСЭ</w:t>
            </w:r>
          </w:p>
        </w:tc>
      </w:tr>
      <w:tr w:rsidR="008E5A7C" w:rsidRPr="006D102C" w14:paraId="0E1F257C" w14:textId="77777777" w:rsidTr="00C14A10">
        <w:trPr>
          <w:trHeight w:val="300"/>
        </w:trPr>
        <w:tc>
          <w:tcPr>
            <w:tcW w:w="3823" w:type="dxa"/>
            <w:tcBorders>
              <w:top w:val="dotted" w:sz="4" w:space="0" w:color="0070C0"/>
              <w:left w:val="dotted" w:sz="4" w:space="0" w:color="0070C0"/>
              <w:bottom w:val="dotted" w:sz="4" w:space="0" w:color="0070C0"/>
              <w:right w:val="dotted" w:sz="4" w:space="0" w:color="0070C0"/>
            </w:tcBorders>
          </w:tcPr>
          <w:p w14:paraId="0E4B25AF" w14:textId="77777777" w:rsidR="008E5A7C" w:rsidRPr="006D102C" w:rsidRDefault="008E5A7C" w:rsidP="000C2445">
            <w:pPr>
              <w:spacing w:after="120"/>
              <w:rPr>
                <w:rFonts w:cstheme="minorHAnsi"/>
                <w:b/>
                <w:bCs/>
              </w:rPr>
            </w:pPr>
            <w:r w:rsidRPr="006D102C">
              <w:rPr>
                <w:b/>
                <w:bCs/>
              </w:rPr>
              <w:t>Исследовательские комиссии</w:t>
            </w:r>
            <w:r w:rsidRPr="006D102C">
              <w:t xml:space="preserve"> </w:t>
            </w:r>
          </w:p>
        </w:tc>
        <w:tc>
          <w:tcPr>
            <w:tcW w:w="11112" w:type="dxa"/>
            <w:gridSpan w:val="2"/>
            <w:tcBorders>
              <w:top w:val="dotted" w:sz="4" w:space="0" w:color="0070C0"/>
              <w:left w:val="dotted" w:sz="4" w:space="0" w:color="0070C0"/>
              <w:bottom w:val="dotted" w:sz="4" w:space="0" w:color="0070C0"/>
              <w:right w:val="dotted" w:sz="4" w:space="0" w:color="0070C0"/>
            </w:tcBorders>
          </w:tcPr>
          <w:p w14:paraId="73F160E5" w14:textId="77777777" w:rsidR="008E5A7C" w:rsidRPr="006D102C" w:rsidRDefault="008E5A7C" w:rsidP="000C2445">
            <w:pPr>
              <w:spacing w:after="120"/>
              <w:rPr>
                <w:rFonts w:cstheme="minorHAnsi"/>
              </w:rPr>
            </w:pPr>
            <w:r w:rsidRPr="006D102C">
              <w:t>Вопрос 3/2 "Защищенность сетей информации и связи: передовой опыт по созданию культуры кибербезопасности"</w:t>
            </w:r>
          </w:p>
        </w:tc>
      </w:tr>
    </w:tbl>
    <w:p w14:paraId="5BEDB5ED" w14:textId="77777777" w:rsidR="008E5A7C" w:rsidRPr="006D102C" w:rsidRDefault="008E5A7C" w:rsidP="008E5A7C">
      <w:pPr>
        <w:rPr>
          <w:rFonts w:cstheme="minorHAnsi"/>
          <w:color w:val="FFFFFF" w:themeColor="background1"/>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3686"/>
        <w:gridCol w:w="8194"/>
        <w:gridCol w:w="2970"/>
      </w:tblGrid>
      <w:tr w:rsidR="008E5A7C" w:rsidRPr="006D102C" w14:paraId="18A54D63" w14:textId="77777777" w:rsidTr="000C2445">
        <w:tc>
          <w:tcPr>
            <w:tcW w:w="14850" w:type="dxa"/>
            <w:gridSpan w:val="3"/>
            <w:shd w:val="clear" w:color="auto" w:fill="365F91" w:themeFill="accent1" w:themeFillShade="BF"/>
          </w:tcPr>
          <w:p w14:paraId="61394A55" w14:textId="77777777" w:rsidR="008E5A7C" w:rsidRPr="006D102C" w:rsidRDefault="008E5A7C" w:rsidP="00CE67E6">
            <w:pPr>
              <w:pStyle w:val="Tablehead"/>
              <w:rPr>
                <w:color w:val="FFFFFF" w:themeColor="background1"/>
                <w:sz w:val="22"/>
              </w:rPr>
            </w:pPr>
            <w:bookmarkStart w:id="23" w:name="_Toc197427006"/>
            <w:r w:rsidRPr="006D102C">
              <w:rPr>
                <w:color w:val="FFFFFF" w:themeColor="background1"/>
                <w:sz w:val="22"/>
              </w:rPr>
              <w:lastRenderedPageBreak/>
              <w:t>Приоритет 5 МСЭ-D и средства достижения целей 6 и 7 МСЭ-D: Мобилизация ресурсов, партнерские отношения и международное сотрудничество</w:t>
            </w:r>
            <w:bookmarkEnd w:id="23"/>
          </w:p>
          <w:p w14:paraId="6DE5817B" w14:textId="77777777" w:rsidR="008E5A7C" w:rsidRPr="006D102C" w:rsidRDefault="008E5A7C" w:rsidP="00CE67E6">
            <w:pPr>
              <w:pStyle w:val="Tablehead"/>
              <w:rPr>
                <w:i/>
                <w:iCs/>
                <w:color w:val="FFFFFF" w:themeColor="background1"/>
                <w:sz w:val="22"/>
              </w:rPr>
            </w:pPr>
            <w:bookmarkStart w:id="24" w:name="_Toc197427007"/>
            <w:r w:rsidRPr="006D102C">
              <w:rPr>
                <w:i/>
                <w:iCs/>
                <w:color w:val="FFFFFF" w:themeColor="background1"/>
                <w:sz w:val="22"/>
              </w:rPr>
              <w:t>Укрепление стратегии мобилизации ресурсов благодаря международному сотрудничеству</w:t>
            </w:r>
            <w:bookmarkEnd w:id="24"/>
          </w:p>
        </w:tc>
      </w:tr>
      <w:tr w:rsidR="008E5A7C" w:rsidRPr="006D102C" w14:paraId="6383DEC9" w14:textId="77777777" w:rsidTr="000C2445">
        <w:tc>
          <w:tcPr>
            <w:tcW w:w="14850" w:type="dxa"/>
            <w:gridSpan w:val="3"/>
            <w:shd w:val="clear" w:color="auto" w:fill="E5DFEC" w:themeFill="accent4" w:themeFillTint="33"/>
          </w:tcPr>
          <w:p w14:paraId="189692A1" w14:textId="77777777" w:rsidR="008E5A7C" w:rsidRPr="006D102C" w:rsidRDefault="008E5A7C" w:rsidP="000C2445">
            <w:pPr>
              <w:keepNext/>
              <w:spacing w:after="120"/>
              <w:rPr>
                <w:rFonts w:cstheme="minorHAnsi"/>
                <w:b/>
                <w:bCs/>
                <w:i/>
                <w:iCs/>
              </w:rPr>
            </w:pPr>
            <w:r w:rsidRPr="006D102C">
              <w:rPr>
                <w:b/>
                <w:bCs/>
                <w:i/>
                <w:iCs/>
              </w:rPr>
              <w:t>Конечный результат</w:t>
            </w:r>
            <w:r w:rsidRPr="006D102C">
              <w:rPr>
                <w:i/>
                <w:iCs/>
              </w:rPr>
              <w:t>: укрепление сотрудничества и координации с Организацией Объединенных Наций, ее учреждениями и другими международными организациями, региональными организациями электросвязи, региональными и глобальными институтами развития при реализации приоритетов МСЭ-D</w:t>
            </w:r>
          </w:p>
        </w:tc>
      </w:tr>
      <w:tr w:rsidR="008E5A7C" w:rsidRPr="006D102C" w14:paraId="7805FBA7" w14:textId="77777777" w:rsidTr="000C2445">
        <w:tc>
          <w:tcPr>
            <w:tcW w:w="11880" w:type="dxa"/>
            <w:gridSpan w:val="2"/>
          </w:tcPr>
          <w:p w14:paraId="5506BCFB"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cs="Times New Roman"/>
                <w:b/>
                <w:bCs/>
                <w:color w:val="0070C0"/>
              </w:rPr>
              <w:t>Намеченные результаты деятельности</w:t>
            </w:r>
          </w:p>
        </w:tc>
        <w:tc>
          <w:tcPr>
            <w:tcW w:w="2970" w:type="dxa"/>
          </w:tcPr>
          <w:p w14:paraId="7E8CBB9A"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b/>
                <w:bCs/>
                <w:color w:val="0070C0"/>
              </w:rPr>
              <w:t>Основные моменты</w:t>
            </w:r>
          </w:p>
        </w:tc>
      </w:tr>
      <w:tr w:rsidR="008E5A7C" w:rsidRPr="006D102C" w14:paraId="32644F53" w14:textId="77777777" w:rsidTr="000C2445">
        <w:tc>
          <w:tcPr>
            <w:tcW w:w="11880" w:type="dxa"/>
            <w:gridSpan w:val="2"/>
          </w:tcPr>
          <w:p w14:paraId="1894277D" w14:textId="77777777" w:rsidR="008E5A7C" w:rsidRPr="006D102C" w:rsidRDefault="008E5A7C" w:rsidP="00C37838">
            <w:pPr>
              <w:pStyle w:val="Headingb"/>
              <w:rPr>
                <w:lang w:val="ru-RU"/>
              </w:rPr>
            </w:pPr>
            <w:r w:rsidRPr="006D102C">
              <w:rPr>
                <w:lang w:val="ru-RU"/>
              </w:rPr>
              <w:t>Мобилизация ресурсов и партнерство</w:t>
            </w:r>
          </w:p>
          <w:p w14:paraId="06BB9698" w14:textId="77777777" w:rsidR="008E5A7C" w:rsidRPr="006D102C" w:rsidRDefault="008E5A7C" w:rsidP="000C2445">
            <w:pPr>
              <w:spacing w:after="120"/>
              <w:rPr>
                <w:rFonts w:eastAsia="Times New Roman"/>
                <w:bCs/>
              </w:rPr>
            </w:pPr>
            <w:r w:rsidRPr="006D102C">
              <w:rPr>
                <w:rFonts w:eastAsia="Times New Roman"/>
                <w:b/>
              </w:rPr>
              <w:t>Подписание новых соглашений о партнерстве</w:t>
            </w:r>
            <w:r w:rsidRPr="006D102C">
              <w:rPr>
                <w:rFonts w:eastAsia="Times New Roman"/>
                <w:bCs/>
              </w:rPr>
              <w:t xml:space="preserve">: с мая 2024 года по апрель 2025 года МСЭ подписал 73 соглашения с широким кругом партнеров. Более подробная информация размещена на </w:t>
            </w:r>
            <w:hyperlink r:id="rId99" w:history="1">
              <w:r w:rsidRPr="006D102C">
                <w:rPr>
                  <w:rStyle w:val="Hyperlink"/>
                  <w:rFonts w:eastAsia="Times New Roman"/>
                  <w:bCs/>
                </w:rPr>
                <w:t>веб-странице, посвященной партнерским отношениям МСЭ-D</w:t>
              </w:r>
            </w:hyperlink>
            <w:r w:rsidRPr="006D102C">
              <w:rPr>
                <w:rFonts w:eastAsia="Times New Roman"/>
                <w:bCs/>
              </w:rPr>
              <w:t>.</w:t>
            </w:r>
          </w:p>
          <w:p w14:paraId="658CF0D3" w14:textId="116E5114" w:rsidR="008E5A7C" w:rsidRPr="006D102C" w:rsidRDefault="008E5A7C" w:rsidP="000C2445">
            <w:pPr>
              <w:spacing w:after="120"/>
              <w:rPr>
                <w:rFonts w:eastAsia="Times New Roman"/>
              </w:rPr>
            </w:pPr>
            <w:r w:rsidRPr="006D102C">
              <w:rPr>
                <w:rFonts w:eastAsia="Times New Roman"/>
                <w:b/>
              </w:rPr>
              <w:t xml:space="preserve">Подписание новых проектов: </w:t>
            </w:r>
            <w:r w:rsidRPr="006D102C">
              <w:rPr>
                <w:rFonts w:eastAsia="Times New Roman"/>
                <w:bCs/>
              </w:rPr>
              <w:t>с мая 2024 года по апрель 2025 года МСЭ подписал в общей сложности 35 новых проектов и дополнительных соглашений на сумму 26,7 млн. швейцарских франков.</w:t>
            </w:r>
            <w:r w:rsidRPr="006D102C">
              <w:rPr>
                <w:rFonts w:eastAsia="Times New Roman"/>
                <w:b/>
              </w:rPr>
              <w:t xml:space="preserve"> </w:t>
            </w:r>
            <w:r w:rsidRPr="006D102C">
              <w:rPr>
                <w:rFonts w:eastAsia="Times New Roman"/>
              </w:rPr>
              <w:t xml:space="preserve">Эти цифры подтверждают наблюдаемую в последние годы положительную тенденцию увеличения средств, привлеченных БРЭ для поддержки проектов, что свидетельствует о </w:t>
            </w:r>
            <w:r w:rsidRPr="006D102C">
              <w:rPr>
                <w:rFonts w:eastAsia="Times New Roman"/>
                <w:b/>
                <w:bCs/>
              </w:rPr>
              <w:t>росте доверия к МСЭ как к ведущему партнеру в реализации инициатив в области ИКТ</w:t>
            </w:r>
            <w:r w:rsidRPr="006D102C">
              <w:rPr>
                <w:rFonts w:eastAsia="Times New Roman"/>
              </w:rPr>
              <w:t xml:space="preserve">, как в рамках проектов по оказанию технической помощи Государствам </w:t>
            </w:r>
            <w:r w:rsidRPr="006D102C">
              <w:rPr>
                <w:rFonts w:eastAsia="Times New Roman" w:cstheme="minorHAnsi"/>
              </w:rPr>
              <w:t>−</w:t>
            </w:r>
            <w:r w:rsidRPr="006D102C">
              <w:rPr>
                <w:rFonts w:eastAsia="Times New Roman"/>
              </w:rPr>
              <w:t xml:space="preserve"> Членам МСЭ, так и в рамках проектов, финансируемых сторонними донорами. Более подробная информация о реализации проектов БРЭ содержится в Документе </w:t>
            </w:r>
            <w:hyperlink r:id="rId100" w:history="1">
              <w:r w:rsidRPr="006D102C">
                <w:rPr>
                  <w:rStyle w:val="Hyperlink"/>
                  <w:rFonts w:eastAsia="Times New Roman"/>
                </w:rPr>
                <w:t>TDAG/24/7</w:t>
              </w:r>
            </w:hyperlink>
            <w:r w:rsidRPr="006D102C">
              <w:rPr>
                <w:rFonts w:eastAsia="Times New Roman"/>
              </w:rPr>
              <w:t>, а</w:t>
            </w:r>
            <w:r w:rsidR="000B000B">
              <w:rPr>
                <w:rFonts w:eastAsia="Times New Roman"/>
                <w:lang w:val="en-GB"/>
              </w:rPr>
              <w:t> </w:t>
            </w:r>
            <w:r w:rsidRPr="006D102C">
              <w:rPr>
                <w:rFonts w:eastAsia="Times New Roman"/>
              </w:rPr>
              <w:t xml:space="preserve">также на портале проектов МСЭ-D, который включает интерактивную панель для членов КГРЭ с дополнительной информацией о </w:t>
            </w:r>
            <w:hyperlink r:id="rId101" w:history="1">
              <w:r w:rsidRPr="006D102C">
                <w:rPr>
                  <w:rStyle w:val="Hyperlink"/>
                  <w:rFonts w:eastAsia="Times New Roman"/>
                </w:rPr>
                <w:t>портфеле проектов БРЭ</w:t>
              </w:r>
            </w:hyperlink>
            <w:r w:rsidRPr="006D102C">
              <w:rPr>
                <w:rFonts w:eastAsia="Times New Roman"/>
              </w:rPr>
              <w:t>.</w:t>
            </w:r>
          </w:p>
          <w:p w14:paraId="6AFFC3EA" w14:textId="77777777" w:rsidR="008E5A7C" w:rsidRPr="006D102C" w:rsidRDefault="008E5A7C" w:rsidP="000C2445">
            <w:pPr>
              <w:spacing w:after="120"/>
              <w:rPr>
                <w:rFonts w:eastAsia="Times New Roman" w:cstheme="minorHAnsi"/>
              </w:rPr>
            </w:pPr>
            <w:r w:rsidRPr="006D102C">
              <w:rPr>
                <w:rFonts w:eastAsia="Times New Roman"/>
              </w:rPr>
              <w:t xml:space="preserve">Существующие проекты, партнерские отношения и мероприятия по сотрудничеству также набирают обороты: в течение 2024 года БРЭ провело мероприятия в рамках 91 проекта на сумму 88,5 млн. швейцарских франков. Эти проекты носят межрегиональный, региональный и национальный характер. Большинство этих проектов (93%) финансировалось за счет внебюджетных средств, привлеченных от третьих сторон, а остальные 7% </w:t>
            </w:r>
            <w:r w:rsidRPr="006D102C">
              <w:rPr>
                <w:rFonts w:eastAsia="Times New Roman" w:cstheme="minorHAnsi"/>
              </w:rPr>
              <w:t>−</w:t>
            </w:r>
            <w:r w:rsidRPr="006D102C">
              <w:rPr>
                <w:rFonts w:eastAsia="Times New Roman"/>
              </w:rPr>
              <w:t xml:space="preserve"> за счет выделения начального финансирования МСЭ, Фонда развития ИКТ (ФРИКТ), а также средств, выделенных Советом МСЭ в поддержку региональных инициатив МСЭ-D.</w:t>
            </w:r>
          </w:p>
          <w:p w14:paraId="710BCC1C" w14:textId="77777777" w:rsidR="008E5A7C" w:rsidRPr="006D102C" w:rsidRDefault="008E5A7C" w:rsidP="000C2445">
            <w:pPr>
              <w:spacing w:after="120"/>
              <w:rPr>
                <w:rFonts w:eastAsia="Times New Roman" w:cstheme="minorHAnsi"/>
                <w:kern w:val="0"/>
                <w14:ligatures w14:val="none"/>
              </w:rPr>
            </w:pPr>
            <w:r w:rsidRPr="006D102C">
              <w:rPr>
                <w:rFonts w:eastAsia="Times New Roman" w:cstheme="minorHAnsi"/>
              </w:rPr>
              <w:t xml:space="preserve">Более подробную информацию об усилиях БРЭ по мобилизации ресурсов и установлению партнерских отношений можно найти в Документах 4 и 7 КГРЭ-25. </w:t>
            </w:r>
          </w:p>
        </w:tc>
        <w:tc>
          <w:tcPr>
            <w:tcW w:w="2970" w:type="dxa"/>
            <w:shd w:val="clear" w:color="auto" w:fill="auto"/>
          </w:tcPr>
          <w:p w14:paraId="6CA241C9" w14:textId="44EB8882" w:rsidR="008E5A7C" w:rsidRPr="006D102C" w:rsidRDefault="00867E28" w:rsidP="00867E28">
            <w:pPr>
              <w:tabs>
                <w:tab w:val="clear" w:pos="1134"/>
                <w:tab w:val="left" w:pos="346"/>
              </w:tabs>
              <w:ind w:left="346" w:hanging="346"/>
              <w:rPr>
                <w:rFonts w:eastAsia="Calibri"/>
                <w:bCs/>
              </w:rPr>
            </w:pPr>
            <w:r w:rsidRPr="006D102C">
              <w:rPr>
                <w:rFonts w:cs="Calibri"/>
              </w:rPr>
              <w:t>•</w:t>
            </w:r>
            <w:r w:rsidRPr="006D102C">
              <w:tab/>
            </w:r>
            <w:r w:rsidR="008E5A7C" w:rsidRPr="006D102C">
              <w:rPr>
                <w:rFonts w:eastAsia="Calibri"/>
                <w:b/>
              </w:rPr>
              <w:t>С мая 2024 года по апрель 2025 года</w:t>
            </w:r>
            <w:r w:rsidR="008E5A7C" w:rsidRPr="006D102C">
              <w:rPr>
                <w:rFonts w:eastAsia="Calibri"/>
                <w:bCs/>
              </w:rPr>
              <w:t xml:space="preserve">: 71 новое </w:t>
            </w:r>
            <w:r w:rsidR="008E5A7C" w:rsidRPr="006D102C">
              <w:t>соглашение</w:t>
            </w:r>
            <w:r w:rsidR="008E5A7C" w:rsidRPr="006D102C">
              <w:rPr>
                <w:rFonts w:eastAsia="Calibri"/>
                <w:bCs/>
              </w:rPr>
              <w:t>; 35</w:t>
            </w:r>
            <w:r w:rsidRPr="006D102C">
              <w:rPr>
                <w:rFonts w:eastAsia="Calibri"/>
                <w:bCs/>
              </w:rPr>
              <w:t> </w:t>
            </w:r>
            <w:r w:rsidR="008E5A7C" w:rsidRPr="006D102C">
              <w:rPr>
                <w:rFonts w:eastAsia="Calibri"/>
                <w:bCs/>
              </w:rPr>
              <w:t>соглашений по проектам на сумму 26,7 млн. долларов США.</w:t>
            </w:r>
          </w:p>
          <w:p w14:paraId="27C2A05A" w14:textId="3CBF7C01" w:rsidR="008E5A7C" w:rsidRPr="006D102C" w:rsidRDefault="00867E28" w:rsidP="00867E28">
            <w:pPr>
              <w:tabs>
                <w:tab w:val="clear" w:pos="1134"/>
                <w:tab w:val="left" w:pos="346"/>
              </w:tabs>
              <w:ind w:left="346" w:hanging="346"/>
              <w:rPr>
                <w:rFonts w:eastAsia="Calibri"/>
              </w:rPr>
            </w:pPr>
            <w:r w:rsidRPr="006D102C">
              <w:rPr>
                <w:rFonts w:cs="Calibri"/>
              </w:rPr>
              <w:t>•</w:t>
            </w:r>
            <w:r w:rsidRPr="006D102C">
              <w:tab/>
            </w:r>
            <w:r w:rsidR="008E5A7C" w:rsidRPr="006D102C">
              <w:t>Оказана</w:t>
            </w:r>
            <w:r w:rsidR="008E5A7C" w:rsidRPr="006D102C">
              <w:rPr>
                <w:rFonts w:eastAsia="Calibri"/>
              </w:rPr>
              <w:t xml:space="preserve"> поддержка 36 НРС, ЛЛДС и СИДС. </w:t>
            </w:r>
          </w:p>
          <w:p w14:paraId="708E588F" w14:textId="1905120D" w:rsidR="008E5A7C" w:rsidRPr="006D102C" w:rsidRDefault="00867E28" w:rsidP="00867E28">
            <w:pPr>
              <w:tabs>
                <w:tab w:val="clear" w:pos="1134"/>
                <w:tab w:val="left" w:pos="346"/>
              </w:tabs>
              <w:ind w:left="346" w:hanging="346"/>
              <w:rPr>
                <w:rFonts w:eastAsia="Calibri"/>
              </w:rPr>
            </w:pPr>
            <w:r w:rsidRPr="006D102C">
              <w:rPr>
                <w:rFonts w:cs="Calibri"/>
              </w:rPr>
              <w:t>•</w:t>
            </w:r>
            <w:r w:rsidRPr="006D102C">
              <w:tab/>
            </w:r>
            <w:r w:rsidR="008E5A7C" w:rsidRPr="006D102C">
              <w:rPr>
                <w:rFonts w:eastAsia="Calibri"/>
              </w:rPr>
              <w:t xml:space="preserve">В </w:t>
            </w:r>
            <w:r w:rsidR="008E5A7C" w:rsidRPr="006D102C">
              <w:t>34</w:t>
            </w:r>
            <w:r w:rsidR="008E5A7C" w:rsidRPr="006D102C">
              <w:rPr>
                <w:rFonts w:eastAsia="Calibri"/>
              </w:rPr>
              <w:t xml:space="preserve"> странах были проведены занятия по повышению осведомленности. </w:t>
            </w:r>
          </w:p>
          <w:p w14:paraId="1FE86B2D" w14:textId="72922E79" w:rsidR="008E5A7C" w:rsidRPr="006D102C" w:rsidRDefault="00867E28" w:rsidP="00867E28">
            <w:pPr>
              <w:tabs>
                <w:tab w:val="clear" w:pos="1134"/>
                <w:tab w:val="left" w:pos="346"/>
              </w:tabs>
              <w:ind w:left="346" w:hanging="346"/>
              <w:rPr>
                <w:rFonts w:eastAsia="Calibri"/>
              </w:rPr>
            </w:pPr>
            <w:r w:rsidRPr="006D102C">
              <w:rPr>
                <w:rFonts w:cs="Calibri"/>
              </w:rPr>
              <w:t>•</w:t>
            </w:r>
            <w:r w:rsidRPr="006D102C">
              <w:tab/>
            </w:r>
            <w:r w:rsidR="008E5A7C" w:rsidRPr="006D102C">
              <w:rPr>
                <w:rFonts w:eastAsia="Calibri"/>
              </w:rPr>
              <w:t xml:space="preserve">В 2 </w:t>
            </w:r>
            <w:r w:rsidR="008E5A7C" w:rsidRPr="006D102C">
              <w:t>странах</w:t>
            </w:r>
            <w:r w:rsidR="008E5A7C" w:rsidRPr="006D102C">
              <w:rPr>
                <w:rFonts w:eastAsia="Calibri"/>
              </w:rPr>
              <w:t xml:space="preserve"> были созданы платформы для созыва мероприятий.</w:t>
            </w:r>
          </w:p>
        </w:tc>
      </w:tr>
      <w:tr w:rsidR="008E5A7C" w:rsidRPr="006D102C" w14:paraId="713A63AA" w14:textId="77777777" w:rsidTr="00C14A10">
        <w:tc>
          <w:tcPr>
            <w:tcW w:w="3686" w:type="dxa"/>
          </w:tcPr>
          <w:p w14:paraId="4D4402E9" w14:textId="77777777" w:rsidR="008E5A7C" w:rsidRPr="006D102C" w:rsidRDefault="008E5A7C" w:rsidP="00C14A10">
            <w:pPr>
              <w:spacing w:after="120"/>
              <w:rPr>
                <w:rFonts w:cstheme="minorHAnsi"/>
                <w:i/>
                <w:iCs/>
                <w:color w:val="000000"/>
              </w:rPr>
            </w:pPr>
            <w:r w:rsidRPr="006D102C">
              <w:rPr>
                <w:b/>
                <w:bCs/>
              </w:rPr>
              <w:t>Вклад в выполнение задач ЦУР</w:t>
            </w:r>
          </w:p>
        </w:tc>
        <w:tc>
          <w:tcPr>
            <w:tcW w:w="11164" w:type="dxa"/>
            <w:gridSpan w:val="2"/>
          </w:tcPr>
          <w:p w14:paraId="453083BB" w14:textId="77777777" w:rsidR="008E5A7C" w:rsidRPr="006D102C" w:rsidRDefault="008E5A7C" w:rsidP="00C14A10">
            <w:pPr>
              <w:spacing w:after="120"/>
              <w:rPr>
                <w:rFonts w:cstheme="minorHAnsi"/>
              </w:rPr>
            </w:pPr>
            <w:r w:rsidRPr="006D102C">
              <w:t>ЦУР 1, 3, 4, 5, 8, 9, 10, 11, 16, 17</w:t>
            </w:r>
          </w:p>
        </w:tc>
      </w:tr>
      <w:tr w:rsidR="008E5A7C" w:rsidRPr="006D102C" w14:paraId="1D4D39A3" w14:textId="77777777" w:rsidTr="00C14A10">
        <w:tc>
          <w:tcPr>
            <w:tcW w:w="3686" w:type="dxa"/>
          </w:tcPr>
          <w:p w14:paraId="680E5C94" w14:textId="77777777" w:rsidR="008E5A7C" w:rsidRPr="006D102C" w:rsidRDefault="008E5A7C" w:rsidP="00C14A10">
            <w:pPr>
              <w:spacing w:after="120"/>
              <w:rPr>
                <w:rFonts w:cstheme="minorHAnsi"/>
                <w:b/>
                <w:bCs/>
              </w:rPr>
            </w:pPr>
            <w:r w:rsidRPr="006D102C">
              <w:rPr>
                <w:b/>
                <w:bCs/>
              </w:rPr>
              <w:t>Направление деятельности ВВУИО</w:t>
            </w:r>
          </w:p>
        </w:tc>
        <w:tc>
          <w:tcPr>
            <w:tcW w:w="11164" w:type="dxa"/>
            <w:gridSpan w:val="2"/>
          </w:tcPr>
          <w:p w14:paraId="0A02824B" w14:textId="77777777" w:rsidR="008E5A7C" w:rsidRPr="006D102C" w:rsidRDefault="008E5A7C" w:rsidP="00C14A10">
            <w:pPr>
              <w:spacing w:after="120"/>
              <w:rPr>
                <w:rFonts w:cstheme="minorHAnsi"/>
              </w:rPr>
            </w:pPr>
            <w:r w:rsidRPr="006D102C">
              <w:t>C1, C2, C3, C4, C5, C6, C7, C11</w:t>
            </w:r>
          </w:p>
        </w:tc>
      </w:tr>
      <w:tr w:rsidR="008E5A7C" w:rsidRPr="006D102C" w14:paraId="24DCF191" w14:textId="77777777" w:rsidTr="00C14A10">
        <w:tc>
          <w:tcPr>
            <w:tcW w:w="3686" w:type="dxa"/>
          </w:tcPr>
          <w:p w14:paraId="36A8D325" w14:textId="77777777" w:rsidR="008E5A7C" w:rsidRPr="006D102C" w:rsidRDefault="008E5A7C" w:rsidP="00C14A10">
            <w:pPr>
              <w:spacing w:after="120"/>
              <w:rPr>
                <w:rFonts w:cstheme="minorHAnsi"/>
                <w:b/>
                <w:bCs/>
              </w:rPr>
            </w:pPr>
            <w:r w:rsidRPr="006D102C">
              <w:rPr>
                <w:b/>
                <w:bCs/>
              </w:rPr>
              <w:lastRenderedPageBreak/>
              <w:t>Резолюции</w:t>
            </w:r>
          </w:p>
        </w:tc>
        <w:tc>
          <w:tcPr>
            <w:tcW w:w="11164" w:type="dxa"/>
            <w:gridSpan w:val="2"/>
          </w:tcPr>
          <w:p w14:paraId="05B8FD60" w14:textId="77777777" w:rsidR="008E5A7C" w:rsidRPr="006D102C" w:rsidRDefault="008E5A7C" w:rsidP="00C14A10">
            <w:pPr>
              <w:spacing w:after="120"/>
            </w:pPr>
            <w:r w:rsidRPr="006D102C">
              <w:t>1, 2, 24, 25, 52, 58 ВКРЭ</w:t>
            </w:r>
          </w:p>
        </w:tc>
      </w:tr>
    </w:tbl>
    <w:p w14:paraId="4B571F53" w14:textId="77777777" w:rsidR="00C37838" w:rsidRPr="006D102C" w:rsidRDefault="00C37838" w:rsidP="00C37838">
      <w:r w:rsidRPr="006D102C">
        <w:br w:type="page"/>
      </w:r>
    </w:p>
    <w:tbl>
      <w:tblPr>
        <w:tblW w:w="14849" w:type="dxa"/>
        <w:tblLook w:val="04A0" w:firstRow="1" w:lastRow="0" w:firstColumn="1" w:lastColumn="0" w:noHBand="0" w:noVBand="1"/>
      </w:tblPr>
      <w:tblGrid>
        <w:gridCol w:w="3645"/>
        <w:gridCol w:w="8725"/>
        <w:gridCol w:w="2479"/>
      </w:tblGrid>
      <w:tr w:rsidR="008E5A7C" w:rsidRPr="006D102C" w14:paraId="3FB8FB9D" w14:textId="77777777" w:rsidTr="000C2445">
        <w:trPr>
          <w:trHeight w:val="640"/>
        </w:trPr>
        <w:tc>
          <w:tcPr>
            <w:tcW w:w="14849"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68233147" w14:textId="77777777" w:rsidR="008E5A7C" w:rsidRPr="006D102C" w:rsidRDefault="008E5A7C" w:rsidP="00CE67E6">
            <w:pPr>
              <w:pStyle w:val="Tablehead"/>
              <w:rPr>
                <w:color w:val="FFFFFF" w:themeColor="background1"/>
                <w:sz w:val="22"/>
                <w:szCs w:val="22"/>
              </w:rPr>
            </w:pPr>
            <w:bookmarkStart w:id="25" w:name="_Toc197427008"/>
            <w:r w:rsidRPr="006D102C">
              <w:rPr>
                <w:color w:val="FFFFFF" w:themeColor="background1"/>
                <w:sz w:val="22"/>
                <w:szCs w:val="22"/>
              </w:rPr>
              <w:lastRenderedPageBreak/>
              <w:t>Средство достижения целей 1 МСЭ-D: Ориентация на интересы членов</w:t>
            </w:r>
            <w:bookmarkEnd w:id="25"/>
          </w:p>
          <w:p w14:paraId="29265C8B" w14:textId="77777777" w:rsidR="008E5A7C" w:rsidRPr="006D102C" w:rsidRDefault="008E5A7C" w:rsidP="00CE67E6">
            <w:pPr>
              <w:pStyle w:val="Tablehead"/>
              <w:rPr>
                <w:i/>
                <w:iCs/>
                <w:color w:val="FFFFFF" w:themeColor="background1"/>
                <w:sz w:val="22"/>
                <w:szCs w:val="22"/>
              </w:rPr>
            </w:pPr>
            <w:bookmarkStart w:id="26" w:name="_Toc197427009"/>
            <w:r w:rsidRPr="006D102C">
              <w:rPr>
                <w:i/>
                <w:iCs/>
                <w:color w:val="FFFFFF" w:themeColor="background1"/>
                <w:sz w:val="22"/>
                <w:szCs w:val="22"/>
              </w:rPr>
              <w:t>Активизация реализации решений ВКРЭ и диалога между членами МСЭ</w:t>
            </w:r>
            <w:bookmarkEnd w:id="26"/>
          </w:p>
        </w:tc>
      </w:tr>
      <w:tr w:rsidR="008E5A7C" w:rsidRPr="006D102C" w14:paraId="3E00213A" w14:textId="77777777" w:rsidTr="000C2445">
        <w:tc>
          <w:tcPr>
            <w:tcW w:w="14849"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6999BF0" w14:textId="77777777" w:rsidR="008E5A7C" w:rsidRPr="006D102C" w:rsidRDefault="008E5A7C" w:rsidP="000C2445">
            <w:pPr>
              <w:keepNext/>
              <w:spacing w:after="120"/>
              <w:rPr>
                <w:rFonts w:cstheme="minorHAnsi"/>
                <w:b/>
                <w:bCs/>
                <w:i/>
                <w:iCs/>
                <w:szCs w:val="22"/>
              </w:rPr>
            </w:pPr>
            <w:r w:rsidRPr="006D102C">
              <w:rPr>
                <w:b/>
                <w:bCs/>
                <w:i/>
                <w:iCs/>
                <w:szCs w:val="22"/>
              </w:rPr>
              <w:t>Конечный результат</w:t>
            </w:r>
            <w:r w:rsidRPr="006D102C">
              <w:rPr>
                <w:i/>
                <w:iCs/>
                <w:szCs w:val="22"/>
              </w:rPr>
              <w:t>: более эффективное выполнение Резолюций ВКРЭ. Совершенствование совместного использования знаний, научно-исследовательских и опытно-конструкторских работ, диалога и партнерств между членами МСЭ по вопросам электросвязи</w:t>
            </w:r>
            <w:r w:rsidRPr="006D102C">
              <w:rPr>
                <w:szCs w:val="22"/>
              </w:rPr>
              <w:t>/</w:t>
            </w:r>
            <w:r w:rsidRPr="006D102C">
              <w:rPr>
                <w:i/>
                <w:iCs/>
                <w:szCs w:val="22"/>
              </w:rPr>
              <w:t>ИКТ</w:t>
            </w:r>
          </w:p>
        </w:tc>
      </w:tr>
      <w:tr w:rsidR="008E5A7C" w:rsidRPr="006D102C" w14:paraId="13BD56FC" w14:textId="77777777" w:rsidTr="00CE67E6">
        <w:tc>
          <w:tcPr>
            <w:tcW w:w="12370" w:type="dxa"/>
            <w:gridSpan w:val="2"/>
            <w:tcBorders>
              <w:top w:val="dotted" w:sz="4" w:space="0" w:color="0070C0"/>
              <w:left w:val="dotted" w:sz="4" w:space="0" w:color="0070C0"/>
              <w:bottom w:val="dotted" w:sz="4" w:space="0" w:color="0070C0"/>
              <w:right w:val="dotted" w:sz="4" w:space="0" w:color="0070C0"/>
            </w:tcBorders>
          </w:tcPr>
          <w:p w14:paraId="26077C26"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szCs w:val="22"/>
              </w:rPr>
            </w:pPr>
            <w:r w:rsidRPr="006D102C">
              <w:rPr>
                <w:rFonts w:eastAsia="Calibri"/>
                <w:b/>
                <w:bCs/>
                <w:color w:val="0070C0"/>
                <w:szCs w:val="22"/>
              </w:rPr>
              <w:t>Намеченные результаты деятельности</w:t>
            </w:r>
          </w:p>
        </w:tc>
        <w:tc>
          <w:tcPr>
            <w:tcW w:w="2479" w:type="dxa"/>
            <w:tcBorders>
              <w:top w:val="dotted" w:sz="4" w:space="0" w:color="0070C0"/>
              <w:left w:val="dotted" w:sz="4" w:space="0" w:color="0070C0"/>
              <w:bottom w:val="dotted" w:sz="4" w:space="0" w:color="0070C0"/>
              <w:right w:val="dotted" w:sz="4" w:space="0" w:color="0070C0"/>
            </w:tcBorders>
          </w:tcPr>
          <w:p w14:paraId="08327BA0"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szCs w:val="22"/>
              </w:rPr>
            </w:pPr>
            <w:r w:rsidRPr="006D102C">
              <w:rPr>
                <w:rFonts w:eastAsia="Calibri"/>
                <w:b/>
                <w:bCs/>
                <w:color w:val="0070C0"/>
                <w:szCs w:val="22"/>
              </w:rPr>
              <w:t>Основные моменты</w:t>
            </w:r>
          </w:p>
        </w:tc>
      </w:tr>
      <w:tr w:rsidR="008E5A7C" w:rsidRPr="006D102C" w14:paraId="1619FB6D" w14:textId="77777777" w:rsidTr="00CE67E6">
        <w:tc>
          <w:tcPr>
            <w:tcW w:w="12370" w:type="dxa"/>
            <w:gridSpan w:val="2"/>
            <w:tcBorders>
              <w:top w:val="dotted" w:sz="4" w:space="0" w:color="0070C0"/>
              <w:left w:val="dotted" w:sz="4" w:space="0" w:color="0070C0"/>
              <w:bottom w:val="dotted" w:sz="4" w:space="0" w:color="0070C0"/>
              <w:right w:val="dotted" w:sz="4" w:space="0" w:color="0070C0"/>
            </w:tcBorders>
          </w:tcPr>
          <w:p w14:paraId="61BEBB51" w14:textId="77777777" w:rsidR="008E5A7C" w:rsidRPr="006D102C" w:rsidRDefault="008E5A7C" w:rsidP="00867E28">
            <w:pPr>
              <w:pStyle w:val="Headingb"/>
              <w:rPr>
                <w:lang w:val="ru-RU"/>
              </w:rPr>
            </w:pPr>
            <w:r w:rsidRPr="006D102C">
              <w:rPr>
                <w:lang w:val="ru-RU"/>
              </w:rPr>
              <w:t>Членство</w:t>
            </w:r>
          </w:p>
          <w:p w14:paraId="6D24EDFC" w14:textId="77777777" w:rsidR="008E5A7C" w:rsidRPr="006D102C" w:rsidRDefault="008E5A7C" w:rsidP="00867E28">
            <w:r w:rsidRPr="006D102C">
              <w:t>С мая 2024 года по ноябрь 2024 года в МСЭ-D было принято значительное число новых членов из частного сектора, региональных и международных организаций, а также академических организаций, что было достигнуто благодаря усиленным, согласованным и целенаправленным стратегиям работы с различными сегментами экосистемы ИКТ.</w:t>
            </w:r>
          </w:p>
          <w:p w14:paraId="3CCADB67" w14:textId="4C75D196" w:rsidR="008E5A7C" w:rsidRPr="006D102C" w:rsidRDefault="00867E28" w:rsidP="00867E28">
            <w:pPr>
              <w:pStyle w:val="enumlev1"/>
            </w:pPr>
            <w:r w:rsidRPr="006D102C">
              <w:rPr>
                <w:rFonts w:cs="Calibri"/>
              </w:rPr>
              <w:t>•</w:t>
            </w:r>
            <w:r w:rsidRPr="006D102C">
              <w:tab/>
            </w:r>
            <w:r w:rsidR="008E5A7C" w:rsidRPr="006D102C">
              <w:t xml:space="preserve">С мая 2024 года по март 2025 года к МСЭ-D присоединилось </w:t>
            </w:r>
            <w:r w:rsidR="008E5A7C" w:rsidRPr="006D102C">
              <w:rPr>
                <w:b/>
                <w:bCs/>
              </w:rPr>
              <w:t>40 новых членов, включая академические организации</w:t>
            </w:r>
            <w:r w:rsidR="008E5A7C" w:rsidRPr="006D102C">
              <w:t>, что обеспечило устойчивый рост членского состава МСЭ-D.</w:t>
            </w:r>
          </w:p>
          <w:p w14:paraId="4D4FC5D3" w14:textId="5EF638A3" w:rsidR="008E5A7C" w:rsidRPr="006D102C" w:rsidRDefault="00867E28" w:rsidP="00867E28">
            <w:pPr>
              <w:pStyle w:val="enumlev1"/>
            </w:pPr>
            <w:r w:rsidRPr="006D102C">
              <w:rPr>
                <w:rFonts w:cs="Calibri"/>
              </w:rPr>
              <w:t>•</w:t>
            </w:r>
            <w:r w:rsidRPr="006D102C">
              <w:tab/>
            </w:r>
            <w:r w:rsidR="008E5A7C" w:rsidRPr="006D102C">
              <w:t xml:space="preserve">Общий </w:t>
            </w:r>
            <w:r w:rsidR="008E5A7C" w:rsidRPr="006D102C">
              <w:rPr>
                <w:b/>
                <w:bCs/>
              </w:rPr>
              <w:t>чистый рост членства до апреля 2025 года</w:t>
            </w:r>
            <w:r w:rsidR="008E5A7C" w:rsidRPr="006D102C">
              <w:t xml:space="preserve"> (разница между новыми членами и членами, которые отказались от своего участия) был на 50% </w:t>
            </w:r>
            <w:r w:rsidR="008E5A7C" w:rsidRPr="006D102C">
              <w:rPr>
                <w:b/>
                <w:bCs/>
              </w:rPr>
              <w:t>выше, чем в 2023 году</w:t>
            </w:r>
            <w:r w:rsidR="008E5A7C" w:rsidRPr="006D102C">
              <w:t>.</w:t>
            </w:r>
          </w:p>
          <w:p w14:paraId="08650D77" w14:textId="26E7BA8E" w:rsidR="008E5A7C" w:rsidRPr="006D102C" w:rsidRDefault="00867E28" w:rsidP="00867E28">
            <w:pPr>
              <w:pStyle w:val="enumlev1"/>
            </w:pPr>
            <w:r w:rsidRPr="006D102C">
              <w:rPr>
                <w:rFonts w:cs="Calibri"/>
              </w:rPr>
              <w:t>•</w:t>
            </w:r>
            <w:r w:rsidRPr="006D102C">
              <w:tab/>
            </w:r>
            <w:r w:rsidR="008E5A7C" w:rsidRPr="006D102C">
              <w:t xml:space="preserve">В 2024 году было организовано два собрания </w:t>
            </w:r>
            <w:r w:rsidR="008E5A7C" w:rsidRPr="006D102C">
              <w:rPr>
                <w:b/>
                <w:bCs/>
              </w:rPr>
              <w:t>IAGDI-CRO</w:t>
            </w:r>
            <w:r w:rsidR="008E5A7C" w:rsidRPr="006D102C">
              <w:t xml:space="preserve"> (одно в виртуальном и одно в очном формате в Кампале, Уганда), что привело к увеличению количества вкладов в Руководящие указания ГСР</w:t>
            </w:r>
            <w:r w:rsidR="008E5A7C" w:rsidRPr="006D102C">
              <w:noBreakHyphen/>
              <w:t>24 по вопросам регулирования и Руководящие указания ГСР-24 на основе примеров передового опыта, а также к повышению осведомленности об областях взаимодействия с МСЭ-D.</w:t>
            </w:r>
          </w:p>
          <w:p w14:paraId="27C25198" w14:textId="502920CA" w:rsidR="008E5A7C" w:rsidRPr="000B000B" w:rsidRDefault="00867E28" w:rsidP="00867E28">
            <w:pPr>
              <w:pStyle w:val="enumlev1"/>
              <w:rPr>
                <w:lang w:val="en-GB"/>
              </w:rPr>
            </w:pPr>
            <w:r w:rsidRPr="006D102C">
              <w:rPr>
                <w:rFonts w:cs="Calibri"/>
              </w:rPr>
              <w:t>•</w:t>
            </w:r>
            <w:r w:rsidRPr="006D102C">
              <w:tab/>
            </w:r>
            <w:r w:rsidR="008E5A7C" w:rsidRPr="006D102C">
              <w:t xml:space="preserve">Кроме того, на собрании IAGDI-CRO, состоявшемся в ходе ГСР-24 в Кампале, Уганда, было зафиксировано рекордное число очных участников − более 200 </w:t>
            </w:r>
            <w:r w:rsidR="008E5A7C" w:rsidRPr="006D102C">
              <w:rPr>
                <w:b/>
                <w:bCs/>
              </w:rPr>
              <w:t>человек</w:t>
            </w:r>
            <w:r w:rsidR="008E5A7C" w:rsidRPr="006D102C">
              <w:t xml:space="preserve">. С итоговым заявлением можно ознакомиться </w:t>
            </w:r>
            <w:hyperlink r:id="rId102" w:history="1">
              <w:r w:rsidR="008E5A7C" w:rsidRPr="006D102C">
                <w:rPr>
                  <w:rStyle w:val="Hyperlink"/>
                  <w:rFonts w:eastAsia="Aptos" w:cstheme="minorHAnsi"/>
                  <w:szCs w:val="22"/>
                </w:rPr>
                <w:t>здесь</w:t>
              </w:r>
            </w:hyperlink>
            <w:r w:rsidR="008E5A7C" w:rsidRPr="006D102C">
              <w:t>.</w:t>
            </w:r>
          </w:p>
          <w:p w14:paraId="64C0F302" w14:textId="6A8192BD" w:rsidR="008E5A7C" w:rsidRPr="006D102C" w:rsidRDefault="00867E28" w:rsidP="00867E28">
            <w:pPr>
              <w:pStyle w:val="enumlev1"/>
            </w:pPr>
            <w:r w:rsidRPr="006D102C">
              <w:rPr>
                <w:rFonts w:cs="Calibri"/>
              </w:rPr>
              <w:t>•</w:t>
            </w:r>
            <w:r w:rsidRPr="006D102C">
              <w:tab/>
            </w:r>
            <w:r w:rsidR="008E5A7C" w:rsidRPr="006D102C">
              <w:t xml:space="preserve">После того как IAGDI-CRO направила заявления о взаимодействии 1-й и 2-й Исследовательским комиссиям МСЭ-D для организации мероприятий Tech Talks, c тем чтобы стимулировать обсуждение актуальных и перспективных тем, которые могли бы послужить источником вдохновения для будущей работы МСЭ-D и потенциальных новых Вопросов исследовательских комиссий, которые будут согласованы на ВКРЭ-25, в феврале 2025 года были организованы </w:t>
            </w:r>
            <w:r w:rsidR="008E5A7C" w:rsidRPr="006D102C">
              <w:rPr>
                <w:b/>
                <w:bCs/>
              </w:rPr>
              <w:t>два мероприятия Tech Talks</w:t>
            </w:r>
            <w:r w:rsidR="008E5A7C" w:rsidRPr="006D102C">
              <w:t xml:space="preserve"> на темы "Благоприятная среда для обеспечения реальной возможности установления соединений" и "Цифровая трансформация". В обоих мероприятиях Tech Talks приняли участие более 200 человек, которые рассказали о сложившихся в отрасли точках зрения на текущие и будущие сложности в меняющейся технологической среде.</w:t>
            </w:r>
          </w:p>
          <w:p w14:paraId="593775CE" w14:textId="07E7414B" w:rsidR="008E5A7C" w:rsidRPr="006D102C" w:rsidRDefault="00867E28" w:rsidP="00867E28">
            <w:pPr>
              <w:pStyle w:val="enumlev1"/>
            </w:pPr>
            <w:r w:rsidRPr="006D102C">
              <w:rPr>
                <w:rFonts w:cs="Calibri"/>
              </w:rPr>
              <w:t>•</w:t>
            </w:r>
            <w:r w:rsidRPr="006D102C">
              <w:tab/>
            </w:r>
            <w:r w:rsidR="008E5A7C" w:rsidRPr="006D102C">
              <w:t xml:space="preserve">БРЭ продолжило повышать осведомленность о продуктах и услугах МСЭ-D путем проведения более </w:t>
            </w:r>
            <w:r w:rsidR="008E5A7C" w:rsidRPr="006D102C">
              <w:rPr>
                <w:b/>
                <w:bCs/>
              </w:rPr>
              <w:t>180</w:t>
            </w:r>
            <w:r w:rsidR="008E5A7C" w:rsidRPr="006D102C">
              <w:t xml:space="preserve"> брифингов с членами в рамках очных и виртуальных собраний и визитов высокого уровня, благодаря чему наблюдался устойчивый рост числа новых членов и более высокие показатели удержания существующих членов к 2025 году. </w:t>
            </w:r>
          </w:p>
          <w:p w14:paraId="3FAF571F" w14:textId="54DBCBE2" w:rsidR="008E5A7C" w:rsidRPr="000B000B" w:rsidRDefault="00867E28" w:rsidP="00867E28">
            <w:pPr>
              <w:keepNext/>
              <w:spacing w:after="120"/>
              <w:ind w:left="60"/>
              <w:rPr>
                <w:rFonts w:eastAsia="Aptos" w:cstheme="minorHAnsi"/>
                <w:szCs w:val="22"/>
                <w:lang w:val="en-GB"/>
              </w:rPr>
            </w:pPr>
            <w:r w:rsidRPr="006D102C">
              <w:rPr>
                <w:rFonts w:eastAsia="Aptos" w:cstheme="minorHAnsi"/>
                <w:b/>
                <w:bCs/>
                <w:szCs w:val="22"/>
              </w:rPr>
              <w:lastRenderedPageBreak/>
              <w:tab/>
            </w:r>
            <w:r w:rsidR="008E5A7C" w:rsidRPr="006D102C">
              <w:rPr>
                <w:rFonts w:eastAsia="Aptos" w:cstheme="minorHAnsi"/>
                <w:b/>
                <w:bCs/>
                <w:szCs w:val="22"/>
              </w:rPr>
              <w:t>Академические организации − Члены МСЭ</w:t>
            </w:r>
          </w:p>
          <w:p w14:paraId="44AE20B2" w14:textId="46C6082F" w:rsidR="008E5A7C" w:rsidRPr="006D102C" w:rsidRDefault="00867E28" w:rsidP="00867E28">
            <w:pPr>
              <w:pStyle w:val="enumlev1"/>
            </w:pPr>
            <w:r w:rsidRPr="006D102C">
              <w:rPr>
                <w:rFonts w:cs="Calibri"/>
              </w:rPr>
              <w:t>•</w:t>
            </w:r>
            <w:r w:rsidRPr="006D102C">
              <w:tab/>
            </w:r>
            <w:r w:rsidR="008E5A7C" w:rsidRPr="006D102C">
              <w:t>С мая 2024 года по апрель 2025 года 19 академических организаций присоединились к МСЭ, а 11 − прекратили свое членство. Три Сектора МСЭ продолжают прилагать согласованные усилия для привлечения и удержания академических организаций.</w:t>
            </w:r>
          </w:p>
          <w:p w14:paraId="67291DBC" w14:textId="3634CFFC" w:rsidR="008E5A7C" w:rsidRPr="006D102C" w:rsidRDefault="00867E28" w:rsidP="00867E28">
            <w:pPr>
              <w:pStyle w:val="enumlev1"/>
            </w:pPr>
            <w:r w:rsidRPr="006D102C">
              <w:rPr>
                <w:rFonts w:cs="Calibri"/>
              </w:rPr>
              <w:t>•</w:t>
            </w:r>
            <w:r w:rsidRPr="006D102C">
              <w:tab/>
            </w:r>
            <w:r w:rsidR="008E5A7C" w:rsidRPr="006D102C">
              <w:t>К направлениям, представляющим особый интерес для МСЭ-D, и соответствующим направлениям взаимодействия, относятся Академия МСЭ, развитие потенциала, охват цифровыми технологиями и цифровые инновации; в настоящее время изучается возможность сотрудничества по этим направлениям в дополнение к участию в исследованиях и работе исследовательских комиссий МСЭ-D.</w:t>
            </w:r>
          </w:p>
          <w:p w14:paraId="2F66A3AB" w14:textId="0F298987" w:rsidR="008E5A7C" w:rsidRPr="000B000B" w:rsidRDefault="008E5A7C" w:rsidP="00867E28">
            <w:pPr>
              <w:pStyle w:val="Headingb"/>
              <w:rPr>
                <w:lang w:val="en-GB"/>
              </w:rPr>
            </w:pPr>
            <w:r w:rsidRPr="006D102C">
              <w:rPr>
                <w:lang w:val="ru-RU"/>
              </w:rPr>
              <w:t>Исследовательские комиссии (ИК) МСЭ-D</w:t>
            </w:r>
          </w:p>
          <w:p w14:paraId="0FA19FF4" w14:textId="77777777" w:rsidR="008E5A7C" w:rsidRPr="006D102C" w:rsidRDefault="008E5A7C" w:rsidP="000C2445">
            <w:pPr>
              <w:keepNext/>
              <w:spacing w:after="120"/>
              <w:ind w:left="-20" w:right="-20"/>
              <w:rPr>
                <w:rFonts w:eastAsia="Calibri" w:cstheme="minorHAnsi"/>
                <w:szCs w:val="22"/>
              </w:rPr>
            </w:pPr>
            <w:hyperlink r:id="rId103" w:history="1">
              <w:r w:rsidRPr="006D102C">
                <w:rPr>
                  <w:rStyle w:val="Hyperlink"/>
                  <w:rFonts w:eastAsia="Calibri" w:cstheme="minorHAnsi"/>
                  <w:szCs w:val="22"/>
                </w:rPr>
                <w:t>Третье ежегодное собрание 1-й Исследовательской комиссии (ИК1 − Благоприятная среда для обеспечения реальной возможности установления соединений) МСЭ-D</w:t>
              </w:r>
            </w:hyperlink>
            <w:r w:rsidRPr="006D102C">
              <w:rPr>
                <w:rFonts w:eastAsia="Calibri" w:cstheme="minorHAnsi"/>
                <w:szCs w:val="22"/>
              </w:rPr>
              <w:t xml:space="preserve"> состоялась 4−8 ноября 2024 года; в нем приняли участие 240 человек (38% женщин-делегатов, 53% участников в онлайновом формате) из 65 Государств-Членов. Для обеспечения очного присутствия делегатам было предоставлено 15 стипендий.</w:t>
            </w:r>
          </w:p>
          <w:p w14:paraId="46821C65" w14:textId="77777777" w:rsidR="008E5A7C" w:rsidRPr="006D102C" w:rsidRDefault="008E5A7C" w:rsidP="000C2445">
            <w:pPr>
              <w:spacing w:after="120"/>
              <w:rPr>
                <w:rFonts w:eastAsia="Calibri" w:cstheme="minorHAnsi"/>
                <w:szCs w:val="22"/>
              </w:rPr>
            </w:pPr>
            <w:r w:rsidRPr="006D102C">
              <w:rPr>
                <w:rFonts w:eastAsia="Calibri" w:cstheme="minorHAnsi"/>
                <w:szCs w:val="22"/>
              </w:rPr>
              <w:t>На собрании ИК1 МСЭ-D 2024 года обсуждалось 185 вкладов, включая семь предварительных проектов отчетов о результатах работы за исследовательский период, что привело к следующим результатам: 1) выпуск девяти исходящих заявлений о взаимодействии в адрес наших внешних партнеров; 2) назначение двух заместителей Докладчиков; и 3) утверждение трех промежуточных итоговых документов ИК1 МСЭ-D: i) "Проблемы и возможности использования USF для преодоления цифрового разрыва" (совместная работа Групп Докладчиков по Вопросу 4/1 и Вопросу 5/1), ii) "Преобразующий потенциал связи: тенденции инноваций в спутниковой отрасли" (совместная работа Групп Докладчиков по Вопросу 1/1, Вопросу 3/1 и Вопросу 5/1); iii) "Осведомленность потребителей в эпоху цифровой трансформации" (работа Группы Докладчика по Вопросу 6/1).</w:t>
            </w:r>
            <w:r w:rsidRPr="006D102C">
              <w:rPr>
                <w:rStyle w:val="Hyperlink"/>
                <w:rFonts w:eastAsia="Times New Roman" w:cstheme="minorHAnsi"/>
                <w:szCs w:val="22"/>
              </w:rPr>
              <w:t xml:space="preserve"> </w:t>
            </w:r>
            <w:r w:rsidRPr="006D102C">
              <w:rPr>
                <w:rFonts w:eastAsia="Times New Roman" w:cstheme="minorHAnsi"/>
                <w:szCs w:val="22"/>
              </w:rPr>
              <w:t>Последний промежуточный итоговый документ в основном подготовлен по результатам семинара-практикума по вопросам осведомленности потребителей, проведенного региональным отделением МСЭ для Северной и Южной Америки и Anatel в июне 2024 года в Бразилиа.</w:t>
            </w:r>
          </w:p>
          <w:p w14:paraId="088836D8" w14:textId="669D45CF" w:rsidR="008E5A7C" w:rsidRPr="006D102C" w:rsidRDefault="008E5A7C" w:rsidP="000C2445">
            <w:pPr>
              <w:spacing w:after="120"/>
              <w:rPr>
                <w:rFonts w:cstheme="minorHAnsi"/>
                <w:szCs w:val="22"/>
              </w:rPr>
            </w:pPr>
            <w:r w:rsidRPr="006D102C">
              <w:rPr>
                <w:rFonts w:cstheme="minorHAnsi"/>
                <w:szCs w:val="22"/>
              </w:rPr>
              <w:t>В 1-й Исследовательской комиссии МСЭ-D всего 93 руководящие должности (председатели, заместители председателей и (со)докладчики, заместители докладчиков), из которых 37 должностей (40%) занимают женщины.</w:t>
            </w:r>
          </w:p>
          <w:p w14:paraId="6CACC260" w14:textId="77777777" w:rsidR="008E5A7C" w:rsidRPr="006D102C" w:rsidRDefault="008E5A7C" w:rsidP="000C2445">
            <w:pPr>
              <w:overflowPunct/>
              <w:autoSpaceDE/>
              <w:autoSpaceDN/>
              <w:adjustRightInd/>
              <w:spacing w:after="120"/>
              <w:textAlignment w:val="auto"/>
              <w:rPr>
                <w:rFonts w:eastAsia="Calibri" w:cstheme="minorHAnsi"/>
                <w:szCs w:val="22"/>
              </w:rPr>
            </w:pPr>
            <w:r w:rsidRPr="006D102C">
              <w:rPr>
                <w:rFonts w:eastAsia="Calibri" w:cstheme="minorHAnsi"/>
                <w:szCs w:val="22"/>
              </w:rPr>
              <w:t xml:space="preserve">Для продолжения внедрения инноваций и по просьбе членов были проведены две информационные сессии: "Поощрение участия молодежи и женщин в деятельности Исследовательской комиссии" и "Технологии и сценарии использования наземной беспроводной широкополосной связи" соответственно. </w:t>
            </w:r>
            <w:hyperlink r:id="rId104" w:history="1">
              <w:r w:rsidRPr="006D102C">
                <w:rPr>
                  <w:rStyle w:val="Hyperlink"/>
                  <w:rFonts w:eastAsia="Calibri" w:cstheme="minorHAnsi"/>
                  <w:szCs w:val="22"/>
                </w:rPr>
                <w:t>Члены руководящего состава ИК1</w:t>
              </w:r>
            </w:hyperlink>
            <w:r w:rsidRPr="006D102C">
              <w:rPr>
                <w:rFonts w:eastAsia="Calibri" w:cstheme="minorHAnsi"/>
                <w:szCs w:val="22"/>
              </w:rPr>
              <w:t xml:space="preserve"> подготовили это третье ежегодное собрание и продвинули работу над отчетами о результатах работы по Вопросам и над промежуточными итоговыми документами с помощью электронных собраний по Вопросам, регулярно проводимых с момента окончания собраний групп Докладчиков в апреле 2024 года.</w:t>
            </w:r>
          </w:p>
          <w:p w14:paraId="3AA9C8C6" w14:textId="77777777" w:rsidR="008E5A7C" w:rsidRPr="006D102C" w:rsidRDefault="008E5A7C" w:rsidP="000C2445">
            <w:pPr>
              <w:spacing w:after="120"/>
              <w:ind w:left="-30" w:right="-30"/>
              <w:rPr>
                <w:rFonts w:eastAsia="Calibri" w:cstheme="minorHAnsi"/>
                <w:szCs w:val="22"/>
              </w:rPr>
            </w:pPr>
            <w:hyperlink r:id="rId105" w:history="1">
              <w:r w:rsidRPr="006D102C">
                <w:rPr>
                  <w:rStyle w:val="Hyperlink"/>
                  <w:rFonts w:eastAsia="Calibri" w:cstheme="minorHAnsi"/>
                  <w:szCs w:val="22"/>
                </w:rPr>
                <w:t>Третье ежегодное собрание 2-й Исследовательской комиссии (ИК2) МСЭ-D</w:t>
              </w:r>
            </w:hyperlink>
            <w:r w:rsidRPr="006D102C">
              <w:rPr>
                <w:rFonts w:eastAsia="Calibri" w:cstheme="minorHAnsi"/>
                <w:szCs w:val="22"/>
              </w:rPr>
              <w:t xml:space="preserve"> состоялось 11−15 ноября 2024 года; в нем приняли участие 186 человек из 54 Государств-Членов. Для обеспечения очного присутствия делегатам было предоставлено 12 стипендий. </w:t>
            </w:r>
            <w:hyperlink r:id="rId106" w:history="1">
              <w:r w:rsidRPr="006D102C">
                <w:rPr>
                  <w:rStyle w:val="Hyperlink"/>
                  <w:rFonts w:eastAsia="Calibri" w:cstheme="minorHAnsi"/>
                  <w:szCs w:val="22"/>
                </w:rPr>
                <w:t>Члены руководящего состава ИК2</w:t>
              </w:r>
            </w:hyperlink>
            <w:r w:rsidRPr="006D102C">
              <w:rPr>
                <w:rFonts w:eastAsia="Calibri" w:cstheme="minorHAnsi"/>
                <w:szCs w:val="22"/>
              </w:rPr>
              <w:t xml:space="preserve"> подготовили это собрание и продвинули работу над отчетами о результатах работы по Вопросам и над промежуточными итоговыми документами с помощью электронных собраний по Вопросам, регулярно проводимых с момента окончания собраний групп Докладчиков в апреле − мае 2024 года.</w:t>
            </w:r>
          </w:p>
          <w:p w14:paraId="1E881CFD" w14:textId="77777777" w:rsidR="008E5A7C" w:rsidRPr="006D102C" w:rsidRDefault="008E5A7C" w:rsidP="00867E28">
            <w:pPr>
              <w:pStyle w:val="Figure"/>
              <w:rPr>
                <w:rFonts w:eastAsia="Calibri"/>
              </w:rPr>
            </w:pPr>
            <w:r w:rsidRPr="006D102C">
              <w:drawing>
                <wp:inline distT="0" distB="0" distL="0" distR="0" wp14:anchorId="1737A852" wp14:editId="005C0FBB">
                  <wp:extent cx="3093522" cy="1780105"/>
                  <wp:effectExtent l="0" t="0" r="0" b="0"/>
                  <wp:docPr id="736425354" name="Picture 1" descr="A graph with blue and orang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25354" name="Picture 1" descr="A graph with blue and orange bars&#10;&#10;AI-generated content may be incorrect."/>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3120251" cy="1795486"/>
                          </a:xfrm>
                          <a:prstGeom prst="rect">
                            <a:avLst/>
                          </a:prstGeom>
                        </pic:spPr>
                      </pic:pic>
                    </a:graphicData>
                  </a:graphic>
                </wp:inline>
              </w:drawing>
            </w:r>
            <w:r w:rsidRPr="006D102C">
              <w:drawing>
                <wp:inline distT="0" distB="0" distL="0" distR="0" wp14:anchorId="51825E3D" wp14:editId="66D4333A">
                  <wp:extent cx="2844140" cy="1770678"/>
                  <wp:effectExtent l="0" t="0" r="0" b="1270"/>
                  <wp:docPr id="1088752944" name="Picture 2" descr="A graph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52944" name="Picture 2" descr="A graph with numbers and text&#10;&#10;AI-generated content may be incorrect."/>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880329" cy="1793208"/>
                          </a:xfrm>
                          <a:prstGeom prst="rect">
                            <a:avLst/>
                          </a:prstGeom>
                        </pic:spPr>
                      </pic:pic>
                    </a:graphicData>
                  </a:graphic>
                </wp:inline>
              </w:drawing>
            </w:r>
          </w:p>
          <w:p w14:paraId="66CCCD35" w14:textId="77777777" w:rsidR="008E5A7C" w:rsidRPr="006D102C" w:rsidRDefault="008E5A7C" w:rsidP="000C2445">
            <w:pPr>
              <w:spacing w:after="120"/>
              <w:ind w:left="-30" w:right="-30"/>
              <w:rPr>
                <w:rFonts w:eastAsia="Calibri" w:cstheme="minorHAnsi"/>
                <w:szCs w:val="22"/>
              </w:rPr>
            </w:pPr>
            <w:r w:rsidRPr="006D102C">
              <w:rPr>
                <w:rFonts w:eastAsia="Calibri" w:cstheme="minorHAnsi"/>
                <w:szCs w:val="22"/>
              </w:rPr>
              <w:t>На собрании ИК 2 МСЭ-D в 2024 году обсуждалось 125 документов для продвижения работы, что привело к следующим результатам: 1) выпуск трех исходящих заявлений о взаимодействии в адрес наших внешних партнеров; 2) назначение одного заместителя Председателя, одного Содокладчика и шести заместителей Докладчика; 3) утверждение второго промежуточного итогового документа ИК2 МСЭ-D, связанного с работой по Вопросу 3/2 ИК2 МСЭ-D "Кибербезопасность 5G"; и 4) рассмотрение семи предварительных проектов отчетов о результатах работы за исследовательский период.</w:t>
            </w:r>
          </w:p>
          <w:p w14:paraId="59E9460A" w14:textId="3A8BF1B0" w:rsidR="008E5A7C" w:rsidRPr="006D102C" w:rsidRDefault="008E5A7C" w:rsidP="000C2445">
            <w:pPr>
              <w:spacing w:after="120"/>
              <w:ind w:left="-20" w:right="-20"/>
              <w:rPr>
                <w:rFonts w:eastAsia="Calibri" w:cstheme="minorHAnsi"/>
                <w:szCs w:val="22"/>
              </w:rPr>
            </w:pPr>
            <w:r w:rsidRPr="006D102C">
              <w:rPr>
                <w:rFonts w:eastAsia="Calibri" w:cstheme="minorHAnsi"/>
                <w:szCs w:val="22"/>
              </w:rPr>
              <w:t>На обоих собраниях Исследовательских комиссий были рассмотрены предложения по сотрудничеству, включая вовлечение молодежи и женщин, статистические данные и соответствующие показатели, синергию с проектами МСЭ в области развития, другими Секторами МСЭ и ВВУИО.</w:t>
            </w:r>
          </w:p>
          <w:p w14:paraId="6530DB07" w14:textId="25C3BE76" w:rsidR="008E5A7C" w:rsidRPr="006D102C" w:rsidRDefault="008E5A7C" w:rsidP="00867E28">
            <w:pPr>
              <w:pStyle w:val="Headingb"/>
              <w:rPr>
                <w:rFonts w:eastAsia="Calibri"/>
                <w:lang w:val="ru-RU"/>
              </w:rPr>
            </w:pPr>
            <w:r w:rsidRPr="006D102C">
              <w:rPr>
                <w:lang w:val="ru-RU"/>
              </w:rPr>
              <w:t>Выполнение решений ВВУИО и последующая деятельность</w:t>
            </w:r>
          </w:p>
          <w:p w14:paraId="1E4F7CE1" w14:textId="77777777" w:rsidR="008E5A7C" w:rsidRPr="006D102C" w:rsidRDefault="008E5A7C" w:rsidP="000C2445">
            <w:pPr>
              <w:spacing w:after="120"/>
              <w:rPr>
                <w:rStyle w:val="ui-provider"/>
                <w:rFonts w:cstheme="minorHAnsi"/>
                <w:szCs w:val="22"/>
              </w:rPr>
            </w:pPr>
            <w:r w:rsidRPr="006D102C">
              <w:rPr>
                <w:rFonts w:eastAsiaTheme="minorEastAsia" w:cstheme="minorHAnsi"/>
                <w:szCs w:val="22"/>
              </w:rPr>
              <w:t>В соответствии с решениями ВКРЭ-22, в частности Резолюцией 30, все виды деятельности БРЭ вносят вклад в выполнение решений ВВУИО и Повестки дня в области устойчивого развития на период до 2030 года</w:t>
            </w:r>
            <w:r w:rsidRPr="006D102C">
              <w:rPr>
                <w:color w:val="333333"/>
                <w:sz w:val="36"/>
                <w:szCs w:val="36"/>
                <w:shd w:val="clear" w:color="auto" w:fill="FFFFFF"/>
              </w:rPr>
              <w:t xml:space="preserve"> </w:t>
            </w:r>
            <w:r w:rsidRPr="006D102C">
              <w:rPr>
                <w:rFonts w:eastAsiaTheme="minorEastAsia" w:cstheme="minorHAnsi"/>
                <w:szCs w:val="22"/>
              </w:rPr>
              <w:t xml:space="preserve">Это включает в себя регулярные виды деятельности, выполняемые в рамках </w:t>
            </w:r>
            <w:r w:rsidRPr="006D102C">
              <w:rPr>
                <w:rFonts w:eastAsiaTheme="minorEastAsia" w:cstheme="minorHAnsi"/>
                <w:b/>
                <w:bCs/>
                <w:szCs w:val="22"/>
              </w:rPr>
              <w:t>оперативного плана, проектов, региональных инициатив, специальных инициатив, а также собраний исследовательских комиссий МСЭ-D</w:t>
            </w:r>
            <w:r w:rsidRPr="006D102C">
              <w:rPr>
                <w:rFonts w:eastAsiaTheme="minorEastAsia" w:cstheme="minorHAnsi"/>
                <w:szCs w:val="22"/>
              </w:rPr>
              <w:t>.</w:t>
            </w:r>
          </w:p>
          <w:p w14:paraId="6A767557" w14:textId="616E8051" w:rsidR="008E5A7C" w:rsidRPr="006D102C" w:rsidRDefault="008E5A7C" w:rsidP="000C2445">
            <w:pPr>
              <w:spacing w:after="120"/>
              <w:rPr>
                <w:rFonts w:eastAsiaTheme="minorEastAsia" w:cstheme="minorHAnsi"/>
                <w:szCs w:val="22"/>
              </w:rPr>
            </w:pPr>
            <w:r w:rsidRPr="006D102C">
              <w:rPr>
                <w:rFonts w:eastAsiaTheme="minorEastAsia" w:cstheme="minorHAnsi"/>
                <w:szCs w:val="22"/>
              </w:rPr>
              <w:t xml:space="preserve">БРЭ продолжает играть роль ведущей содействующей структуры по направлениям деятельности ВВУИО С2 (Информационно-коммуникационная инфраструктура), С6 (Благоприятная среда) и С4 (Создание потенциала), внося значительный вклад в реализацию направления деятельности ВВУИО C5 (Укрепление доверия и безопасности при использовании ИКТ). По случаю Форума ВВУИО+20, который </w:t>
            </w:r>
            <w:r w:rsidR="00DE502B" w:rsidRPr="006D102C">
              <w:rPr>
                <w:rFonts w:eastAsiaTheme="minorEastAsia" w:cstheme="minorHAnsi"/>
                <w:szCs w:val="22"/>
              </w:rPr>
              <w:t>прошел</w:t>
            </w:r>
            <w:r w:rsidRPr="006D102C">
              <w:rPr>
                <w:rFonts w:eastAsiaTheme="minorEastAsia" w:cstheme="minorHAnsi"/>
                <w:szCs w:val="22"/>
              </w:rPr>
              <w:t xml:space="preserve"> с 27 по 31 мая 2024 года в Женеве, Швейцария, был организован ряд собраний по </w:t>
            </w:r>
            <w:r w:rsidRPr="006D102C">
              <w:rPr>
                <w:rFonts w:eastAsiaTheme="minorEastAsia" w:cstheme="minorHAnsi"/>
                <w:szCs w:val="22"/>
              </w:rPr>
              <w:lastRenderedPageBreak/>
              <w:t>содействию. БРЭ также продолжает выступать в качестве одной из содействующих структур по направлениям деятельности ВВУИО C1, C3, C7, C9 и C11, обеспечивая регулярное представление вкладов на соответствующие собрания и подготовку отчетов.</w:t>
            </w:r>
          </w:p>
          <w:p w14:paraId="5D806DE2" w14:textId="77777777" w:rsidR="008E5A7C" w:rsidRPr="006D102C" w:rsidRDefault="008E5A7C" w:rsidP="000C2445">
            <w:pPr>
              <w:spacing w:after="120"/>
              <w:rPr>
                <w:rFonts w:eastAsiaTheme="minorEastAsia" w:cstheme="minorHAnsi"/>
                <w:szCs w:val="22"/>
              </w:rPr>
            </w:pPr>
            <w:r w:rsidRPr="006D102C">
              <w:rPr>
                <w:rFonts w:eastAsiaTheme="minorEastAsia" w:cstheme="minorHAnsi"/>
                <w:szCs w:val="22"/>
              </w:rPr>
              <w:t>Кроме того, МСЭ по-прежнему остается активным членом Партнерства по измерению ИКТ в целях развития и членом его Руководящего комитета, наряду с ЮНКТАД и ДЭСВ ООН. В состав Партнерства вошли 14 организаций. Партнерство осуществляет мониторинг развития ИКТ в глобальном масштабе, отслеживает прогресс в достижении целевых показателей ВВУИО и повышает осведомленность о важности ИКТ для развития. Партнерство активно участвует в мониторинге усилий по достижению ЦУР, причем несколько задач ЦУР касаются ИКТ и технологий. В глобальную систему показателей ЦУР из 231 показателя включены семь показателей ИКТ, которые охватывают шесть задач в рамках Целей 4, 5, 9 и 17. МСЭ отвечает за сбор данных по пяти из семи показателей. (Более подробную информацию о вкладе МСЭ в Партнерство см. в разделе по измерениям).</w:t>
            </w:r>
          </w:p>
          <w:p w14:paraId="23046ACB" w14:textId="77777777" w:rsidR="008E5A7C" w:rsidRPr="006D102C" w:rsidRDefault="008E5A7C" w:rsidP="000C2445">
            <w:pPr>
              <w:spacing w:after="120"/>
              <w:rPr>
                <w:rFonts w:eastAsiaTheme="minorEastAsia" w:cstheme="minorHAnsi"/>
                <w:szCs w:val="22"/>
              </w:rPr>
            </w:pPr>
            <w:r w:rsidRPr="006D102C">
              <w:rPr>
                <w:rFonts w:eastAsiaTheme="minorEastAsia" w:cstheme="minorHAnsi"/>
                <w:szCs w:val="22"/>
              </w:rPr>
              <w:t>В РФР в разных регионах принимали и продолжают принимать участие представители системы ООН, в том числе региональных комиссий ООН, которые выполняют функцию контроля за осуществлением решений ВВУИО на региональном уровне. С февраля по апрель 2025 года была проведена еще одна серия из шести РФР, приуроченных к региональным подготовительным собраниям (РПС) МСЭ к ВКРЭ-25. В целях содействия региональным обсуждениям БРЭ подготовило шесть отчетов на тему "Состояние цифрового развития и тенденции: проблемы и возможности в регионах МСЭ". В информационном документе о ВВУИО+20, Повестке дня на период до 2030 года и Пакте будущего также содержится призыв к участию в этих инициативах.</w:t>
            </w:r>
          </w:p>
          <w:p w14:paraId="7B81B29A" w14:textId="673DA041" w:rsidR="008E5A7C" w:rsidRPr="006D102C" w:rsidRDefault="008E5A7C" w:rsidP="000C2445">
            <w:pPr>
              <w:spacing w:after="120"/>
              <w:rPr>
                <w:rFonts w:eastAsiaTheme="minorEastAsia" w:cstheme="minorHAnsi"/>
                <w:szCs w:val="22"/>
              </w:rPr>
            </w:pPr>
            <w:r w:rsidRPr="006D102C">
              <w:rPr>
                <w:rFonts w:eastAsiaTheme="minorEastAsia" w:cstheme="minorHAnsi"/>
                <w:szCs w:val="22"/>
              </w:rPr>
              <w:t>Наряду с этим региональные отделения МСЭ активно участвуют в целом ряде региональных форумов ООН по вопросам устойчивого развития, проводимых под руководством экономических комиссий ООН. МСЭ регулярно участвует в региональных обзорах достижения ЦУР, продолжая вести информационно-пропагандистскую работу, посвященную стимулирующей роли цифровых технологий для устойчивого развития, и подчеркивая взаимосвязь между направлениями деятельности ВВУИО и ЦУР. Кроме того, как часть системы развития ООН, региональные отделения МСЭ продолжают возглавлять региональные коалиции, занимающиеся конкретными проблемами в области цифровых технологий, обеспечивая тем самым платформы для координации действий, создания синергии и во многих случаях приводя к запуску межведомственных проектов.</w:t>
            </w:r>
          </w:p>
          <w:p w14:paraId="39ADBB60" w14:textId="77777777" w:rsidR="008E5A7C" w:rsidRPr="006D102C" w:rsidRDefault="008E5A7C" w:rsidP="00867E28">
            <w:pPr>
              <w:pStyle w:val="Headingb"/>
              <w:rPr>
                <w:lang w:val="ru-RU"/>
              </w:rPr>
            </w:pPr>
            <w:r w:rsidRPr="006D102C">
              <w:rPr>
                <w:lang w:val="ru-RU"/>
              </w:rPr>
              <w:t xml:space="preserve">Коалиция </w:t>
            </w:r>
            <w:r w:rsidRPr="00934537">
              <w:rPr>
                <w:b w:val="0"/>
                <w:bCs/>
                <w:lang w:val="ru-RU"/>
              </w:rPr>
              <w:t>"</w:t>
            </w:r>
            <w:r w:rsidRPr="006D102C">
              <w:rPr>
                <w:lang w:val="ru-RU"/>
              </w:rPr>
              <w:t>Партнерство для подключения</w:t>
            </w:r>
            <w:r w:rsidRPr="00934537">
              <w:rPr>
                <w:b w:val="0"/>
                <w:bCs/>
                <w:lang w:val="ru-RU"/>
              </w:rPr>
              <w:t>"</w:t>
            </w:r>
          </w:p>
          <w:p w14:paraId="58FA2E69" w14:textId="4239CEFB" w:rsidR="008E5A7C" w:rsidRPr="006D102C" w:rsidRDefault="008E5A7C" w:rsidP="000C2445">
            <w:pPr>
              <w:spacing w:after="120"/>
              <w:rPr>
                <w:rFonts w:eastAsia="Calibri" w:cstheme="minorHAnsi"/>
                <w:szCs w:val="22"/>
              </w:rPr>
            </w:pPr>
            <w:bookmarkStart w:id="27" w:name="OLE_LINK1"/>
            <w:r w:rsidRPr="006D102C">
              <w:rPr>
                <w:rFonts w:eastAsia="Calibri" w:cstheme="minorHAnsi"/>
                <w:szCs w:val="22"/>
              </w:rPr>
              <w:t>Инициатива Р2С была организована в 2021 году МСЭ в тесном сотрудничестве с Канцелярией посланника Генерального секретаря по вопросам технологий и Канцелярией Высокого представителя ООН по наименее развитым странам, развивающимся странам, не имеющим выхода и морю, и малым островным развивающимся государствам (КВПНРМ ООН).</w:t>
            </w:r>
          </w:p>
          <w:p w14:paraId="10D35880" w14:textId="732DD7FD" w:rsidR="008E5A7C" w:rsidRPr="006D102C" w:rsidRDefault="00867E28" w:rsidP="00867E28">
            <w:pPr>
              <w:pStyle w:val="enumlev1"/>
            </w:pPr>
            <w:r w:rsidRPr="006D102C">
              <w:rPr>
                <w:rFonts w:cs="Calibri"/>
              </w:rPr>
              <w:t>•</w:t>
            </w:r>
            <w:r w:rsidRPr="006D102C">
              <w:tab/>
            </w:r>
            <w:r w:rsidR="008E5A7C" w:rsidRPr="006D102C">
              <w:t xml:space="preserve">По состоянию на 22 ноября 2024 года в рамках инициативы P2C было получено </w:t>
            </w:r>
            <w:r w:rsidR="008E5A7C" w:rsidRPr="006D102C">
              <w:rPr>
                <w:b/>
                <w:bCs/>
              </w:rPr>
              <w:t>950 обещаний на общую сумму более 53,97 млрд. долларов США, которые дали 465 объединений</w:t>
            </w:r>
            <w:r w:rsidR="008E5A7C" w:rsidRPr="006D102C">
              <w:t xml:space="preserve">, в том числе правительственные органы, компании частного сектора, учреждения ООН и другие международные и региональные организации (включая многосторонние банки развития), структуры гражданского общества, академические организации и молодежные </w:t>
            </w:r>
            <w:r w:rsidR="008E5A7C" w:rsidRPr="006D102C">
              <w:lastRenderedPageBreak/>
              <w:t xml:space="preserve">группы. Стороны, давшие обещания, представляли </w:t>
            </w:r>
            <w:r w:rsidR="008E5A7C" w:rsidRPr="006D102C">
              <w:rPr>
                <w:b/>
                <w:bCs/>
              </w:rPr>
              <w:t>147 стран</w:t>
            </w:r>
            <w:r w:rsidR="008E5A7C" w:rsidRPr="006D102C">
              <w:t>. На Всемирном мобильном конгрессе были даны обещания по созданию инфраструктуры на сумму 9 млрд. долларов США, при этом акцент был сделан на следующие группы стран:</w:t>
            </w:r>
          </w:p>
          <w:p w14:paraId="16F6DEA0" w14:textId="0C8541F8" w:rsidR="008E5A7C" w:rsidRPr="006D102C" w:rsidRDefault="00867E28" w:rsidP="00867E28">
            <w:pPr>
              <w:pStyle w:val="enumlev2"/>
            </w:pPr>
            <w:r w:rsidRPr="006D102C">
              <w:t>−</w:t>
            </w:r>
            <w:r w:rsidRPr="006D102C">
              <w:tab/>
            </w:r>
            <w:r w:rsidR="008E5A7C" w:rsidRPr="006D102C">
              <w:t>группа НРС (получено 298 обещаний оценочной стоимостью 19,07 млрд. долларов США от 160 объединений из 76 стран);</w:t>
            </w:r>
          </w:p>
          <w:p w14:paraId="17C7557A" w14:textId="6ED347F2" w:rsidR="008E5A7C" w:rsidRPr="006D102C" w:rsidRDefault="00867E28" w:rsidP="00867E28">
            <w:pPr>
              <w:pStyle w:val="enumlev2"/>
            </w:pPr>
            <w:r w:rsidRPr="006D102C">
              <w:t>−</w:t>
            </w:r>
            <w:r w:rsidRPr="006D102C">
              <w:tab/>
            </w:r>
            <w:r w:rsidR="008E5A7C" w:rsidRPr="006D102C">
              <w:t>группа СИДС (получено 142 обещания оценочной стоимостью 25,54 млрд. долларов США от 93 объединений из 48 стран);</w:t>
            </w:r>
          </w:p>
          <w:p w14:paraId="5526E962" w14:textId="3A7C07C6" w:rsidR="008E5A7C" w:rsidRPr="006D102C" w:rsidRDefault="00867E28" w:rsidP="00867E28">
            <w:pPr>
              <w:pStyle w:val="enumlev2"/>
            </w:pPr>
            <w:r w:rsidRPr="006D102C">
              <w:t>−</w:t>
            </w:r>
            <w:r w:rsidRPr="006D102C">
              <w:tab/>
            </w:r>
            <w:r w:rsidR="008E5A7C" w:rsidRPr="006D102C">
              <w:t>группа ЛЛДС (получено 248 обещаний оценочной стоимостью 19,54 млрд. долларов США от 161 объединения из 75 стран).</w:t>
            </w:r>
          </w:p>
          <w:p w14:paraId="50D43A0E" w14:textId="3068762A" w:rsidR="008E5A7C" w:rsidRPr="006D102C" w:rsidRDefault="008C7C6D" w:rsidP="008C7C6D">
            <w:pPr>
              <w:pStyle w:val="enumlev1"/>
            </w:pPr>
            <w:r w:rsidRPr="006D102C">
              <w:rPr>
                <w:rFonts w:cs="Calibri"/>
              </w:rPr>
              <w:t>•</w:t>
            </w:r>
            <w:r w:rsidRPr="006D102C">
              <w:tab/>
            </w:r>
            <w:r w:rsidR="008E5A7C" w:rsidRPr="006D102C">
              <w:t>Кроме того, был организован ряд национальных круглых столов по подбору партнеров P2C, например национальный круглый стол для Камбоджи, круглый стол для Монголии, состоявшийся 2 октября 2024 года в Улан-Баторе, и круглый стол P2C в Китае, состоявшийся 8 ноября 2024 года.</w:t>
            </w:r>
          </w:p>
          <w:p w14:paraId="78C402AD" w14:textId="328A0306" w:rsidR="008E5A7C" w:rsidRPr="006D102C" w:rsidRDefault="008C7C6D" w:rsidP="008C7C6D">
            <w:pPr>
              <w:pStyle w:val="enumlev1"/>
            </w:pPr>
            <w:r w:rsidRPr="006D102C">
              <w:rPr>
                <w:rFonts w:cs="Calibri"/>
              </w:rPr>
              <w:t>•</w:t>
            </w:r>
            <w:r w:rsidRPr="006D102C">
              <w:tab/>
            </w:r>
            <w:r w:rsidR="008E5A7C" w:rsidRPr="006D102C">
              <w:t>6 декабря 2024 года МСЭ в сотрудничестве с Карибским союзом электросвязи (КСЭ) проведет виртуальное мероприятие P2C по подбору партнеров в формате "ускорителя" для членов КСЭ из стран Карибского бассейна. Представители более 15 государств − членов КСЭ и 18 потенциальных операторов, инвесторов и других участников, дающих обещания, впервые встретятся, чтобы обсудить продвижение инициатив по цифровой трансформации в странах Карибского бассейна.</w:t>
            </w:r>
          </w:p>
          <w:p w14:paraId="12A78DA7" w14:textId="73A2C7E1" w:rsidR="008E5A7C" w:rsidRPr="006D102C" w:rsidRDefault="008C7C6D" w:rsidP="008C7C6D">
            <w:pPr>
              <w:pStyle w:val="enumlev1"/>
              <w:rPr>
                <w:rFonts w:eastAsiaTheme="minorEastAsia"/>
              </w:rPr>
            </w:pPr>
            <w:r w:rsidRPr="006D102C">
              <w:rPr>
                <w:rFonts w:cs="Calibri"/>
              </w:rPr>
              <w:t>•</w:t>
            </w:r>
            <w:r w:rsidRPr="006D102C">
              <w:tab/>
            </w:r>
            <w:r w:rsidR="008E5A7C" w:rsidRPr="006D102C">
              <w:rPr>
                <w:rFonts w:eastAsiaTheme="minorEastAsia"/>
              </w:rPr>
              <w:t xml:space="preserve">30 января 2025 года в штаб-квартире МСЭ в Женеве, Швейцария, было организовано ежегодное собрание P2C 2024 года. Кроме того, был представлен ежегодный отчет P2C за 2024 год, с которым можно ознакомиться по ссылке: </w:t>
            </w:r>
            <w:hyperlink r:id="rId109" w:history="1">
              <w:r w:rsidR="008E5A7C" w:rsidRPr="006D102C">
                <w:rPr>
                  <w:rStyle w:val="Hyperlink"/>
                  <w:rFonts w:eastAsiaTheme="minorEastAsia" w:cstheme="minorHAnsi"/>
                  <w:szCs w:val="22"/>
                </w:rPr>
                <w:t>Ежегодный отчет P2C за 2024 год</w:t>
              </w:r>
            </w:hyperlink>
            <w:r w:rsidR="008E5A7C" w:rsidRPr="006D102C">
              <w:rPr>
                <w:rFonts w:eastAsiaTheme="minorEastAsia"/>
              </w:rPr>
              <w:t>.</w:t>
            </w:r>
          </w:p>
          <w:p w14:paraId="40F1FB3C" w14:textId="46DB069D" w:rsidR="008E5A7C" w:rsidRPr="006D102C" w:rsidRDefault="008C7C6D" w:rsidP="008C7C6D">
            <w:pPr>
              <w:pStyle w:val="enumlev1"/>
              <w:rPr>
                <w:rFonts w:eastAsiaTheme="minorEastAsia"/>
                <w:color w:val="323130"/>
              </w:rPr>
            </w:pPr>
            <w:r w:rsidRPr="006D102C">
              <w:rPr>
                <w:rFonts w:cs="Calibri"/>
              </w:rPr>
              <w:t>•</w:t>
            </w:r>
            <w:r w:rsidRPr="006D102C">
              <w:tab/>
            </w:r>
            <w:r w:rsidR="008E5A7C" w:rsidRPr="006D102C">
              <w:rPr>
                <w:rFonts w:eastAsiaTheme="minorEastAsia"/>
                <w:color w:val="323130"/>
              </w:rPr>
              <w:t xml:space="preserve">Представители Цифровой коалиции P2C приняли участие во Всемирном мобильном конгрессе 2025 года (MWC25) в Барселоне с 3 по 6 марта 2025 года. Во время мероприятия были объявлены новые обещания </w:t>
            </w:r>
            <w:r w:rsidR="008E5A7C" w:rsidRPr="006D102C">
              <w:rPr>
                <w:rFonts w:eastAsiaTheme="minorEastAsia"/>
              </w:rPr>
              <w:t xml:space="preserve">в рамках P2C − это стало важным шагом на пути к достижению </w:t>
            </w:r>
            <w:r w:rsidR="008E5A7C" w:rsidRPr="006D102C">
              <w:rPr>
                <w:rFonts w:eastAsia="Times New Roman"/>
              </w:rPr>
              <w:t>UMC</w:t>
            </w:r>
            <w:r w:rsidR="008E5A7C" w:rsidRPr="006D102C">
              <w:rPr>
                <w:rFonts w:eastAsiaTheme="minorEastAsia"/>
              </w:rPr>
              <w:t>. Было зафиксировано ключевое достижение − общая сумма заявленных обещаний составила 73 млрд. долларов США</w:t>
            </w:r>
            <w:r w:rsidR="008E5A7C" w:rsidRPr="006D102C">
              <w:rPr>
                <w:rFonts w:eastAsiaTheme="minorEastAsia"/>
                <w:color w:val="323130"/>
              </w:rPr>
              <w:t>.</w:t>
            </w:r>
          </w:p>
          <w:p w14:paraId="1E401626" w14:textId="5B9982E2" w:rsidR="008E5A7C" w:rsidRPr="006D102C" w:rsidRDefault="008C7C6D" w:rsidP="008C7C6D">
            <w:pPr>
              <w:pStyle w:val="enumlev1"/>
            </w:pPr>
            <w:r w:rsidRPr="006D102C">
              <w:rPr>
                <w:rFonts w:cs="Calibri"/>
              </w:rPr>
              <w:t>•</w:t>
            </w:r>
            <w:r w:rsidRPr="006D102C">
              <w:tab/>
            </w:r>
            <w:r w:rsidR="008E5A7C" w:rsidRPr="006D102C">
              <w:t xml:space="preserve">Каждому РПС предшествовал </w:t>
            </w:r>
            <w:hyperlink r:id="rId110" w:history="1">
              <w:r w:rsidR="008E5A7C" w:rsidRPr="006D102C">
                <w:rPr>
                  <w:rStyle w:val="Hyperlink"/>
                  <w:rFonts w:eastAsia="Calibri" w:cstheme="minorHAnsi"/>
                  <w:szCs w:val="22"/>
                </w:rPr>
                <w:t>РФР</w:t>
              </w:r>
            </w:hyperlink>
            <w:r w:rsidR="008E5A7C" w:rsidRPr="006D102C">
              <w:t xml:space="preserve">, и БРЭ организует следующие круглые столы по подбору партнеров P2C: </w:t>
            </w:r>
          </w:p>
          <w:p w14:paraId="1B9E721E" w14:textId="5D1DA056" w:rsidR="008E5A7C" w:rsidRPr="006D102C" w:rsidRDefault="008C7C6D" w:rsidP="008C7C6D">
            <w:pPr>
              <w:pStyle w:val="enumlev2"/>
              <w:rPr>
                <w:b/>
              </w:rPr>
            </w:pPr>
            <w:r w:rsidRPr="006D102C">
              <w:t>−</w:t>
            </w:r>
            <w:r w:rsidRPr="006D102C">
              <w:tab/>
            </w:r>
            <w:r w:rsidR="008E5A7C" w:rsidRPr="006D102C">
              <w:t xml:space="preserve">для арабских государств (РФР/круглый стол по подбору партнеров P2C) − </w:t>
            </w:r>
            <w:r w:rsidR="008E5A7C" w:rsidRPr="006D102C">
              <w:rPr>
                <w:b/>
                <w:bCs/>
              </w:rPr>
              <w:t>3 февраля 2025 года в Аммане, Иордания</w:t>
            </w:r>
            <w:r w:rsidR="008E5A7C" w:rsidRPr="006D102C">
              <w:t>;</w:t>
            </w:r>
          </w:p>
          <w:p w14:paraId="288CB939" w14:textId="639E7F3B" w:rsidR="008E5A7C" w:rsidRPr="006D102C" w:rsidRDefault="008C7C6D" w:rsidP="008C7C6D">
            <w:pPr>
              <w:pStyle w:val="enumlev2"/>
            </w:pPr>
            <w:r w:rsidRPr="006D102C">
              <w:t>−</w:t>
            </w:r>
            <w:r w:rsidRPr="006D102C">
              <w:tab/>
            </w:r>
            <w:r w:rsidR="008E5A7C" w:rsidRPr="006D102C">
              <w:t>для Европы (РФР/круглый стол по подбору партнеров P2C для укрепления партнерских отношений в целях развития) −</w:t>
            </w:r>
            <w:r w:rsidR="008E5A7C" w:rsidRPr="006D102C">
              <w:rPr>
                <w:b/>
                <w:bCs/>
              </w:rPr>
              <w:t xml:space="preserve"> 24 февраля 2025 года в Будапеште, Венгрия</w:t>
            </w:r>
            <w:r w:rsidR="008E5A7C" w:rsidRPr="006D102C">
              <w:t>;</w:t>
            </w:r>
          </w:p>
          <w:p w14:paraId="39AA8EC2" w14:textId="5283D578" w:rsidR="008E5A7C" w:rsidRPr="006D102C" w:rsidRDefault="008C7C6D" w:rsidP="008C7C6D">
            <w:pPr>
              <w:pStyle w:val="enumlev2"/>
            </w:pPr>
            <w:r w:rsidRPr="006D102C">
              <w:t>−</w:t>
            </w:r>
            <w:r w:rsidRPr="006D102C">
              <w:tab/>
            </w:r>
            <w:r w:rsidR="008E5A7C" w:rsidRPr="006D102C">
              <w:t xml:space="preserve">для Азиатско-Тихоокеанского региона (РФР/круглый стол по подбору партнеров P2C) − </w:t>
            </w:r>
            <w:r w:rsidR="008E5A7C" w:rsidRPr="006D102C">
              <w:rPr>
                <w:b/>
                <w:bCs/>
              </w:rPr>
              <w:t>19 марта 2025 года в Бангкоке, Таиланд</w:t>
            </w:r>
            <w:r w:rsidR="008E5A7C" w:rsidRPr="006D102C">
              <w:t>;</w:t>
            </w:r>
          </w:p>
          <w:p w14:paraId="5F337427" w14:textId="26A15109" w:rsidR="008E5A7C" w:rsidRPr="006D102C" w:rsidRDefault="008C7C6D" w:rsidP="008C7C6D">
            <w:pPr>
              <w:pStyle w:val="enumlev2"/>
            </w:pPr>
            <w:r w:rsidRPr="006D102C">
              <w:lastRenderedPageBreak/>
              <w:t>−</w:t>
            </w:r>
            <w:r w:rsidRPr="006D102C">
              <w:tab/>
            </w:r>
            <w:r w:rsidR="008E5A7C" w:rsidRPr="006D102C">
              <w:t xml:space="preserve">для Северной и Южной Америки (РФР/круглый стол по подбору партнеров P2C) − </w:t>
            </w:r>
            <w:r w:rsidR="008E5A7C" w:rsidRPr="006D102C">
              <w:rPr>
                <w:b/>
                <w:bCs/>
              </w:rPr>
              <w:t>31 марта 2025 года в Асунсьоне, Парагвай</w:t>
            </w:r>
            <w:r w:rsidR="008E5A7C" w:rsidRPr="006D102C">
              <w:t>;</w:t>
            </w:r>
          </w:p>
          <w:p w14:paraId="53FBE78A" w14:textId="15AE8417" w:rsidR="008E5A7C" w:rsidRPr="006D102C" w:rsidRDefault="008C7C6D" w:rsidP="008C7C6D">
            <w:pPr>
              <w:pStyle w:val="enumlev2"/>
            </w:pPr>
            <w:r w:rsidRPr="006D102C">
              <w:t>−</w:t>
            </w:r>
            <w:r w:rsidRPr="006D102C">
              <w:tab/>
            </w:r>
            <w:r w:rsidR="008E5A7C" w:rsidRPr="006D102C">
              <w:t xml:space="preserve">для Африки (РФР/круглый стол по подбору партнеров P2C) − </w:t>
            </w:r>
            <w:r w:rsidR="008E5A7C" w:rsidRPr="006D102C">
              <w:rPr>
                <w:b/>
                <w:bCs/>
              </w:rPr>
              <w:t>7 апреля 2025 года в Найроби, Кения</w:t>
            </w:r>
            <w:r w:rsidR="008E5A7C" w:rsidRPr="006D102C">
              <w:t>;</w:t>
            </w:r>
          </w:p>
          <w:p w14:paraId="01EE7E24" w14:textId="630E1436" w:rsidR="008E5A7C" w:rsidRPr="006D102C" w:rsidRDefault="008C7C6D" w:rsidP="008C7C6D">
            <w:pPr>
              <w:pStyle w:val="enumlev2"/>
              <w:rPr>
                <w:b/>
              </w:rPr>
            </w:pPr>
            <w:r w:rsidRPr="006D102C">
              <w:t>−</w:t>
            </w:r>
            <w:r w:rsidRPr="006D102C">
              <w:tab/>
            </w:r>
            <w:r w:rsidR="008E5A7C" w:rsidRPr="006D102C">
              <w:t>для Содружества Независимых Государств (СНГ) (РФР/круглый стол по подбору партнеров P2C) −</w:t>
            </w:r>
            <w:r w:rsidR="008E5A7C" w:rsidRPr="000B000B">
              <w:t xml:space="preserve"> </w:t>
            </w:r>
            <w:r w:rsidR="008E5A7C" w:rsidRPr="006D102C">
              <w:rPr>
                <w:b/>
                <w:bCs/>
              </w:rPr>
              <w:t>23 апреля 2025 года в Бишкеке, Кыргызстан</w:t>
            </w:r>
            <w:r w:rsidR="008E5A7C" w:rsidRPr="006D102C">
              <w:t>.</w:t>
            </w:r>
            <w:bookmarkEnd w:id="27"/>
          </w:p>
        </w:tc>
        <w:tc>
          <w:tcPr>
            <w:tcW w:w="2479" w:type="dxa"/>
            <w:tcBorders>
              <w:top w:val="dotted" w:sz="4" w:space="0" w:color="0070C0"/>
              <w:left w:val="dotted" w:sz="4" w:space="0" w:color="0070C0"/>
              <w:bottom w:val="dotted" w:sz="4" w:space="0" w:color="0070C0"/>
              <w:right w:val="dotted" w:sz="4" w:space="0" w:color="0070C0"/>
            </w:tcBorders>
            <w:shd w:val="clear" w:color="auto" w:fill="auto"/>
          </w:tcPr>
          <w:p w14:paraId="3569D8DC" w14:textId="3B62EC91" w:rsidR="008E5A7C" w:rsidRPr="006D102C" w:rsidRDefault="00867E28" w:rsidP="00867E28">
            <w:pPr>
              <w:tabs>
                <w:tab w:val="clear" w:pos="1134"/>
                <w:tab w:val="left" w:pos="346"/>
              </w:tabs>
              <w:ind w:left="346" w:hanging="346"/>
              <w:rPr>
                <w:rFonts w:eastAsiaTheme="minorHAnsi" w:cstheme="minorBidi"/>
                <w:szCs w:val="22"/>
              </w:rPr>
            </w:pPr>
            <w:r w:rsidRPr="006D102C">
              <w:rPr>
                <w:rFonts w:cs="Calibri"/>
              </w:rPr>
              <w:lastRenderedPageBreak/>
              <w:t>•</w:t>
            </w:r>
            <w:r w:rsidRPr="006D102C">
              <w:tab/>
            </w:r>
            <w:r w:rsidR="008E5A7C" w:rsidRPr="006D102C">
              <w:rPr>
                <w:rFonts w:eastAsiaTheme="minorHAnsi" w:cstheme="minorBidi"/>
                <w:szCs w:val="22"/>
              </w:rPr>
              <w:t>С мая 2024 года по апрель 2025 года: присоединились 40</w:t>
            </w:r>
            <w:r w:rsidRPr="006D102C">
              <w:rPr>
                <w:rFonts w:eastAsiaTheme="minorHAnsi" w:cstheme="minorBidi"/>
                <w:szCs w:val="22"/>
              </w:rPr>
              <w:t> </w:t>
            </w:r>
            <w:r w:rsidR="008E5A7C" w:rsidRPr="006D102C">
              <w:rPr>
                <w:rFonts w:eastAsiaTheme="minorHAnsi" w:cstheme="minorBidi"/>
                <w:szCs w:val="22"/>
              </w:rPr>
              <w:t>новых членов, включая академические организации.</w:t>
            </w:r>
          </w:p>
          <w:p w14:paraId="044DC7AF" w14:textId="77777777" w:rsidR="008E5A7C" w:rsidRPr="006D102C" w:rsidRDefault="008E5A7C" w:rsidP="000C2445">
            <w:pPr>
              <w:spacing w:after="120"/>
              <w:rPr>
                <w:rFonts w:cstheme="minorHAnsi"/>
                <w:color w:val="0070C0"/>
                <w:szCs w:val="22"/>
              </w:rPr>
            </w:pPr>
            <w:r w:rsidRPr="006D102C">
              <w:rPr>
                <w:rFonts w:cstheme="minorHAnsi"/>
                <w:b/>
                <w:bCs/>
                <w:color w:val="0070C0"/>
                <w:szCs w:val="22"/>
              </w:rPr>
              <w:t>Исследовательские комиссии</w:t>
            </w:r>
            <w:r w:rsidRPr="006D102C">
              <w:rPr>
                <w:rFonts w:cstheme="minorHAnsi"/>
                <w:color w:val="0070C0"/>
                <w:szCs w:val="22"/>
              </w:rPr>
              <w:t>:</w:t>
            </w:r>
          </w:p>
          <w:p w14:paraId="36F22D43" w14:textId="10CE5799" w:rsidR="008E5A7C" w:rsidRPr="006D102C" w:rsidRDefault="00867E28" w:rsidP="00867E28">
            <w:pPr>
              <w:tabs>
                <w:tab w:val="clear" w:pos="1134"/>
                <w:tab w:val="left" w:pos="346"/>
              </w:tabs>
              <w:ind w:left="346" w:hanging="346"/>
              <w:rPr>
                <w:rFonts w:eastAsiaTheme="minorHAnsi" w:cstheme="minorBidi"/>
                <w:szCs w:val="22"/>
              </w:rPr>
            </w:pPr>
            <w:r w:rsidRPr="006D102C">
              <w:rPr>
                <w:rFonts w:cs="Calibri"/>
              </w:rPr>
              <w:t>•</w:t>
            </w:r>
            <w:r w:rsidRPr="006D102C">
              <w:tab/>
            </w:r>
            <w:r w:rsidR="008E5A7C" w:rsidRPr="006D102C">
              <w:rPr>
                <w:rFonts w:eastAsiaTheme="minorHAnsi" w:cstheme="minorBidi"/>
                <w:szCs w:val="22"/>
              </w:rPr>
              <w:t>3 промежуточных итоговых документа утверждены на собрании ИК1 МСЭ</w:t>
            </w:r>
            <w:r w:rsidRPr="006D102C">
              <w:rPr>
                <w:rFonts w:eastAsiaTheme="minorHAnsi" w:cstheme="minorBidi"/>
                <w:szCs w:val="22"/>
              </w:rPr>
              <w:noBreakHyphen/>
            </w:r>
            <w:r w:rsidR="008E5A7C" w:rsidRPr="006D102C">
              <w:rPr>
                <w:rFonts w:eastAsiaTheme="minorHAnsi" w:cstheme="minorBidi"/>
                <w:szCs w:val="22"/>
              </w:rPr>
              <w:t>D;</w:t>
            </w:r>
          </w:p>
          <w:p w14:paraId="03BF2F05" w14:textId="35097BC2" w:rsidR="008E5A7C" w:rsidRPr="006D102C" w:rsidRDefault="00867E28" w:rsidP="00867E28">
            <w:pPr>
              <w:tabs>
                <w:tab w:val="clear" w:pos="1134"/>
                <w:tab w:val="left" w:pos="346"/>
              </w:tabs>
              <w:ind w:left="346" w:hanging="346"/>
              <w:rPr>
                <w:rFonts w:eastAsiaTheme="minorHAnsi" w:cstheme="minorBidi"/>
                <w:szCs w:val="22"/>
              </w:rPr>
            </w:pPr>
            <w:r w:rsidRPr="006D102C">
              <w:rPr>
                <w:rFonts w:cs="Calibri"/>
              </w:rPr>
              <w:t>•</w:t>
            </w:r>
            <w:r w:rsidRPr="006D102C">
              <w:tab/>
            </w:r>
            <w:r w:rsidR="008E5A7C" w:rsidRPr="006D102C">
              <w:rPr>
                <w:rFonts w:eastAsiaTheme="minorHAnsi" w:cstheme="minorBidi"/>
                <w:szCs w:val="22"/>
              </w:rPr>
              <w:t>185 документов обсуждены на собрании ИК1 МСЭ</w:t>
            </w:r>
            <w:r w:rsidRPr="006D102C">
              <w:rPr>
                <w:rFonts w:eastAsiaTheme="minorHAnsi" w:cstheme="minorBidi"/>
                <w:szCs w:val="22"/>
              </w:rPr>
              <w:noBreakHyphen/>
            </w:r>
            <w:r w:rsidR="008E5A7C" w:rsidRPr="006D102C">
              <w:rPr>
                <w:rFonts w:eastAsiaTheme="minorHAnsi" w:cstheme="minorBidi"/>
                <w:szCs w:val="22"/>
              </w:rPr>
              <w:t>D;</w:t>
            </w:r>
          </w:p>
          <w:p w14:paraId="587B97D3" w14:textId="7EA4BD8F" w:rsidR="008E5A7C" w:rsidRPr="006D102C" w:rsidRDefault="00867E28" w:rsidP="00867E28">
            <w:pPr>
              <w:tabs>
                <w:tab w:val="clear" w:pos="1134"/>
                <w:tab w:val="left" w:pos="346"/>
              </w:tabs>
              <w:ind w:left="346" w:hanging="346"/>
              <w:rPr>
                <w:rFonts w:eastAsiaTheme="minorHAnsi" w:cstheme="minorBidi"/>
                <w:szCs w:val="22"/>
              </w:rPr>
            </w:pPr>
            <w:r w:rsidRPr="006D102C">
              <w:rPr>
                <w:rFonts w:cs="Calibri"/>
              </w:rPr>
              <w:t>•</w:t>
            </w:r>
            <w:r w:rsidRPr="006D102C">
              <w:tab/>
            </w:r>
            <w:r w:rsidR="008E5A7C" w:rsidRPr="006D102C">
              <w:rPr>
                <w:rFonts w:eastAsiaTheme="minorHAnsi" w:cstheme="minorBidi"/>
                <w:szCs w:val="22"/>
              </w:rPr>
              <w:t>1 промежуточный итоговый документ утвержден на собрании ИК2 МСЭ</w:t>
            </w:r>
            <w:r w:rsidRPr="006D102C">
              <w:rPr>
                <w:rFonts w:eastAsiaTheme="minorHAnsi" w:cstheme="minorBidi"/>
                <w:szCs w:val="22"/>
              </w:rPr>
              <w:noBreakHyphen/>
            </w:r>
            <w:r w:rsidR="008E5A7C" w:rsidRPr="006D102C">
              <w:rPr>
                <w:rFonts w:eastAsiaTheme="minorHAnsi" w:cstheme="minorBidi"/>
                <w:szCs w:val="22"/>
              </w:rPr>
              <w:t>D;</w:t>
            </w:r>
          </w:p>
          <w:p w14:paraId="4913C283" w14:textId="76F9C2C7" w:rsidR="008E5A7C" w:rsidRPr="006D102C" w:rsidRDefault="00867E28" w:rsidP="00867E28">
            <w:pPr>
              <w:tabs>
                <w:tab w:val="clear" w:pos="1134"/>
                <w:tab w:val="left" w:pos="346"/>
              </w:tabs>
              <w:ind w:left="346" w:hanging="346"/>
              <w:rPr>
                <w:rFonts w:eastAsia="Calibri" w:cstheme="minorHAnsi"/>
                <w:szCs w:val="22"/>
              </w:rPr>
            </w:pPr>
            <w:r w:rsidRPr="006D102C">
              <w:rPr>
                <w:rFonts w:cs="Calibri"/>
              </w:rPr>
              <w:t>•</w:t>
            </w:r>
            <w:r w:rsidRPr="006D102C">
              <w:tab/>
            </w:r>
            <w:r w:rsidR="008E5A7C" w:rsidRPr="006D102C">
              <w:rPr>
                <w:rFonts w:eastAsiaTheme="minorHAnsi" w:cstheme="minorBidi"/>
                <w:szCs w:val="22"/>
              </w:rPr>
              <w:t xml:space="preserve">125 документов обсуждены на </w:t>
            </w:r>
            <w:r w:rsidR="008E5A7C" w:rsidRPr="006D102C">
              <w:rPr>
                <w:rFonts w:eastAsiaTheme="minorHAnsi" w:cstheme="minorBidi"/>
                <w:szCs w:val="22"/>
              </w:rPr>
              <w:lastRenderedPageBreak/>
              <w:t>собрании ИК2 МСЭ</w:t>
            </w:r>
            <w:r w:rsidRPr="006D102C">
              <w:rPr>
                <w:rFonts w:eastAsiaTheme="minorHAnsi" w:cstheme="minorBidi"/>
                <w:szCs w:val="22"/>
              </w:rPr>
              <w:noBreakHyphen/>
            </w:r>
            <w:r w:rsidR="008E5A7C" w:rsidRPr="006D102C">
              <w:rPr>
                <w:rFonts w:eastAsiaTheme="minorHAnsi" w:cstheme="minorBidi"/>
                <w:szCs w:val="22"/>
              </w:rPr>
              <w:t>D.</w:t>
            </w:r>
          </w:p>
        </w:tc>
      </w:tr>
      <w:tr w:rsidR="008E5A7C" w:rsidRPr="006D102C" w14:paraId="644B1CE4" w14:textId="77777777" w:rsidTr="009A5771">
        <w:trPr>
          <w:trHeight w:val="676"/>
        </w:trPr>
        <w:tc>
          <w:tcPr>
            <w:tcW w:w="3645" w:type="dxa"/>
            <w:tcBorders>
              <w:top w:val="dotted" w:sz="4" w:space="0" w:color="0070C0"/>
              <w:left w:val="dotted" w:sz="4" w:space="0" w:color="0070C0"/>
              <w:bottom w:val="dotted" w:sz="4" w:space="0" w:color="0070C0"/>
              <w:right w:val="dotted" w:sz="4" w:space="0" w:color="0070C0"/>
            </w:tcBorders>
          </w:tcPr>
          <w:p w14:paraId="7DCF4449" w14:textId="77777777" w:rsidR="008E5A7C" w:rsidRPr="006D102C" w:rsidRDefault="008E5A7C" w:rsidP="000C2445">
            <w:pPr>
              <w:spacing w:after="120"/>
              <w:rPr>
                <w:rFonts w:cstheme="minorHAnsi"/>
                <w:i/>
                <w:iCs/>
                <w:color w:val="000000"/>
                <w:szCs w:val="22"/>
              </w:rPr>
            </w:pPr>
            <w:r w:rsidRPr="006D102C">
              <w:rPr>
                <w:b/>
                <w:bCs/>
                <w:szCs w:val="22"/>
              </w:rPr>
              <w:lastRenderedPageBreak/>
              <w:t>Вклад в выполнение задач ЦУР</w:t>
            </w:r>
          </w:p>
        </w:tc>
        <w:tc>
          <w:tcPr>
            <w:tcW w:w="11204" w:type="dxa"/>
            <w:gridSpan w:val="2"/>
            <w:tcBorders>
              <w:top w:val="dotted" w:sz="4" w:space="0" w:color="0070C0"/>
              <w:left w:val="dotted" w:sz="4" w:space="0" w:color="0070C0"/>
              <w:bottom w:val="dotted" w:sz="4" w:space="0" w:color="0070C0"/>
              <w:right w:val="dotted" w:sz="4" w:space="0" w:color="0070C0"/>
            </w:tcBorders>
          </w:tcPr>
          <w:p w14:paraId="137B8D7F" w14:textId="77777777" w:rsidR="008E5A7C" w:rsidRPr="006D102C" w:rsidRDefault="008E5A7C" w:rsidP="008C7C6D">
            <w:r w:rsidRPr="006D102C">
              <w:t>ЦУР 1, 3, 4, 5, 8, 9, 10, 11, 16, 17</w:t>
            </w:r>
          </w:p>
          <w:p w14:paraId="05F0070C" w14:textId="77777777" w:rsidR="008E5A7C" w:rsidRPr="006D102C" w:rsidRDefault="008E5A7C" w:rsidP="000C2445">
            <w:pPr>
              <w:spacing w:after="120"/>
              <w:rPr>
                <w:rFonts w:eastAsia="Calibri" w:cstheme="minorHAnsi"/>
                <w:szCs w:val="22"/>
              </w:rPr>
            </w:pPr>
            <w:r w:rsidRPr="006D102C">
              <w:rPr>
                <w:rFonts w:eastAsia="Calibri" w:cstheme="minorHAnsi"/>
                <w:szCs w:val="22"/>
              </w:rPr>
              <w:t xml:space="preserve">Вклад в выполнение задач ЦУР и направлений деятельности ВВУИО: см. </w:t>
            </w:r>
            <w:hyperlink r:id="rId111" w:history="1">
              <w:r w:rsidRPr="006D102C">
                <w:rPr>
                  <w:rStyle w:val="Hyperlink"/>
                  <w:rFonts w:eastAsia="Calibri" w:cstheme="minorHAnsi"/>
                  <w:szCs w:val="22"/>
                </w:rPr>
                <w:t>сопоставление здесь</w:t>
              </w:r>
            </w:hyperlink>
            <w:r w:rsidRPr="006D102C">
              <w:rPr>
                <w:rFonts w:eastAsia="Calibri" w:cstheme="minorHAnsi"/>
                <w:szCs w:val="22"/>
              </w:rPr>
              <w:t>.</w:t>
            </w:r>
          </w:p>
        </w:tc>
      </w:tr>
      <w:tr w:rsidR="008E5A7C" w:rsidRPr="006D102C" w14:paraId="7D5522A5" w14:textId="77777777" w:rsidTr="000C2445">
        <w:tc>
          <w:tcPr>
            <w:tcW w:w="3645" w:type="dxa"/>
            <w:tcBorders>
              <w:top w:val="dotted" w:sz="4" w:space="0" w:color="0070C0"/>
              <w:left w:val="dotted" w:sz="4" w:space="0" w:color="0070C0"/>
              <w:bottom w:val="dotted" w:sz="4" w:space="0" w:color="0070C0"/>
              <w:right w:val="dotted" w:sz="4" w:space="0" w:color="0070C0"/>
            </w:tcBorders>
          </w:tcPr>
          <w:p w14:paraId="30A0463F" w14:textId="77777777" w:rsidR="008E5A7C" w:rsidRPr="006D102C" w:rsidRDefault="008E5A7C" w:rsidP="000C2445">
            <w:pPr>
              <w:spacing w:after="120"/>
              <w:rPr>
                <w:rFonts w:cstheme="minorHAnsi"/>
                <w:b/>
                <w:bCs/>
                <w:szCs w:val="22"/>
              </w:rPr>
            </w:pPr>
            <w:r w:rsidRPr="006D102C">
              <w:rPr>
                <w:b/>
                <w:bCs/>
                <w:szCs w:val="22"/>
              </w:rPr>
              <w:t>Направление деятельности ВВУИО</w:t>
            </w:r>
          </w:p>
        </w:tc>
        <w:tc>
          <w:tcPr>
            <w:tcW w:w="11204" w:type="dxa"/>
            <w:gridSpan w:val="2"/>
            <w:tcBorders>
              <w:top w:val="dotted" w:sz="4" w:space="0" w:color="0070C0"/>
              <w:left w:val="dotted" w:sz="4" w:space="0" w:color="0070C0"/>
              <w:bottom w:val="dotted" w:sz="4" w:space="0" w:color="0070C0"/>
              <w:right w:val="dotted" w:sz="4" w:space="0" w:color="0070C0"/>
            </w:tcBorders>
          </w:tcPr>
          <w:p w14:paraId="0FB3BC8D" w14:textId="77777777" w:rsidR="008E5A7C" w:rsidRPr="006D102C" w:rsidRDefault="008E5A7C" w:rsidP="000C2445">
            <w:pPr>
              <w:spacing w:after="120"/>
              <w:rPr>
                <w:rFonts w:cstheme="minorHAnsi"/>
                <w:szCs w:val="22"/>
              </w:rPr>
            </w:pPr>
            <w:r w:rsidRPr="006D102C">
              <w:rPr>
                <w:szCs w:val="22"/>
              </w:rPr>
              <w:t>C1, C2, C3, C4, C5, C6, C7, C11</w:t>
            </w:r>
          </w:p>
        </w:tc>
      </w:tr>
      <w:tr w:rsidR="008E5A7C" w:rsidRPr="006D102C" w14:paraId="77ABDC5D" w14:textId="77777777" w:rsidTr="000C2445">
        <w:tc>
          <w:tcPr>
            <w:tcW w:w="3645" w:type="dxa"/>
            <w:tcBorders>
              <w:top w:val="dotted" w:sz="4" w:space="0" w:color="0070C0"/>
              <w:left w:val="dotted" w:sz="4" w:space="0" w:color="0070C0"/>
              <w:bottom w:val="dotted" w:sz="4" w:space="0" w:color="0070C0"/>
              <w:right w:val="dotted" w:sz="4" w:space="0" w:color="0070C0"/>
            </w:tcBorders>
          </w:tcPr>
          <w:p w14:paraId="461F0156" w14:textId="77777777" w:rsidR="008E5A7C" w:rsidRPr="006D102C" w:rsidRDefault="008E5A7C" w:rsidP="000C2445">
            <w:pPr>
              <w:spacing w:after="120"/>
              <w:rPr>
                <w:rFonts w:cstheme="minorHAnsi"/>
                <w:b/>
                <w:bCs/>
                <w:szCs w:val="22"/>
              </w:rPr>
            </w:pPr>
            <w:r w:rsidRPr="006D102C">
              <w:rPr>
                <w:rFonts w:eastAsia="Calibri"/>
                <w:b/>
                <w:bCs/>
                <w:szCs w:val="22"/>
              </w:rPr>
              <w:t>Резолюции</w:t>
            </w:r>
          </w:p>
        </w:tc>
        <w:tc>
          <w:tcPr>
            <w:tcW w:w="11204" w:type="dxa"/>
            <w:gridSpan w:val="2"/>
            <w:tcBorders>
              <w:top w:val="dotted" w:sz="4" w:space="0" w:color="0070C0"/>
              <w:left w:val="dotted" w:sz="4" w:space="0" w:color="0070C0"/>
              <w:bottom w:val="dotted" w:sz="4" w:space="0" w:color="0070C0"/>
              <w:right w:val="dotted" w:sz="4" w:space="0" w:color="0070C0"/>
            </w:tcBorders>
          </w:tcPr>
          <w:p w14:paraId="2E832193" w14:textId="77777777" w:rsidR="008E5A7C" w:rsidRPr="006D102C" w:rsidRDefault="008E5A7C" w:rsidP="000C2445">
            <w:pPr>
              <w:spacing w:after="120"/>
              <w:rPr>
                <w:rFonts w:eastAsia="Calibri" w:cstheme="minorHAnsi"/>
                <w:szCs w:val="22"/>
              </w:rPr>
            </w:pPr>
            <w:r w:rsidRPr="006D102C">
              <w:rPr>
                <w:rFonts w:eastAsia="Calibri" w:cs="Calibri"/>
                <w:szCs w:val="22"/>
              </w:rPr>
              <w:t>Рез. 1 и 2 ВКРЭ, в основном Рез. 208, 21, 70, 71, 77, 102, 123, 130, 131, 136, 139, 154, 167, 175, 177, 179, 180, 182, 188, 196, 197, 203, 204, 205, 209 ПК.</w:t>
            </w:r>
          </w:p>
        </w:tc>
      </w:tr>
      <w:tr w:rsidR="008E5A7C" w:rsidRPr="006D102C" w14:paraId="796112FA" w14:textId="77777777" w:rsidTr="000C2445">
        <w:tc>
          <w:tcPr>
            <w:tcW w:w="3645" w:type="dxa"/>
            <w:tcBorders>
              <w:top w:val="dotted" w:sz="4" w:space="0" w:color="0070C0"/>
              <w:left w:val="dotted" w:sz="4" w:space="0" w:color="0070C0"/>
              <w:bottom w:val="dotted" w:sz="4" w:space="0" w:color="0070C0"/>
              <w:right w:val="dotted" w:sz="4" w:space="0" w:color="0070C0"/>
            </w:tcBorders>
          </w:tcPr>
          <w:p w14:paraId="1731E56E" w14:textId="77777777" w:rsidR="008E5A7C" w:rsidRPr="006D102C" w:rsidRDefault="008E5A7C" w:rsidP="000C2445">
            <w:pPr>
              <w:spacing w:after="120"/>
              <w:rPr>
                <w:rFonts w:eastAsia="Calibri" w:cstheme="minorHAnsi"/>
                <w:b/>
                <w:bCs/>
                <w:szCs w:val="22"/>
              </w:rPr>
            </w:pPr>
            <w:r w:rsidRPr="006D102C">
              <w:rPr>
                <w:rFonts w:eastAsia="Calibri"/>
                <w:b/>
                <w:bCs/>
                <w:szCs w:val="22"/>
              </w:rPr>
              <w:t>Исследовательские комиссии</w:t>
            </w:r>
          </w:p>
        </w:tc>
        <w:tc>
          <w:tcPr>
            <w:tcW w:w="11204" w:type="dxa"/>
            <w:gridSpan w:val="2"/>
            <w:tcBorders>
              <w:top w:val="dotted" w:sz="4" w:space="0" w:color="0070C0"/>
              <w:left w:val="dotted" w:sz="4" w:space="0" w:color="0070C0"/>
              <w:bottom w:val="dotted" w:sz="4" w:space="0" w:color="0070C0"/>
              <w:right w:val="dotted" w:sz="4" w:space="0" w:color="0070C0"/>
            </w:tcBorders>
          </w:tcPr>
          <w:p w14:paraId="703B7A5C" w14:textId="77777777" w:rsidR="008E5A7C" w:rsidRPr="006D102C" w:rsidRDefault="008E5A7C" w:rsidP="000C2445">
            <w:pPr>
              <w:spacing w:before="60" w:after="60"/>
              <w:rPr>
                <w:rFonts w:eastAsia="Calibri" w:cstheme="minorHAnsi"/>
                <w:szCs w:val="22"/>
              </w:rPr>
            </w:pPr>
            <w:r w:rsidRPr="006D102C">
              <w:rPr>
                <w:rFonts w:eastAsia="Calibri" w:cstheme="minorHAnsi"/>
                <w:szCs w:val="22"/>
              </w:rPr>
              <w:t xml:space="preserve">Вопрос 1/1: </w:t>
            </w:r>
            <w:r w:rsidRPr="006D102C">
              <w:rPr>
                <w:rFonts w:cstheme="minorHAnsi"/>
                <w:color w:val="3789BD"/>
                <w:szCs w:val="22"/>
              </w:rPr>
              <w:t>Стратегии и политика для развертывания широкополосной связи в развивающихся странах</w:t>
            </w:r>
          </w:p>
          <w:p w14:paraId="34D20D9D" w14:textId="77777777" w:rsidR="008E5A7C" w:rsidRPr="006D102C" w:rsidRDefault="008E5A7C" w:rsidP="000C2445">
            <w:pPr>
              <w:spacing w:after="120"/>
              <w:rPr>
                <w:rFonts w:eastAsia="Calibri" w:cstheme="minorHAnsi"/>
                <w:szCs w:val="22"/>
              </w:rPr>
            </w:pPr>
            <w:r w:rsidRPr="006D102C">
              <w:rPr>
                <w:rFonts w:eastAsia="Calibri" w:cstheme="minorHAnsi"/>
                <w:szCs w:val="22"/>
              </w:rPr>
              <w:t xml:space="preserve">Вопрос 5/1: </w:t>
            </w:r>
            <w:r w:rsidRPr="006D102C">
              <w:rPr>
                <w:rFonts w:cstheme="minorHAnsi"/>
                <w:color w:val="3789BD"/>
                <w:szCs w:val="22"/>
              </w:rPr>
              <w:t>Электросвязь/ИКТ для сельских и отдаленных районов</w:t>
            </w:r>
          </w:p>
        </w:tc>
      </w:tr>
    </w:tbl>
    <w:p w14:paraId="1C2203F3" w14:textId="4BBE6C17" w:rsidR="008E5A7C" w:rsidRPr="006D102C" w:rsidRDefault="008E5A7C" w:rsidP="000345FB"/>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3686"/>
        <w:gridCol w:w="8194"/>
        <w:gridCol w:w="2970"/>
      </w:tblGrid>
      <w:tr w:rsidR="008E5A7C" w:rsidRPr="006D102C" w14:paraId="70C2FC67" w14:textId="77777777" w:rsidTr="000C2445">
        <w:tc>
          <w:tcPr>
            <w:tcW w:w="14850" w:type="dxa"/>
            <w:gridSpan w:val="3"/>
            <w:shd w:val="clear" w:color="auto" w:fill="365F91" w:themeFill="accent1" w:themeFillShade="BF"/>
          </w:tcPr>
          <w:p w14:paraId="5FFE2FF5" w14:textId="77777777" w:rsidR="008E5A7C" w:rsidRPr="006D102C" w:rsidRDefault="008E5A7C" w:rsidP="00CE67E6">
            <w:pPr>
              <w:pStyle w:val="Tablehead"/>
              <w:rPr>
                <w:rFonts w:eastAsia="Batang"/>
                <w:color w:val="FFFFFF" w:themeColor="background1"/>
                <w:kern w:val="0"/>
                <w:sz w:val="22"/>
                <w14:ligatures w14:val="none"/>
              </w:rPr>
            </w:pPr>
            <w:bookmarkStart w:id="28" w:name="_Toc197427010"/>
            <w:r w:rsidRPr="006D102C">
              <w:rPr>
                <w:rFonts w:eastAsia="Batang"/>
                <w:color w:val="FFFFFF" w:themeColor="background1"/>
                <w:kern w:val="0"/>
                <w:sz w:val="22"/>
                <w14:ligatures w14:val="none"/>
              </w:rPr>
              <w:t>Средство достижения целей 2 МСЭ-D: Региональное присутствие</w:t>
            </w:r>
            <w:bookmarkEnd w:id="28"/>
          </w:p>
          <w:p w14:paraId="3582AA10" w14:textId="77777777" w:rsidR="008E5A7C" w:rsidRPr="006D102C" w:rsidRDefault="008E5A7C" w:rsidP="00CE67E6">
            <w:pPr>
              <w:pStyle w:val="Tablehead"/>
              <w:rPr>
                <w:rFonts w:eastAsia="Batang"/>
                <w:i/>
                <w:iCs/>
                <w:color w:val="FFFFFF" w:themeColor="background1"/>
                <w:kern w:val="0"/>
                <w:sz w:val="22"/>
                <w14:ligatures w14:val="none"/>
              </w:rPr>
            </w:pPr>
            <w:bookmarkStart w:id="29" w:name="_Toc197427011"/>
            <w:r w:rsidRPr="006D102C">
              <w:rPr>
                <w:rFonts w:eastAsia="Batang"/>
                <w:i/>
                <w:iCs/>
                <w:color w:val="FFFFFF" w:themeColor="background1"/>
                <w:kern w:val="0"/>
                <w:sz w:val="22"/>
                <w14:ligatures w14:val="none"/>
              </w:rPr>
              <w:t>Повышение общей глобальной эффективности и влияния МСЭ</w:t>
            </w:r>
            <w:bookmarkEnd w:id="29"/>
          </w:p>
        </w:tc>
      </w:tr>
      <w:tr w:rsidR="008E5A7C" w:rsidRPr="006D102C" w14:paraId="2E812FA6" w14:textId="77777777" w:rsidTr="000C2445">
        <w:tc>
          <w:tcPr>
            <w:tcW w:w="14850" w:type="dxa"/>
            <w:gridSpan w:val="3"/>
            <w:shd w:val="clear" w:color="auto" w:fill="E5DFEC" w:themeFill="accent4" w:themeFillTint="33"/>
          </w:tcPr>
          <w:p w14:paraId="0359FE66" w14:textId="77777777" w:rsidR="008E5A7C" w:rsidRPr="006D102C" w:rsidRDefault="008E5A7C" w:rsidP="000C2445">
            <w:pPr>
              <w:keepNext/>
              <w:spacing w:after="120"/>
              <w:rPr>
                <w:rFonts w:cstheme="minorHAnsi"/>
                <w:b/>
                <w:bCs/>
                <w:i/>
                <w:iCs/>
              </w:rPr>
            </w:pPr>
            <w:r w:rsidRPr="006D102C">
              <w:rPr>
                <w:b/>
                <w:bCs/>
                <w:i/>
                <w:iCs/>
              </w:rPr>
              <w:t>Конечный результат</w:t>
            </w:r>
            <w:r w:rsidRPr="006D102C">
              <w:rPr>
                <w:i/>
                <w:iCs/>
              </w:rPr>
              <w:t>:</w:t>
            </w:r>
            <w:r w:rsidRPr="006D102C">
              <w:rPr>
                <w:b/>
                <w:bCs/>
                <w:i/>
                <w:iCs/>
              </w:rPr>
              <w:t xml:space="preserve"> </w:t>
            </w:r>
            <w:r w:rsidRPr="006D102C">
              <w:rPr>
                <w:i/>
                <w:iCs/>
              </w:rPr>
              <w:t>укрепление совместной работы и взаимодействия на региональном уровне, а также с Организацией Объединенных Наций и ее учреждениями, региональными организациями электросвязи, а также институтами, занимающимися вопросами финансирования и развития для достижения ЦУР на период до 2030 года, связанных с вопросами развития цифровой экономики</w:t>
            </w:r>
          </w:p>
        </w:tc>
      </w:tr>
      <w:tr w:rsidR="008E5A7C" w:rsidRPr="006D102C" w14:paraId="31A6D529" w14:textId="77777777" w:rsidTr="000C2445">
        <w:tc>
          <w:tcPr>
            <w:tcW w:w="11880" w:type="dxa"/>
            <w:gridSpan w:val="2"/>
          </w:tcPr>
          <w:p w14:paraId="2D0DCDAB"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b/>
                <w:bCs/>
                <w:color w:val="0070C0"/>
              </w:rPr>
              <w:t>Намеченные результаты деятельности</w:t>
            </w:r>
          </w:p>
        </w:tc>
        <w:tc>
          <w:tcPr>
            <w:tcW w:w="2970" w:type="dxa"/>
          </w:tcPr>
          <w:p w14:paraId="0597F536"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b/>
                <w:bCs/>
                <w:color w:val="0070C0"/>
              </w:rPr>
              <w:t>Основные моменты</w:t>
            </w:r>
          </w:p>
        </w:tc>
      </w:tr>
      <w:tr w:rsidR="008E5A7C" w:rsidRPr="006D102C" w14:paraId="36A461F1" w14:textId="77777777" w:rsidTr="009A5771">
        <w:trPr>
          <w:trHeight w:val="697"/>
        </w:trPr>
        <w:tc>
          <w:tcPr>
            <w:tcW w:w="11880" w:type="dxa"/>
            <w:gridSpan w:val="2"/>
          </w:tcPr>
          <w:p w14:paraId="684C56BD" w14:textId="77777777" w:rsidR="008E5A7C" w:rsidRPr="006D102C" w:rsidRDefault="008E5A7C" w:rsidP="000C2445">
            <w:pPr>
              <w:spacing w:after="120"/>
              <w:rPr>
                <w:rFonts w:eastAsiaTheme="minorEastAsia"/>
                <w:color w:val="242424"/>
              </w:rPr>
            </w:pPr>
            <w:r w:rsidRPr="006D102C">
              <w:rPr>
                <w:rFonts w:eastAsiaTheme="minorEastAsia" w:cstheme="minorHAnsi"/>
              </w:rPr>
              <w:t xml:space="preserve">БРЭ в сотрудничестве и тесной координации с БР, БСЭ и Генеральным секретариатом активно работал над укреплением регионального присутствия, стремясь улучшить предоставление услуг Государствам-Членам, включая реализацию проектов и других мероприятий в рамках оперативного плана, и обеспечить их своевременность, эффективность и результативность. Тщательно спланированные и реализованные меры позволили привлечь внебюджетное финансирование со стороны доноров для осуществления проектов, в том числе региональных инициатив. Региональные отделения продолжают играть решающую роль в этом процессе, выступая в качестве первого контактного звена МСЭ при взаимодействии с местными заинтересованными сторонами и органами власти. Подробный отчет о реализации </w:t>
            </w:r>
            <w:r w:rsidRPr="006D102C">
              <w:rPr>
                <w:rFonts w:eastAsiaTheme="minorEastAsia" w:cstheme="minorHAnsi"/>
              </w:rPr>
              <w:lastRenderedPageBreak/>
              <w:t xml:space="preserve">региональных инициатив можно найти в </w:t>
            </w:r>
            <w:hyperlink r:id="rId112" w:history="1">
              <w:r w:rsidRPr="006D102C">
                <w:rPr>
                  <w:rStyle w:val="Hyperlink"/>
                  <w:rFonts w:eastAsiaTheme="minorEastAsia" w:cstheme="minorHAnsi"/>
                </w:rPr>
                <w:t>Документе 3 КГРЭ-25</w:t>
              </w:r>
            </w:hyperlink>
            <w:r w:rsidRPr="006D102C">
              <w:rPr>
                <w:rFonts w:eastAsiaTheme="minorEastAsia" w:cstheme="minorHAnsi"/>
              </w:rPr>
              <w:t>, в котором содержится приложение с сопоставлением проектов с региональными инициативами.</w:t>
            </w:r>
          </w:p>
        </w:tc>
        <w:tc>
          <w:tcPr>
            <w:tcW w:w="2970" w:type="dxa"/>
            <w:shd w:val="clear" w:color="auto" w:fill="auto"/>
          </w:tcPr>
          <w:p w14:paraId="53A8907D" w14:textId="59B55EE6" w:rsidR="008E5A7C" w:rsidRPr="006D102C" w:rsidRDefault="008C7C6D" w:rsidP="008C7C6D">
            <w:pPr>
              <w:tabs>
                <w:tab w:val="clear" w:pos="1134"/>
                <w:tab w:val="left" w:pos="346"/>
              </w:tabs>
              <w:ind w:left="346" w:hanging="346"/>
              <w:rPr>
                <w:kern w:val="0"/>
                <w14:ligatures w14:val="none"/>
              </w:rPr>
            </w:pPr>
            <w:r w:rsidRPr="006D102C">
              <w:rPr>
                <w:rFonts w:cs="Calibri"/>
              </w:rPr>
              <w:lastRenderedPageBreak/>
              <w:t>•</w:t>
            </w:r>
            <w:r w:rsidRPr="006D102C">
              <w:tab/>
            </w:r>
            <w:r w:rsidR="008E5A7C" w:rsidRPr="006D102C">
              <w:rPr>
                <w:kern w:val="0"/>
                <w14:ligatures w14:val="none"/>
              </w:rPr>
              <w:t>Тесное сотрудничество с БР, БСЭ и Генеральным секретариатом.</w:t>
            </w:r>
          </w:p>
          <w:p w14:paraId="04BBE09C" w14:textId="1E067154" w:rsidR="008E5A7C" w:rsidRPr="006D102C" w:rsidRDefault="008C7C6D" w:rsidP="008C7C6D">
            <w:pPr>
              <w:tabs>
                <w:tab w:val="clear" w:pos="1134"/>
                <w:tab w:val="left" w:pos="346"/>
              </w:tabs>
              <w:ind w:left="346" w:hanging="346"/>
              <w:rPr>
                <w:rFonts w:eastAsia="Calibri" w:cstheme="minorHAnsi"/>
              </w:rPr>
            </w:pPr>
            <w:r w:rsidRPr="006D102C">
              <w:rPr>
                <w:rFonts w:cs="Calibri"/>
              </w:rPr>
              <w:t>•</w:t>
            </w:r>
            <w:r w:rsidRPr="006D102C">
              <w:tab/>
            </w:r>
            <w:r w:rsidR="008E5A7C" w:rsidRPr="006D102C">
              <w:rPr>
                <w:kern w:val="0"/>
                <w14:ligatures w14:val="none"/>
              </w:rPr>
              <w:t>Эффективная и действенная реализация мероприятий по ОП и проектов МСЭ.</w:t>
            </w:r>
            <w:r w:rsidR="008E5A7C" w:rsidRPr="006D102C">
              <w:rPr>
                <w:rFonts w:eastAsia="Calibri" w:cstheme="minorHAnsi"/>
              </w:rPr>
              <w:t xml:space="preserve"> </w:t>
            </w:r>
          </w:p>
        </w:tc>
      </w:tr>
      <w:tr w:rsidR="008E5A7C" w:rsidRPr="006D102C" w14:paraId="44030F12" w14:textId="77777777" w:rsidTr="009A5771">
        <w:tc>
          <w:tcPr>
            <w:tcW w:w="3686" w:type="dxa"/>
          </w:tcPr>
          <w:p w14:paraId="5B4E26E7" w14:textId="77777777" w:rsidR="008E5A7C" w:rsidRPr="006D102C" w:rsidRDefault="008E5A7C" w:rsidP="000C2445">
            <w:pPr>
              <w:spacing w:after="120"/>
              <w:rPr>
                <w:rFonts w:cstheme="minorHAnsi"/>
                <w:i/>
                <w:iCs/>
                <w:color w:val="000000"/>
              </w:rPr>
            </w:pPr>
            <w:r w:rsidRPr="006D102C">
              <w:rPr>
                <w:b/>
                <w:bCs/>
              </w:rPr>
              <w:t>Вклад в выполнение задач ЦУР</w:t>
            </w:r>
          </w:p>
        </w:tc>
        <w:tc>
          <w:tcPr>
            <w:tcW w:w="11164" w:type="dxa"/>
            <w:gridSpan w:val="2"/>
          </w:tcPr>
          <w:p w14:paraId="60374947" w14:textId="77777777" w:rsidR="008E5A7C" w:rsidRPr="006D102C" w:rsidRDefault="008E5A7C" w:rsidP="000C2445">
            <w:pPr>
              <w:spacing w:after="120"/>
              <w:rPr>
                <w:rFonts w:cstheme="minorHAnsi"/>
              </w:rPr>
            </w:pPr>
            <w:r w:rsidRPr="006D102C">
              <w:t>ЦУР 1, 3, 4, 5, 8, 9, 10, 11, 16, 17</w:t>
            </w:r>
          </w:p>
        </w:tc>
      </w:tr>
      <w:tr w:rsidR="008E5A7C" w:rsidRPr="006D102C" w14:paraId="6B4CDA6C" w14:textId="77777777" w:rsidTr="009A5771">
        <w:tc>
          <w:tcPr>
            <w:tcW w:w="3686" w:type="dxa"/>
          </w:tcPr>
          <w:p w14:paraId="4465FD0E" w14:textId="77777777" w:rsidR="008E5A7C" w:rsidRPr="006D102C" w:rsidRDefault="008E5A7C" w:rsidP="000C2445">
            <w:pPr>
              <w:spacing w:after="120"/>
              <w:rPr>
                <w:rFonts w:cstheme="minorHAnsi"/>
                <w:b/>
                <w:bCs/>
              </w:rPr>
            </w:pPr>
            <w:r w:rsidRPr="006D102C">
              <w:rPr>
                <w:b/>
                <w:bCs/>
              </w:rPr>
              <w:t>Направление деятельности ВВУИО</w:t>
            </w:r>
          </w:p>
        </w:tc>
        <w:tc>
          <w:tcPr>
            <w:tcW w:w="11164" w:type="dxa"/>
            <w:gridSpan w:val="2"/>
          </w:tcPr>
          <w:p w14:paraId="17A9E1EC" w14:textId="77777777" w:rsidR="008E5A7C" w:rsidRPr="006D102C" w:rsidRDefault="008E5A7C" w:rsidP="000C2445">
            <w:pPr>
              <w:spacing w:after="120"/>
              <w:rPr>
                <w:rFonts w:cstheme="minorHAnsi"/>
              </w:rPr>
            </w:pPr>
            <w:r w:rsidRPr="006D102C">
              <w:t>C1, C2, C3, C4, C5, C6, C7, C11</w:t>
            </w:r>
          </w:p>
        </w:tc>
      </w:tr>
      <w:tr w:rsidR="008E5A7C" w:rsidRPr="006D102C" w14:paraId="07E363A8" w14:textId="77777777" w:rsidTr="009A5771">
        <w:tc>
          <w:tcPr>
            <w:tcW w:w="3686" w:type="dxa"/>
          </w:tcPr>
          <w:p w14:paraId="7E644A35" w14:textId="77777777" w:rsidR="008E5A7C" w:rsidRPr="006D102C" w:rsidRDefault="008E5A7C" w:rsidP="000C2445">
            <w:pPr>
              <w:spacing w:after="120"/>
              <w:rPr>
                <w:rFonts w:cstheme="minorHAnsi"/>
                <w:b/>
                <w:bCs/>
              </w:rPr>
            </w:pPr>
            <w:r w:rsidRPr="006D102C">
              <w:rPr>
                <w:b/>
                <w:bCs/>
              </w:rPr>
              <w:t>Резолюции</w:t>
            </w:r>
          </w:p>
        </w:tc>
        <w:tc>
          <w:tcPr>
            <w:tcW w:w="11164" w:type="dxa"/>
            <w:gridSpan w:val="2"/>
          </w:tcPr>
          <w:p w14:paraId="687FBF86" w14:textId="77777777" w:rsidR="008E5A7C" w:rsidRPr="006D102C" w:rsidRDefault="008E5A7C" w:rsidP="000C2445">
            <w:pPr>
              <w:spacing w:after="120"/>
              <w:rPr>
                <w:rFonts w:cstheme="minorHAnsi"/>
              </w:rPr>
            </w:pPr>
            <w:r w:rsidRPr="006D102C">
              <w:t>16 ВКРЭ</w:t>
            </w:r>
          </w:p>
        </w:tc>
      </w:tr>
      <w:tr w:rsidR="008E5A7C" w:rsidRPr="006D102C" w14:paraId="20108C45" w14:textId="77777777" w:rsidTr="009A5771">
        <w:tc>
          <w:tcPr>
            <w:tcW w:w="3686" w:type="dxa"/>
          </w:tcPr>
          <w:p w14:paraId="3972CDB1" w14:textId="77777777" w:rsidR="008E5A7C" w:rsidRPr="006D102C" w:rsidRDefault="008E5A7C" w:rsidP="000C2445">
            <w:pPr>
              <w:spacing w:after="120"/>
              <w:rPr>
                <w:rFonts w:cstheme="minorHAnsi"/>
                <w:b/>
                <w:bCs/>
              </w:rPr>
            </w:pPr>
            <w:r w:rsidRPr="006D102C">
              <w:rPr>
                <w:b/>
                <w:bCs/>
              </w:rPr>
              <w:t>Исследовательские комиссии</w:t>
            </w:r>
          </w:p>
        </w:tc>
        <w:tc>
          <w:tcPr>
            <w:tcW w:w="11164" w:type="dxa"/>
            <w:gridSpan w:val="2"/>
          </w:tcPr>
          <w:p w14:paraId="0449D8D8" w14:textId="77777777" w:rsidR="008E5A7C" w:rsidRPr="006D102C" w:rsidRDefault="008E5A7C" w:rsidP="000C2445">
            <w:pPr>
              <w:spacing w:after="120"/>
              <w:rPr>
                <w:rFonts w:cstheme="minorHAnsi"/>
              </w:rPr>
            </w:pPr>
            <w:r w:rsidRPr="006D102C">
              <w:t>Все Вопросы ИК1 по благоприятной среде для обеспечения реальной возможности установления соединений и ИК2 по цифровой трансформации</w:t>
            </w:r>
          </w:p>
        </w:tc>
      </w:tr>
    </w:tbl>
    <w:p w14:paraId="35E1F694" w14:textId="77777777" w:rsidR="008E5A7C" w:rsidRPr="006D102C" w:rsidRDefault="008E5A7C" w:rsidP="008C7C6D">
      <w:bookmarkStart w:id="30" w:name="Proposal"/>
      <w:bookmarkStart w:id="31" w:name="_Toc194665842"/>
      <w:bookmarkEnd w:id="30"/>
      <w:r w:rsidRPr="006D102C">
        <w:br w:type="page"/>
      </w:r>
    </w:p>
    <w:tbl>
      <w:tblPr>
        <w:tblStyle w:val="TableGrid9"/>
        <w:tblW w:w="14850" w:type="dxa"/>
        <w:tblInd w:w="-5" w:type="dxa"/>
        <w:tblLayout w:type="fixed"/>
        <w:tblLook w:val="04A0" w:firstRow="1" w:lastRow="0" w:firstColumn="1" w:lastColumn="0" w:noHBand="0" w:noVBand="1"/>
      </w:tblPr>
      <w:tblGrid>
        <w:gridCol w:w="3686"/>
        <w:gridCol w:w="8464"/>
        <w:gridCol w:w="2700"/>
      </w:tblGrid>
      <w:tr w:rsidR="008E5A7C" w:rsidRPr="006D102C" w14:paraId="2AD77C25" w14:textId="77777777" w:rsidTr="00E618F7">
        <w:tc>
          <w:tcPr>
            <w:tcW w:w="1485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2F8B39D" w14:textId="77777777" w:rsidR="008E5A7C" w:rsidRPr="006D102C" w:rsidRDefault="008E5A7C" w:rsidP="00CE67E6">
            <w:pPr>
              <w:pStyle w:val="Tablehead"/>
              <w:rPr>
                <w:rFonts w:eastAsia="Batang"/>
                <w:color w:val="FFFFFF" w:themeColor="background1"/>
                <w:kern w:val="0"/>
                <w:sz w:val="22"/>
                <w14:ligatures w14:val="none"/>
              </w:rPr>
            </w:pPr>
            <w:bookmarkStart w:id="32" w:name="_Toc197427012"/>
            <w:bookmarkEnd w:id="31"/>
            <w:r w:rsidRPr="006D102C">
              <w:rPr>
                <w:rFonts w:eastAsia="Batang"/>
                <w:color w:val="FFFFFF" w:themeColor="background1"/>
                <w:kern w:val="0"/>
                <w:sz w:val="22"/>
                <w14:ligatures w14:val="none"/>
              </w:rPr>
              <w:lastRenderedPageBreak/>
              <w:t>Средство достижения целей 3 МСЭ-D: Разнообразие и интеграция</w:t>
            </w:r>
            <w:bookmarkEnd w:id="32"/>
          </w:p>
          <w:p w14:paraId="2A0F5FB5" w14:textId="77777777" w:rsidR="008E5A7C" w:rsidRPr="006D102C" w:rsidRDefault="008E5A7C" w:rsidP="00CE67E6">
            <w:pPr>
              <w:pStyle w:val="Tablehead"/>
              <w:rPr>
                <w:rFonts w:eastAsia="Batang"/>
                <w:i/>
                <w:iCs/>
                <w:color w:val="FFFFFF" w:themeColor="background1"/>
                <w:kern w:val="0"/>
                <w:sz w:val="22"/>
                <w14:ligatures w14:val="none"/>
              </w:rPr>
            </w:pPr>
            <w:bookmarkStart w:id="33" w:name="_Toc197427013"/>
            <w:r w:rsidRPr="006D102C">
              <w:rPr>
                <w:rFonts w:eastAsia="Batang"/>
                <w:i/>
                <w:iCs/>
                <w:color w:val="FFFFFF" w:themeColor="background1"/>
                <w:kern w:val="0"/>
                <w:sz w:val="22"/>
                <w14:ligatures w14:val="none"/>
              </w:rPr>
              <w:t>Разработка стратегий и решений по обеспечению охвата цифровыми технологиями</w:t>
            </w:r>
            <w:bookmarkEnd w:id="33"/>
          </w:p>
        </w:tc>
      </w:tr>
      <w:tr w:rsidR="008E5A7C" w:rsidRPr="006D102C" w14:paraId="67C31CDF" w14:textId="77777777" w:rsidTr="00E618F7">
        <w:tc>
          <w:tcPr>
            <w:tcW w:w="1485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27C265AB" w14:textId="77777777" w:rsidR="008E5A7C" w:rsidRPr="006D102C" w:rsidRDefault="008E5A7C" w:rsidP="000C2445">
            <w:pPr>
              <w:keepNext/>
              <w:spacing w:after="120"/>
              <w:rPr>
                <w:rFonts w:cstheme="minorHAnsi"/>
                <w:b/>
                <w:bCs/>
                <w:color w:val="FFFFFF" w:themeColor="background1"/>
              </w:rPr>
            </w:pPr>
            <w:r w:rsidRPr="006D102C">
              <w:rPr>
                <w:b/>
                <w:bCs/>
                <w:i/>
                <w:iCs/>
              </w:rPr>
              <w:t>Конечный результат</w:t>
            </w:r>
            <w:r w:rsidRPr="006D102C">
              <w:rPr>
                <w:i/>
                <w:iCs/>
              </w:rPr>
              <w:t>: укрепление потенциала членов МСЭ для разработки стратегий, политики и практики охвата цифровыми технологиями и равенства, в частности с целью расширения прав и возможностей женщин и девушек, лиц с ограниченными возможностями и лиц с особыми потребностями, а также домашних хозяйств с низким уровнем доходов</w:t>
            </w:r>
          </w:p>
        </w:tc>
      </w:tr>
      <w:tr w:rsidR="008E5A7C" w:rsidRPr="006D102C" w14:paraId="5B445C49" w14:textId="77777777" w:rsidTr="00E618F7">
        <w:tc>
          <w:tcPr>
            <w:tcW w:w="12150" w:type="dxa"/>
            <w:gridSpan w:val="2"/>
            <w:tcBorders>
              <w:top w:val="dotted" w:sz="4" w:space="0" w:color="0070C0"/>
              <w:left w:val="dotted" w:sz="4" w:space="0" w:color="0070C0"/>
              <w:bottom w:val="dotted" w:sz="4" w:space="0" w:color="0070C0"/>
              <w:right w:val="dotted" w:sz="4" w:space="0" w:color="0070C0"/>
            </w:tcBorders>
          </w:tcPr>
          <w:p w14:paraId="4337895A"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b/>
                <w:bCs/>
                <w:color w:val="0070C0"/>
              </w:rPr>
              <w:t>Намеченные результаты деятельности</w:t>
            </w:r>
          </w:p>
        </w:tc>
        <w:tc>
          <w:tcPr>
            <w:tcW w:w="2700" w:type="dxa"/>
            <w:tcBorders>
              <w:top w:val="dotted" w:sz="4" w:space="0" w:color="0070C0"/>
              <w:left w:val="dotted" w:sz="4" w:space="0" w:color="0070C0"/>
              <w:bottom w:val="dotted" w:sz="4" w:space="0" w:color="0070C0"/>
              <w:right w:val="dotted" w:sz="4" w:space="0" w:color="0070C0"/>
            </w:tcBorders>
          </w:tcPr>
          <w:p w14:paraId="449D2294"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b/>
                <w:bCs/>
                <w:color w:val="0070C0"/>
              </w:rPr>
              <w:t>Основные моменты</w:t>
            </w:r>
          </w:p>
        </w:tc>
      </w:tr>
      <w:tr w:rsidR="008E5A7C" w:rsidRPr="006D102C" w14:paraId="4BBA7285" w14:textId="77777777" w:rsidTr="00E618F7">
        <w:tc>
          <w:tcPr>
            <w:tcW w:w="12150" w:type="dxa"/>
            <w:gridSpan w:val="2"/>
            <w:tcBorders>
              <w:top w:val="dotted" w:sz="4" w:space="0" w:color="0070C0"/>
              <w:left w:val="dotted" w:sz="4" w:space="0" w:color="0070C0"/>
              <w:bottom w:val="dotted" w:sz="4" w:space="0" w:color="0070C0"/>
              <w:right w:val="dotted" w:sz="4" w:space="0" w:color="0070C0"/>
            </w:tcBorders>
          </w:tcPr>
          <w:p w14:paraId="68953229" w14:textId="77777777" w:rsidR="008E5A7C" w:rsidRPr="006D102C" w:rsidRDefault="008E5A7C" w:rsidP="00E618F7">
            <w:r w:rsidRPr="006D102C">
              <w:t>В рамках средства достижения цели, касающегося разнообразия и интеграции, был достигнут существенный прогресс в предоставлении заинтересованным сторонам из всех регионов инструментов, знаний и связей, необходимых для содействия открытому для всех цифровому развитию. Эти усилия принесли ощутимые результаты в разработке политики, создании потенциала и расширении прав и возможностей местных сообществ, гарантируя, что в цифровую эпоху никто не будет забыт.</w:t>
            </w:r>
          </w:p>
          <w:p w14:paraId="3EB24056" w14:textId="77777777" w:rsidR="008E5A7C" w:rsidRPr="006D102C" w:rsidRDefault="008E5A7C" w:rsidP="00E618F7">
            <w:r w:rsidRPr="006D102C">
              <w:t>БРЭ работало над повышением потенциала Государств-Членов, директивных органов и различных целевых групп, включая женщин и девушек, молодежь, пожилых людей, людей с ограниченными возможностями, а также сообщества коренных народов и отдаленные сообщества. Во всех шести регионах МСЭ велась работа через экспертные консультации, учебные занятия и целевые инициативы.</w:t>
            </w:r>
          </w:p>
          <w:p w14:paraId="575AFD3B" w14:textId="77777777" w:rsidR="008E5A7C" w:rsidRPr="006D102C" w:rsidRDefault="008E5A7C" w:rsidP="00E618F7">
            <w:pPr>
              <w:pStyle w:val="Headingb"/>
              <w:rPr>
                <w:lang w:val="ru-RU"/>
              </w:rPr>
            </w:pPr>
            <w:r w:rsidRPr="006D102C">
              <w:rPr>
                <w:lang w:val="ru-RU"/>
              </w:rPr>
              <w:t>Обзор глобальных достижений и межрегиональное воздействие</w:t>
            </w:r>
          </w:p>
          <w:p w14:paraId="58B1A00A" w14:textId="6F408EB9" w:rsidR="008E5A7C" w:rsidRPr="006D102C" w:rsidRDefault="008E5A7C" w:rsidP="00E618F7">
            <w:r w:rsidRPr="006D102C">
              <w:rPr>
                <w:b/>
              </w:rPr>
              <w:t>Профессиональная подготовка и развитие потенциала</w:t>
            </w:r>
            <w:r w:rsidRPr="006D102C">
              <w:rPr>
                <w:bCs/>
              </w:rPr>
              <w:t>:</w:t>
            </w:r>
            <w:r w:rsidRPr="006D102C">
              <w:rPr>
                <w:b/>
              </w:rPr>
              <w:t xml:space="preserve"> </w:t>
            </w:r>
            <w:r w:rsidRPr="006D102C">
              <w:t>в рамках работы по расширению потенциала в области доступности ИКТ в целях учета всеобщей цифровой интеграции более 800 представителей директивных органов и лиц, принимающих решения, развили навыки формулирования и реализация политики и стратегий охвата цифровыми технологиями и обеспечения более широкого участия всех граждан в цифровом обществе и цифровой экономике. Эти мероприятия по развитию потенциала были проведены в рамках 11 глобальных платформ: шесть занятий прошло в онлайновом формате и пять – в очном. Более 1000 участников из 144 стран прошли онлайновые курсы на базе Академии МСЭ, направленные на расширение знаний о доступности ИКТ, проблемах пожилых людей и коренных народов (42% участников − женщины, 74% − представители развивающихся стран).</w:t>
            </w:r>
          </w:p>
          <w:p w14:paraId="31559725" w14:textId="77777777" w:rsidR="008E5A7C" w:rsidRPr="006D102C" w:rsidRDefault="008E5A7C" w:rsidP="00E618F7">
            <w:r w:rsidRPr="006D102C">
              <w:rPr>
                <w:b/>
              </w:rPr>
              <w:t>Разработка экспертных рекомендаций</w:t>
            </w:r>
            <w:r w:rsidRPr="006D102C">
              <w:rPr>
                <w:bCs/>
              </w:rPr>
              <w:t xml:space="preserve">: </w:t>
            </w:r>
            <w:r w:rsidRPr="006D102C">
              <w:t>БРЭ содействовало охвату цифровыми технологиями путем предоставления материалов и экспертных знаний и опыта по таким темам, как доступность ИКТ, охват цифровыми технологиями пожилых людей, гендерное равенство и расширение прав и возможностей молодежи в области цифровых технологий.</w:t>
            </w:r>
            <w:r w:rsidRPr="006D102C">
              <w:rPr>
                <w:b/>
              </w:rPr>
              <w:t xml:space="preserve"> </w:t>
            </w:r>
            <w:r w:rsidRPr="006D102C">
              <w:t>Эти вклады использовались в работе исследовательских комиссий МСЭ и дополняли тематические региональные и глобальные собрания и мероприятия. Кроме того, БРЭ активно участвовало в межведомственном сотрудничестве, предоставляя материалы для отчетов и совместных инициатив в рамках всей системы ООН через межсекторальную работу.</w:t>
            </w:r>
          </w:p>
          <w:p w14:paraId="3B94356B" w14:textId="1AB041ED" w:rsidR="008E5A7C" w:rsidRPr="006D102C" w:rsidRDefault="008E5A7C" w:rsidP="00E618F7">
            <w:r w:rsidRPr="006D102C">
              <w:lastRenderedPageBreak/>
              <w:t>Было создано шесть новых инструментов знаний, включая Комплект материалов МСЭ и ВОЗ по доступному телездравоохранению. В настоящее время в хранилище материалов, посвященных охвату цифровыми технологиями, представлено более 75 инструментов для поддержки Государств-Членов.</w:t>
            </w:r>
          </w:p>
          <w:p w14:paraId="3FD20E95" w14:textId="77777777" w:rsidR="008E5A7C" w:rsidRPr="006D102C" w:rsidRDefault="008E5A7C" w:rsidP="00E618F7">
            <w:r w:rsidRPr="006D102C">
              <w:rPr>
                <w:b/>
              </w:rPr>
              <w:t>Привлечение молодежи</w:t>
            </w:r>
            <w:r w:rsidRPr="006D102C">
              <w:rPr>
                <w:bCs/>
              </w:rPr>
              <w:t xml:space="preserve">: </w:t>
            </w:r>
            <w:r w:rsidRPr="006D102C">
              <w:t>БРЭ добилось значительного прогресса в вовлечении молодежи в реализацию повестки дня в области цифрового развития, предоставив возможности для участия 184 посланникам молодежи в рамках инициативы "Поколение подключений" (GCYE) из 64 стран и усилив голоса молодежи во всем мире с помощью таких крупных платформ, как Глобальный молодежный саммит МСЭ 2025 года (ГМС-25). GCYE были целенаправленно вовлечены в осуществляемые МСЭ мероприятия, события, процессы принятия решений, индивидуальные программы наставничества и обучения по таким ключевым тематическим областям МСЭ, как работа МСЭ и трех его секторов, Кигалийский план действий, охват цифровыми технологиями, доступность ИКТ и веб-контента, молодежь и кибербезопасность, справедливый доступ к ИКТ для маргинализированных групп − особенно в сельских и отдаленных районах − и цифровая связь в чрезвычайных ситуациях. Такой комплексный подход к созданию потенциала позволил молодежи стать движущей силой инклюзивной цифровой трансформации в своих сообществах.</w:t>
            </w:r>
          </w:p>
          <w:p w14:paraId="78863341" w14:textId="77777777" w:rsidR="008E5A7C" w:rsidRPr="006D102C" w:rsidRDefault="008E5A7C" w:rsidP="00E618F7">
            <w:r w:rsidRPr="006D102C">
              <w:t>Кроме того, в рамках процесса подготовки к ГМС-25 МСЭ содействовал проведению консультаций с представителями GCYE, для того чтобы узнать их ценные взгляды на проблемы и возможности в области ИКТ и обеспечить учет приоритетов молодежи при формировании региональных стратегий и глобальных процессов принятия решений.</w:t>
            </w:r>
          </w:p>
          <w:p w14:paraId="4F694F9B" w14:textId="77777777" w:rsidR="008E5A7C" w:rsidRPr="006D102C" w:rsidRDefault="008E5A7C" w:rsidP="00E618F7">
            <w:r w:rsidRPr="006D102C">
              <w:t>Одним из ключевых событий в рамках работы МСЭ по привлечению молодежи стал ГМС-25, который прошел в Варадеро, Куба, и был посвящен теме "Усиление голоса молодежи для создания более открытого для всех и взаимосвязанного цифрового мира". В работе саммита приняли участие более 400 человек из 31 страны и всех шести регионов мира. В ходе 12 динамичных сессий в течение трех дней молодые люди демонстрировали свои инициативы, обменивались передовым опытом, участвовали в диалоге между поколениями и налаживали связи для будущего сотрудничества. Молодежь обозначила свои приоритеты в области цифрового развития и предложила конкретные решения, тем самым укрепив свою роль в формировании глобальных стратегий в области ИКТ.</w:t>
            </w:r>
          </w:p>
          <w:p w14:paraId="161FC50D" w14:textId="77777777" w:rsidR="008E5A7C" w:rsidRPr="006D102C" w:rsidRDefault="008E5A7C" w:rsidP="00E618F7">
            <w:pPr>
              <w:rPr>
                <w:iCs/>
              </w:rPr>
            </w:pPr>
            <w:r w:rsidRPr="006D102C">
              <w:rPr>
                <w:i/>
              </w:rPr>
              <w:t xml:space="preserve">Ключевые результаты ГМС-25 включают: </w:t>
            </w:r>
            <w:r w:rsidRPr="006D102C">
              <w:rPr>
                <w:iCs/>
              </w:rPr>
              <w:t>усиление голоса молодежи в процессе формирования политики для обеспечения приемлемого в ценовом отношении и всеобщего доступа к ИКТ; укрепление цифровых навыков для расширения прав и возможностей молодежи с целью ее безопасного и эффективного участия в цифровой экономике; укрепление роли МСЭ как платформы цифрового образования и трудоустройства для молодежи; а также содействие осуществляемым молодежью инновациям и предпринимательству как катализаторам социально-экономического развития.</w:t>
            </w:r>
          </w:p>
          <w:p w14:paraId="5BD75219" w14:textId="77777777" w:rsidR="008E5A7C" w:rsidRPr="006D102C" w:rsidRDefault="008E5A7C" w:rsidP="00E618F7">
            <w:r w:rsidRPr="006D102C">
              <w:rPr>
                <w:i/>
              </w:rPr>
              <w:t xml:space="preserve">Программа молодых лидеров "Поколение подключений" (GCYLP): </w:t>
            </w:r>
            <w:r w:rsidRPr="006D102C">
              <w:rPr>
                <w:iCs/>
              </w:rPr>
              <w:t>первая международная группа из 30 стипендиатов GCYLP, отобранных из 5000 кандидатов, укрепила свои навыки лидерства, инновационного мышления и управления проектами в рамках Недели развития GCYLP.</w:t>
            </w:r>
            <w:r w:rsidRPr="006D102C">
              <w:rPr>
                <w:i/>
              </w:rPr>
              <w:t xml:space="preserve"> </w:t>
            </w:r>
            <w:r w:rsidRPr="006D102C">
              <w:t xml:space="preserve">Каждый стипендиат получил грант в размере 5000 долларов США на реализацию цифровых проектов в своих сообществах и продолжает участвовать в ежемесячных виртуальных сессиях и практических занятиях по наставничеству и отслеживанию прогресса. Пять стипендиатов получили дополнительное финансирование на общую сумму </w:t>
            </w:r>
            <w:r w:rsidRPr="006D102C">
              <w:lastRenderedPageBreak/>
              <w:t>750 000 долларов США от других организаций, что повысило устойчивость проекта. Благодаря поддержке проекта они расширили свое влияние и связи, приняв участие в качестве докладчиков в крупных глобальных мероприятиях в 2024 году, включая Форум МСЭ по цифровым навыкам в Бахрейне, Всемирный форум МСЭ по инновациям на Мальте, собрание 1</w:t>
            </w:r>
            <w:r w:rsidRPr="006D102C">
              <w:rPr>
                <w:rFonts w:ascii="Cambria Math" w:hAnsi="Cambria Math" w:cs="Cambria Math"/>
              </w:rPr>
              <w:t>‑</w:t>
            </w:r>
            <w:r w:rsidRPr="006D102C">
              <w:t>й Исследовательской комиссии МСЭ-D, КС-29 в Азербайджане и Всемирную интернет-конференцию в Китае. Прием заявок на участие во второй группе стипендиатов GCYLP был открыт на Всемирном мобильном конгрессе в Барселоне, Испания.</w:t>
            </w:r>
          </w:p>
          <w:p w14:paraId="6E7562C5" w14:textId="77777777" w:rsidR="008E5A7C" w:rsidRPr="006D102C" w:rsidRDefault="008E5A7C" w:rsidP="00E618F7">
            <w:pPr>
              <w:rPr>
                <w:bCs/>
              </w:rPr>
            </w:pPr>
            <w:r w:rsidRPr="006D102C">
              <w:rPr>
                <w:b/>
              </w:rPr>
              <w:t>Продвижение гендерного равенства в цифровом мире</w:t>
            </w:r>
            <w:r w:rsidRPr="006D102C">
              <w:rPr>
                <w:bCs/>
              </w:rPr>
              <w:t>: БРЭ активизировало свои глобальные усилия по преодолению цифрового гендерного разрыва с помощью эффективных инициатив и партнерств.</w:t>
            </w:r>
          </w:p>
          <w:p w14:paraId="285B09AB" w14:textId="77777777" w:rsidR="008E5A7C" w:rsidRPr="006D102C" w:rsidRDefault="008E5A7C" w:rsidP="00E618F7">
            <w:r w:rsidRPr="006D102C">
              <w:t xml:space="preserve">Сеть женщин в МСЭ-D продолжала активно работать, организуя обсуждения по гендерным вопросам на ключевых мероприятиях в ходе КГРЭ-24 и ГСР-24. В рамках проекта "Создание сети женщин-руководителей", осуществляемого при поддержке Саудовской Аравии, была запущена программа наставничества, насчитывающая более 160 участниц и призванная укрепить лидерские позиции женщин в сфере ИКТ в преддверии ВКРЭ-25. </w:t>
            </w:r>
          </w:p>
          <w:p w14:paraId="478EA064" w14:textId="37BAD6DE" w:rsidR="008E5A7C" w:rsidRPr="006D102C" w:rsidRDefault="008E5A7C" w:rsidP="00E618F7">
            <w:r w:rsidRPr="006D102C">
              <w:t>При поддержке Государственного департамента США были подготовлены отчеты по гендерной политике для Доминиканской Республики и Ливии.</w:t>
            </w:r>
          </w:p>
          <w:p w14:paraId="45ABE9CE" w14:textId="76DDD82B" w:rsidR="008E5A7C" w:rsidRPr="006D102C" w:rsidRDefault="008E5A7C" w:rsidP="00E618F7">
            <w:r w:rsidRPr="006D102C">
              <w:t>В 2024 году День "Девушки в ИКТ" отмечался во всем мире: в более чем 84 странах было проведено 193 мероприятия, в которых приняли участие более 40 000 девушек и молодых женщин. Уже ведется подготовка к празднованию Международного дня "Девушки в ИКТ" 2025 года, который совместно организуют страны СНГ и арабские государства.</w:t>
            </w:r>
          </w:p>
          <w:p w14:paraId="6F3556A1" w14:textId="77777777" w:rsidR="008E5A7C" w:rsidRPr="006D102C" w:rsidRDefault="008E5A7C" w:rsidP="00E618F7">
            <w:r w:rsidRPr="006D102C">
              <w:t>В рамках инициативы "Ее цифровые навыки" партнерства "РАВНЫЕ", реализуемой в партнерстве с Qualcomm, Verizon и Ernst &amp; Young, 1448 девушек и молодых женщин из 14 стран повысили уровень своих знаний и уверенности для использования своих цифровых навыков. Кроме того, на базе Академии МСЭ было запущено 13 учебных курсов, что стало дополнительным вкладом в развитие цифровых навыков для всех во всем мире.</w:t>
            </w:r>
          </w:p>
          <w:p w14:paraId="6C4953AC" w14:textId="15D1D632" w:rsidR="008E5A7C" w:rsidRPr="006D102C" w:rsidRDefault="008E5A7C" w:rsidP="00E618F7">
            <w:r w:rsidRPr="006D102C">
              <w:t>В 2024 году БРЭ продолжило добиваться прогресса в области разнообразия и интеграции, являющихся ключевыми факторами развития цифровых технологий, координируя усилия во всех регионах МСЭ при активной поддержке штаб-квартиры.</w:t>
            </w:r>
          </w:p>
          <w:p w14:paraId="541BF0FC" w14:textId="77777777" w:rsidR="008E5A7C" w:rsidRPr="006D102C" w:rsidRDefault="008E5A7C" w:rsidP="00E618F7">
            <w:pPr>
              <w:pStyle w:val="Headingb"/>
              <w:rPr>
                <w:lang w:val="ru-RU"/>
              </w:rPr>
            </w:pPr>
            <w:r w:rsidRPr="006D102C">
              <w:rPr>
                <w:lang w:val="ru-RU"/>
              </w:rPr>
              <w:t>Основные региональные виды деятельности</w:t>
            </w:r>
            <w:r w:rsidRPr="006D102C">
              <w:rPr>
                <w:b w:val="0"/>
                <w:bCs/>
                <w:lang w:val="ru-RU"/>
              </w:rPr>
              <w:t>:</w:t>
            </w:r>
          </w:p>
          <w:p w14:paraId="4EF8C4FE" w14:textId="5A8F900F" w:rsidR="008E5A7C" w:rsidRPr="006D102C" w:rsidRDefault="00E618F7" w:rsidP="00E618F7">
            <w:pPr>
              <w:pStyle w:val="enumlev1"/>
            </w:pPr>
            <w:r w:rsidRPr="006D102C">
              <w:rPr>
                <w:rFonts w:cs="Calibri"/>
              </w:rPr>
              <w:t>•</w:t>
            </w:r>
            <w:r w:rsidRPr="006D102C">
              <w:tab/>
            </w:r>
            <w:r w:rsidR="008E5A7C" w:rsidRPr="006D102C">
              <w:rPr>
                <w:bCs/>
              </w:rPr>
              <w:t>В</w:t>
            </w:r>
            <w:r w:rsidR="008E5A7C" w:rsidRPr="006D102C">
              <w:rPr>
                <w:b/>
              </w:rPr>
              <w:t xml:space="preserve"> Африканском регионе </w:t>
            </w:r>
            <w:r w:rsidR="008E5A7C" w:rsidRPr="006D102C">
              <w:rPr>
                <w:bCs/>
              </w:rPr>
              <w:t xml:space="preserve">был разработан первый проект национальной стратегии охвата цифровыми технологиями в Бурунди. </w:t>
            </w:r>
            <w:r w:rsidR="008E5A7C" w:rsidRPr="006D102C">
              <w:t>Эта стратегическая инициатива позволила повысить осведомленность и усилить поддержку заинтересованных сторон при разработке национальной стратегии на основе целостного и межсекторального подхода, направленной на обеспечение равного и справедливого доступ к технологиям, возможности их использования и получения знаний о них для всех пользователей, а также возможности активного участия в жизни цифрового общества и в цифровой экономике в Бурунди.</w:t>
            </w:r>
          </w:p>
          <w:p w14:paraId="38AA2F1F" w14:textId="35382EB8" w:rsidR="008E5A7C" w:rsidRPr="006D102C" w:rsidRDefault="00E618F7" w:rsidP="00E618F7">
            <w:pPr>
              <w:pStyle w:val="enumlev1"/>
            </w:pPr>
            <w:r w:rsidRPr="006D102C">
              <w:tab/>
            </w:r>
            <w:r w:rsidR="008E5A7C" w:rsidRPr="006D102C">
              <w:t xml:space="preserve">Была проведена программа профессиональной подготовки в области ИКТ для коренного населения Африки. Эта программа была разработана специально для сельских сообществ на основе успешной модели, реализованной в </w:t>
            </w:r>
            <w:r w:rsidR="008E5A7C" w:rsidRPr="006D102C">
              <w:lastRenderedPageBreak/>
              <w:t>Латинской Америке и адаптированной к африканскому контексту. Цель программы − дать представителям коренных народов Африки базовые знания в области ИКТ и практические цифровые навыки. Программа предусматривает всестороннюю подготовку в области цифровых технологий, включая разработку, развертывание и обслуживание оборудования, а также использование цифровых платформ. Она обеспечивает эффективный охват сельских и отдаленных сообществ, а также сообществ коренных народов и позволяет повысить уровень цифровой грамотности, расширить возможности для получения образования и социально-экономического участия.</w:t>
            </w:r>
          </w:p>
          <w:p w14:paraId="73DE92D9" w14:textId="476520F6" w:rsidR="008E5A7C" w:rsidRPr="006D102C" w:rsidRDefault="00E618F7" w:rsidP="00E618F7">
            <w:pPr>
              <w:pStyle w:val="enumlev1"/>
            </w:pPr>
            <w:r w:rsidRPr="006D102C">
              <w:tab/>
            </w:r>
            <w:r w:rsidR="008E5A7C" w:rsidRPr="006D102C">
              <w:t>Охват молодежи по-прежнему занимает центральное место в работе БРЭ в Африке. Региональное отделение в Африке содействовало проведению символичной церемонии "Передачи факела", в ходе которой выпускники GCYE наставляли будущих посланников молодежи, делясь практическими знаниями и укрепляя культуру преемственности руководства. Это мероприятие, проходившее в формате наставничества, вдохновило новое поколение участников и подчеркнуло их жизненно важную роль в формировании цифрового развития на континенте. В течение 2024 года посланники молодежи из Африки участвовали в исследованиях и консультациях, вырабатывая комплексные рекомендации по цифровому развитию с учетом интересов молодежи, что позволило еще больше укрепить их роль в региональных процессах формирования цифровой политики.</w:t>
            </w:r>
          </w:p>
          <w:p w14:paraId="3CB47FD3" w14:textId="220DF691" w:rsidR="008E5A7C" w:rsidRPr="006D102C" w:rsidRDefault="00E618F7" w:rsidP="00E618F7">
            <w:pPr>
              <w:pStyle w:val="enumlev1"/>
            </w:pPr>
            <w:r w:rsidRPr="006D102C">
              <w:rPr>
                <w:rFonts w:cs="Calibri"/>
              </w:rPr>
              <w:t>•</w:t>
            </w:r>
            <w:r w:rsidRPr="006D102C">
              <w:tab/>
            </w:r>
            <w:r w:rsidR="008E5A7C" w:rsidRPr="006D102C">
              <w:rPr>
                <w:bCs/>
              </w:rPr>
              <w:t>В</w:t>
            </w:r>
            <w:r w:rsidR="008E5A7C" w:rsidRPr="000B000B">
              <w:rPr>
                <w:bCs/>
              </w:rPr>
              <w:t xml:space="preserve"> </w:t>
            </w:r>
            <w:r w:rsidR="008E5A7C" w:rsidRPr="006D102C">
              <w:rPr>
                <w:b/>
              </w:rPr>
              <w:t>Северной и Южной Америк</w:t>
            </w:r>
            <w:r w:rsidR="009A5771" w:rsidRPr="006D102C">
              <w:rPr>
                <w:b/>
              </w:rPr>
              <w:t>е</w:t>
            </w:r>
            <w:r w:rsidR="008E5A7C" w:rsidRPr="000B000B">
              <w:rPr>
                <w:bCs/>
              </w:rPr>
              <w:t xml:space="preserve"> </w:t>
            </w:r>
            <w:r w:rsidR="008E5A7C" w:rsidRPr="006D102C">
              <w:rPr>
                <w:bCs/>
              </w:rPr>
              <w:t>более 130 делегатов от Государств-Членов повысили уровень своих знаний и осведомленности о доступности ИКТ, что послужило толчком к принятию обязательств по внедрению всеохватной цифровой политики на национальном уровне во время мероприятия "Доступная Северная и Южная Америка − 2024" в Мексике. Мероприятие также способствовало обмену передовым опытом в области охвата цифровыми технологиями в регионе. В продолжение достигнутых результатов уже ведется подготовка к мероприятию "Доступная Северная и Южная Америка − 2025".</w:t>
            </w:r>
          </w:p>
          <w:p w14:paraId="73989831" w14:textId="2E1303F2" w:rsidR="008E5A7C" w:rsidRPr="006D102C" w:rsidDel="00B941B9" w:rsidRDefault="00E618F7" w:rsidP="00E618F7">
            <w:pPr>
              <w:pStyle w:val="enumlev1"/>
            </w:pPr>
            <w:r w:rsidRPr="006D102C">
              <w:tab/>
            </w:r>
            <w:r w:rsidR="008E5A7C" w:rsidRPr="006D102C">
              <w:t>Практическое учебное занятие по управлению проектами и обслуживанию сетей ИКТ для представителей сообществ коренных народов и отдаленных сообществ позволило 133 участникам из 11 стран получить практические навыки для укрепления местной цифровой инфраструктуры.</w:t>
            </w:r>
          </w:p>
          <w:p w14:paraId="40138823" w14:textId="478DAD26" w:rsidR="008E5A7C" w:rsidRPr="000B000B" w:rsidRDefault="00E618F7" w:rsidP="00E618F7">
            <w:pPr>
              <w:pStyle w:val="enumlev1"/>
              <w:rPr>
                <w:lang w:val="en-GB"/>
              </w:rPr>
            </w:pPr>
            <w:r w:rsidRPr="006D102C">
              <w:tab/>
            </w:r>
            <w:r w:rsidR="008E5A7C" w:rsidRPr="006D102C">
              <w:t>Семинары-практикумы "Девушки в ИКТ" посетили 1448 девушек и молодых женщин из 14 стран региона, что способствовало развитию этого глобального движения, в котором приняли участие более 40 000 участниц из 84 стран. Эти инициативы продолжают набирать силу, и уже ведется региональная подготовка к мероприятиям 2025 года, которые пройдут в Бразилии и Чили.</w:t>
            </w:r>
          </w:p>
          <w:p w14:paraId="485A75C4" w14:textId="2935C1AD" w:rsidR="008E5A7C" w:rsidRPr="006D102C" w:rsidDel="00B941B9" w:rsidRDefault="00E618F7" w:rsidP="00E618F7">
            <w:pPr>
              <w:pStyle w:val="enumlev1"/>
            </w:pPr>
            <w:r w:rsidRPr="006D102C">
              <w:tab/>
            </w:r>
            <w:r w:rsidR="008E5A7C" w:rsidRPr="006D102C">
              <w:t>GCYE активно участвовали в обсуждении национальных цифровых стратегий, укрепив свою роль в формировании открытого для всех цифрового будущего; в частности, они приняли участие в различных мероприятиях, таких как субрегиональный семинар "Приоритеты для молодежи в цифровом мире: рабочие места и образование", проходивший в Чили при совместном участии Государств-Членов и лидеров отрасли электросвязи и посвященный теме этого года "Цифровые инновации для устойчивого развития".</w:t>
            </w:r>
          </w:p>
          <w:p w14:paraId="5164ABE1" w14:textId="48C1C447" w:rsidR="008E5A7C" w:rsidRPr="006D102C" w:rsidRDefault="00E618F7" w:rsidP="00E618F7">
            <w:pPr>
              <w:pStyle w:val="enumlev1"/>
            </w:pPr>
            <w:r w:rsidRPr="006D102C">
              <w:rPr>
                <w:rFonts w:cs="Calibri"/>
              </w:rPr>
              <w:lastRenderedPageBreak/>
              <w:t>•</w:t>
            </w:r>
            <w:r w:rsidRPr="006D102C">
              <w:tab/>
            </w:r>
            <w:r w:rsidR="008E5A7C" w:rsidRPr="006D102C">
              <w:rPr>
                <w:bCs/>
              </w:rPr>
              <w:t>В</w:t>
            </w:r>
            <w:r w:rsidR="008E5A7C" w:rsidRPr="000B000B">
              <w:rPr>
                <w:bCs/>
              </w:rPr>
              <w:t xml:space="preserve"> </w:t>
            </w:r>
            <w:r w:rsidR="008E5A7C" w:rsidRPr="006D102C">
              <w:rPr>
                <w:b/>
              </w:rPr>
              <w:t>регионе арабских государств</w:t>
            </w:r>
            <w:r w:rsidR="008E5A7C" w:rsidRPr="000B000B">
              <w:rPr>
                <w:bCs/>
              </w:rPr>
              <w:t xml:space="preserve"> </w:t>
            </w:r>
            <w:r w:rsidR="008E5A7C" w:rsidRPr="006D102C">
              <w:t>ведется подготовка к мероприятию 2025 года − "Доступный Арабский регион − ИКТ для всех". Оно пройдет в Иордании с 29 по 30 апреля.</w:t>
            </w:r>
          </w:p>
          <w:p w14:paraId="1E22C21D" w14:textId="4C93A199" w:rsidR="008E5A7C" w:rsidRPr="006D102C" w:rsidRDefault="00E618F7" w:rsidP="00E618F7">
            <w:pPr>
              <w:pStyle w:val="enumlev1"/>
            </w:pPr>
            <w:r w:rsidRPr="006D102C">
              <w:tab/>
            </w:r>
            <w:r w:rsidR="008E5A7C" w:rsidRPr="006D102C">
              <w:t>Празднование Дня "Девушки в ИКТ" 2024 года прошло в Ливане, Египте и Палестине. Проведенные мероприятия вдохновили сотни девушек, способствовали популяризации идеи цифрового гражданства и дали старт национальным кампаниям, направленным на то, чтобы дать девушкам и молодым женщинам навыки и уверенность, необходимые для успешного участия в цифровой экономике.</w:t>
            </w:r>
          </w:p>
          <w:p w14:paraId="367D912D" w14:textId="56AB4133" w:rsidR="008E5A7C" w:rsidRPr="006D102C" w:rsidRDefault="00E618F7" w:rsidP="00E618F7">
            <w:pPr>
              <w:pStyle w:val="enumlev1"/>
            </w:pPr>
            <w:r w:rsidRPr="006D102C">
              <w:rPr>
                <w:rFonts w:eastAsia="Calibri"/>
              </w:rPr>
              <w:tab/>
            </w:r>
            <w:r w:rsidR="008E5A7C" w:rsidRPr="006D102C">
              <w:rPr>
                <w:rFonts w:eastAsia="Calibri"/>
              </w:rPr>
              <w:t>GCYE приняли участие в региональных форумах и платформах, предоставивших возможности для наставничества и обмена знаниями, таких как мероприятие "Передача факела" для Арабского региона, которое способствовало наставничеству и передаче знаний от предыдущей группы выпускников инициативы "Поколение подключений" из арабских стран новой группе GCYE из региона.</w:t>
            </w:r>
          </w:p>
          <w:p w14:paraId="0A373F7F" w14:textId="3C2C78FE" w:rsidR="008E5A7C" w:rsidRPr="006D102C" w:rsidRDefault="00E618F7" w:rsidP="00E618F7">
            <w:pPr>
              <w:pStyle w:val="enumlev1"/>
              <w:rPr>
                <w:rFonts w:eastAsia="Calibri"/>
              </w:rPr>
            </w:pPr>
            <w:r w:rsidRPr="006D102C">
              <w:rPr>
                <w:rFonts w:cs="Calibri"/>
              </w:rPr>
              <w:t>•</w:t>
            </w:r>
            <w:r w:rsidRPr="006D102C">
              <w:tab/>
            </w:r>
            <w:r w:rsidR="008E5A7C" w:rsidRPr="006D102C">
              <w:rPr>
                <w:rFonts w:eastAsia="Calibri"/>
                <w:bCs/>
              </w:rPr>
              <w:t>В</w:t>
            </w:r>
            <w:r w:rsidR="008E5A7C" w:rsidRPr="000B000B">
              <w:rPr>
                <w:rFonts w:eastAsia="Calibri"/>
                <w:bCs/>
              </w:rPr>
              <w:t xml:space="preserve"> </w:t>
            </w:r>
            <w:r w:rsidR="008E5A7C" w:rsidRPr="006D102C">
              <w:rPr>
                <w:rFonts w:eastAsia="Calibri"/>
                <w:b/>
              </w:rPr>
              <w:t>Азиатско-Тихоокеанском регионе</w:t>
            </w:r>
            <w:r w:rsidR="008E5A7C" w:rsidRPr="000B000B">
              <w:rPr>
                <w:rFonts w:eastAsia="Calibri"/>
                <w:bCs/>
              </w:rPr>
              <w:t xml:space="preserve"> </w:t>
            </w:r>
            <w:r w:rsidR="008E5A7C" w:rsidRPr="006D102C">
              <w:rPr>
                <w:rFonts w:eastAsia="Calibri"/>
              </w:rPr>
              <w:t>БРЭ способствовало охвату цифровыми технологиями путем повышения уровня осведомленности о потребностях пожилых людей, особенно пожилых женщин, в цифровой грамотности и понимания этих потребностей. Участие БРЭ в региональных форумах, организованных совместно с такими партнерами, как ЭСКАТО ООН и CPDRC, способствовало разработке учебных материалов, учитывающих гендерные аспекты, расширению потенциала заинтересованных сторон и укреплению политической базы, тем самым способствуя более тесной социальной интеграции и более широкому доступу к важнейшим цифровым услугам.</w:t>
            </w:r>
          </w:p>
          <w:p w14:paraId="048B9DF1" w14:textId="112A8902" w:rsidR="008E5A7C" w:rsidRPr="006D102C" w:rsidRDefault="00E618F7" w:rsidP="00E618F7">
            <w:pPr>
              <w:pStyle w:val="enumlev1"/>
              <w:rPr>
                <w:rFonts w:eastAsiaTheme="minorEastAsia"/>
              </w:rPr>
            </w:pPr>
            <w:r w:rsidRPr="006D102C">
              <w:rPr>
                <w:rFonts w:eastAsiaTheme="minorEastAsia"/>
              </w:rPr>
              <w:tab/>
            </w:r>
            <w:r w:rsidR="008E5A7C" w:rsidRPr="006D102C">
              <w:rPr>
                <w:rFonts w:eastAsiaTheme="minorEastAsia"/>
              </w:rPr>
              <w:t>Празднование Дня "Девушки в ИКТ" прошло в 11 странах, включая Индию, Индонезию, Малайзию, Филиппины, Таиланд и Вануату; более 3000 человек приняли участие в сессиях по кодированию, обучении цифровой грамотности и программах лидерства. Эти мероприятия, проведенные в сотрудничестве с правительствами, учреждениями ООН, частным сектором и гражданским обществом, не только укрепили коллективные сети, но и позволили девушкам и молодым женщинам активно выступать за гендерную интеграцию, повысив уровень их уверенности и цифровых навыков для построения более открытого для всех цифрового будущего.</w:t>
            </w:r>
          </w:p>
          <w:p w14:paraId="7B36DFDE" w14:textId="27D6D850" w:rsidR="008E5A7C" w:rsidRPr="006D102C" w:rsidRDefault="00E618F7" w:rsidP="00E618F7">
            <w:pPr>
              <w:pStyle w:val="enumlev1"/>
              <w:rPr>
                <w:rFonts w:eastAsiaTheme="minorEastAsia"/>
              </w:rPr>
            </w:pPr>
            <w:r w:rsidRPr="006D102C">
              <w:rPr>
                <w:rFonts w:eastAsiaTheme="minorEastAsia"/>
              </w:rPr>
              <w:tab/>
            </w:r>
            <w:r w:rsidR="008E5A7C" w:rsidRPr="006D102C">
              <w:rPr>
                <w:rFonts w:eastAsiaTheme="minorEastAsia"/>
              </w:rPr>
              <w:t>В результате целенаправленных усилий по расширению прав и возможностей молодежи в 2024 году из семи стран был выбран 21 новый посланник молодежи, что значительно расширило охват и влияние программы. Активное участие в крупных международных форумах, таких как ВАСЭ-24 в Индии, Всемирный форум по инновациям на Мальте и семинар МСЭ и MIIT в Китае, а также специализированных учебных программах, например "Зерна электросвязи для будущего" в Китае и церемония "Передачи факела" GCYE, обеспечило молодым людям ценную возможность внести значимый вклад в глобальные цифровые диалоги и на практике познакомиться с передовыми технологиями, включая ИИ, 5G и "зеленые" технологии.</w:t>
            </w:r>
          </w:p>
          <w:p w14:paraId="03374622" w14:textId="2A4F9953" w:rsidR="008E5A7C" w:rsidRPr="000B000B" w:rsidRDefault="00E618F7" w:rsidP="00E618F7">
            <w:pPr>
              <w:pStyle w:val="enumlev1"/>
              <w:rPr>
                <w:rFonts w:eastAsia="Calibri"/>
                <w:bCs/>
              </w:rPr>
            </w:pPr>
            <w:r w:rsidRPr="006D102C">
              <w:rPr>
                <w:rFonts w:cs="Calibri"/>
              </w:rPr>
              <w:t>•</w:t>
            </w:r>
            <w:r w:rsidRPr="006D102C">
              <w:tab/>
            </w:r>
            <w:r w:rsidR="008E5A7C" w:rsidRPr="006D102C">
              <w:rPr>
                <w:rFonts w:eastAsia="Calibri"/>
                <w:bCs/>
              </w:rPr>
              <w:t>В</w:t>
            </w:r>
            <w:r w:rsidR="008E5A7C" w:rsidRPr="000B000B">
              <w:rPr>
                <w:rFonts w:eastAsia="Calibri"/>
                <w:bCs/>
              </w:rPr>
              <w:t xml:space="preserve"> </w:t>
            </w:r>
            <w:r w:rsidR="008E5A7C" w:rsidRPr="006D102C">
              <w:rPr>
                <w:rFonts w:eastAsia="Calibri"/>
                <w:b/>
              </w:rPr>
              <w:t xml:space="preserve">Европейском </w:t>
            </w:r>
            <w:r w:rsidR="008E5A7C" w:rsidRPr="006D102C">
              <w:rPr>
                <w:rFonts w:eastAsia="Calibri"/>
                <w:b/>
                <w:bCs/>
              </w:rPr>
              <w:t>регионе</w:t>
            </w:r>
            <w:r w:rsidR="008E5A7C" w:rsidRPr="006D102C">
              <w:rPr>
                <w:rFonts w:eastAsia="Calibri"/>
              </w:rPr>
              <w:t xml:space="preserve"> в 2024 году наблюдался прогресс в расширении прав и возможностей молодых женщин и девушек в цифровой сфере за счет целевых инициатив, направленных на развитие лидерства, интеграции и сотрудничества между поколениями.</w:t>
            </w:r>
            <w:r w:rsidR="008E5A7C" w:rsidRPr="006D102C">
              <w:rPr>
                <w:rFonts w:eastAsia="Calibri"/>
                <w:b/>
              </w:rPr>
              <w:t xml:space="preserve"> </w:t>
            </w:r>
            <w:r w:rsidR="008E5A7C" w:rsidRPr="006D102C">
              <w:rPr>
                <w:rFonts w:eastAsia="Calibri"/>
              </w:rPr>
              <w:t xml:space="preserve">Празднование Дня "Девушки в ИКТ" 2024 года для Европейского региона, </w:t>
            </w:r>
            <w:r w:rsidR="008E5A7C" w:rsidRPr="006D102C">
              <w:rPr>
                <w:rFonts w:eastAsia="Calibri"/>
              </w:rPr>
              <w:lastRenderedPageBreak/>
              <w:t>проходившее в виртуальном режиме и посвященное теме "Лидерство", вдохновило девушек по всему региону на выбор карьеры в сфере STEM, дав им возможность пообщаться с женщинами-лидерами в сфере технологий и предоставив практические инструменты для достижения успеха. Это мероприятие, подготовленное в консультации с молодежью, позволило усилить голоса Группы европейской молодежи инициативы "Поколение подключений" и продемонстрировать, как молодые женщины формируют цифровую трансформацию, а также привлекло внимание к тем трудностям, с которыми они по-прежнему сталкиваются.</w:t>
            </w:r>
          </w:p>
          <w:p w14:paraId="7A8A2AD7" w14:textId="1327DDD1" w:rsidR="008E5A7C" w:rsidRPr="006D102C" w:rsidRDefault="00E618F7" w:rsidP="00E618F7">
            <w:pPr>
              <w:pStyle w:val="enumlev1"/>
            </w:pPr>
            <w:r w:rsidRPr="006D102C">
              <w:tab/>
            </w:r>
            <w:r w:rsidR="008E5A7C" w:rsidRPr="006D102C">
              <w:t>Усилия по укреплению гендерного баланса в региональном процессе принятия решений получили дальнейшее развитие благодаря мероприятию "Расширение прав и возможностей для обеспечения гендерного баланса в МСЭ-D", проведенному параллельно с пленарным заседанием Комитета по политике МСЭ (Ком-МСЭ). В ходе мероприятия национальные администрации были призваны расширить участие женщин в процессах МСЭ и разработке политики в цифровой сфере, причем особое внимание уделялось всеохватному лидерству как движущей силе цифрового развития.</w:t>
            </w:r>
          </w:p>
          <w:p w14:paraId="219A658F" w14:textId="7B754B7A" w:rsidR="008E5A7C" w:rsidRPr="006D102C" w:rsidDel="00694BF1" w:rsidRDefault="00E618F7" w:rsidP="00E618F7">
            <w:pPr>
              <w:pStyle w:val="enumlev1"/>
            </w:pPr>
            <w:r w:rsidRPr="006D102C">
              <w:tab/>
            </w:r>
            <w:r w:rsidR="008E5A7C" w:rsidRPr="006D102C">
              <w:t>Для усиления взаимодействия с молодежью, в рамках Европейского диалога между поколениями инициативы "Поколение подключений" было укреплено сотрудничество между национальными администрациями и посланниками молодежи, что способствовало вовлечению молодежи в местные цифровые инициативы. Этот импульс получил дальнейшее развитие благодаря сопутствующему мероприятию Группы европейской молодежи инициативы "Поколение подключений", организованному Отделением МСЭ для Европы в рамках пленарного заседания Ком-МСЭ Европейской конференции администраций почт и электросвязи (СЕПТ). В ходе заседания состоялось знакомство недавно назначенной группы посланников молодежи с представителями европейских стран, что способствовало признанию значимости голоса молодежи и налаживанию постоянного диалога по региональным приоритетам в области цифровых технологий. Ярким примером такого сотрудничества стал проект "DART" в Албании, в рамках которого посланники молодежи сыграли ключевую роль в формировании стратегии цифрового сельского хозяйства страны, тем самым обеспечив учет мнений молодежи в усилиях страны в области цифровой трансформации.</w:t>
            </w:r>
          </w:p>
          <w:p w14:paraId="3B36D546" w14:textId="56FFE393" w:rsidR="008E5A7C" w:rsidRPr="000B000B" w:rsidRDefault="00E618F7" w:rsidP="00E618F7">
            <w:pPr>
              <w:pStyle w:val="enumlev1"/>
            </w:pPr>
            <w:r w:rsidRPr="006D102C">
              <w:rPr>
                <w:rFonts w:cs="Calibri"/>
              </w:rPr>
              <w:t>•</w:t>
            </w:r>
            <w:r w:rsidRPr="006D102C">
              <w:tab/>
            </w:r>
            <w:r w:rsidR="008E5A7C" w:rsidRPr="006D102C">
              <w:t>В</w:t>
            </w:r>
            <w:r w:rsidR="008E5A7C" w:rsidRPr="000B000B">
              <w:t xml:space="preserve"> </w:t>
            </w:r>
            <w:r w:rsidR="008E5A7C" w:rsidRPr="006D102C">
              <w:rPr>
                <w:b/>
                <w:bCs/>
              </w:rPr>
              <w:t>регионе СНГ</w:t>
            </w:r>
            <w:r w:rsidR="008E5A7C" w:rsidRPr="000B000B">
              <w:t xml:space="preserve"> </w:t>
            </w:r>
            <w:r w:rsidR="008E5A7C" w:rsidRPr="006D102C">
              <w:t>БРЭ содействовало охвату цифровыми технологиями, в частности, путем продвижения доступных технологий и развития цифровых навыков с учетом гендерных аспектов. Одним из ключевых событий стал региональный семинар-практикум МСЭ "Передовые технологии для поддержки устойчивого, инклюзивного и доступного общества", проведенный в ноябре 2024 года в Минске, Беларусь; мероприятие способствовало укреплению потенциала заинтересованных сторон в области всеобъемлющей политики ИКТ и позволило представить успешные образовательные программы для лиц с ограниченными возможностями и с особыми потребностями, тем самым усилив работу по обеспечению цифрового доступа для всех.</w:t>
            </w:r>
          </w:p>
          <w:p w14:paraId="41A0AC5B" w14:textId="31CA5C4A" w:rsidR="008E5A7C" w:rsidRPr="006D102C" w:rsidRDefault="00E618F7" w:rsidP="00E618F7">
            <w:pPr>
              <w:pStyle w:val="enumlev1"/>
              <w:rPr>
                <w:highlight w:val="yellow"/>
              </w:rPr>
            </w:pPr>
            <w:r w:rsidRPr="006D102C">
              <w:tab/>
            </w:r>
            <w:r w:rsidR="008E5A7C" w:rsidRPr="006D102C">
              <w:t xml:space="preserve">В рамках празднования Международного дня "Девушки в ИКТ" 2025 года в Бишкеке, Кыргызстан, прошел Центральноазиатский форум TechnoWomen, в котором приняли участие женщины-руководители из государственных структур, бизнеса, гражданского общества и академических организаций, чтобы обсудить </w:t>
            </w:r>
            <w:r w:rsidR="008E5A7C" w:rsidRPr="006D102C">
              <w:lastRenderedPageBreak/>
              <w:t>трудности, препятствующие участию женщин в цифровой среде. Основное внимание на форуме было уделено развитию практических навыков в области обеспечения безопасности в онлайновой среде, цифрового предпринимательства, социальных сетей и связей с общественностью; форум позволил женщинам расширить свои возможности благодаря практическим мастер-классам, сессиям наставничества и установлению контактов. Мероприятие укрепило региональное сотрудничество и открыло новые возможности для женщин и девушек, помогая им стать уверенными лидерами в области цифровых технологий и способствуя созданию более открытой для всех цифровой экономики в Центральной Азии и за ее пределами.</w:t>
            </w:r>
          </w:p>
        </w:tc>
        <w:tc>
          <w:tcPr>
            <w:tcW w:w="2700" w:type="dxa"/>
            <w:tcBorders>
              <w:top w:val="dotted" w:sz="4" w:space="0" w:color="0070C0"/>
              <w:left w:val="dotted" w:sz="4" w:space="0" w:color="0070C0"/>
              <w:bottom w:val="dotted" w:sz="4" w:space="0" w:color="0070C0"/>
              <w:right w:val="dotted" w:sz="4" w:space="0" w:color="0070C0"/>
            </w:tcBorders>
            <w:shd w:val="clear" w:color="auto" w:fill="auto"/>
          </w:tcPr>
          <w:p w14:paraId="4C00F54D" w14:textId="6426D6B1" w:rsidR="008E5A7C" w:rsidRPr="006D102C" w:rsidRDefault="00E618F7" w:rsidP="00E618F7">
            <w:pPr>
              <w:tabs>
                <w:tab w:val="clear" w:pos="1134"/>
                <w:tab w:val="left" w:pos="346"/>
              </w:tabs>
              <w:ind w:left="346" w:hanging="346"/>
              <w:rPr>
                <w:kern w:val="0"/>
                <w14:ligatures w14:val="none"/>
              </w:rPr>
            </w:pPr>
            <w:r w:rsidRPr="006D102C">
              <w:rPr>
                <w:rFonts w:cs="Calibri"/>
              </w:rPr>
              <w:lastRenderedPageBreak/>
              <w:t>•</w:t>
            </w:r>
            <w:r w:rsidRPr="006D102C">
              <w:tab/>
            </w:r>
            <w:r w:rsidR="008E5A7C" w:rsidRPr="006D102C">
              <w:rPr>
                <w:kern w:val="0"/>
                <w14:ligatures w14:val="none"/>
              </w:rPr>
              <w:t xml:space="preserve">Расширены права и возможности уязвимых групп населения и маргинализированных сообществ. </w:t>
            </w:r>
          </w:p>
          <w:p w14:paraId="5BCF676F" w14:textId="410731FF" w:rsidR="008E5A7C" w:rsidRPr="006D102C" w:rsidRDefault="00E618F7" w:rsidP="00E618F7">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Укреплен потенциал директивных органов и конечных пользователей.</w:t>
            </w:r>
          </w:p>
          <w:p w14:paraId="3EBFECB5" w14:textId="4C15DA7A" w:rsidR="008E5A7C" w:rsidRPr="006D102C" w:rsidRDefault="00E618F7" w:rsidP="00E618F7">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 xml:space="preserve">Расширен доступ к инструментам и ресурсам для обеспечения охвата цифровыми технологиями. </w:t>
            </w:r>
          </w:p>
          <w:p w14:paraId="63E8BE5C" w14:textId="7D6B6829" w:rsidR="008E5A7C" w:rsidRPr="006D102C" w:rsidRDefault="00E618F7" w:rsidP="00E618F7">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Укреплены партнерства в целях обеспечения охвата цифровыми технологиями.</w:t>
            </w:r>
          </w:p>
          <w:p w14:paraId="7032BE6C" w14:textId="1C87F80A" w:rsidR="008E5A7C" w:rsidRPr="006D102C" w:rsidRDefault="00E618F7" w:rsidP="00E618F7">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 xml:space="preserve">В регионах инициатива "Девушки в ИКТ" приобрела </w:t>
            </w:r>
            <w:r w:rsidR="008E5A7C" w:rsidRPr="006D102C">
              <w:rPr>
                <w:kern w:val="0"/>
                <w14:ligatures w14:val="none"/>
              </w:rPr>
              <w:lastRenderedPageBreak/>
              <w:t>широкое распространение.</w:t>
            </w:r>
          </w:p>
          <w:p w14:paraId="65C02F71" w14:textId="1624BE0E" w:rsidR="008E5A7C" w:rsidRPr="006D102C" w:rsidRDefault="00E618F7" w:rsidP="00E618F7">
            <w:pPr>
              <w:tabs>
                <w:tab w:val="clear" w:pos="1134"/>
                <w:tab w:val="left" w:pos="346"/>
              </w:tabs>
              <w:ind w:left="346" w:hanging="346"/>
            </w:pPr>
            <w:r w:rsidRPr="006D102C">
              <w:rPr>
                <w:rFonts w:cs="Calibri"/>
              </w:rPr>
              <w:t>•</w:t>
            </w:r>
            <w:r w:rsidRPr="006D102C">
              <w:tab/>
            </w:r>
            <w:r w:rsidR="008E5A7C" w:rsidRPr="006D102C">
              <w:rPr>
                <w:b/>
                <w:bCs/>
              </w:rPr>
              <w:t>Африка</w:t>
            </w:r>
            <w:r w:rsidR="008E5A7C" w:rsidRPr="006D102C">
              <w:t>:</w:t>
            </w:r>
            <w:r w:rsidR="008E5A7C" w:rsidRPr="006D102C">
              <w:rPr>
                <w:b/>
                <w:bCs/>
              </w:rPr>
              <w:t xml:space="preserve"> </w:t>
            </w:r>
            <w:r w:rsidR="008E5A7C" w:rsidRPr="006D102C">
              <w:t xml:space="preserve">Бурунди, </w:t>
            </w:r>
            <w:r w:rsidR="008E5A7C" w:rsidRPr="006D102C">
              <w:rPr>
                <w:kern w:val="0"/>
                <w14:ligatures w14:val="none"/>
              </w:rPr>
              <w:t>Камерун</w:t>
            </w:r>
            <w:r w:rsidR="008E5A7C" w:rsidRPr="006D102C">
              <w:t>, Кот-д'Ивуар, Куба, Эфиопия, Кения.</w:t>
            </w:r>
          </w:p>
          <w:p w14:paraId="18E8E5C8" w14:textId="1A9BEA8B" w:rsidR="008E5A7C" w:rsidRPr="006D102C" w:rsidRDefault="00E618F7" w:rsidP="00E618F7">
            <w:pPr>
              <w:tabs>
                <w:tab w:val="clear" w:pos="1134"/>
                <w:tab w:val="left" w:pos="346"/>
              </w:tabs>
              <w:ind w:left="346" w:hanging="346"/>
            </w:pPr>
            <w:r w:rsidRPr="006D102C">
              <w:rPr>
                <w:rFonts w:cs="Calibri"/>
              </w:rPr>
              <w:t>•</w:t>
            </w:r>
            <w:r w:rsidRPr="006D102C">
              <w:tab/>
            </w:r>
            <w:r w:rsidR="008E5A7C" w:rsidRPr="006D102C">
              <w:rPr>
                <w:b/>
                <w:bCs/>
              </w:rPr>
              <w:t>Азиатско-Тихоокеанский регион</w:t>
            </w:r>
            <w:r w:rsidR="008E5A7C" w:rsidRPr="006D102C">
              <w:t xml:space="preserve">: Китай, Индия, </w:t>
            </w:r>
            <w:r w:rsidR="008E5A7C" w:rsidRPr="006D102C">
              <w:rPr>
                <w:kern w:val="0"/>
                <w14:ligatures w14:val="none"/>
              </w:rPr>
              <w:t>Малайзия</w:t>
            </w:r>
            <w:r w:rsidR="008E5A7C" w:rsidRPr="006D102C">
              <w:t>, Маршалловы Острова и Вануату</w:t>
            </w:r>
            <w:r w:rsidR="008E5A7C" w:rsidRPr="006D102C">
              <w:rPr>
                <w:rFonts w:eastAsia="Calibri"/>
              </w:rPr>
              <w:t>.</w:t>
            </w:r>
            <w:r w:rsidR="008E5A7C" w:rsidRPr="006D102C">
              <w:t xml:space="preserve"> </w:t>
            </w:r>
          </w:p>
          <w:p w14:paraId="39C3FA6E" w14:textId="6A818699" w:rsidR="008E5A7C" w:rsidRPr="006D102C" w:rsidRDefault="00E618F7" w:rsidP="00E618F7">
            <w:pPr>
              <w:tabs>
                <w:tab w:val="clear" w:pos="1134"/>
                <w:tab w:val="left" w:pos="346"/>
              </w:tabs>
              <w:ind w:left="346" w:hanging="346"/>
              <w:rPr>
                <w:bCs/>
              </w:rPr>
            </w:pPr>
            <w:r w:rsidRPr="006D102C">
              <w:rPr>
                <w:rFonts w:cs="Calibri"/>
              </w:rPr>
              <w:t>•</w:t>
            </w:r>
            <w:r w:rsidRPr="006D102C">
              <w:tab/>
            </w:r>
            <w:r w:rsidR="008E5A7C" w:rsidRPr="006D102C">
              <w:rPr>
                <w:b/>
              </w:rPr>
              <w:t>Северная и Южная Америка</w:t>
            </w:r>
            <w:r w:rsidR="008E5A7C" w:rsidRPr="006D102C">
              <w:rPr>
                <w:bCs/>
              </w:rPr>
              <w:t xml:space="preserve">: Доминиканская </w:t>
            </w:r>
            <w:r w:rsidR="008E5A7C" w:rsidRPr="006D102C">
              <w:rPr>
                <w:kern w:val="0"/>
                <w14:ligatures w14:val="none"/>
              </w:rPr>
              <w:t>Республика</w:t>
            </w:r>
            <w:r w:rsidR="008E5A7C" w:rsidRPr="006D102C">
              <w:rPr>
                <w:bCs/>
              </w:rPr>
              <w:t>, Мексика, Парагвай.</w:t>
            </w:r>
          </w:p>
          <w:p w14:paraId="2E6B2075" w14:textId="06158CF4" w:rsidR="008E5A7C" w:rsidRPr="006D102C" w:rsidRDefault="00E618F7" w:rsidP="00E618F7">
            <w:pPr>
              <w:tabs>
                <w:tab w:val="clear" w:pos="1134"/>
                <w:tab w:val="left" w:pos="346"/>
              </w:tabs>
              <w:ind w:left="346" w:hanging="346"/>
              <w:rPr>
                <w:bCs/>
              </w:rPr>
            </w:pPr>
            <w:r w:rsidRPr="006D102C">
              <w:rPr>
                <w:rFonts w:cs="Calibri"/>
              </w:rPr>
              <w:t>•</w:t>
            </w:r>
            <w:r w:rsidRPr="006D102C">
              <w:tab/>
            </w:r>
            <w:r w:rsidR="008E5A7C" w:rsidRPr="006D102C">
              <w:rPr>
                <w:b/>
              </w:rPr>
              <w:t>Арабские государства</w:t>
            </w:r>
            <w:r w:rsidR="008E5A7C" w:rsidRPr="006D102C">
              <w:rPr>
                <w:bCs/>
              </w:rPr>
              <w:t>:</w:t>
            </w:r>
            <w:r w:rsidR="008E5A7C" w:rsidRPr="006D102C">
              <w:rPr>
                <w:b/>
              </w:rPr>
              <w:t xml:space="preserve"> </w:t>
            </w:r>
            <w:r w:rsidR="008E5A7C" w:rsidRPr="006D102C">
              <w:rPr>
                <w:bCs/>
              </w:rPr>
              <w:t>Египет, Иордания, Ливан, Ливия, Палестина.</w:t>
            </w:r>
          </w:p>
          <w:p w14:paraId="5EC901D1" w14:textId="03CD194D" w:rsidR="008E5A7C" w:rsidRPr="006D102C" w:rsidRDefault="00E618F7" w:rsidP="00E618F7">
            <w:pPr>
              <w:tabs>
                <w:tab w:val="clear" w:pos="1134"/>
                <w:tab w:val="left" w:pos="346"/>
              </w:tabs>
              <w:ind w:left="346" w:hanging="346"/>
            </w:pPr>
            <w:r w:rsidRPr="006D102C">
              <w:rPr>
                <w:rFonts w:cs="Calibri"/>
              </w:rPr>
              <w:t>•</w:t>
            </w:r>
            <w:r w:rsidRPr="006D102C">
              <w:tab/>
            </w:r>
            <w:r w:rsidR="008E5A7C" w:rsidRPr="006D102C">
              <w:rPr>
                <w:b/>
              </w:rPr>
              <w:t>Европа</w:t>
            </w:r>
            <w:r w:rsidR="008E5A7C" w:rsidRPr="006D102C">
              <w:rPr>
                <w:bCs/>
              </w:rPr>
              <w:t>:</w:t>
            </w:r>
            <w:r w:rsidR="008E5A7C" w:rsidRPr="006D102C">
              <w:rPr>
                <w:b/>
              </w:rPr>
              <w:t xml:space="preserve"> </w:t>
            </w:r>
            <w:r w:rsidR="008E5A7C" w:rsidRPr="006D102C">
              <w:rPr>
                <w:bCs/>
              </w:rPr>
              <w:t>Мальта</w:t>
            </w:r>
            <w:r w:rsidR="008E5A7C" w:rsidRPr="006D102C">
              <w:t>.</w:t>
            </w:r>
          </w:p>
          <w:p w14:paraId="1C1D76BC" w14:textId="195A1D81" w:rsidR="008E5A7C" w:rsidRPr="006D102C" w:rsidRDefault="00E618F7" w:rsidP="00E618F7">
            <w:pPr>
              <w:tabs>
                <w:tab w:val="clear" w:pos="1134"/>
                <w:tab w:val="left" w:pos="346"/>
              </w:tabs>
              <w:ind w:left="346" w:hanging="346"/>
            </w:pPr>
            <w:r w:rsidRPr="006D102C">
              <w:rPr>
                <w:rFonts w:cs="Calibri"/>
              </w:rPr>
              <w:t>•</w:t>
            </w:r>
            <w:r w:rsidRPr="006D102C">
              <w:tab/>
            </w:r>
            <w:r w:rsidR="008E5A7C" w:rsidRPr="006D102C">
              <w:rPr>
                <w:b/>
                <w:bCs/>
              </w:rPr>
              <w:t>СНГ</w:t>
            </w:r>
            <w:r w:rsidR="008E5A7C" w:rsidRPr="006D102C">
              <w:t xml:space="preserve">: </w:t>
            </w:r>
            <w:r w:rsidR="008E5A7C" w:rsidRPr="006D102C">
              <w:rPr>
                <w:bCs/>
              </w:rPr>
              <w:t>Азербайджан</w:t>
            </w:r>
            <w:r w:rsidR="008E5A7C" w:rsidRPr="006D102C">
              <w:t xml:space="preserve">, Казахстан, Российская Федерация, Узбекистан. </w:t>
            </w:r>
          </w:p>
          <w:p w14:paraId="3160D5E7" w14:textId="77777777" w:rsidR="008E5A7C" w:rsidRPr="006D102C" w:rsidRDefault="008E5A7C" w:rsidP="000C2445">
            <w:pPr>
              <w:pStyle w:val="ListParagraph"/>
              <w:overflowPunct/>
              <w:autoSpaceDE/>
              <w:autoSpaceDN/>
              <w:adjustRightInd/>
              <w:spacing w:after="120"/>
              <w:ind w:left="91"/>
              <w:contextualSpacing w:val="0"/>
              <w:jc w:val="left"/>
              <w:textAlignment w:val="auto"/>
              <w:rPr>
                <w:rFonts w:cstheme="minorHAnsi"/>
                <w:color w:val="0070C0"/>
                <w:sz w:val="22"/>
                <w:lang w:val="ru-RU"/>
              </w:rPr>
            </w:pPr>
            <w:r w:rsidRPr="006D102C">
              <w:rPr>
                <w:rFonts w:cstheme="minorHAnsi"/>
                <w:b/>
                <w:bCs/>
                <w:color w:val="0070C0"/>
                <w:sz w:val="22"/>
                <w:lang w:val="ru-RU"/>
              </w:rPr>
              <w:t>Вовлечение/помощь НРС/ЛЛДС и СИДС − Разнообразие и интеграция</w:t>
            </w:r>
            <w:r w:rsidRPr="006D102C">
              <w:rPr>
                <w:rFonts w:cstheme="minorHAnsi"/>
                <w:bCs/>
                <w:color w:val="0070C0"/>
                <w:sz w:val="22"/>
                <w:lang w:val="ru-RU"/>
              </w:rPr>
              <w:t>:</w:t>
            </w:r>
            <w:r w:rsidRPr="006D102C">
              <w:rPr>
                <w:rFonts w:cstheme="minorHAnsi"/>
                <w:color w:val="0070C0"/>
                <w:sz w:val="22"/>
                <w:lang w:val="ru-RU"/>
              </w:rPr>
              <w:t xml:space="preserve"> </w:t>
            </w:r>
          </w:p>
          <w:p w14:paraId="6AFABCF5" w14:textId="0531F815" w:rsidR="008E5A7C" w:rsidRPr="006D102C" w:rsidRDefault="00E618F7" w:rsidP="00E618F7">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 xml:space="preserve">12 НРС, ЛЛДС и СИДС; </w:t>
            </w:r>
          </w:p>
          <w:p w14:paraId="302FEC21" w14:textId="69070269" w:rsidR="008E5A7C" w:rsidRPr="006D102C" w:rsidRDefault="00E618F7" w:rsidP="00E618F7">
            <w:pPr>
              <w:tabs>
                <w:tab w:val="clear" w:pos="1134"/>
                <w:tab w:val="left" w:pos="346"/>
              </w:tabs>
              <w:ind w:left="346" w:hanging="346"/>
              <w:rPr>
                <w:kern w:val="0"/>
                <w14:ligatures w14:val="none"/>
              </w:rPr>
            </w:pPr>
            <w:r w:rsidRPr="006D102C">
              <w:rPr>
                <w:rFonts w:cs="Calibri"/>
              </w:rPr>
              <w:lastRenderedPageBreak/>
              <w:t>•</w:t>
            </w:r>
            <w:r w:rsidRPr="006D102C">
              <w:tab/>
            </w:r>
            <w:r w:rsidR="008E5A7C" w:rsidRPr="006D102C">
              <w:rPr>
                <w:kern w:val="0"/>
                <w14:ligatures w14:val="none"/>
              </w:rPr>
              <w:t xml:space="preserve">3 страны получили техническую помощь; </w:t>
            </w:r>
          </w:p>
          <w:p w14:paraId="398281D5" w14:textId="4CF46C9B" w:rsidR="008E5A7C" w:rsidRPr="006D102C" w:rsidRDefault="00E618F7" w:rsidP="00E618F7">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 xml:space="preserve">в 2 странах были разработаны политические рамочные программы и продукты знаний; </w:t>
            </w:r>
          </w:p>
          <w:p w14:paraId="5EBBAC08" w14:textId="57F756D1" w:rsidR="008E5A7C" w:rsidRPr="006D102C" w:rsidRDefault="00E618F7" w:rsidP="00E618F7">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 xml:space="preserve">в 7 странах были проведены занятия по повышению осведомленности; и </w:t>
            </w:r>
          </w:p>
          <w:p w14:paraId="60C39F12" w14:textId="46CA67F7" w:rsidR="008E5A7C" w:rsidRPr="006D102C" w:rsidRDefault="00E618F7" w:rsidP="00E618F7">
            <w:pPr>
              <w:tabs>
                <w:tab w:val="clear" w:pos="1134"/>
                <w:tab w:val="left" w:pos="346"/>
              </w:tabs>
              <w:ind w:left="346" w:hanging="346"/>
              <w:rPr>
                <w:rFonts w:cstheme="minorHAnsi"/>
              </w:rPr>
            </w:pPr>
            <w:r w:rsidRPr="006D102C">
              <w:rPr>
                <w:rFonts w:cs="Calibri"/>
              </w:rPr>
              <w:t>•</w:t>
            </w:r>
            <w:r w:rsidRPr="006D102C">
              <w:tab/>
            </w:r>
            <w:r w:rsidR="008E5A7C" w:rsidRPr="006D102C">
              <w:rPr>
                <w:kern w:val="0"/>
                <w14:ligatures w14:val="none"/>
              </w:rPr>
              <w:t>в 3 странах были созданы платформы для созыва мероприятий.</w:t>
            </w:r>
          </w:p>
        </w:tc>
      </w:tr>
      <w:tr w:rsidR="008E5A7C" w:rsidRPr="006D102C" w14:paraId="62967F97" w14:textId="77777777" w:rsidTr="009A5771">
        <w:tc>
          <w:tcPr>
            <w:tcW w:w="3686" w:type="dxa"/>
            <w:tcBorders>
              <w:top w:val="dotted" w:sz="4" w:space="0" w:color="0070C0"/>
              <w:left w:val="dotted" w:sz="4" w:space="0" w:color="0070C0"/>
              <w:bottom w:val="dotted" w:sz="4" w:space="0" w:color="0070C0"/>
              <w:right w:val="dotted" w:sz="4" w:space="0" w:color="0070C0"/>
            </w:tcBorders>
          </w:tcPr>
          <w:p w14:paraId="4AC83142" w14:textId="77777777" w:rsidR="008E5A7C" w:rsidRPr="006D102C" w:rsidRDefault="008E5A7C" w:rsidP="000C2445">
            <w:pPr>
              <w:spacing w:after="120"/>
              <w:rPr>
                <w:rFonts w:cstheme="minorHAnsi"/>
                <w:i/>
                <w:iCs/>
                <w:color w:val="000000"/>
              </w:rPr>
            </w:pPr>
            <w:r w:rsidRPr="006D102C">
              <w:rPr>
                <w:b/>
                <w:bCs/>
              </w:rPr>
              <w:lastRenderedPageBreak/>
              <w:t>Вклад в выполнение задач ЦУР</w:t>
            </w:r>
          </w:p>
        </w:tc>
        <w:tc>
          <w:tcPr>
            <w:tcW w:w="11164" w:type="dxa"/>
            <w:gridSpan w:val="2"/>
            <w:tcBorders>
              <w:top w:val="dotted" w:sz="4" w:space="0" w:color="0070C0"/>
              <w:left w:val="dotted" w:sz="4" w:space="0" w:color="0070C0"/>
              <w:bottom w:val="dotted" w:sz="4" w:space="0" w:color="0070C0"/>
              <w:right w:val="dotted" w:sz="4" w:space="0" w:color="0070C0"/>
            </w:tcBorders>
          </w:tcPr>
          <w:p w14:paraId="7D167BC0" w14:textId="77777777" w:rsidR="008E5A7C" w:rsidRPr="006D102C" w:rsidRDefault="008E5A7C" w:rsidP="000C2445">
            <w:pPr>
              <w:spacing w:after="120"/>
              <w:rPr>
                <w:rFonts w:cstheme="minorHAnsi"/>
              </w:rPr>
            </w:pPr>
            <w:r w:rsidRPr="006D102C">
              <w:t>ЦУР 1, 3, 4, 5, 8, 9, 10, 11, 16, 17</w:t>
            </w:r>
          </w:p>
        </w:tc>
      </w:tr>
      <w:tr w:rsidR="008E5A7C" w:rsidRPr="006D102C" w14:paraId="66330B0C" w14:textId="77777777" w:rsidTr="009A5771">
        <w:tc>
          <w:tcPr>
            <w:tcW w:w="3686" w:type="dxa"/>
            <w:tcBorders>
              <w:top w:val="dotted" w:sz="4" w:space="0" w:color="0070C0"/>
              <w:left w:val="dotted" w:sz="4" w:space="0" w:color="0070C0"/>
              <w:bottom w:val="dotted" w:sz="4" w:space="0" w:color="0070C0"/>
              <w:right w:val="dotted" w:sz="4" w:space="0" w:color="0070C0"/>
            </w:tcBorders>
          </w:tcPr>
          <w:p w14:paraId="42A9B406" w14:textId="77777777" w:rsidR="008E5A7C" w:rsidRPr="006D102C" w:rsidRDefault="008E5A7C" w:rsidP="000C2445">
            <w:pPr>
              <w:spacing w:after="120"/>
              <w:rPr>
                <w:rFonts w:cstheme="minorHAnsi"/>
                <w:b/>
                <w:bCs/>
              </w:rPr>
            </w:pPr>
            <w:r w:rsidRPr="006D102C">
              <w:rPr>
                <w:b/>
                <w:bCs/>
              </w:rPr>
              <w:t>Направление деятельности ВВУИО</w:t>
            </w:r>
          </w:p>
        </w:tc>
        <w:tc>
          <w:tcPr>
            <w:tcW w:w="11164" w:type="dxa"/>
            <w:gridSpan w:val="2"/>
            <w:tcBorders>
              <w:top w:val="dotted" w:sz="4" w:space="0" w:color="0070C0"/>
              <w:left w:val="dotted" w:sz="4" w:space="0" w:color="0070C0"/>
              <w:bottom w:val="dotted" w:sz="4" w:space="0" w:color="0070C0"/>
              <w:right w:val="dotted" w:sz="4" w:space="0" w:color="0070C0"/>
            </w:tcBorders>
          </w:tcPr>
          <w:p w14:paraId="036C20CD" w14:textId="77777777" w:rsidR="008E5A7C" w:rsidRPr="006D102C" w:rsidRDefault="008E5A7C" w:rsidP="000C2445">
            <w:pPr>
              <w:spacing w:after="120"/>
              <w:rPr>
                <w:rFonts w:cstheme="minorHAnsi"/>
              </w:rPr>
            </w:pPr>
            <w:r w:rsidRPr="006D102C">
              <w:t>C1, C2, C3, C4, C5, C6, C7, C11</w:t>
            </w:r>
          </w:p>
        </w:tc>
      </w:tr>
      <w:tr w:rsidR="008E5A7C" w:rsidRPr="006D102C" w14:paraId="4C378CEA" w14:textId="77777777" w:rsidTr="009A5771">
        <w:tc>
          <w:tcPr>
            <w:tcW w:w="3686" w:type="dxa"/>
            <w:tcBorders>
              <w:top w:val="dotted" w:sz="4" w:space="0" w:color="0070C0"/>
              <w:left w:val="dotted" w:sz="4" w:space="0" w:color="0070C0"/>
              <w:bottom w:val="dotted" w:sz="4" w:space="0" w:color="0070C0"/>
              <w:right w:val="dotted" w:sz="4" w:space="0" w:color="0070C0"/>
            </w:tcBorders>
          </w:tcPr>
          <w:p w14:paraId="4F3BBC80" w14:textId="77777777" w:rsidR="008E5A7C" w:rsidRPr="006D102C" w:rsidRDefault="008E5A7C" w:rsidP="000C2445">
            <w:pPr>
              <w:spacing w:after="120"/>
              <w:rPr>
                <w:rFonts w:cstheme="minorHAnsi"/>
                <w:b/>
                <w:bCs/>
              </w:rPr>
            </w:pPr>
            <w:r w:rsidRPr="006D102C">
              <w:rPr>
                <w:b/>
                <w:bCs/>
              </w:rPr>
              <w:t>Резолюции</w:t>
            </w:r>
          </w:p>
        </w:tc>
        <w:tc>
          <w:tcPr>
            <w:tcW w:w="11164" w:type="dxa"/>
            <w:gridSpan w:val="2"/>
            <w:tcBorders>
              <w:top w:val="dotted" w:sz="4" w:space="0" w:color="0070C0"/>
              <w:left w:val="dotted" w:sz="4" w:space="0" w:color="0070C0"/>
              <w:bottom w:val="dotted" w:sz="4" w:space="0" w:color="0070C0"/>
              <w:right w:val="dotted" w:sz="4" w:space="0" w:color="0070C0"/>
            </w:tcBorders>
          </w:tcPr>
          <w:p w14:paraId="41BB5EFB" w14:textId="77777777" w:rsidR="008E5A7C" w:rsidRPr="006D102C" w:rsidRDefault="008E5A7C" w:rsidP="000C2445">
            <w:pPr>
              <w:spacing w:after="120"/>
              <w:rPr>
                <w:rFonts w:cstheme="minorHAnsi"/>
              </w:rPr>
            </w:pPr>
            <w:r w:rsidRPr="006D102C">
              <w:t>70, 175, 179, 184, 198 ПК; 46, 55, 58, 67, 76</w:t>
            </w:r>
            <w:r w:rsidRPr="006D102C">
              <w:rPr>
                <w:rFonts w:eastAsia="SimSun" w:cs="Times New Roman"/>
                <w:color w:val="333333"/>
                <w:kern w:val="0"/>
                <w:shd w:val="clear" w:color="auto" w:fill="FFFFFF"/>
                <w14:ligatures w14:val="none"/>
              </w:rPr>
              <w:t xml:space="preserve"> </w:t>
            </w:r>
            <w:r w:rsidRPr="006D102C">
              <w:t>ВКРЭ</w:t>
            </w:r>
          </w:p>
        </w:tc>
      </w:tr>
      <w:tr w:rsidR="008E5A7C" w:rsidRPr="006D102C" w14:paraId="34CAA120" w14:textId="77777777" w:rsidTr="009A5771">
        <w:tc>
          <w:tcPr>
            <w:tcW w:w="3686" w:type="dxa"/>
            <w:tcBorders>
              <w:top w:val="dotted" w:sz="4" w:space="0" w:color="0070C0"/>
              <w:left w:val="dotted" w:sz="4" w:space="0" w:color="0070C0"/>
              <w:bottom w:val="dotted" w:sz="4" w:space="0" w:color="0070C0"/>
              <w:right w:val="dotted" w:sz="4" w:space="0" w:color="0070C0"/>
            </w:tcBorders>
          </w:tcPr>
          <w:p w14:paraId="0A25BCA9" w14:textId="77777777" w:rsidR="008E5A7C" w:rsidRPr="006D102C" w:rsidRDefault="008E5A7C" w:rsidP="000C2445">
            <w:pPr>
              <w:spacing w:after="120"/>
              <w:rPr>
                <w:rFonts w:cstheme="minorHAnsi"/>
                <w:b/>
                <w:bCs/>
              </w:rPr>
            </w:pPr>
            <w:r w:rsidRPr="006D102C">
              <w:rPr>
                <w:b/>
                <w:bCs/>
              </w:rPr>
              <w:t>Исследовательская комиссия</w:t>
            </w:r>
          </w:p>
        </w:tc>
        <w:tc>
          <w:tcPr>
            <w:tcW w:w="11164" w:type="dxa"/>
            <w:gridSpan w:val="2"/>
            <w:tcBorders>
              <w:top w:val="dotted" w:sz="4" w:space="0" w:color="0070C0"/>
              <w:left w:val="dotted" w:sz="4" w:space="0" w:color="0070C0"/>
              <w:bottom w:val="dotted" w:sz="4" w:space="0" w:color="0070C0"/>
              <w:right w:val="dotted" w:sz="4" w:space="0" w:color="0070C0"/>
            </w:tcBorders>
          </w:tcPr>
          <w:p w14:paraId="64C35617" w14:textId="77777777" w:rsidR="008E5A7C" w:rsidRPr="006D102C" w:rsidRDefault="008E5A7C" w:rsidP="000C2445">
            <w:pPr>
              <w:spacing w:after="120"/>
              <w:rPr>
                <w:rFonts w:cstheme="minorHAnsi"/>
              </w:rPr>
            </w:pPr>
            <w:r w:rsidRPr="006D102C">
              <w:t>Вопрос 7/1: Доступность электросвязи/ИКТ для обеспечения связи для всех, в особенности для лиц с ограниченными возможностями</w:t>
            </w:r>
          </w:p>
        </w:tc>
      </w:tr>
    </w:tbl>
    <w:p w14:paraId="4A86DC9F" w14:textId="77777777" w:rsidR="008E5A7C" w:rsidRPr="006D102C" w:rsidRDefault="008E5A7C" w:rsidP="00E618F7">
      <w:bookmarkStart w:id="34" w:name="_Toc194665843"/>
      <w:r w:rsidRPr="006D102C">
        <w:br w:type="page"/>
      </w:r>
    </w:p>
    <w:tbl>
      <w:tblPr>
        <w:tblStyle w:val="TableGrid10"/>
        <w:tblW w:w="14850" w:type="dxa"/>
        <w:tblInd w:w="-5" w:type="dxa"/>
        <w:tblLook w:val="04A0" w:firstRow="1" w:lastRow="0" w:firstColumn="1" w:lastColumn="0" w:noHBand="0" w:noVBand="1"/>
      </w:tblPr>
      <w:tblGrid>
        <w:gridCol w:w="3686"/>
        <w:gridCol w:w="8484"/>
        <w:gridCol w:w="2680"/>
      </w:tblGrid>
      <w:tr w:rsidR="008E5A7C" w:rsidRPr="006D102C" w14:paraId="26AAD665" w14:textId="77777777" w:rsidTr="00E46B82">
        <w:trPr>
          <w:trHeight w:val="300"/>
        </w:trPr>
        <w:tc>
          <w:tcPr>
            <w:tcW w:w="1485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32CAAE6F" w14:textId="77777777" w:rsidR="008E5A7C" w:rsidRPr="006D102C" w:rsidRDefault="008E5A7C" w:rsidP="00CE67E6">
            <w:pPr>
              <w:pStyle w:val="Tablehead"/>
              <w:rPr>
                <w:rFonts w:eastAsia="Batang"/>
                <w:color w:val="FFFFFF" w:themeColor="background1"/>
                <w:kern w:val="0"/>
                <w:sz w:val="22"/>
                <w14:ligatures w14:val="none"/>
              </w:rPr>
            </w:pPr>
            <w:bookmarkStart w:id="35" w:name="_Toc197427014"/>
            <w:bookmarkEnd w:id="34"/>
            <w:r w:rsidRPr="006D102C">
              <w:rPr>
                <w:rFonts w:eastAsia="Batang"/>
                <w:color w:val="FFFFFF" w:themeColor="background1"/>
                <w:kern w:val="0"/>
                <w:sz w:val="22"/>
                <w14:ligatures w14:val="none"/>
              </w:rPr>
              <w:lastRenderedPageBreak/>
              <w:t>Средство достижения целей 4 МСЭ-D: Приверженность экологической устойчивости</w:t>
            </w:r>
            <w:bookmarkEnd w:id="35"/>
          </w:p>
          <w:p w14:paraId="249296AB" w14:textId="77777777" w:rsidR="008E5A7C" w:rsidRPr="006D102C" w:rsidRDefault="008E5A7C" w:rsidP="00CE67E6">
            <w:pPr>
              <w:pStyle w:val="Tablehead"/>
              <w:rPr>
                <w:rFonts w:eastAsia="Batang"/>
                <w:i/>
                <w:iCs/>
                <w:color w:val="FFFFFF" w:themeColor="background1"/>
                <w:kern w:val="0"/>
                <w:sz w:val="22"/>
                <w14:ligatures w14:val="none"/>
              </w:rPr>
            </w:pPr>
            <w:bookmarkStart w:id="36" w:name="_Toc197427015"/>
            <w:r w:rsidRPr="006D102C">
              <w:rPr>
                <w:rFonts w:eastAsia="Batang"/>
                <w:i/>
                <w:iCs/>
                <w:color w:val="FFFFFF" w:themeColor="background1"/>
                <w:kern w:val="0"/>
                <w:sz w:val="22"/>
                <w14:ligatures w14:val="none"/>
              </w:rPr>
              <w:t>Разработка стратегий и решений по адаптации к изменению климата</w:t>
            </w:r>
            <w:bookmarkEnd w:id="36"/>
          </w:p>
        </w:tc>
      </w:tr>
      <w:tr w:rsidR="008E5A7C" w:rsidRPr="006D102C" w14:paraId="3E728C01" w14:textId="77777777" w:rsidTr="00E46B82">
        <w:trPr>
          <w:trHeight w:val="300"/>
        </w:trPr>
        <w:tc>
          <w:tcPr>
            <w:tcW w:w="1485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2EFA3FB" w14:textId="77777777" w:rsidR="008E5A7C" w:rsidRPr="006D102C" w:rsidRDefault="008E5A7C" w:rsidP="000C2445">
            <w:pPr>
              <w:keepNext/>
              <w:spacing w:after="120"/>
              <w:rPr>
                <w:rFonts w:cstheme="minorHAnsi"/>
                <w:b/>
                <w:bCs/>
                <w:i/>
                <w:iCs/>
              </w:rPr>
            </w:pPr>
            <w:r w:rsidRPr="006D102C">
              <w:rPr>
                <w:b/>
                <w:bCs/>
                <w:i/>
                <w:iCs/>
              </w:rPr>
              <w:t>Конечный результат</w:t>
            </w:r>
            <w:r w:rsidRPr="006D102C">
              <w:rPr>
                <w:i/>
                <w:iCs/>
              </w:rPr>
              <w:t>: укрепление потенциала членов МСЭ для разработки стратегий и решений в области электросвязи/ИКТ по адаптации к изменению климата и смягчению его последствий, а также использования "зеленой"/возобновляемой энергии</w:t>
            </w:r>
          </w:p>
        </w:tc>
      </w:tr>
      <w:tr w:rsidR="008E5A7C" w:rsidRPr="006D102C" w14:paraId="076D8DF6" w14:textId="77777777" w:rsidTr="00E46B82">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4B71E891"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b/>
                <w:bCs/>
                <w:color w:val="0070C0"/>
              </w:rPr>
              <w:t>Намеченные результаты деятельности</w:t>
            </w:r>
          </w:p>
        </w:tc>
        <w:tc>
          <w:tcPr>
            <w:tcW w:w="2680" w:type="dxa"/>
            <w:tcBorders>
              <w:top w:val="dotted" w:sz="4" w:space="0" w:color="0070C0"/>
              <w:left w:val="dotted" w:sz="4" w:space="0" w:color="0070C0"/>
              <w:bottom w:val="dotted" w:sz="4" w:space="0" w:color="0070C0"/>
              <w:right w:val="dotted" w:sz="4" w:space="0" w:color="0070C0"/>
            </w:tcBorders>
          </w:tcPr>
          <w:p w14:paraId="6BF3EA39"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b/>
                <w:bCs/>
                <w:color w:val="0070C0"/>
              </w:rPr>
              <w:t>Основные моменты</w:t>
            </w:r>
          </w:p>
        </w:tc>
      </w:tr>
      <w:tr w:rsidR="008E5A7C" w:rsidRPr="006D102C" w14:paraId="42418AE6" w14:textId="77777777" w:rsidTr="00E46B82">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0EBD695" w14:textId="77777777" w:rsidR="008E5A7C" w:rsidRPr="006D102C" w:rsidRDefault="008E5A7C" w:rsidP="00E618F7">
            <w:pPr>
              <w:pStyle w:val="Headingb"/>
              <w:rPr>
                <w:b w:val="0"/>
                <w:bCs/>
                <w:lang w:val="ru-RU"/>
              </w:rPr>
            </w:pPr>
            <w:r w:rsidRPr="006D102C">
              <w:rPr>
                <w:lang w:val="ru-RU"/>
              </w:rPr>
              <w:t>МСЭ-D продолжает выпускать продукты и услуги для поддержки Государств-Членов в разработке стратегий и решений по адаптации к изменению климата</w:t>
            </w:r>
            <w:r w:rsidRPr="006D102C">
              <w:rPr>
                <w:b w:val="0"/>
                <w:bCs/>
                <w:lang w:val="ru-RU"/>
              </w:rPr>
              <w:t>.</w:t>
            </w:r>
          </w:p>
          <w:p w14:paraId="4293DF28" w14:textId="77777777" w:rsidR="008E5A7C" w:rsidRPr="006D102C" w:rsidRDefault="008E5A7C" w:rsidP="00E618F7">
            <w:r w:rsidRPr="006D102C">
              <w:t>БРЭ разработало национальную дорожную карту для системы управления электронными отходами, образующимися после потребления (бывшие в употреблении и старые электронные устройства) в Индонезии. Дорожная карта была разработана в ходе серии консультаций с заинтересованными сторонами из правительства, которые состоялись в ноябре 2024 года и феврале 2025 года в рамках продолжающегося партнерства МСЭ и Министерства иностранных дел, по делам Содружества и развития Соединенного Королевства. Процесс консультаций позволил активизировать усилия по созданию потенциала правительства для построения долговременной системы управления электронными отходами, которая бы имела надежную правовую основу и была финансово устойчивой. В Замбии было проведено исследование затрат, связанных с управлением электронными отходами. В исследовании приводится подробная разбивка затрат на сбор, хранение, транспортировку и обработку бывшей в употреблении и старой выброшенной электроники. Это финансовое исследование проводилось в рамках проекта МСЭ и CST Королевства Саудовская Аравия, целью которого является укрепление нормативно-правовой базы Замбии в области управления электронными отходами и повышение осведомленности заинтересованных сторон об их ролях и обязанностях в национальной системе управления электронными устройствами, бывшими в употреблении.</w:t>
            </w:r>
          </w:p>
          <w:p w14:paraId="3DE4D0E1" w14:textId="77777777" w:rsidR="008E5A7C" w:rsidRPr="006D102C" w:rsidRDefault="008E5A7C" w:rsidP="00E618F7">
            <w:r w:rsidRPr="006D102C">
              <w:t>В рамках глобального проекта МСЭ и CST по электронным отходам БРЭ оказывает техническую помощь заинтересованным сторонам в Руанде по разработке и внедрению национальной системы расширенной ответственности производителя (РОП) в сфере электроники. Цель проекта − привлечь ведущих производителей электроники (включая импортеров, дистрибьюторов и поставщиков) к участию в создании системы обеспечения соответствия, которую будет курировать Федерация частного сектора Руанды, для распределения ответственности производителей за сбор и утилизацию электронных отходов. В настоящее время в рамках проекта уже удалось привлечь 30 ведущих компаний через серию рабочих встреч. Для будущей системы обеспечения соответствия был разработан инструмент, который позволит рассчитывать размер членских взносов компаний − в зависимости от того, сколько электронных устройств они продают в Руанде. Для обеспечения правового обоснования этой системы в марте 2025 года была утверждена первая из двух важнейших нормативных баз, а вторая сейчас находится на стадии пересмотра.</w:t>
            </w:r>
          </w:p>
          <w:p w14:paraId="0E2E2F4B" w14:textId="77777777" w:rsidR="008E5A7C" w:rsidRPr="006D102C" w:rsidRDefault="008E5A7C" w:rsidP="00E618F7">
            <w:r w:rsidRPr="006D102C">
              <w:t xml:space="preserve">Кроме того, БРЭ продолжает оказывать поддержку Парагваю в подготовке национального указа и национального постановления, которые в будущем будут регулировать управление электронными отходами в стране; в рамках этой работы </w:t>
            </w:r>
            <w:r w:rsidRPr="006D102C">
              <w:lastRenderedPageBreak/>
              <w:t>в октябре 2024 года были проведены соответствующие семинары-практикумы. БРЭ также оказывает поддержку Таиланду и Монголии по аналогичным вопросам регулированием в области управления электронными отходами в рамках сотрудничества с Министерством инфраструктуры, транспорта, регионального развития и связи Австралии; в ноябре и декабре 2024 года в Таиланде состоялись консультационные семинары-практикумы.</w:t>
            </w:r>
          </w:p>
          <w:p w14:paraId="1CD904C6" w14:textId="77777777" w:rsidR="008E5A7C" w:rsidRPr="006D102C" w:rsidRDefault="008E5A7C" w:rsidP="00E618F7">
            <w:r w:rsidRPr="006D102C">
              <w:t>В октябре 2024 года БРЭ представило правительству Уганды пересмотренный вариант национальной политики управления электронными отходами и плана ее реализации после серии консультаций с заинтересованными сторонами, проведенных в рамках совместного проекта правительства Уганды, МСЭ и Фонда поддержки глобального развития и сотрудничества Юг − Юг.</w:t>
            </w:r>
          </w:p>
          <w:p w14:paraId="4C98E011" w14:textId="77777777" w:rsidR="008E5A7C" w:rsidRPr="006D102C" w:rsidRDefault="008E5A7C" w:rsidP="00E618F7">
            <w:r w:rsidRPr="006D102C">
              <w:t>В ноябре 2024 года БРЭ провело в Бангкоке учебный курс по созданию потенциала "</w:t>
            </w:r>
            <w:hyperlink r:id="rId113" w:history="1">
              <w:r w:rsidRPr="006D102C">
                <w:rPr>
                  <w:rStyle w:val="Hyperlink"/>
                  <w:rFonts w:eastAsia="Aptos" w:cstheme="minorHAnsi"/>
                </w:rPr>
                <w:t>Основы политики в области электронных отходов и роль производителей</w:t>
              </w:r>
            </w:hyperlink>
            <w:r w:rsidRPr="006D102C">
              <w:t>", в котором приняли участие 26 человек из почти 20 стран. В рамках курса были рассмотрены основополагающие темы, связанные с политикой и регулированием, РОП и принципами циркуляционной экономики, а также многое другое.</w:t>
            </w:r>
          </w:p>
          <w:p w14:paraId="1FD8D899" w14:textId="77777777" w:rsidR="008E5A7C" w:rsidRPr="006D102C" w:rsidRDefault="008E5A7C" w:rsidP="00E618F7">
            <w:pPr>
              <w:rPr>
                <w:rFonts w:eastAsia="Calibri"/>
              </w:rPr>
            </w:pPr>
            <w:r w:rsidRPr="006D102C">
              <w:rPr>
                <w:rFonts w:eastAsia="Calibri"/>
              </w:rPr>
              <w:t xml:space="preserve">В рамках проекта "Зеленая цифровая кампания: на пути к цифровому сектору с чистым нулевым уровнем выбросов" БРЭ продолжило совершенствование мониторинга выбросов и энергопотребления в отрасли ИКТ. Для этого был опубликован доклад МСЭ и Всемирного альянса по установлению стандартов "Экологизация цифровых компаний, 2024 год: мониторинг выбросов и климатических обязательств", в котором анализируются выбросы парниковых газов (ПГ) и энергопотребление 200 цифровых компаний по всему миру. В отчете не только представлена оценка их климатических данных и целевых показателей, но и содержится ценная информация для компаний, с помощью которой они могут перенять передовой опыт и улучшить свои показатели по сокращению выбросов. В отчете приводятся данные об эксплуатационных выбросах и потреблении электроэнергии в секторе ИКТ, при этом особое внимание уделяется отчетности по всем 15 видам выбросов группы 3 и растущему углеродному следу от ИИ. Презентация отчета состоялась 30 сентября: был выпущен </w:t>
            </w:r>
            <w:hyperlink r:id="rId114" w:history="1">
              <w:r w:rsidRPr="006D102C">
                <w:rPr>
                  <w:rStyle w:val="Hyperlink"/>
                  <w:rFonts w:eastAsia="Calibri" w:cstheme="minorHAnsi"/>
                </w:rPr>
                <w:t>пресс-релиз</w:t>
              </w:r>
            </w:hyperlink>
            <w:r w:rsidRPr="006D102C">
              <w:rPr>
                <w:rFonts w:eastAsia="Calibri"/>
              </w:rPr>
              <w:t xml:space="preserve">, проведены два </w:t>
            </w:r>
            <w:hyperlink r:id="rId115" w:history="1">
              <w:r w:rsidRPr="006D102C">
                <w:rPr>
                  <w:rStyle w:val="Hyperlink"/>
                  <w:rFonts w:eastAsia="Calibri" w:cstheme="minorHAnsi"/>
                </w:rPr>
                <w:t>вебинара</w:t>
              </w:r>
            </w:hyperlink>
            <w:r w:rsidRPr="006D102C">
              <w:rPr>
                <w:rFonts w:eastAsia="Calibri"/>
              </w:rPr>
              <w:t xml:space="preserve"> и сделана публикация в </w:t>
            </w:r>
            <w:hyperlink r:id="rId116" w:history="1">
              <w:r w:rsidRPr="006D102C">
                <w:rPr>
                  <w:rStyle w:val="Hyperlink"/>
                  <w:rFonts w:eastAsia="Calibri" w:cstheme="minorHAnsi"/>
                </w:rPr>
                <w:t>блоге МСЭ</w:t>
              </w:r>
            </w:hyperlink>
            <w:r w:rsidRPr="006D102C">
              <w:rPr>
                <w:rFonts w:eastAsia="Calibri"/>
              </w:rPr>
              <w:t>. В настоящее время идет подготовка к выпуску отчета "Экологизация цифровых компаний" за 2025 год совместно с Всемирным альянсом по установлению стандартов; презентация запланирована ко Всемирному дню окружающей среды 5 июня 2025 года. В отчете анализируются выбросы ПГ и энергопотребление 200 цифровых компаний. Сопровождающая отчет Цифровая информационная панель по экологизации, представленная на КС-29, позволяет отслеживать влияние сектора ИКТ на климат и содействует достижению глобальных целей в области климата; в настоящий момент она также обновляется новыми данными из отчета "Экологизация цифровых компаний".</w:t>
            </w:r>
          </w:p>
          <w:p w14:paraId="5CFA390D" w14:textId="77777777" w:rsidR="008E5A7C" w:rsidRPr="006D102C" w:rsidRDefault="008E5A7C" w:rsidP="00E618F7">
            <w:pPr>
              <w:rPr>
                <w:rFonts w:eastAsia="Calibri"/>
              </w:rPr>
            </w:pPr>
            <w:r w:rsidRPr="006D102C">
              <w:rPr>
                <w:rFonts w:eastAsia="Calibri"/>
              </w:rPr>
              <w:t xml:space="preserve">На КС-29 в ноябре БРЭ запустило </w:t>
            </w:r>
            <w:hyperlink r:id="rId117" w:history="1">
              <w:r w:rsidRPr="006D102C">
                <w:rPr>
                  <w:rStyle w:val="Hyperlink"/>
                  <w:rFonts w:eastAsia="Calibri" w:cstheme="minorHAnsi"/>
                </w:rPr>
                <w:t>Цифровую информационную панель по экологизации</w:t>
              </w:r>
            </w:hyperlink>
            <w:r w:rsidRPr="006D102C">
              <w:rPr>
                <w:rFonts w:eastAsia="Calibri"/>
              </w:rPr>
              <w:t>, которая позволяет МСЭ и партнерам отслеживать воздействие сектора ИКТ на климат и устанавливать научно обоснованные целевые показатели. Эта панель закладывает основу для будущей базы данных выбросов ПГ в секторе ИКТ, разрабатываемой под руководством МСЭ для содействия достижению глобальных целей в области климата.</w:t>
            </w:r>
          </w:p>
          <w:p w14:paraId="066B8EE7" w14:textId="77777777" w:rsidR="008E5A7C" w:rsidRPr="006D102C" w:rsidRDefault="008E5A7C" w:rsidP="00E618F7">
            <w:r w:rsidRPr="006D102C">
              <w:t xml:space="preserve">БРЭ провело обследование среди координаторов по всемирным показателям в области электросвязи, которое послужило дальнейшим руководством для работы БРЭ по мониторингу выбросов ПГ и энергопотребления в секторе ИКТ, а также помогло </w:t>
            </w:r>
            <w:r w:rsidRPr="006D102C">
              <w:lastRenderedPageBreak/>
              <w:t>оценить приоритеты и потребности сообщества регуляторных органов, связанные с проведением мониторинга климатических показателей в секторе ИКТ. Ответы были получены от 77 Государств-Членов. На собрании EGTI, состоявшемся в сентябре, обсуждались экологические показатели как часть перспективной работы EGTI на 2025 год. По итогам этого собрания БРЭ получило поддержку от более чем десяти экспертов в создании новой подгруппы по экологическим показателям для сектора ИКТ, в частности по выбросам ПГ и энергопотреблению, которая начнет свою работу в начале 2025 года.</w:t>
            </w:r>
          </w:p>
          <w:p w14:paraId="6755EBF6" w14:textId="77777777" w:rsidR="008E5A7C" w:rsidRPr="006D102C" w:rsidRDefault="008E5A7C" w:rsidP="00E618F7">
            <w:r w:rsidRPr="006D102C">
              <w:t>МСЭ продолжает осуществлять свою программу работы по оказанию поддержки странам и регуляторным органам в сфере ИКТ в мониторинге воздействия их национального сектора ИКТ на климат путем сбора данных. Была сформирована новая подгруппа EGTI по национальным показателям мониторинга выбросов ПГ под председательством Arcep, Франция. Подгруппа разрабатывает документ, в котором описывается набор согласованных показателей для измерения воздействия сектора ИКТ на окружающую среду, включая выбросы ПГ групп 1, 2 и 3, общее энергопотребление, использование возобновляемых источников энергии, а также целевые показатели, связанные с климатом. В сотрудничестве с Всемирным банком и Arcep было разработано исследование конкретной ситуации по мониторингу выбросов в секторе ИКТ во Франции, которое должно стать руководством для регуляторных органов во всем мире. 12 марта 2025 года МСЭ организовал вебинар, посвященный официальному запуску совместного исследования конкретной ситуации на основе примеров передового опыта "Измерение воздействия национального сектора ИКТ на окружающую среду: исследование конкретной ситуации Arcep − Франция", проведенное МСЭ и Всемирным банком. В этом исследовании рассматривается опыт Arcep в области сбора данных и регулирования и подробно рассказывается о том, как он добился законодательных изменений для расширения своих полномочий по сбору данных и привлек заинтересованные стороны отрасли для повышения прозрачности и разделения ответственности. В вебинаре под названием "Измерение воздействия сектора ИКТ на окружающую среду: уроки и опыт Франции, Бразилии, Южной Африки и Замбии" приняли участие более 130 человек.</w:t>
            </w:r>
          </w:p>
          <w:p w14:paraId="664A3779" w14:textId="77777777" w:rsidR="008E5A7C" w:rsidRPr="006D102C" w:rsidRDefault="008E5A7C" w:rsidP="00E618F7">
            <w:r w:rsidRPr="006D102C">
              <w:t xml:space="preserve">Кроме того, БРЭ сотрудничает с MSIT Республики Корея в целях содействия "зеленой" цифровой трансформации для создания цифрового сектора с чистым нулевым уровнем выбросов на Филиппинах и в Танзании. </w:t>
            </w:r>
            <w:r w:rsidRPr="006D102C">
              <w:rPr>
                <w:color w:val="2F2F2F"/>
              </w:rPr>
              <w:t xml:space="preserve">Новый двухлетний проект, реализация которого началась в январе 2025 года, направлен на повышение квалификации регуляторных органов и заинтересованных сторон в сфере ИКТ в вопросах сбора данных, регулирования и установления целевых показателей. </w:t>
            </w:r>
            <w:r w:rsidRPr="006D102C">
              <w:t>Была опубликована "Карта историй", в которой кратко изложены инициативы БРЭ по содействию "зеленой" цифровой трансформации для создания сектора ИКТ с чистым нулевым уровнем выбросов. МСЭ, GIZ и Всемирный банк обновляют курс электронного обучения по "зеленым" центрам обработки данных и добавляют в него интервью и интерактивные элементы; ожидается, что курс будет запущен в третьем квартале 2025 года. Благодаря комплексным исследованиям, регуляторной поддержке, инициативам по созданию потенциала и глобальным партнерствам МСЭ и сотрудничающие с ним организации продолжают активно содействовать переходу к цифровому сектору с чистым нулевым уровнем выбросов, тем самым обеспечивая соответствие отрасли ИКТ глобальным климатическим целям.</w:t>
            </w:r>
          </w:p>
          <w:p w14:paraId="483F0781" w14:textId="77777777" w:rsidR="008E5A7C" w:rsidRPr="006D102C" w:rsidRDefault="008E5A7C" w:rsidP="00E618F7">
            <w:r w:rsidRPr="006D102C">
              <w:t xml:space="preserve">БРЭ организовало собственными силами либо при участии других сторон ряд мероприятий по повышению осведомленности о проекте "Зеленая цифровая кампания: на пути к сектору ИКТ с чистым нулевым уровнем выбросов", в том числе в рамках Глобального симпозиума для регуляторных органов 3 июля в Кампале, Уганда, Недели климата в Нью-Йорке в сентябре, </w:t>
            </w:r>
            <w:r w:rsidRPr="006D102C">
              <w:lastRenderedPageBreak/>
              <w:t>Симпозиума по всемирным показателям в области электросвязи в сентябре, а также КС-29 в ноябре. В ходе КС-29 в Баку, Азербайджан, команда БРЭ выступила в качестве организатора, соорганизатора и/или докладчика при проведении пяти мероприятий, включая: 1) проходившую на высоком уровне церемонию открытия сегмента "Зеленая цифровая кампания" на КС-29, 14 ноября; 2) сессию "Расширение доступа к «зеленой» инфраструктуре данных", 14 ноября (организована совместно с Всемирным банком); 3) сессию "Борьба с изменением климата: переходные планы по сокращению собственных выбросов парниковых газов в секторе ИКТ", 16 ноября (организована совместно с БСЭ и SPM); 4) сессию "Направление «Зеленой цифровой кампании» − сектор ИКТ с чистым нулевым уровнем выбросов", 16 ноября (организация и доклад); и 5) сессию "Путь к углеродной нейтральности цифровых технологий" (организована совместно с правительством Республики Корея для представления нового проекта БРЭ и MSIT), 16 ноября. Кроме того, команду БРЭ пригласили выступить на нескольких мероприятиях, в том числе на 15</w:t>
            </w:r>
            <w:r w:rsidRPr="006D102C">
              <w:noBreakHyphen/>
              <w:t>м Симпозиуме БСЭ по ИКТ, окружающей среде, изменению климата и циркуляционной экономике 9 мая 2024 года с докладом "Использование данных для устойчивой цифровой трансформации" и на вебинаре инициативы МСЭ "Зеленая цифровая кампания" 3 июня 2024 года на тему "От данных к действиям: стандартные методики оценки прогресса в секторе ИКТ".</w:t>
            </w:r>
          </w:p>
        </w:tc>
        <w:tc>
          <w:tcPr>
            <w:tcW w:w="2680" w:type="dxa"/>
            <w:tcBorders>
              <w:top w:val="dotted" w:sz="4" w:space="0" w:color="0070C0"/>
              <w:left w:val="dotted" w:sz="4" w:space="0" w:color="0070C0"/>
              <w:bottom w:val="dotted" w:sz="4" w:space="0" w:color="0070C0"/>
              <w:right w:val="dotted" w:sz="4" w:space="0" w:color="0070C0"/>
            </w:tcBorders>
            <w:shd w:val="clear" w:color="auto" w:fill="auto"/>
          </w:tcPr>
          <w:p w14:paraId="350FC4F1" w14:textId="1D8EA187" w:rsidR="008E5A7C" w:rsidRPr="006D102C" w:rsidRDefault="00E46B82" w:rsidP="00E46B82">
            <w:pPr>
              <w:tabs>
                <w:tab w:val="clear" w:pos="1134"/>
                <w:tab w:val="left" w:pos="346"/>
              </w:tabs>
              <w:ind w:left="346" w:hanging="346"/>
              <w:rPr>
                <w:kern w:val="0"/>
                <w14:ligatures w14:val="none"/>
              </w:rPr>
            </w:pPr>
            <w:r w:rsidRPr="006D102C">
              <w:rPr>
                <w:rFonts w:cs="Calibri"/>
              </w:rPr>
              <w:lastRenderedPageBreak/>
              <w:t>•</w:t>
            </w:r>
            <w:r w:rsidRPr="006D102C">
              <w:tab/>
            </w:r>
            <w:r w:rsidR="008E5A7C" w:rsidRPr="006D102C">
              <w:rPr>
                <w:kern w:val="0"/>
                <w14:ligatures w14:val="none"/>
              </w:rPr>
              <w:t xml:space="preserve">Расширено участие производителей электроники в разработке правил. </w:t>
            </w:r>
          </w:p>
          <w:p w14:paraId="39032CAA" w14:textId="79BD8510" w:rsidR="008E5A7C" w:rsidRPr="006D102C" w:rsidRDefault="00E46B82" w:rsidP="00E46B82">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Проработаны политика и правила.</w:t>
            </w:r>
          </w:p>
          <w:p w14:paraId="49D54ACD" w14:textId="74FE83D1" w:rsidR="008E5A7C" w:rsidRPr="006D102C" w:rsidRDefault="00E46B82" w:rsidP="00E46B82">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Укреплены партнерские отношения и сотрудничество, а также обеспечено продвижение продуктов и услуг БРЭ.</w:t>
            </w:r>
          </w:p>
          <w:p w14:paraId="16A37A89" w14:textId="47643B24" w:rsidR="008E5A7C" w:rsidRPr="006D102C" w:rsidRDefault="00E46B82" w:rsidP="00E46B82">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Улучшен сбор данных о выбросах ПГ и энергопотреблении, а также укреплена способность регуляторных органов собирать данные.</w:t>
            </w:r>
          </w:p>
          <w:p w14:paraId="18A08801" w14:textId="6B3DB3C2" w:rsidR="008E5A7C" w:rsidRPr="006D102C" w:rsidRDefault="00E46B82" w:rsidP="00E46B82">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 xml:space="preserve">Усовершенствован мониторинг климатического следа сектора ИКТ. </w:t>
            </w:r>
          </w:p>
          <w:p w14:paraId="618E449C" w14:textId="0571DCDC" w:rsidR="008E5A7C" w:rsidRPr="006D102C" w:rsidRDefault="00E46B82" w:rsidP="00E46B82">
            <w:pPr>
              <w:tabs>
                <w:tab w:val="clear" w:pos="1134"/>
                <w:tab w:val="left" w:pos="346"/>
              </w:tabs>
              <w:ind w:left="346" w:hanging="346"/>
              <w:rPr>
                <w:kern w:val="0"/>
                <w14:ligatures w14:val="none"/>
              </w:rPr>
            </w:pPr>
            <w:r w:rsidRPr="006D102C">
              <w:rPr>
                <w:rFonts w:cs="Calibri"/>
              </w:rPr>
              <w:lastRenderedPageBreak/>
              <w:t>•</w:t>
            </w:r>
            <w:r w:rsidRPr="006D102C">
              <w:tab/>
            </w:r>
            <w:r w:rsidR="008E5A7C" w:rsidRPr="006D102C">
              <w:rPr>
                <w:kern w:val="0"/>
                <w14:ligatures w14:val="none"/>
              </w:rPr>
              <w:t xml:space="preserve">Африка: Руанда, Замбия, Танзания, Уганда, Сейшельские Острова. </w:t>
            </w:r>
          </w:p>
          <w:p w14:paraId="29EB01FE" w14:textId="3E8A7756" w:rsidR="008E5A7C" w:rsidRPr="006D102C" w:rsidRDefault="00E46B82" w:rsidP="00E46B82">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Северная и Южная Америка: Парагвай.</w:t>
            </w:r>
          </w:p>
          <w:p w14:paraId="37B847A3" w14:textId="6194601D" w:rsidR="008E5A7C" w:rsidRPr="006D102C" w:rsidRDefault="00E46B82" w:rsidP="00E46B82">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Азиатско-Тихоокеанский регион: Индонезия, Монголия, Таиланд, Филиппины.</w:t>
            </w:r>
          </w:p>
          <w:p w14:paraId="74527895" w14:textId="77777777" w:rsidR="008E5A7C" w:rsidRPr="006D102C" w:rsidRDefault="008E5A7C" w:rsidP="000C2445">
            <w:pPr>
              <w:pStyle w:val="ListParagraph"/>
              <w:spacing w:after="120"/>
              <w:ind w:left="91"/>
              <w:jc w:val="left"/>
              <w:rPr>
                <w:rFonts w:cstheme="minorHAnsi"/>
                <w:b/>
                <w:color w:val="0070C0"/>
                <w:sz w:val="22"/>
                <w:lang w:val="ru-RU"/>
              </w:rPr>
            </w:pPr>
            <w:r w:rsidRPr="006D102C">
              <w:rPr>
                <w:rFonts w:cstheme="minorHAnsi"/>
                <w:b/>
                <w:bCs/>
                <w:color w:val="0070C0"/>
                <w:sz w:val="22"/>
                <w:lang w:val="ru-RU"/>
              </w:rPr>
              <w:t>Вовлечение/помощь НРС/ЛЛДС и СИДС − Приверженность экологической устойчивости</w:t>
            </w:r>
            <w:r w:rsidRPr="006D102C">
              <w:rPr>
                <w:rFonts w:cstheme="minorHAnsi"/>
                <w:color w:val="0070C0"/>
                <w:sz w:val="22"/>
                <w:lang w:val="ru-RU"/>
              </w:rPr>
              <w:t xml:space="preserve">: </w:t>
            </w:r>
          </w:p>
          <w:p w14:paraId="1AE8EBF6" w14:textId="07AD5762" w:rsidR="008E5A7C" w:rsidRPr="006D102C" w:rsidRDefault="00E46B82" w:rsidP="00E46B82">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в общей сложности 7 странам была оказана помощь в разработке политических рамочных программ и продуктов знаний;</w:t>
            </w:r>
          </w:p>
          <w:p w14:paraId="74B0EB58" w14:textId="1FFE01E7" w:rsidR="008E5A7C" w:rsidRPr="006D102C" w:rsidRDefault="00E46B82" w:rsidP="00E46B82">
            <w:pPr>
              <w:tabs>
                <w:tab w:val="clear" w:pos="1134"/>
                <w:tab w:val="left" w:pos="346"/>
              </w:tabs>
              <w:ind w:left="346" w:hanging="346"/>
              <w:rPr>
                <w:rFonts w:cstheme="minorHAnsi"/>
              </w:rPr>
            </w:pPr>
            <w:r w:rsidRPr="006D102C">
              <w:rPr>
                <w:rFonts w:cs="Calibri"/>
              </w:rPr>
              <w:t>•</w:t>
            </w:r>
            <w:r w:rsidRPr="006D102C">
              <w:tab/>
            </w:r>
            <w:r w:rsidR="008E5A7C" w:rsidRPr="006D102C">
              <w:rPr>
                <w:kern w:val="0"/>
                <w14:ligatures w14:val="none"/>
              </w:rPr>
              <w:t>в настоящее время ведется 3 проекта.</w:t>
            </w:r>
          </w:p>
        </w:tc>
      </w:tr>
      <w:tr w:rsidR="008E5A7C" w:rsidRPr="006D102C" w14:paraId="0B225FB0" w14:textId="77777777" w:rsidTr="009A5771">
        <w:trPr>
          <w:trHeight w:val="300"/>
        </w:trPr>
        <w:tc>
          <w:tcPr>
            <w:tcW w:w="3686" w:type="dxa"/>
            <w:tcBorders>
              <w:top w:val="dotted" w:sz="4" w:space="0" w:color="0070C0"/>
              <w:left w:val="dotted" w:sz="4" w:space="0" w:color="0070C0"/>
              <w:bottom w:val="dotted" w:sz="4" w:space="0" w:color="0070C0"/>
              <w:right w:val="dotted" w:sz="4" w:space="0" w:color="0070C0"/>
            </w:tcBorders>
          </w:tcPr>
          <w:p w14:paraId="677A842D" w14:textId="77777777" w:rsidR="008E5A7C" w:rsidRPr="006D102C" w:rsidRDefault="008E5A7C" w:rsidP="000C2445">
            <w:pPr>
              <w:spacing w:after="120"/>
              <w:rPr>
                <w:rFonts w:cstheme="minorHAnsi"/>
                <w:i/>
                <w:iCs/>
                <w:color w:val="000000"/>
              </w:rPr>
            </w:pPr>
            <w:r w:rsidRPr="006D102C">
              <w:rPr>
                <w:b/>
                <w:bCs/>
              </w:rPr>
              <w:lastRenderedPageBreak/>
              <w:t>Вклад в выполнение задач ЦУР</w:t>
            </w:r>
          </w:p>
        </w:tc>
        <w:tc>
          <w:tcPr>
            <w:tcW w:w="11164" w:type="dxa"/>
            <w:gridSpan w:val="2"/>
            <w:tcBorders>
              <w:top w:val="dotted" w:sz="4" w:space="0" w:color="0070C0"/>
              <w:left w:val="dotted" w:sz="4" w:space="0" w:color="0070C0"/>
              <w:bottom w:val="dotted" w:sz="4" w:space="0" w:color="0070C0"/>
              <w:right w:val="dotted" w:sz="4" w:space="0" w:color="0070C0"/>
            </w:tcBorders>
          </w:tcPr>
          <w:p w14:paraId="622D9E64" w14:textId="77777777" w:rsidR="008E5A7C" w:rsidRPr="006D102C" w:rsidRDefault="008E5A7C" w:rsidP="000C2445">
            <w:pPr>
              <w:spacing w:after="120"/>
              <w:rPr>
                <w:rFonts w:cstheme="minorHAnsi"/>
              </w:rPr>
            </w:pPr>
            <w:r w:rsidRPr="006D102C">
              <w:t>ЦУР 1, 3, 4, 5, 8, 9, 10, 11, 16, 17</w:t>
            </w:r>
          </w:p>
        </w:tc>
      </w:tr>
      <w:tr w:rsidR="008E5A7C" w:rsidRPr="006D102C" w14:paraId="0397808E" w14:textId="77777777" w:rsidTr="009A5771">
        <w:trPr>
          <w:trHeight w:val="300"/>
        </w:trPr>
        <w:tc>
          <w:tcPr>
            <w:tcW w:w="3686" w:type="dxa"/>
            <w:tcBorders>
              <w:top w:val="dotted" w:sz="4" w:space="0" w:color="0070C0"/>
              <w:left w:val="dotted" w:sz="4" w:space="0" w:color="0070C0"/>
              <w:bottom w:val="dotted" w:sz="4" w:space="0" w:color="0070C0"/>
              <w:right w:val="dotted" w:sz="4" w:space="0" w:color="0070C0"/>
            </w:tcBorders>
          </w:tcPr>
          <w:p w14:paraId="40BD91FE" w14:textId="77777777" w:rsidR="008E5A7C" w:rsidRPr="006D102C" w:rsidRDefault="008E5A7C" w:rsidP="000C2445">
            <w:pPr>
              <w:spacing w:after="120"/>
              <w:rPr>
                <w:rFonts w:cstheme="minorHAnsi"/>
              </w:rPr>
            </w:pPr>
            <w:r w:rsidRPr="006D102C">
              <w:rPr>
                <w:b/>
                <w:bCs/>
              </w:rPr>
              <w:t>Направление деятельности ВВУИО</w:t>
            </w:r>
          </w:p>
        </w:tc>
        <w:tc>
          <w:tcPr>
            <w:tcW w:w="11164" w:type="dxa"/>
            <w:gridSpan w:val="2"/>
            <w:tcBorders>
              <w:top w:val="dotted" w:sz="4" w:space="0" w:color="0070C0"/>
              <w:left w:val="dotted" w:sz="4" w:space="0" w:color="0070C0"/>
              <w:bottom w:val="dotted" w:sz="4" w:space="0" w:color="0070C0"/>
              <w:right w:val="dotted" w:sz="4" w:space="0" w:color="0070C0"/>
            </w:tcBorders>
          </w:tcPr>
          <w:p w14:paraId="439699CF" w14:textId="77777777" w:rsidR="008E5A7C" w:rsidRPr="006D102C" w:rsidRDefault="008E5A7C" w:rsidP="000C2445">
            <w:pPr>
              <w:spacing w:after="120"/>
              <w:rPr>
                <w:rFonts w:cstheme="minorHAnsi"/>
              </w:rPr>
            </w:pPr>
            <w:r w:rsidRPr="006D102C">
              <w:t>C1, C2, C3, C4, C5, C6, C7, C11</w:t>
            </w:r>
          </w:p>
        </w:tc>
      </w:tr>
      <w:tr w:rsidR="008E5A7C" w:rsidRPr="006D102C" w14:paraId="7DD0A1A7" w14:textId="77777777" w:rsidTr="009A5771">
        <w:trPr>
          <w:trHeight w:val="300"/>
        </w:trPr>
        <w:tc>
          <w:tcPr>
            <w:tcW w:w="3686" w:type="dxa"/>
            <w:tcBorders>
              <w:top w:val="dotted" w:sz="4" w:space="0" w:color="0070C0"/>
              <w:left w:val="dotted" w:sz="4" w:space="0" w:color="0070C0"/>
              <w:bottom w:val="dotted" w:sz="4" w:space="0" w:color="0070C0"/>
              <w:right w:val="dotted" w:sz="4" w:space="0" w:color="0070C0"/>
            </w:tcBorders>
          </w:tcPr>
          <w:p w14:paraId="662B7FB5" w14:textId="77777777" w:rsidR="008E5A7C" w:rsidRPr="006D102C" w:rsidRDefault="008E5A7C" w:rsidP="000C2445">
            <w:pPr>
              <w:spacing w:after="120"/>
              <w:rPr>
                <w:rFonts w:cstheme="minorHAnsi"/>
              </w:rPr>
            </w:pPr>
            <w:r w:rsidRPr="006D102C">
              <w:rPr>
                <w:b/>
                <w:bCs/>
              </w:rPr>
              <w:t>Резолюции</w:t>
            </w:r>
          </w:p>
        </w:tc>
        <w:tc>
          <w:tcPr>
            <w:tcW w:w="11164" w:type="dxa"/>
            <w:gridSpan w:val="2"/>
            <w:tcBorders>
              <w:top w:val="dotted" w:sz="4" w:space="0" w:color="0070C0"/>
              <w:left w:val="dotted" w:sz="4" w:space="0" w:color="0070C0"/>
              <w:bottom w:val="dotted" w:sz="4" w:space="0" w:color="0070C0"/>
              <w:right w:val="dotted" w:sz="4" w:space="0" w:color="0070C0"/>
            </w:tcBorders>
          </w:tcPr>
          <w:p w14:paraId="2DCF1E78" w14:textId="77777777" w:rsidR="008E5A7C" w:rsidRPr="006D102C" w:rsidRDefault="008E5A7C" w:rsidP="000C2445">
            <w:pPr>
              <w:spacing w:after="120"/>
              <w:rPr>
                <w:rFonts w:cstheme="minorHAnsi"/>
              </w:rPr>
            </w:pPr>
            <w:r w:rsidRPr="006D102C">
              <w:t>66 ВКРЭ</w:t>
            </w:r>
          </w:p>
        </w:tc>
      </w:tr>
      <w:tr w:rsidR="008E5A7C" w:rsidRPr="006D102C" w14:paraId="1FA696C3" w14:textId="77777777" w:rsidTr="009A5771">
        <w:trPr>
          <w:trHeight w:val="300"/>
        </w:trPr>
        <w:tc>
          <w:tcPr>
            <w:tcW w:w="3686" w:type="dxa"/>
            <w:tcBorders>
              <w:top w:val="dotted" w:sz="4" w:space="0" w:color="0070C0"/>
              <w:left w:val="dotted" w:sz="4" w:space="0" w:color="0070C0"/>
              <w:bottom w:val="dotted" w:sz="4" w:space="0" w:color="0070C0"/>
              <w:right w:val="dotted" w:sz="4" w:space="0" w:color="0070C0"/>
            </w:tcBorders>
          </w:tcPr>
          <w:p w14:paraId="47D68F7C" w14:textId="77777777" w:rsidR="008E5A7C" w:rsidRPr="006D102C" w:rsidRDefault="008E5A7C" w:rsidP="000C2445">
            <w:pPr>
              <w:spacing w:after="120"/>
              <w:rPr>
                <w:rFonts w:cstheme="minorHAnsi"/>
              </w:rPr>
            </w:pPr>
            <w:r w:rsidRPr="006D102C">
              <w:rPr>
                <w:b/>
                <w:bCs/>
              </w:rPr>
              <w:t>Исследовательские комиссии</w:t>
            </w:r>
          </w:p>
        </w:tc>
        <w:tc>
          <w:tcPr>
            <w:tcW w:w="11164" w:type="dxa"/>
            <w:gridSpan w:val="2"/>
            <w:tcBorders>
              <w:top w:val="dotted" w:sz="4" w:space="0" w:color="0070C0"/>
              <w:left w:val="dotted" w:sz="4" w:space="0" w:color="0070C0"/>
              <w:bottom w:val="dotted" w:sz="4" w:space="0" w:color="0070C0"/>
              <w:right w:val="dotted" w:sz="4" w:space="0" w:color="0070C0"/>
            </w:tcBorders>
          </w:tcPr>
          <w:p w14:paraId="0D4B5FCB" w14:textId="77777777" w:rsidR="008E5A7C" w:rsidRPr="006D102C" w:rsidRDefault="008E5A7C" w:rsidP="000C2445">
            <w:pPr>
              <w:spacing w:after="120"/>
              <w:rPr>
                <w:rFonts w:cstheme="minorHAnsi"/>
              </w:rPr>
            </w:pPr>
            <w:r w:rsidRPr="006D102C">
              <w:t>Вопрос 6/2: ИКТ для окружающей среды</w:t>
            </w:r>
          </w:p>
        </w:tc>
      </w:tr>
    </w:tbl>
    <w:p w14:paraId="6E75B0D8" w14:textId="77777777" w:rsidR="00E46B82" w:rsidRPr="006D102C" w:rsidRDefault="00E46B82" w:rsidP="00E46B82">
      <w:bookmarkStart w:id="37" w:name="_Toc194665844"/>
      <w:r w:rsidRPr="006D102C">
        <w:br w:type="page"/>
      </w:r>
    </w:p>
    <w:tbl>
      <w:tblPr>
        <w:tblStyle w:val="TableGrid11"/>
        <w:tblW w:w="1484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700"/>
      </w:tblGrid>
      <w:tr w:rsidR="008E5A7C" w:rsidRPr="006D102C" w14:paraId="0B89FFB2" w14:textId="77777777" w:rsidTr="00E46B82">
        <w:trPr>
          <w:trHeight w:val="504"/>
        </w:trPr>
        <w:tc>
          <w:tcPr>
            <w:tcW w:w="14845" w:type="dxa"/>
            <w:gridSpan w:val="2"/>
            <w:shd w:val="clear" w:color="auto" w:fill="365F91" w:themeFill="accent1" w:themeFillShade="BF"/>
          </w:tcPr>
          <w:p w14:paraId="72DFB75A" w14:textId="77777777" w:rsidR="008E5A7C" w:rsidRPr="006D102C" w:rsidRDefault="008E5A7C" w:rsidP="00CE67E6">
            <w:pPr>
              <w:pStyle w:val="Tablehead"/>
              <w:rPr>
                <w:rFonts w:eastAsia="Batang"/>
                <w:color w:val="FFFFFF" w:themeColor="background1"/>
                <w:kern w:val="0"/>
                <w:sz w:val="22"/>
                <w14:ligatures w14:val="none"/>
              </w:rPr>
            </w:pPr>
            <w:bookmarkStart w:id="38" w:name="_Toc197427016"/>
            <w:bookmarkEnd w:id="37"/>
            <w:r w:rsidRPr="006D102C">
              <w:rPr>
                <w:rFonts w:eastAsia="Batang"/>
                <w:color w:val="FFFFFF" w:themeColor="background1"/>
                <w:kern w:val="0"/>
                <w:sz w:val="22"/>
                <w14:ligatures w14:val="none"/>
              </w:rPr>
              <w:lastRenderedPageBreak/>
              <w:t>Средство достижения целей 5 МСЭ-D: Развитие людских ресурсов и организационные инновации</w:t>
            </w:r>
            <w:bookmarkEnd w:id="38"/>
          </w:p>
        </w:tc>
      </w:tr>
      <w:tr w:rsidR="008E5A7C" w:rsidRPr="006D102C" w14:paraId="3963C212" w14:textId="77777777" w:rsidTr="00E46B82">
        <w:tc>
          <w:tcPr>
            <w:tcW w:w="12145" w:type="dxa"/>
          </w:tcPr>
          <w:p w14:paraId="4822F6DA"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b/>
                <w:bCs/>
                <w:color w:val="0070C0"/>
              </w:rPr>
              <w:t>Намеченные результаты деятельности</w:t>
            </w:r>
          </w:p>
        </w:tc>
        <w:tc>
          <w:tcPr>
            <w:tcW w:w="2700" w:type="dxa"/>
          </w:tcPr>
          <w:p w14:paraId="0064E2F7" w14:textId="77777777" w:rsidR="008E5A7C" w:rsidRPr="006D102C" w:rsidRDefault="008E5A7C" w:rsidP="000C2445">
            <w:pPr>
              <w:keepNext/>
              <w:overflowPunct/>
              <w:autoSpaceDE/>
              <w:autoSpaceDN/>
              <w:adjustRightInd/>
              <w:spacing w:after="120"/>
              <w:jc w:val="center"/>
              <w:textAlignment w:val="auto"/>
              <w:rPr>
                <w:rFonts w:eastAsia="Calibri" w:cstheme="minorHAnsi"/>
                <w:b/>
                <w:bCs/>
                <w:color w:val="0070C0"/>
              </w:rPr>
            </w:pPr>
            <w:r w:rsidRPr="006D102C">
              <w:rPr>
                <w:rFonts w:eastAsia="Calibri"/>
                <w:b/>
                <w:bCs/>
                <w:color w:val="0070C0"/>
              </w:rPr>
              <w:t>Основные моменты</w:t>
            </w:r>
          </w:p>
        </w:tc>
      </w:tr>
      <w:tr w:rsidR="008E5A7C" w:rsidRPr="006D102C" w14:paraId="293A6034" w14:textId="77777777" w:rsidTr="00E46B82">
        <w:tc>
          <w:tcPr>
            <w:tcW w:w="12145" w:type="dxa"/>
          </w:tcPr>
          <w:p w14:paraId="43190A0D" w14:textId="77777777" w:rsidR="008E5A7C" w:rsidRPr="006D102C" w:rsidRDefault="008E5A7C" w:rsidP="00E46B82">
            <w:r w:rsidRPr="006D102C">
              <w:t>Директор БРЭ продолжает объявлять об инициативах, направленных на обеспечение организационной эффективности и повышение внутреннего потенциала для поддержки результатов деятельности БРЭ, в том числе:</w:t>
            </w:r>
          </w:p>
          <w:p w14:paraId="32A370F6" w14:textId="334BA802" w:rsidR="008E5A7C" w:rsidRPr="006D102C" w:rsidRDefault="00E46B82" w:rsidP="00E46B82">
            <w:pPr>
              <w:pStyle w:val="enumlev1"/>
            </w:pPr>
            <w:r w:rsidRPr="006D102C">
              <w:rPr>
                <w:rFonts w:cs="Calibri"/>
              </w:rPr>
              <w:t>•</w:t>
            </w:r>
            <w:r w:rsidRPr="006D102C">
              <w:tab/>
            </w:r>
            <w:r w:rsidR="008E5A7C" w:rsidRPr="006D102C">
              <w:rPr>
                <w:b/>
                <w:bCs/>
              </w:rPr>
              <w:t>Регулярные собрания высшего руководства</w:t>
            </w:r>
            <w:r w:rsidR="008E5A7C" w:rsidRPr="006D102C">
              <w:t>, направленные на совершенствование процесса подготовки к предстоящей ВКРЭ-25, а также к текущим РФР и РПС в регионах.</w:t>
            </w:r>
          </w:p>
          <w:p w14:paraId="433157D9" w14:textId="787934B5" w:rsidR="008E5A7C" w:rsidRPr="006D102C" w:rsidRDefault="00E46B82" w:rsidP="00E46B82">
            <w:pPr>
              <w:pStyle w:val="enumlev1"/>
            </w:pPr>
            <w:r w:rsidRPr="006D102C">
              <w:rPr>
                <w:rFonts w:cs="Calibri"/>
              </w:rPr>
              <w:t>•</w:t>
            </w:r>
            <w:r w:rsidRPr="006D102C">
              <w:tab/>
            </w:r>
            <w:r w:rsidR="008E5A7C" w:rsidRPr="006D102C">
              <w:t>Укрепление ключевых вспомогательных функций, таких как ИТ-обслуживание для совершенствования внутренних ИТ</w:t>
            </w:r>
            <w:r w:rsidR="008E5A7C" w:rsidRPr="006D102C">
              <w:rPr>
                <w:rFonts w:ascii="Cambria Math" w:hAnsi="Cambria Math" w:cs="Cambria Math"/>
              </w:rPr>
              <w:t>‑</w:t>
            </w:r>
            <w:r w:rsidR="008E5A7C" w:rsidRPr="006D102C">
              <w:t xml:space="preserve">систем, и разработка программ профессиональной подготовки для обеспечения </w:t>
            </w:r>
            <w:r w:rsidR="008E5A7C" w:rsidRPr="006D102C">
              <w:rPr>
                <w:b/>
                <w:bCs/>
              </w:rPr>
              <w:t>обучения сотрудников БРЭ на протяжении всей жизни</w:t>
            </w:r>
            <w:r w:rsidR="008E5A7C" w:rsidRPr="006D102C">
              <w:t>.</w:t>
            </w:r>
          </w:p>
          <w:p w14:paraId="5703E870" w14:textId="5CE7F7BE" w:rsidR="008E5A7C" w:rsidRPr="006D102C" w:rsidRDefault="00E46B82" w:rsidP="00E46B82">
            <w:pPr>
              <w:pStyle w:val="enumlev1"/>
            </w:pPr>
            <w:r w:rsidRPr="006D102C">
              <w:rPr>
                <w:rFonts w:cs="Calibri"/>
              </w:rPr>
              <w:t>•</w:t>
            </w:r>
            <w:r w:rsidRPr="006D102C">
              <w:tab/>
            </w:r>
            <w:r w:rsidR="008E5A7C" w:rsidRPr="006D102C">
              <w:t xml:space="preserve">Поощрение соблюдения </w:t>
            </w:r>
            <w:r w:rsidR="008E5A7C" w:rsidRPr="006D102C">
              <w:rPr>
                <w:b/>
                <w:bCs/>
              </w:rPr>
              <w:t>баланса между работой и личной жизнью</w:t>
            </w:r>
            <w:r w:rsidR="008E5A7C" w:rsidRPr="006D102C">
              <w:t xml:space="preserve"> в своих регулярных посланиях сотрудникам и поощрение участия в различных инициативах в области профессиональной подготовки и управления стрессовыми ситуациями.</w:t>
            </w:r>
          </w:p>
          <w:p w14:paraId="4BF8EAE7" w14:textId="4A1814C1" w:rsidR="008E5A7C" w:rsidRPr="006D102C" w:rsidRDefault="00E46B82" w:rsidP="00E46B82">
            <w:pPr>
              <w:pStyle w:val="enumlev1"/>
              <w:rPr>
                <w:rFonts w:eastAsia="Calibri"/>
              </w:rPr>
            </w:pPr>
            <w:r w:rsidRPr="006D102C">
              <w:rPr>
                <w:rFonts w:cs="Calibri"/>
              </w:rPr>
              <w:t>•</w:t>
            </w:r>
            <w:r w:rsidRPr="006D102C">
              <w:tab/>
            </w:r>
            <w:r w:rsidR="008E5A7C" w:rsidRPr="006D102C">
              <w:t>Продолжаются</w:t>
            </w:r>
            <w:r w:rsidR="008E5A7C" w:rsidRPr="006D102C">
              <w:rPr>
                <w:b/>
                <w:bCs/>
              </w:rPr>
              <w:t xml:space="preserve"> регулярные собрания по взаимодействию с персоналом, </w:t>
            </w:r>
            <w:r w:rsidR="008E5A7C" w:rsidRPr="006D102C">
              <w:t>открытые для всех сотрудников.</w:t>
            </w:r>
            <w:r w:rsidR="008E5A7C" w:rsidRPr="006D102C">
              <w:rPr>
                <w:b/>
                <w:bCs/>
              </w:rPr>
              <w:t xml:space="preserve"> </w:t>
            </w:r>
            <w:r w:rsidR="008E5A7C" w:rsidRPr="006D102C">
              <w:t>Эти собрания представляют собой площадку для безопасного выражения мнений и идей, касающихся проблем и возможностей в отношении выполнения миссии БРЭ, для того чтобы добиваться ощутимых результатов.</w:t>
            </w:r>
          </w:p>
          <w:p w14:paraId="27586E12" w14:textId="18E11D10" w:rsidR="008E5A7C" w:rsidRPr="006D102C" w:rsidRDefault="00E46B82" w:rsidP="00E46B82">
            <w:pPr>
              <w:pStyle w:val="enumlev1"/>
            </w:pPr>
            <w:r w:rsidRPr="006D102C">
              <w:rPr>
                <w:rFonts w:cs="Calibri"/>
              </w:rPr>
              <w:t>•</w:t>
            </w:r>
            <w:r w:rsidRPr="006D102C">
              <w:tab/>
            </w:r>
            <w:r w:rsidR="008E5A7C" w:rsidRPr="006D102C">
              <w:t xml:space="preserve">БРЭ осознает важность обеспечения для Членов </w:t>
            </w:r>
            <w:r w:rsidR="008E5A7C" w:rsidRPr="006D102C">
              <w:rPr>
                <w:b/>
                <w:bCs/>
              </w:rPr>
              <w:t>прозрачности и подотчетности</w:t>
            </w:r>
            <w:r w:rsidR="008E5A7C" w:rsidRPr="006D102C">
              <w:t xml:space="preserve"> процессов управления и выполнения задач.</w:t>
            </w:r>
          </w:p>
          <w:p w14:paraId="06836D54" w14:textId="0F24A656" w:rsidR="008E5A7C" w:rsidRPr="006D102C" w:rsidRDefault="00E46B82" w:rsidP="009A5771">
            <w:pPr>
              <w:pStyle w:val="enumlev1"/>
              <w:spacing w:after="120"/>
            </w:pPr>
            <w:r w:rsidRPr="006D102C">
              <w:rPr>
                <w:rFonts w:cs="Calibri"/>
              </w:rPr>
              <w:t>•</w:t>
            </w:r>
            <w:r w:rsidRPr="006D102C">
              <w:tab/>
            </w:r>
            <w:r w:rsidR="008E5A7C" w:rsidRPr="006D102C">
              <w:t xml:space="preserve">Внутри организации постоянно принимаются различные меры для </w:t>
            </w:r>
            <w:r w:rsidR="008E5A7C" w:rsidRPr="006D102C">
              <w:rPr>
                <w:b/>
                <w:bCs/>
              </w:rPr>
              <w:t>повышения эффективности и результативности предоставления продуктов и услуг МСЭ-D</w:t>
            </w:r>
            <w:r w:rsidR="008E5A7C" w:rsidRPr="006D102C">
              <w:t xml:space="preserve"> с помощью оперативного плана, проектов МСЭ-D и других механизмов финансирования. Партнерам и донорам МСЭ регулярно направляются отчеты, информирующие их о результатах деятельности БРЭ и, что еще более важно, о ее влиянии на местах.</w:t>
            </w:r>
          </w:p>
        </w:tc>
        <w:tc>
          <w:tcPr>
            <w:tcW w:w="2700" w:type="dxa"/>
            <w:shd w:val="clear" w:color="auto" w:fill="auto"/>
          </w:tcPr>
          <w:p w14:paraId="7B05D93F" w14:textId="385212A0" w:rsidR="008E5A7C" w:rsidRPr="006D102C" w:rsidRDefault="00E46B82" w:rsidP="00E46B82">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Выездные совещания старшего руководства.</w:t>
            </w:r>
          </w:p>
          <w:p w14:paraId="2A6C4CC2" w14:textId="3FA15460" w:rsidR="008E5A7C" w:rsidRPr="006D102C" w:rsidRDefault="00E46B82" w:rsidP="00E46B82">
            <w:pPr>
              <w:tabs>
                <w:tab w:val="clear" w:pos="1134"/>
                <w:tab w:val="left" w:pos="346"/>
              </w:tabs>
              <w:ind w:left="346" w:hanging="346"/>
              <w:rPr>
                <w:kern w:val="0"/>
                <w14:ligatures w14:val="none"/>
              </w:rPr>
            </w:pPr>
            <w:r w:rsidRPr="006D102C">
              <w:rPr>
                <w:rFonts w:cs="Calibri"/>
              </w:rPr>
              <w:t>•</w:t>
            </w:r>
            <w:r w:rsidRPr="006D102C">
              <w:tab/>
            </w:r>
            <w:r w:rsidR="008E5A7C" w:rsidRPr="006D102C">
              <w:rPr>
                <w:kern w:val="0"/>
                <w14:ligatures w14:val="none"/>
              </w:rPr>
              <w:t>Баланс между работой и личной жизнью.</w:t>
            </w:r>
          </w:p>
          <w:p w14:paraId="17C98685" w14:textId="2B2EAEF5" w:rsidR="008E5A7C" w:rsidRPr="006D102C" w:rsidRDefault="00E46B82" w:rsidP="00E46B82">
            <w:pPr>
              <w:tabs>
                <w:tab w:val="clear" w:pos="1134"/>
                <w:tab w:val="left" w:pos="346"/>
              </w:tabs>
              <w:ind w:left="346" w:hanging="346"/>
              <w:rPr>
                <w:rFonts w:cstheme="minorHAnsi"/>
                <w:bCs/>
              </w:rPr>
            </w:pPr>
            <w:r w:rsidRPr="006D102C">
              <w:rPr>
                <w:rFonts w:cs="Calibri"/>
              </w:rPr>
              <w:t>•</w:t>
            </w:r>
            <w:r w:rsidRPr="006D102C">
              <w:tab/>
            </w:r>
            <w:r w:rsidR="008E5A7C" w:rsidRPr="006D102C">
              <w:rPr>
                <w:kern w:val="0"/>
                <w14:ligatures w14:val="none"/>
              </w:rPr>
              <w:t>Собрания по взаимодействию с персоналом.</w:t>
            </w:r>
          </w:p>
        </w:tc>
      </w:tr>
    </w:tbl>
    <w:p w14:paraId="5A4C27F2" w14:textId="77777777" w:rsidR="00CE66E4" w:rsidRPr="006D102C" w:rsidRDefault="00CE66E4" w:rsidP="008E5A7C">
      <w:pPr>
        <w:spacing w:before="720"/>
        <w:jc w:val="center"/>
      </w:pPr>
      <w:r w:rsidRPr="006D102C">
        <w:t>______________</w:t>
      </w:r>
    </w:p>
    <w:sectPr w:rsidR="00CE66E4" w:rsidRPr="006D102C" w:rsidSect="00DE2407">
      <w:headerReference w:type="default" r:id="rId118"/>
      <w:pgSz w:w="16840" w:h="11907" w:orient="landscape" w:code="9"/>
      <w:pgMar w:top="1134" w:right="1418"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DE09F" w14:textId="77777777" w:rsidR="008C5A91" w:rsidRDefault="008C5A91">
      <w:r>
        <w:separator/>
      </w:r>
    </w:p>
    <w:p w14:paraId="050EDE40" w14:textId="77777777" w:rsidR="008C5A91" w:rsidRDefault="008C5A91"/>
  </w:endnote>
  <w:endnote w:type="continuationSeparator" w:id="0">
    <w:p w14:paraId="55C181E3" w14:textId="77777777" w:rsidR="008C5A91" w:rsidRDefault="008C5A91">
      <w:r>
        <w:continuationSeparator/>
      </w:r>
    </w:p>
    <w:p w14:paraId="7BA0CF75" w14:textId="77777777" w:rsidR="008C5A91" w:rsidRDefault="008C5A91"/>
  </w:endnote>
  <w:endnote w:type="continuationNotice" w:id="1">
    <w:p w14:paraId="367F77C8" w14:textId="77777777" w:rsidR="008C5A91" w:rsidRDefault="008C5A91">
      <w:pPr>
        <w:spacing w:before="0"/>
      </w:pPr>
    </w:p>
    <w:p w14:paraId="5322FA8A" w14:textId="77777777" w:rsidR="008C5A91" w:rsidRDefault="008C5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F723AC" w:rsidRPr="00365AB0" w14:paraId="5AE8B435" w14:textId="77777777" w:rsidTr="005539C3">
      <w:tc>
        <w:tcPr>
          <w:tcW w:w="1526" w:type="dxa"/>
          <w:tcBorders>
            <w:top w:val="single" w:sz="4" w:space="0" w:color="000000" w:themeColor="text1"/>
          </w:tcBorders>
        </w:tcPr>
        <w:p w14:paraId="16AC13FA" w14:textId="77777777" w:rsidR="00F723AC" w:rsidRPr="00365AB0" w:rsidRDefault="00F723AC" w:rsidP="00F723AC">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62871A6F" w14:textId="77777777" w:rsidR="00F723AC" w:rsidRPr="00365AB0" w:rsidRDefault="00F723AC" w:rsidP="00F723AC">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740E1280" w14:textId="39EE8814" w:rsidR="00F723AC" w:rsidRPr="00BB5F84" w:rsidRDefault="00BB5F84" w:rsidP="00F723AC">
          <w:pPr>
            <w:pStyle w:val="FirstFooter"/>
            <w:rPr>
              <w:sz w:val="18"/>
              <w:szCs w:val="18"/>
            </w:rPr>
          </w:pPr>
          <w:r w:rsidRPr="00BB5F84">
            <w:rPr>
              <w:sz w:val="18"/>
              <w:szCs w:val="18"/>
            </w:rPr>
            <w:t>г-жа Арчана Гулати (</w:t>
          </w:r>
          <w:r w:rsidRPr="00BB5F84">
            <w:rPr>
              <w:sz w:val="18"/>
              <w:szCs w:val="18"/>
              <w:lang w:val="en-US"/>
            </w:rPr>
            <w:t>Ms</w:t>
          </w:r>
          <w:r w:rsidRPr="00BB5F84">
            <w:rPr>
              <w:sz w:val="18"/>
              <w:szCs w:val="18"/>
            </w:rPr>
            <w:t xml:space="preserve"> </w:t>
          </w:r>
          <w:r w:rsidRPr="00BB5F84">
            <w:rPr>
              <w:sz w:val="18"/>
              <w:szCs w:val="18"/>
              <w:lang w:val="en-US"/>
            </w:rPr>
            <w:t>Archana</w:t>
          </w:r>
          <w:r w:rsidRPr="00BB5F84">
            <w:rPr>
              <w:sz w:val="18"/>
              <w:szCs w:val="18"/>
            </w:rPr>
            <w:t xml:space="preserve"> </w:t>
          </w:r>
          <w:r w:rsidRPr="00BB5F84">
            <w:rPr>
              <w:sz w:val="18"/>
              <w:szCs w:val="18"/>
              <w:lang w:val="en-US"/>
            </w:rPr>
            <w:t>Gulati</w:t>
          </w:r>
          <w:r w:rsidRPr="00BB5F84">
            <w:rPr>
              <w:sz w:val="18"/>
              <w:szCs w:val="18"/>
            </w:rPr>
            <w:t>), заместитель Директора Бюро развития электросвязи</w:t>
          </w:r>
        </w:p>
      </w:tc>
      <w:bookmarkStart w:id="10" w:name="OrgName"/>
      <w:bookmarkEnd w:id="10"/>
    </w:tr>
    <w:tr w:rsidR="00F723AC" w:rsidRPr="00365AB0" w14:paraId="40BD5BB7" w14:textId="77777777" w:rsidTr="005539C3">
      <w:trPr>
        <w:trHeight w:val="165"/>
      </w:trPr>
      <w:tc>
        <w:tcPr>
          <w:tcW w:w="1526" w:type="dxa"/>
        </w:tcPr>
        <w:p w14:paraId="2C562AE6" w14:textId="77777777" w:rsidR="00F723AC" w:rsidRPr="00BB5F84" w:rsidRDefault="00F723AC" w:rsidP="00F723AC">
          <w:pPr>
            <w:pStyle w:val="FirstFooter"/>
            <w:rPr>
              <w:sz w:val="18"/>
              <w:szCs w:val="18"/>
            </w:rPr>
          </w:pPr>
        </w:p>
      </w:tc>
      <w:tc>
        <w:tcPr>
          <w:tcW w:w="3260" w:type="dxa"/>
        </w:tcPr>
        <w:p w14:paraId="00B884A3" w14:textId="77777777" w:rsidR="00F723AC" w:rsidRPr="00365AB0" w:rsidRDefault="00F723AC" w:rsidP="00F723AC">
          <w:pPr>
            <w:pStyle w:val="FirstFooter"/>
            <w:ind w:left="3010" w:hanging="3010"/>
            <w:rPr>
              <w:sz w:val="18"/>
              <w:szCs w:val="18"/>
              <w:lang w:val="en-US"/>
            </w:rPr>
          </w:pPr>
          <w:r w:rsidRPr="00365AB0">
            <w:rPr>
              <w:sz w:val="18"/>
              <w:szCs w:val="18"/>
            </w:rPr>
            <w:t>Тел.:</w:t>
          </w:r>
        </w:p>
      </w:tc>
      <w:tc>
        <w:tcPr>
          <w:tcW w:w="4853" w:type="dxa"/>
        </w:tcPr>
        <w:p w14:paraId="41C514D7" w14:textId="0CA2E396" w:rsidR="00F723AC" w:rsidRPr="00365AB0" w:rsidRDefault="00BB5F84" w:rsidP="00F723AC">
          <w:pPr>
            <w:pStyle w:val="FirstFooter"/>
            <w:rPr>
              <w:sz w:val="18"/>
              <w:szCs w:val="18"/>
            </w:rPr>
          </w:pPr>
          <w:r w:rsidRPr="00BB5F84">
            <w:rPr>
              <w:sz w:val="18"/>
              <w:szCs w:val="18"/>
              <w:lang w:val="en-US"/>
            </w:rPr>
            <w:t>н. д.</w:t>
          </w:r>
        </w:p>
      </w:tc>
      <w:bookmarkStart w:id="11" w:name="PhoneNo"/>
      <w:bookmarkEnd w:id="11"/>
    </w:tr>
    <w:tr w:rsidR="00F723AC" w:rsidRPr="00365AB0" w14:paraId="06B88DDC" w14:textId="77777777" w:rsidTr="005539C3">
      <w:tc>
        <w:tcPr>
          <w:tcW w:w="1526" w:type="dxa"/>
        </w:tcPr>
        <w:p w14:paraId="3B745818" w14:textId="77777777" w:rsidR="00F723AC" w:rsidRPr="00365AB0" w:rsidRDefault="00F723AC" w:rsidP="00F723AC">
          <w:pPr>
            <w:pStyle w:val="FirstFooter"/>
            <w:rPr>
              <w:sz w:val="18"/>
              <w:szCs w:val="18"/>
            </w:rPr>
          </w:pPr>
        </w:p>
      </w:tc>
      <w:tc>
        <w:tcPr>
          <w:tcW w:w="3260" w:type="dxa"/>
        </w:tcPr>
        <w:p w14:paraId="796457AC" w14:textId="77777777" w:rsidR="00F723AC" w:rsidRPr="00365AB0" w:rsidRDefault="00F723AC" w:rsidP="00F723AC">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19846237" w14:textId="6B8FAAD1" w:rsidR="00F723AC" w:rsidRPr="00BB5F84" w:rsidRDefault="00BB5F84" w:rsidP="00F723AC">
          <w:pPr>
            <w:pStyle w:val="FirstFooter"/>
            <w:rPr>
              <w:sz w:val="18"/>
              <w:szCs w:val="18"/>
            </w:rPr>
          </w:pPr>
          <w:hyperlink r:id="rId1" w:history="1">
            <w:r w:rsidRPr="00AE669A">
              <w:rPr>
                <w:rStyle w:val="Hyperlink"/>
                <w:sz w:val="18"/>
                <w:szCs w:val="18"/>
                <w:lang w:val="en-US"/>
              </w:rPr>
              <w:t>archana.gulati@itu.int</w:t>
            </w:r>
          </w:hyperlink>
          <w:r>
            <w:rPr>
              <w:sz w:val="18"/>
              <w:szCs w:val="18"/>
            </w:rPr>
            <w:t xml:space="preserve"> </w:t>
          </w:r>
        </w:p>
      </w:tc>
      <w:bookmarkStart w:id="12" w:name="Email"/>
      <w:bookmarkEnd w:id="12"/>
    </w:tr>
  </w:tbl>
  <w:p w14:paraId="7126D509" w14:textId="77777777" w:rsidR="00F723AC" w:rsidRPr="00F723AC" w:rsidRDefault="00F723A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85EF6" w14:textId="77777777" w:rsidR="008C5A91" w:rsidRPr="00EC3D86" w:rsidRDefault="008C5A91" w:rsidP="0054377E">
      <w:pPr>
        <w:spacing w:before="0"/>
        <w:rPr>
          <w:bCs/>
        </w:rPr>
      </w:pPr>
      <w:r w:rsidRPr="00EC3D86">
        <w:rPr>
          <w:bCs/>
        </w:rPr>
        <w:t>_______________</w:t>
      </w:r>
    </w:p>
  </w:footnote>
  <w:footnote w:type="continuationSeparator" w:id="0">
    <w:p w14:paraId="395460E1" w14:textId="77777777" w:rsidR="008C5A91" w:rsidRDefault="008C5A91" w:rsidP="0054377E">
      <w:pPr>
        <w:spacing w:before="0"/>
      </w:pPr>
      <w:r>
        <w:continuationSeparator/>
      </w:r>
    </w:p>
    <w:p w14:paraId="75155A32" w14:textId="77777777" w:rsidR="008C5A91" w:rsidRDefault="008C5A91"/>
  </w:footnote>
  <w:footnote w:type="continuationNotice" w:id="1">
    <w:p w14:paraId="541FF057" w14:textId="77777777" w:rsidR="008C5A91" w:rsidRDefault="008C5A91">
      <w:pPr>
        <w:spacing w:before="0"/>
      </w:pPr>
    </w:p>
    <w:p w14:paraId="685413F8" w14:textId="77777777" w:rsidR="008C5A91" w:rsidRDefault="008C5A91"/>
  </w:footnote>
  <w:footnote w:id="2">
    <w:p w14:paraId="345BD315" w14:textId="6A72794C" w:rsidR="0069091F" w:rsidRPr="0069091F" w:rsidRDefault="0069091F" w:rsidP="0069091F">
      <w:pPr>
        <w:pStyle w:val="FootnoteText"/>
        <w:spacing w:before="0"/>
        <w:ind w:left="0" w:firstLine="0"/>
      </w:pPr>
      <w:r w:rsidRPr="002469EB">
        <w:rPr>
          <w:rStyle w:val="FootnoteReference"/>
        </w:rPr>
        <w:footnoteRef/>
      </w:r>
      <w:r w:rsidRPr="002469EB">
        <w:t xml:space="preserve"> </w:t>
      </w:r>
      <w:r>
        <w:tab/>
      </w:r>
      <w:r w:rsidRPr="00FD2830">
        <w:t>Включая Средства достижения целей 6 и 7 МСЭ-D:</w:t>
      </w:r>
      <w:r>
        <w:t xml:space="preserve"> </w:t>
      </w:r>
      <w:r w:rsidRPr="00FD2830">
        <w:t>Партнерские отношения и международное сотрудничество, а также мобилизация ресурсов</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273E" w14:textId="07B8B9A6" w:rsidR="00636181" w:rsidRPr="00EC3D86" w:rsidRDefault="00636181" w:rsidP="00CE66E4">
    <w:pPr>
      <w:tabs>
        <w:tab w:val="clear" w:pos="1134"/>
        <w:tab w:val="clear" w:pos="1871"/>
        <w:tab w:val="clear" w:pos="2268"/>
        <w:tab w:val="center" w:pos="4820"/>
        <w:tab w:val="right" w:pos="14003"/>
      </w:tabs>
      <w:spacing w:before="0"/>
      <w:rPr>
        <w:smallCaps/>
        <w:spacing w:val="24"/>
        <w:szCs w:val="22"/>
        <w:lang w:val="es-ES_tradnl"/>
      </w:rPr>
    </w:pPr>
    <w:r w:rsidRPr="00EC3D86">
      <w:rPr>
        <w:szCs w:val="22"/>
      </w:rPr>
      <w:tab/>
    </w:r>
    <w:r w:rsidRPr="00EC3D86">
      <w:rPr>
        <w:szCs w:val="22"/>
        <w:lang w:val="es-ES_tradnl"/>
      </w:rPr>
      <w:t>TDAG-2</w:t>
    </w:r>
    <w:r w:rsidR="003273BC" w:rsidRPr="00EC3D86">
      <w:rPr>
        <w:szCs w:val="22"/>
        <w:lang w:val="es-ES_tradnl"/>
      </w:rPr>
      <w:t>5</w:t>
    </w:r>
    <w:r w:rsidRPr="00EC3D86">
      <w:rPr>
        <w:szCs w:val="22"/>
        <w:lang w:val="es-ES_tradnl"/>
      </w:rPr>
      <w:t>/</w:t>
    </w:r>
    <w:r w:rsidR="00BB5F84" w:rsidRPr="00EC3D86">
      <w:rPr>
        <w:szCs w:val="22"/>
      </w:rPr>
      <w:t>2</w:t>
    </w:r>
    <w:r w:rsidRPr="00EC3D86">
      <w:rPr>
        <w:szCs w:val="22"/>
        <w:lang w:val="es-ES_tradnl"/>
      </w:rPr>
      <w:t>-</w:t>
    </w:r>
    <w:r w:rsidR="007606A7" w:rsidRPr="00EC3D86">
      <w:rPr>
        <w:szCs w:val="22"/>
        <w:lang w:val="es-ES_tradnl"/>
      </w:rPr>
      <w:t>R</w:t>
    </w:r>
    <w:r w:rsidRPr="00EC3D86">
      <w:rPr>
        <w:szCs w:val="22"/>
        <w:lang w:val="es-ES_tradnl"/>
      </w:rPr>
      <w:tab/>
    </w:r>
    <w:r w:rsidR="007606A7" w:rsidRPr="00EC3D86">
      <w:rPr>
        <w:szCs w:val="22"/>
      </w:rPr>
      <w:t>Страница</w:t>
    </w:r>
    <w:r w:rsidRPr="00EC3D86">
      <w:rPr>
        <w:szCs w:val="22"/>
        <w:lang w:val="es-ES_tradnl"/>
      </w:rPr>
      <w:t xml:space="preserve"> </w:t>
    </w:r>
    <w:r w:rsidRPr="00EC3D86">
      <w:rPr>
        <w:szCs w:val="22"/>
      </w:rPr>
      <w:fldChar w:fldCharType="begin"/>
    </w:r>
    <w:r w:rsidRPr="00EC3D86">
      <w:rPr>
        <w:szCs w:val="22"/>
        <w:lang w:val="es-ES_tradnl"/>
      </w:rPr>
      <w:instrText xml:space="preserve"> PAGE </w:instrText>
    </w:r>
    <w:r w:rsidRPr="00EC3D86">
      <w:rPr>
        <w:szCs w:val="22"/>
      </w:rPr>
      <w:fldChar w:fldCharType="separate"/>
    </w:r>
    <w:r w:rsidR="00893B2C" w:rsidRPr="00EC3D86">
      <w:rPr>
        <w:noProof/>
        <w:szCs w:val="22"/>
        <w:lang w:val="es-ES_tradnl"/>
      </w:rPr>
      <w:t>19</w:t>
    </w:r>
    <w:r w:rsidRPr="00EC3D86">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8764" w14:textId="501E220C" w:rsidR="00DE2407" w:rsidRPr="00EC3D86" w:rsidRDefault="00DE2407" w:rsidP="00DE2407">
    <w:pPr>
      <w:tabs>
        <w:tab w:val="clear" w:pos="1134"/>
        <w:tab w:val="clear" w:pos="1871"/>
        <w:tab w:val="clear" w:pos="2268"/>
        <w:tab w:val="center" w:pos="7200"/>
        <w:tab w:val="right" w:pos="14003"/>
      </w:tabs>
      <w:spacing w:before="0"/>
      <w:rPr>
        <w:smallCaps/>
        <w:spacing w:val="24"/>
        <w:szCs w:val="22"/>
        <w:lang w:val="es-ES_tradnl"/>
      </w:rPr>
    </w:pPr>
    <w:r w:rsidRPr="00EC3D86">
      <w:rPr>
        <w:szCs w:val="22"/>
      </w:rPr>
      <w:tab/>
    </w:r>
    <w:r w:rsidRPr="00EC3D86">
      <w:rPr>
        <w:szCs w:val="22"/>
        <w:lang w:val="es-ES_tradnl"/>
      </w:rPr>
      <w:t>TDAG-25/</w:t>
    </w:r>
    <w:r w:rsidRPr="00EC3D86">
      <w:rPr>
        <w:szCs w:val="22"/>
      </w:rPr>
      <w:t>2</w:t>
    </w:r>
    <w:r w:rsidRPr="00EC3D86">
      <w:rPr>
        <w:szCs w:val="22"/>
        <w:lang w:val="es-ES_tradnl"/>
      </w:rPr>
      <w:t>-R</w:t>
    </w:r>
    <w:r w:rsidRPr="00EC3D86">
      <w:rPr>
        <w:szCs w:val="22"/>
        <w:lang w:val="es-ES_tradnl"/>
      </w:rPr>
      <w:tab/>
    </w:r>
    <w:r w:rsidRPr="00EC3D86">
      <w:rPr>
        <w:szCs w:val="22"/>
      </w:rPr>
      <w:t>Страница</w:t>
    </w:r>
    <w:r w:rsidRPr="00EC3D86">
      <w:rPr>
        <w:szCs w:val="22"/>
        <w:lang w:val="es-ES_tradnl"/>
      </w:rPr>
      <w:t xml:space="preserve"> </w:t>
    </w:r>
    <w:r w:rsidRPr="00EC3D86">
      <w:rPr>
        <w:szCs w:val="22"/>
      </w:rPr>
      <w:fldChar w:fldCharType="begin"/>
    </w:r>
    <w:r w:rsidRPr="00EC3D86">
      <w:rPr>
        <w:szCs w:val="22"/>
        <w:lang w:val="es-ES_tradnl"/>
      </w:rPr>
      <w:instrText xml:space="preserve"> PAGE </w:instrText>
    </w:r>
    <w:r w:rsidRPr="00EC3D86">
      <w:rPr>
        <w:szCs w:val="22"/>
      </w:rPr>
      <w:fldChar w:fldCharType="separate"/>
    </w:r>
    <w:r w:rsidRPr="00EC3D86">
      <w:rPr>
        <w:noProof/>
        <w:szCs w:val="22"/>
        <w:lang w:val="es-ES_tradnl"/>
      </w:rPr>
      <w:t>19</w:t>
    </w:r>
    <w:r w:rsidRPr="00EC3D86">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901054BE">
      <w:start w:val="1"/>
      <w:numFmt w:val="bullet"/>
      <w:lvlText w:val="o"/>
      <w:lvlJc w:val="left"/>
      <w:pPr>
        <w:ind w:left="720" w:hanging="360"/>
      </w:pPr>
      <w:rPr>
        <w:rFonts w:ascii="Courier New" w:hAnsi="Courier New" w:hint="default"/>
      </w:rPr>
    </w:lvl>
    <w:lvl w:ilvl="1" w:tplc="66649150" w:tentative="1">
      <w:start w:val="1"/>
      <w:numFmt w:val="bullet"/>
      <w:lvlText w:val="o"/>
      <w:lvlJc w:val="left"/>
      <w:pPr>
        <w:ind w:left="1440" w:hanging="360"/>
      </w:pPr>
      <w:rPr>
        <w:rFonts w:ascii="Courier New" w:hAnsi="Courier New" w:hint="default"/>
      </w:rPr>
    </w:lvl>
    <w:lvl w:ilvl="2" w:tplc="4E685402" w:tentative="1">
      <w:start w:val="1"/>
      <w:numFmt w:val="bullet"/>
      <w:lvlText w:val=""/>
      <w:lvlJc w:val="left"/>
      <w:pPr>
        <w:ind w:left="2160" w:hanging="360"/>
      </w:pPr>
      <w:rPr>
        <w:rFonts w:ascii="Wingdings" w:hAnsi="Wingdings" w:hint="default"/>
      </w:rPr>
    </w:lvl>
    <w:lvl w:ilvl="3" w:tplc="20F0F6AC" w:tentative="1">
      <w:start w:val="1"/>
      <w:numFmt w:val="bullet"/>
      <w:lvlText w:val=""/>
      <w:lvlJc w:val="left"/>
      <w:pPr>
        <w:ind w:left="2880" w:hanging="360"/>
      </w:pPr>
      <w:rPr>
        <w:rFonts w:ascii="Symbol" w:hAnsi="Symbol" w:hint="default"/>
      </w:rPr>
    </w:lvl>
    <w:lvl w:ilvl="4" w:tplc="CFFEF5FE" w:tentative="1">
      <w:start w:val="1"/>
      <w:numFmt w:val="bullet"/>
      <w:lvlText w:val="o"/>
      <w:lvlJc w:val="left"/>
      <w:pPr>
        <w:ind w:left="3600" w:hanging="360"/>
      </w:pPr>
      <w:rPr>
        <w:rFonts w:ascii="Courier New" w:hAnsi="Courier New" w:hint="default"/>
      </w:rPr>
    </w:lvl>
    <w:lvl w:ilvl="5" w:tplc="B4D6E926" w:tentative="1">
      <w:start w:val="1"/>
      <w:numFmt w:val="bullet"/>
      <w:lvlText w:val=""/>
      <w:lvlJc w:val="left"/>
      <w:pPr>
        <w:ind w:left="4320" w:hanging="360"/>
      </w:pPr>
      <w:rPr>
        <w:rFonts w:ascii="Wingdings" w:hAnsi="Wingdings" w:hint="default"/>
      </w:rPr>
    </w:lvl>
    <w:lvl w:ilvl="6" w:tplc="D4EE5FDE" w:tentative="1">
      <w:start w:val="1"/>
      <w:numFmt w:val="bullet"/>
      <w:lvlText w:val=""/>
      <w:lvlJc w:val="left"/>
      <w:pPr>
        <w:ind w:left="5040" w:hanging="360"/>
      </w:pPr>
      <w:rPr>
        <w:rFonts w:ascii="Symbol" w:hAnsi="Symbol" w:hint="default"/>
      </w:rPr>
    </w:lvl>
    <w:lvl w:ilvl="7" w:tplc="4B86AE8A" w:tentative="1">
      <w:start w:val="1"/>
      <w:numFmt w:val="bullet"/>
      <w:lvlText w:val="o"/>
      <w:lvlJc w:val="left"/>
      <w:pPr>
        <w:ind w:left="5760" w:hanging="360"/>
      </w:pPr>
      <w:rPr>
        <w:rFonts w:ascii="Courier New" w:hAnsi="Courier New" w:hint="default"/>
      </w:rPr>
    </w:lvl>
    <w:lvl w:ilvl="8" w:tplc="70BC411E" w:tentative="1">
      <w:start w:val="1"/>
      <w:numFmt w:val="bullet"/>
      <w:lvlText w:val=""/>
      <w:lvlJc w:val="left"/>
      <w:pPr>
        <w:ind w:left="6480" w:hanging="360"/>
      </w:pPr>
      <w:rPr>
        <w:rFonts w:ascii="Wingdings" w:hAnsi="Wingdings" w:hint="default"/>
      </w:rPr>
    </w:lvl>
  </w:abstractNum>
  <w:abstractNum w:abstractNumId="1" w15:restartNumberingAfterBreak="0">
    <w:nsid w:val="133514C0"/>
    <w:multiLevelType w:val="hybridMultilevel"/>
    <w:tmpl w:val="A06E0330"/>
    <w:lvl w:ilvl="0" w:tplc="9AE02248">
      <w:start w:val="1"/>
      <w:numFmt w:val="bullet"/>
      <w:lvlText w:val=""/>
      <w:lvlJc w:val="left"/>
      <w:pPr>
        <w:ind w:left="720" w:hanging="360"/>
      </w:pPr>
      <w:rPr>
        <w:rFonts w:ascii="Symbol" w:hAnsi="Symbol" w:hint="default"/>
      </w:rPr>
    </w:lvl>
    <w:lvl w:ilvl="1" w:tplc="8C38B0E0" w:tentative="1">
      <w:start w:val="1"/>
      <w:numFmt w:val="bullet"/>
      <w:lvlText w:val="o"/>
      <w:lvlJc w:val="left"/>
      <w:pPr>
        <w:ind w:left="1440" w:hanging="360"/>
      </w:pPr>
      <w:rPr>
        <w:rFonts w:ascii="Courier New" w:hAnsi="Courier New" w:hint="default"/>
      </w:rPr>
    </w:lvl>
    <w:lvl w:ilvl="2" w:tplc="389E4DD2" w:tentative="1">
      <w:start w:val="1"/>
      <w:numFmt w:val="bullet"/>
      <w:lvlText w:val=""/>
      <w:lvlJc w:val="left"/>
      <w:pPr>
        <w:ind w:left="2160" w:hanging="360"/>
      </w:pPr>
      <w:rPr>
        <w:rFonts w:ascii="Wingdings" w:hAnsi="Wingdings" w:hint="default"/>
      </w:rPr>
    </w:lvl>
    <w:lvl w:ilvl="3" w:tplc="C4022AAC" w:tentative="1">
      <w:start w:val="1"/>
      <w:numFmt w:val="bullet"/>
      <w:lvlText w:val=""/>
      <w:lvlJc w:val="left"/>
      <w:pPr>
        <w:ind w:left="2880" w:hanging="360"/>
      </w:pPr>
      <w:rPr>
        <w:rFonts w:ascii="Symbol" w:hAnsi="Symbol" w:hint="default"/>
      </w:rPr>
    </w:lvl>
    <w:lvl w:ilvl="4" w:tplc="5672C464" w:tentative="1">
      <w:start w:val="1"/>
      <w:numFmt w:val="bullet"/>
      <w:lvlText w:val="o"/>
      <w:lvlJc w:val="left"/>
      <w:pPr>
        <w:ind w:left="3600" w:hanging="360"/>
      </w:pPr>
      <w:rPr>
        <w:rFonts w:ascii="Courier New" w:hAnsi="Courier New" w:hint="default"/>
      </w:rPr>
    </w:lvl>
    <w:lvl w:ilvl="5" w:tplc="D77A0A20" w:tentative="1">
      <w:start w:val="1"/>
      <w:numFmt w:val="bullet"/>
      <w:lvlText w:val=""/>
      <w:lvlJc w:val="left"/>
      <w:pPr>
        <w:ind w:left="4320" w:hanging="360"/>
      </w:pPr>
      <w:rPr>
        <w:rFonts w:ascii="Wingdings" w:hAnsi="Wingdings" w:hint="default"/>
      </w:rPr>
    </w:lvl>
    <w:lvl w:ilvl="6" w:tplc="A7948728" w:tentative="1">
      <w:start w:val="1"/>
      <w:numFmt w:val="bullet"/>
      <w:lvlText w:val=""/>
      <w:lvlJc w:val="left"/>
      <w:pPr>
        <w:ind w:left="5040" w:hanging="360"/>
      </w:pPr>
      <w:rPr>
        <w:rFonts w:ascii="Symbol" w:hAnsi="Symbol" w:hint="default"/>
      </w:rPr>
    </w:lvl>
    <w:lvl w:ilvl="7" w:tplc="787EDABE" w:tentative="1">
      <w:start w:val="1"/>
      <w:numFmt w:val="bullet"/>
      <w:lvlText w:val="o"/>
      <w:lvlJc w:val="left"/>
      <w:pPr>
        <w:ind w:left="5760" w:hanging="360"/>
      </w:pPr>
      <w:rPr>
        <w:rFonts w:ascii="Courier New" w:hAnsi="Courier New" w:hint="default"/>
      </w:rPr>
    </w:lvl>
    <w:lvl w:ilvl="8" w:tplc="490A7D02" w:tentative="1">
      <w:start w:val="1"/>
      <w:numFmt w:val="bullet"/>
      <w:lvlText w:val=""/>
      <w:lvlJc w:val="left"/>
      <w:pPr>
        <w:ind w:left="6480" w:hanging="360"/>
      </w:pPr>
      <w:rPr>
        <w:rFonts w:ascii="Wingdings" w:hAnsi="Wingdings" w:hint="default"/>
      </w:rPr>
    </w:lvl>
  </w:abstractNum>
  <w:abstractNum w:abstractNumId="2" w15:restartNumberingAfterBreak="0">
    <w:nsid w:val="1E567567"/>
    <w:multiLevelType w:val="hybridMultilevel"/>
    <w:tmpl w:val="38F475DC"/>
    <w:lvl w:ilvl="0" w:tplc="08090005">
      <w:start w:val="1"/>
      <w:numFmt w:val="bullet"/>
      <w:lvlText w:val=""/>
      <w:lvlJc w:val="left"/>
      <w:pPr>
        <w:ind w:left="720" w:hanging="360"/>
      </w:pPr>
      <w:rPr>
        <w:rFonts w:ascii="Wingdings" w:hAnsi="Wingdings" w:hint="default"/>
      </w:rPr>
    </w:lvl>
    <w:lvl w:ilvl="1" w:tplc="7DBAE57E" w:tentative="1">
      <w:start w:val="1"/>
      <w:numFmt w:val="bullet"/>
      <w:lvlText w:val="o"/>
      <w:lvlJc w:val="left"/>
      <w:pPr>
        <w:ind w:left="1440" w:hanging="360"/>
      </w:pPr>
      <w:rPr>
        <w:rFonts w:ascii="Courier New" w:hAnsi="Courier New" w:hint="default"/>
      </w:rPr>
    </w:lvl>
    <w:lvl w:ilvl="2" w:tplc="B98C9FCA" w:tentative="1">
      <w:start w:val="1"/>
      <w:numFmt w:val="bullet"/>
      <w:lvlText w:val=""/>
      <w:lvlJc w:val="left"/>
      <w:pPr>
        <w:ind w:left="2160" w:hanging="360"/>
      </w:pPr>
      <w:rPr>
        <w:rFonts w:ascii="Wingdings" w:hAnsi="Wingdings" w:hint="default"/>
      </w:rPr>
    </w:lvl>
    <w:lvl w:ilvl="3" w:tplc="95682D56" w:tentative="1">
      <w:start w:val="1"/>
      <w:numFmt w:val="bullet"/>
      <w:lvlText w:val=""/>
      <w:lvlJc w:val="left"/>
      <w:pPr>
        <w:ind w:left="2880" w:hanging="360"/>
      </w:pPr>
      <w:rPr>
        <w:rFonts w:ascii="Symbol" w:hAnsi="Symbol" w:hint="default"/>
      </w:rPr>
    </w:lvl>
    <w:lvl w:ilvl="4" w:tplc="8E445E7C" w:tentative="1">
      <w:start w:val="1"/>
      <w:numFmt w:val="bullet"/>
      <w:lvlText w:val="o"/>
      <w:lvlJc w:val="left"/>
      <w:pPr>
        <w:ind w:left="3600" w:hanging="360"/>
      </w:pPr>
      <w:rPr>
        <w:rFonts w:ascii="Courier New" w:hAnsi="Courier New" w:hint="default"/>
      </w:rPr>
    </w:lvl>
    <w:lvl w:ilvl="5" w:tplc="443E8ADC" w:tentative="1">
      <w:start w:val="1"/>
      <w:numFmt w:val="bullet"/>
      <w:lvlText w:val=""/>
      <w:lvlJc w:val="left"/>
      <w:pPr>
        <w:ind w:left="4320" w:hanging="360"/>
      </w:pPr>
      <w:rPr>
        <w:rFonts w:ascii="Wingdings" w:hAnsi="Wingdings" w:hint="default"/>
      </w:rPr>
    </w:lvl>
    <w:lvl w:ilvl="6" w:tplc="A54E4374" w:tentative="1">
      <w:start w:val="1"/>
      <w:numFmt w:val="bullet"/>
      <w:lvlText w:val=""/>
      <w:lvlJc w:val="left"/>
      <w:pPr>
        <w:ind w:left="5040" w:hanging="360"/>
      </w:pPr>
      <w:rPr>
        <w:rFonts w:ascii="Symbol" w:hAnsi="Symbol" w:hint="default"/>
      </w:rPr>
    </w:lvl>
    <w:lvl w:ilvl="7" w:tplc="43187B60" w:tentative="1">
      <w:start w:val="1"/>
      <w:numFmt w:val="bullet"/>
      <w:lvlText w:val="o"/>
      <w:lvlJc w:val="left"/>
      <w:pPr>
        <w:ind w:left="5760" w:hanging="360"/>
      </w:pPr>
      <w:rPr>
        <w:rFonts w:ascii="Courier New" w:hAnsi="Courier New" w:hint="default"/>
      </w:rPr>
    </w:lvl>
    <w:lvl w:ilvl="8" w:tplc="A47471E2" w:tentative="1">
      <w:start w:val="1"/>
      <w:numFmt w:val="bullet"/>
      <w:lvlText w:val=""/>
      <w:lvlJc w:val="left"/>
      <w:pPr>
        <w:ind w:left="6480" w:hanging="360"/>
      </w:pPr>
      <w:rPr>
        <w:rFonts w:ascii="Wingdings" w:hAnsi="Wingdings" w:hint="default"/>
      </w:rPr>
    </w:lvl>
  </w:abstractNum>
  <w:abstractNum w:abstractNumId="3" w15:restartNumberingAfterBreak="0">
    <w:nsid w:val="20FE6C74"/>
    <w:multiLevelType w:val="hybridMultilevel"/>
    <w:tmpl w:val="DB7A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A3CF8"/>
    <w:multiLevelType w:val="hybridMultilevel"/>
    <w:tmpl w:val="7528FD40"/>
    <w:lvl w:ilvl="0" w:tplc="08090005">
      <w:start w:val="1"/>
      <w:numFmt w:val="bullet"/>
      <w:lvlText w:val=""/>
      <w:lvlJc w:val="left"/>
      <w:pPr>
        <w:ind w:left="720" w:hanging="360"/>
      </w:pPr>
      <w:rPr>
        <w:rFonts w:ascii="Wingdings" w:hAnsi="Wingdings" w:hint="default"/>
      </w:rPr>
    </w:lvl>
    <w:lvl w:ilvl="1" w:tplc="5BF2BCA4" w:tentative="1">
      <w:start w:val="1"/>
      <w:numFmt w:val="bullet"/>
      <w:lvlText w:val="o"/>
      <w:lvlJc w:val="left"/>
      <w:pPr>
        <w:ind w:left="1440" w:hanging="360"/>
      </w:pPr>
      <w:rPr>
        <w:rFonts w:ascii="Courier New" w:hAnsi="Courier New" w:hint="default"/>
      </w:rPr>
    </w:lvl>
    <w:lvl w:ilvl="2" w:tplc="96581170" w:tentative="1">
      <w:start w:val="1"/>
      <w:numFmt w:val="bullet"/>
      <w:lvlText w:val=""/>
      <w:lvlJc w:val="left"/>
      <w:pPr>
        <w:ind w:left="2160" w:hanging="360"/>
      </w:pPr>
      <w:rPr>
        <w:rFonts w:ascii="Wingdings" w:hAnsi="Wingdings" w:hint="default"/>
      </w:rPr>
    </w:lvl>
    <w:lvl w:ilvl="3" w:tplc="7C5EA0C6" w:tentative="1">
      <w:start w:val="1"/>
      <w:numFmt w:val="bullet"/>
      <w:lvlText w:val=""/>
      <w:lvlJc w:val="left"/>
      <w:pPr>
        <w:ind w:left="2880" w:hanging="360"/>
      </w:pPr>
      <w:rPr>
        <w:rFonts w:ascii="Symbol" w:hAnsi="Symbol" w:hint="default"/>
      </w:rPr>
    </w:lvl>
    <w:lvl w:ilvl="4" w:tplc="37040494" w:tentative="1">
      <w:start w:val="1"/>
      <w:numFmt w:val="bullet"/>
      <w:lvlText w:val="o"/>
      <w:lvlJc w:val="left"/>
      <w:pPr>
        <w:ind w:left="3600" w:hanging="360"/>
      </w:pPr>
      <w:rPr>
        <w:rFonts w:ascii="Courier New" w:hAnsi="Courier New" w:hint="default"/>
      </w:rPr>
    </w:lvl>
    <w:lvl w:ilvl="5" w:tplc="233AC0B8" w:tentative="1">
      <w:start w:val="1"/>
      <w:numFmt w:val="bullet"/>
      <w:lvlText w:val=""/>
      <w:lvlJc w:val="left"/>
      <w:pPr>
        <w:ind w:left="4320" w:hanging="360"/>
      </w:pPr>
      <w:rPr>
        <w:rFonts w:ascii="Wingdings" w:hAnsi="Wingdings" w:hint="default"/>
      </w:rPr>
    </w:lvl>
    <w:lvl w:ilvl="6" w:tplc="D66A187C" w:tentative="1">
      <w:start w:val="1"/>
      <w:numFmt w:val="bullet"/>
      <w:lvlText w:val=""/>
      <w:lvlJc w:val="left"/>
      <w:pPr>
        <w:ind w:left="5040" w:hanging="360"/>
      </w:pPr>
      <w:rPr>
        <w:rFonts w:ascii="Symbol" w:hAnsi="Symbol" w:hint="default"/>
      </w:rPr>
    </w:lvl>
    <w:lvl w:ilvl="7" w:tplc="B5E22246" w:tentative="1">
      <w:start w:val="1"/>
      <w:numFmt w:val="bullet"/>
      <w:lvlText w:val="o"/>
      <w:lvlJc w:val="left"/>
      <w:pPr>
        <w:ind w:left="5760" w:hanging="360"/>
      </w:pPr>
      <w:rPr>
        <w:rFonts w:ascii="Courier New" w:hAnsi="Courier New" w:hint="default"/>
      </w:rPr>
    </w:lvl>
    <w:lvl w:ilvl="8" w:tplc="21E6EAC6" w:tentative="1">
      <w:start w:val="1"/>
      <w:numFmt w:val="bullet"/>
      <w:lvlText w:val=""/>
      <w:lvlJc w:val="left"/>
      <w:pPr>
        <w:ind w:left="6480" w:hanging="360"/>
      </w:pPr>
      <w:rPr>
        <w:rFonts w:ascii="Wingdings" w:hAnsi="Wingdings" w:hint="default"/>
      </w:rPr>
    </w:lvl>
  </w:abstractNum>
  <w:abstractNum w:abstractNumId="5" w15:restartNumberingAfterBreak="0">
    <w:nsid w:val="43C10AD7"/>
    <w:multiLevelType w:val="hybridMultilevel"/>
    <w:tmpl w:val="C74EADCE"/>
    <w:lvl w:ilvl="0" w:tplc="6F905008">
      <w:start w:val="1"/>
      <w:numFmt w:val="bullet"/>
      <w:lvlText w:val=""/>
      <w:lvlJc w:val="left"/>
      <w:pPr>
        <w:ind w:left="720" w:hanging="360"/>
      </w:pPr>
      <w:rPr>
        <w:rFonts w:ascii="Wingdings" w:hAnsi="Wingdings" w:hint="default"/>
      </w:rPr>
    </w:lvl>
    <w:lvl w:ilvl="1" w:tplc="A5066628" w:tentative="1">
      <w:start w:val="1"/>
      <w:numFmt w:val="bullet"/>
      <w:lvlText w:val="o"/>
      <w:lvlJc w:val="left"/>
      <w:pPr>
        <w:ind w:left="1440" w:hanging="360"/>
      </w:pPr>
      <w:rPr>
        <w:rFonts w:ascii="Courier New" w:hAnsi="Courier New" w:hint="default"/>
      </w:rPr>
    </w:lvl>
    <w:lvl w:ilvl="2" w:tplc="77B83394" w:tentative="1">
      <w:start w:val="1"/>
      <w:numFmt w:val="bullet"/>
      <w:lvlText w:val=""/>
      <w:lvlJc w:val="left"/>
      <w:pPr>
        <w:ind w:left="2160" w:hanging="360"/>
      </w:pPr>
      <w:rPr>
        <w:rFonts w:ascii="Wingdings" w:hAnsi="Wingdings" w:hint="default"/>
      </w:rPr>
    </w:lvl>
    <w:lvl w:ilvl="3" w:tplc="1CF8D666" w:tentative="1">
      <w:start w:val="1"/>
      <w:numFmt w:val="bullet"/>
      <w:lvlText w:val=""/>
      <w:lvlJc w:val="left"/>
      <w:pPr>
        <w:ind w:left="2880" w:hanging="360"/>
      </w:pPr>
      <w:rPr>
        <w:rFonts w:ascii="Symbol" w:hAnsi="Symbol" w:hint="default"/>
      </w:rPr>
    </w:lvl>
    <w:lvl w:ilvl="4" w:tplc="9446B2F2" w:tentative="1">
      <w:start w:val="1"/>
      <w:numFmt w:val="bullet"/>
      <w:lvlText w:val="o"/>
      <w:lvlJc w:val="left"/>
      <w:pPr>
        <w:ind w:left="3600" w:hanging="360"/>
      </w:pPr>
      <w:rPr>
        <w:rFonts w:ascii="Courier New" w:hAnsi="Courier New" w:hint="default"/>
      </w:rPr>
    </w:lvl>
    <w:lvl w:ilvl="5" w:tplc="9376A510" w:tentative="1">
      <w:start w:val="1"/>
      <w:numFmt w:val="bullet"/>
      <w:lvlText w:val=""/>
      <w:lvlJc w:val="left"/>
      <w:pPr>
        <w:ind w:left="4320" w:hanging="360"/>
      </w:pPr>
      <w:rPr>
        <w:rFonts w:ascii="Wingdings" w:hAnsi="Wingdings" w:hint="default"/>
      </w:rPr>
    </w:lvl>
    <w:lvl w:ilvl="6" w:tplc="E5EE79E0" w:tentative="1">
      <w:start w:val="1"/>
      <w:numFmt w:val="bullet"/>
      <w:lvlText w:val=""/>
      <w:lvlJc w:val="left"/>
      <w:pPr>
        <w:ind w:left="5040" w:hanging="360"/>
      </w:pPr>
      <w:rPr>
        <w:rFonts w:ascii="Symbol" w:hAnsi="Symbol" w:hint="default"/>
      </w:rPr>
    </w:lvl>
    <w:lvl w:ilvl="7" w:tplc="01928CA4" w:tentative="1">
      <w:start w:val="1"/>
      <w:numFmt w:val="bullet"/>
      <w:lvlText w:val="o"/>
      <w:lvlJc w:val="left"/>
      <w:pPr>
        <w:ind w:left="5760" w:hanging="360"/>
      </w:pPr>
      <w:rPr>
        <w:rFonts w:ascii="Courier New" w:hAnsi="Courier New" w:hint="default"/>
      </w:rPr>
    </w:lvl>
    <w:lvl w:ilvl="8" w:tplc="D46606C4" w:tentative="1">
      <w:start w:val="1"/>
      <w:numFmt w:val="bullet"/>
      <w:lvlText w:val=""/>
      <w:lvlJc w:val="left"/>
      <w:pPr>
        <w:ind w:left="6480" w:hanging="360"/>
      </w:pPr>
      <w:rPr>
        <w:rFonts w:ascii="Wingdings" w:hAnsi="Wingdings" w:hint="default"/>
      </w:rPr>
    </w:lvl>
  </w:abstractNum>
  <w:abstractNum w:abstractNumId="6" w15:restartNumberingAfterBreak="0">
    <w:nsid w:val="45243236"/>
    <w:multiLevelType w:val="hybridMultilevel"/>
    <w:tmpl w:val="F768D486"/>
    <w:lvl w:ilvl="0" w:tplc="5264279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17D1B"/>
    <w:multiLevelType w:val="hybridMultilevel"/>
    <w:tmpl w:val="9D7C124A"/>
    <w:lvl w:ilvl="0" w:tplc="AD7619FE">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8B4562"/>
    <w:multiLevelType w:val="hybridMultilevel"/>
    <w:tmpl w:val="E11C9EA0"/>
    <w:lvl w:ilvl="0" w:tplc="94D65A70">
      <w:start w:val="1"/>
      <w:numFmt w:val="bullet"/>
      <w:lvlText w:val=""/>
      <w:lvlJc w:val="left"/>
      <w:pPr>
        <w:ind w:left="1080" w:hanging="360"/>
      </w:pPr>
      <w:rPr>
        <w:rFonts w:ascii="Symbol" w:hAnsi="Symbol" w:hint="default"/>
      </w:rPr>
    </w:lvl>
    <w:lvl w:ilvl="1" w:tplc="E618D1DE" w:tentative="1">
      <w:start w:val="1"/>
      <w:numFmt w:val="bullet"/>
      <w:lvlText w:val="o"/>
      <w:lvlJc w:val="left"/>
      <w:pPr>
        <w:ind w:left="1800" w:hanging="360"/>
      </w:pPr>
      <w:rPr>
        <w:rFonts w:ascii="Courier New" w:hAnsi="Courier New" w:hint="default"/>
      </w:rPr>
    </w:lvl>
    <w:lvl w:ilvl="2" w:tplc="C8B2D344" w:tentative="1">
      <w:start w:val="1"/>
      <w:numFmt w:val="bullet"/>
      <w:lvlText w:val=""/>
      <w:lvlJc w:val="left"/>
      <w:pPr>
        <w:ind w:left="2520" w:hanging="360"/>
      </w:pPr>
      <w:rPr>
        <w:rFonts w:ascii="Wingdings" w:hAnsi="Wingdings" w:hint="default"/>
      </w:rPr>
    </w:lvl>
    <w:lvl w:ilvl="3" w:tplc="89027FD0" w:tentative="1">
      <w:start w:val="1"/>
      <w:numFmt w:val="bullet"/>
      <w:lvlText w:val=""/>
      <w:lvlJc w:val="left"/>
      <w:pPr>
        <w:ind w:left="3240" w:hanging="360"/>
      </w:pPr>
      <w:rPr>
        <w:rFonts w:ascii="Symbol" w:hAnsi="Symbol" w:hint="default"/>
      </w:rPr>
    </w:lvl>
    <w:lvl w:ilvl="4" w:tplc="B7163FEC" w:tentative="1">
      <w:start w:val="1"/>
      <w:numFmt w:val="bullet"/>
      <w:lvlText w:val="o"/>
      <w:lvlJc w:val="left"/>
      <w:pPr>
        <w:ind w:left="3960" w:hanging="360"/>
      </w:pPr>
      <w:rPr>
        <w:rFonts w:ascii="Courier New" w:hAnsi="Courier New" w:hint="default"/>
      </w:rPr>
    </w:lvl>
    <w:lvl w:ilvl="5" w:tplc="9FEEFBBC" w:tentative="1">
      <w:start w:val="1"/>
      <w:numFmt w:val="bullet"/>
      <w:lvlText w:val=""/>
      <w:lvlJc w:val="left"/>
      <w:pPr>
        <w:ind w:left="4680" w:hanging="360"/>
      </w:pPr>
      <w:rPr>
        <w:rFonts w:ascii="Wingdings" w:hAnsi="Wingdings" w:hint="default"/>
      </w:rPr>
    </w:lvl>
    <w:lvl w:ilvl="6" w:tplc="0F849C98" w:tentative="1">
      <w:start w:val="1"/>
      <w:numFmt w:val="bullet"/>
      <w:lvlText w:val=""/>
      <w:lvlJc w:val="left"/>
      <w:pPr>
        <w:ind w:left="5400" w:hanging="360"/>
      </w:pPr>
      <w:rPr>
        <w:rFonts w:ascii="Symbol" w:hAnsi="Symbol" w:hint="default"/>
      </w:rPr>
    </w:lvl>
    <w:lvl w:ilvl="7" w:tplc="140EA596" w:tentative="1">
      <w:start w:val="1"/>
      <w:numFmt w:val="bullet"/>
      <w:lvlText w:val="o"/>
      <w:lvlJc w:val="left"/>
      <w:pPr>
        <w:ind w:left="6120" w:hanging="360"/>
      </w:pPr>
      <w:rPr>
        <w:rFonts w:ascii="Courier New" w:hAnsi="Courier New" w:hint="default"/>
      </w:rPr>
    </w:lvl>
    <w:lvl w:ilvl="8" w:tplc="037AB752" w:tentative="1">
      <w:start w:val="1"/>
      <w:numFmt w:val="bullet"/>
      <w:lvlText w:val=""/>
      <w:lvlJc w:val="left"/>
      <w:pPr>
        <w:ind w:left="6840" w:hanging="360"/>
      </w:pPr>
      <w:rPr>
        <w:rFonts w:ascii="Wingdings" w:hAnsi="Wingdings" w:hint="default"/>
      </w:rPr>
    </w:lvl>
  </w:abstractNum>
  <w:abstractNum w:abstractNumId="9" w15:restartNumberingAfterBreak="0">
    <w:nsid w:val="789419E4"/>
    <w:multiLevelType w:val="hybridMultilevel"/>
    <w:tmpl w:val="488C8CCE"/>
    <w:lvl w:ilvl="0" w:tplc="08090005">
      <w:start w:val="1"/>
      <w:numFmt w:val="bullet"/>
      <w:lvlText w:val=""/>
      <w:lvlJc w:val="left"/>
      <w:pPr>
        <w:ind w:left="720" w:hanging="360"/>
      </w:pPr>
      <w:rPr>
        <w:rFonts w:ascii="Wingdings" w:hAnsi="Wingdings" w:hint="default"/>
      </w:rPr>
    </w:lvl>
    <w:lvl w:ilvl="1" w:tplc="BC50BB52" w:tentative="1">
      <w:start w:val="1"/>
      <w:numFmt w:val="bullet"/>
      <w:lvlText w:val="o"/>
      <w:lvlJc w:val="left"/>
      <w:pPr>
        <w:ind w:left="1440" w:hanging="360"/>
      </w:pPr>
      <w:rPr>
        <w:rFonts w:ascii="Courier New" w:hAnsi="Courier New" w:hint="default"/>
      </w:rPr>
    </w:lvl>
    <w:lvl w:ilvl="2" w:tplc="AA5E803E" w:tentative="1">
      <w:start w:val="1"/>
      <w:numFmt w:val="bullet"/>
      <w:lvlText w:val=""/>
      <w:lvlJc w:val="left"/>
      <w:pPr>
        <w:ind w:left="2160" w:hanging="360"/>
      </w:pPr>
      <w:rPr>
        <w:rFonts w:ascii="Wingdings" w:hAnsi="Wingdings" w:hint="default"/>
      </w:rPr>
    </w:lvl>
    <w:lvl w:ilvl="3" w:tplc="2A86C9F8" w:tentative="1">
      <w:start w:val="1"/>
      <w:numFmt w:val="bullet"/>
      <w:lvlText w:val=""/>
      <w:lvlJc w:val="left"/>
      <w:pPr>
        <w:ind w:left="2880" w:hanging="360"/>
      </w:pPr>
      <w:rPr>
        <w:rFonts w:ascii="Symbol" w:hAnsi="Symbol" w:hint="default"/>
      </w:rPr>
    </w:lvl>
    <w:lvl w:ilvl="4" w:tplc="AFE098CE" w:tentative="1">
      <w:start w:val="1"/>
      <w:numFmt w:val="bullet"/>
      <w:lvlText w:val="o"/>
      <w:lvlJc w:val="left"/>
      <w:pPr>
        <w:ind w:left="3600" w:hanging="360"/>
      </w:pPr>
      <w:rPr>
        <w:rFonts w:ascii="Courier New" w:hAnsi="Courier New" w:hint="default"/>
      </w:rPr>
    </w:lvl>
    <w:lvl w:ilvl="5" w:tplc="B9FC6B92" w:tentative="1">
      <w:start w:val="1"/>
      <w:numFmt w:val="bullet"/>
      <w:lvlText w:val=""/>
      <w:lvlJc w:val="left"/>
      <w:pPr>
        <w:ind w:left="4320" w:hanging="360"/>
      </w:pPr>
      <w:rPr>
        <w:rFonts w:ascii="Wingdings" w:hAnsi="Wingdings" w:hint="default"/>
      </w:rPr>
    </w:lvl>
    <w:lvl w:ilvl="6" w:tplc="20500AFC" w:tentative="1">
      <w:start w:val="1"/>
      <w:numFmt w:val="bullet"/>
      <w:lvlText w:val=""/>
      <w:lvlJc w:val="left"/>
      <w:pPr>
        <w:ind w:left="5040" w:hanging="360"/>
      </w:pPr>
      <w:rPr>
        <w:rFonts w:ascii="Symbol" w:hAnsi="Symbol" w:hint="default"/>
      </w:rPr>
    </w:lvl>
    <w:lvl w:ilvl="7" w:tplc="E35487CC" w:tentative="1">
      <w:start w:val="1"/>
      <w:numFmt w:val="bullet"/>
      <w:lvlText w:val="o"/>
      <w:lvlJc w:val="left"/>
      <w:pPr>
        <w:ind w:left="5760" w:hanging="360"/>
      </w:pPr>
      <w:rPr>
        <w:rFonts w:ascii="Courier New" w:hAnsi="Courier New" w:hint="default"/>
      </w:rPr>
    </w:lvl>
    <w:lvl w:ilvl="8" w:tplc="38A2F71A" w:tentative="1">
      <w:start w:val="1"/>
      <w:numFmt w:val="bullet"/>
      <w:lvlText w:val=""/>
      <w:lvlJc w:val="left"/>
      <w:pPr>
        <w:ind w:left="6480" w:hanging="360"/>
      </w:pPr>
      <w:rPr>
        <w:rFonts w:ascii="Wingdings" w:hAnsi="Wingdings" w:hint="default"/>
      </w:rPr>
    </w:lvl>
  </w:abstractNum>
  <w:abstractNum w:abstractNumId="10" w15:restartNumberingAfterBreak="0">
    <w:nsid w:val="7FC44FED"/>
    <w:multiLevelType w:val="hybridMultilevel"/>
    <w:tmpl w:val="12885C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599722">
    <w:abstractNumId w:val="5"/>
  </w:num>
  <w:num w:numId="2" w16cid:durableId="2056075136">
    <w:abstractNumId w:val="8"/>
  </w:num>
  <w:num w:numId="3" w16cid:durableId="2147307643">
    <w:abstractNumId w:val="0"/>
  </w:num>
  <w:num w:numId="4" w16cid:durableId="988559035">
    <w:abstractNumId w:val="1"/>
  </w:num>
  <w:num w:numId="5" w16cid:durableId="10374685">
    <w:abstractNumId w:val="9"/>
  </w:num>
  <w:num w:numId="6" w16cid:durableId="1202478407">
    <w:abstractNumId w:val="4"/>
  </w:num>
  <w:num w:numId="7" w16cid:durableId="1380737841">
    <w:abstractNumId w:val="2"/>
  </w:num>
  <w:num w:numId="8" w16cid:durableId="1217282735">
    <w:abstractNumId w:val="10"/>
  </w:num>
  <w:num w:numId="9" w16cid:durableId="1635716370">
    <w:abstractNumId w:val="3"/>
  </w:num>
  <w:num w:numId="10" w16cid:durableId="1548910539">
    <w:abstractNumId w:val="7"/>
  </w:num>
  <w:num w:numId="11" w16cid:durableId="11391476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39F4"/>
    <w:rsid w:val="000150B0"/>
    <w:rsid w:val="00015E52"/>
    <w:rsid w:val="00021004"/>
    <w:rsid w:val="00022A29"/>
    <w:rsid w:val="00025926"/>
    <w:rsid w:val="00025965"/>
    <w:rsid w:val="000345FB"/>
    <w:rsid w:val="000355FD"/>
    <w:rsid w:val="0003589F"/>
    <w:rsid w:val="0005184F"/>
    <w:rsid w:val="00051E39"/>
    <w:rsid w:val="00053725"/>
    <w:rsid w:val="00054B72"/>
    <w:rsid w:val="0005581A"/>
    <w:rsid w:val="0005619C"/>
    <w:rsid w:val="0005747E"/>
    <w:rsid w:val="000604E5"/>
    <w:rsid w:val="000617DF"/>
    <w:rsid w:val="0006550B"/>
    <w:rsid w:val="00065B6C"/>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000B"/>
    <w:rsid w:val="000B738A"/>
    <w:rsid w:val="000C03F4"/>
    <w:rsid w:val="000C17EA"/>
    <w:rsid w:val="000C2108"/>
    <w:rsid w:val="000C2592"/>
    <w:rsid w:val="000C42BA"/>
    <w:rsid w:val="000C4FD1"/>
    <w:rsid w:val="000D1759"/>
    <w:rsid w:val="000D38EB"/>
    <w:rsid w:val="000D4875"/>
    <w:rsid w:val="000D6891"/>
    <w:rsid w:val="000D6E8D"/>
    <w:rsid w:val="000D6EAB"/>
    <w:rsid w:val="000E1F4F"/>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856"/>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2009EA"/>
    <w:rsid w:val="00202CA0"/>
    <w:rsid w:val="00207A5D"/>
    <w:rsid w:val="002154A6"/>
    <w:rsid w:val="002162CD"/>
    <w:rsid w:val="00216478"/>
    <w:rsid w:val="00220634"/>
    <w:rsid w:val="00221C1D"/>
    <w:rsid w:val="002226B9"/>
    <w:rsid w:val="00224B7C"/>
    <w:rsid w:val="00224CDD"/>
    <w:rsid w:val="002255B3"/>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B46"/>
    <w:rsid w:val="00274CC3"/>
    <w:rsid w:val="00276414"/>
    <w:rsid w:val="00283F74"/>
    <w:rsid w:val="00286C1D"/>
    <w:rsid w:val="00286C4C"/>
    <w:rsid w:val="00294BF6"/>
    <w:rsid w:val="00294D5A"/>
    <w:rsid w:val="002955DA"/>
    <w:rsid w:val="00295A71"/>
    <w:rsid w:val="00296313"/>
    <w:rsid w:val="00296DA0"/>
    <w:rsid w:val="00297006"/>
    <w:rsid w:val="002978E6"/>
    <w:rsid w:val="002A0A7A"/>
    <w:rsid w:val="002A0D8C"/>
    <w:rsid w:val="002A27F8"/>
    <w:rsid w:val="002A51DF"/>
    <w:rsid w:val="002A684E"/>
    <w:rsid w:val="002A6C06"/>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BD0"/>
    <w:rsid w:val="003013EE"/>
    <w:rsid w:val="00303F7C"/>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5D42"/>
    <w:rsid w:val="00346224"/>
    <w:rsid w:val="0034636C"/>
    <w:rsid w:val="0035089A"/>
    <w:rsid w:val="003511BC"/>
    <w:rsid w:val="00356083"/>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532E"/>
    <w:rsid w:val="003B6306"/>
    <w:rsid w:val="003B6602"/>
    <w:rsid w:val="003B6F14"/>
    <w:rsid w:val="003B6F60"/>
    <w:rsid w:val="003C1870"/>
    <w:rsid w:val="003C5DD6"/>
    <w:rsid w:val="003C6136"/>
    <w:rsid w:val="003D0F8B"/>
    <w:rsid w:val="003D39F2"/>
    <w:rsid w:val="003D5A63"/>
    <w:rsid w:val="003D6425"/>
    <w:rsid w:val="003D66A7"/>
    <w:rsid w:val="003D7EE8"/>
    <w:rsid w:val="003E3B14"/>
    <w:rsid w:val="003E4F8B"/>
    <w:rsid w:val="003F0A6C"/>
    <w:rsid w:val="003F0F49"/>
    <w:rsid w:val="003F1363"/>
    <w:rsid w:val="00403C69"/>
    <w:rsid w:val="00405EC2"/>
    <w:rsid w:val="00406278"/>
    <w:rsid w:val="00406297"/>
    <w:rsid w:val="00412C81"/>
    <w:rsid w:val="004131D4"/>
    <w:rsid w:val="0041348E"/>
    <w:rsid w:val="00414895"/>
    <w:rsid w:val="0041674B"/>
    <w:rsid w:val="004208C6"/>
    <w:rsid w:val="00420B7C"/>
    <w:rsid w:val="00421605"/>
    <w:rsid w:val="004269E6"/>
    <w:rsid w:val="00433357"/>
    <w:rsid w:val="00435762"/>
    <w:rsid w:val="00435E45"/>
    <w:rsid w:val="004364D9"/>
    <w:rsid w:val="00437819"/>
    <w:rsid w:val="00437A8D"/>
    <w:rsid w:val="00440C4F"/>
    <w:rsid w:val="00441E8B"/>
    <w:rsid w:val="004445FD"/>
    <w:rsid w:val="00444A11"/>
    <w:rsid w:val="00446FBA"/>
    <w:rsid w:val="00447308"/>
    <w:rsid w:val="00447990"/>
    <w:rsid w:val="004500BC"/>
    <w:rsid w:val="00451B1B"/>
    <w:rsid w:val="004552B4"/>
    <w:rsid w:val="00460CF8"/>
    <w:rsid w:val="00462253"/>
    <w:rsid w:val="00462CB2"/>
    <w:rsid w:val="004631CC"/>
    <w:rsid w:val="00465551"/>
    <w:rsid w:val="00467DB2"/>
    <w:rsid w:val="00472FC1"/>
    <w:rsid w:val="004755BA"/>
    <w:rsid w:val="004765FF"/>
    <w:rsid w:val="00481E58"/>
    <w:rsid w:val="0048520E"/>
    <w:rsid w:val="00486163"/>
    <w:rsid w:val="00491941"/>
    <w:rsid w:val="00492075"/>
    <w:rsid w:val="0049304E"/>
    <w:rsid w:val="00495290"/>
    <w:rsid w:val="004969AD"/>
    <w:rsid w:val="00496E2A"/>
    <w:rsid w:val="004A0244"/>
    <w:rsid w:val="004A3CDF"/>
    <w:rsid w:val="004A3FF4"/>
    <w:rsid w:val="004A7674"/>
    <w:rsid w:val="004A783D"/>
    <w:rsid w:val="004B13CB"/>
    <w:rsid w:val="004B2466"/>
    <w:rsid w:val="004B3C6F"/>
    <w:rsid w:val="004B4FDF"/>
    <w:rsid w:val="004B4FF2"/>
    <w:rsid w:val="004B716F"/>
    <w:rsid w:val="004B7C16"/>
    <w:rsid w:val="004B7E77"/>
    <w:rsid w:val="004C3355"/>
    <w:rsid w:val="004D04E2"/>
    <w:rsid w:val="004D3C01"/>
    <w:rsid w:val="004D4243"/>
    <w:rsid w:val="004D5D5C"/>
    <w:rsid w:val="004D752D"/>
    <w:rsid w:val="004D7763"/>
    <w:rsid w:val="004E27DE"/>
    <w:rsid w:val="004E2F10"/>
    <w:rsid w:val="004E3276"/>
    <w:rsid w:val="004E4F74"/>
    <w:rsid w:val="004E5959"/>
    <w:rsid w:val="004E704A"/>
    <w:rsid w:val="004F051F"/>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2A8A"/>
    <w:rsid w:val="00533CBA"/>
    <w:rsid w:val="00536513"/>
    <w:rsid w:val="00536DB4"/>
    <w:rsid w:val="00541D24"/>
    <w:rsid w:val="00543159"/>
    <w:rsid w:val="0054377E"/>
    <w:rsid w:val="0054450F"/>
    <w:rsid w:val="0055140B"/>
    <w:rsid w:val="00552F9E"/>
    <w:rsid w:val="00554C4F"/>
    <w:rsid w:val="00561D72"/>
    <w:rsid w:val="00564F36"/>
    <w:rsid w:val="00566EEB"/>
    <w:rsid w:val="00570FA3"/>
    <w:rsid w:val="005711CE"/>
    <w:rsid w:val="00571767"/>
    <w:rsid w:val="00576FB4"/>
    <w:rsid w:val="00581664"/>
    <w:rsid w:val="00585238"/>
    <w:rsid w:val="005855FC"/>
    <w:rsid w:val="0058632F"/>
    <w:rsid w:val="00586EB9"/>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C099A"/>
    <w:rsid w:val="005C116F"/>
    <w:rsid w:val="005C13B5"/>
    <w:rsid w:val="005C26D1"/>
    <w:rsid w:val="005C3173"/>
    <w:rsid w:val="005C31A5"/>
    <w:rsid w:val="005C3248"/>
    <w:rsid w:val="005C3F17"/>
    <w:rsid w:val="005C4740"/>
    <w:rsid w:val="005D0BEA"/>
    <w:rsid w:val="005D4916"/>
    <w:rsid w:val="005E032D"/>
    <w:rsid w:val="005E0641"/>
    <w:rsid w:val="005E0D2B"/>
    <w:rsid w:val="005E10C9"/>
    <w:rsid w:val="005E61DD"/>
    <w:rsid w:val="005E6321"/>
    <w:rsid w:val="005F5413"/>
    <w:rsid w:val="005F7D38"/>
    <w:rsid w:val="00600B9C"/>
    <w:rsid w:val="006023DF"/>
    <w:rsid w:val="0060693B"/>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4C6"/>
    <w:rsid w:val="00680225"/>
    <w:rsid w:val="00685313"/>
    <w:rsid w:val="0069091F"/>
    <w:rsid w:val="00690B44"/>
    <w:rsid w:val="006912F3"/>
    <w:rsid w:val="00696E7A"/>
    <w:rsid w:val="006A0D14"/>
    <w:rsid w:val="006A47E5"/>
    <w:rsid w:val="006A6E9B"/>
    <w:rsid w:val="006A747C"/>
    <w:rsid w:val="006B1038"/>
    <w:rsid w:val="006B502E"/>
    <w:rsid w:val="006B5AA9"/>
    <w:rsid w:val="006B73C2"/>
    <w:rsid w:val="006B7C2A"/>
    <w:rsid w:val="006B7CC5"/>
    <w:rsid w:val="006C03CD"/>
    <w:rsid w:val="006C23DA"/>
    <w:rsid w:val="006C7898"/>
    <w:rsid w:val="006C7CA9"/>
    <w:rsid w:val="006D102C"/>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05B18"/>
    <w:rsid w:val="007149F9"/>
    <w:rsid w:val="0071531C"/>
    <w:rsid w:val="0071541F"/>
    <w:rsid w:val="007167D5"/>
    <w:rsid w:val="00720DD1"/>
    <w:rsid w:val="0072593E"/>
    <w:rsid w:val="007265FE"/>
    <w:rsid w:val="00730009"/>
    <w:rsid w:val="00733A30"/>
    <w:rsid w:val="007372E2"/>
    <w:rsid w:val="007379E5"/>
    <w:rsid w:val="00743072"/>
    <w:rsid w:val="00745AEE"/>
    <w:rsid w:val="00747028"/>
    <w:rsid w:val="007479EA"/>
    <w:rsid w:val="00747A98"/>
    <w:rsid w:val="00750F10"/>
    <w:rsid w:val="0075242F"/>
    <w:rsid w:val="00756ADC"/>
    <w:rsid w:val="007606A7"/>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7FAF"/>
    <w:rsid w:val="007B12EB"/>
    <w:rsid w:val="007B2EB6"/>
    <w:rsid w:val="007B3BF6"/>
    <w:rsid w:val="007B4578"/>
    <w:rsid w:val="007C0A4D"/>
    <w:rsid w:val="007C2360"/>
    <w:rsid w:val="007C5A7B"/>
    <w:rsid w:val="007D06F0"/>
    <w:rsid w:val="007D190D"/>
    <w:rsid w:val="007D35D0"/>
    <w:rsid w:val="007D3C25"/>
    <w:rsid w:val="007D45E3"/>
    <w:rsid w:val="007D5320"/>
    <w:rsid w:val="007D714B"/>
    <w:rsid w:val="007E065B"/>
    <w:rsid w:val="007E0A1D"/>
    <w:rsid w:val="007E28A9"/>
    <w:rsid w:val="007E4F6C"/>
    <w:rsid w:val="007E713F"/>
    <w:rsid w:val="007E7819"/>
    <w:rsid w:val="007E799D"/>
    <w:rsid w:val="007F236E"/>
    <w:rsid w:val="007F2668"/>
    <w:rsid w:val="007F26E3"/>
    <w:rsid w:val="007F3D47"/>
    <w:rsid w:val="007F535C"/>
    <w:rsid w:val="007F54EB"/>
    <w:rsid w:val="007F735C"/>
    <w:rsid w:val="00800972"/>
    <w:rsid w:val="00804475"/>
    <w:rsid w:val="0081159E"/>
    <w:rsid w:val="00811633"/>
    <w:rsid w:val="00814C00"/>
    <w:rsid w:val="00821CEF"/>
    <w:rsid w:val="00823BDC"/>
    <w:rsid w:val="0082711B"/>
    <w:rsid w:val="00832828"/>
    <w:rsid w:val="008334AF"/>
    <w:rsid w:val="0083645A"/>
    <w:rsid w:val="0083797D"/>
    <w:rsid w:val="00837AB9"/>
    <w:rsid w:val="00840B0F"/>
    <w:rsid w:val="00840FD0"/>
    <w:rsid w:val="0084590A"/>
    <w:rsid w:val="00845C0D"/>
    <w:rsid w:val="008529D3"/>
    <w:rsid w:val="00854840"/>
    <w:rsid w:val="0085555B"/>
    <w:rsid w:val="00855FDC"/>
    <w:rsid w:val="00860F8A"/>
    <w:rsid w:val="0086299C"/>
    <w:rsid w:val="00863578"/>
    <w:rsid w:val="00863FC4"/>
    <w:rsid w:val="00867B8E"/>
    <w:rsid w:val="00867E28"/>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B20A4"/>
    <w:rsid w:val="008B3713"/>
    <w:rsid w:val="008B43F2"/>
    <w:rsid w:val="008B54AB"/>
    <w:rsid w:val="008B54D9"/>
    <w:rsid w:val="008B61EA"/>
    <w:rsid w:val="008B63AA"/>
    <w:rsid w:val="008B6CFF"/>
    <w:rsid w:val="008C28A0"/>
    <w:rsid w:val="008C3D02"/>
    <w:rsid w:val="008C4ADD"/>
    <w:rsid w:val="008C5A91"/>
    <w:rsid w:val="008C6B9A"/>
    <w:rsid w:val="008C7C6D"/>
    <w:rsid w:val="008D06CB"/>
    <w:rsid w:val="008D279B"/>
    <w:rsid w:val="008D2B46"/>
    <w:rsid w:val="008D678E"/>
    <w:rsid w:val="008E1A73"/>
    <w:rsid w:val="008E33DA"/>
    <w:rsid w:val="008E5A7C"/>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537"/>
    <w:rsid w:val="00934743"/>
    <w:rsid w:val="00934EA2"/>
    <w:rsid w:val="009373C9"/>
    <w:rsid w:val="00941B98"/>
    <w:rsid w:val="00942FC1"/>
    <w:rsid w:val="00943545"/>
    <w:rsid w:val="00944A5C"/>
    <w:rsid w:val="00944A99"/>
    <w:rsid w:val="00951816"/>
    <w:rsid w:val="00952A66"/>
    <w:rsid w:val="00953C32"/>
    <w:rsid w:val="00964C68"/>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A5771"/>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203"/>
    <w:rsid w:val="009F1542"/>
    <w:rsid w:val="00A00AC6"/>
    <w:rsid w:val="00A03C5C"/>
    <w:rsid w:val="00A04FB0"/>
    <w:rsid w:val="00A066F1"/>
    <w:rsid w:val="00A1280A"/>
    <w:rsid w:val="00A141AF"/>
    <w:rsid w:val="00A15958"/>
    <w:rsid w:val="00A16D29"/>
    <w:rsid w:val="00A20E5E"/>
    <w:rsid w:val="00A2101B"/>
    <w:rsid w:val="00A21E18"/>
    <w:rsid w:val="00A235FD"/>
    <w:rsid w:val="00A259A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605"/>
    <w:rsid w:val="00A538A6"/>
    <w:rsid w:val="00A54C25"/>
    <w:rsid w:val="00A56C71"/>
    <w:rsid w:val="00A612BB"/>
    <w:rsid w:val="00A62F73"/>
    <w:rsid w:val="00A67FB8"/>
    <w:rsid w:val="00A710E7"/>
    <w:rsid w:val="00A7140C"/>
    <w:rsid w:val="00A7372E"/>
    <w:rsid w:val="00A74739"/>
    <w:rsid w:val="00A76372"/>
    <w:rsid w:val="00A76BD5"/>
    <w:rsid w:val="00A80D65"/>
    <w:rsid w:val="00A81F59"/>
    <w:rsid w:val="00A8350B"/>
    <w:rsid w:val="00A83E00"/>
    <w:rsid w:val="00A853F5"/>
    <w:rsid w:val="00A9323C"/>
    <w:rsid w:val="00A93364"/>
    <w:rsid w:val="00A93B85"/>
    <w:rsid w:val="00A96F7D"/>
    <w:rsid w:val="00AA05FD"/>
    <w:rsid w:val="00AA0B18"/>
    <w:rsid w:val="00AA3D2A"/>
    <w:rsid w:val="00AA4774"/>
    <w:rsid w:val="00AA666F"/>
    <w:rsid w:val="00AA7A11"/>
    <w:rsid w:val="00AB15BE"/>
    <w:rsid w:val="00AB4006"/>
    <w:rsid w:val="00AB4927"/>
    <w:rsid w:val="00AB4EF9"/>
    <w:rsid w:val="00AC007A"/>
    <w:rsid w:val="00AC034F"/>
    <w:rsid w:val="00AC1A8E"/>
    <w:rsid w:val="00AC4C17"/>
    <w:rsid w:val="00AC4DB5"/>
    <w:rsid w:val="00AD0AEB"/>
    <w:rsid w:val="00AD4C7B"/>
    <w:rsid w:val="00AE1244"/>
    <w:rsid w:val="00AE7CD5"/>
    <w:rsid w:val="00AF17A2"/>
    <w:rsid w:val="00AF2081"/>
    <w:rsid w:val="00AF2664"/>
    <w:rsid w:val="00AF45E8"/>
    <w:rsid w:val="00AF57EF"/>
    <w:rsid w:val="00B004E5"/>
    <w:rsid w:val="00B053F3"/>
    <w:rsid w:val="00B10A09"/>
    <w:rsid w:val="00B11C41"/>
    <w:rsid w:val="00B124F9"/>
    <w:rsid w:val="00B13FFC"/>
    <w:rsid w:val="00B15F9D"/>
    <w:rsid w:val="00B17325"/>
    <w:rsid w:val="00B17BDC"/>
    <w:rsid w:val="00B20035"/>
    <w:rsid w:val="00B20480"/>
    <w:rsid w:val="00B20F6D"/>
    <w:rsid w:val="00B21BEA"/>
    <w:rsid w:val="00B2212C"/>
    <w:rsid w:val="00B232A2"/>
    <w:rsid w:val="00B247C3"/>
    <w:rsid w:val="00B2520F"/>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48E4"/>
    <w:rsid w:val="00BB1F53"/>
    <w:rsid w:val="00BB29C8"/>
    <w:rsid w:val="00BB3A95"/>
    <w:rsid w:val="00BB42AD"/>
    <w:rsid w:val="00BB4491"/>
    <w:rsid w:val="00BB5F84"/>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4A10"/>
    <w:rsid w:val="00C166D0"/>
    <w:rsid w:val="00C16D39"/>
    <w:rsid w:val="00C20466"/>
    <w:rsid w:val="00C214ED"/>
    <w:rsid w:val="00C227EF"/>
    <w:rsid w:val="00C234E6"/>
    <w:rsid w:val="00C24E20"/>
    <w:rsid w:val="00C324A8"/>
    <w:rsid w:val="00C349B4"/>
    <w:rsid w:val="00C35C13"/>
    <w:rsid w:val="00C36662"/>
    <w:rsid w:val="00C37838"/>
    <w:rsid w:val="00C40DF2"/>
    <w:rsid w:val="00C54517"/>
    <w:rsid w:val="00C55DBA"/>
    <w:rsid w:val="00C56E3C"/>
    <w:rsid w:val="00C60AEF"/>
    <w:rsid w:val="00C6240E"/>
    <w:rsid w:val="00C6439C"/>
    <w:rsid w:val="00C64CD8"/>
    <w:rsid w:val="00C720B0"/>
    <w:rsid w:val="00C73347"/>
    <w:rsid w:val="00C75E0E"/>
    <w:rsid w:val="00C75FF8"/>
    <w:rsid w:val="00C76A6C"/>
    <w:rsid w:val="00C80652"/>
    <w:rsid w:val="00C80A64"/>
    <w:rsid w:val="00C837B8"/>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B76A2"/>
    <w:rsid w:val="00CC1BED"/>
    <w:rsid w:val="00CC247A"/>
    <w:rsid w:val="00CC41F6"/>
    <w:rsid w:val="00CD2733"/>
    <w:rsid w:val="00CD2A68"/>
    <w:rsid w:val="00CD2BC1"/>
    <w:rsid w:val="00CD3139"/>
    <w:rsid w:val="00CD4117"/>
    <w:rsid w:val="00CD7BC2"/>
    <w:rsid w:val="00CD7EC4"/>
    <w:rsid w:val="00CE5ACA"/>
    <w:rsid w:val="00CE5E47"/>
    <w:rsid w:val="00CE66E4"/>
    <w:rsid w:val="00CE67E6"/>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9B9"/>
    <w:rsid w:val="00D75EB3"/>
    <w:rsid w:val="00D76B19"/>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E2407"/>
    <w:rsid w:val="00DE2AC3"/>
    <w:rsid w:val="00DE434C"/>
    <w:rsid w:val="00DE502B"/>
    <w:rsid w:val="00DE5692"/>
    <w:rsid w:val="00DE5E67"/>
    <w:rsid w:val="00DE7136"/>
    <w:rsid w:val="00DE7766"/>
    <w:rsid w:val="00DE79F1"/>
    <w:rsid w:val="00DF02A0"/>
    <w:rsid w:val="00DF1E46"/>
    <w:rsid w:val="00DF21DF"/>
    <w:rsid w:val="00DF2347"/>
    <w:rsid w:val="00DF2D60"/>
    <w:rsid w:val="00DF6F8E"/>
    <w:rsid w:val="00E02014"/>
    <w:rsid w:val="00E03C94"/>
    <w:rsid w:val="00E03CF8"/>
    <w:rsid w:val="00E06AEA"/>
    <w:rsid w:val="00E07105"/>
    <w:rsid w:val="00E11115"/>
    <w:rsid w:val="00E12074"/>
    <w:rsid w:val="00E1307C"/>
    <w:rsid w:val="00E17BAD"/>
    <w:rsid w:val="00E21B22"/>
    <w:rsid w:val="00E236C9"/>
    <w:rsid w:val="00E239BD"/>
    <w:rsid w:val="00E241C9"/>
    <w:rsid w:val="00E26226"/>
    <w:rsid w:val="00E31B77"/>
    <w:rsid w:val="00E36E67"/>
    <w:rsid w:val="00E378D8"/>
    <w:rsid w:val="00E4021C"/>
    <w:rsid w:val="00E4059F"/>
    <w:rsid w:val="00E4165C"/>
    <w:rsid w:val="00E422AC"/>
    <w:rsid w:val="00E425D0"/>
    <w:rsid w:val="00E45D05"/>
    <w:rsid w:val="00E46B82"/>
    <w:rsid w:val="00E50E1A"/>
    <w:rsid w:val="00E528F8"/>
    <w:rsid w:val="00E5442B"/>
    <w:rsid w:val="00E55816"/>
    <w:rsid w:val="00E55AEF"/>
    <w:rsid w:val="00E61442"/>
    <w:rsid w:val="00E618F7"/>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AE6"/>
    <w:rsid w:val="00EB4C45"/>
    <w:rsid w:val="00EC00DF"/>
    <w:rsid w:val="00EC0FC2"/>
    <w:rsid w:val="00EC3585"/>
    <w:rsid w:val="00EC3D86"/>
    <w:rsid w:val="00EC6B65"/>
    <w:rsid w:val="00ED29AB"/>
    <w:rsid w:val="00ED335C"/>
    <w:rsid w:val="00ED44A8"/>
    <w:rsid w:val="00ED5AAF"/>
    <w:rsid w:val="00EE3198"/>
    <w:rsid w:val="00EE4646"/>
    <w:rsid w:val="00EE67EC"/>
    <w:rsid w:val="00EF33D5"/>
    <w:rsid w:val="00EF481F"/>
    <w:rsid w:val="00EF7637"/>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77F9"/>
    <w:rsid w:val="00F339E3"/>
    <w:rsid w:val="00F340C8"/>
    <w:rsid w:val="00F349CB"/>
    <w:rsid w:val="00F354F7"/>
    <w:rsid w:val="00F357E0"/>
    <w:rsid w:val="00F41E8E"/>
    <w:rsid w:val="00F45892"/>
    <w:rsid w:val="00F53615"/>
    <w:rsid w:val="00F579D6"/>
    <w:rsid w:val="00F61818"/>
    <w:rsid w:val="00F623D9"/>
    <w:rsid w:val="00F64274"/>
    <w:rsid w:val="00F64DBC"/>
    <w:rsid w:val="00F659A6"/>
    <w:rsid w:val="00F65C19"/>
    <w:rsid w:val="00F6660F"/>
    <w:rsid w:val="00F66AD1"/>
    <w:rsid w:val="00F66B3A"/>
    <w:rsid w:val="00F67276"/>
    <w:rsid w:val="00F723AC"/>
    <w:rsid w:val="00F7338B"/>
    <w:rsid w:val="00F7440E"/>
    <w:rsid w:val="00F76603"/>
    <w:rsid w:val="00F772D4"/>
    <w:rsid w:val="00F808C6"/>
    <w:rsid w:val="00F83F60"/>
    <w:rsid w:val="00F8476E"/>
    <w:rsid w:val="00F848EE"/>
    <w:rsid w:val="00F84DF8"/>
    <w:rsid w:val="00F87BC1"/>
    <w:rsid w:val="00F91898"/>
    <w:rsid w:val="00F9323D"/>
    <w:rsid w:val="00F94FEF"/>
    <w:rsid w:val="00F971FB"/>
    <w:rsid w:val="00FA4CD4"/>
    <w:rsid w:val="00FA579C"/>
    <w:rsid w:val="00FA668B"/>
    <w:rsid w:val="00FB20E0"/>
    <w:rsid w:val="00FB34B9"/>
    <w:rsid w:val="00FC0BEF"/>
    <w:rsid w:val="00FC24DA"/>
    <w:rsid w:val="00FC4678"/>
    <w:rsid w:val="00FC6545"/>
    <w:rsid w:val="00FD0183"/>
    <w:rsid w:val="00FD037B"/>
    <w:rsid w:val="00FD2546"/>
    <w:rsid w:val="00FD772E"/>
    <w:rsid w:val="00FE3346"/>
    <w:rsid w:val="00FE3926"/>
    <w:rsid w:val="00FE48BE"/>
    <w:rsid w:val="00FE4D2F"/>
    <w:rsid w:val="00FE7205"/>
    <w:rsid w:val="00FE78C7"/>
    <w:rsid w:val="00FF21ED"/>
    <w:rsid w:val="00FF2A26"/>
    <w:rsid w:val="00FF2D8F"/>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6A32B"/>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AE6"/>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uiPriority w:val="9"/>
    <w:qFormat/>
    <w:rsid w:val="00EB4AE6"/>
    <w:pPr>
      <w:keepNext/>
      <w:keepLines/>
      <w:spacing w:before="280"/>
      <w:ind w:left="1134" w:hanging="1134"/>
      <w:outlineLvl w:val="0"/>
    </w:pPr>
    <w:rPr>
      <w:b/>
      <w:sz w:val="26"/>
    </w:rPr>
  </w:style>
  <w:style w:type="paragraph" w:styleId="Heading2">
    <w:name w:val="heading 2"/>
    <w:basedOn w:val="Heading1"/>
    <w:next w:val="Normal"/>
    <w:link w:val="Heading2Char"/>
    <w:qFormat/>
    <w:rsid w:val="00EB4AE6"/>
    <w:pPr>
      <w:spacing w:before="200"/>
      <w:outlineLvl w:val="1"/>
    </w:pPr>
    <w:rPr>
      <w:sz w:val="22"/>
    </w:rPr>
  </w:style>
  <w:style w:type="paragraph" w:styleId="Heading3">
    <w:name w:val="heading 3"/>
    <w:basedOn w:val="Heading1"/>
    <w:next w:val="Normal"/>
    <w:link w:val="Heading3Char"/>
    <w:qFormat/>
    <w:rsid w:val="00EB4AE6"/>
    <w:pPr>
      <w:tabs>
        <w:tab w:val="clear" w:pos="1134"/>
      </w:tabs>
      <w:spacing w:before="200"/>
      <w:outlineLvl w:val="2"/>
    </w:pPr>
    <w:rPr>
      <w:sz w:val="22"/>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EB4AE6"/>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EB4AE6"/>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EB4AE6"/>
    <w:pPr>
      <w:keepNext/>
      <w:keepLines/>
      <w:spacing w:before="240" w:after="28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EB4AE6"/>
    <w:pPr>
      <w:spacing w:before="480"/>
      <w:jc w:val="center"/>
    </w:pPr>
    <w:rPr>
      <w:b/>
      <w:sz w:val="26"/>
    </w:rPr>
  </w:style>
  <w:style w:type="paragraph" w:customStyle="1" w:styleId="ArtNo">
    <w:name w:val="Art_No"/>
    <w:basedOn w:val="Normal"/>
    <w:next w:val="Normal"/>
    <w:rsid w:val="00EB4AE6"/>
    <w:pPr>
      <w:keepNext/>
      <w:keepLines/>
      <w:spacing w:before="48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EB4AE6"/>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EB4AE6"/>
    <w:rPr>
      <w:rFonts w:asciiTheme="minorHAnsi" w:hAnsiTheme="minorHAnsi"/>
      <w:position w:val="6"/>
      <w:sz w:val="16"/>
    </w:rPr>
  </w:style>
  <w:style w:type="paragraph" w:styleId="FootnoteText">
    <w:name w:val="footnote text"/>
    <w:basedOn w:val="Normal"/>
    <w:link w:val="FootnoteTextChar"/>
    <w:uiPriority w:val="99"/>
    <w:qFormat/>
    <w:rsid w:val="00EB4AE6"/>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uiPriority w:val="99"/>
    <w:qFormat/>
    <w:rsid w:val="00EB4AE6"/>
    <w:rPr>
      <w:rFonts w:ascii="Calibri" w:hAnsi="Calibri"/>
      <w:lang w:val="ru-RU"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EB4AE6"/>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EB4AE6"/>
    <w:pPr>
      <w:keepNext/>
      <w:keepLines/>
      <w:spacing w:before="480"/>
      <w:jc w:val="center"/>
    </w:pPr>
    <w:rPr>
      <w:caps/>
      <w:sz w:val="26"/>
    </w:rPr>
  </w:style>
  <w:style w:type="paragraph" w:customStyle="1" w:styleId="Questiontitle">
    <w:name w:val="Question_title"/>
    <w:basedOn w:val="Normal"/>
    <w:next w:val="Normal"/>
    <w:rsid w:val="00EB4AE6"/>
    <w:pPr>
      <w:keepNext/>
      <w:keepLines/>
      <w:spacing w:before="240"/>
      <w:jc w:val="center"/>
    </w:pPr>
    <w:rPr>
      <w:b/>
      <w:sz w:val="26"/>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CB76A2"/>
    <w:pPr>
      <w:spacing w:before="240"/>
    </w:pPr>
    <w:rPr>
      <w:b w:val="0"/>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EB4AE6"/>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EB4AE6"/>
  </w:style>
  <w:style w:type="paragraph" w:customStyle="1" w:styleId="AppArttitle">
    <w:name w:val="App_Art_title"/>
    <w:basedOn w:val="Arttitle"/>
    <w:qFormat/>
    <w:rsid w:val="00A066F1"/>
  </w:style>
  <w:style w:type="paragraph" w:customStyle="1" w:styleId="Opiniontitle">
    <w:name w:val="Opinion_title"/>
    <w:basedOn w:val="Rectitle"/>
    <w:next w:val="Normalaftertitle"/>
    <w:qFormat/>
    <w:rsid w:val="00EB4AE6"/>
  </w:style>
  <w:style w:type="paragraph" w:customStyle="1" w:styleId="OpinionNo">
    <w:name w:val="Opinion_No"/>
    <w:basedOn w:val="RecNo"/>
    <w:next w:val="Opiniontitle"/>
    <w:qFormat/>
    <w:rsid w:val="00EB4AE6"/>
  </w:style>
  <w:style w:type="paragraph" w:customStyle="1" w:styleId="Volumetitle">
    <w:name w:val="Volume_title"/>
    <w:basedOn w:val="Normal"/>
    <w:qFormat/>
    <w:rsid w:val="00EB4AE6"/>
    <w:pPr>
      <w:tabs>
        <w:tab w:val="clear" w:pos="1134"/>
        <w:tab w:val="clear" w:pos="2268"/>
      </w:tabs>
      <w:overflowPunct/>
      <w:autoSpaceDE/>
      <w:autoSpaceDN/>
      <w:adjustRightInd/>
      <w:spacing w:before="0"/>
      <w:textAlignment w:val="auto"/>
    </w:pPr>
    <w:rPr>
      <w:b/>
      <w:sz w:val="26"/>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ECC Hyperlink,하이퍼링크21,超??级链Ú,fL????,fL?级,超??级链,超?级链ïÈ,õ±?级链,õ±链ïÈ1,õ±???"/>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semiHidden/>
    <w:unhideWhenUsed/>
    <w:rsid w:val="006747D8"/>
    <w:rPr>
      <w:sz w:val="16"/>
      <w:szCs w:val="16"/>
    </w:rPr>
  </w:style>
  <w:style w:type="paragraph" w:styleId="CommentText">
    <w:name w:val="annotation text"/>
    <w:basedOn w:val="Normal"/>
    <w:link w:val="CommentTextChar"/>
    <w:uiPriority w:val="99"/>
    <w:unhideWhenUsed/>
    <w:rsid w:val="006747D8"/>
    <w:rPr>
      <w:sz w:val="20"/>
    </w:rPr>
  </w:style>
  <w:style w:type="character" w:customStyle="1" w:styleId="CommentTextChar">
    <w:name w:val="Comment Text Char"/>
    <w:basedOn w:val="DefaultParagraphFont"/>
    <w:link w:val="CommentText"/>
    <w:uiPriority w:val="99"/>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HeadingbChar">
    <w:name w:val="Heading_b Char"/>
    <w:basedOn w:val="DefaultParagraphFont"/>
    <w:link w:val="Headingb"/>
    <w:locked/>
    <w:rsid w:val="005E032D"/>
    <w:rPr>
      <w:rFonts w:asciiTheme="minorHAnsi" w:hAnsiTheme="minorHAnsi" w:cs="Times New Roman Bold"/>
      <w:b/>
      <w:sz w:val="24"/>
      <w:lang w:val="fr-CH"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DE2407"/>
    <w:pPr>
      <w:ind w:left="720"/>
      <w:contextualSpacing/>
      <w:jc w:val="both"/>
    </w:pPr>
    <w:rPr>
      <w:rFonts w:asciiTheme="minorHAnsi" w:eastAsia="SimSun" w:hAnsiTheme="minorHAnsi"/>
      <w:sz w:val="24"/>
      <w:lang w:val="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DE2407"/>
    <w:rPr>
      <w:rFonts w:asciiTheme="minorHAnsi" w:eastAsia="SimSun" w:hAnsiTheme="minorHAnsi"/>
      <w:sz w:val="24"/>
      <w:lang w:val="en-GB" w:eastAsia="en-US"/>
    </w:rPr>
  </w:style>
  <w:style w:type="table" w:customStyle="1" w:styleId="TableGrid4">
    <w:name w:val="Table Grid4"/>
    <w:basedOn w:val="TableNormal"/>
    <w:next w:val="TableGrid"/>
    <w:uiPriority w:val="39"/>
    <w:rsid w:val="00DE2407"/>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semiHidden/>
    <w:rsid w:val="008E5A7C"/>
    <w:pPr>
      <w:tabs>
        <w:tab w:val="clear" w:pos="1134"/>
        <w:tab w:val="clear" w:pos="1871"/>
        <w:tab w:val="clear" w:pos="2268"/>
        <w:tab w:val="left" w:pos="794"/>
        <w:tab w:val="left" w:pos="1191"/>
        <w:tab w:val="left" w:pos="1588"/>
        <w:tab w:val="left" w:pos="1985"/>
      </w:tabs>
      <w:ind w:left="1698"/>
      <w:jc w:val="both"/>
    </w:pPr>
    <w:rPr>
      <w:rFonts w:asciiTheme="minorHAnsi" w:eastAsia="SimSun" w:hAnsiTheme="minorHAnsi"/>
      <w:sz w:val="24"/>
      <w:lang w:val="en-GB"/>
    </w:rPr>
  </w:style>
  <w:style w:type="paragraph" w:styleId="Index6">
    <w:name w:val="index 6"/>
    <w:basedOn w:val="Normal"/>
    <w:next w:val="Normal"/>
    <w:semiHidden/>
    <w:rsid w:val="008E5A7C"/>
    <w:pPr>
      <w:tabs>
        <w:tab w:val="clear" w:pos="1134"/>
        <w:tab w:val="clear" w:pos="1871"/>
        <w:tab w:val="clear" w:pos="2268"/>
        <w:tab w:val="left" w:pos="794"/>
        <w:tab w:val="left" w:pos="1191"/>
        <w:tab w:val="left" w:pos="1588"/>
        <w:tab w:val="left" w:pos="1985"/>
      </w:tabs>
      <w:ind w:left="1415"/>
      <w:jc w:val="both"/>
    </w:pPr>
    <w:rPr>
      <w:rFonts w:asciiTheme="minorHAnsi" w:eastAsia="SimSun" w:hAnsiTheme="minorHAnsi"/>
      <w:sz w:val="24"/>
      <w:lang w:val="en-GB"/>
    </w:rPr>
  </w:style>
  <w:style w:type="paragraph" w:styleId="Index5">
    <w:name w:val="index 5"/>
    <w:basedOn w:val="Normal"/>
    <w:next w:val="Normal"/>
    <w:semiHidden/>
    <w:rsid w:val="008E5A7C"/>
    <w:pPr>
      <w:tabs>
        <w:tab w:val="clear" w:pos="1134"/>
        <w:tab w:val="clear" w:pos="1871"/>
        <w:tab w:val="clear" w:pos="2268"/>
        <w:tab w:val="left" w:pos="794"/>
        <w:tab w:val="left" w:pos="1191"/>
        <w:tab w:val="left" w:pos="1588"/>
        <w:tab w:val="left" w:pos="1985"/>
      </w:tabs>
      <w:ind w:left="1132"/>
      <w:jc w:val="both"/>
    </w:pPr>
    <w:rPr>
      <w:rFonts w:asciiTheme="minorHAnsi" w:eastAsia="SimSun" w:hAnsiTheme="minorHAnsi"/>
      <w:sz w:val="24"/>
      <w:lang w:val="en-GB"/>
    </w:rPr>
  </w:style>
  <w:style w:type="paragraph" w:styleId="Index4">
    <w:name w:val="index 4"/>
    <w:basedOn w:val="Normal"/>
    <w:next w:val="Normal"/>
    <w:semiHidden/>
    <w:rsid w:val="008E5A7C"/>
    <w:pPr>
      <w:tabs>
        <w:tab w:val="clear" w:pos="1134"/>
        <w:tab w:val="clear" w:pos="1871"/>
        <w:tab w:val="clear" w:pos="2268"/>
        <w:tab w:val="left" w:pos="794"/>
        <w:tab w:val="left" w:pos="1191"/>
        <w:tab w:val="left" w:pos="1588"/>
        <w:tab w:val="left" w:pos="1985"/>
      </w:tabs>
      <w:ind w:left="849"/>
      <w:jc w:val="both"/>
    </w:pPr>
    <w:rPr>
      <w:rFonts w:asciiTheme="minorHAnsi" w:eastAsia="SimSun" w:hAnsiTheme="minorHAnsi"/>
      <w:sz w:val="24"/>
      <w:lang w:val="en-GB"/>
    </w:rPr>
  </w:style>
  <w:style w:type="paragraph" w:styleId="Index3">
    <w:name w:val="index 3"/>
    <w:basedOn w:val="Normal"/>
    <w:next w:val="Normal"/>
    <w:semiHidden/>
    <w:rsid w:val="008E5A7C"/>
    <w:pPr>
      <w:tabs>
        <w:tab w:val="clear" w:pos="1134"/>
        <w:tab w:val="clear" w:pos="1871"/>
        <w:tab w:val="clear" w:pos="2268"/>
        <w:tab w:val="left" w:pos="794"/>
        <w:tab w:val="left" w:pos="1191"/>
        <w:tab w:val="left" w:pos="1588"/>
        <w:tab w:val="left" w:pos="1985"/>
      </w:tabs>
      <w:ind w:left="566"/>
      <w:jc w:val="both"/>
    </w:pPr>
    <w:rPr>
      <w:rFonts w:asciiTheme="minorHAnsi" w:eastAsia="SimSun" w:hAnsiTheme="minorHAnsi"/>
      <w:sz w:val="24"/>
      <w:lang w:val="en-GB"/>
    </w:rPr>
  </w:style>
  <w:style w:type="paragraph" w:styleId="Index2">
    <w:name w:val="index 2"/>
    <w:basedOn w:val="Normal"/>
    <w:next w:val="Normal"/>
    <w:semiHidden/>
    <w:rsid w:val="008E5A7C"/>
    <w:pPr>
      <w:tabs>
        <w:tab w:val="clear" w:pos="1134"/>
        <w:tab w:val="clear" w:pos="1871"/>
        <w:tab w:val="clear" w:pos="2268"/>
        <w:tab w:val="left" w:pos="794"/>
        <w:tab w:val="left" w:pos="1191"/>
        <w:tab w:val="left" w:pos="1588"/>
        <w:tab w:val="left" w:pos="1985"/>
      </w:tabs>
      <w:ind w:left="283"/>
      <w:jc w:val="both"/>
    </w:pPr>
    <w:rPr>
      <w:rFonts w:asciiTheme="minorHAnsi" w:eastAsia="SimSun" w:hAnsiTheme="minorHAnsi"/>
      <w:sz w:val="24"/>
      <w:lang w:val="en-GB"/>
    </w:rPr>
  </w:style>
  <w:style w:type="paragraph" w:styleId="Index1">
    <w:name w:val="index 1"/>
    <w:basedOn w:val="Normal"/>
    <w:next w:val="Normal"/>
    <w:semiHidden/>
    <w:rsid w:val="008E5A7C"/>
    <w:pPr>
      <w:tabs>
        <w:tab w:val="clear" w:pos="1134"/>
        <w:tab w:val="clear" w:pos="1871"/>
        <w:tab w:val="clear" w:pos="2268"/>
        <w:tab w:val="left" w:pos="794"/>
        <w:tab w:val="left" w:pos="1191"/>
        <w:tab w:val="left" w:pos="1588"/>
        <w:tab w:val="left" w:pos="1985"/>
      </w:tabs>
      <w:jc w:val="both"/>
    </w:pPr>
    <w:rPr>
      <w:rFonts w:asciiTheme="minorHAnsi" w:eastAsia="SimSun" w:hAnsiTheme="minorHAnsi"/>
      <w:sz w:val="24"/>
      <w:lang w:val="en-GB"/>
    </w:rPr>
  </w:style>
  <w:style w:type="character" w:styleId="LineNumber">
    <w:name w:val="line number"/>
    <w:basedOn w:val="DefaultParagraphFont"/>
    <w:rsid w:val="008E5A7C"/>
  </w:style>
  <w:style w:type="paragraph" w:styleId="IndexHeading">
    <w:name w:val="index heading"/>
    <w:basedOn w:val="Normal"/>
    <w:next w:val="Index1"/>
    <w:semiHidden/>
    <w:rsid w:val="008E5A7C"/>
    <w:pPr>
      <w:tabs>
        <w:tab w:val="clear" w:pos="1134"/>
        <w:tab w:val="clear" w:pos="1871"/>
        <w:tab w:val="clear" w:pos="2268"/>
        <w:tab w:val="left" w:pos="794"/>
        <w:tab w:val="left" w:pos="1191"/>
        <w:tab w:val="left" w:pos="1588"/>
        <w:tab w:val="left" w:pos="1985"/>
      </w:tabs>
      <w:jc w:val="both"/>
    </w:pPr>
    <w:rPr>
      <w:rFonts w:asciiTheme="minorHAnsi" w:eastAsia="SimSun" w:hAnsiTheme="minorHAnsi"/>
      <w:sz w:val="24"/>
      <w:lang w:val="en-GB"/>
    </w:rPr>
  </w:style>
  <w:style w:type="paragraph" w:customStyle="1" w:styleId="toc0">
    <w:name w:val="toc 0"/>
    <w:basedOn w:val="Normal"/>
    <w:next w:val="TOC1"/>
    <w:rsid w:val="008E5A7C"/>
    <w:pPr>
      <w:tabs>
        <w:tab w:val="clear" w:pos="1134"/>
        <w:tab w:val="clear" w:pos="1871"/>
        <w:tab w:val="clear" w:pos="2268"/>
        <w:tab w:val="right" w:pos="9781"/>
      </w:tabs>
      <w:jc w:val="both"/>
    </w:pPr>
    <w:rPr>
      <w:rFonts w:asciiTheme="minorHAnsi" w:eastAsia="SimSun" w:hAnsiTheme="minorHAnsi"/>
      <w:b/>
      <w:sz w:val="24"/>
      <w:lang w:val="en-GB"/>
    </w:rPr>
  </w:style>
  <w:style w:type="paragraph" w:customStyle="1" w:styleId="ASN1">
    <w:name w:val="ASN.1"/>
    <w:basedOn w:val="Normal"/>
    <w:rsid w:val="008E5A7C"/>
    <w:pPr>
      <w:tabs>
        <w:tab w:val="clear" w:pos="1871"/>
        <w:tab w:val="left" w:pos="567"/>
        <w:tab w:val="left" w:pos="1701"/>
        <w:tab w:val="left" w:pos="2835"/>
        <w:tab w:val="left" w:pos="3402"/>
        <w:tab w:val="left" w:pos="3969"/>
        <w:tab w:val="left" w:pos="4536"/>
        <w:tab w:val="left" w:pos="5103"/>
        <w:tab w:val="left" w:pos="5670"/>
      </w:tabs>
      <w:spacing w:before="0"/>
      <w:jc w:val="both"/>
    </w:pPr>
    <w:rPr>
      <w:rFonts w:ascii="Times New Roman Bold" w:eastAsia="SimSun" w:hAnsi="Times New Roman Bold"/>
      <w:b/>
      <w:noProof/>
      <w:sz w:val="20"/>
      <w:lang w:val="en-GB"/>
    </w:rPr>
  </w:style>
  <w:style w:type="paragraph" w:styleId="TOC9">
    <w:name w:val="toc 9"/>
    <w:basedOn w:val="TOC3"/>
    <w:next w:val="Normal"/>
    <w:semiHidden/>
    <w:rsid w:val="008E5A7C"/>
    <w:pPr>
      <w:tabs>
        <w:tab w:val="clear" w:pos="1871"/>
        <w:tab w:val="clear" w:pos="7938"/>
        <w:tab w:val="left" w:pos="964"/>
        <w:tab w:val="left" w:leader="dot" w:pos="8647"/>
      </w:tabs>
      <w:ind w:left="964" w:hanging="964"/>
      <w:jc w:val="both"/>
    </w:pPr>
    <w:rPr>
      <w:rFonts w:asciiTheme="minorHAnsi" w:eastAsia="SimSun" w:hAnsiTheme="minorHAnsi"/>
      <w:sz w:val="24"/>
      <w:lang w:val="en-GB"/>
    </w:rPr>
  </w:style>
  <w:style w:type="paragraph" w:customStyle="1" w:styleId="ddate">
    <w:name w:val="ddate"/>
    <w:basedOn w:val="Normal"/>
    <w:rsid w:val="008E5A7C"/>
    <w:pPr>
      <w:framePr w:hSpace="181" w:wrap="around" w:vAnchor="page" w:hAnchor="margin" w:y="852"/>
      <w:shd w:val="solid" w:color="FFFFFF" w:fill="FFFFFF"/>
      <w:spacing w:before="0"/>
      <w:jc w:val="both"/>
    </w:pPr>
    <w:rPr>
      <w:rFonts w:asciiTheme="minorHAnsi" w:eastAsia="SimSun" w:hAnsiTheme="minorHAnsi"/>
      <w:b/>
      <w:bCs/>
      <w:sz w:val="24"/>
      <w:lang w:val="en-GB"/>
    </w:rPr>
  </w:style>
  <w:style w:type="paragraph" w:customStyle="1" w:styleId="dnum">
    <w:name w:val="dnum"/>
    <w:basedOn w:val="Normal"/>
    <w:rsid w:val="008E5A7C"/>
    <w:pPr>
      <w:framePr w:hSpace="181" w:wrap="around" w:vAnchor="page" w:hAnchor="margin" w:y="852"/>
      <w:shd w:val="solid" w:color="FFFFFF" w:fill="FFFFFF"/>
      <w:jc w:val="both"/>
    </w:pPr>
    <w:rPr>
      <w:rFonts w:asciiTheme="minorHAnsi" w:eastAsia="SimSun" w:hAnsiTheme="minorHAnsi"/>
      <w:b/>
      <w:bCs/>
      <w:sz w:val="24"/>
      <w:lang w:val="en-GB"/>
    </w:rPr>
  </w:style>
  <w:style w:type="paragraph" w:customStyle="1" w:styleId="dorlang">
    <w:name w:val="dorlang"/>
    <w:basedOn w:val="Normal"/>
    <w:rsid w:val="008E5A7C"/>
    <w:pPr>
      <w:framePr w:hSpace="181" w:wrap="around" w:vAnchor="page" w:hAnchor="margin" w:y="852"/>
      <w:shd w:val="solid" w:color="FFFFFF" w:fill="FFFFFF"/>
      <w:spacing w:before="0"/>
      <w:jc w:val="both"/>
    </w:pPr>
    <w:rPr>
      <w:rFonts w:asciiTheme="minorHAnsi" w:eastAsia="SimSun" w:hAnsiTheme="minorHAnsi"/>
      <w:b/>
      <w:bCs/>
      <w:sz w:val="24"/>
      <w:lang w:val="en-GB"/>
    </w:rPr>
  </w:style>
  <w:style w:type="character" w:styleId="EndnoteReference">
    <w:name w:val="endnote reference"/>
    <w:basedOn w:val="DefaultParagraphFont"/>
    <w:semiHidden/>
    <w:rsid w:val="008E5A7C"/>
    <w:rPr>
      <w:vertAlign w:val="superscript"/>
    </w:rPr>
  </w:style>
  <w:style w:type="paragraph" w:customStyle="1" w:styleId="Recref">
    <w:name w:val="Rec_ref"/>
    <w:basedOn w:val="Rectitle"/>
    <w:next w:val="Recdate"/>
    <w:rsid w:val="008E5A7C"/>
    <w:pPr>
      <w:tabs>
        <w:tab w:val="clear" w:pos="1134"/>
        <w:tab w:val="clear" w:pos="1871"/>
        <w:tab w:val="clear" w:pos="2268"/>
      </w:tabs>
      <w:spacing w:before="120"/>
    </w:pPr>
    <w:rPr>
      <w:rFonts w:asciiTheme="minorHAnsi" w:eastAsia="SimSun" w:hAnsiTheme="minorHAnsi"/>
      <w:b w:val="0"/>
      <w:i/>
      <w:sz w:val="24"/>
      <w:lang w:val="en-GB"/>
    </w:rPr>
  </w:style>
  <w:style w:type="paragraph" w:customStyle="1" w:styleId="Questionref">
    <w:name w:val="Question_ref"/>
    <w:basedOn w:val="Recref"/>
    <w:next w:val="Questiondate"/>
    <w:rsid w:val="008E5A7C"/>
  </w:style>
  <w:style w:type="character" w:customStyle="1" w:styleId="Recdef">
    <w:name w:val="Rec_def"/>
    <w:basedOn w:val="DefaultParagraphFont"/>
    <w:rsid w:val="008E5A7C"/>
    <w:rPr>
      <w:rFonts w:asciiTheme="minorHAnsi" w:hAnsiTheme="minorHAnsi"/>
      <w:b/>
    </w:rPr>
  </w:style>
  <w:style w:type="paragraph" w:customStyle="1" w:styleId="Reftext">
    <w:name w:val="Ref_text"/>
    <w:basedOn w:val="Normal"/>
    <w:rsid w:val="008E5A7C"/>
    <w:pPr>
      <w:tabs>
        <w:tab w:val="clear" w:pos="1134"/>
        <w:tab w:val="clear" w:pos="1871"/>
        <w:tab w:val="clear" w:pos="2268"/>
        <w:tab w:val="left" w:pos="794"/>
        <w:tab w:val="left" w:pos="1191"/>
        <w:tab w:val="left" w:pos="1588"/>
        <w:tab w:val="left" w:pos="1985"/>
      </w:tabs>
      <w:ind w:left="794" w:hanging="794"/>
      <w:jc w:val="both"/>
    </w:pPr>
    <w:rPr>
      <w:rFonts w:asciiTheme="minorHAnsi" w:eastAsia="SimSun" w:hAnsiTheme="minorHAnsi"/>
      <w:sz w:val="24"/>
      <w:lang w:val="en-GB"/>
    </w:rPr>
  </w:style>
  <w:style w:type="paragraph" w:customStyle="1" w:styleId="Reftitle">
    <w:name w:val="Ref_title"/>
    <w:basedOn w:val="Normal"/>
    <w:next w:val="Reftext"/>
    <w:rsid w:val="008E5A7C"/>
    <w:pPr>
      <w:tabs>
        <w:tab w:val="clear" w:pos="1134"/>
        <w:tab w:val="clear" w:pos="1871"/>
        <w:tab w:val="clear" w:pos="2268"/>
        <w:tab w:val="left" w:pos="794"/>
        <w:tab w:val="left" w:pos="1191"/>
        <w:tab w:val="left" w:pos="1588"/>
        <w:tab w:val="left" w:pos="1985"/>
      </w:tabs>
      <w:spacing w:before="480"/>
      <w:jc w:val="center"/>
    </w:pPr>
    <w:rPr>
      <w:rFonts w:asciiTheme="minorHAnsi" w:eastAsia="SimSun" w:hAnsiTheme="minorHAnsi"/>
      <w:caps/>
      <w:sz w:val="24"/>
      <w:lang w:val="en-GB"/>
    </w:rPr>
  </w:style>
  <w:style w:type="paragraph" w:customStyle="1" w:styleId="Repdate">
    <w:name w:val="Rep_date"/>
    <w:basedOn w:val="Recdate"/>
    <w:next w:val="Normalaftertitle"/>
    <w:rsid w:val="008E5A7C"/>
    <w:pPr>
      <w:tabs>
        <w:tab w:val="clear" w:pos="1134"/>
        <w:tab w:val="clear" w:pos="1871"/>
        <w:tab w:val="clear" w:pos="2268"/>
      </w:tabs>
    </w:pPr>
    <w:rPr>
      <w:rFonts w:asciiTheme="minorHAnsi" w:eastAsia="SimSun" w:hAnsiTheme="minorHAnsi"/>
      <w:i/>
      <w:lang w:val="en-GB"/>
    </w:rPr>
  </w:style>
  <w:style w:type="paragraph" w:customStyle="1" w:styleId="RepNo">
    <w:name w:val="Rep_No"/>
    <w:basedOn w:val="RecNo"/>
    <w:next w:val="Reptitle"/>
    <w:rsid w:val="008E5A7C"/>
    <w:pPr>
      <w:tabs>
        <w:tab w:val="clear" w:pos="1134"/>
        <w:tab w:val="clear" w:pos="1871"/>
        <w:tab w:val="clear" w:pos="2268"/>
        <w:tab w:val="left" w:pos="794"/>
        <w:tab w:val="left" w:pos="1191"/>
        <w:tab w:val="left" w:pos="1588"/>
        <w:tab w:val="left" w:pos="1985"/>
      </w:tabs>
    </w:pPr>
    <w:rPr>
      <w:rFonts w:asciiTheme="minorHAnsi" w:eastAsia="SimSun" w:hAnsiTheme="minorHAnsi"/>
      <w:sz w:val="28"/>
      <w:lang w:val="en-GB"/>
    </w:rPr>
  </w:style>
  <w:style w:type="paragraph" w:customStyle="1" w:styleId="Reptitle">
    <w:name w:val="Rep_title"/>
    <w:basedOn w:val="Rectitle"/>
    <w:next w:val="Repref"/>
    <w:rsid w:val="008E5A7C"/>
    <w:pPr>
      <w:tabs>
        <w:tab w:val="clear" w:pos="1134"/>
        <w:tab w:val="clear" w:pos="1871"/>
        <w:tab w:val="clear" w:pos="2268"/>
        <w:tab w:val="left" w:pos="794"/>
        <w:tab w:val="left" w:pos="1191"/>
        <w:tab w:val="left" w:pos="1588"/>
        <w:tab w:val="left" w:pos="1985"/>
      </w:tabs>
    </w:pPr>
    <w:rPr>
      <w:rFonts w:asciiTheme="minorHAnsi" w:eastAsia="SimSun" w:hAnsiTheme="minorHAnsi"/>
      <w:sz w:val="28"/>
      <w:lang w:val="en-GB"/>
    </w:rPr>
  </w:style>
  <w:style w:type="paragraph" w:customStyle="1" w:styleId="Repref">
    <w:name w:val="Rep_ref"/>
    <w:basedOn w:val="Recref"/>
    <w:next w:val="Repdate"/>
    <w:rsid w:val="008E5A7C"/>
  </w:style>
  <w:style w:type="paragraph" w:customStyle="1" w:styleId="Resdate">
    <w:name w:val="Res_date"/>
    <w:basedOn w:val="Recdate"/>
    <w:next w:val="Normalaftertitle"/>
    <w:rsid w:val="008E5A7C"/>
    <w:pPr>
      <w:tabs>
        <w:tab w:val="clear" w:pos="1134"/>
        <w:tab w:val="clear" w:pos="1871"/>
        <w:tab w:val="clear" w:pos="2268"/>
      </w:tabs>
    </w:pPr>
    <w:rPr>
      <w:rFonts w:asciiTheme="minorHAnsi" w:eastAsia="SimSun" w:hAnsiTheme="minorHAnsi"/>
      <w:i/>
      <w:lang w:val="en-GB"/>
    </w:rPr>
  </w:style>
  <w:style w:type="character" w:customStyle="1" w:styleId="Resdef">
    <w:name w:val="Res_def"/>
    <w:basedOn w:val="DefaultParagraphFont"/>
    <w:rsid w:val="008E5A7C"/>
    <w:rPr>
      <w:rFonts w:asciiTheme="minorHAnsi" w:hAnsiTheme="minorHAnsi"/>
      <w:b/>
    </w:rPr>
  </w:style>
  <w:style w:type="paragraph" w:customStyle="1" w:styleId="Resref">
    <w:name w:val="Res_ref"/>
    <w:basedOn w:val="Recref"/>
    <w:next w:val="Resdate"/>
    <w:rsid w:val="008E5A7C"/>
  </w:style>
  <w:style w:type="character" w:styleId="PageNumber">
    <w:name w:val="page number"/>
    <w:basedOn w:val="DefaultParagraphFont"/>
    <w:rsid w:val="008E5A7C"/>
    <w:rPr>
      <w:rFonts w:asciiTheme="minorHAnsi" w:hAnsiTheme="minorHAnsi"/>
    </w:rPr>
  </w:style>
  <w:style w:type="paragraph" w:customStyle="1" w:styleId="BDTLogo">
    <w:name w:val="BDT_Logo"/>
    <w:uiPriority w:val="99"/>
    <w:rsid w:val="008E5A7C"/>
    <w:pPr>
      <w:jc w:val="center"/>
    </w:pPr>
    <w:rPr>
      <w:rFonts w:ascii="Calibri" w:eastAsia="SimHei" w:hAnsi="Calibri" w:cs="Simplified Arabic"/>
      <w:sz w:val="22"/>
      <w:szCs w:val="28"/>
      <w:lang w:val="en-GB" w:eastAsia="en-US"/>
    </w:rPr>
  </w:style>
  <w:style w:type="table" w:styleId="GridTable2-Accent1">
    <w:name w:val="Grid Table 2 Accent 1"/>
    <w:basedOn w:val="TableNormal"/>
    <w:uiPriority w:val="47"/>
    <w:rsid w:val="008E5A7C"/>
    <w:rPr>
      <w:rFonts w:ascii="CG Times" w:eastAsia="SimSun" w:hAnsi="CG Time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8E5A7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8E5A7C"/>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8E5A7C"/>
    <w:rPr>
      <w:rFonts w:ascii="Calibri" w:hAnsi="Calibri"/>
      <w:position w:val="6"/>
      <w:sz w:val="18"/>
    </w:rPr>
  </w:style>
  <w:style w:type="table" w:customStyle="1" w:styleId="GridTable4-Accent11">
    <w:name w:val="Grid Table 4 - Accent 11"/>
    <w:basedOn w:val="TableNormal"/>
    <w:uiPriority w:val="49"/>
    <w:rsid w:val="008E5A7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8E5A7C"/>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8E5A7C"/>
    <w:rPr>
      <w:rFonts w:ascii="CG Times" w:eastAsia="SimSu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8E5A7C"/>
    <w:rPr>
      <w:rFonts w:ascii="CG Times" w:eastAsia="SimSun" w:hAnsi="CG Tim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8E5A7C"/>
    <w:pPr>
      <w:tabs>
        <w:tab w:val="clear" w:pos="1134"/>
        <w:tab w:val="clear" w:pos="1871"/>
        <w:tab w:val="clear" w:pos="2268"/>
        <w:tab w:val="decimal" w:pos="360"/>
      </w:tabs>
      <w:overflowPunct/>
      <w:autoSpaceDE/>
      <w:autoSpaceDN/>
      <w:adjustRightInd/>
      <w:spacing w:before="0" w:after="200" w:line="276" w:lineRule="auto"/>
      <w:jc w:val="both"/>
      <w:textAlignment w:val="auto"/>
    </w:pPr>
    <w:rPr>
      <w:rFonts w:asciiTheme="minorHAnsi" w:eastAsiaTheme="minorEastAsia" w:hAnsiTheme="minorHAnsi"/>
      <w:szCs w:val="22"/>
      <w:lang w:val="en-GB"/>
    </w:rPr>
  </w:style>
  <w:style w:type="character" w:styleId="SubtleEmphasis">
    <w:name w:val="Subtle Emphasis"/>
    <w:basedOn w:val="DefaultParagraphFont"/>
    <w:uiPriority w:val="19"/>
    <w:qFormat/>
    <w:rsid w:val="008E5A7C"/>
    <w:rPr>
      <w:i/>
      <w:iCs/>
    </w:rPr>
  </w:style>
  <w:style w:type="table" w:styleId="MediumShading2-Accent5">
    <w:name w:val="Medium Shading 2 Accent 5"/>
    <w:basedOn w:val="TableNormal"/>
    <w:uiPriority w:val="64"/>
    <w:rsid w:val="008E5A7C"/>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8E5A7C"/>
    <w:pPr>
      <w:tabs>
        <w:tab w:val="clear" w:pos="1134"/>
        <w:tab w:val="clear" w:pos="1871"/>
        <w:tab w:val="clear" w:pos="2268"/>
        <w:tab w:val="left" w:pos="794"/>
        <w:tab w:val="left" w:pos="1191"/>
        <w:tab w:val="left" w:pos="1588"/>
        <w:tab w:val="left" w:pos="1985"/>
      </w:tabs>
      <w:jc w:val="both"/>
    </w:pPr>
    <w:rPr>
      <w:rFonts w:ascii="Times New Roman" w:eastAsia="SimSun" w:hAnsi="Times New Roman"/>
      <w:sz w:val="24"/>
      <w:szCs w:val="24"/>
      <w:lang w:val="en-GB"/>
    </w:rPr>
  </w:style>
  <w:style w:type="character" w:customStyle="1" w:styleId="normaltextrun">
    <w:name w:val="normaltextrun"/>
    <w:basedOn w:val="DefaultParagraphFont"/>
    <w:rsid w:val="008E5A7C"/>
  </w:style>
  <w:style w:type="paragraph" w:customStyle="1" w:styleId="Pa13">
    <w:name w:val="Pa13"/>
    <w:basedOn w:val="Normal"/>
    <w:next w:val="Normal"/>
    <w:uiPriority w:val="99"/>
    <w:rsid w:val="008E5A7C"/>
    <w:pPr>
      <w:tabs>
        <w:tab w:val="clear" w:pos="1134"/>
        <w:tab w:val="clear" w:pos="1871"/>
        <w:tab w:val="clear" w:pos="2268"/>
      </w:tabs>
      <w:overflowPunct/>
      <w:spacing w:before="0" w:line="201" w:lineRule="atLeast"/>
      <w:textAlignment w:val="auto"/>
    </w:pPr>
    <w:rPr>
      <w:rFonts w:ascii="Calibri Light" w:eastAsia="SimSun" w:hAnsi="Calibri Light" w:cs="Calibri Light"/>
      <w:sz w:val="24"/>
      <w:szCs w:val="24"/>
      <w:lang w:val="en-GB" w:eastAsia="zh-CN"/>
    </w:rPr>
  </w:style>
  <w:style w:type="character" w:customStyle="1" w:styleId="eop">
    <w:name w:val="eop"/>
    <w:basedOn w:val="DefaultParagraphFont"/>
    <w:rsid w:val="008E5A7C"/>
  </w:style>
  <w:style w:type="paragraph" w:customStyle="1" w:styleId="paragraph">
    <w:name w:val="paragraph"/>
    <w:basedOn w:val="Normal"/>
    <w:rsid w:val="008E5A7C"/>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SimSun" w:hAnsi="Times New Roman"/>
      <w:sz w:val="24"/>
      <w:szCs w:val="24"/>
      <w:lang w:val="en-GB" w:eastAsia="en-GB"/>
    </w:rPr>
  </w:style>
  <w:style w:type="character" w:customStyle="1" w:styleId="ui-provider">
    <w:name w:val="ui-provider"/>
    <w:basedOn w:val="DefaultParagraphFont"/>
    <w:rsid w:val="008E5A7C"/>
  </w:style>
  <w:style w:type="character" w:styleId="Mention">
    <w:name w:val="Mention"/>
    <w:basedOn w:val="DefaultParagraphFont"/>
    <w:uiPriority w:val="99"/>
    <w:unhideWhenUsed/>
    <w:rsid w:val="008E5A7C"/>
    <w:rPr>
      <w:color w:val="2B579A"/>
      <w:shd w:val="clear" w:color="auto" w:fill="E1DFDD"/>
    </w:rPr>
  </w:style>
  <w:style w:type="character" w:customStyle="1" w:styleId="Title1Char">
    <w:name w:val="Title 1 Char"/>
    <w:link w:val="Title1"/>
    <w:qFormat/>
    <w:locked/>
    <w:rsid w:val="008E5A7C"/>
    <w:rPr>
      <w:rFonts w:ascii="Calibri" w:hAnsi="Calibri"/>
      <w:sz w:val="26"/>
      <w:lang w:val="ru-RU" w:eastAsia="en-US"/>
    </w:rPr>
  </w:style>
  <w:style w:type="table" w:customStyle="1" w:styleId="TableGrid2">
    <w:name w:val="Table Grid2"/>
    <w:basedOn w:val="TableNormal"/>
    <w:next w:val="TableGrid"/>
    <w:uiPriority w:val="39"/>
    <w:rsid w:val="008E5A7C"/>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E5A7C"/>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E5A7C"/>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E5A7C"/>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E5A7C"/>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E5A7C"/>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E5A7C"/>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E5A7C"/>
    <w:rPr>
      <w:rFonts w:ascii="Calibri" w:hAnsi="Calibri"/>
      <w:b/>
      <w:sz w:val="22"/>
      <w:lang w:val="ru-RU" w:eastAsia="en-US"/>
    </w:rPr>
  </w:style>
  <w:style w:type="table" w:customStyle="1" w:styleId="TableGrid10">
    <w:name w:val="Table Grid10"/>
    <w:basedOn w:val="TableNormal"/>
    <w:next w:val="TableGrid"/>
    <w:uiPriority w:val="39"/>
    <w:rsid w:val="008E5A7C"/>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E5A7C"/>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5A7C"/>
    <w:rPr>
      <w:b/>
      <w:bCs/>
    </w:rPr>
  </w:style>
  <w:style w:type="paragraph" w:customStyle="1" w:styleId="pf0">
    <w:name w:val="pf0"/>
    <w:basedOn w:val="Normal"/>
    <w:rsid w:val="008E5A7C"/>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8E5A7C"/>
  </w:style>
  <w:style w:type="character" w:customStyle="1" w:styleId="xnormaltextrun">
    <w:name w:val="x_normaltextrun"/>
    <w:basedOn w:val="DefaultParagraphFont"/>
    <w:rsid w:val="008E5A7C"/>
  </w:style>
  <w:style w:type="character" w:customStyle="1" w:styleId="xfindhit">
    <w:name w:val="x_findhit"/>
    <w:basedOn w:val="DefaultParagraphFont"/>
    <w:rsid w:val="008E5A7C"/>
  </w:style>
  <w:style w:type="character" w:customStyle="1" w:styleId="xeop">
    <w:name w:val="x_eop"/>
    <w:basedOn w:val="DefaultParagraphFont"/>
    <w:rsid w:val="008E5A7C"/>
  </w:style>
  <w:style w:type="paragraph" w:styleId="TOCHeading">
    <w:name w:val="TOC Heading"/>
    <w:basedOn w:val="Heading1"/>
    <w:next w:val="Normal"/>
    <w:uiPriority w:val="39"/>
    <w:unhideWhenUsed/>
    <w:qFormat/>
    <w:rsid w:val="008E5A7C"/>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
    <w:name w:val="Heading 2 Char"/>
    <w:basedOn w:val="DefaultParagraphFont"/>
    <w:link w:val="Heading2"/>
    <w:rsid w:val="00BB5F84"/>
    <w:rPr>
      <w:rFonts w:ascii="Calibri" w:hAnsi="Calibri"/>
      <w:b/>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bmaps.itu.int/bp-training" TargetMode="External"/><Relationship Id="rId117" Type="http://schemas.openxmlformats.org/officeDocument/2006/relationships/hyperlink" Target="https://greeningdigital.itu.int/" TargetMode="External"/><Relationship Id="rId21" Type="http://schemas.openxmlformats.org/officeDocument/2006/relationships/hyperlink" Target="https://bbmaps.itu.int/toolkit" TargetMode="External"/><Relationship Id="rId42" Type="http://schemas.openxmlformats.org/officeDocument/2006/relationships/hyperlink" Target="https://academy.itu.int/itu-d/projects-activities/itu-academy-training-centres/events/atc-annual-meeting-2024" TargetMode="External"/><Relationship Id="rId47" Type="http://schemas.openxmlformats.org/officeDocument/2006/relationships/hyperlink" Target="https://www.itu.int/en/ITU-D/Regulatory-Market/Pages/collaborative-regulation-country-reviews/default.aspx" TargetMode="External"/><Relationship Id="rId63" Type="http://schemas.openxmlformats.org/officeDocument/2006/relationships/hyperlink" Target="https://www.itu.int/itu-d/reports/statistics/sddt/" TargetMode="External"/><Relationship Id="rId68" Type="http://schemas.openxmlformats.org/officeDocument/2006/relationships/hyperlink" Target="https://www.itu.int/itu-d/reports/statistics/2024/11/10/ff24-affordability-of-ict-services/" TargetMode="External"/><Relationship Id="rId84" Type="http://schemas.openxmlformats.org/officeDocument/2006/relationships/hyperlink" Target="https://www.itu.int/itu-d/sites/projectumc/2024/10/28/umc_ws_asia/" TargetMode="External"/><Relationship Id="rId89" Type="http://schemas.openxmlformats.org/officeDocument/2006/relationships/hyperlink" Target="https://www.itu.int/en/ITU-D/Statistics/Documents/ICT_Prices/ITU_IPBQManual_2025.pdf" TargetMode="External"/><Relationship Id="rId112" Type="http://schemas.openxmlformats.org/officeDocument/2006/relationships/hyperlink" Target="https://www.itu.int/md/D22-TDAG32-C-0003/" TargetMode="External"/><Relationship Id="rId16" Type="http://schemas.openxmlformats.org/officeDocument/2006/relationships/footer" Target="footer1.xml"/><Relationship Id="rId107" Type="http://schemas.openxmlformats.org/officeDocument/2006/relationships/image" Target="media/image3.png"/><Relationship Id="rId11" Type="http://schemas.openxmlformats.org/officeDocument/2006/relationships/image" Target="media/image1.png"/><Relationship Id="rId32" Type="http://schemas.openxmlformats.org/officeDocument/2006/relationships/hyperlink" Target="https://www.itu.int/en/ITU-R/seminars/rrs/rrs-24-asia%26pacific/Pages/default.aspx" TargetMode="External"/><Relationship Id="rId37" Type="http://schemas.openxmlformats.org/officeDocument/2006/relationships/hyperlink" Target="https://www.itu.int/net4/wsis/forum/2024/Agenda/SpecialTrack/36?utm_source=chatgpt.com" TargetMode="External"/><Relationship Id="rId53" Type="http://schemas.openxmlformats.org/officeDocument/2006/relationships/hyperlink" Target="https://www.itu.int/itu-d/sites/ra-network/" TargetMode="External"/><Relationship Id="rId58" Type="http://schemas.openxmlformats.org/officeDocument/2006/relationships/hyperlink" Target="https://www.itu.int/en/ITU-D/Statistics/Dashboards/Pages/IPB.aspx" TargetMode="External"/><Relationship Id="rId74" Type="http://schemas.openxmlformats.org/officeDocument/2006/relationships/hyperlink" Target="https://www.worldbank.org/en/events/2024/09/25/global-data-facility-mobile-phone-data-program-for-policy-cohort-1-launch-workshop" TargetMode="External"/><Relationship Id="rId79" Type="http://schemas.openxmlformats.org/officeDocument/2006/relationships/hyperlink" Target="https://www.itu.int/en/ITU-D/Statistics/Documents/publications/manual/ITU_HHManual_ICTskills_rev2025.pdf" TargetMode="External"/><Relationship Id="rId102" Type="http://schemas.openxmlformats.org/officeDocument/2006/relationships/hyperlink" Target="https://www.itu.int/itu-d/sites/membership/wp-content/uploads/sites/50/2024/07/IAGDICRO-2024-Outcome-Statement_2-July_2024.pdf" TargetMode="External"/><Relationship Id="rId5" Type="http://schemas.openxmlformats.org/officeDocument/2006/relationships/numbering" Target="numbering.xml"/><Relationship Id="rId90" Type="http://schemas.openxmlformats.org/officeDocument/2006/relationships/hyperlink" Target="https://www.itu.int/en/ITU-D/Statistics/Documents/datacollection/IPB_Rules_VisualGuide_2025.pdf" TargetMode="External"/><Relationship Id="rId95" Type="http://schemas.openxmlformats.org/officeDocument/2006/relationships/hyperlink" Target="https://g7g20-documents.org/database/document/2024-g20-brazil-sherpa-track-digital-economy-ministers-ministers-language-g20-dewg-maceio-ministerial-declaration" TargetMode="External"/><Relationship Id="rId22" Type="http://schemas.openxmlformats.org/officeDocument/2006/relationships/hyperlink" Target="https://www.itu.int/go/emergingtech" TargetMode="External"/><Relationship Id="rId27" Type="http://schemas.openxmlformats.org/officeDocument/2006/relationships/hyperlink" Target="https://academy.itu.int/training-courses/full-catalogue/global-satellite-regulation-essentials-key-principles-institutional-landscape-and-role-itu" TargetMode="External"/><Relationship Id="rId43" Type="http://schemas.openxmlformats.org/officeDocument/2006/relationships/hyperlink" Target="https://academy.itu.int/itu-d/projects-activities/digital-transformation-centres-initiative" TargetMode="External"/><Relationship Id="rId48" Type="http://schemas.openxmlformats.org/officeDocument/2006/relationships/hyperlink" Target="https://www.itu.int/hub/publication/d-pref-them-34-2024/" TargetMode="External"/><Relationship Id="rId64" Type="http://schemas.openxmlformats.org/officeDocument/2006/relationships/hyperlink" Target="https://datahub.itu.int/dashboards/idi/" TargetMode="External"/><Relationship Id="rId69" Type="http://schemas.openxmlformats.org/officeDocument/2006/relationships/hyperlink" Target="https://datahub.itu.int/dashboards/?id=1" TargetMode="External"/><Relationship Id="rId113" Type="http://schemas.openxmlformats.org/officeDocument/2006/relationships/hyperlink" Target="file:///C:\Users\svechnik\Downloads\&#1042;%20&#1085;&#1086;&#1103;&#1073;&#1088;&#1077;%202024%20&#1075;&#1086;&#1076;&#1072;%20&#1041;&#1056;&#1069;%20&#1087;&#1088;&#1086;&#1074;&#1077;&#1083;&#1086;%20&#1074;%20&#1041;&#1072;&#1085;&#1075;&#1082;&#1086;&#1082;&#1077;%20&#1091;&#1095;&#1077;&#1073;&#1085;&#1099;&#1081;%20&#1082;&#1091;&#1088;&#1089;%20&#1087;&#1086;%20&#1089;&#1086;&#1079;&#1076;&#1072;&#1085;&#1080;&#1102;%20&#1087;&#1086;&#1090;&#1077;&#1085;&#1094;&#1080;&#1072;&#1083;&#1072;%20%22&#1054;&#1089;&#1085;&#1086;&#1074;&#1099;%20&#1087;&#1086;&#1083;&#1080;&#1090;&#1080;&#1082;&#1080;%20&#1074;%20&#1086;&#1073;&#1083;&#1072;&#1089;&#1090;&#1080;%20&#1101;&#1083;&#1077;&#1082;&#1090;&#1088;&#1086;&#1085;&#1085;&#1099;&#1093;%20&#1086;&#1090;&#1093;&#1086;&#1076;&#1086;&#1074;%20&#1080;%20&#1088;&#1086;&#1083;&#1100;%20&#1087;&#1088;&#1086;&#1080;&#1079;&#1074;&#1086;&#1076;&#1080;&#1090;&#1077;&#1083;&#1077;&#1081;%22,%20&#1074;%20&#1082;&#1086;&#1090;&#1086;&#1088;&#1086;&#1084;%20&#1087;&#1088;&#1080;&#1085;&#1103;&#1083;&#1080;%20&#1091;&#1095;&#1072;&#1089;&#1090;&#1080;&#1077;%2026%20&#1095;&#1077;&#1083;&#1086;&#1074;&#1077;&#1082;%20&#1080;&#1079;%20&#1087;&#1086;&#1095;&#1090;&#1080;%2020%20&#1089;&#1090;&#1088;&#1072;&#1085;" TargetMode="External"/><Relationship Id="rId118" Type="http://schemas.openxmlformats.org/officeDocument/2006/relationships/header" Target="header2.xml"/><Relationship Id="rId80" Type="http://schemas.openxmlformats.org/officeDocument/2006/relationships/hyperlink" Target="https://unstats.un.org/sdgs/metadata/" TargetMode="External"/><Relationship Id="rId85" Type="http://schemas.openxmlformats.org/officeDocument/2006/relationships/hyperlink" Target="https://www.itu.int/itu-d/sites/projectumc/2025/01/27/umc_ws_latam/?lang=en" TargetMode="External"/><Relationship Id="rId12" Type="http://schemas.openxmlformats.org/officeDocument/2006/relationships/image" Target="media/image2.jpeg"/><Relationship Id="rId17" Type="http://schemas.openxmlformats.org/officeDocument/2006/relationships/hyperlink" Target="https://www.itu.int/itu-d/sites/ldcs/2024/02/20/itu-at-sids4/" TargetMode="External"/><Relationship Id="rId33" Type="http://schemas.openxmlformats.org/officeDocument/2006/relationships/hyperlink" Target="https://www.itu.int/md/D22-TDAG32-C-0010/" TargetMode="External"/><Relationship Id="rId38" Type="http://schemas.openxmlformats.org/officeDocument/2006/relationships/hyperlink" Target="https://u4ssc.itu.int/digital-public-infrastructure/?utm_source=chatgpt.com" TargetMode="External"/><Relationship Id="rId59" Type="http://schemas.openxmlformats.org/officeDocument/2006/relationships/hyperlink" Target="https://www.itu.int/itu-d/reports/statistics/idi2024/" TargetMode="External"/><Relationship Id="rId103" Type="http://schemas.openxmlformats.org/officeDocument/2006/relationships/hyperlink" Target="https://www.itu.int/net4/ITU-D/CDS/sg/blkmeetings.asp?lg=1&amp;sp=2022&amp;blk=28245" TargetMode="External"/><Relationship Id="rId108" Type="http://schemas.openxmlformats.org/officeDocument/2006/relationships/image" Target="media/image4.png"/><Relationship Id="rId54" Type="http://schemas.openxmlformats.org/officeDocument/2006/relationships/hyperlink" Target="https://www.itu.int/en/ITU-D/Regional-Presence/Americas/Pages/EVENTS/2024/IPEC-2024.aspx" TargetMode="External"/><Relationship Id="rId70" Type="http://schemas.openxmlformats.org/officeDocument/2006/relationships/hyperlink" Target="https://www.itu.int/en/ITU-D/Statistics/Documents/datacollection/ITU_BDT_QuestionnaireSchedule_2025.pdf" TargetMode="External"/><Relationship Id="rId75" Type="http://schemas.openxmlformats.org/officeDocument/2006/relationships/hyperlink" Target="https://www.itu.int/en/ITU-D/Statistics/Pages/expertgroups.aspx" TargetMode="External"/><Relationship Id="rId91" Type="http://schemas.openxmlformats.org/officeDocument/2006/relationships/hyperlink" Target="https://ituint.sharepoint.com/sites/TDAG/Shared%20Documents/TDAG-25%20(12-16%20May%202025)/02_Document%202%20-%20KAP%20Implementation/series%20of%20four%20technical%20webinars" TargetMode="External"/><Relationship Id="rId96" Type="http://schemas.openxmlformats.org/officeDocument/2006/relationships/hyperlink" Target="https://www.itu.int/en/ITU-D/Statistics/Pages/intlcoop/partnership/default.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itu-d/meetings/global-youth-summit-25/programme/schedule/session-details/?sessionid=13" TargetMode="External"/><Relationship Id="rId28" Type="http://schemas.openxmlformats.org/officeDocument/2006/relationships/hyperlink" Target="https://academy.itu.int/training-courses/full-catalogue/introduction-spectrum-management-1" TargetMode="External"/><Relationship Id="rId49" Type="http://schemas.openxmlformats.org/officeDocument/2006/relationships/hyperlink" Target="https://digitalregulation.org/" TargetMode="External"/><Relationship Id="rId114" Type="http://schemas.openxmlformats.org/officeDocument/2006/relationships/hyperlink" Target="https://www.itu.int/en/mediacentre/Pages/PR-2024-09-30-Greening-Digital-Companies-report.aspx"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academy.itu.int/training-courses/full-catalogue/introduction-broadband-mapping" TargetMode="External"/><Relationship Id="rId44" Type="http://schemas.openxmlformats.org/officeDocument/2006/relationships/hyperlink" Target="https://www.itu.int/itu-d/meetings/digital-skills-forum/" TargetMode="External"/><Relationship Id="rId52" Type="http://schemas.openxmlformats.org/officeDocument/2006/relationships/hyperlink" Target="https://www.itu.int/itu-d/meetings/gsr-24/" TargetMode="External"/><Relationship Id="rId60" Type="http://schemas.openxmlformats.org/officeDocument/2006/relationships/hyperlink" Target="https://www.itu.int/en/ITU-D/Statistics/Pages/IDI/default.aspx" TargetMode="External"/><Relationship Id="rId65" Type="http://schemas.openxmlformats.org/officeDocument/2006/relationships/hyperlink" Target="https://datahub.itu.int/query/" TargetMode="External"/><Relationship Id="rId73" Type="http://schemas.openxmlformats.org/officeDocument/2006/relationships/hyperlink" Target="https://www.worldbank.org/en/programs/global-data-facility/brief/putting-mobile-phone-data-to-work-for-policy" TargetMode="External"/><Relationship Id="rId78" Type="http://schemas.openxmlformats.org/officeDocument/2006/relationships/hyperlink" Target="https://www.itu.int/itu-d/meetings/egti2024/" TargetMode="External"/><Relationship Id="rId81" Type="http://schemas.openxmlformats.org/officeDocument/2006/relationships/hyperlink" Target="https://www.itu.int/itu-d/sites/projectumc/2024/03/14/umc_ws_car/" TargetMode="External"/><Relationship Id="rId86" Type="http://schemas.openxmlformats.org/officeDocument/2006/relationships/hyperlink" Target="https://academy.itu.int/training-courses/full-catalogue/measuring-digital-development-telecommunicationict-indicators-2" TargetMode="External"/><Relationship Id="rId94" Type="http://schemas.openxmlformats.org/officeDocument/2006/relationships/hyperlink" Target="https://www.gov.br/mcom/pt-br/acesso-a-informacao/governanca/governanca-de-tic-1/documentos-g20/p1-g20-dewg-brasil-2024-umc.pdf" TargetMode="External"/><Relationship Id="rId99" Type="http://schemas.openxmlformats.org/officeDocument/2006/relationships/hyperlink" Target="https://www.itu.int/itu-d/sites/partnerships/home/partnerships/" TargetMode="External"/><Relationship Id="rId101" Type="http://schemas.openxmlformats.org/officeDocument/2006/relationships/hyperlink" Target="https://www.itu.int/en/ITU-D/Projects/Pages/Portfolio.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hyperlink" Target="https://www.itu.int/en/ITU-D/Emergency-Telecommunications/Pages/AI-Sub-Group-EW4All-.aspx" TargetMode="External"/><Relationship Id="rId39" Type="http://schemas.openxmlformats.org/officeDocument/2006/relationships/hyperlink" Target="https://u4ssc.itu.int/digital-public-infrastructure/?utm_source=chatgpt.com" TargetMode="External"/><Relationship Id="rId109" Type="http://schemas.openxmlformats.org/officeDocument/2006/relationships/hyperlink" Target="https://s46824.pcdn.co/partner2connect/wp-content/uploads/2025/01/P2C-2024-Annual-Report.pdf" TargetMode="External"/><Relationship Id="rId34" Type="http://schemas.openxmlformats.org/officeDocument/2006/relationships/hyperlink" Target="https://www.itu.int/net4/wsis/forum/2024/Agenda/SpecialTrack/36?utm_source=chatgpt.com" TargetMode="External"/><Relationship Id="rId50" Type="http://schemas.openxmlformats.org/officeDocument/2006/relationships/hyperlink" Target="https://www.itu.int/net/epub/BDT/2024-ITUs-contribution-to-the-implementation-of-the-Antigua-and-Barbuda-Agenda-for-SIDS/index.html" TargetMode="External"/><Relationship Id="rId55" Type="http://schemas.openxmlformats.org/officeDocument/2006/relationships/hyperlink" Target="https://www.itu.int/itu-d/reports/statistics/facts-figures-for-sids/" TargetMode="External"/><Relationship Id="rId76" Type="http://schemas.openxmlformats.org/officeDocument/2006/relationships/hyperlink" Target="https://www.itu.int/itu-d/meetings/egh2024/" TargetMode="External"/><Relationship Id="rId97" Type="http://schemas.openxmlformats.org/officeDocument/2006/relationships/hyperlink" Target="https://www.itu.int/en/ITU-D/Statistics/Pages/SDGs-ITU-ICT-indicators.aspx" TargetMode="External"/><Relationship Id="rId104" Type="http://schemas.openxmlformats.org/officeDocument/2006/relationships/hyperlink" Target="https://www.itu.int/en/ITU-D/Study-Groups/2022-2025/Pages/reference/Management.aspx"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unstats.un.org/bigdata/task-teams/mobile-phone/index.cshtml" TargetMode="External"/><Relationship Id="rId92" Type="http://schemas.openxmlformats.org/officeDocument/2006/relationships/hyperlink" Target="https://www.itu.int/itu-d/meetings/wtis24/" TargetMode="External"/><Relationship Id="rId2" Type="http://schemas.openxmlformats.org/officeDocument/2006/relationships/customXml" Target="../customXml/item2.xml"/><Relationship Id="rId29" Type="http://schemas.openxmlformats.org/officeDocument/2006/relationships/hyperlink" Target="https://academycourses.itu.int/course/view.php?id=1832&amp;section=2" TargetMode="External"/><Relationship Id="rId24" Type="http://schemas.openxmlformats.org/officeDocument/2006/relationships/hyperlink" Target="https://bbmaps.itu.int/training-introduction" TargetMode="External"/><Relationship Id="rId40" Type="http://schemas.openxmlformats.org/officeDocument/2006/relationships/hyperlink" Target="https://academy.itu.int/" TargetMode="External"/><Relationship Id="rId45" Type="http://schemas.openxmlformats.org/officeDocument/2006/relationships/hyperlink" Target="https://academy.itu.int/itu-d/projects-activities/research-publications/digital-skills-toolkit" TargetMode="External"/><Relationship Id="rId66" Type="http://schemas.openxmlformats.org/officeDocument/2006/relationships/hyperlink" Target="https://datahub.itu.int/data/?i=178&amp;u=per+100+people" TargetMode="External"/><Relationship Id="rId87" Type="http://schemas.openxmlformats.org/officeDocument/2006/relationships/hyperlink" Target="https://academy.itu.int/training-courses/full-catalogue/measuring-digital-development-ict-access-and-use-households-and-individuals-2" TargetMode="External"/><Relationship Id="rId110" Type="http://schemas.openxmlformats.org/officeDocument/2006/relationships/hyperlink" Target="https://www.itu.int/itu-d/meetings/rdf/" TargetMode="External"/><Relationship Id="rId115" Type="http://schemas.openxmlformats.org/officeDocument/2006/relationships/hyperlink" Target="https://www.itu.int/en/ITU-D/Environment/Pages/Events/2024/GDC.aspx" TargetMode="External"/><Relationship Id="rId61" Type="http://schemas.openxmlformats.org/officeDocument/2006/relationships/hyperlink" Target="https://datahub.itu.int/dashboards/idi/" TargetMode="External"/><Relationship Id="rId82" Type="http://schemas.openxmlformats.org/officeDocument/2006/relationships/hyperlink" Target="https://www.itu.int/itu-d/sites/projectumc/2024/03/14/umc_ws_car/" TargetMode="External"/><Relationship Id="rId19" Type="http://schemas.openxmlformats.org/officeDocument/2006/relationships/hyperlink" Target="https://dcm.itu.int/" TargetMode="External"/><Relationship Id="rId14" Type="http://schemas.openxmlformats.org/officeDocument/2006/relationships/hyperlink" Target="https://www.itu.int/md/D22-TDAG31-C-0002/" TargetMode="External"/><Relationship Id="rId30" Type="http://schemas.openxmlformats.org/officeDocument/2006/relationships/hyperlink" Target="https://academy.itu.int/training-courses/full-catalogue/introduction-broadband-mapping" TargetMode="External"/><Relationship Id="rId35" Type="http://schemas.openxmlformats.org/officeDocument/2006/relationships/hyperlink" Target="https://www.itu.int/net4/wsis/forum/2024/Agenda/SpecialTrack/36?utm_source=chatgpt.com" TargetMode="External"/><Relationship Id="rId56" Type="http://schemas.openxmlformats.org/officeDocument/2006/relationships/hyperlink" Target="https://www.itu.int/itu-d/reports/statistics/facts-figures-for-lldc/" TargetMode="External"/><Relationship Id="rId77" Type="http://schemas.openxmlformats.org/officeDocument/2006/relationships/hyperlink" Target="https://www.itu.int/itu-d/meetings/egh2024/wp-content/uploads/sites/28/2024/09/EGTIEGH2024_IDIReport.pdf" TargetMode="External"/><Relationship Id="rId100" Type="http://schemas.openxmlformats.org/officeDocument/2006/relationships/hyperlink" Target="https://www.itu.int/md/D22-TDAG31-C-0007/en" TargetMode="External"/><Relationship Id="rId105" Type="http://schemas.openxmlformats.org/officeDocument/2006/relationships/hyperlink" Target="https://www.itu.int/net4/ITU-D/CDS/sg/blkmeetings.asp?lg=1&amp;stg=&amp;sp=2022&amp;blk=28817" TargetMode="External"/><Relationship Id="rId8" Type="http://schemas.openxmlformats.org/officeDocument/2006/relationships/webSettings" Target="webSettings.xml"/><Relationship Id="rId51" Type="http://schemas.openxmlformats.org/officeDocument/2006/relationships/hyperlink" Target="https://datahub.itu.int/" TargetMode="External"/><Relationship Id="rId72" Type="http://schemas.openxmlformats.org/officeDocument/2006/relationships/hyperlink" Target="https://unstats.un.org/bigdata/" TargetMode="External"/><Relationship Id="rId93" Type="http://schemas.openxmlformats.org/officeDocument/2006/relationships/hyperlink" Target="https://www.g20.org/pt-br" TargetMode="External"/><Relationship Id="rId98" Type="http://schemas.openxmlformats.org/officeDocument/2006/relationships/hyperlink" Target="https://unstats.un.org/sdgs/indicators/database/" TargetMode="External"/><Relationship Id="rId3" Type="http://schemas.openxmlformats.org/officeDocument/2006/relationships/customXml" Target="../customXml/item3.xml"/><Relationship Id="rId25" Type="http://schemas.openxmlformats.org/officeDocument/2006/relationships/hyperlink" Target="https://bbmaps.itu.int/training-advanced" TargetMode="External"/><Relationship Id="rId46" Type="http://schemas.openxmlformats.org/officeDocument/2006/relationships/hyperlink" Target="https://www.itu.int/en/ITU-D/Regional-Presence/Americas/Pages/ACTVTS/DTK/DTK-AMS.aspx" TargetMode="External"/><Relationship Id="rId67" Type="http://schemas.openxmlformats.org/officeDocument/2006/relationships/hyperlink" Target="https://www.itu.int/en/ITU-D/Statistics/Pages/ICTprices/default.aspx" TargetMode="External"/><Relationship Id="rId116" Type="http://schemas.openxmlformats.org/officeDocument/2006/relationships/hyperlink" Target="https://www.itu.int/hub/2024/11/the-digital-sectors-environmental-dilemma/" TargetMode="External"/><Relationship Id="rId20" Type="http://schemas.openxmlformats.org/officeDocument/2006/relationships/hyperlink" Target="http://www.itu.int/go/schoolconnectivity" TargetMode="External"/><Relationship Id="rId41" Type="http://schemas.openxmlformats.org/officeDocument/2006/relationships/hyperlink" Target="https://academy.itu.int/itu-d/projects-activities/itu-academy-training-centres" TargetMode="External"/><Relationship Id="rId62" Type="http://schemas.openxmlformats.org/officeDocument/2006/relationships/hyperlink" Target="https://www.itu.int/itu-d/reports/statistics/facts-figures-2024/" TargetMode="External"/><Relationship Id="rId83" Type="http://schemas.openxmlformats.org/officeDocument/2006/relationships/hyperlink" Target="https://www.itu.int/itu-d/sites/projectumc/2024/03/12/umc_ws_arb/" TargetMode="External"/><Relationship Id="rId88" Type="http://schemas.openxmlformats.org/officeDocument/2006/relationships/hyperlink" Target="https://academy.itu.int/training-courses/full-catalogue/mobile-phone-data" TargetMode="External"/><Relationship Id="rId111" Type="http://schemas.openxmlformats.org/officeDocument/2006/relationships/hyperlink" Target="https://www.itu.int/en/ITU-D/Study-Groups/2022-2025/Pages/reference/Questions-under-study.aspx" TargetMode="External"/><Relationship Id="rId15" Type="http://schemas.openxmlformats.org/officeDocument/2006/relationships/header" Target="header1.xml"/><Relationship Id="rId36" Type="http://schemas.openxmlformats.org/officeDocument/2006/relationships/hyperlink" Target="https://www.itu.int/net4/wsis/forum/2024/Agenda/SpecialTrack/36?utm_source=chatgpt.com" TargetMode="External"/><Relationship Id="rId57" Type="http://schemas.openxmlformats.org/officeDocument/2006/relationships/hyperlink" Target="https://www.itu.int/en/ITU-D/Statistics/Pages/ICTprices/default.aspx" TargetMode="External"/><Relationship Id="rId106" Type="http://schemas.openxmlformats.org/officeDocument/2006/relationships/hyperlink" Target="https://www.itu.int/en/ITU-D/Study-Groups/2022-2025/Pages/reference/Managemen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D68E64C5-3164-48C6-8D41-53A5A8F34D3A}"/>
</file>

<file path=docProps/app.xml><?xml version="1.0" encoding="utf-8"?>
<Properties xmlns="http://schemas.openxmlformats.org/officeDocument/2006/extended-properties" xmlns:vt="http://schemas.openxmlformats.org/officeDocument/2006/docPropsVTypes">
  <Template>Normal.dotm</Template>
  <TotalTime>221</TotalTime>
  <Pages>77</Pages>
  <Words>27167</Words>
  <Characters>197083</Characters>
  <Application>Microsoft Office Word</Application>
  <DocSecurity>0</DocSecurity>
  <Lines>1642</Lines>
  <Paragraphs>447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223803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Rudometova, Alisa</dc:creator>
  <cp:lastModifiedBy>NA</cp:lastModifiedBy>
  <cp:revision>18</cp:revision>
  <cp:lastPrinted>2019-01-16T07:57:00Z</cp:lastPrinted>
  <dcterms:created xsi:type="dcterms:W3CDTF">2025-05-06T09:55:00Z</dcterms:created>
  <dcterms:modified xsi:type="dcterms:W3CDTF">2025-05-06T14:20:00Z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