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526"/>
      </w:tblGrid>
      <w:tr w:rsidR="00526DAF" w:rsidRPr="00403C69" w14:paraId="5736F9B6" w14:textId="77777777" w:rsidTr="00271C79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1347B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00D53AD3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C76A69">
            <w:pPr>
              <w:tabs>
                <w:tab w:val="clear" w:pos="1134"/>
              </w:tabs>
              <w:spacing w:before="240" w:after="24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C76A69">
            <w:pPr>
              <w:tabs>
                <w:tab w:val="clear" w:pos="1134"/>
              </w:tabs>
              <w:spacing w:after="12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14:paraId="06B48AA1" w14:textId="516DD633" w:rsidR="00526DAF" w:rsidRPr="00403C69" w:rsidRDefault="00526DAF" w:rsidP="00A1347B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7035" w:rsidRPr="00403C69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403C69" w:rsidRDefault="00D87035" w:rsidP="00403C69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1469AD28" w:rsidR="00D87035" w:rsidRPr="00403C69" w:rsidRDefault="00D87035" w:rsidP="00403C6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Pr="00403C69">
              <w:rPr>
                <w:b/>
                <w:bCs/>
                <w:lang w:val="en-US"/>
              </w:rPr>
              <w:t>TDAG-</w:t>
            </w:r>
            <w:r w:rsidR="00523934" w:rsidRPr="00403C69">
              <w:rPr>
                <w:b/>
                <w:bCs/>
                <w:lang w:val="en-US"/>
              </w:rPr>
              <w:t>2</w:t>
            </w:r>
            <w:r w:rsidR="0081159E">
              <w:rPr>
                <w:b/>
                <w:bCs/>
                <w:lang w:val="en-US"/>
              </w:rPr>
              <w:t>5</w:t>
            </w:r>
            <w:r w:rsidRPr="00403C69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FE43D6">
              <w:rPr>
                <w:b/>
                <w:bCs/>
                <w:lang w:val="en-US"/>
              </w:rPr>
              <w:t>1</w:t>
            </w:r>
            <w:r w:rsidRPr="00403C69">
              <w:rPr>
                <w:b/>
                <w:bCs/>
                <w:lang w:val="en-US"/>
              </w:rPr>
              <w:t>-E</w:t>
            </w:r>
          </w:p>
        </w:tc>
      </w:tr>
      <w:tr w:rsidR="00D87035" w:rsidRPr="00403C69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403C69" w:rsidRDefault="00D87035" w:rsidP="00403C6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095F757E" w:rsidR="00D87035" w:rsidRPr="00403C69" w:rsidRDefault="00A81102" w:rsidP="00403C69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10 February 2025</w:t>
            </w:r>
          </w:p>
        </w:tc>
      </w:tr>
      <w:bookmarkEnd w:id="6"/>
      <w:bookmarkEnd w:id="7"/>
      <w:tr w:rsidR="00D87035" w:rsidRPr="00403C69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403C69" w:rsidRDefault="00D87035" w:rsidP="00403C6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0A573B4" w:rsidR="00D87035" w:rsidRPr="00403C69" w:rsidRDefault="00D87035" w:rsidP="00403C6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Original: English</w:t>
            </w:r>
          </w:p>
        </w:tc>
      </w:tr>
      <w:tr w:rsidR="001655E8" w:rsidRPr="00403C69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4B35B1E1" w:rsidR="001655E8" w:rsidRPr="00403C69" w:rsidRDefault="001655E8" w:rsidP="001655E8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927A83">
              <w:t>Director, Telecommunication Development Bureau</w:t>
            </w:r>
          </w:p>
        </w:tc>
      </w:tr>
      <w:tr w:rsidR="001655E8" w:rsidRPr="00403C69" w14:paraId="7EDE1565" w14:textId="77777777" w:rsidTr="001655E8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29924B" w14:textId="2F89A4AF" w:rsidR="001655E8" w:rsidRPr="001655E8" w:rsidRDefault="001655E8" w:rsidP="001655E8">
            <w:pPr>
              <w:pStyle w:val="Title1"/>
              <w:spacing w:before="120" w:after="120"/>
              <w:rPr>
                <w:caps w:val="0"/>
              </w:rPr>
            </w:pPr>
            <w:r w:rsidRPr="001655E8">
              <w:rPr>
                <w:caps w:val="0"/>
              </w:rPr>
              <w:t>Draft agenda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62A9EDCB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1.</w:t>
      </w:r>
      <w:r w:rsidRPr="00FD3A5B">
        <w:rPr>
          <w:rFonts w:cs="Calibri"/>
          <w:szCs w:val="24"/>
        </w:rPr>
        <w:tab/>
        <w:t>Address by the Secretary-General</w:t>
      </w:r>
    </w:p>
    <w:p w14:paraId="2C1460FC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2.</w:t>
      </w:r>
      <w:r w:rsidRPr="00FD3A5B">
        <w:rPr>
          <w:rFonts w:cs="Calibri"/>
          <w:szCs w:val="24"/>
        </w:rPr>
        <w:tab/>
        <w:t>Address by other Elected Officials</w:t>
      </w:r>
    </w:p>
    <w:p w14:paraId="24D96E07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3.</w:t>
      </w:r>
      <w:r w:rsidRPr="00FD3A5B">
        <w:rPr>
          <w:rFonts w:cs="Calibri"/>
          <w:szCs w:val="24"/>
        </w:rPr>
        <w:tab/>
        <w:t>Address by the Director of the Telecommunication Development Bureau</w:t>
      </w:r>
    </w:p>
    <w:p w14:paraId="445ECB26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4.</w:t>
      </w:r>
      <w:r w:rsidRPr="00FD3A5B">
        <w:rPr>
          <w:rFonts w:cs="Calibri"/>
          <w:szCs w:val="24"/>
        </w:rPr>
        <w:tab/>
        <w:t>Opening remarks by the Chair of TDAG</w:t>
      </w:r>
    </w:p>
    <w:p w14:paraId="03A44B06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5.</w:t>
      </w:r>
      <w:r w:rsidRPr="00FD3A5B">
        <w:rPr>
          <w:rFonts w:cs="Calibri"/>
          <w:szCs w:val="24"/>
        </w:rPr>
        <w:tab/>
        <w:t>Adoption of the agenda and time management plan</w:t>
      </w:r>
    </w:p>
    <w:p w14:paraId="50DECCF7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6.</w:t>
      </w:r>
      <w:r w:rsidRPr="00FD3A5B">
        <w:rPr>
          <w:rFonts w:cs="Calibri"/>
          <w:szCs w:val="24"/>
        </w:rPr>
        <w:tab/>
        <w:t xml:space="preserve">Reporting on the implementation of the ITU-D Action Plan </w:t>
      </w:r>
    </w:p>
    <w:p w14:paraId="0E6A0AE2" w14:textId="77777777" w:rsidR="00FD3A5B" w:rsidRPr="00FD3A5B" w:rsidRDefault="00FD3A5B" w:rsidP="00FD3A5B">
      <w:pPr>
        <w:tabs>
          <w:tab w:val="left" w:pos="567"/>
          <w:tab w:val="left" w:pos="1701"/>
        </w:tabs>
        <w:ind w:left="1134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6.1</w:t>
      </w:r>
      <w:r w:rsidRPr="00FD3A5B">
        <w:rPr>
          <w:rFonts w:cs="Calibri"/>
          <w:szCs w:val="24"/>
        </w:rPr>
        <w:tab/>
        <w:t>Implementation of the Kigali Action Plan (KAP)</w:t>
      </w:r>
    </w:p>
    <w:p w14:paraId="153029D7" w14:textId="42611A7B" w:rsidR="00FD3A5B" w:rsidRPr="00FD3A5B" w:rsidRDefault="00854B10" w:rsidP="00FD3A5B">
      <w:pPr>
        <w:tabs>
          <w:tab w:val="left" w:pos="567"/>
          <w:tab w:val="left" w:pos="1701"/>
        </w:tabs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FD3A5B" w:rsidRPr="00FD3A5B">
        <w:rPr>
          <w:rFonts w:cs="Calibri"/>
          <w:szCs w:val="24"/>
        </w:rPr>
        <w:t>Report on the Regional Initiatives</w:t>
      </w:r>
    </w:p>
    <w:p w14:paraId="73C1D73F" w14:textId="77777777" w:rsidR="00FD3A5B" w:rsidRPr="00FD3A5B" w:rsidRDefault="00FD3A5B" w:rsidP="00FD3A5B">
      <w:pPr>
        <w:tabs>
          <w:tab w:val="left" w:pos="567"/>
          <w:tab w:val="left" w:pos="1701"/>
        </w:tabs>
        <w:ind w:left="1134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6.2</w:t>
      </w:r>
      <w:r w:rsidRPr="00FD3A5B">
        <w:rPr>
          <w:rFonts w:cs="Calibri"/>
          <w:szCs w:val="24"/>
        </w:rPr>
        <w:tab/>
        <w:t>Operational Plan 2025 (OP-25)</w:t>
      </w:r>
    </w:p>
    <w:p w14:paraId="6E6B8A4A" w14:textId="77777777" w:rsidR="00FD3A5B" w:rsidRPr="00FD3A5B" w:rsidRDefault="00FD3A5B" w:rsidP="00FD3A5B">
      <w:pPr>
        <w:tabs>
          <w:tab w:val="left" w:pos="567"/>
          <w:tab w:val="left" w:pos="1701"/>
        </w:tabs>
        <w:ind w:left="1134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6.3</w:t>
      </w:r>
      <w:r w:rsidRPr="00FD3A5B">
        <w:rPr>
          <w:rFonts w:cs="Calibri"/>
          <w:szCs w:val="24"/>
        </w:rPr>
        <w:tab/>
        <w:t xml:space="preserve">ITU-D Projects </w:t>
      </w:r>
    </w:p>
    <w:p w14:paraId="2EA52335" w14:textId="77777777" w:rsidR="00FD3A5B" w:rsidRPr="00FD3A5B" w:rsidRDefault="00FD3A5B" w:rsidP="00FD3A5B">
      <w:pPr>
        <w:tabs>
          <w:tab w:val="left" w:pos="567"/>
          <w:tab w:val="left" w:pos="1701"/>
        </w:tabs>
        <w:ind w:left="1134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6.4</w:t>
      </w:r>
      <w:r w:rsidRPr="00FD3A5B">
        <w:rPr>
          <w:rFonts w:cs="Calibri"/>
          <w:szCs w:val="24"/>
        </w:rPr>
        <w:tab/>
        <w:t>Study Group Activities</w:t>
      </w:r>
    </w:p>
    <w:p w14:paraId="10447881" w14:textId="77777777" w:rsidR="00FD3A5B" w:rsidRPr="00FD3A5B" w:rsidRDefault="00FD3A5B" w:rsidP="00FD3A5B">
      <w:pPr>
        <w:tabs>
          <w:tab w:val="left" w:pos="567"/>
          <w:tab w:val="left" w:pos="1701"/>
        </w:tabs>
        <w:ind w:left="1134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6.5</w:t>
      </w:r>
      <w:r w:rsidRPr="00FD3A5B">
        <w:rPr>
          <w:rFonts w:cs="Calibri"/>
          <w:szCs w:val="24"/>
        </w:rPr>
        <w:tab/>
        <w:t>Membership, Partnerships, Private Sector-related matters</w:t>
      </w:r>
    </w:p>
    <w:p w14:paraId="2DCFB4F2" w14:textId="77777777" w:rsidR="00FD3A5B" w:rsidRPr="00FD3A5B" w:rsidRDefault="00FD3A5B" w:rsidP="00FD3A5B">
      <w:pPr>
        <w:tabs>
          <w:tab w:val="left" w:pos="567"/>
          <w:tab w:val="left" w:pos="1701"/>
        </w:tabs>
        <w:ind w:left="1134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6.6</w:t>
      </w:r>
      <w:r w:rsidRPr="00FD3A5B">
        <w:rPr>
          <w:rFonts w:cs="Calibri"/>
          <w:szCs w:val="24"/>
        </w:rPr>
        <w:tab/>
        <w:t>Report by the Chair of the Group on Capacity Building Initiatives (GCBI)</w:t>
      </w:r>
    </w:p>
    <w:p w14:paraId="145D77B7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szCs w:val="24"/>
        </w:rPr>
      </w:pPr>
      <w:r w:rsidRPr="00FD3A5B">
        <w:rPr>
          <w:szCs w:val="24"/>
        </w:rPr>
        <w:t xml:space="preserve">7. </w:t>
      </w:r>
      <w:r w:rsidRPr="00FD3A5B">
        <w:rPr>
          <w:szCs w:val="24"/>
        </w:rPr>
        <w:tab/>
        <w:t>Preparations for WTDC-25</w:t>
      </w:r>
    </w:p>
    <w:p w14:paraId="60C66C1D" w14:textId="77777777" w:rsidR="00FD3A5B" w:rsidRPr="00FD3A5B" w:rsidRDefault="00FD3A5B" w:rsidP="00FD3A5B">
      <w:pPr>
        <w:pStyle w:val="Default"/>
        <w:spacing w:before="160" w:after="120"/>
        <w:ind w:left="1440" w:hanging="873"/>
        <w:jc w:val="both"/>
        <w:rPr>
          <w:rFonts w:asciiTheme="minorHAnsi" w:hAnsiTheme="minorHAnsi" w:cstheme="minorHAnsi"/>
        </w:rPr>
      </w:pPr>
      <w:r w:rsidRPr="00FD3A5B">
        <w:rPr>
          <w:rFonts w:asciiTheme="minorHAnsi" w:hAnsiTheme="minorHAnsi" w:cstheme="minorHAnsi"/>
        </w:rPr>
        <w:t>7.1</w:t>
      </w:r>
      <w:r w:rsidRPr="00FD3A5B">
        <w:rPr>
          <w:rFonts w:asciiTheme="minorHAnsi" w:hAnsiTheme="minorHAnsi" w:cstheme="minorHAnsi"/>
        </w:rPr>
        <w:tab/>
        <w:t>Update on the preparations for WTDC-25</w:t>
      </w:r>
    </w:p>
    <w:p w14:paraId="372E7D10" w14:textId="4CD1CE26" w:rsidR="00FD3A5B" w:rsidRPr="00FD3A5B" w:rsidRDefault="00FD3A5B" w:rsidP="00FD3A5B">
      <w:pPr>
        <w:pStyle w:val="Default"/>
        <w:spacing w:before="160" w:after="120"/>
        <w:ind w:left="1440" w:hanging="873"/>
        <w:jc w:val="both"/>
        <w:rPr>
          <w:rFonts w:asciiTheme="minorHAnsi" w:hAnsiTheme="minorHAnsi" w:cstheme="minorHAnsi"/>
        </w:rPr>
      </w:pPr>
      <w:r w:rsidRPr="00FD3A5B">
        <w:rPr>
          <w:rFonts w:asciiTheme="minorHAnsi" w:hAnsiTheme="minorHAnsi" w:cstheme="minorHAnsi"/>
        </w:rPr>
        <w:t>7.2</w:t>
      </w:r>
      <w:r w:rsidRPr="00FD3A5B">
        <w:rPr>
          <w:rFonts w:asciiTheme="minorHAnsi" w:hAnsiTheme="minorHAnsi" w:cstheme="minorHAnsi"/>
        </w:rPr>
        <w:tab/>
        <w:t>Report of the Regional Preparatory Meetings (RPMs) Coordination Meeting</w:t>
      </w:r>
    </w:p>
    <w:p w14:paraId="0D809134" w14:textId="04871232" w:rsidR="00FD3A5B" w:rsidRPr="00FD3A5B" w:rsidRDefault="00FD3A5B" w:rsidP="00FD3A5B">
      <w:pPr>
        <w:pStyle w:val="Default"/>
        <w:spacing w:before="160" w:after="120"/>
        <w:ind w:left="1440" w:hanging="873"/>
        <w:jc w:val="both"/>
        <w:rPr>
          <w:rFonts w:asciiTheme="minorHAnsi" w:hAnsiTheme="minorHAnsi" w:cstheme="minorHAnsi"/>
        </w:rPr>
      </w:pPr>
      <w:r w:rsidRPr="00FD3A5B">
        <w:rPr>
          <w:rFonts w:asciiTheme="minorHAnsi" w:hAnsiTheme="minorHAnsi" w:cstheme="minorHAnsi"/>
        </w:rPr>
        <w:t>7.3</w:t>
      </w:r>
      <w:r w:rsidRPr="00FD3A5B">
        <w:rPr>
          <w:rFonts w:asciiTheme="minorHAnsi" w:hAnsiTheme="minorHAnsi" w:cstheme="minorHAnsi"/>
        </w:rPr>
        <w:tab/>
        <w:t>Structure of WTDC-25</w:t>
      </w:r>
    </w:p>
    <w:p w14:paraId="184F28D2" w14:textId="77777777" w:rsidR="00FD3A5B" w:rsidRPr="00FD3A5B" w:rsidRDefault="00FD3A5B" w:rsidP="00FD3A5B">
      <w:pPr>
        <w:pStyle w:val="Default"/>
        <w:spacing w:before="160"/>
        <w:ind w:left="567"/>
        <w:jc w:val="both"/>
        <w:rPr>
          <w:rFonts w:asciiTheme="minorHAnsi" w:hAnsiTheme="minorHAnsi" w:cstheme="minorHAnsi"/>
        </w:rPr>
      </w:pPr>
      <w:r w:rsidRPr="00FD3A5B">
        <w:rPr>
          <w:rFonts w:asciiTheme="minorHAnsi" w:hAnsiTheme="minorHAnsi" w:cstheme="minorHAnsi"/>
        </w:rPr>
        <w:t>7.4</w:t>
      </w:r>
      <w:r w:rsidRPr="00FD3A5B">
        <w:rPr>
          <w:rFonts w:asciiTheme="minorHAnsi" w:hAnsiTheme="minorHAnsi" w:cstheme="minorHAnsi"/>
        </w:rPr>
        <w:tab/>
        <w:t>Report by the TDAG Working Group on the Declaration (TDAG-WG-DEC)</w:t>
      </w:r>
    </w:p>
    <w:p w14:paraId="2FDDCB38" w14:textId="77777777" w:rsidR="00FD3A5B" w:rsidRPr="00FD3A5B" w:rsidRDefault="00FD3A5B" w:rsidP="00FD3A5B">
      <w:pPr>
        <w:pStyle w:val="Default"/>
        <w:spacing w:before="160"/>
        <w:ind w:left="1440" w:hanging="873"/>
        <w:jc w:val="both"/>
        <w:rPr>
          <w:rFonts w:asciiTheme="minorHAnsi" w:hAnsiTheme="minorHAnsi" w:cstheme="minorHAnsi"/>
        </w:rPr>
      </w:pPr>
      <w:r w:rsidRPr="00FD3A5B">
        <w:rPr>
          <w:rFonts w:asciiTheme="minorHAnsi" w:hAnsiTheme="minorHAnsi" w:cstheme="minorHAnsi"/>
        </w:rPr>
        <w:t>7.5</w:t>
      </w:r>
      <w:r w:rsidRPr="00FD3A5B">
        <w:rPr>
          <w:rFonts w:asciiTheme="minorHAnsi" w:hAnsiTheme="minorHAnsi" w:cstheme="minorHAnsi"/>
        </w:rPr>
        <w:tab/>
        <w:t>Report by the TDAG Working Group on the Future of Study Group Questions (TDAG-WG-</w:t>
      </w:r>
      <w:proofErr w:type="spellStart"/>
      <w:r w:rsidRPr="00FD3A5B">
        <w:rPr>
          <w:rFonts w:asciiTheme="minorHAnsi" w:hAnsiTheme="minorHAnsi" w:cstheme="minorHAnsi"/>
        </w:rPr>
        <w:t>futureSQ</w:t>
      </w:r>
      <w:proofErr w:type="spellEnd"/>
      <w:r w:rsidRPr="00FD3A5B">
        <w:rPr>
          <w:rFonts w:asciiTheme="minorHAnsi" w:hAnsiTheme="minorHAnsi" w:cstheme="minorHAnsi"/>
        </w:rPr>
        <w:t>)</w:t>
      </w:r>
    </w:p>
    <w:p w14:paraId="6AC9EF65" w14:textId="77777777" w:rsidR="00FD3A5B" w:rsidRPr="00FD3A5B" w:rsidRDefault="00FD3A5B" w:rsidP="00FD3A5B">
      <w:pPr>
        <w:pStyle w:val="Default"/>
        <w:spacing w:before="160"/>
        <w:ind w:left="567"/>
        <w:jc w:val="both"/>
        <w:rPr>
          <w:rFonts w:asciiTheme="minorHAnsi" w:hAnsiTheme="minorHAnsi" w:cstheme="minorHAnsi"/>
        </w:rPr>
      </w:pPr>
      <w:r w:rsidRPr="00FD3A5B">
        <w:rPr>
          <w:rFonts w:asciiTheme="minorHAnsi" w:hAnsiTheme="minorHAnsi" w:cstheme="minorHAnsi"/>
        </w:rPr>
        <w:t>7.6</w:t>
      </w:r>
      <w:r w:rsidRPr="00FD3A5B">
        <w:rPr>
          <w:rFonts w:asciiTheme="minorHAnsi" w:hAnsiTheme="minorHAnsi" w:cstheme="minorHAnsi"/>
        </w:rPr>
        <w:tab/>
        <w:t>Report by the TDAG Working Group on Streamlining Resolutions (TDAG-WG-SR)</w:t>
      </w:r>
    </w:p>
    <w:p w14:paraId="5FF1DD8A" w14:textId="77777777" w:rsidR="00FD3A5B" w:rsidRPr="00FD3A5B" w:rsidRDefault="00FD3A5B" w:rsidP="00FD3A5B">
      <w:pPr>
        <w:pStyle w:val="Default"/>
        <w:spacing w:before="160" w:after="120"/>
        <w:ind w:left="567"/>
        <w:jc w:val="both"/>
        <w:rPr>
          <w:rFonts w:asciiTheme="minorHAnsi" w:hAnsiTheme="minorHAnsi" w:cstheme="minorHAnsi"/>
        </w:rPr>
      </w:pPr>
      <w:r w:rsidRPr="00FD3A5B">
        <w:rPr>
          <w:rFonts w:asciiTheme="minorHAnsi" w:hAnsiTheme="minorHAnsi" w:cstheme="minorHAnsi"/>
        </w:rPr>
        <w:t>7.7</w:t>
      </w:r>
      <w:r w:rsidRPr="00FD3A5B">
        <w:rPr>
          <w:rFonts w:asciiTheme="minorHAnsi" w:hAnsiTheme="minorHAnsi" w:cstheme="minorHAnsi"/>
        </w:rPr>
        <w:tab/>
        <w:t>Report by the TDAG Working Group on the ITU-D Priorities (TDAG-WG-ITUDP)</w:t>
      </w:r>
    </w:p>
    <w:p w14:paraId="5CCCEE0B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lastRenderedPageBreak/>
        <w:t>8.</w:t>
      </w:r>
      <w:r w:rsidRPr="00FD3A5B">
        <w:rPr>
          <w:rFonts w:cs="Calibri"/>
          <w:szCs w:val="24"/>
        </w:rPr>
        <w:tab/>
        <w:t xml:space="preserve">Global Youth Summit </w:t>
      </w:r>
    </w:p>
    <w:p w14:paraId="3CD4FFF3" w14:textId="100AAC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9.</w:t>
      </w:r>
      <w:r w:rsidRPr="00FD3A5B">
        <w:rPr>
          <w:rFonts w:cs="Calibri"/>
          <w:szCs w:val="24"/>
        </w:rPr>
        <w:tab/>
        <w:t>Collaboration with the other Sectors</w:t>
      </w:r>
    </w:p>
    <w:p w14:paraId="526BF2F4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10.</w:t>
      </w:r>
      <w:r w:rsidRPr="00FD3A5B">
        <w:rPr>
          <w:rFonts w:cs="Calibri"/>
          <w:szCs w:val="24"/>
        </w:rPr>
        <w:tab/>
        <w:t>Outcomes of RA-23 and WRC-23: Updates relevant to the work of ITU-D</w:t>
      </w:r>
    </w:p>
    <w:p w14:paraId="12546724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11.</w:t>
      </w:r>
      <w:r w:rsidRPr="00FD3A5B">
        <w:rPr>
          <w:rFonts w:cs="Calibri"/>
          <w:szCs w:val="24"/>
        </w:rPr>
        <w:tab/>
        <w:t>Outcomes of WTSA-24: Updates relevant to the work of ITU-D</w:t>
      </w:r>
    </w:p>
    <w:p w14:paraId="4B058427" w14:textId="06D39E10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12.</w:t>
      </w:r>
      <w:r w:rsidRPr="00FD3A5B">
        <w:rPr>
          <w:rFonts w:cs="Calibri"/>
          <w:szCs w:val="24"/>
        </w:rPr>
        <w:tab/>
        <w:t>Contribution to the work of the Expert Group on the International Telecommunication Regulations (EG-ITR)</w:t>
      </w:r>
    </w:p>
    <w:p w14:paraId="2DABAF3A" w14:textId="77777777" w:rsidR="00FD3A5B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rFonts w:cs="Calibri"/>
          <w:szCs w:val="24"/>
        </w:rPr>
      </w:pPr>
      <w:r w:rsidRPr="00FD3A5B">
        <w:rPr>
          <w:rFonts w:cs="Calibri"/>
          <w:szCs w:val="24"/>
        </w:rPr>
        <w:t>13.</w:t>
      </w:r>
      <w:r w:rsidRPr="00FD3A5B">
        <w:rPr>
          <w:rFonts w:cs="Calibri"/>
          <w:szCs w:val="24"/>
        </w:rPr>
        <w:tab/>
        <w:t>Calendar of ITU-D events</w:t>
      </w:r>
    </w:p>
    <w:p w14:paraId="60D1C632" w14:textId="617206AD" w:rsidR="0081159E" w:rsidRPr="00FD3A5B" w:rsidRDefault="00FD3A5B" w:rsidP="00FD3A5B">
      <w:pPr>
        <w:tabs>
          <w:tab w:val="left" w:pos="567"/>
          <w:tab w:val="left" w:pos="1701"/>
        </w:tabs>
        <w:ind w:left="567" w:hanging="567"/>
        <w:rPr>
          <w:szCs w:val="24"/>
        </w:rPr>
      </w:pPr>
      <w:r w:rsidRPr="00FD3A5B">
        <w:rPr>
          <w:rFonts w:cs="Calibri"/>
          <w:szCs w:val="24"/>
        </w:rPr>
        <w:t>14.</w:t>
      </w:r>
      <w:r w:rsidRPr="00FD3A5B">
        <w:rPr>
          <w:rFonts w:cs="Calibri"/>
          <w:szCs w:val="24"/>
        </w:rPr>
        <w:tab/>
        <w:t>Any other business</w:t>
      </w:r>
    </w:p>
    <w:p w14:paraId="1DC30005" w14:textId="40218400" w:rsidR="00D83BF5" w:rsidRPr="0084734D" w:rsidRDefault="00D83BF5" w:rsidP="00403C69">
      <w:pPr>
        <w:jc w:val="center"/>
        <w:rPr>
          <w:szCs w:val="24"/>
        </w:rPr>
      </w:pPr>
      <w:r w:rsidRPr="00403C69">
        <w:rPr>
          <w:szCs w:val="24"/>
        </w:rPr>
        <w:t>_______________</w:t>
      </w:r>
    </w:p>
    <w:sectPr w:rsidR="00D83BF5" w:rsidRPr="0084734D" w:rsidSect="0081159E">
      <w:headerReference w:type="default" r:id="rId13"/>
      <w:footerReference w:type="first" r:id="rId14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FE2C" w14:textId="77777777" w:rsidR="00011ECB" w:rsidRDefault="00011ECB">
      <w:r>
        <w:separator/>
      </w:r>
    </w:p>
    <w:p w14:paraId="75D3C60F" w14:textId="77777777" w:rsidR="00011ECB" w:rsidRDefault="00011ECB"/>
  </w:endnote>
  <w:endnote w:type="continuationSeparator" w:id="0">
    <w:p w14:paraId="45763FC5" w14:textId="77777777" w:rsidR="00011ECB" w:rsidRDefault="00011ECB">
      <w:r>
        <w:continuationSeparator/>
      </w:r>
    </w:p>
    <w:p w14:paraId="6479313F" w14:textId="77777777" w:rsidR="00011ECB" w:rsidRDefault="00011ECB"/>
  </w:endnote>
  <w:endnote w:type="continuationNotice" w:id="1">
    <w:p w14:paraId="2DABBF92" w14:textId="77777777" w:rsidR="00011ECB" w:rsidRDefault="00011ECB">
      <w:pPr>
        <w:spacing w:before="0"/>
      </w:pPr>
    </w:p>
    <w:p w14:paraId="30E10933" w14:textId="77777777" w:rsidR="00011ECB" w:rsidRDefault="00011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4D495C" w14:paraId="65E77649" w14:textId="77777777" w:rsidTr="003447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7777777" w:rsidR="003447A8" w:rsidRPr="004D495C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77E88D5" w14:textId="77777777" w:rsidR="003447A8" w:rsidRPr="004D495C" w:rsidRDefault="003447A8" w:rsidP="003447A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C53FE51" w14:textId="77777777" w:rsidR="003447A8" w:rsidRPr="00927A83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0" w:name="OrgName"/>
      <w:bookmarkEnd w:id="10"/>
    </w:tr>
    <w:tr w:rsidR="003447A8" w:rsidRPr="004D495C" w14:paraId="1CC09AE7" w14:textId="77777777" w:rsidTr="003447A8">
      <w:tc>
        <w:tcPr>
          <w:tcW w:w="1526" w:type="dxa"/>
          <w:shd w:val="clear" w:color="auto" w:fill="auto"/>
        </w:tcPr>
        <w:p w14:paraId="7BB1BEC2" w14:textId="77777777" w:rsidR="003447A8" w:rsidRPr="004D495C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4D495C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27F567E" w14:textId="77777777" w:rsidR="003447A8" w:rsidRPr="00D8064E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11" w:name="PhoneNo"/>
      <w:bookmarkEnd w:id="11"/>
    </w:tr>
    <w:tr w:rsidR="003447A8" w:rsidRPr="004D495C" w14:paraId="34A468D3" w14:textId="77777777" w:rsidTr="003447A8">
      <w:tc>
        <w:tcPr>
          <w:tcW w:w="1526" w:type="dxa"/>
          <w:shd w:val="clear" w:color="auto" w:fill="auto"/>
        </w:tcPr>
        <w:p w14:paraId="2403414C" w14:textId="77777777" w:rsidR="003447A8" w:rsidRPr="004D495C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4D495C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CD733D" w14:textId="77777777" w:rsidR="003447A8" w:rsidRDefault="003447A8" w:rsidP="003447A8">
          <w:pPr>
            <w:pStyle w:val="FirstFooter"/>
            <w:tabs>
              <w:tab w:val="left" w:pos="2302"/>
            </w:tabs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</w:tr>
  </w:tbl>
  <w:p w14:paraId="3FF320CD" w14:textId="77777777" w:rsidR="003447A8" w:rsidRDefault="0034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65A72" w14:textId="47623D61" w:rsidR="00011ECB" w:rsidRPr="0054377E" w:rsidRDefault="00011ECB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68E0ED3F" w14:textId="77777777" w:rsidR="00011ECB" w:rsidRDefault="00011ECB" w:rsidP="0054377E">
      <w:pPr>
        <w:spacing w:before="0"/>
      </w:pPr>
      <w:r>
        <w:continuationSeparator/>
      </w:r>
    </w:p>
    <w:p w14:paraId="17FA6BAC" w14:textId="77777777" w:rsidR="00011ECB" w:rsidRDefault="00011ECB"/>
  </w:footnote>
  <w:footnote w:type="continuationNotice" w:id="1">
    <w:p w14:paraId="37FB0453" w14:textId="77777777" w:rsidR="00011ECB" w:rsidRDefault="00011ECB">
      <w:pPr>
        <w:spacing w:before="0"/>
      </w:pPr>
    </w:p>
    <w:p w14:paraId="33E1B3CD" w14:textId="77777777" w:rsidR="00011ECB" w:rsidRDefault="00011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9923" w14:textId="1560D431" w:rsidR="00636181" w:rsidRPr="00D83BF5" w:rsidRDefault="00636181" w:rsidP="0014714E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</w:t>
    </w:r>
    <w:r w:rsidR="003273BC">
      <w:rPr>
        <w:sz w:val="22"/>
        <w:szCs w:val="22"/>
        <w:lang w:val="es-ES_tradnl"/>
      </w:rPr>
      <w:t>5</w:t>
    </w:r>
    <w:r w:rsidRPr="00FF089C">
      <w:rPr>
        <w:sz w:val="22"/>
        <w:szCs w:val="22"/>
        <w:lang w:val="es-ES_tradnl"/>
      </w:rPr>
      <w:t>/</w:t>
    </w:r>
    <w:r w:rsidR="00833049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93B2C">
      <w:rPr>
        <w:noProof/>
        <w:sz w:val="22"/>
        <w:szCs w:val="22"/>
        <w:lang w:val="es-ES_tradnl"/>
      </w:rPr>
      <w:t>19</w:t>
    </w:r>
    <w:r w:rsidRPr="004D495C">
      <w:rPr>
        <w:sz w:val="22"/>
        <w:szCs w:val="22"/>
      </w:rPr>
      <w:fldChar w:fldCharType="end"/>
    </w:r>
  </w:p>
  <w:p w14:paraId="47991B53" w14:textId="77777777" w:rsidR="00636181" w:rsidRDefault="006361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55FD"/>
    <w:rsid w:val="0003589F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592"/>
    <w:rsid w:val="000C42BA"/>
    <w:rsid w:val="000C4FD1"/>
    <w:rsid w:val="000D1759"/>
    <w:rsid w:val="000D38EB"/>
    <w:rsid w:val="000D4875"/>
    <w:rsid w:val="000D6891"/>
    <w:rsid w:val="000D6E8D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55E8"/>
    <w:rsid w:val="00166196"/>
    <w:rsid w:val="001664A7"/>
    <w:rsid w:val="00167327"/>
    <w:rsid w:val="00167A9D"/>
    <w:rsid w:val="00170C5A"/>
    <w:rsid w:val="00171758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1C79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51DF"/>
    <w:rsid w:val="002A684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58BE"/>
    <w:rsid w:val="002D5CE8"/>
    <w:rsid w:val="002E4D1D"/>
    <w:rsid w:val="002E51E0"/>
    <w:rsid w:val="002E5411"/>
    <w:rsid w:val="002E7A84"/>
    <w:rsid w:val="002F1BD0"/>
    <w:rsid w:val="003013EE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39F2"/>
    <w:rsid w:val="003D5A63"/>
    <w:rsid w:val="003D6425"/>
    <w:rsid w:val="003D66A7"/>
    <w:rsid w:val="003D7EE8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4243"/>
    <w:rsid w:val="004D5D5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071EB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31317"/>
    <w:rsid w:val="00533CBA"/>
    <w:rsid w:val="005358BC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641"/>
    <w:rsid w:val="005E0D2B"/>
    <w:rsid w:val="005E10C9"/>
    <w:rsid w:val="005E61DD"/>
    <w:rsid w:val="005E6321"/>
    <w:rsid w:val="005F5413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73C2"/>
    <w:rsid w:val="006B7C2A"/>
    <w:rsid w:val="006C03CD"/>
    <w:rsid w:val="006C23DA"/>
    <w:rsid w:val="006C250D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049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4B1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102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5B2D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3A5B"/>
    <w:rsid w:val="00FD772E"/>
    <w:rsid w:val="00FE3346"/>
    <w:rsid w:val="00FE3926"/>
    <w:rsid w:val="00FE43D6"/>
    <w:rsid w:val="00FE48BE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</cp:lastModifiedBy>
  <cp:revision>26</cp:revision>
  <cp:lastPrinted>2019-01-16T07:57:00Z</cp:lastPrinted>
  <dcterms:created xsi:type="dcterms:W3CDTF">2025-02-11T10:46:00Z</dcterms:created>
  <dcterms:modified xsi:type="dcterms:W3CDTF">2025-02-18T09:29:00Z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