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01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9C413B" w14:paraId="753A272C" w14:textId="77777777" w:rsidTr="009C413B">
        <w:trPr>
          <w:cantSplit/>
          <w:trHeight w:val="1134"/>
        </w:trPr>
        <w:tc>
          <w:tcPr>
            <w:tcW w:w="6379" w:type="dxa"/>
          </w:tcPr>
          <w:p w14:paraId="70136327" w14:textId="77777777" w:rsidR="009C413B" w:rsidRDefault="009C413B" w:rsidP="009C413B">
            <w:pPr>
              <w:ind w:left="34"/>
              <w:rPr>
                <w:b/>
                <w:bCs/>
                <w:sz w:val="32"/>
                <w:szCs w:val="32"/>
              </w:rPr>
            </w:pPr>
            <w:bookmarkStart w:id="0" w:name="dmeeting" w:colFirst="0" w:colLast="0"/>
            <w:bookmarkStart w:id="1" w:name="dnum" w:colFirst="1" w:colLast="1"/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32CFC8A1" w14:textId="77777777" w:rsidR="009C413B" w:rsidRPr="00844A56" w:rsidRDefault="009C413B" w:rsidP="009C413B">
            <w:pPr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31st Meeting, Geneva, Switzerland, 20</w:t>
            </w:r>
            <w:r w:rsidRPr="00307769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30776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May</w:t>
            </w:r>
            <w:r w:rsidRPr="00307769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14:paraId="68508CE5" w14:textId="77777777" w:rsidR="009C413B" w:rsidRPr="00683C32" w:rsidRDefault="009C413B" w:rsidP="009C413B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0F1D1DB" wp14:editId="480C97B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13B" w:rsidRPr="00997358" w14:paraId="284AE59E" w14:textId="77777777" w:rsidTr="009C413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2FDB819" w14:textId="77777777" w:rsidR="009C413B" w:rsidRPr="00997358" w:rsidRDefault="009C413B" w:rsidP="009C413B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A8C6D52" w14:textId="77777777" w:rsidR="009C413B" w:rsidRPr="00997358" w:rsidRDefault="009C413B" w:rsidP="009C413B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9C413B" w:rsidRPr="00377939" w14:paraId="13C311A9" w14:textId="77777777" w:rsidTr="009C413B">
        <w:trPr>
          <w:cantSplit/>
        </w:trPr>
        <w:tc>
          <w:tcPr>
            <w:tcW w:w="6379" w:type="dxa"/>
          </w:tcPr>
          <w:p w14:paraId="5C57976B" w14:textId="77777777" w:rsidR="009C413B" w:rsidRPr="007F1CC7" w:rsidRDefault="009C413B" w:rsidP="009C413B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2758C67B" w14:textId="621A4041" w:rsidR="009C413B" w:rsidRPr="00574FC3" w:rsidRDefault="009C413B" w:rsidP="009C413B">
            <w:pPr>
              <w:spacing w:before="0"/>
              <w:jc w:val="both"/>
              <w:rPr>
                <w:bCs/>
                <w:szCs w:val="24"/>
                <w:lang w:val="de-DE"/>
              </w:rPr>
            </w:pPr>
            <w:r w:rsidRPr="00574FC3">
              <w:rPr>
                <w:b/>
                <w:bCs/>
                <w:lang w:val="de-DE"/>
              </w:rPr>
              <w:t xml:space="preserve">Document </w:t>
            </w:r>
            <w:bookmarkStart w:id="2" w:name="DocRef1"/>
            <w:bookmarkEnd w:id="2"/>
            <w:r w:rsidRPr="00574FC3">
              <w:rPr>
                <w:b/>
                <w:bCs/>
                <w:lang w:val="de-DE"/>
              </w:rPr>
              <w:t>TDAG-2</w:t>
            </w:r>
            <w:bookmarkStart w:id="3" w:name="DocNo1"/>
            <w:bookmarkEnd w:id="3"/>
            <w:r w:rsidRPr="00574FC3">
              <w:rPr>
                <w:b/>
                <w:bCs/>
                <w:lang w:val="de-DE"/>
              </w:rPr>
              <w:t>4/INF/</w:t>
            </w:r>
            <w:r w:rsidR="00AB30A7">
              <w:rPr>
                <w:b/>
                <w:bCs/>
                <w:lang w:val="de-DE"/>
              </w:rPr>
              <w:t>3</w:t>
            </w:r>
            <w:r w:rsidRPr="00574FC3">
              <w:rPr>
                <w:b/>
                <w:bCs/>
                <w:lang w:val="de-DE"/>
              </w:rPr>
              <w:t>-E</w:t>
            </w:r>
          </w:p>
        </w:tc>
      </w:tr>
      <w:tr w:rsidR="009C413B" w14:paraId="1D5DD875" w14:textId="77777777" w:rsidTr="009C413B">
        <w:trPr>
          <w:cantSplit/>
        </w:trPr>
        <w:tc>
          <w:tcPr>
            <w:tcW w:w="6379" w:type="dxa"/>
          </w:tcPr>
          <w:p w14:paraId="3D8943FB" w14:textId="77777777" w:rsidR="009C413B" w:rsidRPr="00574FC3" w:rsidRDefault="009C413B" w:rsidP="009C413B">
            <w:pPr>
              <w:spacing w:before="0"/>
              <w:rPr>
                <w:b/>
                <w:bCs/>
                <w:smallCaps/>
                <w:szCs w:val="24"/>
                <w:lang w:val="de-DE"/>
              </w:rPr>
            </w:pPr>
          </w:p>
        </w:tc>
        <w:tc>
          <w:tcPr>
            <w:tcW w:w="3509" w:type="dxa"/>
          </w:tcPr>
          <w:p w14:paraId="5601C7E1" w14:textId="6184183B" w:rsidR="009C413B" w:rsidRPr="007F1CC7" w:rsidRDefault="009610C3" w:rsidP="009C413B">
            <w:pPr>
              <w:spacing w:before="0"/>
              <w:rPr>
                <w:b/>
                <w:szCs w:val="24"/>
              </w:rPr>
            </w:pPr>
            <w:bookmarkStart w:id="4" w:name="CreationDate"/>
            <w:bookmarkEnd w:id="4"/>
            <w:r>
              <w:rPr>
                <w:b/>
                <w:bCs/>
                <w:szCs w:val="28"/>
              </w:rPr>
              <w:t>10 April 2024</w:t>
            </w:r>
          </w:p>
        </w:tc>
      </w:tr>
      <w:tr w:rsidR="009C413B" w14:paraId="45ECEF57" w14:textId="77777777" w:rsidTr="009C413B">
        <w:trPr>
          <w:cantSplit/>
        </w:trPr>
        <w:tc>
          <w:tcPr>
            <w:tcW w:w="6379" w:type="dxa"/>
          </w:tcPr>
          <w:p w14:paraId="3445D28D" w14:textId="77777777" w:rsidR="009C413B" w:rsidRPr="007F1CC7" w:rsidRDefault="009C413B" w:rsidP="009C413B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75AB4116" w14:textId="6E4DD5CA" w:rsidR="009C413B" w:rsidRPr="007F1CC7" w:rsidRDefault="009C413B" w:rsidP="009C413B">
            <w:pPr>
              <w:spacing w:before="0" w:after="240"/>
              <w:rPr>
                <w:szCs w:val="24"/>
              </w:rPr>
            </w:pPr>
            <w:r>
              <w:rPr>
                <w:b/>
              </w:rPr>
              <w:t>English</w:t>
            </w:r>
            <w:r w:rsidR="009610C3">
              <w:rPr>
                <w:b/>
              </w:rPr>
              <w:t xml:space="preserve"> only</w:t>
            </w:r>
          </w:p>
        </w:tc>
      </w:tr>
      <w:tr w:rsidR="009C413B" w14:paraId="6DE05A09" w14:textId="77777777" w:rsidTr="009C413B">
        <w:trPr>
          <w:cantSplit/>
          <w:trHeight w:val="852"/>
        </w:trPr>
        <w:tc>
          <w:tcPr>
            <w:tcW w:w="9888" w:type="dxa"/>
            <w:gridSpan w:val="2"/>
          </w:tcPr>
          <w:p w14:paraId="2DA6AA4F" w14:textId="5E9897DD" w:rsidR="009C413B" w:rsidRPr="00C65D15" w:rsidRDefault="009610C3" w:rsidP="00FB5290">
            <w:pPr>
              <w:pStyle w:val="Source"/>
              <w:framePr w:hSpace="0" w:wrap="auto" w:vAnchor="margin" w:hAnchor="text" w:xAlign="left" w:yAlign="inline"/>
            </w:pPr>
            <w:bookmarkStart w:id="5" w:name="Source"/>
            <w:bookmarkEnd w:id="5"/>
            <w:r w:rsidRPr="009610C3">
              <w:t>Report by the Secretary-General</w:t>
            </w:r>
          </w:p>
        </w:tc>
      </w:tr>
      <w:tr w:rsidR="009C413B" w:rsidRPr="002E6963" w14:paraId="1AA31B0E" w14:textId="77777777" w:rsidTr="009C413B">
        <w:trPr>
          <w:cantSplit/>
        </w:trPr>
        <w:tc>
          <w:tcPr>
            <w:tcW w:w="9888" w:type="dxa"/>
            <w:gridSpan w:val="2"/>
          </w:tcPr>
          <w:p w14:paraId="52EAF418" w14:textId="1AD0DDC7" w:rsidR="009C413B" w:rsidRPr="00C65D15" w:rsidRDefault="007504AD" w:rsidP="00FB5290">
            <w:pPr>
              <w:pStyle w:val="Title1"/>
              <w:framePr w:hSpace="0" w:wrap="auto" w:vAnchor="margin" w:hAnchor="text" w:xAlign="left" w:yAlign="inline"/>
              <w:spacing w:before="120" w:after="120"/>
            </w:pPr>
            <w:bookmarkStart w:id="6" w:name="Title"/>
            <w:bookmarkEnd w:id="6"/>
            <w:r w:rsidRPr="007504AD">
              <w:t>Information and Communication Technologies Development Fund (ICT-DF)</w:t>
            </w:r>
          </w:p>
        </w:tc>
      </w:tr>
      <w:tr w:rsidR="009C413B" w:rsidRPr="002E6963" w14:paraId="1FBAA798" w14:textId="77777777" w:rsidTr="009C413B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E51B5DC" w14:textId="77777777" w:rsidR="009C413B" w:rsidRPr="00A721F4" w:rsidRDefault="009C413B" w:rsidP="009C413B"/>
        </w:tc>
      </w:tr>
      <w:tr w:rsidR="009C413B" w:rsidRPr="002E6963" w14:paraId="2222ED2E" w14:textId="77777777" w:rsidTr="009C413B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0A2" w14:textId="77777777" w:rsidR="009C413B" w:rsidRPr="00D9621A" w:rsidRDefault="009C413B" w:rsidP="009C413B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0CA29C75" w14:textId="42BB0D4E" w:rsidR="009C413B" w:rsidRPr="00EF364D" w:rsidRDefault="009610C3" w:rsidP="009610C3">
            <w:pPr>
              <w:spacing w:after="120"/>
              <w:rPr>
                <w:szCs w:val="24"/>
              </w:rPr>
            </w:pPr>
            <w:r>
              <w:t>This document</w:t>
            </w:r>
            <w:r w:rsidR="00E565DA">
              <w:t xml:space="preserve"> reproduces Council document 34 for the information of TDAG participants. </w:t>
            </w:r>
            <w:r w:rsidR="00B44077">
              <w:t>Document C-24/30, prepa</w:t>
            </w:r>
            <w:r w:rsidR="00A2107E">
              <w:t xml:space="preserve">red by BDT, </w:t>
            </w:r>
            <w:r>
              <w:t>reports on the status of the Information and Communication Technologies Development Fund (ICT-DF) regarding its utilization for the implementation of development projects. It also provides information on the funds available in the Exhibition Working Capital Fund (EWCF) and the ICT-DF Capital Account.</w:t>
            </w:r>
          </w:p>
          <w:p w14:paraId="5558F3AB" w14:textId="77777777" w:rsidR="009C413B" w:rsidRPr="00D9621A" w:rsidRDefault="009C413B" w:rsidP="009C413B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527DC6B5" w14:textId="77777777" w:rsidR="008544B7" w:rsidRDefault="008544B7" w:rsidP="009C413B">
            <w:pPr>
              <w:spacing w:after="120"/>
            </w:pPr>
            <w:r w:rsidRPr="008544B7">
              <w:t>TDAG is invited to note this document.</w:t>
            </w:r>
          </w:p>
          <w:p w14:paraId="2A1486E5" w14:textId="600FA019" w:rsidR="009C413B" w:rsidRPr="00D9621A" w:rsidRDefault="009C413B" w:rsidP="009C413B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7087BB22" w14:textId="1E9CFF53" w:rsidR="009C413B" w:rsidRPr="00D9621A" w:rsidRDefault="009C413B" w:rsidP="009C413B">
            <w:pPr>
              <w:spacing w:after="120"/>
            </w:pPr>
            <w:r>
              <w:t xml:space="preserve">Document </w:t>
            </w:r>
            <w:r w:rsidR="004E6646">
              <w:t xml:space="preserve">ITU Council </w:t>
            </w:r>
            <w:hyperlink r:id="rId12" w:history="1">
              <w:r w:rsidR="00B72B20" w:rsidRPr="00B72B20">
                <w:rPr>
                  <w:rStyle w:val="Hyperlink"/>
                </w:rPr>
                <w:t>C24/34</w:t>
              </w:r>
            </w:hyperlink>
          </w:p>
        </w:tc>
      </w:tr>
    </w:tbl>
    <w:p w14:paraId="09922DF7" w14:textId="77777777" w:rsidR="00640193" w:rsidRDefault="00640193" w:rsidP="00472BAD">
      <w:pPr>
        <w:tabs>
          <w:tab w:val="left" w:pos="851"/>
        </w:tabs>
        <w:spacing w:before="0" w:line="240" w:lineRule="atLeast"/>
        <w:rPr>
          <w:b/>
        </w:rPr>
      </w:pPr>
    </w:p>
    <w:p w14:paraId="5CD70F3F" w14:textId="77777777" w:rsidR="00640193" w:rsidRDefault="00640193" w:rsidP="00472BAD">
      <w:pPr>
        <w:tabs>
          <w:tab w:val="left" w:pos="851"/>
        </w:tabs>
        <w:spacing w:before="0" w:line="240" w:lineRule="atLeast"/>
        <w:rPr>
          <w:b/>
        </w:rPr>
      </w:pPr>
    </w:p>
    <w:p w14:paraId="2829C762" w14:textId="77777777" w:rsidR="00640193" w:rsidRDefault="00640193" w:rsidP="00472BAD">
      <w:pPr>
        <w:tabs>
          <w:tab w:val="left" w:pos="851"/>
        </w:tabs>
        <w:spacing w:before="0" w:line="240" w:lineRule="atLeast"/>
        <w:rPr>
          <w:b/>
        </w:rPr>
        <w:sectPr w:rsidR="00640193" w:rsidSect="002D3CC4">
          <w:footerReference w:type="default" r:id="rId13"/>
          <w:footerReference w:type="first" r:id="rId14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544E3" w14:paraId="1591300A" w14:textId="77777777" w:rsidTr="130B13D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2200845" w:rsidR="00AD3606" w:rsidRPr="007544E3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7544E3">
              <w:rPr>
                <w:b/>
              </w:rPr>
              <w:lastRenderedPageBreak/>
              <w:t xml:space="preserve">Agenda item: </w:t>
            </w:r>
            <w:r w:rsidR="00C750BD" w:rsidRPr="007544E3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F0CB53A" w14:textId="2E161951" w:rsidR="00AD3606" w:rsidRPr="007544E3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544E3">
              <w:rPr>
                <w:b/>
              </w:rPr>
              <w:t>Document C</w:t>
            </w:r>
            <w:r w:rsidR="00D81D25">
              <w:rPr>
                <w:b/>
              </w:rPr>
              <w:t>24</w:t>
            </w:r>
            <w:r w:rsidRPr="007544E3">
              <w:rPr>
                <w:b/>
              </w:rPr>
              <w:t>/</w:t>
            </w:r>
            <w:r w:rsidR="00C41449" w:rsidRPr="00786C3C">
              <w:rPr>
                <w:b/>
              </w:rPr>
              <w:t>34</w:t>
            </w:r>
            <w:r w:rsidRPr="00786C3C">
              <w:rPr>
                <w:b/>
              </w:rPr>
              <w:t>-E</w:t>
            </w:r>
          </w:p>
        </w:tc>
      </w:tr>
      <w:tr w:rsidR="00AD3606" w:rsidRPr="007544E3" w14:paraId="777833CB" w14:textId="77777777" w:rsidTr="130B13DC">
        <w:trPr>
          <w:cantSplit/>
        </w:trPr>
        <w:tc>
          <w:tcPr>
            <w:tcW w:w="3969" w:type="dxa"/>
            <w:vMerge/>
          </w:tcPr>
          <w:p w14:paraId="7DECAB6C" w14:textId="77777777" w:rsidR="00AD3606" w:rsidRPr="007544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45AB82E" w:rsidR="00AD3606" w:rsidRPr="007544E3" w:rsidRDefault="005B117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9 April </w:t>
            </w:r>
            <w:r w:rsidR="00AD3606" w:rsidRPr="007544E3">
              <w:rPr>
                <w:b/>
              </w:rPr>
              <w:t>202</w:t>
            </w:r>
            <w:r w:rsidR="00D81D25">
              <w:rPr>
                <w:b/>
              </w:rPr>
              <w:t>4</w:t>
            </w:r>
          </w:p>
        </w:tc>
      </w:tr>
      <w:tr w:rsidR="00AD3606" w:rsidRPr="007544E3" w14:paraId="082C2282" w14:textId="77777777" w:rsidTr="130B13DC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7544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8" w:name="dorlang" w:colFirst="1" w:colLast="1"/>
            <w:bookmarkEnd w:id="7"/>
          </w:p>
        </w:tc>
        <w:tc>
          <w:tcPr>
            <w:tcW w:w="5245" w:type="dxa"/>
          </w:tcPr>
          <w:p w14:paraId="03AC685B" w14:textId="77777777" w:rsidR="00AD3606" w:rsidRPr="007544E3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544E3">
              <w:rPr>
                <w:b/>
              </w:rPr>
              <w:t>Original: English</w:t>
            </w:r>
          </w:p>
        </w:tc>
      </w:tr>
      <w:tr w:rsidR="00472BAD" w:rsidRPr="007544E3" w14:paraId="3C9C7706" w14:textId="77777777" w:rsidTr="130B13DC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7544E3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7544E3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0417AB" w:rsidRPr="007544E3" w14:paraId="33FCA41B" w14:textId="77777777" w:rsidTr="130B13DC">
        <w:trPr>
          <w:cantSplit/>
          <w:trHeight w:val="23"/>
        </w:trPr>
        <w:tc>
          <w:tcPr>
            <w:tcW w:w="3969" w:type="dxa"/>
          </w:tcPr>
          <w:p w14:paraId="7678CBFD" w14:textId="77777777" w:rsidR="000417AB" w:rsidRPr="007544E3" w:rsidRDefault="000417AB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336AFA2" w14:textId="77777777" w:rsidR="000417AB" w:rsidRPr="007544E3" w:rsidRDefault="000417AB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7544E3" w14:paraId="5BEAAFE0" w14:textId="77777777" w:rsidTr="130B13D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7544E3" w:rsidRDefault="00AD3606" w:rsidP="00FB5290">
            <w:pPr>
              <w:pStyle w:val="Source"/>
              <w:framePr w:hSpace="0" w:wrap="auto" w:vAnchor="margin" w:hAnchor="text" w:xAlign="left" w:yAlign="inline"/>
            </w:pPr>
            <w:bookmarkStart w:id="9" w:name="dsource" w:colFirst="0" w:colLast="0"/>
            <w:bookmarkEnd w:id="8"/>
            <w:r w:rsidRPr="007544E3">
              <w:t>Report by the Secretary-General</w:t>
            </w:r>
          </w:p>
        </w:tc>
      </w:tr>
      <w:tr w:rsidR="00AD3606" w:rsidRPr="007544E3" w14:paraId="62B9C291" w14:textId="77777777" w:rsidTr="130B13D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729983BB" w:rsidR="00AD3606" w:rsidRPr="007544E3" w:rsidRDefault="00C750BD" w:rsidP="00FB5290">
            <w:pPr>
              <w:pStyle w:val="Subtitle1"/>
              <w:framePr w:hSpace="0" w:wrap="auto" w:hAnchor="text" w:xAlign="left" w:yAlign="inline"/>
            </w:pPr>
            <w:bookmarkStart w:id="10" w:name="dtitle1" w:colFirst="0" w:colLast="0"/>
            <w:bookmarkEnd w:id="9"/>
            <w:r w:rsidRPr="007544E3">
              <w:t>INFORMATION AND COMMUNICATION TECHNOLOGIES DEVELOPMENT FUND (ICT-DF)</w:t>
            </w:r>
          </w:p>
        </w:tc>
      </w:tr>
      <w:tr w:rsidR="00AD3606" w:rsidRPr="007544E3" w14:paraId="59287389" w14:textId="77777777" w:rsidTr="130B13D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065FA023" w:rsidR="00AD3606" w:rsidRPr="007544E3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 xml:space="preserve">Purpose </w:t>
            </w:r>
          </w:p>
          <w:p w14:paraId="0897FAB2" w14:textId="58904AFB" w:rsidR="00C41449" w:rsidRPr="007544E3" w:rsidRDefault="00C41449" w:rsidP="00C41449">
            <w:p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7544E3">
              <w:rPr>
                <w:rFonts w:asciiTheme="minorHAnsi" w:hAnsiTheme="minorHAnsi" w:cstheme="minorHAnsi"/>
                <w:szCs w:val="24"/>
              </w:rPr>
              <w:t xml:space="preserve">This document reports </w:t>
            </w:r>
            <w:r w:rsidR="002C6F2F">
              <w:rPr>
                <w:rFonts w:asciiTheme="minorHAnsi" w:hAnsiTheme="minorHAnsi" w:cstheme="minorHAnsi"/>
                <w:szCs w:val="24"/>
              </w:rPr>
              <w:t xml:space="preserve">on </w:t>
            </w:r>
            <w:r w:rsidRPr="007544E3">
              <w:rPr>
                <w:rFonts w:asciiTheme="minorHAnsi" w:hAnsiTheme="minorHAnsi" w:cstheme="minorHAnsi"/>
                <w:szCs w:val="24"/>
              </w:rPr>
              <w:t xml:space="preserve">the status of the Information and Communication Technologies Development Fund (ICT-DF) regarding its utilization for the implementation of development projects. It also </w:t>
            </w:r>
            <w:r w:rsidR="002C6F2F">
              <w:rPr>
                <w:rFonts w:asciiTheme="minorHAnsi" w:hAnsiTheme="minorHAnsi" w:cstheme="minorHAnsi"/>
                <w:szCs w:val="24"/>
              </w:rPr>
              <w:t>provides information on</w:t>
            </w:r>
            <w:r w:rsidRPr="007544E3">
              <w:rPr>
                <w:rFonts w:asciiTheme="minorHAnsi" w:hAnsiTheme="minorHAnsi" w:cstheme="minorHAnsi"/>
                <w:szCs w:val="24"/>
              </w:rPr>
              <w:t xml:space="preserve"> the funds available in the Exhibition Working Capital Fund (EWCF)</w:t>
            </w:r>
            <w:r w:rsidR="00EC0ED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7787C"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="00CC5124" w:rsidRPr="007544E3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7544E3">
              <w:rPr>
                <w:rFonts w:asciiTheme="minorHAnsi" w:hAnsiTheme="minorHAnsi" w:cstheme="minorHAnsi"/>
                <w:szCs w:val="24"/>
              </w:rPr>
              <w:t>ICT-DF Capital Account</w:t>
            </w:r>
            <w:r w:rsidR="00EC0ED5">
              <w:rPr>
                <w:rFonts w:asciiTheme="minorHAnsi" w:hAnsiTheme="minorHAnsi" w:cstheme="minorHAnsi"/>
                <w:szCs w:val="24"/>
              </w:rPr>
              <w:t>.</w:t>
            </w:r>
          </w:p>
          <w:p w14:paraId="45B1495A" w14:textId="3BE2F57E" w:rsidR="00AD3606" w:rsidRPr="007544E3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Action required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5AFC9AC2" w14:textId="2ADC1CC8" w:rsidR="00DE55D0" w:rsidRDefault="0035158F" w:rsidP="00EF400E">
            <w:p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7544E3">
              <w:rPr>
                <w:rFonts w:asciiTheme="minorHAnsi" w:hAnsiTheme="minorHAnsi" w:cstheme="minorHAnsi"/>
                <w:szCs w:val="24"/>
              </w:rPr>
              <w:t xml:space="preserve">Following 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 xml:space="preserve">the abrogation of Resolution 11 (Rev. Dubai, 2018) on ITU Telecom events at the Plenipotentiary Conference (Bucharest, 2022), </w:t>
            </w:r>
            <w:r w:rsidR="00D81D25">
              <w:rPr>
                <w:rFonts w:asciiTheme="minorHAnsi" w:hAnsiTheme="minorHAnsi" w:cstheme="minorHAnsi"/>
                <w:szCs w:val="24"/>
              </w:rPr>
              <w:t xml:space="preserve">ITU Council 2023 approved </w:t>
            </w:r>
            <w:bookmarkStart w:id="11" w:name="_Hlk160119624"/>
            <w:bookmarkStart w:id="12" w:name="_Hlk160119896"/>
            <w:r w:rsidR="00D81D25">
              <w:rPr>
                <w:rFonts w:asciiTheme="minorHAnsi" w:hAnsiTheme="minorHAnsi" w:cstheme="minorHAnsi"/>
                <w:szCs w:val="24"/>
              </w:rPr>
              <w:t>R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esolution</w:t>
            </w:r>
            <w:r w:rsidR="00D81D25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5" w:history="1">
              <w:r w:rsidR="00DA0D40" w:rsidRPr="00DA0D40">
                <w:rPr>
                  <w:rStyle w:val="Hyperlink"/>
                  <w:rFonts w:asciiTheme="minorHAnsi" w:hAnsiTheme="minorHAnsi" w:cstheme="minorHAnsi"/>
                  <w:szCs w:val="24"/>
                </w:rPr>
                <w:t>1418</w:t>
              </w:r>
            </w:hyperlink>
            <w:bookmarkEnd w:id="11"/>
            <w:r w:rsidR="00DE55D0" w:rsidRPr="007544E3">
              <w:rPr>
                <w:rFonts w:asciiTheme="minorHAnsi" w:hAnsiTheme="minorHAnsi" w:cstheme="minorHAnsi"/>
                <w:szCs w:val="24"/>
              </w:rPr>
              <w:t xml:space="preserve"> on the transfer of CHF </w:t>
            </w:r>
            <w:r w:rsidR="00D81D25">
              <w:rPr>
                <w:rFonts w:asciiTheme="minorHAnsi" w:hAnsiTheme="minorHAnsi" w:cstheme="minorHAnsi"/>
                <w:szCs w:val="24"/>
              </w:rPr>
              <w:t>3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 </w:t>
            </w:r>
            <w:r w:rsidR="00E74020" w:rsidRPr="007544E3">
              <w:rPr>
                <w:rFonts w:asciiTheme="minorHAnsi" w:hAnsiTheme="minorHAnsi" w:cstheme="minorHAnsi"/>
                <w:szCs w:val="24"/>
              </w:rPr>
              <w:t>m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illion from the EWCF to the ICT-DF Capital Account</w:t>
            </w:r>
            <w:r w:rsidR="00D81D25">
              <w:rPr>
                <w:rFonts w:asciiTheme="minorHAnsi" w:hAnsiTheme="minorHAnsi" w:cstheme="minorHAnsi"/>
                <w:szCs w:val="24"/>
              </w:rPr>
              <w:t xml:space="preserve"> to support </w:t>
            </w:r>
            <w:r w:rsidR="00896467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D81D25">
              <w:rPr>
                <w:rFonts w:asciiTheme="minorHAnsi" w:hAnsiTheme="minorHAnsi" w:cstheme="minorHAnsi"/>
                <w:szCs w:val="24"/>
              </w:rPr>
              <w:t>WTDC-22</w:t>
            </w:r>
            <w:r w:rsidR="0089646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C6F2F">
              <w:rPr>
                <w:rFonts w:asciiTheme="minorHAnsi" w:hAnsiTheme="minorHAnsi" w:cstheme="minorHAnsi"/>
                <w:szCs w:val="24"/>
              </w:rPr>
              <w:t xml:space="preserve">adopted </w:t>
            </w:r>
            <w:r w:rsidR="00896467">
              <w:rPr>
                <w:rFonts w:asciiTheme="minorHAnsi" w:hAnsiTheme="minorHAnsi" w:cstheme="minorHAnsi"/>
                <w:szCs w:val="24"/>
              </w:rPr>
              <w:t>Regional Initiatives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.</w:t>
            </w:r>
            <w:r w:rsidR="00DA0D4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295A7BC" w14:textId="7799A942" w:rsidR="008337DF" w:rsidRDefault="00BF68E3" w:rsidP="00F16BAB">
            <w:pPr>
              <w:spacing w:before="160"/>
              <w:rPr>
                <w:rFonts w:asciiTheme="minorHAnsi" w:hAnsiTheme="minorHAnsi" w:cstheme="minorBidi"/>
                <w:b/>
                <w:bCs/>
              </w:rPr>
            </w:pPr>
            <w:bookmarkStart w:id="13" w:name="_Hlk160119587"/>
            <w:bookmarkEnd w:id="12"/>
            <w:r w:rsidRPr="130B13DC">
              <w:rPr>
                <w:rFonts w:asciiTheme="minorHAnsi" w:hAnsiTheme="minorHAnsi" w:cstheme="minorBidi"/>
              </w:rPr>
              <w:t xml:space="preserve">The Council at its 2024 session is invited </w:t>
            </w:r>
            <w:r w:rsidRPr="130B13DC">
              <w:rPr>
                <w:rFonts w:asciiTheme="minorHAnsi" w:hAnsiTheme="minorHAnsi" w:cstheme="minorBidi"/>
                <w:b/>
                <w:bCs/>
              </w:rPr>
              <w:t>to</w:t>
            </w:r>
            <w:r w:rsidR="00B76AE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6BCB625" w:rsidRPr="130B13DC">
              <w:rPr>
                <w:rFonts w:asciiTheme="minorHAnsi" w:hAnsiTheme="minorHAnsi" w:cstheme="minorBidi"/>
                <w:b/>
                <w:bCs/>
              </w:rPr>
              <w:t xml:space="preserve">take note </w:t>
            </w:r>
            <w:r w:rsidR="06BCB625" w:rsidRPr="00B76AE4">
              <w:rPr>
                <w:rFonts w:asciiTheme="minorHAnsi" w:hAnsiTheme="minorHAnsi" w:cstheme="minorBidi"/>
              </w:rPr>
              <w:t>of this document.</w:t>
            </w:r>
            <w:r w:rsidR="06BCB625" w:rsidRPr="130B13DC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5602B10D" w14:textId="39C651EE" w:rsidR="00FC3863" w:rsidRPr="007544E3" w:rsidRDefault="00000000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hyperlink r:id="rId16" w:history="1"/>
            <w:bookmarkEnd w:id="13"/>
            <w:r w:rsidR="00F16BAB" w:rsidRPr="007544E3">
              <w:rPr>
                <w:b/>
                <w:bCs/>
                <w:sz w:val="26"/>
                <w:szCs w:val="26"/>
              </w:rPr>
              <w:t>Relevant link</w:t>
            </w:r>
            <w:r w:rsidR="00A54171" w:rsidRPr="007544E3">
              <w:rPr>
                <w:b/>
                <w:bCs/>
                <w:sz w:val="26"/>
                <w:szCs w:val="26"/>
              </w:rPr>
              <w:t>(s)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 with the </w:t>
            </w:r>
            <w:r w:rsidR="0078776A">
              <w:rPr>
                <w:b/>
                <w:bCs/>
                <w:sz w:val="26"/>
                <w:szCs w:val="26"/>
              </w:rPr>
              <w:t>S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trategic </w:t>
            </w:r>
            <w:r w:rsidR="0078776A">
              <w:rPr>
                <w:b/>
                <w:bCs/>
                <w:sz w:val="26"/>
                <w:szCs w:val="26"/>
              </w:rPr>
              <w:t>P</w:t>
            </w:r>
            <w:r w:rsidR="00F16BAB" w:rsidRPr="007544E3">
              <w:rPr>
                <w:b/>
                <w:bCs/>
                <w:sz w:val="26"/>
                <w:szCs w:val="26"/>
              </w:rPr>
              <w:t>lan</w:t>
            </w:r>
          </w:p>
          <w:p w14:paraId="71511FA1" w14:textId="0841EA69" w:rsidR="00F16BAB" w:rsidRPr="007544E3" w:rsidRDefault="00985D45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szCs w:val="24"/>
              </w:rPr>
              <w:t>Provision of technical assistance, partnerships</w:t>
            </w:r>
            <w:r w:rsidR="002C6F2F">
              <w:rPr>
                <w:szCs w:val="24"/>
              </w:rPr>
              <w:t xml:space="preserve">, </w:t>
            </w:r>
            <w:r w:rsidRPr="007544E3">
              <w:rPr>
                <w:szCs w:val="24"/>
              </w:rPr>
              <w:t>and international cooperation</w:t>
            </w:r>
            <w:r w:rsidR="00E55D59">
              <w:rPr>
                <w:szCs w:val="24"/>
              </w:rPr>
              <w:t>.</w:t>
            </w:r>
          </w:p>
          <w:p w14:paraId="14F95159" w14:textId="63CA748A" w:rsidR="005575B6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5C5778BF" w:rsidR="00F16BAB" w:rsidRPr="007544E3" w:rsidRDefault="79788511" w:rsidP="00B76AE4">
            <w:pPr>
              <w:spacing w:before="160" w:after="120"/>
              <w:jc w:val="both"/>
              <w:rPr>
                <w:rFonts w:asciiTheme="minorHAnsi" w:hAnsiTheme="minorHAnsi" w:cstheme="minorBidi"/>
                <w:highlight w:val="yellow"/>
              </w:rPr>
            </w:pPr>
            <w:r w:rsidRPr="0F7C2B0F">
              <w:rPr>
                <w:rFonts w:asciiTheme="minorHAnsi" w:hAnsiTheme="minorHAnsi" w:cstheme="minorBidi"/>
              </w:rPr>
              <w:t>The transfer of</w:t>
            </w:r>
            <w:r w:rsidR="00892801">
              <w:rPr>
                <w:rFonts w:asciiTheme="minorHAnsi" w:hAnsiTheme="minorHAnsi" w:cstheme="minorBidi"/>
              </w:rPr>
              <w:t xml:space="preserve"> </w:t>
            </w:r>
            <w:r w:rsidRPr="0F7C2B0F">
              <w:rPr>
                <w:rFonts w:asciiTheme="minorHAnsi" w:hAnsiTheme="minorHAnsi" w:cstheme="minorBidi"/>
              </w:rPr>
              <w:t>CHF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Pr="00A74674">
              <w:rPr>
                <w:rFonts w:asciiTheme="minorHAnsi" w:hAnsiTheme="minorHAnsi" w:cstheme="minorBidi"/>
              </w:rPr>
              <w:t>465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Pr="00A74674">
              <w:rPr>
                <w:rFonts w:asciiTheme="minorHAnsi" w:hAnsiTheme="minorHAnsi" w:cstheme="minorBidi"/>
              </w:rPr>
              <w:t xml:space="preserve">110.56 from the EWCF to the ICT-DF Capital Account is contained in document </w:t>
            </w:r>
            <w:hyperlink r:id="rId17" w:history="1">
              <w:r w:rsidRPr="00B76AE4">
                <w:rPr>
                  <w:rStyle w:val="Hyperlink"/>
                </w:rPr>
                <w:t>C24/19</w:t>
              </w:r>
            </w:hyperlink>
            <w:r w:rsidRPr="00A74674">
              <w:rPr>
                <w:rFonts w:asciiTheme="minorHAnsi" w:hAnsiTheme="minorHAnsi" w:cstheme="minorBidi"/>
              </w:rPr>
              <w:t>.</w:t>
            </w:r>
            <w:r w:rsidR="4F2D2E8A" w:rsidRPr="00A74674">
              <w:rPr>
                <w:rFonts w:asciiTheme="minorHAnsi" w:hAnsiTheme="minorHAnsi" w:cstheme="minorBidi"/>
              </w:rPr>
              <w:t xml:space="preserve">The available balance of the ICT-DF Capital Account </w:t>
            </w:r>
            <w:r w:rsidR="1535218E" w:rsidRPr="00A74674">
              <w:rPr>
                <w:rFonts w:asciiTheme="minorHAnsi" w:hAnsiTheme="minorHAnsi" w:cstheme="minorBidi"/>
              </w:rPr>
              <w:t xml:space="preserve">following this transfer </w:t>
            </w:r>
            <w:r w:rsidR="4F2D2E8A" w:rsidRPr="00A74674">
              <w:rPr>
                <w:rFonts w:asciiTheme="minorHAnsi" w:hAnsiTheme="minorHAnsi" w:cstheme="minorBidi"/>
              </w:rPr>
              <w:t xml:space="preserve">will amount to </w:t>
            </w:r>
            <w:r w:rsidR="072CC124" w:rsidRPr="00A74674">
              <w:rPr>
                <w:rFonts w:asciiTheme="minorHAnsi" w:hAnsiTheme="minorHAnsi" w:cstheme="minorBidi"/>
              </w:rPr>
              <w:t>CHF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="568DCA5F" w:rsidRPr="00B76AE4">
              <w:rPr>
                <w:rFonts w:asciiTheme="minorHAnsi" w:hAnsiTheme="minorHAnsi" w:cstheme="minorBidi"/>
              </w:rPr>
              <w:t>5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="568DCA5F" w:rsidRPr="00B76AE4">
              <w:rPr>
                <w:rFonts w:asciiTheme="minorHAnsi" w:hAnsiTheme="minorHAnsi" w:cstheme="minorBidi"/>
              </w:rPr>
              <w:t>317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="568DCA5F" w:rsidRPr="00B76AE4">
              <w:rPr>
                <w:rFonts w:asciiTheme="minorHAnsi" w:hAnsiTheme="minorHAnsi" w:cstheme="minorBidi"/>
              </w:rPr>
              <w:t>171</w:t>
            </w:r>
            <w:r w:rsidR="328E6C88" w:rsidRPr="00B76AE4">
              <w:rPr>
                <w:rFonts w:asciiTheme="minorHAnsi" w:hAnsiTheme="minorHAnsi" w:cstheme="minorBidi"/>
              </w:rPr>
              <w:t>.</w:t>
            </w:r>
          </w:p>
          <w:p w14:paraId="6F1B8B4E" w14:textId="0246FB06" w:rsidR="00AD3606" w:rsidRPr="007544E3" w:rsidRDefault="00AD3606" w:rsidP="00F16BAB">
            <w:pPr>
              <w:spacing w:before="160"/>
              <w:rPr>
                <w:caps/>
                <w:sz w:val="22"/>
                <w:szCs w:val="22"/>
              </w:rPr>
            </w:pPr>
            <w:r w:rsidRPr="1DA392BE">
              <w:rPr>
                <w:sz w:val="22"/>
                <w:szCs w:val="22"/>
              </w:rPr>
              <w:t>_______________</w:t>
            </w:r>
          </w:p>
          <w:p w14:paraId="0EBC340A" w14:textId="77777777" w:rsidR="00AD3606" w:rsidRPr="007544E3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28C370C3" w:rsidR="00AD3606" w:rsidRPr="00B76AE4" w:rsidRDefault="00000000" w:rsidP="00B76AE4">
            <w:pPr>
              <w:spacing w:after="120"/>
              <w:rPr>
                <w:i/>
                <w:iCs/>
                <w:sz w:val="22"/>
                <w:szCs w:val="22"/>
              </w:rPr>
            </w:pPr>
            <w:hyperlink r:id="rId18"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Resolution 11 (Rev. Dubai, 2018)</w:t>
              </w:r>
            </w:hyperlink>
            <w:r w:rsidR="00E74020" w:rsidRPr="00B76AE4">
              <w:rPr>
                <w:rStyle w:val="Hyperlink"/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of the Plenipotentiary Conference</w:t>
            </w:r>
            <w:r w:rsidR="000344A1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; </w:t>
            </w:r>
            <w:hyperlink r:id="rId19"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Final Acts (Part III)</w:t>
              </w:r>
            </w:hyperlink>
            <w:r w:rsidR="00076EF4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and </w:t>
            </w:r>
            <w:hyperlink r:id="rId20"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Minutes of the Sixteenth Plenary Meeting (</w:t>
              </w:r>
              <w:r w:rsidR="00076EF4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Section</w:t>
              </w:r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 xml:space="preserve"> 2.3 </w:t>
              </w:r>
              <w:r w:rsidR="00424572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and</w:t>
              </w:r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 xml:space="preserve"> 5.2)</w:t>
              </w:r>
            </w:hyperlink>
            <w:r w:rsidR="00E74020" w:rsidRPr="00B76AE4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 xml:space="preserve"> of the 2022 Plenipotentiary Conference;</w:t>
            </w:r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Council Resolutions </w:t>
            </w:r>
            <w:hyperlink r:id="rId21">
              <w:r w:rsidR="00E74020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1111</w:t>
              </w:r>
            </w:hyperlink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DA0D4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</w:t>
            </w:r>
            <w:hyperlink r:id="rId22">
              <w:r w:rsidR="00E74020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1338</w:t>
              </w:r>
            </w:hyperlink>
            <w:r w:rsidR="00DA0D40" w:rsidRPr="00B76AE4">
              <w:rPr>
                <w:sz w:val="22"/>
                <w:szCs w:val="22"/>
              </w:rPr>
              <w:t xml:space="preserve"> and </w:t>
            </w:r>
            <w:hyperlink r:id="rId23">
              <w:r w:rsidR="00DA0D40" w:rsidRPr="00B76AE4">
                <w:rPr>
                  <w:rStyle w:val="Hyperlink"/>
                  <w:i/>
                  <w:iCs/>
                  <w:sz w:val="22"/>
                  <w:szCs w:val="22"/>
                </w:rPr>
                <w:t>1418</w:t>
              </w:r>
            </w:hyperlink>
            <w:r w:rsidR="00DA0D40" w:rsidRPr="00B76AE4">
              <w:rPr>
                <w:sz w:val="22"/>
                <w:szCs w:val="22"/>
              </w:rPr>
              <w:t>;</w:t>
            </w:r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Council </w:t>
            </w:r>
            <w:r w:rsidR="00121BF9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D</w:t>
            </w:r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ocument </w:t>
            </w:r>
            <w:hyperlink r:id="rId24">
              <w:r w:rsidR="00E74020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C2</w:t>
              </w:r>
              <w:r w:rsidR="001673F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3</w:t>
              </w:r>
              <w:r w:rsidR="00E74020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/34</w:t>
              </w:r>
            </w:hyperlink>
            <w:r w:rsidR="00E74020" w:rsidRPr="00B76AE4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>;</w:t>
            </w:r>
            <w:r w:rsidR="00DA0D40" w:rsidRPr="00B76AE4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 xml:space="preserve"> </w:t>
            </w:r>
            <w:hyperlink r:id="rId25" w:history="1">
              <w:r w:rsidR="215580E7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C24/19</w:t>
              </w:r>
            </w:hyperlink>
          </w:p>
        </w:tc>
      </w:tr>
      <w:bookmarkEnd w:id="10"/>
    </w:tbl>
    <w:p w14:paraId="28EEFC4A" w14:textId="75AA77BE" w:rsidR="00FC3863" w:rsidRPr="007544E3" w:rsidRDefault="00FC38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7544E3">
        <w:rPr>
          <w:rFonts w:asciiTheme="minorHAnsi" w:hAnsiTheme="minorHAnsi" w:cstheme="minorHAnsi"/>
          <w:b/>
          <w:bCs/>
          <w:szCs w:val="24"/>
        </w:rPr>
        <w:br w:type="page"/>
      </w:r>
    </w:p>
    <w:p w14:paraId="27E1889E" w14:textId="5C96CF6F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09" w:hanging="709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544E3">
        <w:rPr>
          <w:rFonts w:asciiTheme="minorHAnsi" w:hAnsiTheme="minorHAnsi" w:cstheme="minorHAnsi"/>
          <w:bCs/>
          <w:sz w:val="24"/>
          <w:szCs w:val="24"/>
        </w:rPr>
        <w:lastRenderedPageBreak/>
        <w:t>Introduction</w:t>
      </w:r>
    </w:p>
    <w:p w14:paraId="2AE6DF98" w14:textId="71F9ABF8" w:rsidR="00CC5124" w:rsidRPr="007544E3" w:rsidRDefault="00CC5124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1.</w:t>
      </w:r>
      <w:r w:rsidR="00F56D5E" w:rsidRPr="007544E3">
        <w:rPr>
          <w:rFonts w:asciiTheme="minorHAnsi" w:hAnsiTheme="minorHAnsi" w:cstheme="minorHAnsi"/>
          <w:szCs w:val="24"/>
        </w:rPr>
        <w:t>1</w:t>
      </w:r>
      <w:r w:rsidRPr="007544E3">
        <w:rPr>
          <w:rFonts w:asciiTheme="minorHAnsi" w:hAnsiTheme="minorHAnsi" w:cstheme="minorHAnsi"/>
          <w:szCs w:val="24"/>
        </w:rPr>
        <w:tab/>
      </w:r>
      <w:r w:rsidR="00BC6AE6" w:rsidRPr="007544E3">
        <w:rPr>
          <w:rFonts w:asciiTheme="minorHAnsi" w:hAnsiTheme="minorHAnsi" w:cstheme="minorHAnsi"/>
          <w:szCs w:val="24"/>
        </w:rPr>
        <w:t>Launched in 1997, t</w:t>
      </w:r>
      <w:r w:rsidRPr="007544E3">
        <w:rPr>
          <w:rFonts w:asciiTheme="minorHAnsi" w:hAnsiTheme="minorHAnsi" w:cstheme="minorHAnsi"/>
          <w:szCs w:val="24"/>
        </w:rPr>
        <w:t>he</w:t>
      </w:r>
      <w:r w:rsidR="00E93FD7" w:rsidRPr="007544E3">
        <w:t xml:space="preserve"> </w:t>
      </w:r>
      <w:r w:rsidR="00E93FD7" w:rsidRPr="007544E3">
        <w:rPr>
          <w:rFonts w:asciiTheme="minorHAnsi" w:hAnsiTheme="minorHAnsi" w:cstheme="minorHAnsi"/>
          <w:szCs w:val="24"/>
        </w:rPr>
        <w:t>Information and Communication Technologies Development Fund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E93FD7" w:rsidRPr="007544E3">
        <w:rPr>
          <w:rFonts w:asciiTheme="minorHAnsi" w:hAnsiTheme="minorHAnsi" w:cstheme="minorHAnsi"/>
          <w:szCs w:val="24"/>
        </w:rPr>
        <w:t>(</w:t>
      </w:r>
      <w:hyperlink r:id="rId26" w:history="1">
        <w:r w:rsidRPr="007544E3">
          <w:rPr>
            <w:rStyle w:val="Hyperlink"/>
            <w:rFonts w:asciiTheme="minorHAnsi" w:hAnsiTheme="minorHAnsi" w:cstheme="minorHAnsi"/>
            <w:szCs w:val="24"/>
          </w:rPr>
          <w:t>ICT-DF</w:t>
        </w:r>
      </w:hyperlink>
      <w:r w:rsidR="00E93FD7" w:rsidRPr="007544E3">
        <w:rPr>
          <w:rFonts w:asciiTheme="minorHAnsi" w:hAnsiTheme="minorHAnsi" w:cstheme="minorHAnsi"/>
          <w:szCs w:val="24"/>
        </w:rPr>
        <w:t>)</w:t>
      </w:r>
      <w:r w:rsidRPr="007544E3">
        <w:rPr>
          <w:rFonts w:asciiTheme="minorHAnsi" w:hAnsiTheme="minorHAnsi" w:cstheme="minorHAnsi"/>
          <w:szCs w:val="24"/>
        </w:rPr>
        <w:t xml:space="preserve"> support</w:t>
      </w:r>
      <w:r w:rsidR="00BC6AE6" w:rsidRPr="007544E3">
        <w:rPr>
          <w:rFonts w:asciiTheme="minorHAnsi" w:hAnsiTheme="minorHAnsi" w:cstheme="minorHAnsi"/>
          <w:szCs w:val="24"/>
        </w:rPr>
        <w:t xml:space="preserve">s </w:t>
      </w:r>
      <w:r w:rsidRPr="007544E3">
        <w:rPr>
          <w:rFonts w:asciiTheme="minorHAnsi" w:hAnsiTheme="minorHAnsi" w:cstheme="minorHAnsi"/>
          <w:szCs w:val="24"/>
        </w:rPr>
        <w:t xml:space="preserve">the implementation of projects based on multi-stakeholder partnerships </w:t>
      </w:r>
      <w:r w:rsidR="00C02F08" w:rsidRPr="007544E3">
        <w:rPr>
          <w:rFonts w:asciiTheme="minorHAnsi" w:hAnsiTheme="minorHAnsi" w:cstheme="minorHAnsi"/>
          <w:szCs w:val="24"/>
        </w:rPr>
        <w:t>with</w:t>
      </w:r>
      <w:r w:rsidRPr="007544E3">
        <w:rPr>
          <w:rFonts w:asciiTheme="minorHAnsi" w:hAnsiTheme="minorHAnsi" w:cstheme="minorHAnsi"/>
          <w:szCs w:val="24"/>
        </w:rPr>
        <w:t xml:space="preserve"> ITU Member States, Sector Members, public and private sector, multilateral organizations, foundations, financial institutions and development agencies.</w:t>
      </w:r>
    </w:p>
    <w:p w14:paraId="761CA002" w14:textId="46203D1D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 w:rsidRPr="007544E3">
        <w:rPr>
          <w:rFonts w:asciiTheme="minorHAnsi" w:hAnsiTheme="minorHAnsi" w:cstheme="minorHAnsi"/>
          <w:bCs/>
          <w:sz w:val="24"/>
          <w:szCs w:val="24"/>
        </w:rPr>
        <w:t xml:space="preserve">Main </w:t>
      </w:r>
      <w:r w:rsidR="00BD1F24" w:rsidRPr="007544E3">
        <w:rPr>
          <w:rFonts w:asciiTheme="minorHAnsi" w:hAnsiTheme="minorHAnsi" w:cstheme="minorHAnsi"/>
          <w:bCs/>
          <w:sz w:val="24"/>
          <w:szCs w:val="24"/>
        </w:rPr>
        <w:t>r</w:t>
      </w:r>
      <w:r w:rsidRPr="007544E3">
        <w:rPr>
          <w:rFonts w:asciiTheme="minorHAnsi" w:hAnsiTheme="minorHAnsi" w:cstheme="minorHAnsi"/>
          <w:bCs/>
          <w:sz w:val="24"/>
          <w:szCs w:val="24"/>
        </w:rPr>
        <w:t xml:space="preserve">ules and </w:t>
      </w:r>
      <w:r w:rsidR="00BD1F24" w:rsidRPr="007544E3">
        <w:rPr>
          <w:rFonts w:asciiTheme="minorHAnsi" w:hAnsiTheme="minorHAnsi" w:cstheme="minorHAnsi"/>
          <w:bCs/>
          <w:sz w:val="24"/>
          <w:szCs w:val="24"/>
        </w:rPr>
        <w:t>p</w:t>
      </w:r>
      <w:r w:rsidRPr="007544E3">
        <w:rPr>
          <w:rFonts w:asciiTheme="minorHAnsi" w:hAnsiTheme="minorHAnsi" w:cstheme="minorHAnsi"/>
          <w:bCs/>
          <w:sz w:val="24"/>
          <w:szCs w:val="24"/>
        </w:rPr>
        <w:t>rocedures of ICT-DF</w:t>
      </w:r>
    </w:p>
    <w:p w14:paraId="43336C1B" w14:textId="2CE41724" w:rsidR="00CC5124" w:rsidRDefault="00CC5124" w:rsidP="006471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pacing w:val="-2"/>
          <w:szCs w:val="24"/>
        </w:rPr>
      </w:pPr>
      <w:r w:rsidRPr="007544E3">
        <w:rPr>
          <w:rFonts w:asciiTheme="minorHAnsi" w:hAnsiTheme="minorHAnsi" w:cstheme="minorHAnsi"/>
          <w:szCs w:val="24"/>
        </w:rPr>
        <w:t>2.1</w:t>
      </w:r>
      <w:r w:rsidRPr="007544E3">
        <w:rPr>
          <w:rFonts w:asciiTheme="minorHAnsi" w:hAnsiTheme="minorHAnsi" w:cstheme="minorHAnsi"/>
          <w:szCs w:val="24"/>
        </w:rPr>
        <w:tab/>
      </w:r>
      <w:r w:rsidR="00445664">
        <w:rPr>
          <w:rFonts w:asciiTheme="minorHAnsi" w:hAnsiTheme="minorHAnsi" w:cstheme="minorHAnsi"/>
          <w:szCs w:val="24"/>
        </w:rPr>
        <w:t>In principle</w:t>
      </w:r>
      <w:r w:rsidR="003316BD" w:rsidRPr="007544E3">
        <w:rPr>
          <w:rFonts w:asciiTheme="minorHAnsi" w:hAnsiTheme="minorHAnsi"/>
          <w:spacing w:val="-2"/>
        </w:rPr>
        <w:t xml:space="preserve">, </w:t>
      </w:r>
      <w:r w:rsidR="00ED2152">
        <w:rPr>
          <w:rFonts w:asciiTheme="minorHAnsi" w:hAnsiTheme="minorHAnsi"/>
          <w:spacing w:val="-2"/>
        </w:rPr>
        <w:t xml:space="preserve">the </w:t>
      </w:r>
      <w:r w:rsidRPr="007544E3">
        <w:rPr>
          <w:rFonts w:asciiTheme="minorHAnsi" w:hAnsiTheme="minorHAnsi" w:cstheme="minorHAnsi"/>
          <w:szCs w:val="24"/>
        </w:rPr>
        <w:t>ICT-DF finance</w:t>
      </w:r>
      <w:r w:rsidR="00F52905" w:rsidRPr="007544E3">
        <w:rPr>
          <w:rFonts w:asciiTheme="minorHAnsi" w:hAnsiTheme="minorHAnsi" w:cstheme="minorHAnsi"/>
          <w:szCs w:val="24"/>
        </w:rPr>
        <w:t>s</w:t>
      </w:r>
      <w:r w:rsidRPr="007544E3">
        <w:rPr>
          <w:rFonts w:asciiTheme="minorHAnsi" w:hAnsiTheme="minorHAnsi" w:cstheme="minorHAnsi"/>
          <w:szCs w:val="24"/>
        </w:rPr>
        <w:t xml:space="preserve"> up to 25</w:t>
      </w:r>
      <w:r w:rsidR="00DC6F4C" w:rsidRPr="007544E3">
        <w:rPr>
          <w:rFonts w:asciiTheme="minorHAnsi" w:hAnsiTheme="minorHAnsi" w:cstheme="minorHAnsi"/>
          <w:szCs w:val="24"/>
        </w:rPr>
        <w:t xml:space="preserve"> per cent</w:t>
      </w:r>
      <w:r w:rsidRPr="007544E3">
        <w:rPr>
          <w:rFonts w:asciiTheme="minorHAnsi" w:hAnsiTheme="minorHAnsi" w:cstheme="minorHAnsi"/>
          <w:szCs w:val="24"/>
        </w:rPr>
        <w:t xml:space="preserve"> of the total cash contribution of </w:t>
      </w:r>
      <w:r w:rsidR="00F52905" w:rsidRPr="007544E3">
        <w:rPr>
          <w:rFonts w:asciiTheme="minorHAnsi" w:hAnsiTheme="minorHAnsi" w:cstheme="minorHAnsi"/>
          <w:szCs w:val="24"/>
        </w:rPr>
        <w:t xml:space="preserve">a </w:t>
      </w:r>
      <w:r w:rsidRPr="007544E3">
        <w:rPr>
          <w:rFonts w:asciiTheme="minorHAnsi" w:hAnsiTheme="minorHAnsi" w:cstheme="minorHAnsi"/>
          <w:szCs w:val="24"/>
        </w:rPr>
        <w:t>project. On an exceptional basis, the ICT-DF may finance more than 25</w:t>
      </w:r>
      <w:r w:rsidR="00DC6F4C" w:rsidRPr="007544E3">
        <w:rPr>
          <w:rFonts w:asciiTheme="minorHAnsi" w:hAnsiTheme="minorHAnsi" w:cstheme="minorHAnsi"/>
          <w:szCs w:val="24"/>
        </w:rPr>
        <w:t xml:space="preserve"> per cent</w:t>
      </w:r>
      <w:r w:rsidRPr="007544E3">
        <w:rPr>
          <w:rFonts w:asciiTheme="minorHAnsi" w:hAnsiTheme="minorHAnsi" w:cstheme="minorHAnsi"/>
          <w:szCs w:val="24"/>
        </w:rPr>
        <w:t xml:space="preserve">. This seed funding provided </w:t>
      </w:r>
      <w:r w:rsidR="00BC6AE6" w:rsidRPr="007544E3">
        <w:rPr>
          <w:rFonts w:asciiTheme="minorHAnsi" w:hAnsiTheme="minorHAnsi" w:cstheme="minorHAnsi"/>
          <w:szCs w:val="24"/>
        </w:rPr>
        <w:t>from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F52905" w:rsidRPr="007544E3">
        <w:rPr>
          <w:rFonts w:asciiTheme="minorHAnsi" w:hAnsiTheme="minorHAnsi" w:cstheme="minorHAnsi"/>
          <w:szCs w:val="24"/>
        </w:rPr>
        <w:t xml:space="preserve">the </w:t>
      </w:r>
      <w:r w:rsidR="00BC6AE6" w:rsidRPr="007544E3">
        <w:rPr>
          <w:rFonts w:asciiTheme="minorHAnsi" w:hAnsiTheme="minorHAnsi" w:cstheme="minorHAnsi"/>
          <w:szCs w:val="24"/>
        </w:rPr>
        <w:t>ICT-DF</w:t>
      </w:r>
      <w:r w:rsidRPr="007544E3">
        <w:rPr>
          <w:rFonts w:asciiTheme="minorHAnsi" w:hAnsiTheme="minorHAnsi" w:cstheme="minorHAnsi"/>
          <w:szCs w:val="24"/>
        </w:rPr>
        <w:t xml:space="preserve"> is meant to attract extrabudgetary funds raised through resource mobilization 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for financing projects at national, regional, and </w:t>
      </w:r>
      <w:r w:rsidR="000A6502">
        <w:rPr>
          <w:rFonts w:asciiTheme="minorHAnsi" w:hAnsiTheme="minorHAnsi" w:cstheme="minorHAnsi"/>
          <w:spacing w:val="-2"/>
          <w:szCs w:val="24"/>
        </w:rPr>
        <w:t>multi-regional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 levels.</w:t>
      </w:r>
    </w:p>
    <w:p w14:paraId="3F2C3CF2" w14:textId="406923CB" w:rsidR="00CC5124" w:rsidRPr="007544E3" w:rsidRDefault="00CC5124" w:rsidP="005D5D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2.2</w:t>
      </w:r>
      <w:r w:rsidRPr="007544E3">
        <w:rPr>
          <w:rFonts w:asciiTheme="minorHAnsi" w:hAnsiTheme="minorHAnsi" w:cstheme="minorHAnsi"/>
          <w:szCs w:val="24"/>
        </w:rPr>
        <w:tab/>
      </w:r>
      <w:r w:rsidR="00716094" w:rsidRPr="007544E3">
        <w:rPr>
          <w:rFonts w:asciiTheme="minorHAnsi" w:hAnsiTheme="minorHAnsi" w:cstheme="minorHAnsi"/>
          <w:szCs w:val="24"/>
        </w:rPr>
        <w:t>P</w:t>
      </w:r>
      <w:r w:rsidRPr="007544E3">
        <w:rPr>
          <w:rFonts w:asciiTheme="minorHAnsi" w:hAnsiTheme="minorHAnsi" w:cstheme="minorHAnsi"/>
          <w:szCs w:val="24"/>
        </w:rPr>
        <w:t xml:space="preserve">roject proposals </w:t>
      </w:r>
      <w:r w:rsidR="00716094" w:rsidRPr="007544E3">
        <w:rPr>
          <w:rFonts w:asciiTheme="minorHAnsi" w:hAnsiTheme="minorHAnsi" w:cstheme="minorHAnsi"/>
          <w:szCs w:val="24"/>
        </w:rPr>
        <w:t xml:space="preserve">are </w:t>
      </w:r>
      <w:r w:rsidRPr="007544E3">
        <w:rPr>
          <w:rFonts w:asciiTheme="minorHAnsi" w:hAnsiTheme="minorHAnsi" w:cstheme="minorHAnsi"/>
          <w:szCs w:val="24"/>
        </w:rPr>
        <w:t xml:space="preserve">submitted </w:t>
      </w:r>
      <w:r w:rsidR="000A6502">
        <w:rPr>
          <w:rFonts w:asciiTheme="minorHAnsi" w:hAnsiTheme="minorHAnsi" w:cstheme="minorHAnsi"/>
          <w:szCs w:val="24"/>
        </w:rPr>
        <w:t>for consideration by the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445664" w:rsidRPr="007544E3">
        <w:rPr>
          <w:rFonts w:asciiTheme="minorHAnsi" w:hAnsiTheme="minorHAnsi" w:cstheme="minorHAnsi"/>
          <w:spacing w:val="-2"/>
          <w:szCs w:val="24"/>
        </w:rPr>
        <w:t>ICT-DF Steering Committee (ICT-DF SC)</w:t>
      </w:r>
      <w:r w:rsidR="00445664" w:rsidRPr="007544E3">
        <w:rPr>
          <w:rStyle w:val="FootnoteReference"/>
          <w:rFonts w:asciiTheme="minorHAnsi" w:hAnsiTheme="minorHAnsi" w:cstheme="minorHAnsi"/>
          <w:spacing w:val="-2"/>
          <w:sz w:val="24"/>
          <w:szCs w:val="24"/>
          <w:vertAlign w:val="superscript"/>
        </w:rPr>
        <w:footnoteReference w:id="2"/>
      </w:r>
      <w:r w:rsidR="00641E65">
        <w:rPr>
          <w:rFonts w:asciiTheme="minorHAnsi" w:hAnsiTheme="minorHAnsi" w:cstheme="minorHAnsi"/>
          <w:szCs w:val="24"/>
        </w:rPr>
        <w:t xml:space="preserve"> and </w:t>
      </w:r>
      <w:r w:rsidR="00BB712D" w:rsidRPr="007544E3">
        <w:rPr>
          <w:rFonts w:asciiTheme="minorHAnsi" w:hAnsiTheme="minorHAnsi" w:cstheme="minorHAnsi"/>
          <w:szCs w:val="24"/>
        </w:rPr>
        <w:t>assessed to</w:t>
      </w:r>
      <w:r w:rsidRPr="007544E3">
        <w:rPr>
          <w:rFonts w:asciiTheme="minorHAnsi" w:hAnsiTheme="minorHAnsi" w:cstheme="minorHAnsi"/>
          <w:szCs w:val="24"/>
        </w:rPr>
        <w:t xml:space="preserve"> ensure </w:t>
      </w:r>
      <w:r w:rsidR="00BB712D" w:rsidRPr="007544E3">
        <w:rPr>
          <w:rFonts w:asciiTheme="minorHAnsi" w:hAnsiTheme="minorHAnsi" w:cstheme="minorHAnsi"/>
          <w:szCs w:val="24"/>
        </w:rPr>
        <w:t xml:space="preserve">their </w:t>
      </w:r>
      <w:r w:rsidRPr="007544E3">
        <w:rPr>
          <w:rFonts w:asciiTheme="minorHAnsi" w:hAnsiTheme="minorHAnsi" w:cstheme="minorHAnsi"/>
          <w:szCs w:val="24"/>
        </w:rPr>
        <w:t>compliance with the following selection and eligibility criteria, among</w:t>
      </w:r>
      <w:r w:rsidR="004838B7" w:rsidRPr="007544E3">
        <w:rPr>
          <w:rFonts w:asciiTheme="minorHAnsi" w:hAnsiTheme="minorHAnsi" w:cstheme="minorHAnsi"/>
          <w:szCs w:val="24"/>
        </w:rPr>
        <w:t>st</w:t>
      </w:r>
      <w:r w:rsidRPr="007544E3">
        <w:rPr>
          <w:rFonts w:asciiTheme="minorHAnsi" w:hAnsiTheme="minorHAnsi" w:cstheme="minorHAnsi"/>
          <w:szCs w:val="24"/>
        </w:rPr>
        <w:t xml:space="preserve"> others:</w:t>
      </w:r>
    </w:p>
    <w:p w14:paraId="1F2ADA05" w14:textId="12078C44" w:rsidR="00CC5124" w:rsidRPr="007544E3" w:rsidRDefault="00CC5124" w:rsidP="00CC5124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26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544E3">
        <w:rPr>
          <w:rFonts w:asciiTheme="minorHAnsi" w:hAnsiTheme="minorHAnsi" w:cstheme="minorHAnsi"/>
          <w:sz w:val="24"/>
          <w:szCs w:val="24"/>
          <w:lang w:val="en-GB"/>
        </w:rPr>
        <w:t xml:space="preserve">The project beneficiary shall include one or more </w:t>
      </w:r>
      <w:r w:rsidR="00855B23" w:rsidRPr="007544E3">
        <w:rPr>
          <w:rFonts w:asciiTheme="minorHAnsi" w:hAnsiTheme="minorHAnsi" w:cstheme="minorHAnsi"/>
          <w:sz w:val="24"/>
          <w:szCs w:val="24"/>
          <w:lang w:val="en-GB"/>
        </w:rPr>
        <w:t xml:space="preserve">countries from among the </w:t>
      </w:r>
      <w:r w:rsidRPr="007544E3">
        <w:rPr>
          <w:rFonts w:asciiTheme="minorHAnsi" w:hAnsiTheme="minorHAnsi" w:cstheme="minorHAnsi"/>
          <w:sz w:val="24"/>
          <w:szCs w:val="24"/>
          <w:lang w:val="en-GB"/>
        </w:rPr>
        <w:t xml:space="preserve">least developed countries (LDCs), small island developing </w:t>
      </w:r>
      <w:r w:rsidR="006E3967" w:rsidRPr="007544E3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7544E3">
        <w:rPr>
          <w:rFonts w:asciiTheme="minorHAnsi" w:hAnsiTheme="minorHAnsi" w:cstheme="minorHAnsi"/>
          <w:sz w:val="24"/>
          <w:szCs w:val="24"/>
          <w:lang w:val="en-GB"/>
        </w:rPr>
        <w:t>tates (SIDS), landlocked developing countries (LLDCs), countries with economies in transition and countries in special need.</w:t>
      </w:r>
    </w:p>
    <w:p w14:paraId="49FABDF1" w14:textId="245A201C" w:rsidR="00CC5124" w:rsidRDefault="00CC5124" w:rsidP="00CC5124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26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544E3">
        <w:rPr>
          <w:rFonts w:asciiTheme="minorHAnsi" w:hAnsiTheme="minorHAnsi" w:cstheme="minorHAnsi"/>
          <w:sz w:val="24"/>
          <w:szCs w:val="24"/>
          <w:lang w:val="en-GB"/>
        </w:rPr>
        <w:t>The project shall fall into one of the categories/themes adopted by the World Telecommunication Development Conference (WTDC) or any other themes deemed important by ICT-DF SC.</w:t>
      </w:r>
    </w:p>
    <w:p w14:paraId="0C4B9BC6" w14:textId="041FF1AD" w:rsidR="000A6502" w:rsidRPr="007544E3" w:rsidRDefault="002F0272" w:rsidP="00CC5124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26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</w:t>
      </w:r>
      <w:r w:rsidR="000A6502" w:rsidRPr="000A6502">
        <w:rPr>
          <w:rFonts w:asciiTheme="minorHAnsi" w:hAnsiTheme="minorHAnsi" w:cstheme="minorHAnsi"/>
          <w:sz w:val="24"/>
          <w:szCs w:val="24"/>
          <w:lang w:val="en-GB"/>
        </w:rPr>
        <w:t>he proposals shall be supported by partner contributions in-cash</w:t>
      </w:r>
      <w:r w:rsidR="00337059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3355B55F" w14:textId="306C3DCE" w:rsidR="00CC5124" w:rsidRDefault="00CC5124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bookmarkStart w:id="14" w:name="dnote"/>
      <w:bookmarkEnd w:id="14"/>
      <w:r w:rsidRPr="007544E3">
        <w:rPr>
          <w:rFonts w:asciiTheme="minorHAnsi" w:hAnsiTheme="minorHAnsi" w:cstheme="minorHAnsi"/>
          <w:szCs w:val="24"/>
        </w:rPr>
        <w:t>2.</w:t>
      </w:r>
      <w:r w:rsidR="00A16740" w:rsidRPr="007544E3">
        <w:rPr>
          <w:rFonts w:asciiTheme="minorHAnsi" w:hAnsiTheme="minorHAnsi" w:cstheme="minorHAnsi"/>
          <w:szCs w:val="24"/>
        </w:rPr>
        <w:t>3</w:t>
      </w:r>
      <w:r w:rsidRPr="007544E3">
        <w:rPr>
          <w:rFonts w:asciiTheme="minorHAnsi" w:hAnsiTheme="minorHAnsi" w:cstheme="minorHAnsi"/>
          <w:szCs w:val="24"/>
        </w:rPr>
        <w:tab/>
        <w:t xml:space="preserve">ICT-DF SC: a) reviews and approves </w:t>
      </w:r>
      <w:r w:rsidR="00E53D56" w:rsidRPr="007544E3">
        <w:rPr>
          <w:rFonts w:asciiTheme="minorHAnsi" w:hAnsiTheme="minorHAnsi" w:cstheme="minorHAnsi"/>
          <w:szCs w:val="24"/>
        </w:rPr>
        <w:t xml:space="preserve">ICT-DF </w:t>
      </w:r>
      <w:r w:rsidRPr="007544E3">
        <w:rPr>
          <w:rFonts w:asciiTheme="minorHAnsi" w:hAnsiTheme="minorHAnsi" w:cstheme="minorHAnsi"/>
          <w:szCs w:val="24"/>
        </w:rPr>
        <w:t>projects submitted; b) approves the amount of funding to be allocated</w:t>
      </w:r>
      <w:r w:rsidR="0050767B" w:rsidRPr="007544E3">
        <w:rPr>
          <w:rFonts w:asciiTheme="minorHAnsi" w:hAnsiTheme="minorHAnsi" w:cstheme="minorHAnsi"/>
          <w:szCs w:val="24"/>
        </w:rPr>
        <w:t xml:space="preserve"> to ICT-DF projects</w:t>
      </w:r>
      <w:r w:rsidRPr="007544E3">
        <w:rPr>
          <w:rFonts w:asciiTheme="minorHAnsi" w:hAnsiTheme="minorHAnsi" w:cstheme="minorHAnsi"/>
          <w:szCs w:val="24"/>
        </w:rPr>
        <w:t>; and c) monitors the implementation and budgetary performance of th</w:t>
      </w:r>
      <w:r w:rsidR="00B15DEF" w:rsidRPr="007544E3">
        <w:rPr>
          <w:rFonts w:asciiTheme="minorHAnsi" w:hAnsiTheme="minorHAnsi" w:cstheme="minorHAnsi"/>
          <w:szCs w:val="24"/>
        </w:rPr>
        <w:t xml:space="preserve">ese </w:t>
      </w:r>
      <w:r w:rsidR="0064711A" w:rsidRPr="007544E3">
        <w:rPr>
          <w:rFonts w:asciiTheme="minorHAnsi" w:hAnsiTheme="minorHAnsi" w:cstheme="minorHAnsi"/>
          <w:szCs w:val="24"/>
        </w:rPr>
        <w:t xml:space="preserve">ICT-DF </w:t>
      </w:r>
      <w:r w:rsidR="00B15DEF" w:rsidRPr="007544E3">
        <w:rPr>
          <w:rFonts w:asciiTheme="minorHAnsi" w:hAnsiTheme="minorHAnsi" w:cstheme="minorHAnsi"/>
          <w:szCs w:val="24"/>
        </w:rPr>
        <w:t>projects</w:t>
      </w:r>
      <w:r w:rsidRPr="007544E3">
        <w:rPr>
          <w:rFonts w:asciiTheme="minorHAnsi" w:hAnsiTheme="minorHAnsi" w:cstheme="minorHAnsi"/>
          <w:szCs w:val="24"/>
        </w:rPr>
        <w:t xml:space="preserve">. </w:t>
      </w:r>
    </w:p>
    <w:p w14:paraId="3099BD14" w14:textId="6CC9ADEC" w:rsidR="00896467" w:rsidRDefault="00896467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D34B75">
        <w:rPr>
          <w:rFonts w:asciiTheme="minorHAnsi" w:hAnsiTheme="minorHAnsi" w:cstheme="minorHAnsi"/>
          <w:szCs w:val="24"/>
        </w:rPr>
        <w:t>2.4</w:t>
      </w:r>
      <w:r w:rsidRPr="00D34B75">
        <w:rPr>
          <w:rFonts w:asciiTheme="minorHAnsi" w:hAnsiTheme="minorHAnsi" w:cstheme="minorHAnsi"/>
          <w:szCs w:val="24"/>
        </w:rPr>
        <w:tab/>
        <w:t xml:space="preserve">Following the approval </w:t>
      </w:r>
      <w:r w:rsidR="00775E23">
        <w:rPr>
          <w:rFonts w:asciiTheme="minorHAnsi" w:hAnsiTheme="minorHAnsi" w:cstheme="minorHAnsi"/>
          <w:szCs w:val="24"/>
        </w:rPr>
        <w:t>of</w:t>
      </w:r>
      <w:r w:rsidR="00D34B75" w:rsidRPr="00D34B75">
        <w:rPr>
          <w:rFonts w:asciiTheme="minorHAnsi" w:hAnsiTheme="minorHAnsi" w:cstheme="minorHAnsi"/>
          <w:szCs w:val="24"/>
        </w:rPr>
        <w:t xml:space="preserve"> Council-23 </w:t>
      </w:r>
      <w:r w:rsidRPr="00D34B75">
        <w:rPr>
          <w:rFonts w:asciiTheme="minorHAnsi" w:hAnsiTheme="minorHAnsi" w:cstheme="minorHAnsi"/>
          <w:szCs w:val="24"/>
        </w:rPr>
        <w:t>o</w:t>
      </w:r>
      <w:r w:rsidR="00775E23">
        <w:rPr>
          <w:rFonts w:asciiTheme="minorHAnsi" w:hAnsiTheme="minorHAnsi" w:cstheme="minorHAnsi"/>
          <w:szCs w:val="24"/>
        </w:rPr>
        <w:t>n</w:t>
      </w:r>
      <w:r w:rsidRPr="00D34B75">
        <w:rPr>
          <w:rFonts w:asciiTheme="minorHAnsi" w:hAnsiTheme="minorHAnsi" w:cstheme="minorHAnsi"/>
          <w:szCs w:val="24"/>
        </w:rPr>
        <w:t xml:space="preserve"> </w:t>
      </w:r>
      <w:hyperlink r:id="rId27" w:history="1">
        <w:r w:rsidRPr="00D34B75">
          <w:rPr>
            <w:rStyle w:val="Hyperlink"/>
            <w:rFonts w:asciiTheme="minorHAnsi" w:hAnsiTheme="minorHAnsi" w:cstheme="minorHAnsi"/>
            <w:szCs w:val="24"/>
          </w:rPr>
          <w:t xml:space="preserve">Resolution </w:t>
        </w:r>
        <w:r w:rsidR="00D34B75" w:rsidRPr="00D34B75">
          <w:rPr>
            <w:rStyle w:val="Hyperlink"/>
            <w:rFonts w:asciiTheme="minorHAnsi" w:hAnsiTheme="minorHAnsi" w:cstheme="minorHAnsi"/>
            <w:szCs w:val="24"/>
          </w:rPr>
          <w:t>1418</w:t>
        </w:r>
      </w:hyperlink>
      <w:r w:rsidRPr="00D34B75">
        <w:rPr>
          <w:rFonts w:asciiTheme="minorHAnsi" w:hAnsiTheme="minorHAnsi" w:cstheme="minorHAnsi"/>
          <w:szCs w:val="24"/>
        </w:rPr>
        <w:t xml:space="preserve"> to transfer CHF 3 </w:t>
      </w:r>
      <w:r w:rsidR="00ED4F34">
        <w:rPr>
          <w:rFonts w:asciiTheme="minorHAnsi" w:hAnsiTheme="minorHAnsi" w:cstheme="minorHAnsi"/>
          <w:szCs w:val="24"/>
        </w:rPr>
        <w:t>m</w:t>
      </w:r>
      <w:r w:rsidRPr="00D34B75">
        <w:rPr>
          <w:rFonts w:asciiTheme="minorHAnsi" w:hAnsiTheme="minorHAnsi" w:cstheme="minorHAnsi"/>
          <w:szCs w:val="24"/>
        </w:rPr>
        <w:t xml:space="preserve">illion </w:t>
      </w:r>
      <w:r w:rsidR="00D34B75" w:rsidRPr="00D34B75">
        <w:rPr>
          <w:rFonts w:asciiTheme="minorHAnsi" w:hAnsiTheme="minorHAnsi" w:cstheme="minorHAnsi"/>
          <w:szCs w:val="24"/>
        </w:rPr>
        <w:t xml:space="preserve">from the EWCF </w:t>
      </w:r>
      <w:r w:rsidRPr="00D34B75">
        <w:rPr>
          <w:rFonts w:asciiTheme="minorHAnsi" w:hAnsiTheme="minorHAnsi" w:cstheme="minorHAnsi"/>
          <w:szCs w:val="24"/>
        </w:rPr>
        <w:t>to the ICT-DF C</w:t>
      </w:r>
      <w:r w:rsidR="001673F1">
        <w:rPr>
          <w:rFonts w:asciiTheme="minorHAnsi" w:hAnsiTheme="minorHAnsi" w:cstheme="minorHAnsi"/>
          <w:szCs w:val="24"/>
        </w:rPr>
        <w:t>apital Account</w:t>
      </w:r>
      <w:r w:rsidRPr="00D34B75">
        <w:rPr>
          <w:rFonts w:asciiTheme="minorHAnsi" w:hAnsiTheme="minorHAnsi" w:cstheme="minorHAnsi"/>
          <w:szCs w:val="24"/>
        </w:rPr>
        <w:t xml:space="preserve"> to support the WTDC-22 Regional Initiatives</w:t>
      </w:r>
      <w:r w:rsidR="00894096">
        <w:rPr>
          <w:rFonts w:asciiTheme="minorHAnsi" w:hAnsiTheme="minorHAnsi" w:cstheme="minorHAnsi"/>
          <w:szCs w:val="24"/>
        </w:rPr>
        <w:t xml:space="preserve"> (RIs)</w:t>
      </w:r>
      <w:r w:rsidRPr="00D34B75">
        <w:rPr>
          <w:rFonts w:asciiTheme="minorHAnsi" w:hAnsiTheme="minorHAnsi" w:cstheme="minorHAnsi"/>
          <w:szCs w:val="24"/>
        </w:rPr>
        <w:t xml:space="preserve">, the ICT-DF SC agreed in principle to </w:t>
      </w:r>
      <w:r w:rsidR="002C6F2F">
        <w:rPr>
          <w:rFonts w:asciiTheme="minorHAnsi" w:hAnsiTheme="minorHAnsi" w:cstheme="minorHAnsi"/>
          <w:szCs w:val="24"/>
        </w:rPr>
        <w:t>consider for funding for</w:t>
      </w:r>
      <w:r w:rsidR="00894096">
        <w:rPr>
          <w:rFonts w:asciiTheme="minorHAnsi" w:hAnsiTheme="minorHAnsi" w:cstheme="minorHAnsi"/>
          <w:szCs w:val="24"/>
        </w:rPr>
        <w:t xml:space="preserve"> RI</w:t>
      </w:r>
      <w:r w:rsidR="00894096" w:rsidRPr="00D34B75">
        <w:rPr>
          <w:rFonts w:asciiTheme="minorHAnsi" w:hAnsiTheme="minorHAnsi" w:cstheme="minorHAnsi"/>
          <w:szCs w:val="24"/>
        </w:rPr>
        <w:t xml:space="preserve"> </w:t>
      </w:r>
      <w:r w:rsidR="002C6F2F">
        <w:rPr>
          <w:rFonts w:asciiTheme="minorHAnsi" w:hAnsiTheme="minorHAnsi" w:cstheme="minorHAnsi"/>
          <w:szCs w:val="24"/>
        </w:rPr>
        <w:t xml:space="preserve">project </w:t>
      </w:r>
      <w:r w:rsidR="00894096">
        <w:rPr>
          <w:rFonts w:asciiTheme="minorHAnsi" w:hAnsiTheme="minorHAnsi" w:cstheme="minorHAnsi"/>
          <w:szCs w:val="24"/>
        </w:rPr>
        <w:t xml:space="preserve">proposals </w:t>
      </w:r>
      <w:r w:rsidR="002C6F2F">
        <w:rPr>
          <w:rFonts w:asciiTheme="minorHAnsi" w:hAnsiTheme="minorHAnsi" w:cstheme="minorHAnsi"/>
          <w:szCs w:val="24"/>
        </w:rPr>
        <w:t xml:space="preserve">co-financed by partners at the ratio of 50:50 i.e. 50% contributed by an external partner and 50% allocated </w:t>
      </w:r>
      <w:r w:rsidR="008909C7">
        <w:rPr>
          <w:rFonts w:asciiTheme="minorHAnsi" w:hAnsiTheme="minorHAnsi" w:cstheme="minorHAnsi"/>
          <w:szCs w:val="24"/>
        </w:rPr>
        <w:t>from the</w:t>
      </w:r>
      <w:r w:rsidR="002C6F2F">
        <w:rPr>
          <w:rFonts w:asciiTheme="minorHAnsi" w:hAnsiTheme="minorHAnsi" w:cstheme="minorHAnsi"/>
          <w:szCs w:val="24"/>
        </w:rPr>
        <w:t xml:space="preserve"> ICT-DF.</w:t>
      </w:r>
    </w:p>
    <w:p w14:paraId="171920C7" w14:textId="77777777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7544E3">
        <w:rPr>
          <w:rFonts w:asciiTheme="minorHAnsi" w:hAnsiTheme="minorHAnsi" w:cstheme="minorHAnsi"/>
          <w:sz w:val="24"/>
          <w:szCs w:val="24"/>
        </w:rPr>
        <w:t>Progress of the ICT-DF</w:t>
      </w:r>
    </w:p>
    <w:p w14:paraId="3820384B" w14:textId="33B78566" w:rsidR="00845D02" w:rsidRPr="007544E3" w:rsidRDefault="00CC5124" w:rsidP="00845D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i/>
          <w:iCs/>
          <w:spacing w:val="-2"/>
          <w:szCs w:val="24"/>
        </w:rPr>
      </w:pPr>
      <w:r w:rsidRPr="007544E3">
        <w:rPr>
          <w:rFonts w:asciiTheme="minorHAnsi" w:hAnsiTheme="minorHAnsi" w:cstheme="minorHAnsi"/>
          <w:szCs w:val="24"/>
        </w:rPr>
        <w:t xml:space="preserve">An informative web </w:t>
      </w:r>
      <w:r w:rsidRPr="007544E3">
        <w:rPr>
          <w:rFonts w:asciiTheme="minorHAnsi" w:hAnsiTheme="minorHAnsi" w:cstheme="minorHAnsi"/>
          <w:spacing w:val="-2"/>
          <w:szCs w:val="24"/>
        </w:rPr>
        <w:t>page on the ICT-DF and other projects searchable by country, region, areas of action and project status (ongoing</w:t>
      </w:r>
      <w:r w:rsidR="008909C7">
        <w:rPr>
          <w:rFonts w:asciiTheme="minorHAnsi" w:hAnsiTheme="minorHAnsi" w:cstheme="minorHAnsi"/>
          <w:spacing w:val="-2"/>
          <w:szCs w:val="24"/>
        </w:rPr>
        <w:t>, closed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 and implemented)</w:t>
      </w:r>
      <w:r w:rsidR="008909C7">
        <w:rPr>
          <w:rFonts w:asciiTheme="minorHAnsi" w:hAnsiTheme="minorHAnsi" w:cstheme="minorHAnsi"/>
          <w:spacing w:val="-2"/>
          <w:szCs w:val="24"/>
        </w:rPr>
        <w:t>,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 is available at </w:t>
      </w:r>
      <w:hyperlink r:id="rId28" w:history="1">
        <w:r w:rsidR="004838B7" w:rsidRPr="007544E3">
          <w:rPr>
            <w:rStyle w:val="Hyperlink"/>
            <w:rFonts w:asciiTheme="minorHAnsi" w:hAnsiTheme="minorHAnsi" w:cstheme="minorHAnsi"/>
            <w:spacing w:val="-2"/>
            <w:szCs w:val="24"/>
          </w:rPr>
          <w:t>www.itu.int/en/ITU-D/Projects</w:t>
        </w:r>
      </w:hyperlink>
      <w:r w:rsidR="004838B7" w:rsidRPr="007544E3">
        <w:rPr>
          <w:rFonts w:asciiTheme="minorHAnsi" w:hAnsiTheme="minorHAnsi" w:cstheme="minorHAnsi"/>
          <w:spacing w:val="-2"/>
          <w:szCs w:val="24"/>
        </w:rPr>
        <w:t>.</w:t>
      </w:r>
    </w:p>
    <w:p w14:paraId="4D3EF3BE" w14:textId="444CF647" w:rsidR="001B65B3" w:rsidRDefault="00CC5124" w:rsidP="001B65B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3.1</w:t>
      </w:r>
      <w:r w:rsidRPr="007544E3">
        <w:rPr>
          <w:rFonts w:asciiTheme="minorHAnsi" w:hAnsiTheme="minorHAnsi" w:cstheme="minorHAnsi"/>
          <w:szCs w:val="24"/>
        </w:rPr>
        <w:tab/>
        <w:t>As of March 202</w:t>
      </w:r>
      <w:r w:rsidR="00FC6C7E">
        <w:rPr>
          <w:rFonts w:asciiTheme="minorHAnsi" w:hAnsiTheme="minorHAnsi" w:cstheme="minorHAnsi"/>
          <w:szCs w:val="24"/>
        </w:rPr>
        <w:t>4</w:t>
      </w:r>
      <w:r w:rsidRPr="007544E3">
        <w:rPr>
          <w:rFonts w:asciiTheme="minorHAnsi" w:hAnsiTheme="minorHAnsi" w:cstheme="minorHAnsi"/>
          <w:szCs w:val="24"/>
        </w:rPr>
        <w:t xml:space="preserve">, </w:t>
      </w:r>
      <w:r w:rsidR="007C4975" w:rsidRPr="007544E3">
        <w:rPr>
          <w:rFonts w:asciiTheme="minorHAnsi" w:hAnsiTheme="minorHAnsi" w:cstheme="minorHAnsi"/>
          <w:szCs w:val="24"/>
        </w:rPr>
        <w:t xml:space="preserve">there </w:t>
      </w:r>
      <w:r w:rsidR="007C4975" w:rsidRPr="00484257">
        <w:rPr>
          <w:rFonts w:asciiTheme="minorHAnsi" w:hAnsiTheme="minorHAnsi" w:cstheme="minorHAnsi"/>
          <w:szCs w:val="24"/>
        </w:rPr>
        <w:t xml:space="preserve">were </w:t>
      </w:r>
      <w:r w:rsidR="00D907B8" w:rsidRPr="00484257">
        <w:rPr>
          <w:rFonts w:asciiTheme="minorHAnsi" w:hAnsiTheme="minorHAnsi" w:cstheme="minorHAnsi"/>
          <w:szCs w:val="24"/>
        </w:rPr>
        <w:t>1</w:t>
      </w:r>
      <w:r w:rsidR="00D34B75" w:rsidRPr="00484257">
        <w:rPr>
          <w:rFonts w:asciiTheme="minorHAnsi" w:hAnsiTheme="minorHAnsi" w:cstheme="minorHAnsi"/>
          <w:szCs w:val="24"/>
        </w:rPr>
        <w:t>8</w:t>
      </w:r>
      <w:r w:rsidRPr="00484257">
        <w:rPr>
          <w:rFonts w:asciiTheme="minorHAnsi" w:hAnsiTheme="minorHAnsi" w:cstheme="minorHAnsi"/>
          <w:szCs w:val="24"/>
        </w:rPr>
        <w:t xml:space="preserve"> </w:t>
      </w:r>
      <w:r w:rsidR="004838B7" w:rsidRPr="00484257">
        <w:rPr>
          <w:rFonts w:asciiTheme="minorHAnsi" w:hAnsiTheme="minorHAnsi" w:cstheme="minorHAnsi"/>
          <w:szCs w:val="24"/>
        </w:rPr>
        <w:t xml:space="preserve">ongoing </w:t>
      </w:r>
      <w:r w:rsidR="007C4975" w:rsidRPr="00484257">
        <w:rPr>
          <w:rFonts w:asciiTheme="minorHAnsi" w:hAnsiTheme="minorHAnsi" w:cstheme="minorHAnsi"/>
          <w:szCs w:val="24"/>
        </w:rPr>
        <w:t>ICT-DF</w:t>
      </w:r>
      <w:r w:rsidR="000D1C37" w:rsidRPr="00484257">
        <w:rPr>
          <w:rFonts w:asciiTheme="minorHAnsi" w:hAnsiTheme="minorHAnsi" w:cstheme="minorHAnsi"/>
          <w:szCs w:val="24"/>
        </w:rPr>
        <w:t xml:space="preserve"> </w:t>
      </w:r>
      <w:r w:rsidRPr="00484257">
        <w:rPr>
          <w:rFonts w:asciiTheme="minorHAnsi" w:hAnsiTheme="minorHAnsi" w:cstheme="minorHAnsi"/>
          <w:szCs w:val="24"/>
        </w:rPr>
        <w:t>projects</w:t>
      </w:r>
      <w:r w:rsidR="007C4975" w:rsidRPr="00484257">
        <w:rPr>
          <w:rFonts w:asciiTheme="minorHAnsi" w:hAnsiTheme="minorHAnsi" w:cstheme="minorHAnsi"/>
          <w:szCs w:val="24"/>
        </w:rPr>
        <w:t xml:space="preserve"> </w:t>
      </w:r>
      <w:r w:rsidR="004838B7" w:rsidRPr="00484257">
        <w:rPr>
          <w:rFonts w:asciiTheme="minorHAnsi" w:hAnsiTheme="minorHAnsi" w:cstheme="minorHAnsi"/>
          <w:szCs w:val="24"/>
        </w:rPr>
        <w:t>(</w:t>
      </w:r>
      <w:r w:rsidR="00B15DEF" w:rsidRPr="00484257">
        <w:rPr>
          <w:rFonts w:asciiTheme="minorHAnsi" w:hAnsiTheme="minorHAnsi" w:cstheme="minorHAnsi"/>
          <w:szCs w:val="24"/>
        </w:rPr>
        <w:t>listed in</w:t>
      </w:r>
      <w:r w:rsidR="00427522" w:rsidRPr="00484257">
        <w:rPr>
          <w:rFonts w:asciiTheme="minorHAnsi" w:hAnsiTheme="minorHAnsi" w:cstheme="minorHAnsi"/>
          <w:szCs w:val="24"/>
        </w:rPr>
        <w:t xml:space="preserve"> </w:t>
      </w:r>
      <w:hyperlink w:anchor="Annex2" w:history="1">
        <w:r w:rsidRPr="00484257">
          <w:rPr>
            <w:rStyle w:val="Hyperlink"/>
            <w:rFonts w:asciiTheme="minorHAnsi" w:hAnsiTheme="minorHAnsi" w:cstheme="minorHAnsi"/>
            <w:szCs w:val="24"/>
          </w:rPr>
          <w:t>Annex</w:t>
        </w:r>
        <w:r w:rsidR="00966651" w:rsidRPr="00484257">
          <w:rPr>
            <w:rStyle w:val="Hyperlink"/>
            <w:szCs w:val="24"/>
          </w:rPr>
          <w:t> </w:t>
        </w:r>
      </w:hyperlink>
      <w:r w:rsidR="00B76AE4">
        <w:rPr>
          <w:rStyle w:val="Hyperlink"/>
          <w:rFonts w:asciiTheme="minorHAnsi" w:hAnsiTheme="minorHAnsi" w:cstheme="minorHAnsi"/>
          <w:szCs w:val="24"/>
        </w:rPr>
        <w:t>1</w:t>
      </w:r>
      <w:r w:rsidR="004838B7" w:rsidRPr="00484257">
        <w:rPr>
          <w:rFonts w:asciiTheme="minorHAnsi" w:hAnsiTheme="minorHAnsi" w:cstheme="minorHAnsi"/>
          <w:szCs w:val="24"/>
        </w:rPr>
        <w:t>)</w:t>
      </w:r>
      <w:r w:rsidR="00D81067" w:rsidRPr="00484257">
        <w:rPr>
          <w:rFonts w:asciiTheme="minorHAnsi" w:hAnsiTheme="minorHAnsi" w:cstheme="minorHAnsi"/>
          <w:szCs w:val="24"/>
        </w:rPr>
        <w:t>. Their</w:t>
      </w:r>
      <w:r w:rsidR="00D81067" w:rsidRPr="007544E3">
        <w:rPr>
          <w:rFonts w:asciiTheme="minorHAnsi" w:hAnsiTheme="minorHAnsi" w:cstheme="minorHAnsi"/>
          <w:szCs w:val="24"/>
        </w:rPr>
        <w:t xml:space="preserve"> distribution by </w:t>
      </w:r>
      <w:r w:rsidRPr="007544E3">
        <w:rPr>
          <w:rFonts w:asciiTheme="minorHAnsi" w:hAnsiTheme="minorHAnsi" w:cstheme="minorHAnsi"/>
          <w:szCs w:val="24"/>
        </w:rPr>
        <w:t>region</w:t>
      </w:r>
      <w:r w:rsidR="007217B1" w:rsidRPr="007544E3">
        <w:rPr>
          <w:rFonts w:asciiTheme="minorHAnsi" w:hAnsiTheme="minorHAnsi" w:cstheme="minorHAnsi"/>
          <w:szCs w:val="24"/>
        </w:rPr>
        <w:t xml:space="preserve"> </w:t>
      </w:r>
      <w:r w:rsidR="00D81067" w:rsidRPr="007544E3">
        <w:rPr>
          <w:rFonts w:asciiTheme="minorHAnsi" w:hAnsiTheme="minorHAnsi" w:cstheme="minorHAnsi"/>
          <w:szCs w:val="24"/>
        </w:rPr>
        <w:t xml:space="preserve">is shown </w:t>
      </w:r>
      <w:r w:rsidR="007217B1" w:rsidRPr="007544E3">
        <w:rPr>
          <w:rFonts w:asciiTheme="minorHAnsi" w:hAnsiTheme="minorHAnsi" w:cstheme="minorHAnsi"/>
          <w:szCs w:val="24"/>
        </w:rPr>
        <w:t xml:space="preserve">in </w:t>
      </w:r>
      <w:r w:rsidR="000417AB" w:rsidRPr="007544E3">
        <w:rPr>
          <w:rFonts w:asciiTheme="minorHAnsi" w:hAnsiTheme="minorHAnsi" w:cstheme="minorHAnsi"/>
          <w:szCs w:val="24"/>
        </w:rPr>
        <w:t>F</w:t>
      </w:r>
      <w:r w:rsidR="007217B1" w:rsidRPr="007544E3">
        <w:rPr>
          <w:rFonts w:asciiTheme="minorHAnsi" w:hAnsiTheme="minorHAnsi" w:cstheme="minorHAnsi"/>
          <w:szCs w:val="24"/>
        </w:rPr>
        <w:t>igure 1</w:t>
      </w:r>
      <w:r w:rsidRPr="007544E3">
        <w:rPr>
          <w:rFonts w:asciiTheme="minorHAnsi" w:hAnsiTheme="minorHAnsi" w:cstheme="minorHAnsi"/>
          <w:szCs w:val="24"/>
        </w:rPr>
        <w:t>.</w:t>
      </w:r>
    </w:p>
    <w:p w14:paraId="09924257" w14:textId="76085284" w:rsidR="007700D1" w:rsidRPr="007544E3" w:rsidRDefault="007700D1" w:rsidP="007700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center"/>
        <w:rPr>
          <w:rFonts w:asciiTheme="minorHAnsi" w:hAnsiTheme="minorHAnsi" w:cstheme="minorHAnsi"/>
          <w:szCs w:val="24"/>
        </w:rPr>
      </w:pPr>
    </w:p>
    <w:p w14:paraId="67736D76" w14:textId="49B0B224" w:rsidR="00CC5124" w:rsidRPr="007544E3" w:rsidRDefault="00A86185" w:rsidP="00DC6F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 w:after="120"/>
        <w:jc w:val="center"/>
        <w:rPr>
          <w:rFonts w:asciiTheme="minorHAnsi" w:hAnsiTheme="minorHAnsi" w:cs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1AAEEEEA" wp14:editId="4A82DC2B">
            <wp:extent cx="4140200" cy="1828800"/>
            <wp:effectExtent l="0" t="0" r="0" b="0"/>
            <wp:docPr id="12254464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EE85C2-0238-45AF-83AA-805552BB2E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CC5124" w:rsidRPr="007544E3">
        <w:rPr>
          <w:rFonts w:asciiTheme="minorHAnsi" w:hAnsiTheme="minorHAnsi" w:cstheme="minorHAnsi"/>
          <w:szCs w:val="24"/>
        </w:rPr>
        <w:t xml:space="preserve"> </w:t>
      </w:r>
    </w:p>
    <w:p w14:paraId="42FE9D9D" w14:textId="5C61EF72" w:rsidR="00CC5124" w:rsidRDefault="00CC5124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3.</w:t>
      </w:r>
      <w:r w:rsidR="00AB0FA7" w:rsidRPr="007544E3">
        <w:rPr>
          <w:rFonts w:asciiTheme="minorHAnsi" w:hAnsiTheme="minorHAnsi" w:cstheme="minorHAnsi"/>
          <w:szCs w:val="24"/>
        </w:rPr>
        <w:t>2</w:t>
      </w:r>
      <w:r w:rsidRPr="007544E3">
        <w:rPr>
          <w:rFonts w:asciiTheme="minorHAnsi" w:hAnsiTheme="minorHAnsi" w:cstheme="minorHAnsi"/>
          <w:szCs w:val="24"/>
        </w:rPr>
        <w:tab/>
        <w:t xml:space="preserve">Since </w:t>
      </w:r>
      <w:r w:rsidR="00251D08" w:rsidRPr="007544E3">
        <w:rPr>
          <w:rFonts w:asciiTheme="minorHAnsi" w:hAnsiTheme="minorHAnsi" w:cstheme="minorHAnsi"/>
          <w:szCs w:val="24"/>
        </w:rPr>
        <w:t>2012</w:t>
      </w:r>
      <w:r w:rsidR="00EA77A1" w:rsidRPr="007544E3">
        <w:rPr>
          <w:rFonts w:asciiTheme="minorHAnsi" w:hAnsiTheme="minorHAnsi" w:cstheme="minorHAnsi"/>
          <w:szCs w:val="24"/>
        </w:rPr>
        <w:t>,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AB0FA7" w:rsidRPr="007544E3">
        <w:rPr>
          <w:rFonts w:asciiTheme="minorHAnsi" w:hAnsiTheme="minorHAnsi" w:cstheme="minorHAnsi"/>
          <w:szCs w:val="24"/>
        </w:rPr>
        <w:t xml:space="preserve">a total of </w:t>
      </w:r>
      <w:r w:rsidR="005850BB">
        <w:rPr>
          <w:rFonts w:asciiTheme="minorHAnsi" w:hAnsiTheme="minorHAnsi" w:cstheme="minorHAnsi"/>
          <w:szCs w:val="24"/>
        </w:rPr>
        <w:t>34</w:t>
      </w:r>
      <w:r w:rsidR="005860F3">
        <w:rPr>
          <w:rFonts w:asciiTheme="minorHAnsi" w:hAnsiTheme="minorHAnsi" w:cstheme="minorHAnsi"/>
          <w:szCs w:val="24"/>
        </w:rPr>
        <w:t xml:space="preserve"> </w:t>
      </w:r>
      <w:r w:rsidRPr="007544E3">
        <w:rPr>
          <w:rFonts w:asciiTheme="minorHAnsi" w:hAnsiTheme="minorHAnsi" w:cstheme="minorHAnsi"/>
          <w:szCs w:val="24"/>
        </w:rPr>
        <w:t xml:space="preserve">projects </w:t>
      </w:r>
      <w:r w:rsidR="00700961" w:rsidRPr="007544E3">
        <w:rPr>
          <w:rFonts w:asciiTheme="minorHAnsi" w:hAnsiTheme="minorHAnsi" w:cstheme="minorHAnsi"/>
          <w:szCs w:val="24"/>
        </w:rPr>
        <w:t>received fund</w:t>
      </w:r>
      <w:r w:rsidR="001B2365" w:rsidRPr="007544E3">
        <w:rPr>
          <w:rFonts w:asciiTheme="minorHAnsi" w:hAnsiTheme="minorHAnsi" w:cstheme="minorHAnsi"/>
          <w:szCs w:val="24"/>
        </w:rPr>
        <w:t>ing</w:t>
      </w:r>
      <w:r w:rsidR="00700961" w:rsidRPr="007544E3">
        <w:rPr>
          <w:rFonts w:asciiTheme="minorHAnsi" w:hAnsiTheme="minorHAnsi" w:cstheme="minorHAnsi"/>
          <w:szCs w:val="24"/>
        </w:rPr>
        <w:t xml:space="preserve"> from</w:t>
      </w:r>
      <w:r w:rsidR="00AB0FA7" w:rsidRPr="007544E3">
        <w:rPr>
          <w:rFonts w:asciiTheme="minorHAnsi" w:hAnsiTheme="minorHAnsi" w:cstheme="minorHAnsi"/>
          <w:szCs w:val="24"/>
        </w:rPr>
        <w:t xml:space="preserve"> </w:t>
      </w:r>
      <w:r w:rsidR="00F52905" w:rsidRPr="007544E3">
        <w:rPr>
          <w:rFonts w:asciiTheme="minorHAnsi" w:hAnsiTheme="minorHAnsi" w:cstheme="minorHAnsi"/>
          <w:szCs w:val="24"/>
        </w:rPr>
        <w:t xml:space="preserve">the </w:t>
      </w:r>
      <w:r w:rsidR="00AB0FA7" w:rsidRPr="007544E3">
        <w:rPr>
          <w:rFonts w:asciiTheme="minorHAnsi" w:hAnsiTheme="minorHAnsi" w:cstheme="minorHAnsi"/>
          <w:szCs w:val="24"/>
        </w:rPr>
        <w:t>ICT-DF</w:t>
      </w:r>
      <w:r w:rsidRPr="007544E3">
        <w:rPr>
          <w:rFonts w:asciiTheme="minorHAnsi" w:hAnsiTheme="minorHAnsi" w:cstheme="minorHAnsi"/>
          <w:szCs w:val="24"/>
        </w:rPr>
        <w:t xml:space="preserve">. </w:t>
      </w:r>
      <w:r w:rsidR="00AB0FA7" w:rsidRPr="007544E3">
        <w:rPr>
          <w:rFonts w:asciiTheme="minorHAnsi" w:hAnsiTheme="minorHAnsi" w:cstheme="minorHAnsi"/>
          <w:szCs w:val="24"/>
        </w:rPr>
        <w:t>Figure 2.1 presents the status of these projects, while Figure 2.2 presents the funding</w:t>
      </w:r>
      <w:r w:rsidR="00700961" w:rsidRPr="007544E3">
        <w:rPr>
          <w:rFonts w:asciiTheme="minorHAnsi" w:hAnsiTheme="minorHAnsi" w:cstheme="minorHAnsi"/>
          <w:szCs w:val="24"/>
        </w:rPr>
        <w:t xml:space="preserve"> arrangements. </w:t>
      </w:r>
      <w:r w:rsidR="004875D0" w:rsidRPr="007544E3">
        <w:rPr>
          <w:rFonts w:asciiTheme="minorHAnsi" w:hAnsiTheme="minorHAnsi" w:cstheme="minorHAnsi"/>
          <w:szCs w:val="24"/>
        </w:rPr>
        <w:t xml:space="preserve">Figure 2.3 </w:t>
      </w:r>
      <w:r w:rsidR="00C02F08" w:rsidRPr="007544E3">
        <w:rPr>
          <w:rFonts w:asciiTheme="minorHAnsi" w:hAnsiTheme="minorHAnsi" w:cstheme="minorHAnsi"/>
          <w:szCs w:val="24"/>
        </w:rPr>
        <w:t>show</w:t>
      </w:r>
      <w:r w:rsidR="004875D0" w:rsidRPr="007544E3">
        <w:rPr>
          <w:rFonts w:asciiTheme="minorHAnsi" w:hAnsiTheme="minorHAnsi" w:cstheme="minorHAnsi"/>
          <w:szCs w:val="24"/>
        </w:rPr>
        <w:t xml:space="preserve">s the distribution of project </w:t>
      </w:r>
      <w:r w:rsidR="00821FE3" w:rsidRPr="007544E3">
        <w:rPr>
          <w:rFonts w:asciiTheme="minorHAnsi" w:hAnsiTheme="minorHAnsi" w:cstheme="minorHAnsi"/>
          <w:szCs w:val="24"/>
        </w:rPr>
        <w:t xml:space="preserve">funding </w:t>
      </w:r>
      <w:r w:rsidR="004875D0" w:rsidRPr="007544E3">
        <w:rPr>
          <w:rFonts w:asciiTheme="minorHAnsi" w:hAnsiTheme="minorHAnsi" w:cstheme="minorHAnsi"/>
          <w:szCs w:val="24"/>
        </w:rPr>
        <w:t xml:space="preserve">by region. </w:t>
      </w:r>
      <w:r w:rsidR="00AB0FA7" w:rsidRPr="007544E3">
        <w:rPr>
          <w:rFonts w:asciiTheme="minorHAnsi" w:hAnsiTheme="minorHAnsi" w:cstheme="minorHAnsi"/>
          <w:szCs w:val="24"/>
        </w:rPr>
        <w:t xml:space="preserve">These figures </w:t>
      </w:r>
      <w:r w:rsidR="00700961" w:rsidRPr="007544E3">
        <w:rPr>
          <w:rFonts w:asciiTheme="minorHAnsi" w:hAnsiTheme="minorHAnsi" w:cstheme="minorHAnsi"/>
          <w:szCs w:val="24"/>
        </w:rPr>
        <w:t>demonstrate</w:t>
      </w:r>
      <w:r w:rsidR="00AB0FA7" w:rsidRPr="007544E3">
        <w:rPr>
          <w:rFonts w:asciiTheme="minorHAnsi" w:hAnsiTheme="minorHAnsi" w:cstheme="minorHAnsi"/>
          <w:szCs w:val="24"/>
        </w:rPr>
        <w:t xml:space="preserve"> </w:t>
      </w:r>
      <w:r w:rsidR="00076EF4" w:rsidRPr="007544E3">
        <w:rPr>
          <w:rFonts w:asciiTheme="minorHAnsi" w:hAnsiTheme="minorHAnsi" w:cstheme="minorHAnsi"/>
          <w:szCs w:val="24"/>
        </w:rPr>
        <w:t>the importance of</w:t>
      </w:r>
      <w:r w:rsidR="00AB0FA7" w:rsidRPr="007544E3">
        <w:rPr>
          <w:rFonts w:asciiTheme="minorHAnsi" w:hAnsiTheme="minorHAnsi" w:cstheme="minorHAnsi"/>
          <w:szCs w:val="24"/>
        </w:rPr>
        <w:t xml:space="preserve"> </w:t>
      </w:r>
      <w:r w:rsidR="00F52905" w:rsidRPr="007544E3">
        <w:rPr>
          <w:rFonts w:asciiTheme="minorHAnsi" w:hAnsiTheme="minorHAnsi" w:cstheme="minorHAnsi"/>
          <w:szCs w:val="24"/>
        </w:rPr>
        <w:t xml:space="preserve">the </w:t>
      </w:r>
      <w:r w:rsidR="00AB0FA7" w:rsidRPr="007544E3">
        <w:rPr>
          <w:rFonts w:asciiTheme="minorHAnsi" w:hAnsiTheme="minorHAnsi" w:cstheme="minorHAnsi"/>
          <w:szCs w:val="24"/>
        </w:rPr>
        <w:t xml:space="preserve">ICT-DF as a key instrument to </w:t>
      </w:r>
      <w:r w:rsidR="00F56D5E" w:rsidRPr="007544E3">
        <w:rPr>
          <w:rFonts w:asciiTheme="minorHAnsi" w:hAnsiTheme="minorHAnsi" w:cstheme="minorHAnsi"/>
          <w:szCs w:val="24"/>
        </w:rPr>
        <w:t xml:space="preserve">support </w:t>
      </w:r>
      <w:r w:rsidR="00AB0FA7" w:rsidRPr="007544E3">
        <w:rPr>
          <w:rFonts w:asciiTheme="minorHAnsi" w:hAnsiTheme="minorHAnsi" w:cstheme="minorHAnsi"/>
          <w:szCs w:val="24"/>
        </w:rPr>
        <w:t xml:space="preserve">ITU’s efforts </w:t>
      </w:r>
      <w:r w:rsidR="00076EF4" w:rsidRPr="007544E3">
        <w:rPr>
          <w:rFonts w:asciiTheme="minorHAnsi" w:hAnsiTheme="minorHAnsi" w:cstheme="minorHAnsi"/>
          <w:szCs w:val="24"/>
        </w:rPr>
        <w:t>in</w:t>
      </w:r>
      <w:r w:rsidR="00AB0FA7" w:rsidRPr="007544E3">
        <w:rPr>
          <w:rFonts w:asciiTheme="minorHAnsi" w:hAnsiTheme="minorHAnsi" w:cstheme="minorHAnsi"/>
          <w:szCs w:val="24"/>
        </w:rPr>
        <w:t xml:space="preserve"> rais</w:t>
      </w:r>
      <w:r w:rsidR="00076EF4" w:rsidRPr="007544E3">
        <w:rPr>
          <w:rFonts w:asciiTheme="minorHAnsi" w:hAnsiTheme="minorHAnsi" w:cstheme="minorHAnsi"/>
          <w:szCs w:val="24"/>
        </w:rPr>
        <w:t>ing</w:t>
      </w:r>
      <w:r w:rsidR="00845D02" w:rsidRPr="007544E3">
        <w:rPr>
          <w:rFonts w:asciiTheme="minorHAnsi" w:hAnsiTheme="minorHAnsi" w:cstheme="minorHAnsi"/>
          <w:szCs w:val="24"/>
        </w:rPr>
        <w:t xml:space="preserve"> </w:t>
      </w:r>
      <w:r w:rsidR="0064711A" w:rsidRPr="007544E3">
        <w:rPr>
          <w:rFonts w:asciiTheme="minorHAnsi" w:hAnsiTheme="minorHAnsi" w:cstheme="minorHAnsi"/>
          <w:szCs w:val="24"/>
        </w:rPr>
        <w:t xml:space="preserve">project </w:t>
      </w:r>
      <w:r w:rsidR="00AB0FA7" w:rsidRPr="007544E3">
        <w:rPr>
          <w:rFonts w:asciiTheme="minorHAnsi" w:hAnsiTheme="minorHAnsi" w:cstheme="minorHAnsi"/>
          <w:szCs w:val="24"/>
        </w:rPr>
        <w:t>funds</w:t>
      </w:r>
      <w:r w:rsidR="00700961" w:rsidRPr="007544E3">
        <w:rPr>
          <w:rFonts w:asciiTheme="minorHAnsi" w:hAnsiTheme="minorHAnsi" w:cstheme="minorHAnsi"/>
          <w:szCs w:val="24"/>
        </w:rPr>
        <w:t>.</w:t>
      </w:r>
      <w:r w:rsidR="00ED611E" w:rsidRPr="007544E3">
        <w:rPr>
          <w:rFonts w:asciiTheme="minorHAnsi" w:hAnsiTheme="minorHAnsi" w:cstheme="minorHAnsi"/>
          <w:szCs w:val="24"/>
        </w:rPr>
        <w:t xml:space="preserve"> </w:t>
      </w:r>
      <w:r w:rsidR="00C751F1" w:rsidRPr="007544E3">
        <w:rPr>
          <w:rFonts w:asciiTheme="minorHAnsi" w:hAnsiTheme="minorHAnsi" w:cstheme="minorHAnsi"/>
          <w:szCs w:val="24"/>
        </w:rPr>
        <w:t>E</w:t>
      </w:r>
      <w:r w:rsidR="00ED611E" w:rsidRPr="007544E3">
        <w:t xml:space="preserve">xternal cash contributions are also </w:t>
      </w:r>
      <w:r w:rsidR="00C751F1" w:rsidRPr="007544E3">
        <w:t xml:space="preserve">determined by </w:t>
      </w:r>
      <w:r w:rsidR="00ED611E" w:rsidRPr="007544E3">
        <w:t>funding partners’ priorit</w:t>
      </w:r>
      <w:r w:rsidR="00C751F1" w:rsidRPr="007544E3">
        <w:t>ies</w:t>
      </w:r>
      <w:r w:rsidR="00F56D5E" w:rsidRPr="007544E3">
        <w:t>,</w:t>
      </w:r>
      <w:r w:rsidR="00ED611E" w:rsidRPr="007544E3">
        <w:t xml:space="preserve"> and allocations from the ICT-DF have been determined </w:t>
      </w:r>
      <w:r w:rsidR="008B40E0" w:rsidRPr="007544E3">
        <w:t xml:space="preserve">in line with </w:t>
      </w:r>
      <w:r w:rsidR="00ED611E" w:rsidRPr="007544E3">
        <w:t xml:space="preserve">external funds </w:t>
      </w:r>
      <w:r w:rsidR="008B40E0" w:rsidRPr="007544E3">
        <w:t xml:space="preserve">made available </w:t>
      </w:r>
      <w:r w:rsidR="00ED611E" w:rsidRPr="007544E3">
        <w:t xml:space="preserve">to co-finance </w:t>
      </w:r>
      <w:r w:rsidR="008B40E0" w:rsidRPr="007544E3">
        <w:t xml:space="preserve">the </w:t>
      </w:r>
      <w:r w:rsidR="00ED611E" w:rsidRPr="007544E3">
        <w:t>projects.</w:t>
      </w:r>
      <w:r w:rsidR="00ED611E" w:rsidRPr="007544E3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9287" w:type="dxa"/>
        <w:tblInd w:w="-5" w:type="dxa"/>
        <w:tblLook w:val="04A0" w:firstRow="1" w:lastRow="0" w:firstColumn="1" w:lastColumn="0" w:noHBand="0" w:noVBand="1"/>
      </w:tblPr>
      <w:tblGrid>
        <w:gridCol w:w="4546"/>
        <w:gridCol w:w="4896"/>
      </w:tblGrid>
      <w:tr w:rsidR="004A1851" w14:paraId="3CDAF6E2" w14:textId="77777777" w:rsidTr="004A1851"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6A66C6BD" w14:textId="0B437948" w:rsidR="0040051E" w:rsidRDefault="004A1851" w:rsidP="00CC51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90752E" wp14:editId="1E8F262A">
                  <wp:extent cx="2749550" cy="1797050"/>
                  <wp:effectExtent l="0" t="0" r="0" b="0"/>
                  <wp:docPr id="13914113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C0B26-18B9-A41A-FA1D-CA0366385C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14:paraId="03E32A50" w14:textId="5E223E4C" w:rsidR="0040051E" w:rsidRDefault="004A1851" w:rsidP="00CC51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BCCBEA" wp14:editId="2A1CC97C">
                  <wp:extent cx="2965450" cy="1809750"/>
                  <wp:effectExtent l="0" t="0" r="6350" b="0"/>
                  <wp:docPr id="165388572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2477EA-966B-D64F-FB8B-463BABBA3D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4A1851" w14:paraId="32F7F40F" w14:textId="77777777" w:rsidTr="0040051E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6DAE2" w14:textId="4860BD13" w:rsidR="0040051E" w:rsidRDefault="0040051E" w:rsidP="004842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4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C56121" w14:textId="5E58E23A" w:rsidR="00CC5124" w:rsidRDefault="009A2495" w:rsidP="009A24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center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12EBBD30" wp14:editId="05EA0291">
            <wp:extent cx="4959350" cy="2368550"/>
            <wp:effectExtent l="0" t="0" r="0" b="0"/>
            <wp:docPr id="12465497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06B08AD-137E-4BF0-8F78-84A5709775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BA79429" w14:textId="68558968" w:rsidR="004C47C3" w:rsidRDefault="004C47C3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3.</w:t>
      </w:r>
      <w:r w:rsidR="00894096">
        <w:rPr>
          <w:rFonts w:asciiTheme="minorHAnsi" w:hAnsiTheme="minorHAnsi" w:cstheme="minorHAnsi"/>
          <w:szCs w:val="24"/>
        </w:rPr>
        <w:t>3</w:t>
      </w:r>
      <w:r w:rsidR="00706911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In 2023, </w:t>
      </w:r>
      <w:r w:rsidR="005850BB">
        <w:rPr>
          <w:rFonts w:asciiTheme="minorHAnsi" w:hAnsiTheme="minorHAnsi" w:cstheme="minorHAnsi"/>
          <w:szCs w:val="24"/>
        </w:rPr>
        <w:t>eleven (</w:t>
      </w:r>
      <w:r>
        <w:rPr>
          <w:rFonts w:asciiTheme="minorHAnsi" w:hAnsiTheme="minorHAnsi" w:cstheme="minorHAnsi"/>
          <w:szCs w:val="24"/>
        </w:rPr>
        <w:t>11</w:t>
      </w:r>
      <w:r w:rsidR="005850BB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new projects were approved for funding allocation from the ICT-DF</w:t>
      </w:r>
      <w:r w:rsidR="005850BB">
        <w:rPr>
          <w:rFonts w:asciiTheme="minorHAnsi" w:hAnsiTheme="minorHAnsi" w:cstheme="minorHAnsi"/>
          <w:szCs w:val="24"/>
        </w:rPr>
        <w:t xml:space="preserve">. Eight (8) of these projects have been signed as reflected in </w:t>
      </w:r>
      <w:hyperlink w:anchor="Annex2" w:history="1">
        <w:r w:rsidR="00BE0355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Annex </w:t>
        </w:r>
      </w:hyperlink>
      <w:r w:rsidR="00B76AE4">
        <w:rPr>
          <w:rStyle w:val="Hyperlink"/>
          <w:rFonts w:asciiTheme="minorHAnsi" w:hAnsiTheme="minorHAnsi" w:cstheme="minorHAnsi"/>
          <w:kern w:val="24"/>
          <w:szCs w:val="24"/>
        </w:rPr>
        <w:t>1</w:t>
      </w:r>
      <w:r w:rsidR="005850BB">
        <w:rPr>
          <w:rFonts w:asciiTheme="minorHAnsi" w:hAnsiTheme="minorHAnsi" w:cstheme="minorHAnsi"/>
          <w:szCs w:val="24"/>
        </w:rPr>
        <w:t xml:space="preserve">. The remaining </w:t>
      </w:r>
      <w:r w:rsidR="00786C3C">
        <w:rPr>
          <w:rFonts w:asciiTheme="minorHAnsi" w:hAnsiTheme="minorHAnsi" w:cstheme="minorHAnsi"/>
          <w:szCs w:val="24"/>
        </w:rPr>
        <w:t>three (3)</w:t>
      </w:r>
      <w:r w:rsidR="005850BB">
        <w:rPr>
          <w:rFonts w:asciiTheme="minorHAnsi" w:hAnsiTheme="minorHAnsi" w:cstheme="minorHAnsi"/>
          <w:szCs w:val="24"/>
        </w:rPr>
        <w:t xml:space="preserve"> projects are expected to be signed in the coming </w:t>
      </w:r>
      <w:r w:rsidR="005850BB" w:rsidRPr="00BE3169">
        <w:rPr>
          <w:rFonts w:asciiTheme="minorHAnsi" w:hAnsiTheme="minorHAnsi" w:cstheme="minorHAnsi"/>
          <w:szCs w:val="24"/>
        </w:rPr>
        <w:t>months</w:t>
      </w:r>
      <w:r w:rsidR="008E4AA5">
        <w:rPr>
          <w:rFonts w:asciiTheme="minorHAnsi" w:hAnsiTheme="minorHAnsi" w:cstheme="minorHAnsi"/>
          <w:szCs w:val="24"/>
        </w:rPr>
        <w:t>.</w:t>
      </w:r>
    </w:p>
    <w:p w14:paraId="488ADCBE" w14:textId="5778C01B" w:rsidR="00894096" w:rsidRDefault="00894096" w:rsidP="130B13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Bidi"/>
        </w:rPr>
      </w:pPr>
      <w:r w:rsidRPr="130B13DC">
        <w:rPr>
          <w:rFonts w:asciiTheme="minorHAnsi" w:hAnsiTheme="minorHAnsi" w:cstheme="minorBidi"/>
          <w:spacing w:val="4"/>
        </w:rPr>
        <w:t>3.4</w:t>
      </w:r>
      <w:r>
        <w:rPr>
          <w:rFonts w:asciiTheme="minorHAnsi" w:hAnsiTheme="minorHAnsi" w:cstheme="minorHAnsi"/>
          <w:spacing w:val="4"/>
          <w:szCs w:val="24"/>
        </w:rPr>
        <w:tab/>
      </w:r>
      <w:r w:rsidRPr="130B13DC">
        <w:rPr>
          <w:rFonts w:asciiTheme="minorHAnsi" w:hAnsiTheme="minorHAnsi" w:cstheme="minorBidi"/>
          <w:spacing w:val="4"/>
        </w:rPr>
        <w:t>BDT will continue monitoring the ongoing ICT-DF projects for effective implementation.</w:t>
      </w:r>
      <w:r w:rsidRPr="130B13DC">
        <w:rPr>
          <w:rFonts w:asciiTheme="minorHAnsi" w:hAnsiTheme="minorHAnsi" w:cstheme="minorBidi"/>
        </w:rPr>
        <w:t xml:space="preserve"> ICT-DF SC will continue to review project proposals and support selected projects in the various areas of action with special attention to the </w:t>
      </w:r>
      <w:r w:rsidR="007D593C" w:rsidRPr="130B13DC">
        <w:rPr>
          <w:rFonts w:asciiTheme="minorHAnsi" w:hAnsiTheme="minorHAnsi" w:cstheme="minorBidi"/>
        </w:rPr>
        <w:t>WTDC-22 RIs</w:t>
      </w:r>
      <w:r w:rsidRPr="130B13DC">
        <w:rPr>
          <w:rFonts w:asciiTheme="minorHAnsi" w:hAnsiTheme="minorHAnsi" w:cstheme="minorBidi"/>
        </w:rPr>
        <w:t>, within the limit of the ICT-DF Capital Account.</w:t>
      </w:r>
    </w:p>
    <w:p w14:paraId="62FAF3A7" w14:textId="560D2088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bookmarkStart w:id="15" w:name="_Hlk160707433"/>
      <w:bookmarkStart w:id="16" w:name="_Hlk129943685"/>
      <w:bookmarkStart w:id="17" w:name="_Hlk160706504"/>
      <w:r w:rsidRPr="007544E3">
        <w:rPr>
          <w:rFonts w:asciiTheme="minorHAnsi" w:hAnsiTheme="minorHAnsi" w:cstheme="minorHAnsi"/>
          <w:bCs/>
          <w:sz w:val="24"/>
          <w:szCs w:val="24"/>
        </w:rPr>
        <w:t>Evolution of the ICT-DF Capital Account</w:t>
      </w:r>
    </w:p>
    <w:p w14:paraId="6E169EB4" w14:textId="5D5DA16E" w:rsidR="004665F6" w:rsidRDefault="00CC5124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eastAsia="Calibri" w:cs="Calibri"/>
          <w:sz w:val="22"/>
          <w:szCs w:val="22"/>
        </w:rPr>
      </w:pPr>
      <w:r w:rsidRPr="130B13DC">
        <w:rPr>
          <w:rFonts w:asciiTheme="minorHAnsi" w:hAnsiTheme="minorHAnsi" w:cstheme="minorBidi"/>
        </w:rPr>
        <w:t>4.1</w:t>
      </w:r>
      <w:r>
        <w:tab/>
      </w:r>
      <w:r w:rsidR="00AB2D97" w:rsidRPr="004665F6">
        <w:rPr>
          <w:szCs w:val="24"/>
        </w:rPr>
        <w:t>I</w:t>
      </w:r>
      <w:r w:rsidR="00220891" w:rsidRPr="004665F6">
        <w:rPr>
          <w:szCs w:val="24"/>
        </w:rPr>
        <w:t xml:space="preserve">nterest income of </w:t>
      </w:r>
      <w:r w:rsidR="002A27DC" w:rsidRPr="004665F6">
        <w:rPr>
          <w:szCs w:val="24"/>
        </w:rPr>
        <w:t xml:space="preserve">the </w:t>
      </w:r>
      <w:r w:rsidR="00220891" w:rsidRPr="004665F6">
        <w:rPr>
          <w:szCs w:val="24"/>
        </w:rPr>
        <w:t>ICT-DF Capital Account by year-end 202</w:t>
      </w:r>
      <w:r w:rsidR="00410E26" w:rsidRPr="004665F6">
        <w:rPr>
          <w:szCs w:val="24"/>
        </w:rPr>
        <w:t>3</w:t>
      </w:r>
      <w:r w:rsidR="00220891" w:rsidRPr="004665F6">
        <w:rPr>
          <w:szCs w:val="24"/>
        </w:rPr>
        <w:t xml:space="preserve"> and interest in projects </w:t>
      </w:r>
      <w:r w:rsidR="00AB2D97" w:rsidRPr="004665F6">
        <w:rPr>
          <w:szCs w:val="24"/>
        </w:rPr>
        <w:t xml:space="preserve">totalled </w:t>
      </w:r>
      <w:r w:rsidR="5F167305" w:rsidRPr="00B76AE4">
        <w:rPr>
          <w:rFonts w:eastAsia="Calibri" w:cs="Calibri"/>
          <w:szCs w:val="24"/>
        </w:rPr>
        <w:t>CHF</w:t>
      </w:r>
      <w:r w:rsidR="00B76AE4">
        <w:rPr>
          <w:rFonts w:eastAsia="Calibri" w:cs="Calibri"/>
          <w:szCs w:val="24"/>
        </w:rPr>
        <w:t> </w:t>
      </w:r>
      <w:r w:rsidR="5F167305" w:rsidRPr="00B76AE4">
        <w:rPr>
          <w:rFonts w:eastAsia="Calibri" w:cs="Calibri"/>
          <w:szCs w:val="24"/>
        </w:rPr>
        <w:t>40</w:t>
      </w:r>
      <w:r w:rsidR="00B76AE4">
        <w:rPr>
          <w:rFonts w:eastAsia="Calibri" w:cs="Calibri"/>
          <w:szCs w:val="24"/>
        </w:rPr>
        <w:t> </w:t>
      </w:r>
      <w:r w:rsidR="5F167305" w:rsidRPr="00B76AE4">
        <w:rPr>
          <w:rFonts w:eastAsia="Calibri" w:cs="Calibri"/>
          <w:szCs w:val="24"/>
        </w:rPr>
        <w:t>677.91</w:t>
      </w:r>
      <w:r w:rsidR="004665F6">
        <w:rPr>
          <w:rFonts w:eastAsia="Calibri" w:cs="Calibri"/>
          <w:szCs w:val="24"/>
        </w:rPr>
        <w:t>.</w:t>
      </w:r>
    </w:p>
    <w:p w14:paraId="2BA2483A" w14:textId="1250F583" w:rsidR="00962B86" w:rsidRDefault="00CC5124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130B13DC">
        <w:rPr>
          <w:rFonts w:asciiTheme="minorHAnsi" w:hAnsiTheme="minorHAnsi" w:cstheme="minorBidi"/>
        </w:rPr>
        <w:t>4.2</w:t>
      </w:r>
      <w:r>
        <w:tab/>
      </w:r>
      <w:r w:rsidRPr="00586974">
        <w:rPr>
          <w:rFonts w:asciiTheme="minorHAnsi" w:hAnsiTheme="minorHAnsi" w:cstheme="minorBidi"/>
          <w:szCs w:val="24"/>
        </w:rPr>
        <w:t>As of March 202</w:t>
      </w:r>
      <w:r w:rsidR="00D34B75" w:rsidRPr="00586974">
        <w:rPr>
          <w:rFonts w:asciiTheme="minorHAnsi" w:hAnsiTheme="minorHAnsi" w:cstheme="minorBidi"/>
          <w:szCs w:val="24"/>
        </w:rPr>
        <w:t>4</w:t>
      </w:r>
      <w:r w:rsidRPr="00586974">
        <w:rPr>
          <w:rFonts w:asciiTheme="minorHAnsi" w:hAnsiTheme="minorHAnsi" w:cstheme="minorBidi"/>
          <w:szCs w:val="24"/>
        </w:rPr>
        <w:t xml:space="preserve">, the remaining balance under ICT-DF Capital Account </w:t>
      </w:r>
      <w:r w:rsidR="00AB2D97" w:rsidRPr="00586974">
        <w:rPr>
          <w:rFonts w:asciiTheme="minorHAnsi" w:hAnsiTheme="minorHAnsi" w:cstheme="minorBidi"/>
          <w:szCs w:val="24"/>
        </w:rPr>
        <w:t xml:space="preserve">was </w:t>
      </w:r>
      <w:r w:rsidR="370C7823" w:rsidRPr="00B76AE4">
        <w:rPr>
          <w:rFonts w:eastAsia="Calibri" w:cs="Calibri"/>
          <w:szCs w:val="24"/>
        </w:rPr>
        <w:t>CHF</w:t>
      </w:r>
      <w:r w:rsidR="00B76AE4">
        <w:rPr>
          <w:rFonts w:eastAsia="Calibri" w:cs="Calibri"/>
          <w:szCs w:val="24"/>
        </w:rPr>
        <w:t> </w:t>
      </w:r>
      <w:r w:rsidR="370C7823" w:rsidRPr="00B76AE4">
        <w:rPr>
          <w:rFonts w:eastAsia="Calibri" w:cs="Calibri"/>
          <w:szCs w:val="24"/>
        </w:rPr>
        <w:t>4</w:t>
      </w:r>
      <w:r w:rsidR="00B76AE4">
        <w:rPr>
          <w:rFonts w:eastAsia="Calibri" w:cs="Calibri"/>
          <w:szCs w:val="24"/>
        </w:rPr>
        <w:t> </w:t>
      </w:r>
      <w:r w:rsidR="370C7823" w:rsidRPr="00B76AE4">
        <w:rPr>
          <w:rFonts w:eastAsia="Calibri" w:cs="Calibri"/>
          <w:szCs w:val="24"/>
        </w:rPr>
        <w:t>852</w:t>
      </w:r>
      <w:r w:rsidR="00B76AE4">
        <w:rPr>
          <w:rFonts w:eastAsia="Calibri" w:cs="Calibri"/>
          <w:szCs w:val="24"/>
        </w:rPr>
        <w:t> </w:t>
      </w:r>
      <w:r w:rsidR="370C7823" w:rsidRPr="00B76AE4">
        <w:rPr>
          <w:rFonts w:eastAsia="Calibri" w:cs="Calibri"/>
          <w:szCs w:val="24"/>
        </w:rPr>
        <w:t>060.44</w:t>
      </w:r>
      <w:r w:rsidR="002C1C5B">
        <w:rPr>
          <w:rFonts w:eastAsia="Calibri" w:cs="Calibri"/>
          <w:szCs w:val="24"/>
        </w:rPr>
        <w:t xml:space="preserve"> </w:t>
      </w:r>
      <w:r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 xml:space="preserve">(see </w:t>
      </w:r>
      <w:r w:rsidR="0001140F"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>F</w:t>
      </w:r>
      <w:r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 xml:space="preserve">igure </w:t>
      </w:r>
      <w:r w:rsidR="009526CE"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>3</w:t>
      </w:r>
      <w:r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>)</w:t>
      </w:r>
      <w:r w:rsidR="00130257" w:rsidRPr="00586974">
        <w:rPr>
          <w:rFonts w:asciiTheme="minorHAnsi" w:hAnsiTheme="minorHAnsi" w:cstheme="minorBidi"/>
          <w:szCs w:val="24"/>
        </w:rPr>
        <w:t>.</w:t>
      </w:r>
    </w:p>
    <w:p w14:paraId="7A7E5DDB" w14:textId="77777777" w:rsidR="00FC444B" w:rsidRDefault="00FC444B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</w:p>
    <w:p w14:paraId="425814CE" w14:textId="3809F7E6" w:rsidR="00266252" w:rsidRDefault="00FC444B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>
        <w:rPr>
          <w:noProof/>
        </w:rPr>
        <w:drawing>
          <wp:inline distT="0" distB="0" distL="0" distR="0" wp14:anchorId="7177F28A" wp14:editId="62118D58">
            <wp:extent cx="5760085" cy="1962150"/>
            <wp:effectExtent l="0" t="0" r="12065" b="0"/>
            <wp:docPr id="7227044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87051F-EB87-4A19-A001-F1ED2CDE1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F92E828" w14:textId="276DA2F7" w:rsidR="00266252" w:rsidRPr="007544E3" w:rsidRDefault="00266252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szCs w:val="24"/>
        </w:rPr>
      </w:pPr>
    </w:p>
    <w:p w14:paraId="2BD46486" w14:textId="50D00CB6" w:rsidR="004E71C0" w:rsidRPr="007544E3" w:rsidRDefault="00CC5124" w:rsidP="00BE58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  <w:szCs w:val="24"/>
        </w:rPr>
      </w:pPr>
      <w:bookmarkStart w:id="18" w:name="_Hlk65835106"/>
      <w:bookmarkEnd w:id="15"/>
      <w:bookmarkEnd w:id="16"/>
      <w:bookmarkEnd w:id="17"/>
      <w:r w:rsidRPr="007544E3">
        <w:rPr>
          <w:rFonts w:asciiTheme="minorHAnsi" w:hAnsiTheme="minorHAnsi" w:cstheme="minorHAnsi"/>
          <w:szCs w:val="24"/>
        </w:rPr>
        <w:t>4.3</w:t>
      </w:r>
      <w:r w:rsidRPr="007544E3">
        <w:rPr>
          <w:rFonts w:asciiTheme="minorHAnsi" w:hAnsiTheme="minorHAnsi" w:cstheme="minorHAnsi"/>
          <w:szCs w:val="24"/>
        </w:rPr>
        <w:tab/>
      </w:r>
      <w:r w:rsidR="003549F6" w:rsidRPr="007544E3">
        <w:rPr>
          <w:rFonts w:asciiTheme="minorHAnsi" w:hAnsiTheme="minorHAnsi" w:cstheme="minorHAnsi"/>
          <w:bCs/>
          <w:szCs w:val="24"/>
        </w:rPr>
        <w:t>Resolution 11 (</w:t>
      </w:r>
      <w:r w:rsidR="007B24D8" w:rsidRPr="007544E3">
        <w:rPr>
          <w:rFonts w:asciiTheme="minorHAnsi" w:hAnsiTheme="minorHAnsi" w:cstheme="minorHAnsi"/>
          <w:bCs/>
          <w:szCs w:val="24"/>
        </w:rPr>
        <w:t>Rev</w:t>
      </w:r>
      <w:r w:rsidR="003549F6" w:rsidRPr="007544E3">
        <w:rPr>
          <w:rFonts w:asciiTheme="minorHAnsi" w:hAnsiTheme="minorHAnsi" w:cstheme="minorHAnsi"/>
          <w:bCs/>
          <w:szCs w:val="24"/>
        </w:rPr>
        <w:t xml:space="preserve">. </w:t>
      </w:r>
      <w:r w:rsidR="007B24D8" w:rsidRPr="007544E3">
        <w:rPr>
          <w:rFonts w:asciiTheme="minorHAnsi" w:hAnsiTheme="minorHAnsi" w:cstheme="minorHAnsi"/>
          <w:bCs/>
          <w:szCs w:val="24"/>
        </w:rPr>
        <w:t>Dubai</w:t>
      </w:r>
      <w:r w:rsidR="003549F6" w:rsidRPr="007544E3">
        <w:rPr>
          <w:rFonts w:asciiTheme="minorHAnsi" w:hAnsiTheme="minorHAnsi" w:cstheme="minorHAnsi"/>
          <w:bCs/>
          <w:szCs w:val="24"/>
        </w:rPr>
        <w:t>, 2018)</w:t>
      </w:r>
      <w:r w:rsidRPr="007544E3">
        <w:rPr>
          <w:rFonts w:asciiTheme="minorHAnsi" w:hAnsiTheme="minorHAnsi" w:cstheme="minorHAnsi"/>
          <w:bCs/>
          <w:szCs w:val="24"/>
        </w:rPr>
        <w:t xml:space="preserve"> </w:t>
      </w:r>
      <w:r w:rsidR="00FA6670" w:rsidRPr="007544E3">
        <w:rPr>
          <w:rFonts w:asciiTheme="minorHAnsi" w:hAnsiTheme="minorHAnsi" w:cstheme="minorHAnsi"/>
          <w:bCs/>
          <w:szCs w:val="24"/>
        </w:rPr>
        <w:t xml:space="preserve">of the Plenipotentiary Conference </w:t>
      </w:r>
      <w:r w:rsidRPr="007544E3">
        <w:rPr>
          <w:rFonts w:asciiTheme="minorHAnsi" w:hAnsiTheme="minorHAnsi" w:cstheme="minorHAnsi"/>
          <w:bCs/>
          <w:szCs w:val="24"/>
        </w:rPr>
        <w:t>on ITU Telecom event</w:t>
      </w:r>
      <w:r w:rsidR="00DB4812" w:rsidRPr="007544E3">
        <w:rPr>
          <w:rFonts w:asciiTheme="minorHAnsi" w:hAnsiTheme="minorHAnsi" w:cstheme="minorHAnsi"/>
          <w:bCs/>
          <w:szCs w:val="24"/>
        </w:rPr>
        <w:t>s</w:t>
      </w:r>
      <w:r w:rsidRPr="007544E3">
        <w:rPr>
          <w:rFonts w:asciiTheme="minorHAnsi" w:hAnsiTheme="minorHAnsi" w:cstheme="minorHAnsi"/>
          <w:bCs/>
          <w:szCs w:val="24"/>
        </w:rPr>
        <w:t xml:space="preserve"> was abrogated at the </w:t>
      </w:r>
      <w:r w:rsidR="00DC6F4C" w:rsidRPr="007544E3">
        <w:rPr>
          <w:rFonts w:asciiTheme="minorHAnsi" w:hAnsiTheme="minorHAnsi" w:cstheme="minorHAnsi"/>
          <w:bCs/>
          <w:szCs w:val="24"/>
        </w:rPr>
        <w:t>Plenipotentiary Conference</w:t>
      </w:r>
      <w:r w:rsidRPr="007544E3">
        <w:rPr>
          <w:rFonts w:asciiTheme="minorHAnsi" w:hAnsiTheme="minorHAnsi" w:cstheme="minorHAnsi"/>
          <w:bCs/>
          <w:szCs w:val="24"/>
        </w:rPr>
        <w:t xml:space="preserve"> </w:t>
      </w:r>
      <w:r w:rsidR="00FA6670" w:rsidRPr="007544E3">
        <w:rPr>
          <w:rFonts w:asciiTheme="minorHAnsi" w:hAnsiTheme="minorHAnsi" w:cstheme="minorHAnsi"/>
          <w:bCs/>
          <w:szCs w:val="24"/>
        </w:rPr>
        <w:t>(</w:t>
      </w:r>
      <w:r w:rsidRPr="007544E3">
        <w:rPr>
          <w:rFonts w:asciiTheme="minorHAnsi" w:hAnsiTheme="minorHAnsi" w:cstheme="minorHAnsi"/>
          <w:bCs/>
          <w:szCs w:val="24"/>
        </w:rPr>
        <w:t xml:space="preserve">Bucharest, </w:t>
      </w:r>
      <w:r w:rsidR="00FA6670" w:rsidRPr="007544E3">
        <w:rPr>
          <w:rFonts w:asciiTheme="minorHAnsi" w:hAnsiTheme="minorHAnsi" w:cstheme="minorHAnsi"/>
          <w:bCs/>
          <w:szCs w:val="24"/>
        </w:rPr>
        <w:t>2022)</w:t>
      </w:r>
      <w:r w:rsidRPr="007544E3">
        <w:rPr>
          <w:rFonts w:asciiTheme="minorHAnsi" w:hAnsiTheme="minorHAnsi" w:cstheme="minorHAnsi"/>
          <w:bCs/>
          <w:szCs w:val="24"/>
        </w:rPr>
        <w:t xml:space="preserve">. </w:t>
      </w:r>
      <w:r w:rsidR="0093178D" w:rsidRPr="007544E3">
        <w:rPr>
          <w:rFonts w:asciiTheme="minorHAnsi" w:hAnsiTheme="minorHAnsi" w:cstheme="minorHAnsi"/>
          <w:bCs/>
          <w:szCs w:val="24"/>
        </w:rPr>
        <w:t xml:space="preserve">The Conference also approved the recommendation (see </w:t>
      </w:r>
      <w:r w:rsidRPr="007544E3">
        <w:rPr>
          <w:rFonts w:asciiTheme="minorHAnsi" w:hAnsiTheme="minorHAnsi" w:cstheme="minorHAnsi"/>
          <w:bCs/>
          <w:szCs w:val="24"/>
        </w:rPr>
        <w:t xml:space="preserve">the </w:t>
      </w:r>
      <w:hyperlink r:id="rId34" w:history="1">
        <w:r w:rsidRPr="007544E3">
          <w:rPr>
            <w:rStyle w:val="Hyperlink"/>
            <w:rFonts w:asciiTheme="minorHAnsi" w:hAnsiTheme="minorHAnsi" w:cstheme="minorHAnsi"/>
            <w:bCs/>
            <w:szCs w:val="24"/>
          </w:rPr>
          <w:t xml:space="preserve">Minutes </w:t>
        </w:r>
        <w:r w:rsidR="0009377F" w:rsidRPr="007544E3">
          <w:rPr>
            <w:rStyle w:val="Hyperlink"/>
            <w:rFonts w:asciiTheme="minorHAnsi" w:hAnsiTheme="minorHAnsi" w:cstheme="minorHAnsi"/>
            <w:bCs/>
            <w:szCs w:val="24"/>
          </w:rPr>
          <w:t>o</w:t>
        </w:r>
        <w:r w:rsidRPr="007544E3">
          <w:rPr>
            <w:rStyle w:val="Hyperlink"/>
            <w:rFonts w:asciiTheme="minorHAnsi" w:hAnsiTheme="minorHAnsi" w:cstheme="minorHAnsi"/>
            <w:bCs/>
            <w:szCs w:val="24"/>
          </w:rPr>
          <w:t xml:space="preserve">f </w:t>
        </w:r>
        <w:r w:rsidR="0009377F" w:rsidRPr="007544E3">
          <w:rPr>
            <w:rStyle w:val="Hyperlink"/>
            <w:rFonts w:asciiTheme="minorHAnsi" w:hAnsiTheme="minorHAnsi" w:cstheme="minorHAnsi"/>
            <w:bCs/>
            <w:szCs w:val="24"/>
          </w:rPr>
          <w:t>t</w:t>
        </w:r>
        <w:r w:rsidRPr="007544E3">
          <w:rPr>
            <w:rStyle w:val="Hyperlink"/>
            <w:rFonts w:asciiTheme="minorHAnsi" w:hAnsiTheme="minorHAnsi" w:cstheme="minorHAnsi"/>
            <w:bCs/>
            <w:szCs w:val="24"/>
          </w:rPr>
          <w:t>he Sixteenth Plenary Meeting</w:t>
        </w:r>
      </w:hyperlink>
      <w:r w:rsidR="00B7528D" w:rsidRPr="007544E3">
        <w:rPr>
          <w:rFonts w:asciiTheme="minorHAnsi" w:hAnsiTheme="minorHAnsi" w:cstheme="minorHAnsi"/>
          <w:bCs/>
          <w:szCs w:val="24"/>
        </w:rPr>
        <w:t xml:space="preserve"> (Section 2.3)</w:t>
      </w:r>
      <w:r w:rsidR="009B5942" w:rsidRPr="007544E3">
        <w:rPr>
          <w:rFonts w:asciiTheme="minorHAnsi" w:hAnsiTheme="minorHAnsi" w:cstheme="minorHAnsi"/>
          <w:bCs/>
          <w:szCs w:val="24"/>
        </w:rPr>
        <w:t>)</w:t>
      </w:r>
      <w:r w:rsidRPr="007544E3">
        <w:rPr>
          <w:rFonts w:asciiTheme="minorHAnsi" w:hAnsiTheme="minorHAnsi" w:cstheme="minorHAnsi"/>
          <w:bCs/>
          <w:szCs w:val="24"/>
        </w:rPr>
        <w:t xml:space="preserve"> that “Resolution 11 (Rev. Dubai, 2018) on ITU Telecom events be abrogated and, as a consequence, that the Plenary instruct the Council, at its ordinary session, to </w:t>
      </w:r>
      <w:bookmarkStart w:id="19" w:name="_Hlk129942447"/>
      <w:r w:rsidRPr="007544E3">
        <w:rPr>
          <w:rFonts w:asciiTheme="minorHAnsi" w:hAnsiTheme="minorHAnsi" w:cstheme="minorHAnsi"/>
          <w:bCs/>
          <w:szCs w:val="24"/>
        </w:rPr>
        <w:t>transfer the remaining balance of the Exhibition Working Capital Fund to the ICT Development Fund</w:t>
      </w:r>
      <w:bookmarkEnd w:id="19"/>
      <w:r w:rsidRPr="007544E3">
        <w:rPr>
          <w:rFonts w:asciiTheme="minorHAnsi" w:hAnsiTheme="minorHAnsi" w:cstheme="minorHAnsi"/>
          <w:bCs/>
          <w:szCs w:val="24"/>
        </w:rPr>
        <w:t>”</w:t>
      </w:r>
      <w:r w:rsidR="00BE5879">
        <w:rPr>
          <w:rFonts w:asciiTheme="minorHAnsi" w:hAnsiTheme="minorHAnsi" w:cstheme="minorHAnsi"/>
          <w:bCs/>
          <w:szCs w:val="24"/>
        </w:rPr>
        <w:t>.</w:t>
      </w:r>
      <w:r w:rsidRPr="007544E3">
        <w:rPr>
          <w:rFonts w:asciiTheme="minorHAnsi" w:hAnsiTheme="minorHAnsi" w:cstheme="minorHAnsi"/>
          <w:bCs/>
          <w:szCs w:val="24"/>
        </w:rPr>
        <w:t xml:space="preserve"> </w:t>
      </w:r>
      <w:bookmarkEnd w:id="18"/>
    </w:p>
    <w:p w14:paraId="65B8374B" w14:textId="4E6C7454" w:rsidR="004E71C0" w:rsidRPr="007544E3" w:rsidRDefault="00907B1C" w:rsidP="130B13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Bidi"/>
        </w:rPr>
      </w:pPr>
      <w:r w:rsidRPr="130B13DC">
        <w:rPr>
          <w:rFonts w:asciiTheme="minorHAnsi" w:hAnsiTheme="minorHAnsi" w:cstheme="minorBidi"/>
        </w:rPr>
        <w:t>4.4</w:t>
      </w:r>
      <w:r>
        <w:tab/>
      </w:r>
      <w:r w:rsidR="00775E23" w:rsidRPr="130B13DC">
        <w:rPr>
          <w:rFonts w:asciiTheme="minorHAnsi" w:hAnsiTheme="minorHAnsi" w:cstheme="minorBidi"/>
        </w:rPr>
        <w:t xml:space="preserve">At Council-23, CHF 3 million was approved </w:t>
      </w:r>
      <w:r w:rsidR="00EC57D8" w:rsidRPr="130B13DC">
        <w:rPr>
          <w:rFonts w:asciiTheme="minorHAnsi" w:hAnsiTheme="minorHAnsi" w:cstheme="minorBidi"/>
        </w:rPr>
        <w:t>and subsequently transferred</w:t>
      </w:r>
      <w:r w:rsidR="00775E23" w:rsidRPr="130B13DC">
        <w:rPr>
          <w:rFonts w:asciiTheme="minorHAnsi" w:hAnsiTheme="minorHAnsi" w:cstheme="minorBidi"/>
        </w:rPr>
        <w:t xml:space="preserve"> from the EWCF to the ICT-DF C</w:t>
      </w:r>
      <w:r w:rsidR="004C47C3" w:rsidRPr="130B13DC">
        <w:rPr>
          <w:rFonts w:asciiTheme="minorHAnsi" w:hAnsiTheme="minorHAnsi" w:cstheme="minorBidi"/>
        </w:rPr>
        <w:t>apital Account</w:t>
      </w:r>
      <w:r w:rsidR="005860F3" w:rsidRPr="130B13DC">
        <w:rPr>
          <w:rFonts w:asciiTheme="minorHAnsi" w:hAnsiTheme="minorHAnsi" w:cstheme="minorBidi"/>
        </w:rPr>
        <w:t xml:space="preserve"> per </w:t>
      </w:r>
      <w:hyperlink r:id="rId35">
        <w:r w:rsidR="005860F3" w:rsidRPr="130B13DC">
          <w:rPr>
            <w:rStyle w:val="Hyperlink"/>
            <w:rFonts w:asciiTheme="minorHAnsi" w:hAnsiTheme="minorHAnsi" w:cstheme="minorBidi"/>
          </w:rPr>
          <w:t>Resolution 1418</w:t>
        </w:r>
      </w:hyperlink>
      <w:r w:rsidR="005860F3" w:rsidRPr="130B13DC">
        <w:rPr>
          <w:rFonts w:asciiTheme="minorHAnsi" w:hAnsiTheme="minorHAnsi" w:cstheme="minorBidi"/>
        </w:rPr>
        <w:t xml:space="preserve">. </w:t>
      </w:r>
      <w:r w:rsidR="001673F1" w:rsidRPr="130B13DC">
        <w:rPr>
          <w:rFonts w:asciiTheme="minorHAnsi" w:hAnsiTheme="minorHAnsi" w:cstheme="minorBidi"/>
        </w:rPr>
        <w:t>T</w:t>
      </w:r>
      <w:r w:rsidR="005F4C9C" w:rsidRPr="130B13DC">
        <w:rPr>
          <w:rFonts w:asciiTheme="minorHAnsi" w:hAnsiTheme="minorHAnsi" w:cstheme="minorBidi"/>
        </w:rPr>
        <w:t xml:space="preserve">he </w:t>
      </w:r>
      <w:r w:rsidR="00A22071" w:rsidRPr="130B13DC">
        <w:rPr>
          <w:rFonts w:asciiTheme="minorHAnsi" w:hAnsiTheme="minorHAnsi" w:cstheme="minorBidi"/>
        </w:rPr>
        <w:t xml:space="preserve">available </w:t>
      </w:r>
      <w:r w:rsidR="005F4C9C" w:rsidRPr="130B13DC">
        <w:rPr>
          <w:rFonts w:asciiTheme="minorHAnsi" w:hAnsiTheme="minorHAnsi" w:cstheme="minorBidi"/>
        </w:rPr>
        <w:t xml:space="preserve">balance in EWCF </w:t>
      </w:r>
      <w:r w:rsidR="00A22071" w:rsidRPr="130B13DC">
        <w:rPr>
          <w:rFonts w:asciiTheme="minorHAnsi" w:hAnsiTheme="minorHAnsi" w:cstheme="minorBidi"/>
        </w:rPr>
        <w:t>is</w:t>
      </w:r>
      <w:r w:rsidR="00775E23" w:rsidRPr="130B13DC">
        <w:rPr>
          <w:rFonts w:asciiTheme="minorHAnsi" w:hAnsiTheme="minorHAnsi" w:cstheme="minorBidi"/>
        </w:rPr>
        <w:t xml:space="preserve"> CHF</w:t>
      </w:r>
      <w:r w:rsidR="00586974">
        <w:rPr>
          <w:rFonts w:asciiTheme="minorHAnsi" w:hAnsiTheme="minorHAnsi" w:cstheme="minorBidi"/>
        </w:rPr>
        <w:t> </w:t>
      </w:r>
      <w:r w:rsidR="00A64508" w:rsidRPr="130B13DC">
        <w:rPr>
          <w:rFonts w:asciiTheme="minorHAnsi" w:hAnsiTheme="minorHAnsi" w:cstheme="minorBidi"/>
        </w:rPr>
        <w:t>465</w:t>
      </w:r>
      <w:r w:rsidR="00B76AE4">
        <w:rPr>
          <w:rFonts w:asciiTheme="minorHAnsi" w:hAnsiTheme="minorHAnsi" w:cstheme="minorBidi"/>
        </w:rPr>
        <w:t> </w:t>
      </w:r>
      <w:r w:rsidR="00A64508" w:rsidRPr="130B13DC">
        <w:rPr>
          <w:rFonts w:asciiTheme="minorHAnsi" w:hAnsiTheme="minorHAnsi" w:cstheme="minorBidi"/>
        </w:rPr>
        <w:t>110.56</w:t>
      </w:r>
      <w:r w:rsidR="001673F1" w:rsidRPr="130B13DC">
        <w:rPr>
          <w:rFonts w:asciiTheme="minorHAnsi" w:hAnsiTheme="minorHAnsi" w:cstheme="minorBidi"/>
        </w:rPr>
        <w:t>.</w:t>
      </w:r>
      <w:r w:rsidR="00775E23" w:rsidRPr="130B13DC">
        <w:rPr>
          <w:rFonts w:asciiTheme="minorHAnsi" w:hAnsiTheme="minorHAnsi" w:cstheme="minorBidi"/>
        </w:rPr>
        <w:t xml:space="preserve"> </w:t>
      </w:r>
      <w:r w:rsidR="068E5A2F" w:rsidRPr="130B13DC">
        <w:rPr>
          <w:rFonts w:asciiTheme="minorHAnsi" w:hAnsiTheme="minorHAnsi" w:cstheme="minorBidi"/>
        </w:rPr>
        <w:t xml:space="preserve">The draft resolution </w:t>
      </w:r>
      <w:r w:rsidR="00775E23" w:rsidRPr="130B13DC">
        <w:rPr>
          <w:rFonts w:asciiTheme="minorHAnsi" w:hAnsiTheme="minorHAnsi" w:cstheme="minorBidi"/>
        </w:rPr>
        <w:t>on the transfer of CHF </w:t>
      </w:r>
      <w:r w:rsidR="00A64508" w:rsidRPr="130B13DC">
        <w:rPr>
          <w:rFonts w:asciiTheme="minorHAnsi" w:hAnsiTheme="minorHAnsi" w:cstheme="minorBidi"/>
        </w:rPr>
        <w:t>465</w:t>
      </w:r>
      <w:r w:rsidR="00B76AE4">
        <w:rPr>
          <w:rFonts w:asciiTheme="minorHAnsi" w:hAnsiTheme="minorHAnsi" w:cstheme="minorBidi"/>
        </w:rPr>
        <w:t> </w:t>
      </w:r>
      <w:r w:rsidR="00A64508" w:rsidRPr="130B13DC">
        <w:rPr>
          <w:rFonts w:asciiTheme="minorHAnsi" w:hAnsiTheme="minorHAnsi" w:cstheme="minorBidi"/>
        </w:rPr>
        <w:t xml:space="preserve">110.56 </w:t>
      </w:r>
      <w:r w:rsidR="00775E23" w:rsidRPr="130B13DC">
        <w:rPr>
          <w:rFonts w:asciiTheme="minorHAnsi" w:hAnsiTheme="minorHAnsi" w:cstheme="minorBidi"/>
        </w:rPr>
        <w:t>from the EWCF to the ICT-DF Capital Account</w:t>
      </w:r>
      <w:r w:rsidR="36EB61A8" w:rsidRPr="130B13DC">
        <w:rPr>
          <w:rFonts w:asciiTheme="minorHAnsi" w:hAnsiTheme="minorHAnsi" w:cstheme="minorBidi"/>
        </w:rPr>
        <w:t xml:space="preserve"> is in the document </w:t>
      </w:r>
      <w:hyperlink r:id="rId36" w:history="1">
        <w:r w:rsidR="36EB61A8" w:rsidRPr="00586974">
          <w:rPr>
            <w:rStyle w:val="Hyperlink"/>
            <w:rFonts w:asciiTheme="minorHAnsi" w:hAnsiTheme="minorHAnsi" w:cstheme="minorBidi"/>
          </w:rPr>
          <w:t>C24/19</w:t>
        </w:r>
      </w:hyperlink>
      <w:r w:rsidR="00775E23" w:rsidRPr="130B13DC">
        <w:rPr>
          <w:rFonts w:asciiTheme="minorHAnsi" w:hAnsiTheme="minorHAnsi" w:cstheme="minorBidi"/>
        </w:rPr>
        <w:t>.</w:t>
      </w:r>
    </w:p>
    <w:p w14:paraId="750E6843" w14:textId="3ACB582F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7544E3">
        <w:rPr>
          <w:rFonts w:asciiTheme="minorHAnsi" w:hAnsiTheme="minorHAnsi" w:cstheme="minorHAnsi"/>
          <w:bCs/>
          <w:sz w:val="24"/>
          <w:szCs w:val="24"/>
        </w:rPr>
        <w:t>Way forward</w:t>
      </w:r>
    </w:p>
    <w:p w14:paraId="44C2BA57" w14:textId="760400A3" w:rsidR="00CC5124" w:rsidRPr="007544E3" w:rsidRDefault="00CC5124" w:rsidP="00CC512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color w:val="0D0D0D" w:themeColor="text1" w:themeTint="F2"/>
          <w:szCs w:val="24"/>
        </w:rPr>
      </w:pP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5.1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ab/>
        <w:t>Progress on implementation of ICT-DF funded projects</w:t>
      </w:r>
      <w:r w:rsidR="00AA2C64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(</w:t>
      </w:r>
      <w:hyperlink w:anchor="Annex2" w:history="1">
        <w:r w:rsidR="00AA2C64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Annex</w:t>
        </w:r>
        <w:r w:rsidR="00D13308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 </w:t>
        </w:r>
      </w:hyperlink>
      <w:r w:rsidR="00B76AE4">
        <w:rPr>
          <w:rStyle w:val="Hyperlink"/>
          <w:rFonts w:asciiTheme="minorHAnsi" w:hAnsiTheme="minorHAnsi" w:cstheme="minorHAnsi"/>
          <w:kern w:val="24"/>
          <w:szCs w:val="24"/>
        </w:rPr>
        <w:t>1</w:t>
      </w:r>
      <w:r w:rsidR="00AA2C64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)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will be regularly </w:t>
      </w:r>
      <w:r w:rsidR="007544E3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analysed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and updated at </w:t>
      </w:r>
      <w:hyperlink r:id="rId37" w:history="1">
        <w:r w:rsidR="001B2365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www.itu.int/en/ITU-D/Projects/ICT-DF.aspx</w:t>
        </w:r>
      </w:hyperlink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.</w:t>
      </w:r>
    </w:p>
    <w:p w14:paraId="7D7379F0" w14:textId="06275FAC" w:rsidR="00CC5124" w:rsidRPr="007544E3" w:rsidRDefault="00CC5124" w:rsidP="00FC38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color w:val="000000" w:themeColor="text1"/>
          <w:kern w:val="24"/>
          <w:szCs w:val="24"/>
        </w:rPr>
      </w:pP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5.2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ab/>
      </w:r>
      <w:r w:rsidR="00A27DC8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Considering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that the ICT-DF is demand-</w:t>
      </w:r>
      <w:r w:rsidR="008A15B2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driven,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and </w:t>
      </w:r>
      <w:r w:rsidR="00965CDA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its aim is to provide 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seed funding, </w:t>
      </w:r>
      <w:r w:rsidR="00EC57D8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the 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ICT-DF SC will continue to consider project proposals based on the rules and criteria while remaining within the limit of the ICT-DF Capital Account, in order to support the development 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lastRenderedPageBreak/>
        <w:t>of telecommunications/ICTs in ITU Member States and contribute to the Sustainable Development Goals.</w:t>
      </w:r>
    </w:p>
    <w:p w14:paraId="3907769E" w14:textId="5C17B1A7" w:rsidR="007F0D3A" w:rsidRPr="007544E3" w:rsidRDefault="00AF7731" w:rsidP="007F0D3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5.3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ab/>
      </w:r>
      <w:r w:rsidR="007F0D3A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For</w:t>
      </w:r>
      <w:r w:rsidR="007F0D3A" w:rsidRPr="007544E3">
        <w:rPr>
          <w:rFonts w:asciiTheme="minorHAnsi" w:hAnsiTheme="minorHAnsi" w:cstheme="minorHAnsi"/>
          <w:szCs w:val="24"/>
        </w:rPr>
        <w:t xml:space="preserve"> longer-term sustainability and future continuity of the ICT-DF, </w:t>
      </w:r>
      <w:r w:rsidR="00D740DC" w:rsidRPr="007544E3">
        <w:rPr>
          <w:rFonts w:asciiTheme="minorHAnsi" w:hAnsiTheme="minorHAnsi" w:cstheme="minorHAnsi"/>
          <w:szCs w:val="24"/>
        </w:rPr>
        <w:t xml:space="preserve">the </w:t>
      </w:r>
      <w:r w:rsidR="007F0D3A" w:rsidRPr="007544E3">
        <w:rPr>
          <w:rFonts w:asciiTheme="minorHAnsi" w:hAnsiTheme="minorHAnsi" w:cstheme="minorHAnsi"/>
          <w:szCs w:val="24"/>
        </w:rPr>
        <w:t xml:space="preserve">ITU </w:t>
      </w:r>
      <w:r w:rsidR="00D740DC" w:rsidRPr="007544E3">
        <w:rPr>
          <w:rFonts w:asciiTheme="minorHAnsi" w:hAnsiTheme="minorHAnsi" w:cstheme="minorHAnsi"/>
          <w:szCs w:val="24"/>
        </w:rPr>
        <w:t>m</w:t>
      </w:r>
      <w:r w:rsidR="007F0D3A" w:rsidRPr="007544E3">
        <w:rPr>
          <w:rFonts w:asciiTheme="minorHAnsi" w:hAnsiTheme="minorHAnsi" w:cstheme="minorHAnsi"/>
          <w:szCs w:val="24"/>
        </w:rPr>
        <w:t>embership is encouraged to consider making new voluntary contributions to the ICT-DF Capital Account, which has been proven to be instrumental in supporting development projects.</w:t>
      </w:r>
    </w:p>
    <w:p w14:paraId="5D2DE614" w14:textId="24BD5D9E" w:rsidR="00FC3863" w:rsidRDefault="00431DC2" w:rsidP="00431D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 xml:space="preserve">The Council is also invited </w:t>
      </w:r>
      <w:r w:rsidRPr="007544E3">
        <w:rPr>
          <w:rFonts w:asciiTheme="minorHAnsi" w:hAnsiTheme="minorHAnsi" w:cstheme="minorHAnsi"/>
          <w:b/>
          <w:bCs/>
          <w:szCs w:val="24"/>
        </w:rPr>
        <w:t>to take note</w:t>
      </w:r>
      <w:r w:rsidRPr="007544E3">
        <w:rPr>
          <w:rFonts w:asciiTheme="minorHAnsi" w:hAnsiTheme="minorHAnsi" w:cstheme="minorHAnsi"/>
          <w:szCs w:val="24"/>
        </w:rPr>
        <w:t xml:space="preserve"> of this report and advise as deemed appropriate.</w:t>
      </w:r>
    </w:p>
    <w:p w14:paraId="2135C892" w14:textId="5253972C" w:rsidR="00B76AE4" w:rsidRPr="00B76AE4" w:rsidRDefault="00B76AE4" w:rsidP="00B76A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440" w:after="120"/>
        <w:jc w:val="both"/>
        <w:rPr>
          <w:rFonts w:asciiTheme="minorHAnsi" w:eastAsiaTheme="minorEastAsia" w:hAnsiTheme="minorHAnsi" w:cstheme="minorHAnsi"/>
          <w:b/>
          <w:bCs/>
          <w:i/>
          <w:iCs/>
          <w:szCs w:val="24"/>
          <w:lang w:eastAsia="zh-CN"/>
        </w:rPr>
      </w:pPr>
    </w:p>
    <w:p w14:paraId="123A2E4D" w14:textId="10BEBC43" w:rsidR="003D4F34" w:rsidRPr="00F04588" w:rsidRDefault="003D4F34" w:rsidP="00F04588">
      <w:pPr>
        <w:sectPr w:rsidR="003D4F34" w:rsidRPr="00F04588" w:rsidSect="002D3CC4">
          <w:headerReference w:type="default" r:id="rId38"/>
          <w:footerReference w:type="default" r:id="rId39"/>
          <w:headerReference w:type="first" r:id="rId40"/>
          <w:footerReference w:type="first" r:id="rId4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F8BB657" w14:textId="6AFCB624" w:rsidR="00CC5124" w:rsidRPr="00132165" w:rsidRDefault="00CC5124" w:rsidP="001F2EED">
      <w:pPr>
        <w:pStyle w:val="AnnexNo"/>
        <w:rPr>
          <w:b/>
          <w:bCs/>
        </w:rPr>
      </w:pPr>
      <w:bookmarkStart w:id="20" w:name="Annex"/>
      <w:bookmarkStart w:id="21" w:name="Annex2"/>
      <w:r w:rsidRPr="00132165">
        <w:rPr>
          <w:b/>
          <w:bCs/>
        </w:rPr>
        <w:lastRenderedPageBreak/>
        <w:t>ANNEX</w:t>
      </w:r>
      <w:bookmarkEnd w:id="20"/>
      <w:r w:rsidR="00A4542A" w:rsidRPr="00132165">
        <w:rPr>
          <w:b/>
          <w:bCs/>
        </w:rPr>
        <w:t xml:space="preserve"> </w:t>
      </w:r>
      <w:bookmarkEnd w:id="21"/>
      <w:r w:rsidR="00B76AE4" w:rsidRPr="00132165">
        <w:rPr>
          <w:b/>
          <w:bCs/>
        </w:rPr>
        <w:t>1</w:t>
      </w:r>
    </w:p>
    <w:p w14:paraId="429CC71A" w14:textId="3488559C" w:rsidR="00125A15" w:rsidRPr="007544E3" w:rsidRDefault="00000000" w:rsidP="00125A15">
      <w:pPr>
        <w:pStyle w:val="Annextitle"/>
        <w:rPr>
          <w:rStyle w:val="Hyperlink"/>
          <w:color w:val="auto"/>
        </w:rPr>
      </w:pPr>
      <w:hyperlink r:id="rId42" w:history="1">
        <w:r w:rsidR="008A2FC9" w:rsidRPr="007544E3">
          <w:rPr>
            <w:rStyle w:val="Hyperlink"/>
          </w:rPr>
          <w:t>ONGOING ICT-DF PROJECTS</w:t>
        </w:r>
      </w:hyperlink>
      <w:r w:rsidR="008A2FC9" w:rsidRPr="007544E3">
        <w:t xml:space="preserve"> </w:t>
      </w:r>
      <w:r w:rsidR="008A2FC9" w:rsidRPr="007544E3">
        <w:rPr>
          <w:b w:val="0"/>
          <w:bCs/>
        </w:rPr>
        <w:t>(Q4 202</w:t>
      </w:r>
      <w:r w:rsidR="008A15B2">
        <w:rPr>
          <w:b w:val="0"/>
          <w:bCs/>
        </w:rPr>
        <w:t>3</w:t>
      </w:r>
      <w:r w:rsidR="008A2FC9" w:rsidRPr="007544E3">
        <w:rPr>
          <w:b w:val="0"/>
          <w:bCs/>
        </w:rPr>
        <w:t>)</w:t>
      </w:r>
      <w:r w:rsidR="00336646">
        <w:rPr>
          <w:b w:val="0"/>
          <w:bCs/>
        </w:rPr>
        <w:t xml:space="preserve"> AND NEW </w:t>
      </w:r>
      <w:r w:rsidR="001922A0">
        <w:rPr>
          <w:b w:val="0"/>
          <w:bCs/>
        </w:rPr>
        <w:t xml:space="preserve">ICT-DF </w:t>
      </w:r>
      <w:r w:rsidR="00336646">
        <w:rPr>
          <w:b w:val="0"/>
          <w:bCs/>
        </w:rPr>
        <w:t>PROJECTS SIGNED</w:t>
      </w:r>
      <w:r w:rsidR="00641E65">
        <w:rPr>
          <w:b w:val="0"/>
          <w:bCs/>
        </w:rPr>
        <w:t xml:space="preserve"> (March 2024)</w:t>
      </w:r>
    </w:p>
    <w:tbl>
      <w:tblPr>
        <w:tblStyle w:val="TableGrid"/>
        <w:tblW w:w="1530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071"/>
        <w:gridCol w:w="1289"/>
        <w:gridCol w:w="1311"/>
        <w:gridCol w:w="1231"/>
        <w:gridCol w:w="1902"/>
        <w:gridCol w:w="2694"/>
        <w:gridCol w:w="1842"/>
      </w:tblGrid>
      <w:tr w:rsidR="0093015D" w:rsidRPr="007544E3" w14:paraId="54B79775" w14:textId="77777777" w:rsidTr="003D7DEF">
        <w:trPr>
          <w:trHeight w:val="404"/>
          <w:tblHeader/>
          <w:jc w:val="center"/>
        </w:trPr>
        <w:tc>
          <w:tcPr>
            <w:tcW w:w="1413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F0A697D" w14:textId="77777777" w:rsidR="00CC5124" w:rsidRPr="007544E3" w:rsidRDefault="00CC5124" w:rsidP="00EE1C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No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D7D91DE" w14:textId="7777777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Title</w:t>
            </w:r>
          </w:p>
        </w:tc>
        <w:tc>
          <w:tcPr>
            <w:tcW w:w="107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551A0A0" w14:textId="71655ED9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Start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ate</w:t>
            </w:r>
          </w:p>
        </w:tc>
        <w:tc>
          <w:tcPr>
            <w:tcW w:w="128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78C160E" w14:textId="3E39CC5E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End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ate</w:t>
            </w:r>
          </w:p>
        </w:tc>
        <w:tc>
          <w:tcPr>
            <w:tcW w:w="131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43701B6" w14:textId="7777777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Region</w:t>
            </w:r>
          </w:p>
        </w:tc>
        <w:tc>
          <w:tcPr>
            <w:tcW w:w="123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D4968CD" w14:textId="25C90E5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Date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igned</w:t>
            </w:r>
          </w:p>
        </w:tc>
        <w:tc>
          <w:tcPr>
            <w:tcW w:w="190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4465777" w14:textId="7777777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Partner(s)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99645A6" w14:textId="504DA054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Budget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igned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4FACDD7" w14:textId="53F20A0F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Budget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emaining 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7544E3">
              <w:rPr>
                <w:rFonts w:asciiTheme="minorHAnsi" w:hAnsiTheme="minorHAnsi" w:cstheme="minorHAnsi"/>
                <w:sz w:val="18"/>
                <w:szCs w:val="18"/>
              </w:rPr>
              <w:t>(after commitments)</w:t>
            </w:r>
          </w:p>
        </w:tc>
      </w:tr>
      <w:tr w:rsidR="00251430" w:rsidRPr="007544E3" w14:paraId="64B8549E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15D2E4BF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7GLO03043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69E34B9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Rural Telecommunications Development in Least Developed Countries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E598609" w14:textId="6EE998D6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Jan</w:t>
            </w:r>
            <w:r w:rsidR="00E51996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2003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1B77BF2B" w14:textId="397B972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E51996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5BED9B6D" w14:textId="11E1BFD5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Multi-</w:t>
            </w:r>
            <w:r w:rsidR="00622EC5">
              <w:rPr>
                <w:rFonts w:asciiTheme="minorHAnsi" w:hAnsiTheme="minorHAnsi" w:cstheme="minorHAnsi"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</w:rPr>
              <w:t>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5709763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Dec. 2002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0B6C954C" w14:textId="6120CFBB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FA84067" w14:textId="14B57DE1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ICT-DF: </w:t>
            </w:r>
            <w:r w:rsidRPr="007544E3">
              <w:rPr>
                <w:rFonts w:asciiTheme="minorHAnsi" w:hAnsiTheme="minorHAnsi" w:cstheme="minorHAnsi"/>
                <w:sz w:val="20"/>
              </w:rPr>
              <w:br/>
              <w:t>Balance (01.01.10):</w:t>
            </w:r>
            <w:r w:rsidR="009037F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544E3"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509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035</w:t>
            </w:r>
          </w:p>
          <w:p w14:paraId="54BB874F" w14:textId="7932E9CC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Additional </w:t>
            </w:r>
            <w:r w:rsidR="00474FA3" w:rsidRPr="007544E3">
              <w:rPr>
                <w:rFonts w:asciiTheme="minorHAnsi" w:hAnsiTheme="minorHAnsi" w:cstheme="minorHAnsi"/>
                <w:sz w:val="20"/>
              </w:rPr>
              <w:t xml:space="preserve">ICT-DF </w:t>
            </w:r>
            <w:r w:rsidRPr="007544E3">
              <w:rPr>
                <w:rFonts w:asciiTheme="minorHAnsi" w:hAnsiTheme="minorHAnsi" w:cstheme="minorHAnsi"/>
                <w:sz w:val="20"/>
              </w:rPr>
              <w:t>allocation</w:t>
            </w:r>
            <w:r w:rsidR="0093015D" w:rsidRPr="007544E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544E3">
              <w:rPr>
                <w:rFonts w:asciiTheme="minorHAnsi" w:hAnsiTheme="minorHAnsi" w:cstheme="minorHAnsi"/>
                <w:sz w:val="20"/>
              </w:rPr>
              <w:t>(15.01.10):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  <w:p w14:paraId="3942BE03" w14:textId="018EA4F5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Additional </w:t>
            </w:r>
            <w:r w:rsidR="00474FA3" w:rsidRPr="007544E3">
              <w:rPr>
                <w:rFonts w:asciiTheme="minorHAnsi" w:hAnsiTheme="minorHAnsi" w:cstheme="minorHAnsi"/>
                <w:sz w:val="20"/>
              </w:rPr>
              <w:t xml:space="preserve">ICT-DF </w:t>
            </w:r>
            <w:r w:rsidRPr="007544E3">
              <w:rPr>
                <w:rFonts w:asciiTheme="minorHAnsi" w:hAnsiTheme="minorHAnsi" w:cstheme="minorHAnsi"/>
                <w:sz w:val="20"/>
              </w:rPr>
              <w:t>allocation (14.11.13)</w:t>
            </w:r>
            <w:r w:rsidR="0093015D" w:rsidRPr="007544E3">
              <w:rPr>
                <w:rFonts w:asciiTheme="minorHAnsi" w:hAnsiTheme="minorHAnsi" w:cstheme="minorHAnsi"/>
                <w:sz w:val="20"/>
              </w:rPr>
              <w:t>: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0804A89" w14:textId="6D812363" w:rsidR="00CC5124" w:rsidRPr="007544E3" w:rsidRDefault="00CC5928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USD </w:t>
            </w:r>
            <w:r>
              <w:rPr>
                <w:rFonts w:asciiTheme="minorHAnsi" w:hAnsiTheme="minorHAnsi" w:cstheme="minorHAnsi"/>
                <w:sz w:val="20"/>
              </w:rPr>
              <w:t>613 536</w:t>
            </w:r>
          </w:p>
        </w:tc>
      </w:tr>
      <w:tr w:rsidR="00251430" w:rsidRPr="007544E3" w14:paraId="12EED76B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0E930BF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7OMA13005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3A3FB38A" w14:textId="45358EC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Establishment of </w:t>
            </w:r>
            <w:r w:rsidR="00261390" w:rsidRPr="007544E3">
              <w:rPr>
                <w:rFonts w:asciiTheme="minorHAnsi" w:hAnsiTheme="minorHAnsi" w:cstheme="minorHAnsi"/>
                <w:sz w:val="20"/>
              </w:rPr>
              <w:t>a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Cybersecurity Innovation Centre for the Arab Region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8D78BAD" w14:textId="71B2C0BE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Feb</w:t>
            </w:r>
            <w:r w:rsidR="00E51996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2013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0163DD2" w14:textId="17B31135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Sep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2030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304E7031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Arab States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C32C58B" w14:textId="5D1FFA93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2012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52D132BF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Oman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E94ADA4" w14:textId="64C77AF8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Oman: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2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  <w:p w14:paraId="7F8C0636" w14:textId="3A6E193B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752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500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39D747EB" w14:textId="70945FD7" w:rsidR="00CC5124" w:rsidRPr="007544E3" w:rsidRDefault="0046615E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0B7901">
              <w:rPr>
                <w:rFonts w:asciiTheme="minorHAnsi" w:hAnsiTheme="minorHAnsi" w:cstheme="minorHAnsi"/>
                <w:sz w:val="20"/>
              </w:rPr>
              <w:t>CHF </w:t>
            </w:r>
            <w:r>
              <w:rPr>
                <w:rFonts w:asciiTheme="minorHAnsi" w:hAnsiTheme="minorHAnsi" w:cstheme="minorHAnsi"/>
                <w:sz w:val="20"/>
              </w:rPr>
              <w:t>148 429</w:t>
            </w:r>
          </w:p>
        </w:tc>
      </w:tr>
      <w:tr w:rsidR="00251430" w:rsidRPr="007544E3" w14:paraId="0B19DAA7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6FCADD90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9RAF18089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4A2D845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PRIDA-ITU Delegation Agreement for Action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64FABC2" w14:textId="7C2D6CB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2018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97CD90A" w14:textId="0E3DE353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May 202</w:t>
            </w:r>
            <w:r w:rsidR="00C16F0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59F2AE1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63CAFD6" w14:textId="73CF71AA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Nov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2018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21328421" w14:textId="6BD9AC2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E</w:t>
            </w:r>
            <w:r w:rsidR="00F17CE1">
              <w:rPr>
                <w:rFonts w:asciiTheme="minorHAnsi" w:hAnsiTheme="minorHAnsi" w:cstheme="minorHAnsi"/>
                <w:sz w:val="20"/>
              </w:rPr>
              <w:t xml:space="preserve">uropean </w:t>
            </w:r>
            <w:r w:rsidRPr="007544E3">
              <w:rPr>
                <w:rFonts w:asciiTheme="minorHAnsi" w:hAnsiTheme="minorHAnsi" w:cstheme="minorHAnsi"/>
                <w:sz w:val="20"/>
              </w:rPr>
              <w:t>U</w:t>
            </w:r>
            <w:r w:rsidR="00F17CE1">
              <w:rPr>
                <w:rFonts w:asciiTheme="minorHAnsi" w:hAnsiTheme="minorHAnsi" w:cstheme="minorHAnsi"/>
                <w:sz w:val="20"/>
              </w:rPr>
              <w:t>nion (EU)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2A03A23B" w14:textId="724FE895" w:rsidR="00CC5124" w:rsidRPr="0078776A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EU: EUR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5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</w:p>
          <w:p w14:paraId="68738CC5" w14:textId="2D9D8DAA" w:rsidR="00CC5124" w:rsidRPr="0078776A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ICT-DF: EUR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500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33EC4B84" w14:textId="08C5137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color w:val="000000" w:themeColor="text1"/>
                <w:sz w:val="20"/>
              </w:rPr>
              <w:t>EUR</w:t>
            </w:r>
            <w:r w:rsidR="00453AA1" w:rsidRPr="007544E3">
              <w:rPr>
                <w:rFonts w:asciiTheme="minorHAnsi" w:hAnsiTheme="minorHAnsi" w:cstheme="minorHAnsi"/>
                <w:color w:val="000000" w:themeColor="text1"/>
                <w:sz w:val="20"/>
              </w:rPr>
              <w:t> </w:t>
            </w:r>
            <w:r w:rsidR="00C16F00">
              <w:rPr>
                <w:rFonts w:asciiTheme="minorHAnsi" w:hAnsiTheme="minorHAnsi" w:cstheme="minorHAnsi"/>
                <w:color w:val="000000" w:themeColor="text1"/>
                <w:sz w:val="20"/>
                <w:lang w:eastAsia="en-GB"/>
              </w:rPr>
              <w:t>1 135 713</w:t>
            </w:r>
          </w:p>
        </w:tc>
      </w:tr>
      <w:tr w:rsidR="00251430" w:rsidRPr="007544E3" w14:paraId="36106448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599A925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7GLO20108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12FAB0CF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Boosting digital skills through Digital Transformation Centres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65DA9CD" w14:textId="42B9A554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Jan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247E494" w14:textId="278208E3" w:rsidR="00CC5124" w:rsidRPr="007544E3" w:rsidRDefault="00C16F00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Sep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="00CC5124" w:rsidRPr="007544E3">
              <w:rPr>
                <w:rFonts w:asciiTheme="minorHAnsi" w:hAnsiTheme="minorHAnsi" w:cstheme="minorHAnsi"/>
                <w:sz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5B18EA11" w14:textId="5CFCA604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Multi-</w:t>
            </w:r>
            <w:r w:rsidR="00456308">
              <w:rPr>
                <w:rFonts w:asciiTheme="minorHAnsi" w:hAnsiTheme="minorHAnsi" w:cstheme="minorHAnsi"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</w:rPr>
              <w:t>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5D86205" w14:textId="6D564C59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Nov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2020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9353D79" w14:textId="6C5718DD" w:rsidR="00CC5124" w:rsidRPr="007544E3" w:rsidRDefault="002F0D0B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</w:rPr>
              <w:t>Norwegian Agency for Development Cooperation (N</w:t>
            </w:r>
            <w:r>
              <w:rPr>
                <w:rFonts w:asciiTheme="minorHAnsi" w:hAnsiTheme="minorHAnsi" w:cstheme="minorHAnsi"/>
                <w:sz w:val="20"/>
              </w:rPr>
              <w:t>ORAD</w:t>
            </w:r>
            <w:r w:rsidRPr="002F0D0B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A8414C3" w14:textId="0030F4CD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NORAD: CHF 3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008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468</w:t>
            </w:r>
          </w:p>
          <w:p w14:paraId="481D5375" w14:textId="1C75044A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CHF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759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024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29DA4832" w14:textId="04411AC1" w:rsidR="00CC5124" w:rsidRPr="007544E3" w:rsidRDefault="00C16F00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CHF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="00CC5124"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092 317</w:t>
            </w:r>
          </w:p>
        </w:tc>
      </w:tr>
      <w:tr w:rsidR="00251430" w:rsidRPr="007544E3" w14:paraId="7229A279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DE3E7E3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7RAF21102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1B43BF1E" w14:textId="77777777" w:rsidR="00CC5124" w:rsidRPr="0078776A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Benchmarking des TIC en Afrique Centrale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11079899" w14:textId="6AB3597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Jun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6B75EFFC" w14:textId="67799859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> 202</w:t>
            </w:r>
            <w:r w:rsidR="009037F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26847E8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3F79F32" w14:textId="5E367E37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Jun</w:t>
            </w:r>
            <w:r w:rsidR="004C01BB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  <w:szCs w:val="20"/>
              </w:rPr>
              <w:t> 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0DA30EF1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COFED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64AE543" w14:textId="43916CE1" w:rsidR="00CC5124" w:rsidRPr="0078776A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COFED (EU):</w:t>
            </w:r>
            <w:r w:rsidR="0093015D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EUR</w:t>
            </w:r>
            <w:r w:rsidR="00453AA1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1</w:t>
            </w:r>
            <w:r w:rsidR="00453AA1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000</w:t>
            </w:r>
            <w:r w:rsidR="00453AA1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000</w:t>
            </w:r>
          </w:p>
          <w:p w14:paraId="2FD34F1B" w14:textId="636EED92" w:rsidR="00CC5124" w:rsidRPr="0078776A" w:rsidRDefault="00CC5124" w:rsidP="00FA32B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8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ICT</w:t>
            </w:r>
            <w:r w:rsidR="0093015D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-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DF:</w:t>
            </w:r>
            <w:r w:rsidR="0093015D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EUR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300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88E9CFE" w14:textId="32C009D9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EUR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="00C16F00">
              <w:rPr>
                <w:rFonts w:asciiTheme="minorHAnsi" w:hAnsiTheme="minorHAnsi" w:cstheme="minorHAnsi"/>
                <w:sz w:val="20"/>
              </w:rPr>
              <w:t>001 519</w:t>
            </w:r>
          </w:p>
        </w:tc>
      </w:tr>
      <w:tr w:rsidR="00251430" w:rsidRPr="007544E3" w14:paraId="4BA8CCF2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24AF2DE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9GLO21116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05412AD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Giga and DAP – Promoting enabling policy and regulation (LDCs)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45D637E" w14:textId="3F2B3AF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Mar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> 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DBEC126" w14:textId="624AA711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Mar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</w:t>
            </w:r>
            <w:r w:rsidR="00C16F00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2A04A99F" w14:textId="32FF0CF1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Multi-</w:t>
            </w:r>
            <w:r w:rsidR="00456308">
              <w:rPr>
                <w:rFonts w:asciiTheme="minorHAnsi" w:hAnsiTheme="minorHAnsi" w:cstheme="minorHAnsi"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</w:rPr>
              <w:t>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0FEBF1EF" w14:textId="7722D41E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Mar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69AD2800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UK Foreign, Commonwealth and </w:t>
            </w:r>
            <w:r w:rsidRPr="007544E3">
              <w:rPr>
                <w:rFonts w:asciiTheme="minorHAnsi" w:hAnsiTheme="minorHAnsi" w:cstheme="minorHAnsi"/>
                <w:sz w:val="20"/>
              </w:rPr>
              <w:lastRenderedPageBreak/>
              <w:t>Development Office </w:t>
            </w:r>
            <w:r w:rsidRPr="007544E3">
              <w:rPr>
                <w:rFonts w:asciiTheme="minorHAnsi" w:hAnsiTheme="minorHAnsi" w:cstheme="minorHAnsi"/>
                <w:sz w:val="20"/>
              </w:rPr>
              <w:br/>
              <w:t>(FCDO)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2E48176" w14:textId="735679E5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FCDO: GBP 1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="00C16F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855 641</w:t>
            </w:r>
          </w:p>
          <w:p w14:paraId="03475035" w14:textId="6E053085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276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6914525E" w14:textId="52F91A3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5</w:t>
            </w:r>
            <w:r w:rsidR="00C16F00">
              <w:rPr>
                <w:rFonts w:asciiTheme="minorHAnsi" w:hAnsiTheme="minorHAnsi" w:cstheme="minorHAnsi"/>
                <w:sz w:val="20"/>
              </w:rPr>
              <w:t>93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="00C16F00">
              <w:rPr>
                <w:rFonts w:asciiTheme="minorHAnsi" w:hAnsiTheme="minorHAnsi" w:cstheme="minorHAnsi"/>
                <w:sz w:val="20"/>
              </w:rPr>
              <w:t>540</w:t>
            </w:r>
          </w:p>
        </w:tc>
      </w:tr>
      <w:tr w:rsidR="00251430" w:rsidRPr="007544E3" w14:paraId="426A117D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5CB2FD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9GLO21112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7EF803DA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Creating a Safe and Prosperous Cyberspace for Children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BB8C8D8" w14:textId="5FBB0F7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AFDC9AE" w14:textId="00A096C5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52EEF6E" w14:textId="1FDA791B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Multi-</w:t>
            </w:r>
            <w:r w:rsidR="004563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egional</w:t>
            </w:r>
          </w:p>
          <w:p w14:paraId="74A412EB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5576B7E8" w14:textId="2DEB088F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467A26E8" w14:textId="5627CCFF" w:rsidR="002F0D0B" w:rsidRPr="007544E3" w:rsidRDefault="00CC5124" w:rsidP="009049B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Saudi Arabia</w:t>
            </w:r>
            <w:r w:rsidR="009049B6">
              <w:rPr>
                <w:rFonts w:asciiTheme="minorHAnsi" w:hAnsiTheme="minorHAnsi" w:cstheme="minorHAnsi"/>
                <w:sz w:val="20"/>
              </w:rPr>
              <w:br/>
            </w:r>
            <w:r w:rsidR="002F0D0B">
              <w:rPr>
                <w:rFonts w:asciiTheme="minorHAnsi" w:hAnsiTheme="minorHAnsi" w:cstheme="minorHAnsi"/>
                <w:sz w:val="20"/>
              </w:rPr>
              <w:t>National Cybersecurity Authority (NCA)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7337423" w14:textId="09C72FEF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NCA:</w:t>
            </w:r>
            <w:r w:rsidR="002F0D0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612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500</w:t>
            </w:r>
          </w:p>
          <w:p w14:paraId="6BFB4518" w14:textId="357E92AC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400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291915E7" w14:textId="2F6C125F" w:rsidR="00CC5124" w:rsidRPr="007544E3" w:rsidRDefault="00C16F00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507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67</w:t>
            </w:r>
            <w:r w:rsidR="00CC5124" w:rsidRPr="007544E3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251430" w:rsidRPr="007544E3" w14:paraId="0E5DB389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5AFD0FD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9RAF21101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39566761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Accelerating Africa’s Digital Transformation Through Connectivity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2C8C2C3" w14:textId="25937EA2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2AE49A78" w14:textId="1BB3A664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</w:t>
            </w:r>
            <w:r w:rsidR="00AB0B51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1F06A917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5D91935F" w14:textId="0AC16E36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4CF904F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Microsoft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9DFF6A6" w14:textId="3B38DFB2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Microsoft: USD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500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000</w:t>
            </w:r>
          </w:p>
          <w:p w14:paraId="400610E0" w14:textId="48051C5F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43C241A8" w14:textId="4793E2C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484257"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484257">
              <w:rPr>
                <w:rFonts w:asciiTheme="minorHAnsi" w:hAnsiTheme="minorHAnsi" w:cstheme="minorHAnsi"/>
                <w:sz w:val="20"/>
              </w:rPr>
              <w:t> </w:t>
            </w:r>
            <w:r w:rsidRPr="00484257">
              <w:rPr>
                <w:rFonts w:asciiTheme="minorHAnsi" w:hAnsiTheme="minorHAnsi" w:cstheme="minorHAnsi"/>
                <w:sz w:val="20"/>
              </w:rPr>
              <w:t>100</w:t>
            </w:r>
            <w:r w:rsidR="00453AA1" w:rsidRPr="00484257">
              <w:rPr>
                <w:rFonts w:asciiTheme="minorHAnsi" w:hAnsiTheme="minorHAnsi" w:cstheme="minorHAnsi"/>
                <w:sz w:val="20"/>
              </w:rPr>
              <w:t> </w:t>
            </w:r>
            <w:r w:rsidRPr="00484257">
              <w:rPr>
                <w:rFonts w:asciiTheme="minorHAnsi" w:hAnsiTheme="minorHAnsi" w:cstheme="minorHAnsi"/>
                <w:sz w:val="20"/>
              </w:rPr>
              <w:t>602</w:t>
            </w:r>
          </w:p>
        </w:tc>
      </w:tr>
      <w:tr w:rsidR="00775E23" w:rsidRPr="007544E3" w14:paraId="6C085CC3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EFEDED9" w14:textId="1786E312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9UGA21008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02B7EC2C" w14:textId="2CC1D539" w:rsidR="00775E23" w:rsidRPr="007544E3" w:rsidRDefault="00775E23" w:rsidP="00775E23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Technical Assistance and Training to Uganda on National ICT Development Strategy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64EC1672" w14:textId="231DC194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Jan.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5025F1AD" w14:textId="47980463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Dec.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5AB557A8" w14:textId="2DED1798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79F0B1C0" w14:textId="7BAEDC96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Feb.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21E01E45" w14:textId="7E51536F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Ministry of Industry and Information Technology of the People's Republic of China (MIIT)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0FACDBA" w14:textId="77777777" w:rsidR="00775E23" w:rsidRPr="002F0D0B" w:rsidRDefault="00775E23" w:rsidP="00775E23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MIIT: USD 1 800 000</w:t>
            </w:r>
          </w:p>
          <w:p w14:paraId="2DF5F8EF" w14:textId="00B30A8D" w:rsidR="00775E23" w:rsidRPr="007544E3" w:rsidRDefault="00775E23" w:rsidP="00775E23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ICT-DF: USD 100 000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05BC7AF" w14:textId="6FA87C9D" w:rsidR="00775E23" w:rsidRPr="00AB0B51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USD 1 464 894</w:t>
            </w:r>
          </w:p>
        </w:tc>
      </w:tr>
      <w:tr w:rsidR="00775E23" w:rsidRPr="007544E3" w14:paraId="43400113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AE688D9" w14:textId="2DC1987C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7GLO22121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091CCAF2" w14:textId="77039F64" w:rsidR="00775E23" w:rsidRPr="007544E3" w:rsidRDefault="00775E23" w:rsidP="00775E23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Bridging the Digital Gender Divide for Women Entrepreneurs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0A25EC9" w14:textId="6106B111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Feb. 2022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601B19B0" w14:textId="58C3CF30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Apr.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AB55885" w14:textId="6AF0417F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eastAsia="Times New Roman" w:hAnsiTheme="minorHAnsi" w:cstheme="minorHAnsi"/>
                <w:sz w:val="20"/>
                <w:szCs w:val="20"/>
              </w:rPr>
              <w:t>Multi-Regional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A11A926" w14:textId="1E0D95E8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Feb. 2022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429317E8" w14:textId="0A3CA6FF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Mary Kay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3DF4393" w14:textId="77777777" w:rsidR="00775E23" w:rsidRPr="002F0D0B" w:rsidRDefault="00775E23" w:rsidP="00775E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Mary Kay: USD 220 000</w:t>
            </w:r>
          </w:p>
          <w:p w14:paraId="2008F7D9" w14:textId="37304E6C" w:rsidR="00775E23" w:rsidRPr="007544E3" w:rsidRDefault="00775E23" w:rsidP="00775E23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ICT-DF: USD 55 000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13190E23" w14:textId="533D4DEA" w:rsidR="00775E23" w:rsidRPr="00AB0B51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USD 30 472</w:t>
            </w:r>
          </w:p>
        </w:tc>
      </w:tr>
      <w:tr w:rsidR="009D2B6A" w:rsidRPr="007544E3" w14:paraId="53316430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02347AE6" w14:textId="4A80A904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7RAS23072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325B6C8C" w14:textId="44E0E45B" w:rsidR="009D2B6A" w:rsidRPr="002F0D0B" w:rsidRDefault="009D2B6A" w:rsidP="009D2B6A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Accelerating Digital Transformation in Asia-Pacific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78600A07" w14:textId="02A5521A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Aug.</w:t>
            </w:r>
            <w:r w:rsidRPr="009D2B6A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2023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176DB737" w14:textId="2FFCAB61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Jul</w:t>
            </w:r>
            <w:r w:rsidR="0023537B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2025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671A7871" w14:textId="345B7DB7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Asia-Pacific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7D8B817B" w14:textId="33425E05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Aug</w:t>
            </w:r>
            <w:r w:rsidR="0048425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  <w:r w:rsidRPr="009D2B6A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2023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6BF3443E" w14:textId="5A17D2AC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9D2B6A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Department of Infrastructure, Transport, Regional Development, Communications and the Arts (DITRDCA)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1FAC6FF" w14:textId="77777777" w:rsidR="009049B6" w:rsidRPr="009049B6" w:rsidRDefault="009D2B6A" w:rsidP="009049B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DITRDCA: USD 270</w:t>
            </w:r>
            <w:r w:rsidR="0023537B" w:rsidRPr="009049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000 </w:t>
            </w:r>
          </w:p>
          <w:p w14:paraId="6E8DE266" w14:textId="4A12E57D" w:rsidR="009D2B6A" w:rsidRPr="009049B6" w:rsidRDefault="009D2B6A" w:rsidP="009049B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ICT-DF:</w:t>
            </w:r>
            <w:r w:rsidR="0023537B" w:rsidRPr="009049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USD 67</w:t>
            </w:r>
            <w:r w:rsidR="0023537B" w:rsidRPr="009049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9049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Pr="009049B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4336834" w14:textId="65C44500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337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500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D2B6A" w:rsidRPr="007544E3" w14:paraId="02494972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0CBC06BB" w14:textId="0DC296B3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lastRenderedPageBreak/>
              <w:t>7RAS24076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245AD91A" w14:textId="7D1BFE6F" w:rsidR="009D2B6A" w:rsidRPr="009D2B6A" w:rsidRDefault="009D2B6A" w:rsidP="009D2B6A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Feasibility study: Addressing the special telecommunications/ICT needs of the Pacific Small Island Developing States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C477184" w14:textId="63F253DF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6BDAC232" w14:textId="5ECF427F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Dec.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20DCB622" w14:textId="77777777" w:rsidR="009D2B6A" w:rsidRPr="009D2B6A" w:rsidRDefault="009D2B6A" w:rsidP="009D2B6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E43EC60" w14:textId="77777777" w:rsidR="009D2B6A" w:rsidRPr="009D2B6A" w:rsidRDefault="009D2B6A" w:rsidP="009D2B6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imes New Roman" w:hAnsiTheme="minorHAnsi" w:cstheme="minorHAnsi"/>
                <w:sz w:val="20"/>
                <w:szCs w:val="20"/>
              </w:rPr>
              <w:t>Asia-Pacific</w:t>
            </w:r>
          </w:p>
          <w:p w14:paraId="4258F1EC" w14:textId="77777777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945CB04" w14:textId="2B5B0906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 w:rsidR="009049B6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58A41F4" w14:textId="2C244B91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9D2B6A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Department of Infrastructure, Transport, Regional Development, Communications and the Arts (DITRDCA)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2F5C72BC" w14:textId="5FCADE28" w:rsidR="009D2B6A" w:rsidRPr="009D2B6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DITRDCA: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569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916</w:t>
            </w:r>
          </w:p>
          <w:p w14:paraId="08AA6CEB" w14:textId="52A78B58" w:rsidR="009D2B6A" w:rsidRPr="009D2B6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ICT-DF: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189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972</w:t>
            </w:r>
          </w:p>
          <w:p w14:paraId="1410FDE4" w14:textId="77777777" w:rsidR="009D2B6A" w:rsidRPr="009D2B6A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6AE8DBE8" w14:textId="5B2CA11E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USD 759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888</w:t>
            </w:r>
          </w:p>
        </w:tc>
      </w:tr>
      <w:tr w:rsidR="009D2B6A" w:rsidRPr="007544E3" w14:paraId="42CDAFD7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6DCA9B55" w14:textId="139C761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7RAS23073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190948C3" w14:textId="77777777" w:rsidR="0023537B" w:rsidRDefault="0023537B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8286524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746AE75B" w14:textId="0B10A7FD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8286524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Pathways to Cybersecurity in Pacific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0B5FB4D" w14:textId="443A8532" w:rsidR="009D2B6A" w:rsidRPr="002F0D0B" w:rsidRDefault="009D2B6A" w:rsidP="009D2B6A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0767059" w14:textId="7E30BC7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0747AE3" w14:textId="77777777" w:rsidR="009D2B6A" w:rsidRDefault="009D2B6A" w:rsidP="00E4730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divId w:val="97290811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76906973" w14:textId="0B477A23" w:rsidR="009D2B6A" w:rsidRPr="00E47302" w:rsidRDefault="009D2B6A" w:rsidP="00E4730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divId w:val="972908110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Jun</w:t>
            </w:r>
            <w:r w:rsidRPr="00E4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  <w:r w:rsidR="0023537B" w:rsidRPr="00E4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2026</w:t>
            </w:r>
            <w:r w:rsidRPr="00E47302">
              <w:rPr>
                <w:rStyle w:val="normaltextrun"/>
              </w:rPr>
              <w:t> </w:t>
            </w:r>
          </w:p>
          <w:p w14:paraId="4AC0C2B9" w14:textId="1D2A4628" w:rsidR="009D2B6A" w:rsidRPr="00E47302" w:rsidRDefault="009D2B6A" w:rsidP="00E4730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divId w:val="972908110"/>
              <w:rPr>
                <w:rStyle w:val="normaltextrun"/>
              </w:rPr>
            </w:pPr>
            <w:r w:rsidRPr="00E47302">
              <w:rPr>
                <w:rStyle w:val="normaltextrun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7B37E471" w14:textId="77777777" w:rsidR="009D2B6A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79D23D3A" w14:textId="7F9B1314" w:rsidR="009D2B6A" w:rsidRPr="00C56AA0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Asia-Pacific</w:t>
            </w:r>
            <w:r w:rsidRPr="00C56AA0">
              <w:rPr>
                <w:rStyle w:val="normaltextrun"/>
              </w:rPr>
              <w:t> </w:t>
            </w:r>
          </w:p>
          <w:p w14:paraId="5FFB1C7B" w14:textId="1183CBF7" w:rsidR="009D2B6A" w:rsidRPr="00C56AA0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</w:rPr>
            </w:pPr>
            <w:r w:rsidRPr="00C56AA0">
              <w:rPr>
                <w:rStyle w:val="normaltextrun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3F807C64" w14:textId="198BDD5E" w:rsidR="009D2B6A" w:rsidRPr="00C56AA0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C56AA0">
              <w:rPr>
                <w:rStyle w:val="normaltextrun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F30DCC6" w14:textId="335A89AB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Japan</w:t>
            </w:r>
            <w:r w:rsidRPr="002F0D0B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0D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Ministry of Internal Affairs and Communication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(MIC)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C0EDC8C" w14:textId="2DDA6966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0092946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MIC: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USD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 </w:t>
            </w:r>
          </w:p>
          <w:p w14:paraId="5092669B" w14:textId="3738BC17" w:rsidR="009D2B6A" w:rsidRPr="002F0D0B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ICT-DF: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USD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37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500 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1B771783" w14:textId="5C8014C4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187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500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D2B6A" w:rsidRPr="007544E3" w14:paraId="41DB7AA2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74A6F994" w14:textId="65AD7E9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7RAS24074 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44C1A969" w14:textId="4BDE21AC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Enhancing Digital infrastructure and affordable access to ICT services in Asia and the Pacific - Phase 2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548D0AB8" w14:textId="34DAD94D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1E10C0F" w14:textId="0BC16852" w:rsidR="009D2B6A" w:rsidRPr="002F0D0B" w:rsidRDefault="009D2B6A" w:rsidP="00C56A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Sep.</w:t>
            </w:r>
            <w:r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495BDB22" w14:textId="77777777" w:rsidR="009D2B6A" w:rsidRPr="00E47302" w:rsidRDefault="009D2B6A" w:rsidP="00E47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E47302">
              <w:rPr>
                <w:rFonts w:asciiTheme="minorHAnsi" w:eastAsia="Trebuchet MS" w:hAnsiTheme="minorHAnsi" w:cstheme="minorHAnsi"/>
                <w:sz w:val="20"/>
                <w:szCs w:val="20"/>
              </w:rPr>
              <w:br/>
              <w:t>Asia-Pacific</w:t>
            </w:r>
          </w:p>
          <w:p w14:paraId="719885C5" w14:textId="77777777" w:rsidR="009D2B6A" w:rsidRPr="00E47302" w:rsidRDefault="009D2B6A" w:rsidP="00E47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Trebuchet MS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0350CD1B" w14:textId="5FD1A8F4" w:rsidR="009D2B6A" w:rsidRPr="00E47302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4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Jan. </w:t>
            </w:r>
            <w:r w:rsidRPr="00E47302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4DD94612" w14:textId="43955A11" w:rsidR="009D2B6A" w:rsidRPr="002F0D0B" w:rsidRDefault="009D2B6A" w:rsidP="005B766A">
            <w:pPr>
              <w:spacing w:after="12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Japan</w:t>
            </w:r>
            <w:r w:rsidRPr="007554DA">
              <w:rPr>
                <w:rFonts w:asciiTheme="minorHAnsi" w:hAnsiTheme="minorHAnsi" w:cstheme="minorHAnsi"/>
                <w:sz w:val="20"/>
                <w:szCs w:val="20"/>
              </w:rPr>
              <w:br/>
              <w:t>Ministry of Internal Affairs and Communication</w:t>
            </w:r>
            <w:r w:rsidR="000F13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1345" w:rsidRPr="005B766A">
              <w:rPr>
                <w:rStyle w:val="normaltextrun"/>
                <w:sz w:val="20"/>
                <w:szCs w:val="20"/>
              </w:rPr>
              <w:t>(MIC</w:t>
            </w:r>
            <w:r w:rsidRPr="005B766A">
              <w:rPr>
                <w:rStyle w:val="normaltextrun"/>
                <w:sz w:val="20"/>
                <w:szCs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D017198" w14:textId="40BB70A6" w:rsidR="009D2B6A" w:rsidRPr="007554D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MIC: USD 150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</w:p>
          <w:p w14:paraId="7B6FB3D3" w14:textId="3ED4758D" w:rsidR="009D2B6A" w:rsidRPr="007554D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ICT-DF: USD 3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7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500</w:t>
            </w:r>
          </w:p>
          <w:p w14:paraId="23620266" w14:textId="2630E657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0202D614" w14:textId="5D61F04C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USD 187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500</w:t>
            </w:r>
          </w:p>
        </w:tc>
      </w:tr>
      <w:tr w:rsidR="009D2B6A" w:rsidRPr="007544E3" w14:paraId="7601FF73" w14:textId="77777777" w:rsidTr="0020069E">
        <w:trPr>
          <w:trHeight w:val="1305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A87EDCE" w14:textId="6A09583D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7GLO23133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BBADE90" w14:textId="4A126143" w:rsidR="009D2B6A" w:rsidRPr="0020069E" w:rsidRDefault="009D2B6A" w:rsidP="0020069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Boosting digital skills through Digital Transformation Centres (DTCs) - Phase 2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2AF91547" w14:textId="196920C3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0B20BE7" w14:textId="61D5676F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2025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397F5EDB" w14:textId="526AAAD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Multi-</w:t>
            </w:r>
            <w:r w:rsidRPr="002F0D0B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0D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666CB67" w14:textId="169519EA" w:rsidR="009D2B6A" w:rsidRPr="0020069E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20069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10961213" w14:textId="3F212249" w:rsidR="009D2B6A" w:rsidRPr="002F0D0B" w:rsidRDefault="009D2B6A" w:rsidP="005B766A">
            <w:pPr>
              <w:jc w:val="center"/>
              <w:divId w:val="8994089"/>
              <w:rPr>
                <w:rFonts w:asciiTheme="minorHAnsi" w:hAnsiTheme="minorHAnsi" w:cstheme="minorHAnsi"/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Norwegian Agency for Development Cooperation (NORAD) 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4413047" w14:textId="78FA6497" w:rsidR="009D2B6A" w:rsidRPr="0020069E" w:rsidRDefault="009D2B6A" w:rsidP="0020069E">
            <w:pPr>
              <w:jc w:val="center"/>
              <w:divId w:val="106017867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069E">
              <w:rPr>
                <w:sz w:val="20"/>
                <w:szCs w:val="20"/>
              </w:rPr>
              <w:t>NORAD: CHF 834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276</w:t>
            </w:r>
            <w:r w:rsidRPr="0020069E">
              <w:rPr>
                <w:sz w:val="20"/>
                <w:szCs w:val="20"/>
                <w:lang w:val="en-US"/>
              </w:rPr>
              <w:t> </w:t>
            </w:r>
          </w:p>
          <w:p w14:paraId="68402CB4" w14:textId="3267B3D2" w:rsidR="009D2B6A" w:rsidRPr="002F0D0B" w:rsidRDefault="009D2B6A" w:rsidP="0020069E">
            <w:pPr>
              <w:jc w:val="center"/>
              <w:divId w:val="1087001866"/>
              <w:rPr>
                <w:rFonts w:asciiTheme="minorHAnsi" w:hAnsiTheme="minorHAnsi" w:cstheme="minorHAnsi"/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ICT-DF:</w:t>
            </w:r>
            <w:r w:rsidRPr="0020069E">
              <w:rPr>
                <w:sz w:val="20"/>
                <w:szCs w:val="20"/>
                <w:lang w:val="en-US"/>
              </w:rPr>
              <w:t> </w:t>
            </w:r>
            <w:r w:rsidRPr="0020069E">
              <w:rPr>
                <w:sz w:val="20"/>
                <w:szCs w:val="20"/>
              </w:rPr>
              <w:t>CHF 268</w:t>
            </w:r>
            <w:r w:rsidR="0023537B" w:rsidRPr="0020069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0069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00FFF260" w14:textId="2349BB9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CHF 1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102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276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A72E3" w:rsidRPr="007544E3" w14:paraId="4E63A716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5FA38EA2" w14:textId="3ECA846E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7SUR23017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20A3BD96" w14:textId="7A473843" w:rsidR="00AA72E3" w:rsidRPr="002F0D0B" w:rsidRDefault="00AA72E3" w:rsidP="00AA72E3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National Computer Incident Response Team (CIRT) Implementation – Suriname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4ACEA13" w14:textId="19ECF4BF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Feb.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89CB8CA" w14:textId="3DE00D6B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Feb. 2026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6F69E7B6" w14:textId="576F8528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Americas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CEB1226" w14:textId="28D61F6D" w:rsidR="00AA72E3" w:rsidRPr="002F0D0B" w:rsidRDefault="0023537B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scxw242189522"/>
                <w:rFonts w:asciiTheme="minorHAnsi" w:hAnsiTheme="minorHAnsi" w:cstheme="minorHAnsi"/>
                <w:sz w:val="20"/>
              </w:rPr>
            </w:pPr>
            <w:r>
              <w:rPr>
                <w:rStyle w:val="scxw242189522"/>
                <w:rFonts w:asciiTheme="minorHAnsi" w:hAnsiTheme="minorHAnsi" w:cstheme="minorHAnsi"/>
                <w:sz w:val="20"/>
              </w:rPr>
              <w:t>Dec. 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71241E55" w14:textId="672D3932" w:rsidR="00AA72E3" w:rsidRPr="002F0D0B" w:rsidRDefault="0023537B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Government of Suriname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290F43C" w14:textId="0D5DF144" w:rsidR="0023537B" w:rsidRPr="0020069E" w:rsidRDefault="0023537B" w:rsidP="0020069E">
            <w:pPr>
              <w:jc w:val="center"/>
              <w:rPr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Gov</w:t>
            </w:r>
            <w:r w:rsidR="0020069E">
              <w:rPr>
                <w:sz w:val="20"/>
                <w:szCs w:val="20"/>
              </w:rPr>
              <w:t>ernment</w:t>
            </w:r>
            <w:r w:rsidRPr="0020069E">
              <w:rPr>
                <w:sz w:val="20"/>
                <w:szCs w:val="20"/>
              </w:rPr>
              <w:t xml:space="preserve"> of Suriname: </w:t>
            </w:r>
            <w:r w:rsidR="0020069E">
              <w:rPr>
                <w:sz w:val="20"/>
                <w:szCs w:val="20"/>
              </w:rPr>
              <w:br/>
            </w:r>
            <w:r w:rsidRPr="0020069E">
              <w:rPr>
                <w:sz w:val="20"/>
                <w:szCs w:val="20"/>
              </w:rPr>
              <w:t>USD 200 000</w:t>
            </w:r>
          </w:p>
          <w:p w14:paraId="11AC9D9D" w14:textId="47FC4884" w:rsidR="00AA72E3" w:rsidRPr="002F0D0B" w:rsidRDefault="0023537B" w:rsidP="0020069E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069E">
              <w:rPr>
                <w:sz w:val="20"/>
                <w:szCs w:val="20"/>
              </w:rPr>
              <w:t>ICT-DF: USD 55 000</w:t>
            </w:r>
            <w:r w:rsidR="00AA72E3"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08AB986C" w14:textId="77777777" w:rsidR="00AA72E3" w:rsidRDefault="00AA72E3" w:rsidP="00AA72E3">
            <w:pPr>
              <w:ind w:left="-20" w:right="-20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  <w:p w14:paraId="3A032730" w14:textId="44EF0DFB" w:rsidR="00AA72E3" w:rsidRPr="007554DA" w:rsidRDefault="00AA72E3" w:rsidP="00AA72E3">
            <w:pPr>
              <w:ind w:left="-20"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USD 255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000</w:t>
            </w:r>
          </w:p>
          <w:p w14:paraId="262757E5" w14:textId="26032442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A72E3" w:rsidRPr="007544E3" w14:paraId="656DD106" w14:textId="77777777" w:rsidTr="00771203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0247CB2" w14:textId="789FAD72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7GLO23132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2D08D42" w14:textId="20CDD7EA" w:rsidR="00AA72E3" w:rsidRPr="00E81593" w:rsidRDefault="00AA72E3" w:rsidP="00AA72E3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Generation Connect Young Leadership Programme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25C7F997" w14:textId="3D2A7A26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Nov.</w:t>
            </w:r>
            <w:r w:rsidRPr="00E81593">
              <w:rPr>
                <w:rStyle w:val="scxw14214136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2023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03BEDCD1" w14:textId="393A380F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Apr. 2027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9856740" w14:textId="77777777" w:rsidR="00AA72E3" w:rsidRPr="00E81593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5DD6C6E2" w14:textId="77777777" w:rsidR="00AA72E3" w:rsidRPr="00E81593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Multi-</w:t>
            </w:r>
            <w:r w:rsidRPr="00E81593">
              <w:rPr>
                <w:rStyle w:val="scxw14214136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E8159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C29F1ED" w14:textId="1398B4A1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0032ED30" w14:textId="5CE9D6AA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Nov. 2023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CC206FB" w14:textId="7CAD2FCC" w:rsidR="00AA72E3" w:rsidRPr="00E81593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Huawei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B0F8DF0" w14:textId="10577A5D" w:rsidR="00AA72E3" w:rsidRPr="0020069E" w:rsidRDefault="00AA72E3" w:rsidP="0020069E">
            <w:pPr>
              <w:jc w:val="center"/>
              <w:divId w:val="1862086278"/>
              <w:rPr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Huawei: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USD 1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255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654 </w:t>
            </w:r>
          </w:p>
          <w:p w14:paraId="7A929C08" w14:textId="0D90ACDB" w:rsidR="00AA72E3" w:rsidRPr="00E81593" w:rsidRDefault="00AA72E3" w:rsidP="0020069E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069E">
              <w:rPr>
                <w:sz w:val="20"/>
                <w:szCs w:val="20"/>
              </w:rPr>
              <w:t>ICT-DF: USD 500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000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6578C6C1" w14:textId="11DF436D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1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755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654 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A72E3" w:rsidRPr="007544E3" w14:paraId="3562B1F6" w14:textId="77777777" w:rsidTr="00771203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3967B439" w14:textId="750CD299" w:rsidR="00AA72E3" w:rsidRPr="007554DA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lastRenderedPageBreak/>
              <w:t>7RAS24075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A79CC71" w14:textId="07F81B51" w:rsidR="00AA72E3" w:rsidRPr="007554DA" w:rsidRDefault="00AA72E3" w:rsidP="00AA72E3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Creating a Circular Economy for Electronics and Electricals in Thailand and Mongolia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DA4EDCF" w14:textId="3DA94CCC" w:rsidR="00AA72E3" w:rsidRPr="007554DA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0B43E11D" w14:textId="26A0E19C" w:rsidR="00AA72E3" w:rsidRPr="007554DA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Mar.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629858C7" w14:textId="5811308D" w:rsidR="00AA72E3" w:rsidRPr="00EF1B9E" w:rsidRDefault="0023537B" w:rsidP="00EF1B9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EF1B9E">
              <w:rPr>
                <w:rFonts w:asciiTheme="minorHAnsi" w:eastAsia="Trebuchet MS" w:hAnsiTheme="minorHAnsi" w:cstheme="minorHAnsi"/>
                <w:sz w:val="20"/>
                <w:szCs w:val="20"/>
              </w:rPr>
              <w:br/>
            </w:r>
            <w:r w:rsidR="00AA72E3" w:rsidRPr="00EF1B9E">
              <w:rPr>
                <w:rFonts w:asciiTheme="minorHAnsi" w:eastAsia="Trebuchet MS" w:hAnsiTheme="minorHAnsi" w:cstheme="minorHAnsi"/>
                <w:sz w:val="20"/>
                <w:szCs w:val="20"/>
              </w:rPr>
              <w:t>Asia-Pacific</w:t>
            </w:r>
          </w:p>
          <w:p w14:paraId="461FD0E1" w14:textId="77777777" w:rsidR="00AA72E3" w:rsidRPr="00EF1B9E" w:rsidRDefault="00AA72E3" w:rsidP="00EF1B9E">
            <w:pPr>
              <w:pStyle w:val="paragraph"/>
              <w:keepNext/>
              <w:keepLines/>
              <w:snapToGrid w:val="0"/>
              <w:spacing w:before="80" w:beforeAutospacing="0" w:after="80" w:afterAutospacing="0"/>
              <w:jc w:val="center"/>
              <w:textAlignment w:val="baseline"/>
              <w:rPr>
                <w:rFonts w:asciiTheme="minorHAnsi" w:eastAsia="Trebuchet MS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D9D1C2F" w14:textId="09F281D6" w:rsidR="00AA72E3" w:rsidRPr="00EF1B9E" w:rsidRDefault="0023537B" w:rsidP="00EF1B9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EF1B9E">
              <w:rPr>
                <w:rFonts w:asciiTheme="minorHAnsi" w:eastAsia="Trebuchet MS" w:hAnsiTheme="minorHAnsi" w:cstheme="minorHAnsi"/>
                <w:sz w:val="20"/>
                <w:szCs w:val="20"/>
              </w:rPr>
              <w:t>Jan. 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1F4F05C0" w14:textId="2BCE0C73" w:rsidR="00AA72E3" w:rsidRPr="007554DA" w:rsidRDefault="0023537B" w:rsidP="005B766A">
            <w:pPr>
              <w:spacing w:after="12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7554DA">
              <w:rPr>
                <w:rFonts w:asciiTheme="minorHAnsi" w:hAnsiTheme="minorHAnsi" w:cstheme="minorHAnsi"/>
                <w:sz w:val="20"/>
                <w:szCs w:val="20"/>
              </w:rPr>
              <w:br/>
              <w:t>Department of Infrastructure, Transport, Regional Development, Communications and the Arts</w:t>
            </w:r>
            <w:r w:rsidR="000F1345">
              <w:rPr>
                <w:rFonts w:asciiTheme="minorHAnsi" w:hAnsiTheme="minorHAnsi" w:cstheme="minorHAnsi"/>
                <w:sz w:val="20"/>
                <w:szCs w:val="20"/>
              </w:rPr>
              <w:t xml:space="preserve"> (DITRDCA</w:t>
            </w:r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0FE4BCF3" w14:textId="118EF443" w:rsidR="0023537B" w:rsidRPr="007554DA" w:rsidRDefault="0023537B" w:rsidP="002353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DITRDCA: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256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800</w:t>
            </w:r>
          </w:p>
          <w:p w14:paraId="55316DF3" w14:textId="349BC10B" w:rsidR="0023537B" w:rsidRPr="007554DA" w:rsidRDefault="0023537B" w:rsidP="002353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ICT-DF: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60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</w:p>
          <w:p w14:paraId="359C65F3" w14:textId="711A1000" w:rsidR="00AA72E3" w:rsidRPr="007554DA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4BFFF4E4" w14:textId="2B232324" w:rsidR="00AA72E3" w:rsidRPr="007554DA" w:rsidRDefault="00261E30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 xml:space="preserve">USD </w:t>
            </w:r>
            <w:r w:rsidR="00AA72E3" w:rsidRPr="007554DA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>316</w:t>
            </w:r>
            <w:r w:rsidR="0023537B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A72E3" w:rsidRPr="007554DA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>800</w:t>
            </w:r>
          </w:p>
        </w:tc>
      </w:tr>
    </w:tbl>
    <w:p w14:paraId="1DB625A8" w14:textId="304EF1DF" w:rsidR="00966651" w:rsidRDefault="005D5D5F" w:rsidP="0096665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center"/>
        <w:textAlignment w:val="auto"/>
        <w:rPr>
          <w:rStyle w:val="Hyperlink"/>
          <w:rFonts w:asciiTheme="minorHAnsi" w:hAnsiTheme="minorHAnsi" w:cstheme="minorHAnsi"/>
          <w:i/>
          <w:iCs/>
          <w:kern w:val="24"/>
          <w:sz w:val="20"/>
        </w:rPr>
      </w:pPr>
      <w:r w:rsidRPr="007544E3">
        <w:rPr>
          <w:i/>
          <w:iCs/>
          <w:sz w:val="20"/>
        </w:rPr>
        <w:t xml:space="preserve">More details on projects </w:t>
      </w:r>
      <w:r w:rsidRPr="007544E3">
        <w:rPr>
          <w:rFonts w:asciiTheme="minorHAnsi" w:hAnsiTheme="minorHAnsi" w:cstheme="minorHAnsi"/>
          <w:i/>
          <w:iCs/>
          <w:spacing w:val="-2"/>
          <w:sz w:val="20"/>
        </w:rPr>
        <w:t xml:space="preserve">at </w:t>
      </w:r>
      <w:hyperlink r:id="rId43" w:history="1">
        <w:r w:rsidRPr="007544E3">
          <w:rPr>
            <w:rStyle w:val="Hyperlink"/>
            <w:rFonts w:asciiTheme="minorHAnsi" w:hAnsiTheme="minorHAnsi" w:cstheme="minorHAnsi"/>
            <w:i/>
            <w:iCs/>
            <w:kern w:val="24"/>
            <w:sz w:val="20"/>
          </w:rPr>
          <w:t>www.itu.int/en/ITU-D/Projects</w:t>
        </w:r>
      </w:hyperlink>
    </w:p>
    <w:p w14:paraId="07A17D83" w14:textId="656EE335" w:rsidR="00B76AE4" w:rsidRPr="00B76AE4" w:rsidRDefault="00B76AE4" w:rsidP="00B76A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szCs w:val="24"/>
        </w:rPr>
      </w:pPr>
      <w:r w:rsidRPr="00B76AE4">
        <w:rPr>
          <w:rStyle w:val="Hyperlink"/>
          <w:rFonts w:asciiTheme="minorHAnsi" w:hAnsiTheme="minorHAnsi" w:cstheme="minorHAnsi"/>
          <w:color w:val="auto"/>
          <w:kern w:val="24"/>
          <w:szCs w:val="24"/>
          <w:u w:val="none"/>
        </w:rPr>
        <w:t>__________________</w:t>
      </w:r>
    </w:p>
    <w:sectPr w:rsidR="00B76AE4" w:rsidRPr="00B76AE4" w:rsidSect="002D3CC4">
      <w:headerReference w:type="default" r:id="rId44"/>
      <w:footerReference w:type="default" r:id="rId45"/>
      <w:headerReference w:type="first" r:id="rId46"/>
      <w:footerReference w:type="first" r:id="rId47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F873" w14:textId="77777777" w:rsidR="002D3CC4" w:rsidRDefault="002D3CC4">
      <w:r>
        <w:separator/>
      </w:r>
    </w:p>
  </w:endnote>
  <w:endnote w:type="continuationSeparator" w:id="0">
    <w:p w14:paraId="2C03738C" w14:textId="77777777" w:rsidR="002D3CC4" w:rsidRDefault="002D3CC4">
      <w:r>
        <w:continuationSeparator/>
      </w:r>
    </w:p>
  </w:endnote>
  <w:endnote w:type="continuationNotice" w:id="1">
    <w:p w14:paraId="5F1686C8" w14:textId="77777777" w:rsidR="002D3CC4" w:rsidRDefault="002D3C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771203">
      <w:trPr>
        <w:jc w:val="center"/>
      </w:trPr>
      <w:tc>
        <w:tcPr>
          <w:tcW w:w="1803" w:type="dxa"/>
          <w:vAlign w:val="center"/>
        </w:tcPr>
        <w:p w14:paraId="3FDA5160" w14:textId="00490001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5709C74" w14:textId="661FD488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41E84">
            <w:rPr>
              <w:bCs/>
            </w:rPr>
            <w:t>3</w:t>
          </w:r>
          <w:r w:rsidRPr="00623AE3">
            <w:rPr>
              <w:bCs/>
            </w:rPr>
            <w:t>/</w:t>
          </w:r>
          <w:r w:rsidR="00FB145F">
            <w:rPr>
              <w:bCs/>
            </w:rPr>
            <w:t>34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6AE8" w14:textId="77777777" w:rsidR="00640193" w:rsidRPr="00132165" w:rsidRDefault="00640193" w:rsidP="001321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7198" w14:textId="77777777" w:rsidR="00640193" w:rsidRPr="008544B7" w:rsidRDefault="00640193" w:rsidP="008544B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59CB" w14:textId="77777777" w:rsidR="00FC3863" w:rsidRPr="008544B7" w:rsidRDefault="00FC3863" w:rsidP="008544B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7462" w14:textId="77777777" w:rsidR="00FC3863" w:rsidRPr="008544B7" w:rsidRDefault="00FC3863" w:rsidP="00854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B958" w14:textId="77777777" w:rsidR="002D3CC4" w:rsidRDefault="002D3CC4">
      <w:r>
        <w:t>____________________</w:t>
      </w:r>
    </w:p>
  </w:footnote>
  <w:footnote w:type="continuationSeparator" w:id="0">
    <w:p w14:paraId="4C25AAA3" w14:textId="77777777" w:rsidR="002D3CC4" w:rsidRDefault="002D3CC4">
      <w:r>
        <w:continuationSeparator/>
      </w:r>
    </w:p>
  </w:footnote>
  <w:footnote w:type="continuationNotice" w:id="1">
    <w:p w14:paraId="6D4F5A3B" w14:textId="77777777" w:rsidR="002D3CC4" w:rsidRDefault="002D3CC4">
      <w:pPr>
        <w:spacing w:before="0"/>
      </w:pPr>
    </w:p>
  </w:footnote>
  <w:footnote w:id="2">
    <w:p w14:paraId="12E75D9A" w14:textId="77777777" w:rsidR="00445664" w:rsidRPr="0013310F" w:rsidRDefault="00445664" w:rsidP="00445664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  <w:tab w:val="left" w:pos="284"/>
        </w:tabs>
        <w:spacing w:before="60"/>
        <w:ind w:left="284" w:hanging="284"/>
        <w:rPr>
          <w:i/>
          <w:iCs/>
          <w:sz w:val="18"/>
          <w:szCs w:val="18"/>
          <w:lang w:val="en-US"/>
        </w:rPr>
      </w:pPr>
      <w:r w:rsidRPr="0013310F">
        <w:rPr>
          <w:rStyle w:val="FootnoteReference"/>
          <w:i/>
          <w:iCs/>
          <w:sz w:val="18"/>
          <w:szCs w:val="18"/>
        </w:rPr>
        <w:footnoteRef/>
      </w:r>
      <w:r w:rsidRPr="0013310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 w:rsidRPr="0013310F">
        <w:rPr>
          <w:i/>
          <w:iCs/>
          <w:sz w:val="18"/>
          <w:szCs w:val="18"/>
        </w:rPr>
        <w:t>ICT-DF SC is composed of the ITU Secretary-General (</w:t>
      </w:r>
      <w:r>
        <w:rPr>
          <w:i/>
          <w:iCs/>
          <w:sz w:val="18"/>
          <w:szCs w:val="18"/>
        </w:rPr>
        <w:t>C</w:t>
      </w:r>
      <w:r w:rsidRPr="0013310F">
        <w:rPr>
          <w:i/>
          <w:iCs/>
          <w:sz w:val="18"/>
          <w:szCs w:val="18"/>
        </w:rPr>
        <w:t>hair</w:t>
      </w:r>
      <w:r>
        <w:rPr>
          <w:i/>
          <w:iCs/>
          <w:sz w:val="18"/>
          <w:szCs w:val="18"/>
        </w:rPr>
        <w:t>person</w:t>
      </w:r>
      <w:r w:rsidRPr="0013310F">
        <w:rPr>
          <w:i/>
          <w:iCs/>
          <w:sz w:val="18"/>
          <w:szCs w:val="18"/>
        </w:rPr>
        <w:t>), the Deputy Secretary-General and the Director of BDT.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00B4" w14:textId="6AE24522" w:rsidR="00640193" w:rsidRPr="003B1AD0" w:rsidRDefault="00B8463D" w:rsidP="00E05900">
    <w:pPr>
      <w:pStyle w:val="Header"/>
      <w:tabs>
        <w:tab w:val="center" w:pos="4536"/>
        <w:tab w:val="right" w:pos="13998"/>
      </w:tabs>
      <w:rPr>
        <w:color w:val="auto"/>
        <w:sz w:val="22"/>
        <w:szCs w:val="24"/>
      </w:rPr>
    </w:pPr>
    <w:r>
      <w:rPr>
        <w:color w:val="auto"/>
        <w:sz w:val="22"/>
        <w:szCs w:val="24"/>
      </w:rPr>
      <w:tab/>
    </w:r>
    <w:r w:rsidR="00F62668" w:rsidRPr="003B1AD0">
      <w:rPr>
        <w:color w:val="auto"/>
        <w:sz w:val="22"/>
        <w:szCs w:val="24"/>
      </w:rPr>
      <w:t>TDAG-24/INF/</w:t>
    </w:r>
    <w:r>
      <w:rPr>
        <w:color w:val="auto"/>
        <w:sz w:val="22"/>
        <w:szCs w:val="24"/>
      </w:rPr>
      <w:t>3</w:t>
    </w:r>
    <w:r w:rsidR="00F62668" w:rsidRPr="003B1AD0">
      <w:rPr>
        <w:color w:val="auto"/>
        <w:sz w:val="22"/>
        <w:szCs w:val="24"/>
      </w:rPr>
      <w:t>-E</w:t>
    </w:r>
    <w:r w:rsidR="00F62668" w:rsidRPr="003B1AD0">
      <w:rPr>
        <w:color w:val="auto"/>
        <w:sz w:val="22"/>
        <w:szCs w:val="24"/>
      </w:rPr>
      <w:tab/>
    </w:r>
    <w:r w:rsidR="003B1AD0" w:rsidRPr="003B1AD0">
      <w:rPr>
        <w:color w:val="auto"/>
        <w:sz w:val="22"/>
        <w:szCs w:val="24"/>
      </w:rPr>
      <w:t>Page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640193" w:rsidRPr="00784011" w14:paraId="63262E26" w14:textId="77777777" w:rsidTr="00771203">
      <w:trPr>
        <w:trHeight w:val="1104"/>
        <w:jc w:val="center"/>
      </w:trPr>
      <w:tc>
        <w:tcPr>
          <w:tcW w:w="4390" w:type="dxa"/>
          <w:vAlign w:val="center"/>
        </w:tcPr>
        <w:p w14:paraId="0AD93771" w14:textId="77777777" w:rsidR="00640193" w:rsidRPr="009621F8" w:rsidRDefault="00640193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0DF2776B" wp14:editId="29DBEBE2">
                <wp:extent cx="2369820" cy="558297"/>
                <wp:effectExtent l="0" t="0" r="0" b="0"/>
                <wp:docPr id="162793981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A30A5FE" w14:textId="77777777" w:rsidR="00640193" w:rsidRDefault="00640193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75CE71A" w14:textId="77777777" w:rsidR="00640193" w:rsidRDefault="00640193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1AA484" w14:textId="77777777" w:rsidR="00640193" w:rsidRPr="00784011" w:rsidRDefault="00640193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4AC54B9C" w14:textId="77777777" w:rsidR="00640193" w:rsidRDefault="0064019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516CA" wp14:editId="79782D7A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1910299135" name="Rectangle 1910299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62744" id="Rectangle 1910299135" o:spid="_x0000_s1026" style="position:absolute;margin-left:1.05pt;margin-top:50.8pt;width:7.2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EF3A" w14:textId="398F185C" w:rsidR="008544B7" w:rsidRPr="008544B7" w:rsidRDefault="008544B7" w:rsidP="008544B7">
    <w:pPr>
      <w:pStyle w:val="Header"/>
      <w:tabs>
        <w:tab w:val="center" w:pos="6946"/>
        <w:tab w:val="right" w:pos="13998"/>
      </w:tabs>
      <w:rPr>
        <w:color w:val="auto"/>
        <w:sz w:val="22"/>
        <w:szCs w:val="24"/>
      </w:rPr>
    </w:pPr>
    <w:r>
      <w:rPr>
        <w:color w:val="auto"/>
        <w:sz w:val="22"/>
        <w:szCs w:val="24"/>
      </w:rPr>
      <w:tab/>
    </w:r>
    <w:r w:rsidRPr="003B1AD0">
      <w:rPr>
        <w:color w:val="auto"/>
        <w:sz w:val="22"/>
        <w:szCs w:val="24"/>
      </w:rPr>
      <w:t>TDAG-24/INF/</w:t>
    </w:r>
    <w:r>
      <w:rPr>
        <w:color w:val="auto"/>
        <w:sz w:val="22"/>
        <w:szCs w:val="24"/>
      </w:rPr>
      <w:t>3</w:t>
    </w:r>
    <w:r w:rsidRPr="003B1AD0">
      <w:rPr>
        <w:color w:val="auto"/>
        <w:sz w:val="22"/>
        <w:szCs w:val="24"/>
      </w:rPr>
      <w:t>-E</w:t>
    </w:r>
    <w:r w:rsidRPr="003B1AD0">
      <w:rPr>
        <w:color w:val="auto"/>
        <w:sz w:val="22"/>
        <w:szCs w:val="24"/>
      </w:rPr>
      <w:tab/>
      <w:t>Page 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BCCC" w14:textId="45BD1016" w:rsidR="00FC3863" w:rsidRPr="00E05900" w:rsidRDefault="00E05900" w:rsidP="00E05900">
    <w:pPr>
      <w:pStyle w:val="Header"/>
      <w:tabs>
        <w:tab w:val="center" w:pos="6946"/>
        <w:tab w:val="right" w:pos="13998"/>
      </w:tabs>
      <w:rPr>
        <w:color w:val="auto"/>
        <w:sz w:val="22"/>
        <w:szCs w:val="24"/>
      </w:rPr>
    </w:pPr>
    <w:r>
      <w:rPr>
        <w:color w:val="auto"/>
        <w:sz w:val="22"/>
        <w:szCs w:val="24"/>
      </w:rPr>
      <w:tab/>
    </w:r>
    <w:r w:rsidRPr="003B1AD0">
      <w:rPr>
        <w:color w:val="auto"/>
        <w:sz w:val="22"/>
        <w:szCs w:val="24"/>
      </w:rPr>
      <w:t>TDAG-24/INF/</w:t>
    </w:r>
    <w:r>
      <w:rPr>
        <w:color w:val="auto"/>
        <w:sz w:val="22"/>
        <w:szCs w:val="24"/>
      </w:rPr>
      <w:t>3</w:t>
    </w:r>
    <w:r w:rsidRPr="003B1AD0">
      <w:rPr>
        <w:color w:val="auto"/>
        <w:sz w:val="22"/>
        <w:szCs w:val="24"/>
      </w:rPr>
      <w:t>-E</w:t>
    </w:r>
    <w:r w:rsidRPr="003B1AD0">
      <w:rPr>
        <w:color w:val="auto"/>
        <w:sz w:val="22"/>
        <w:szCs w:val="24"/>
      </w:rPr>
      <w:tab/>
      <w:t>Page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FE4BD2"/>
    <w:multiLevelType w:val="hybridMultilevel"/>
    <w:tmpl w:val="C408D856"/>
    <w:lvl w:ilvl="0" w:tplc="172691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7391"/>
    <w:multiLevelType w:val="hybridMultilevel"/>
    <w:tmpl w:val="95BCE81E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52518978">
    <w:abstractNumId w:val="2"/>
  </w:num>
  <w:num w:numId="3" w16cid:durableId="95409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1140F"/>
    <w:rsid w:val="00011B04"/>
    <w:rsid w:val="000127F6"/>
    <w:rsid w:val="000160D6"/>
    <w:rsid w:val="000210D4"/>
    <w:rsid w:val="00030288"/>
    <w:rsid w:val="0003130A"/>
    <w:rsid w:val="000344A1"/>
    <w:rsid w:val="000417AB"/>
    <w:rsid w:val="00047286"/>
    <w:rsid w:val="00057C4D"/>
    <w:rsid w:val="00063016"/>
    <w:rsid w:val="000650CA"/>
    <w:rsid w:val="00066795"/>
    <w:rsid w:val="000704A3"/>
    <w:rsid w:val="000729F9"/>
    <w:rsid w:val="000741B4"/>
    <w:rsid w:val="00075765"/>
    <w:rsid w:val="00076AF6"/>
    <w:rsid w:val="00076EF4"/>
    <w:rsid w:val="00085CF2"/>
    <w:rsid w:val="00092EF9"/>
    <w:rsid w:val="000931C9"/>
    <w:rsid w:val="0009377F"/>
    <w:rsid w:val="00094EE2"/>
    <w:rsid w:val="000975A7"/>
    <w:rsid w:val="00097A57"/>
    <w:rsid w:val="000A21C3"/>
    <w:rsid w:val="000A5D58"/>
    <w:rsid w:val="000A6502"/>
    <w:rsid w:val="000A79FE"/>
    <w:rsid w:val="000B1705"/>
    <w:rsid w:val="000B7901"/>
    <w:rsid w:val="000C33D3"/>
    <w:rsid w:val="000C4D8A"/>
    <w:rsid w:val="000C5FBB"/>
    <w:rsid w:val="000C730A"/>
    <w:rsid w:val="000D1C37"/>
    <w:rsid w:val="000D28A3"/>
    <w:rsid w:val="000D3412"/>
    <w:rsid w:val="000D419D"/>
    <w:rsid w:val="000D75B2"/>
    <w:rsid w:val="000E2853"/>
    <w:rsid w:val="000F09BD"/>
    <w:rsid w:val="000F0B9A"/>
    <w:rsid w:val="000F1345"/>
    <w:rsid w:val="000F45E6"/>
    <w:rsid w:val="00107D37"/>
    <w:rsid w:val="00112119"/>
    <w:rsid w:val="00112166"/>
    <w:rsid w:val="001121F5"/>
    <w:rsid w:val="00112A83"/>
    <w:rsid w:val="00117116"/>
    <w:rsid w:val="00121BF9"/>
    <w:rsid w:val="00122125"/>
    <w:rsid w:val="00123AB1"/>
    <w:rsid w:val="00125A15"/>
    <w:rsid w:val="001262BB"/>
    <w:rsid w:val="00127C2A"/>
    <w:rsid w:val="00130257"/>
    <w:rsid w:val="00132165"/>
    <w:rsid w:val="00133B15"/>
    <w:rsid w:val="001400DC"/>
    <w:rsid w:val="00140CE1"/>
    <w:rsid w:val="00145469"/>
    <w:rsid w:val="001673F1"/>
    <w:rsid w:val="00171964"/>
    <w:rsid w:val="00173178"/>
    <w:rsid w:val="0017539C"/>
    <w:rsid w:val="00175AC2"/>
    <w:rsid w:val="0017609F"/>
    <w:rsid w:val="00176B2B"/>
    <w:rsid w:val="00183B69"/>
    <w:rsid w:val="00187F8C"/>
    <w:rsid w:val="001921FE"/>
    <w:rsid w:val="001922A0"/>
    <w:rsid w:val="001A1E0E"/>
    <w:rsid w:val="001A7D1D"/>
    <w:rsid w:val="001B2365"/>
    <w:rsid w:val="001B2912"/>
    <w:rsid w:val="001B51DD"/>
    <w:rsid w:val="001B65B3"/>
    <w:rsid w:val="001B74DD"/>
    <w:rsid w:val="001C3679"/>
    <w:rsid w:val="001C5660"/>
    <w:rsid w:val="001C628E"/>
    <w:rsid w:val="001D0404"/>
    <w:rsid w:val="001D1D2B"/>
    <w:rsid w:val="001D30AF"/>
    <w:rsid w:val="001E0F7B"/>
    <w:rsid w:val="001E3484"/>
    <w:rsid w:val="001E629D"/>
    <w:rsid w:val="001F2EED"/>
    <w:rsid w:val="00200526"/>
    <w:rsid w:val="0020069E"/>
    <w:rsid w:val="002112F2"/>
    <w:rsid w:val="002119FD"/>
    <w:rsid w:val="002130E0"/>
    <w:rsid w:val="00213296"/>
    <w:rsid w:val="002160FC"/>
    <w:rsid w:val="00220891"/>
    <w:rsid w:val="00223A52"/>
    <w:rsid w:val="00224EA3"/>
    <w:rsid w:val="00224EC7"/>
    <w:rsid w:val="0023037C"/>
    <w:rsid w:val="0023537B"/>
    <w:rsid w:val="00235E02"/>
    <w:rsid w:val="00251430"/>
    <w:rsid w:val="00251D08"/>
    <w:rsid w:val="00255866"/>
    <w:rsid w:val="00261390"/>
    <w:rsid w:val="00261E30"/>
    <w:rsid w:val="0026424F"/>
    <w:rsid w:val="00264425"/>
    <w:rsid w:val="00265875"/>
    <w:rsid w:val="00265F67"/>
    <w:rsid w:val="00266252"/>
    <w:rsid w:val="002678A8"/>
    <w:rsid w:val="00271DC9"/>
    <w:rsid w:val="00271F7D"/>
    <w:rsid w:val="0027303B"/>
    <w:rsid w:val="0027337A"/>
    <w:rsid w:val="002802C3"/>
    <w:rsid w:val="00280861"/>
    <w:rsid w:val="0028109B"/>
    <w:rsid w:val="0028135B"/>
    <w:rsid w:val="00285945"/>
    <w:rsid w:val="00285D82"/>
    <w:rsid w:val="00294CF6"/>
    <w:rsid w:val="00297EFD"/>
    <w:rsid w:val="002A2188"/>
    <w:rsid w:val="002A27DC"/>
    <w:rsid w:val="002A73AE"/>
    <w:rsid w:val="002B1F58"/>
    <w:rsid w:val="002C1C5B"/>
    <w:rsid w:val="002C1C7A"/>
    <w:rsid w:val="002C24DD"/>
    <w:rsid w:val="002C54E2"/>
    <w:rsid w:val="002C6F2F"/>
    <w:rsid w:val="002C7696"/>
    <w:rsid w:val="002D3CC4"/>
    <w:rsid w:val="002D4390"/>
    <w:rsid w:val="002E4F54"/>
    <w:rsid w:val="002F0272"/>
    <w:rsid w:val="002F0D0B"/>
    <w:rsid w:val="002F3630"/>
    <w:rsid w:val="002F3838"/>
    <w:rsid w:val="0030160F"/>
    <w:rsid w:val="003159F6"/>
    <w:rsid w:val="00316B2C"/>
    <w:rsid w:val="00320223"/>
    <w:rsid w:val="00320ACC"/>
    <w:rsid w:val="00322D0D"/>
    <w:rsid w:val="0032409D"/>
    <w:rsid w:val="00324BA4"/>
    <w:rsid w:val="003316BD"/>
    <w:rsid w:val="003329D0"/>
    <w:rsid w:val="00336646"/>
    <w:rsid w:val="00337059"/>
    <w:rsid w:val="003438CB"/>
    <w:rsid w:val="00344C3A"/>
    <w:rsid w:val="00345880"/>
    <w:rsid w:val="00347594"/>
    <w:rsid w:val="0035158F"/>
    <w:rsid w:val="003549F6"/>
    <w:rsid w:val="00361465"/>
    <w:rsid w:val="003622C2"/>
    <w:rsid w:val="00363631"/>
    <w:rsid w:val="00367041"/>
    <w:rsid w:val="00371470"/>
    <w:rsid w:val="00374337"/>
    <w:rsid w:val="00377679"/>
    <w:rsid w:val="003864C2"/>
    <w:rsid w:val="003877F5"/>
    <w:rsid w:val="003942D4"/>
    <w:rsid w:val="003958A8"/>
    <w:rsid w:val="00396BFF"/>
    <w:rsid w:val="003A5333"/>
    <w:rsid w:val="003B106F"/>
    <w:rsid w:val="003B1AD0"/>
    <w:rsid w:val="003B1FB6"/>
    <w:rsid w:val="003B21F9"/>
    <w:rsid w:val="003B6350"/>
    <w:rsid w:val="003C2533"/>
    <w:rsid w:val="003C3866"/>
    <w:rsid w:val="003C3D27"/>
    <w:rsid w:val="003C4719"/>
    <w:rsid w:val="003D0808"/>
    <w:rsid w:val="003D4F34"/>
    <w:rsid w:val="003D5A7F"/>
    <w:rsid w:val="003D7DEF"/>
    <w:rsid w:val="003E10A3"/>
    <w:rsid w:val="003E4911"/>
    <w:rsid w:val="003F1971"/>
    <w:rsid w:val="003F238F"/>
    <w:rsid w:val="003F5819"/>
    <w:rsid w:val="003F63EF"/>
    <w:rsid w:val="0040051E"/>
    <w:rsid w:val="0040435A"/>
    <w:rsid w:val="00407EF5"/>
    <w:rsid w:val="00410E26"/>
    <w:rsid w:val="004133F3"/>
    <w:rsid w:val="00416A24"/>
    <w:rsid w:val="0041787B"/>
    <w:rsid w:val="00424572"/>
    <w:rsid w:val="004260A6"/>
    <w:rsid w:val="00427522"/>
    <w:rsid w:val="00431D9E"/>
    <w:rsid w:val="00431DC2"/>
    <w:rsid w:val="00433CE8"/>
    <w:rsid w:val="00434A5C"/>
    <w:rsid w:val="00444875"/>
    <w:rsid w:val="00445664"/>
    <w:rsid w:val="00453AA1"/>
    <w:rsid w:val="004544D9"/>
    <w:rsid w:val="004547F5"/>
    <w:rsid w:val="00454E96"/>
    <w:rsid w:val="00456308"/>
    <w:rsid w:val="00463A6F"/>
    <w:rsid w:val="00463C8C"/>
    <w:rsid w:val="0046615E"/>
    <w:rsid w:val="004665F6"/>
    <w:rsid w:val="0046671F"/>
    <w:rsid w:val="00472BAD"/>
    <w:rsid w:val="00474FA3"/>
    <w:rsid w:val="00480C96"/>
    <w:rsid w:val="004812CA"/>
    <w:rsid w:val="004838B7"/>
    <w:rsid w:val="00484009"/>
    <w:rsid w:val="00484257"/>
    <w:rsid w:val="004875D0"/>
    <w:rsid w:val="00490E72"/>
    <w:rsid w:val="00491157"/>
    <w:rsid w:val="004921C8"/>
    <w:rsid w:val="00492382"/>
    <w:rsid w:val="00492699"/>
    <w:rsid w:val="00492A12"/>
    <w:rsid w:val="00492F95"/>
    <w:rsid w:val="00494609"/>
    <w:rsid w:val="004956BD"/>
    <w:rsid w:val="00495B0B"/>
    <w:rsid w:val="004A1851"/>
    <w:rsid w:val="004A1B8B"/>
    <w:rsid w:val="004A4125"/>
    <w:rsid w:val="004A4C6E"/>
    <w:rsid w:val="004A53F8"/>
    <w:rsid w:val="004A69B2"/>
    <w:rsid w:val="004A702F"/>
    <w:rsid w:val="004B7382"/>
    <w:rsid w:val="004C01BB"/>
    <w:rsid w:val="004C18DB"/>
    <w:rsid w:val="004C47C3"/>
    <w:rsid w:val="004C7FE2"/>
    <w:rsid w:val="004D1851"/>
    <w:rsid w:val="004D599D"/>
    <w:rsid w:val="004E2EA5"/>
    <w:rsid w:val="004E3AEB"/>
    <w:rsid w:val="004E6646"/>
    <w:rsid w:val="004E6824"/>
    <w:rsid w:val="004E71C0"/>
    <w:rsid w:val="004F0E83"/>
    <w:rsid w:val="004F1901"/>
    <w:rsid w:val="0050024A"/>
    <w:rsid w:val="0050223C"/>
    <w:rsid w:val="005022DC"/>
    <w:rsid w:val="005049B0"/>
    <w:rsid w:val="00506833"/>
    <w:rsid w:val="0050767B"/>
    <w:rsid w:val="00521336"/>
    <w:rsid w:val="005225FC"/>
    <w:rsid w:val="005243FF"/>
    <w:rsid w:val="00526521"/>
    <w:rsid w:val="0052754E"/>
    <w:rsid w:val="00541C9E"/>
    <w:rsid w:val="005431D0"/>
    <w:rsid w:val="005439A0"/>
    <w:rsid w:val="005478F3"/>
    <w:rsid w:val="00547BDD"/>
    <w:rsid w:val="00551A25"/>
    <w:rsid w:val="005542D1"/>
    <w:rsid w:val="005575B6"/>
    <w:rsid w:val="00564FBC"/>
    <w:rsid w:val="0056684A"/>
    <w:rsid w:val="005800BC"/>
    <w:rsid w:val="00582442"/>
    <w:rsid w:val="005837BE"/>
    <w:rsid w:val="005850BB"/>
    <w:rsid w:val="0058510D"/>
    <w:rsid w:val="0058568F"/>
    <w:rsid w:val="005860F3"/>
    <w:rsid w:val="00586974"/>
    <w:rsid w:val="00586E7F"/>
    <w:rsid w:val="00593989"/>
    <w:rsid w:val="00594ABD"/>
    <w:rsid w:val="00596A74"/>
    <w:rsid w:val="00597EBA"/>
    <w:rsid w:val="005A37BB"/>
    <w:rsid w:val="005A5363"/>
    <w:rsid w:val="005B1174"/>
    <w:rsid w:val="005B3D9C"/>
    <w:rsid w:val="005B766A"/>
    <w:rsid w:val="005C09E4"/>
    <w:rsid w:val="005C12D1"/>
    <w:rsid w:val="005C134D"/>
    <w:rsid w:val="005C3D78"/>
    <w:rsid w:val="005C5424"/>
    <w:rsid w:val="005D0950"/>
    <w:rsid w:val="005D191F"/>
    <w:rsid w:val="005D1DA5"/>
    <w:rsid w:val="005D5D5F"/>
    <w:rsid w:val="005E1CBC"/>
    <w:rsid w:val="005E5BFD"/>
    <w:rsid w:val="005E5C54"/>
    <w:rsid w:val="005E617A"/>
    <w:rsid w:val="005E7FB4"/>
    <w:rsid w:val="005F0605"/>
    <w:rsid w:val="005F1BA3"/>
    <w:rsid w:val="005F2B8D"/>
    <w:rsid w:val="005F3269"/>
    <w:rsid w:val="005F4C9C"/>
    <w:rsid w:val="00615DC9"/>
    <w:rsid w:val="0061721E"/>
    <w:rsid w:val="00622EC5"/>
    <w:rsid w:val="00623AE3"/>
    <w:rsid w:val="006276D4"/>
    <w:rsid w:val="006331C9"/>
    <w:rsid w:val="00635E31"/>
    <w:rsid w:val="006360E7"/>
    <w:rsid w:val="0063693A"/>
    <w:rsid w:val="00640193"/>
    <w:rsid w:val="00640682"/>
    <w:rsid w:val="00641E65"/>
    <w:rsid w:val="006441D0"/>
    <w:rsid w:val="006461E8"/>
    <w:rsid w:val="0064711A"/>
    <w:rsid w:val="0064737F"/>
    <w:rsid w:val="006535F1"/>
    <w:rsid w:val="0065557D"/>
    <w:rsid w:val="0066087E"/>
    <w:rsid w:val="00660D50"/>
    <w:rsid w:val="00662984"/>
    <w:rsid w:val="006716BB"/>
    <w:rsid w:val="006730D4"/>
    <w:rsid w:val="006820E8"/>
    <w:rsid w:val="00682C05"/>
    <w:rsid w:val="006843BF"/>
    <w:rsid w:val="00693F1C"/>
    <w:rsid w:val="00696AB7"/>
    <w:rsid w:val="006A2994"/>
    <w:rsid w:val="006A5AC3"/>
    <w:rsid w:val="006A5D0A"/>
    <w:rsid w:val="006B1859"/>
    <w:rsid w:val="006B2834"/>
    <w:rsid w:val="006B6680"/>
    <w:rsid w:val="006B6DCC"/>
    <w:rsid w:val="006B6F62"/>
    <w:rsid w:val="006C45DD"/>
    <w:rsid w:val="006C71E0"/>
    <w:rsid w:val="006D2B2B"/>
    <w:rsid w:val="006D7A70"/>
    <w:rsid w:val="006E0A2A"/>
    <w:rsid w:val="006E3967"/>
    <w:rsid w:val="006E47AD"/>
    <w:rsid w:val="006E5334"/>
    <w:rsid w:val="006E5D8F"/>
    <w:rsid w:val="006E6094"/>
    <w:rsid w:val="006E7461"/>
    <w:rsid w:val="006E7C2E"/>
    <w:rsid w:val="00700961"/>
    <w:rsid w:val="00700CDF"/>
    <w:rsid w:val="00702DEF"/>
    <w:rsid w:val="00706861"/>
    <w:rsid w:val="00706911"/>
    <w:rsid w:val="00711D13"/>
    <w:rsid w:val="00712826"/>
    <w:rsid w:val="00713DE0"/>
    <w:rsid w:val="00716094"/>
    <w:rsid w:val="00721441"/>
    <w:rsid w:val="007217B1"/>
    <w:rsid w:val="00725B7B"/>
    <w:rsid w:val="00734E0C"/>
    <w:rsid w:val="007366EF"/>
    <w:rsid w:val="0073766A"/>
    <w:rsid w:val="007504AD"/>
    <w:rsid w:val="0075051B"/>
    <w:rsid w:val="00754471"/>
    <w:rsid w:val="007544E3"/>
    <w:rsid w:val="007554DA"/>
    <w:rsid w:val="00763636"/>
    <w:rsid w:val="00766939"/>
    <w:rsid w:val="00767506"/>
    <w:rsid w:val="00767D93"/>
    <w:rsid w:val="007700D1"/>
    <w:rsid w:val="00771203"/>
    <w:rsid w:val="00771EB4"/>
    <w:rsid w:val="0077509B"/>
    <w:rsid w:val="00775E23"/>
    <w:rsid w:val="007821B8"/>
    <w:rsid w:val="00786C3C"/>
    <w:rsid w:val="0078776A"/>
    <w:rsid w:val="00793188"/>
    <w:rsid w:val="00794D34"/>
    <w:rsid w:val="007A73ED"/>
    <w:rsid w:val="007B24D8"/>
    <w:rsid w:val="007B64C0"/>
    <w:rsid w:val="007C24D6"/>
    <w:rsid w:val="007C373A"/>
    <w:rsid w:val="007C4975"/>
    <w:rsid w:val="007D28C4"/>
    <w:rsid w:val="007D593C"/>
    <w:rsid w:val="007D7CC3"/>
    <w:rsid w:val="007E377F"/>
    <w:rsid w:val="007E7B64"/>
    <w:rsid w:val="007E7C14"/>
    <w:rsid w:val="007F0D3A"/>
    <w:rsid w:val="00800466"/>
    <w:rsid w:val="0080101D"/>
    <w:rsid w:val="00805AF8"/>
    <w:rsid w:val="00807B96"/>
    <w:rsid w:val="00811F28"/>
    <w:rsid w:val="00813E5E"/>
    <w:rsid w:val="008141F2"/>
    <w:rsid w:val="00814DD8"/>
    <w:rsid w:val="00821FE3"/>
    <w:rsid w:val="008337DF"/>
    <w:rsid w:val="0083451B"/>
    <w:rsid w:val="0083581B"/>
    <w:rsid w:val="0084072E"/>
    <w:rsid w:val="00845D02"/>
    <w:rsid w:val="0084742B"/>
    <w:rsid w:val="0085170A"/>
    <w:rsid w:val="00852566"/>
    <w:rsid w:val="008544B7"/>
    <w:rsid w:val="00855B23"/>
    <w:rsid w:val="00857747"/>
    <w:rsid w:val="00860214"/>
    <w:rsid w:val="00863874"/>
    <w:rsid w:val="00864AFF"/>
    <w:rsid w:val="00865925"/>
    <w:rsid w:val="00871B79"/>
    <w:rsid w:val="00874959"/>
    <w:rsid w:val="0087514C"/>
    <w:rsid w:val="008756C6"/>
    <w:rsid w:val="00877EAB"/>
    <w:rsid w:val="0088181F"/>
    <w:rsid w:val="0089022D"/>
    <w:rsid w:val="008909C7"/>
    <w:rsid w:val="00892801"/>
    <w:rsid w:val="00894096"/>
    <w:rsid w:val="0089446C"/>
    <w:rsid w:val="00896467"/>
    <w:rsid w:val="008A15B2"/>
    <w:rsid w:val="008A2FC9"/>
    <w:rsid w:val="008A4375"/>
    <w:rsid w:val="008B40E0"/>
    <w:rsid w:val="008B4A6A"/>
    <w:rsid w:val="008B5390"/>
    <w:rsid w:val="008B66A4"/>
    <w:rsid w:val="008B6AC9"/>
    <w:rsid w:val="008B79A4"/>
    <w:rsid w:val="008C6414"/>
    <w:rsid w:val="008C6616"/>
    <w:rsid w:val="008C7E27"/>
    <w:rsid w:val="008D7812"/>
    <w:rsid w:val="008E42C9"/>
    <w:rsid w:val="008E4A85"/>
    <w:rsid w:val="008E4AA5"/>
    <w:rsid w:val="008F7448"/>
    <w:rsid w:val="0090147A"/>
    <w:rsid w:val="009036C5"/>
    <w:rsid w:val="009037FC"/>
    <w:rsid w:val="009049B6"/>
    <w:rsid w:val="00907B1C"/>
    <w:rsid w:val="00915D3F"/>
    <w:rsid w:val="00916BB3"/>
    <w:rsid w:val="009173EF"/>
    <w:rsid w:val="00917E35"/>
    <w:rsid w:val="00924185"/>
    <w:rsid w:val="0093015D"/>
    <w:rsid w:val="0093178D"/>
    <w:rsid w:val="00932906"/>
    <w:rsid w:val="0094039B"/>
    <w:rsid w:val="00940B8E"/>
    <w:rsid w:val="009416E2"/>
    <w:rsid w:val="009440EC"/>
    <w:rsid w:val="00945A8B"/>
    <w:rsid w:val="00950E94"/>
    <w:rsid w:val="009526CE"/>
    <w:rsid w:val="00960D1F"/>
    <w:rsid w:val="009610C3"/>
    <w:rsid w:val="00961B0B"/>
    <w:rsid w:val="00962B86"/>
    <w:rsid w:val="00963152"/>
    <w:rsid w:val="00965CDA"/>
    <w:rsid w:val="00966651"/>
    <w:rsid w:val="00967573"/>
    <w:rsid w:val="00970DBC"/>
    <w:rsid w:val="009734C1"/>
    <w:rsid w:val="00985D45"/>
    <w:rsid w:val="00986FAD"/>
    <w:rsid w:val="009875FE"/>
    <w:rsid w:val="00993993"/>
    <w:rsid w:val="00996236"/>
    <w:rsid w:val="009A2495"/>
    <w:rsid w:val="009A7A97"/>
    <w:rsid w:val="009B2621"/>
    <w:rsid w:val="009B38C3"/>
    <w:rsid w:val="009B5942"/>
    <w:rsid w:val="009C0C9E"/>
    <w:rsid w:val="009C1BE1"/>
    <w:rsid w:val="009C413B"/>
    <w:rsid w:val="009D1EBC"/>
    <w:rsid w:val="009D2B6A"/>
    <w:rsid w:val="009E17BD"/>
    <w:rsid w:val="009E2154"/>
    <w:rsid w:val="009E3D26"/>
    <w:rsid w:val="009E485A"/>
    <w:rsid w:val="009E53E3"/>
    <w:rsid w:val="009E5FD6"/>
    <w:rsid w:val="009F0556"/>
    <w:rsid w:val="009F19F4"/>
    <w:rsid w:val="00A03369"/>
    <w:rsid w:val="00A04CEC"/>
    <w:rsid w:val="00A12419"/>
    <w:rsid w:val="00A158D4"/>
    <w:rsid w:val="00A16740"/>
    <w:rsid w:val="00A17481"/>
    <w:rsid w:val="00A2107E"/>
    <w:rsid w:val="00A22071"/>
    <w:rsid w:val="00A2227F"/>
    <w:rsid w:val="00A27DC8"/>
    <w:rsid w:val="00A27F92"/>
    <w:rsid w:val="00A32257"/>
    <w:rsid w:val="00A34BFF"/>
    <w:rsid w:val="00A3516C"/>
    <w:rsid w:val="00A36D20"/>
    <w:rsid w:val="00A4542A"/>
    <w:rsid w:val="00A514A4"/>
    <w:rsid w:val="00A53BE4"/>
    <w:rsid w:val="00A54171"/>
    <w:rsid w:val="00A55622"/>
    <w:rsid w:val="00A6054D"/>
    <w:rsid w:val="00A611C2"/>
    <w:rsid w:val="00A63B00"/>
    <w:rsid w:val="00A64508"/>
    <w:rsid w:val="00A66AC9"/>
    <w:rsid w:val="00A74674"/>
    <w:rsid w:val="00A7787C"/>
    <w:rsid w:val="00A8060B"/>
    <w:rsid w:val="00A81CA9"/>
    <w:rsid w:val="00A83502"/>
    <w:rsid w:val="00A856EF"/>
    <w:rsid w:val="00A86185"/>
    <w:rsid w:val="00A9131F"/>
    <w:rsid w:val="00A92DE1"/>
    <w:rsid w:val="00AA20EA"/>
    <w:rsid w:val="00AA2C64"/>
    <w:rsid w:val="00AA3856"/>
    <w:rsid w:val="00AA6EA4"/>
    <w:rsid w:val="00AA72E3"/>
    <w:rsid w:val="00AA78F1"/>
    <w:rsid w:val="00AB0B51"/>
    <w:rsid w:val="00AB0FA7"/>
    <w:rsid w:val="00AB2D97"/>
    <w:rsid w:val="00AB2F65"/>
    <w:rsid w:val="00AB30A7"/>
    <w:rsid w:val="00AB385D"/>
    <w:rsid w:val="00AB3D6E"/>
    <w:rsid w:val="00AB409F"/>
    <w:rsid w:val="00AB7194"/>
    <w:rsid w:val="00AB7E02"/>
    <w:rsid w:val="00AC0D3B"/>
    <w:rsid w:val="00AC1397"/>
    <w:rsid w:val="00AC53E4"/>
    <w:rsid w:val="00AC62B3"/>
    <w:rsid w:val="00AD15B3"/>
    <w:rsid w:val="00AD1D3A"/>
    <w:rsid w:val="00AD1E1A"/>
    <w:rsid w:val="00AD3606"/>
    <w:rsid w:val="00AD4A3D"/>
    <w:rsid w:val="00AF429E"/>
    <w:rsid w:val="00AF6727"/>
    <w:rsid w:val="00AF6E49"/>
    <w:rsid w:val="00AF7731"/>
    <w:rsid w:val="00B01461"/>
    <w:rsid w:val="00B02346"/>
    <w:rsid w:val="00B02903"/>
    <w:rsid w:val="00B04A67"/>
    <w:rsid w:val="00B0583C"/>
    <w:rsid w:val="00B0753E"/>
    <w:rsid w:val="00B11B5A"/>
    <w:rsid w:val="00B14C0E"/>
    <w:rsid w:val="00B15DEF"/>
    <w:rsid w:val="00B15E2B"/>
    <w:rsid w:val="00B2309F"/>
    <w:rsid w:val="00B23F09"/>
    <w:rsid w:val="00B32E00"/>
    <w:rsid w:val="00B3582B"/>
    <w:rsid w:val="00B40A81"/>
    <w:rsid w:val="00B42885"/>
    <w:rsid w:val="00B42BDF"/>
    <w:rsid w:val="00B44077"/>
    <w:rsid w:val="00B44910"/>
    <w:rsid w:val="00B54D3F"/>
    <w:rsid w:val="00B600D4"/>
    <w:rsid w:val="00B63B28"/>
    <w:rsid w:val="00B642B0"/>
    <w:rsid w:val="00B64E30"/>
    <w:rsid w:val="00B664AE"/>
    <w:rsid w:val="00B7156F"/>
    <w:rsid w:val="00B72267"/>
    <w:rsid w:val="00B72B20"/>
    <w:rsid w:val="00B7528D"/>
    <w:rsid w:val="00B75B63"/>
    <w:rsid w:val="00B76AE4"/>
    <w:rsid w:val="00B76EB6"/>
    <w:rsid w:val="00B7737B"/>
    <w:rsid w:val="00B824C8"/>
    <w:rsid w:val="00B8463D"/>
    <w:rsid w:val="00B84B9D"/>
    <w:rsid w:val="00B85255"/>
    <w:rsid w:val="00B869D3"/>
    <w:rsid w:val="00B93614"/>
    <w:rsid w:val="00B94285"/>
    <w:rsid w:val="00BA1672"/>
    <w:rsid w:val="00BB1CF8"/>
    <w:rsid w:val="00BB485E"/>
    <w:rsid w:val="00BB712D"/>
    <w:rsid w:val="00BC0F79"/>
    <w:rsid w:val="00BC11F4"/>
    <w:rsid w:val="00BC251A"/>
    <w:rsid w:val="00BC3710"/>
    <w:rsid w:val="00BC6AE6"/>
    <w:rsid w:val="00BD01D1"/>
    <w:rsid w:val="00BD032B"/>
    <w:rsid w:val="00BD1F24"/>
    <w:rsid w:val="00BD52B9"/>
    <w:rsid w:val="00BE0355"/>
    <w:rsid w:val="00BE2640"/>
    <w:rsid w:val="00BE3169"/>
    <w:rsid w:val="00BE5879"/>
    <w:rsid w:val="00BF5F46"/>
    <w:rsid w:val="00BF6174"/>
    <w:rsid w:val="00BF68E3"/>
    <w:rsid w:val="00C01189"/>
    <w:rsid w:val="00C02F08"/>
    <w:rsid w:val="00C030DA"/>
    <w:rsid w:val="00C03549"/>
    <w:rsid w:val="00C046B9"/>
    <w:rsid w:val="00C06186"/>
    <w:rsid w:val="00C06B5A"/>
    <w:rsid w:val="00C103F4"/>
    <w:rsid w:val="00C15D45"/>
    <w:rsid w:val="00C16F00"/>
    <w:rsid w:val="00C23C04"/>
    <w:rsid w:val="00C341AD"/>
    <w:rsid w:val="00C35A50"/>
    <w:rsid w:val="00C374DE"/>
    <w:rsid w:val="00C41449"/>
    <w:rsid w:val="00C47AD4"/>
    <w:rsid w:val="00C52D81"/>
    <w:rsid w:val="00C53B55"/>
    <w:rsid w:val="00C55198"/>
    <w:rsid w:val="00C56AA0"/>
    <w:rsid w:val="00C64A54"/>
    <w:rsid w:val="00C65417"/>
    <w:rsid w:val="00C65D15"/>
    <w:rsid w:val="00C704BC"/>
    <w:rsid w:val="00C750BD"/>
    <w:rsid w:val="00C751F1"/>
    <w:rsid w:val="00C80EFA"/>
    <w:rsid w:val="00C828EC"/>
    <w:rsid w:val="00C83379"/>
    <w:rsid w:val="00C83CA6"/>
    <w:rsid w:val="00C87FDD"/>
    <w:rsid w:val="00C87FE5"/>
    <w:rsid w:val="00CA3A1E"/>
    <w:rsid w:val="00CA6393"/>
    <w:rsid w:val="00CB18FF"/>
    <w:rsid w:val="00CB4971"/>
    <w:rsid w:val="00CB52F3"/>
    <w:rsid w:val="00CC5124"/>
    <w:rsid w:val="00CC5928"/>
    <w:rsid w:val="00CD0C08"/>
    <w:rsid w:val="00CE03FB"/>
    <w:rsid w:val="00CE3149"/>
    <w:rsid w:val="00CE433C"/>
    <w:rsid w:val="00CE563C"/>
    <w:rsid w:val="00CF0161"/>
    <w:rsid w:val="00CF2FD6"/>
    <w:rsid w:val="00CF33F3"/>
    <w:rsid w:val="00CF7D0D"/>
    <w:rsid w:val="00D06183"/>
    <w:rsid w:val="00D10224"/>
    <w:rsid w:val="00D13308"/>
    <w:rsid w:val="00D161A2"/>
    <w:rsid w:val="00D166EC"/>
    <w:rsid w:val="00D22C42"/>
    <w:rsid w:val="00D314F5"/>
    <w:rsid w:val="00D3318A"/>
    <w:rsid w:val="00D34B75"/>
    <w:rsid w:val="00D35A47"/>
    <w:rsid w:val="00D36CB6"/>
    <w:rsid w:val="00D43167"/>
    <w:rsid w:val="00D431C1"/>
    <w:rsid w:val="00D45EB6"/>
    <w:rsid w:val="00D50B2E"/>
    <w:rsid w:val="00D57111"/>
    <w:rsid w:val="00D61314"/>
    <w:rsid w:val="00D64F95"/>
    <w:rsid w:val="00D65041"/>
    <w:rsid w:val="00D666DF"/>
    <w:rsid w:val="00D73AC7"/>
    <w:rsid w:val="00D740DC"/>
    <w:rsid w:val="00D80C00"/>
    <w:rsid w:val="00D81067"/>
    <w:rsid w:val="00D81D25"/>
    <w:rsid w:val="00D82626"/>
    <w:rsid w:val="00D907B8"/>
    <w:rsid w:val="00D93C02"/>
    <w:rsid w:val="00D94777"/>
    <w:rsid w:val="00DA00B4"/>
    <w:rsid w:val="00DA0D40"/>
    <w:rsid w:val="00DB06F2"/>
    <w:rsid w:val="00DB1936"/>
    <w:rsid w:val="00DB384B"/>
    <w:rsid w:val="00DB4812"/>
    <w:rsid w:val="00DB62C5"/>
    <w:rsid w:val="00DB6D4A"/>
    <w:rsid w:val="00DB7A42"/>
    <w:rsid w:val="00DC2570"/>
    <w:rsid w:val="00DC5458"/>
    <w:rsid w:val="00DC6F4C"/>
    <w:rsid w:val="00DD5CEE"/>
    <w:rsid w:val="00DE20F9"/>
    <w:rsid w:val="00DE3232"/>
    <w:rsid w:val="00DE55D0"/>
    <w:rsid w:val="00DE5AA3"/>
    <w:rsid w:val="00DF0189"/>
    <w:rsid w:val="00DF02C9"/>
    <w:rsid w:val="00E00945"/>
    <w:rsid w:val="00E05900"/>
    <w:rsid w:val="00E05C00"/>
    <w:rsid w:val="00E06FD5"/>
    <w:rsid w:val="00E10E80"/>
    <w:rsid w:val="00E124F0"/>
    <w:rsid w:val="00E20084"/>
    <w:rsid w:val="00E20C82"/>
    <w:rsid w:val="00E2714E"/>
    <w:rsid w:val="00E41E84"/>
    <w:rsid w:val="00E42670"/>
    <w:rsid w:val="00E44BC4"/>
    <w:rsid w:val="00E46C67"/>
    <w:rsid w:val="00E46ED2"/>
    <w:rsid w:val="00E47302"/>
    <w:rsid w:val="00E501F3"/>
    <w:rsid w:val="00E51996"/>
    <w:rsid w:val="00E53D56"/>
    <w:rsid w:val="00E54D31"/>
    <w:rsid w:val="00E55D59"/>
    <w:rsid w:val="00E565DA"/>
    <w:rsid w:val="00E60F04"/>
    <w:rsid w:val="00E64B69"/>
    <w:rsid w:val="00E65B24"/>
    <w:rsid w:val="00E70E01"/>
    <w:rsid w:val="00E74020"/>
    <w:rsid w:val="00E7717D"/>
    <w:rsid w:val="00E81593"/>
    <w:rsid w:val="00E854E4"/>
    <w:rsid w:val="00E86DBF"/>
    <w:rsid w:val="00E900B9"/>
    <w:rsid w:val="00E93FD7"/>
    <w:rsid w:val="00EA1D1A"/>
    <w:rsid w:val="00EA6E34"/>
    <w:rsid w:val="00EA77A1"/>
    <w:rsid w:val="00EB0D6F"/>
    <w:rsid w:val="00EB2232"/>
    <w:rsid w:val="00EB5E18"/>
    <w:rsid w:val="00EC0ED5"/>
    <w:rsid w:val="00EC2B6A"/>
    <w:rsid w:val="00EC3701"/>
    <w:rsid w:val="00EC5337"/>
    <w:rsid w:val="00EC57D8"/>
    <w:rsid w:val="00EC7BF4"/>
    <w:rsid w:val="00ED0A48"/>
    <w:rsid w:val="00ED0D0E"/>
    <w:rsid w:val="00ED1A58"/>
    <w:rsid w:val="00ED2152"/>
    <w:rsid w:val="00ED3055"/>
    <w:rsid w:val="00ED4BCC"/>
    <w:rsid w:val="00ED4F34"/>
    <w:rsid w:val="00ED611E"/>
    <w:rsid w:val="00EE1C8C"/>
    <w:rsid w:val="00EE49E8"/>
    <w:rsid w:val="00EE67A6"/>
    <w:rsid w:val="00EE77DE"/>
    <w:rsid w:val="00EF1B9E"/>
    <w:rsid w:val="00EF2F3D"/>
    <w:rsid w:val="00EF32F6"/>
    <w:rsid w:val="00EF400E"/>
    <w:rsid w:val="00EF58BE"/>
    <w:rsid w:val="00F037FC"/>
    <w:rsid w:val="00F04588"/>
    <w:rsid w:val="00F11FE5"/>
    <w:rsid w:val="00F12554"/>
    <w:rsid w:val="00F15498"/>
    <w:rsid w:val="00F16291"/>
    <w:rsid w:val="00F16BAB"/>
    <w:rsid w:val="00F17437"/>
    <w:rsid w:val="00F17CE1"/>
    <w:rsid w:val="00F2150A"/>
    <w:rsid w:val="00F231D8"/>
    <w:rsid w:val="00F23751"/>
    <w:rsid w:val="00F23B89"/>
    <w:rsid w:val="00F24989"/>
    <w:rsid w:val="00F2661F"/>
    <w:rsid w:val="00F279B3"/>
    <w:rsid w:val="00F34338"/>
    <w:rsid w:val="00F400B5"/>
    <w:rsid w:val="00F41E08"/>
    <w:rsid w:val="00F44C00"/>
    <w:rsid w:val="00F46C5F"/>
    <w:rsid w:val="00F46D3F"/>
    <w:rsid w:val="00F47F4F"/>
    <w:rsid w:val="00F502D0"/>
    <w:rsid w:val="00F5116E"/>
    <w:rsid w:val="00F52542"/>
    <w:rsid w:val="00F52905"/>
    <w:rsid w:val="00F56D5E"/>
    <w:rsid w:val="00F60858"/>
    <w:rsid w:val="00F62668"/>
    <w:rsid w:val="00F632C0"/>
    <w:rsid w:val="00F666B2"/>
    <w:rsid w:val="00F86BBB"/>
    <w:rsid w:val="00F86CB1"/>
    <w:rsid w:val="00F94354"/>
    <w:rsid w:val="00F94A63"/>
    <w:rsid w:val="00F94D57"/>
    <w:rsid w:val="00F97F40"/>
    <w:rsid w:val="00FA0A52"/>
    <w:rsid w:val="00FA1C28"/>
    <w:rsid w:val="00FA32B0"/>
    <w:rsid w:val="00FA551B"/>
    <w:rsid w:val="00FA6670"/>
    <w:rsid w:val="00FB1279"/>
    <w:rsid w:val="00FB145F"/>
    <w:rsid w:val="00FB5290"/>
    <w:rsid w:val="00FB6B76"/>
    <w:rsid w:val="00FB7596"/>
    <w:rsid w:val="00FB7A1A"/>
    <w:rsid w:val="00FC0547"/>
    <w:rsid w:val="00FC2457"/>
    <w:rsid w:val="00FC3863"/>
    <w:rsid w:val="00FC444B"/>
    <w:rsid w:val="00FC6C7E"/>
    <w:rsid w:val="00FD166C"/>
    <w:rsid w:val="00FD3956"/>
    <w:rsid w:val="00FD622C"/>
    <w:rsid w:val="00FD6DCF"/>
    <w:rsid w:val="00FE4077"/>
    <w:rsid w:val="00FE77D2"/>
    <w:rsid w:val="024CD6F9"/>
    <w:rsid w:val="02C7DAAA"/>
    <w:rsid w:val="031DB4AE"/>
    <w:rsid w:val="068E5A2F"/>
    <w:rsid w:val="06BCB625"/>
    <w:rsid w:val="072CC124"/>
    <w:rsid w:val="07E6CDFB"/>
    <w:rsid w:val="07F51138"/>
    <w:rsid w:val="0848A717"/>
    <w:rsid w:val="08988807"/>
    <w:rsid w:val="09C7E860"/>
    <w:rsid w:val="0A521867"/>
    <w:rsid w:val="0B252DFE"/>
    <w:rsid w:val="0DF376D5"/>
    <w:rsid w:val="0E584148"/>
    <w:rsid w:val="0F7C2B0F"/>
    <w:rsid w:val="117EB0DE"/>
    <w:rsid w:val="130B13DC"/>
    <w:rsid w:val="131A813F"/>
    <w:rsid w:val="1492178A"/>
    <w:rsid w:val="1535218E"/>
    <w:rsid w:val="171787D3"/>
    <w:rsid w:val="1AF03C74"/>
    <w:rsid w:val="1D06ACEC"/>
    <w:rsid w:val="1DA392BE"/>
    <w:rsid w:val="1DAF0F39"/>
    <w:rsid w:val="1FC74B05"/>
    <w:rsid w:val="211084A9"/>
    <w:rsid w:val="215580E7"/>
    <w:rsid w:val="23ECDCDD"/>
    <w:rsid w:val="23F1E32F"/>
    <w:rsid w:val="24383791"/>
    <w:rsid w:val="27A7C259"/>
    <w:rsid w:val="29187158"/>
    <w:rsid w:val="295B48D7"/>
    <w:rsid w:val="2A281C0D"/>
    <w:rsid w:val="2A529B45"/>
    <w:rsid w:val="2B693DB6"/>
    <w:rsid w:val="2E2AA418"/>
    <w:rsid w:val="2E597C4A"/>
    <w:rsid w:val="2E7D53F6"/>
    <w:rsid w:val="2F656858"/>
    <w:rsid w:val="2FD31234"/>
    <w:rsid w:val="328E6C88"/>
    <w:rsid w:val="36EB61A8"/>
    <w:rsid w:val="370C7823"/>
    <w:rsid w:val="377F859C"/>
    <w:rsid w:val="38DBAC2F"/>
    <w:rsid w:val="3994F944"/>
    <w:rsid w:val="3BBAFD27"/>
    <w:rsid w:val="3D78ACA4"/>
    <w:rsid w:val="3E0D5A06"/>
    <w:rsid w:val="40F25453"/>
    <w:rsid w:val="421F30C4"/>
    <w:rsid w:val="426F5A8C"/>
    <w:rsid w:val="43C90E71"/>
    <w:rsid w:val="4A4CD495"/>
    <w:rsid w:val="4AABCA3E"/>
    <w:rsid w:val="4C4A20A3"/>
    <w:rsid w:val="4CA39633"/>
    <w:rsid w:val="4F2D2E8A"/>
    <w:rsid w:val="4F4377AD"/>
    <w:rsid w:val="4F7F5F82"/>
    <w:rsid w:val="51DBBC19"/>
    <w:rsid w:val="557D91A2"/>
    <w:rsid w:val="568DCA5F"/>
    <w:rsid w:val="57CDCABC"/>
    <w:rsid w:val="587083AE"/>
    <w:rsid w:val="5BAECE66"/>
    <w:rsid w:val="5F167305"/>
    <w:rsid w:val="601161CF"/>
    <w:rsid w:val="6046E10F"/>
    <w:rsid w:val="60CF5178"/>
    <w:rsid w:val="624008ED"/>
    <w:rsid w:val="6C0AB96B"/>
    <w:rsid w:val="6CB02270"/>
    <w:rsid w:val="70FC5606"/>
    <w:rsid w:val="7230442D"/>
    <w:rsid w:val="727910BB"/>
    <w:rsid w:val="75B1E9EA"/>
    <w:rsid w:val="79788511"/>
    <w:rsid w:val="7F29C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76F2F"/>
  <w15:docId w15:val="{C0EB21C1-CF3E-4462-89BC-E28C71F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B5290"/>
    <w:pPr>
      <w:framePr w:hSpace="180" w:wrap="around" w:vAnchor="page" w:hAnchor="margin" w:xAlign="center" w:y="901"/>
      <w:spacing w:before="240" w:after="240"/>
      <w:jc w:val="center"/>
    </w:pPr>
    <w:rPr>
      <w:b/>
      <w:sz w:val="28"/>
      <w:szCs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FootnoteTextChar">
    <w:name w:val="Footnote Text Char"/>
    <w:basedOn w:val="DefaultParagraphFont"/>
    <w:link w:val="FootnoteText"/>
    <w:rsid w:val="00CC5124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C512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 w:val="22"/>
      <w:szCs w:val="22"/>
      <w:lang w:val="fr-C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5124"/>
    <w:rPr>
      <w:rFonts w:ascii="Times New Roman" w:eastAsiaTheme="minorEastAsia" w:hAnsi="Times New Roman" w:cstheme="minorBidi"/>
      <w:sz w:val="22"/>
      <w:szCs w:val="22"/>
      <w:lang w:val="fr-CH"/>
    </w:rPr>
  </w:style>
  <w:style w:type="character" w:styleId="CommentReference">
    <w:name w:val="annotation reference"/>
    <w:basedOn w:val="DefaultParagraphFont"/>
    <w:semiHidden/>
    <w:unhideWhenUsed/>
    <w:rsid w:val="00CC51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51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5124"/>
    <w:rPr>
      <w:rFonts w:ascii="Calibri" w:hAnsi="Calibri"/>
      <w:lang w:val="en-GB" w:eastAsia="en-US"/>
    </w:rPr>
  </w:style>
  <w:style w:type="paragraph" w:customStyle="1" w:styleId="paragraph">
    <w:name w:val="paragraph"/>
    <w:basedOn w:val="Normal"/>
    <w:rsid w:val="00CC51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76E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11E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6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6D5E"/>
    <w:rPr>
      <w:rFonts w:ascii="Calibri" w:hAnsi="Calibri"/>
      <w:b/>
      <w:bCs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06B5A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locked/>
    <w:rsid w:val="00C06B5A"/>
    <w:rPr>
      <w:rFonts w:ascii="Calibri" w:hAnsi="Calibri"/>
      <w:i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966651"/>
  </w:style>
  <w:style w:type="character" w:customStyle="1" w:styleId="eop">
    <w:name w:val="eop"/>
    <w:basedOn w:val="DefaultParagraphFont"/>
    <w:rsid w:val="00AB0B51"/>
  </w:style>
  <w:style w:type="character" w:customStyle="1" w:styleId="scxw195231952">
    <w:name w:val="scxw195231952"/>
    <w:basedOn w:val="DefaultParagraphFont"/>
    <w:rsid w:val="00AB0B51"/>
  </w:style>
  <w:style w:type="character" w:customStyle="1" w:styleId="scxw242189522">
    <w:name w:val="scxw242189522"/>
    <w:basedOn w:val="DefaultParagraphFont"/>
    <w:rsid w:val="00AB0B51"/>
  </w:style>
  <w:style w:type="character" w:customStyle="1" w:styleId="scxw90005088">
    <w:name w:val="scxw90005088"/>
    <w:basedOn w:val="DefaultParagraphFont"/>
    <w:rsid w:val="00AB0B51"/>
  </w:style>
  <w:style w:type="character" w:customStyle="1" w:styleId="scxw142141368">
    <w:name w:val="scxw142141368"/>
    <w:basedOn w:val="DefaultParagraphFont"/>
    <w:rsid w:val="00E81593"/>
  </w:style>
  <w:style w:type="character" w:customStyle="1" w:styleId="scxw109534476">
    <w:name w:val="scxw109534476"/>
    <w:basedOn w:val="DefaultParagraphFont"/>
    <w:rsid w:val="00E81593"/>
  </w:style>
  <w:style w:type="character" w:styleId="Mention">
    <w:name w:val="Mention"/>
    <w:basedOn w:val="DefaultParagraphFont"/>
    <w:uiPriority w:val="99"/>
    <w:unhideWhenUsed/>
    <w:rsid w:val="00B23F09"/>
    <w:rPr>
      <w:color w:val="2B579A"/>
      <w:shd w:val="clear" w:color="auto" w:fill="E1DFDD"/>
    </w:rPr>
  </w:style>
  <w:style w:type="paragraph" w:customStyle="1" w:styleId="Committee">
    <w:name w:val="Committee"/>
    <w:basedOn w:val="Normal"/>
    <w:qFormat/>
    <w:rsid w:val="00D166E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eastAsia="Times New Roman" w:hAnsiTheme="minorHAnsi" w:cs="Times New Roman Bold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en/council/Documents/basic-texts/RES-011-E.pdf" TargetMode="External"/><Relationship Id="rId26" Type="http://schemas.openxmlformats.org/officeDocument/2006/relationships/hyperlink" Target="http://www.itu.int/en/ITU-D/Partners/Pages/ICT-DF/default.aspx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tu.int/itudoc/gs/council/c97/docs/res/131.html" TargetMode="External"/><Relationship Id="rId34" Type="http://schemas.openxmlformats.org/officeDocument/2006/relationships/hyperlink" Target="https://www.itu.int/md/S22-PP-C-0206/en" TargetMode="External"/><Relationship Id="rId42" Type="http://schemas.openxmlformats.org/officeDocument/2006/relationships/hyperlink" Target="https://www.itu.int/en/ITU-D/Projects/Pages/Portfolio.aspx?Status=Ongoing&amp;Theme=&amp;Region=&amp;Country=&amp;YearSigned=&amp;Keyword=&amp;ICTDF=1" TargetMode="External"/><Relationship Id="rId47" Type="http://schemas.openxmlformats.org/officeDocument/2006/relationships/footer" Target="footer6.xml"/><Relationship Id="rId50" Type="http://schemas.microsoft.com/office/2019/05/relationships/documenttasks" Target="documenttasks/documenttasks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bookmark://Annex1" TargetMode="External"/><Relationship Id="rId29" Type="http://schemas.openxmlformats.org/officeDocument/2006/relationships/chart" Target="charts/chart1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3-CL-C-0034/en" TargetMode="External"/><Relationship Id="rId32" Type="http://schemas.openxmlformats.org/officeDocument/2006/relationships/chart" Target="charts/chart4.xml"/><Relationship Id="rId37" Type="http://schemas.openxmlformats.org/officeDocument/2006/relationships/hyperlink" Target="http://www.itu.int/en/ITU-D/Projects/ICT-DF.aspx" TargetMode="External"/><Relationship Id="rId40" Type="http://schemas.openxmlformats.org/officeDocument/2006/relationships/header" Target="header2.xml"/><Relationship Id="rId45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3-CL-C-0116/en" TargetMode="External"/><Relationship Id="rId23" Type="http://schemas.openxmlformats.org/officeDocument/2006/relationships/hyperlink" Target="https://www.itu.int/md/S23-CL-C-0116/en" TargetMode="External"/><Relationship Id="rId28" Type="http://schemas.openxmlformats.org/officeDocument/2006/relationships/hyperlink" Target="http://www.itu.int/en/ITU-D/Projects" TargetMode="External"/><Relationship Id="rId36" Type="http://schemas.openxmlformats.org/officeDocument/2006/relationships/hyperlink" Target="https://www.itu.int/md/S24-CL-C-0019/en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pub/S-CONF-ACTF-2022" TargetMode="External"/><Relationship Id="rId31" Type="http://schemas.openxmlformats.org/officeDocument/2006/relationships/chart" Target="charts/chart3.xm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itu.int/md/S11-CL-C-0106/en" TargetMode="External"/><Relationship Id="rId27" Type="http://schemas.openxmlformats.org/officeDocument/2006/relationships/hyperlink" Target="https://www.itu.int/md/S23-CL-C-0116/en" TargetMode="External"/><Relationship Id="rId30" Type="http://schemas.openxmlformats.org/officeDocument/2006/relationships/chart" Target="charts/chart2.xml"/><Relationship Id="rId35" Type="http://schemas.openxmlformats.org/officeDocument/2006/relationships/hyperlink" Target="https://www.itu.int/md/S23-CL-C-0116/en" TargetMode="External"/><Relationship Id="rId43" Type="http://schemas.openxmlformats.org/officeDocument/2006/relationships/hyperlink" Target="http://www.itu.int/en/ITU-D/Projects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S24-CL-C-0034/" TargetMode="External"/><Relationship Id="rId17" Type="http://schemas.openxmlformats.org/officeDocument/2006/relationships/hyperlink" Target="https://www.itu.int/md/S24-CL-C-0019/en" TargetMode="External"/><Relationship Id="rId25" Type="http://schemas.openxmlformats.org/officeDocument/2006/relationships/hyperlink" Target="https://www.itu.int/md/S24-CL-C-0019/en" TargetMode="External"/><Relationship Id="rId33" Type="http://schemas.openxmlformats.org/officeDocument/2006/relationships/chart" Target="charts/chart5.xml"/><Relationship Id="rId38" Type="http://schemas.openxmlformats.org/officeDocument/2006/relationships/header" Target="header1.xml"/><Relationship Id="rId46" Type="http://schemas.openxmlformats.org/officeDocument/2006/relationships/header" Target="header4.xml"/><Relationship Id="rId20" Type="http://schemas.openxmlformats.org/officeDocument/2006/relationships/hyperlink" Target="https://www.itu.int/md/S22-PP-C-0206/en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900" b="0" i="0" baseline="0">
                <a:solidFill>
                  <a:sysClr val="windowText" lastClr="000000"/>
                </a:solidFill>
                <a:effectLst/>
              </a:rPr>
              <a:t>Figure 1. Ongoing projects funded by the ICT-DF (March 2024)</a:t>
            </a:r>
          </a:p>
        </c:rich>
      </c:tx>
      <c:layout>
        <c:manualLayout>
          <c:xMode val="edge"/>
          <c:yMode val="edge"/>
          <c:x val="0.17538288113096279"/>
          <c:y val="3.0561795589716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75-41FE-A279-2BC79336CA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75-41FE-A279-2BC79336CA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75-41FE-A279-2BC79336CA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75-41FE-A279-2BC79336CA38}"/>
              </c:ext>
            </c:extLst>
          </c:dPt>
          <c:dPt>
            <c:idx val="4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75-41FE-A279-2BC79336CA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Sheet1!$A$3:$A$7</c:f>
              <c:strCache>
                <c:ptCount val="5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375-41FE-A279-2BC79336C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bg2">
                    <a:lumMod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="0">
                <a:solidFill>
                  <a:schemeClr val="bg2">
                    <a:lumMod val="25000"/>
                  </a:schemeClr>
                </a:solidFill>
              </a:rPr>
              <a:t>Figure 2.1</a:t>
            </a:r>
            <a:br>
              <a:rPr lang="en-US" sz="900" b="0">
                <a:solidFill>
                  <a:schemeClr val="bg2">
                    <a:lumMod val="25000"/>
                  </a:schemeClr>
                </a:solidFill>
              </a:rPr>
            </a:br>
            <a:r>
              <a:rPr lang="en-US" sz="900" b="0">
                <a:solidFill>
                  <a:schemeClr val="bg2">
                    <a:lumMod val="25000"/>
                  </a:schemeClr>
                </a:solidFill>
              </a:rPr>
              <a:t>Overview of projects funded by the ICT-DF </a:t>
            </a:r>
            <a:br>
              <a:rPr lang="en-US" sz="900" b="0">
                <a:solidFill>
                  <a:schemeClr val="bg2">
                    <a:lumMod val="25000"/>
                  </a:schemeClr>
                </a:solidFill>
              </a:rPr>
            </a:br>
            <a:r>
              <a:rPr lang="en-US" sz="900" b="0">
                <a:solidFill>
                  <a:schemeClr val="bg2">
                    <a:lumMod val="25000"/>
                  </a:schemeClr>
                </a:solidFill>
              </a:rPr>
              <a:t>(2012 - March 2024)</a:t>
            </a:r>
            <a:endParaRPr lang="en-GB" sz="900" b="1">
              <a:solidFill>
                <a:schemeClr val="bg2">
                  <a:lumMod val="25000"/>
                </a:schemeClr>
              </a:solidFill>
            </a:endParaRPr>
          </a:p>
          <a:p>
            <a:pPr>
              <a:defRPr sz="900">
                <a:solidFill>
                  <a:schemeClr val="bg2">
                    <a:lumMod val="25000"/>
                  </a:schemeClr>
                </a:solidFill>
              </a:defRPr>
            </a:pPr>
            <a:endParaRPr lang="en-US" sz="900" b="0">
              <a:solidFill>
                <a:schemeClr val="bg2">
                  <a:lumMod val="2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bg2">
                  <a:lumMod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4AE-4730-AD9E-FAEEF59F0E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4AE-4730-AD9E-FAEEF59F0E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Sheet1!$A$21:$A$22</c:f>
              <c:strCache>
                <c:ptCount val="2"/>
                <c:pt idx="0">
                  <c:v>Implemented</c:v>
                </c:pt>
                <c:pt idx="1">
                  <c:v>Ongoing</c:v>
                </c:pt>
              </c:strCache>
            </c:strRef>
          </c:cat>
          <c:val>
            <c:numRef>
              <c:f>Sheet1!$B$21:$B$22</c:f>
              <c:numCache>
                <c:formatCode>General</c:formatCode>
                <c:ptCount val="2"/>
                <c:pt idx="0">
                  <c:v>16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AE-4730-AD9E-FAEEF59F0ED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="0" i="0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</a:rPr>
              <a:t>Figure 2.2 </a:t>
            </a:r>
            <a:endParaRPr lang="en-GB" sz="900">
              <a:solidFill>
                <a:schemeClr val="tx1">
                  <a:lumMod val="85000"/>
                  <a:lumOff val="15000"/>
                </a:schemeClr>
              </a:solidFill>
              <a:effectLst/>
            </a:endParaRPr>
          </a:p>
          <a:p>
            <a:pPr>
              <a:defRPr sz="900"/>
            </a:pPr>
            <a:r>
              <a:rPr lang="en-US" sz="900" b="0" i="0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</a:rPr>
              <a:t>Funding made available by the ICT-DF </a:t>
            </a:r>
            <a:endParaRPr lang="en-GB" sz="900">
              <a:solidFill>
                <a:schemeClr val="tx1">
                  <a:lumMod val="85000"/>
                  <a:lumOff val="15000"/>
                </a:schemeClr>
              </a:solidFill>
              <a:effectLst/>
            </a:endParaRPr>
          </a:p>
          <a:p>
            <a:pPr>
              <a:defRPr sz="900"/>
            </a:pPr>
            <a:r>
              <a:rPr lang="en-US" sz="900" b="0" i="0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</a:rPr>
              <a:t>(2012 - March 2024)</a:t>
            </a:r>
            <a:endParaRPr lang="en-GB" sz="900">
              <a:solidFill>
                <a:schemeClr val="tx1">
                  <a:lumMod val="85000"/>
                  <a:lumOff val="15000"/>
                </a:schemeClr>
              </a:solidFill>
              <a:effectLst/>
            </a:endParaRPr>
          </a:p>
        </c:rich>
      </c:tx>
      <c:layout>
        <c:manualLayout>
          <c:xMode val="edge"/>
          <c:yMode val="edge"/>
          <c:x val="0.22354819673236773"/>
          <c:y val="2.98831330294239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Sheet1!$A$35</c:f>
              <c:strCache>
                <c:ptCount val="1"/>
                <c:pt idx="0">
                  <c:v>Implemented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In-cash external</c:v>
                </c:pt>
                <c:pt idx="1">
                  <c:v>In-cash ICT-DF</c:v>
                </c:pt>
                <c:pt idx="2">
                  <c:v>Total cash (CHF)</c:v>
                </c:pt>
              </c:strCache>
            </c:strRef>
          </c:cat>
          <c:val>
            <c:numRef>
              <c:f>Sheet1!$B$35:$D$35</c:f>
              <c:numCache>
                <c:formatCode>0.00</c:formatCode>
                <c:ptCount val="3"/>
                <c:pt idx="0">
                  <c:v>4.59</c:v>
                </c:pt>
                <c:pt idx="1">
                  <c:v>3.54</c:v>
                </c:pt>
                <c:pt idx="2">
                  <c:v>8.129999999999999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4F-444C-8674-D944B3552B02}"/>
            </c:ext>
          </c:extLst>
        </c:ser>
        <c:ser>
          <c:idx val="1"/>
          <c:order val="1"/>
          <c:tx>
            <c:strRef>
              <c:f>Sheet1!$A$36</c:f>
              <c:strCache>
                <c:ptCount val="1"/>
                <c:pt idx="0">
                  <c:v>Ongoing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In-cash external</c:v>
                </c:pt>
                <c:pt idx="1">
                  <c:v>In-cash ICT-DF</c:v>
                </c:pt>
                <c:pt idx="2">
                  <c:v>Total cash (CHF)</c:v>
                </c:pt>
              </c:strCache>
            </c:strRef>
          </c:cat>
          <c:val>
            <c:numRef>
              <c:f>Sheet1!$B$36:$D$36</c:f>
              <c:numCache>
                <c:formatCode>0.00</c:formatCode>
                <c:ptCount val="3"/>
                <c:pt idx="0">
                  <c:v>19.833542000000001</c:v>
                </c:pt>
                <c:pt idx="1">
                  <c:v>5.8896490000000004</c:v>
                </c:pt>
                <c:pt idx="2">
                  <c:v>25.723191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4F-444C-8674-D944B3552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28175"/>
        <c:axId val="15625775"/>
      </c:barChart>
      <c:catAx>
        <c:axId val="1562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5775"/>
        <c:crosses val="autoZero"/>
        <c:auto val="1"/>
        <c:lblAlgn val="ctr"/>
        <c:lblOffset val="100"/>
        <c:noMultiLvlLbl val="0"/>
      </c:catAx>
      <c:valAx>
        <c:axId val="15625775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800"/>
                  <a:t>Millions</a:t>
                </a:r>
              </a:p>
            </c:rich>
          </c:tx>
          <c:layout>
            <c:manualLayout>
              <c:xMode val="edge"/>
              <c:yMode val="edge"/>
              <c:x val="3.2307696932988933E-2"/>
              <c:y val="0.476904402706317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8175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900" b="0" i="0" baseline="0">
                <a:solidFill>
                  <a:sysClr val="windowText" lastClr="000000"/>
                </a:solidFill>
                <a:effectLst/>
              </a:rPr>
              <a:t>Figure 2.3 Value of ongoing ICT-DF projects by region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786264937546506"/>
          <c:y val="0.12039998462651824"/>
          <c:w val="0.85740843567545144"/>
          <c:h val="0.65991951565190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Sheet1!$B$46</c:f>
              <c:strCache>
                <c:ptCount val="1"/>
                <c:pt idx="0">
                  <c:v>External Cash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99943323888915E-2"/>
                  <c:y val="5.17177156134171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A5-4FE6-B509-0FBF460EE860}"/>
                </c:ext>
              </c:extLst>
            </c:dLbl>
            <c:dLbl>
              <c:idx val="2"/>
              <c:layout>
                <c:manualLayout>
                  <c:x val="-2.7777777777777779E-3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A5-4FE6-B509-0FBF460EE860}"/>
                </c:ext>
              </c:extLst>
            </c:dLbl>
            <c:dLbl>
              <c:idx val="3"/>
              <c:layout>
                <c:manualLayout>
                  <c:x val="-1.280409731113956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1A5-4FE6-B509-0FBF460EE8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  <c:pt idx="5">
                  <c:v>Total</c:v>
                </c:pt>
              </c:strCache>
            </c:strRef>
          </c:cat>
          <c:val>
            <c:numRef>
              <c:f>Sheet1!$B$47:$B$52</c:f>
              <c:numCache>
                <c:formatCode>_(* #,##0.00_);_(* \(#,##0.00\);_(* "-"??_);_(@_)</c:formatCode>
                <c:ptCount val="6"/>
                <c:pt idx="0">
                  <c:v>7744477</c:v>
                </c:pt>
                <c:pt idx="1">
                  <c:v>298320</c:v>
                </c:pt>
                <c:pt idx="2">
                  <c:v>1760000</c:v>
                </c:pt>
                <c:pt idx="3">
                  <c:v>1229110</c:v>
                </c:pt>
                <c:pt idx="4">
                  <c:v>8801635</c:v>
                </c:pt>
                <c:pt idx="5">
                  <c:v>19833542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A5-4FE6-B509-0FBF460EE860}"/>
            </c:ext>
          </c:extLst>
        </c:ser>
        <c:ser>
          <c:idx val="1"/>
          <c:order val="1"/>
          <c:tx>
            <c:strRef>
              <c:f>Sheet1!$C$46</c:f>
              <c:strCache>
                <c:ptCount val="1"/>
                <c:pt idx="0">
                  <c:v>in-cash ICT-DF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6794812413154239E-3"/>
                  <c:y val="8.499622478697012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A5-4FE6-B509-0FBF460EE860}"/>
                </c:ext>
              </c:extLst>
            </c:dLbl>
            <c:dLbl>
              <c:idx val="1"/>
              <c:layout>
                <c:manualLayout>
                  <c:x val="0"/>
                  <c:y val="-2.54911023981763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1A5-4FE6-B509-0FBF460EE860}"/>
                </c:ext>
              </c:extLst>
            </c:dLbl>
            <c:dLbl>
              <c:idx val="2"/>
              <c:layout>
                <c:manualLayout>
                  <c:x val="9.1221778794686442E-3"/>
                  <c:y val="-4.79226981873176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A5-4FE6-B509-0FBF460EE860}"/>
                </c:ext>
              </c:extLst>
            </c:dLbl>
            <c:dLbl>
              <c:idx val="4"/>
              <c:layout>
                <c:manualLayout>
                  <c:x val="4.8204094480025182E-3"/>
                  <c:y val="-4.68384074941451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1A5-4FE6-B509-0FBF460EE8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  <c:pt idx="5">
                  <c:v>Total</c:v>
                </c:pt>
              </c:strCache>
            </c:strRef>
          </c:cat>
          <c:val>
            <c:numRef>
              <c:f>Sheet1!$C$47:$C$52</c:f>
              <c:numCache>
                <c:formatCode>_(* #,##0.00_);_(* \(#,##0.00\);_(* "-"??_);_(@_)</c:formatCode>
                <c:ptCount val="6"/>
                <c:pt idx="0">
                  <c:v>938730</c:v>
                </c:pt>
                <c:pt idx="1">
                  <c:v>48400</c:v>
                </c:pt>
                <c:pt idx="2">
                  <c:v>662200</c:v>
                </c:pt>
                <c:pt idx="3">
                  <c:v>345375</c:v>
                </c:pt>
                <c:pt idx="4">
                  <c:v>3894944</c:v>
                </c:pt>
                <c:pt idx="5">
                  <c:v>5889649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1A5-4FE6-B509-0FBF460EE860}"/>
            </c:ext>
          </c:extLst>
        </c:ser>
        <c:ser>
          <c:idx val="3"/>
          <c:order val="3"/>
          <c:tx>
            <c:strRef>
              <c:f>Sheet1!$D$46</c:f>
              <c:strCache>
                <c:ptCount val="1"/>
                <c:pt idx="0">
                  <c:v>Total (CHF)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053954258565472E-2"/>
                  <c:y val="-4.8837212879489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1A5-4FE6-B509-0FBF460EE860}"/>
                </c:ext>
              </c:extLst>
            </c:dLbl>
            <c:dLbl>
              <c:idx val="2"/>
              <c:layout>
                <c:manualLayout>
                  <c:x val="1.3071895424836602E-2"/>
                  <c:y val="-2.19178082191781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1A5-4FE6-B509-0FBF460EE860}"/>
                </c:ext>
              </c:extLst>
            </c:dLbl>
            <c:dLbl>
              <c:idx val="3"/>
              <c:layout>
                <c:manualLayout>
                  <c:x val="1.8300653594771146E-2"/>
                  <c:y val="-1.6438356164383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1A5-4FE6-B509-0FBF460EE8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  <c:pt idx="5">
                  <c:v>Total</c:v>
                </c:pt>
              </c:strCache>
            </c:strRef>
          </c:cat>
          <c:val>
            <c:numRef>
              <c:f>Sheet1!$D$47:$D$52</c:f>
              <c:numCache>
                <c:formatCode>_(* #,##0.00_);_(* \(#,##0.00\);_(* "-"??_);_(@_)</c:formatCode>
                <c:ptCount val="6"/>
                <c:pt idx="0">
                  <c:v>8683207</c:v>
                </c:pt>
                <c:pt idx="1">
                  <c:v>346720</c:v>
                </c:pt>
                <c:pt idx="2">
                  <c:v>2422200</c:v>
                </c:pt>
                <c:pt idx="3">
                  <c:v>1574485</c:v>
                </c:pt>
                <c:pt idx="4">
                  <c:v>12696579</c:v>
                </c:pt>
                <c:pt idx="5">
                  <c:v>25723191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1A5-4FE6-B509-0FBF460EE8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1872944"/>
        <c:axId val="87189208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Sheet1!$A$47:$A$52</c15:sqref>
                        </c15:formulaRef>
                      </c:ext>
                    </c:extLst>
                    <c:strCache>
                      <c:ptCount val="6"/>
                      <c:pt idx="0">
                        <c:v>Africa</c:v>
                      </c:pt>
                      <c:pt idx="1">
                        <c:v>The Americas</c:v>
                      </c:pt>
                      <c:pt idx="2">
                        <c:v>Arab States</c:v>
                      </c:pt>
                      <c:pt idx="3">
                        <c:v>Asia-Pacific</c:v>
                      </c:pt>
                      <c:pt idx="4">
                        <c:v>World or Multi-Regional</c:v>
                      </c:pt>
                      <c:pt idx="5">
                        <c:v>Total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A-61A5-4FE6-B509-0FBF460EE860}"/>
                  </c:ext>
                </c:extLst>
              </c15:ser>
            </c15:filteredBarSeries>
          </c:ext>
        </c:extLst>
      </c:barChart>
      <c:catAx>
        <c:axId val="87187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92080"/>
        <c:crosses val="autoZero"/>
        <c:auto val="1"/>
        <c:lblAlgn val="ctr"/>
        <c:lblOffset val="100"/>
        <c:noMultiLvlLbl val="0"/>
      </c:catAx>
      <c:valAx>
        <c:axId val="87189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72944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2.2860044805687818E-2"/>
                <c:y val="0.54248243559718967"/>
              </c:manualLayout>
            </c:layout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101909320158509"/>
          <c:y val="0.90753359939596567"/>
          <c:w val="0.53796181359682982"/>
          <c:h val="9.24664006040340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900" b="0" i="0" baseline="0">
                <a:effectLst/>
              </a:rPr>
              <a:t>Figure 3. Evolution of ICT-DF Capital Account (USD)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5531496062992E-2"/>
          <c:y val="0.16708333333333336"/>
          <c:w val="0.88389129483814521"/>
          <c:h val="0.7208876494604841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77777777777779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FC-4215-A4AB-026D4705173C}"/>
                </c:ext>
              </c:extLst>
            </c:dLbl>
            <c:dLbl>
              <c:idx val="1"/>
              <c:layout>
                <c:manualLayout>
                  <c:x val="-1.1111111111111112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FC-4215-A4AB-026D4705173C}"/>
                </c:ext>
              </c:extLst>
            </c:dLbl>
            <c:dLbl>
              <c:idx val="2"/>
              <c:layout>
                <c:manualLayout>
                  <c:x val="-8.3333333333333332E-3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FC-4215-A4AB-026D470517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Sheet1!$A$67:$A$71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 (March 2024)</c:v>
                </c:pt>
              </c:strCache>
            </c:strRef>
          </c:cat>
          <c:val>
            <c:numRef>
              <c:f>Sheet1!$B$67:$B$71</c:f>
              <c:numCache>
                <c:formatCode>0.00</c:formatCode>
                <c:ptCount val="5"/>
                <c:pt idx="0">
                  <c:v>4.3099999999999996</c:v>
                </c:pt>
                <c:pt idx="1">
                  <c:v>4.0999999999999996</c:v>
                </c:pt>
                <c:pt idx="2">
                  <c:v>3.47</c:v>
                </c:pt>
                <c:pt idx="3">
                  <c:v>2.77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7FC-4215-A4AB-026D47051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469712"/>
        <c:axId val="58470128"/>
      </c:lineChart>
      <c:catAx>
        <c:axId val="5846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70128"/>
        <c:crosses val="autoZero"/>
        <c:auto val="1"/>
        <c:lblAlgn val="ctr"/>
        <c:lblOffset val="100"/>
        <c:noMultiLvlLbl val="0"/>
      </c:catAx>
      <c:valAx>
        <c:axId val="5847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Millions</a:t>
                </a:r>
              </a:p>
            </c:rich>
          </c:tx>
          <c:layout>
            <c:manualLayout>
              <c:xMode val="edge"/>
              <c:yMode val="edge"/>
              <c:x val="2.1348643292590295E-3"/>
              <c:y val="0.744334530999159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6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ocumenttasks/documenttasks1.xml><?xml version="1.0" encoding="utf-8"?>
<t:Tasks xmlns:t="http://schemas.microsoft.com/office/tasks/2019/documenttasks" xmlns:oel="http://schemas.microsoft.com/office/2019/extlst">
  <t:Task id="{150C8984-87CC-4845-B835-136211A13EE2}">
    <t:Anchor>
      <t:Comment id="1675596842"/>
    </t:Anchor>
    <t:History>
      <t:Event id="{68CAE7B8-E89B-4F51-88AE-1C46D89681D3}" time="2024-04-09T13:49:41.04Z">
        <t:Attribution userId="S::elizabeth.aschenbrener@itu.int::4e632b38-a133-4903-bdc0-7453d16dbb7b" userProvider="AD" userName="Aschenbrener, Elizabeth"/>
        <t:Anchor>
          <t:Comment id="1266014509"/>
        </t:Anchor>
        <t:Create/>
      </t:Event>
      <t:Event id="{493A01A0-57E8-4978-B131-7C09BA921A57}" time="2024-04-09T13:49:41.04Z">
        <t:Attribution userId="S::elizabeth.aschenbrener@itu.int::4e632b38-a133-4903-bdc0-7453d16dbb7b" userProvider="AD" userName="Aschenbrener, Elizabeth"/>
        <t:Anchor>
          <t:Comment id="1266014509"/>
        </t:Anchor>
        <t:Assign userId="S::Alassane.Ba@itu.int::aae652ad-faff-4a82-bb27-e3ce531f5899" userProvider="AD" userName="Ba, Alassane"/>
      </t:Event>
      <t:Event id="{444B9FF5-01D7-4003-A135-C37ED181AB4C}" time="2024-04-09T13:49:41.04Z">
        <t:Attribution userId="S::elizabeth.aschenbrener@itu.int::4e632b38-a133-4903-bdc0-7453d16dbb7b" userProvider="AD" userName="Aschenbrener, Elizabeth"/>
        <t:Anchor>
          <t:Comment id="1266014509"/>
        </t:Anchor>
        <t:SetTitle title="@Ba, Alassane"/>
      </t:Event>
    </t:History>
  </t:Task>
  <t:Task id="{6901C878-A2ED-4507-849F-379519765FCD}">
    <t:Anchor>
      <t:Comment id="371746451"/>
    </t:Anchor>
    <t:History>
      <t:Event id="{94352427-7B7F-434B-84B7-C8FF6CF1874B}" time="2024-04-09T13:49:41.04Z">
        <t:Attribution userId="S::elizabeth.aschenbrener@itu.int::4e632b38-a133-4903-bdc0-7453d16dbb7b" userProvider="AD" userName="Aschenbrener, Elizabeth"/>
        <t:Anchor>
          <t:Comment id="779172936"/>
        </t:Anchor>
        <t:Create/>
      </t:Event>
      <t:Event id="{0FC5382F-9A53-439B-850C-EA5F33C78EA2}" time="2024-04-09T13:49:41.04Z">
        <t:Attribution userId="S::elizabeth.aschenbrener@itu.int::4e632b38-a133-4903-bdc0-7453d16dbb7b" userProvider="AD" userName="Aschenbrener, Elizabeth"/>
        <t:Anchor>
          <t:Comment id="779172936"/>
        </t:Anchor>
        <t:Assign userId="S::Alassane.Ba@itu.int::aae652ad-faff-4a82-bb27-e3ce531f5899" userProvider="AD" userName="Ba, Alassane"/>
      </t:Event>
      <t:Event id="{C53F298C-3942-45A6-A854-511B211F9082}" time="2024-04-09T13:49:41.04Z">
        <t:Attribution userId="S::elizabeth.aschenbrener@itu.int::4e632b38-a133-4903-bdc0-7453d16dbb7b" userProvider="AD" userName="Aschenbrener, Elizabeth"/>
        <t:Anchor>
          <t:Comment id="779172936"/>
        </t:Anchor>
        <t:SetTitle title="@Ba, Alassan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EA8E1F72-E481-4057-9E9F-418E2D7D9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3A7114-4116-4076-8D9A-995249381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05F4F-CDFA-48A2-B95B-D4B3111033D4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2056</Words>
  <Characters>11724</Characters>
  <Application>Microsoft Office Word</Application>
  <DocSecurity>0</DocSecurity>
  <Lines>97</Lines>
  <Paragraphs>27</Paragraphs>
  <ScaleCrop>false</ScaleCrop>
  <Manager>General Secretariat - Pool</Manager>
  <Company>International Telecommunication Union (ITU)</Company>
  <LinksUpToDate>false</LinksUpToDate>
  <CharactersWithSpaces>13753</CharactersWithSpaces>
  <SharedDoc>false</SharedDoc>
  <HLinks>
    <vt:vector size="258" baseType="variant">
      <vt:variant>
        <vt:i4>1966163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http://www.itu.int/en/ITU-D/Projects</vt:lpwstr>
      </vt:variant>
      <vt:variant>
        <vt:lpwstr/>
      </vt:variant>
      <vt:variant>
        <vt:i4>6488100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https://www.itu.int/en/ITU-D/Projects/Pages/Portfolio.aspx?Status=Ongoing&amp;Theme=&amp;Region=&amp;Country=&amp;YearSigned=&amp;Keyword=&amp;ICTDF=1</vt:lpwstr>
      </vt:variant>
      <vt:variant>
        <vt:lpwstr/>
      </vt:variant>
      <vt:variant>
        <vt:i4>4325445</vt:i4>
      </vt:variant>
      <vt:variant>
        <vt:i4>60</vt:i4>
      </vt:variant>
      <vt:variant>
        <vt:i4>0</vt:i4>
      </vt:variant>
      <vt:variant>
        <vt:i4>5</vt:i4>
      </vt:variant>
      <vt:variant>
        <vt:lpwstr>http://www.itu.int/en/ITU-D/Projects/ICT-DF.aspx</vt:lpwstr>
      </vt:variant>
      <vt:variant>
        <vt:lpwstr/>
      </vt:variant>
      <vt:variant>
        <vt:i4>3735671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8323133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https://www.itu.int/md/S24-CL-C-0019/en</vt:lpwstr>
      </vt:variant>
      <vt:variant>
        <vt:lpwstr/>
      </vt:variant>
      <vt:variant>
        <vt:i4>7733309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https://www.itu.int/md/S23-CL-C-0116/en</vt:lpwstr>
      </vt:variant>
      <vt:variant>
        <vt:lpwstr/>
      </vt:variant>
      <vt:variant>
        <vt:i4>6750240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https://www.itu.int/md/S22-PP-C-0206/en</vt:lpwstr>
      </vt:variant>
      <vt:variant>
        <vt:lpwstr/>
      </vt:variant>
      <vt:variant>
        <vt:i4>3735671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3735671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1966163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http://www.itu.int/en/ITU-D/Projects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https://www.itu.int/md/S23-CL-C-0116/en</vt:lpwstr>
      </vt:variant>
      <vt:variant>
        <vt:lpwstr/>
      </vt:variant>
      <vt:variant>
        <vt:i4>6946941</vt:i4>
      </vt:variant>
      <vt:variant>
        <vt:i4>30</vt:i4>
      </vt:variant>
      <vt:variant>
        <vt:i4>0</vt:i4>
      </vt:variant>
      <vt:variant>
        <vt:i4>5</vt:i4>
      </vt:variant>
      <vt:variant>
        <vt:lpwstr>http://www.itu.int/en/ITU-D/Partners/Pages/ICT-DF/default.aspx</vt:lpwstr>
      </vt:variant>
      <vt:variant>
        <vt:lpwstr/>
      </vt:variant>
      <vt:variant>
        <vt:i4>7667775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https://www.itu.int/md/S23-CL-C-0034/en</vt:lpwstr>
      </vt:variant>
      <vt:variant>
        <vt:lpwstr/>
      </vt:variant>
      <vt:variant>
        <vt:i4>7733309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https://www.itu.int/md/S23-CL-C-0116/en</vt:lpwstr>
      </vt:variant>
      <vt:variant>
        <vt:lpwstr/>
      </vt:variant>
      <vt:variant>
        <vt:i4>3801196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http://www.itu.int/md/S11-CL-C-0106/en</vt:lpwstr>
      </vt:variant>
      <vt:variant>
        <vt:lpwstr/>
      </vt:variant>
      <vt:variant>
        <vt:i4>2162728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https://www.itu.int/itudoc/gs/council/c97/docs/res/131.html</vt:lpwstr>
      </vt:variant>
      <vt:variant>
        <vt:lpwstr/>
      </vt:variant>
      <vt:variant>
        <vt:i4>6750240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https://www.itu.int/md/S22-PP-C-0206/en</vt:lpwstr>
      </vt:variant>
      <vt:variant>
        <vt:lpwstr/>
      </vt:variant>
      <vt:variant>
        <vt:i4>1507333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https://www.itu.int/pub/S-CONF-ACTF-2022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https://www.itu.int/en/council/Documents/basic-texts/RES-011-E.pdf</vt:lpwstr>
      </vt:variant>
      <vt:variant>
        <vt:lpwstr/>
      </vt:variant>
      <vt:variant>
        <vt:i4>8323133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https://www.itu.int/md/S24-CL-C-0019/en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bookmark://Annex1/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https://www.itu.int/md/S23-CL-C-0116/en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  <vt:variant>
        <vt:i4>7798786</vt:i4>
      </vt:variant>
      <vt:variant>
        <vt:i4>57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7798786</vt:i4>
      </vt:variant>
      <vt:variant>
        <vt:i4>54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3211335</vt:i4>
      </vt:variant>
      <vt:variant>
        <vt:i4>51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3211335</vt:i4>
      </vt:variant>
      <vt:variant>
        <vt:i4>48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7798786</vt:i4>
      </vt:variant>
      <vt:variant>
        <vt:i4>45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3211335</vt:i4>
      </vt:variant>
      <vt:variant>
        <vt:i4>42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3211335</vt:i4>
      </vt:variant>
      <vt:variant>
        <vt:i4>39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5439614</vt:i4>
      </vt:variant>
      <vt:variant>
        <vt:i4>36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7798786</vt:i4>
      </vt:variant>
      <vt:variant>
        <vt:i4>33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5439614</vt:i4>
      </vt:variant>
      <vt:variant>
        <vt:i4>30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3211335</vt:i4>
      </vt:variant>
      <vt:variant>
        <vt:i4>27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7798786</vt:i4>
      </vt:variant>
      <vt:variant>
        <vt:i4>24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3211335</vt:i4>
      </vt:variant>
      <vt:variant>
        <vt:i4>21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3211335</vt:i4>
      </vt:variant>
      <vt:variant>
        <vt:i4>18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5439614</vt:i4>
      </vt:variant>
      <vt:variant>
        <vt:i4>15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7798786</vt:i4>
      </vt:variant>
      <vt:variant>
        <vt:i4>12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5439614</vt:i4>
      </vt:variant>
      <vt:variant>
        <vt:i4>9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3211335</vt:i4>
      </vt:variant>
      <vt:variant>
        <vt:i4>6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3211335</vt:i4>
      </vt:variant>
      <vt:variant>
        <vt:i4>0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Communication Technologies Development Fund (ICT-DF)</dc:title>
  <dc:subject>Council 2023</dc:subject>
  <dc:creator>Sharma, Ramita</dc:creator>
  <cp:keywords>C2023, C23, Council-23</cp:keywords>
  <dc:description/>
  <cp:lastModifiedBy>Comas Barnes, Maite</cp:lastModifiedBy>
  <cp:revision>4</cp:revision>
  <cp:lastPrinted>2024-03-21T14:01:00Z</cp:lastPrinted>
  <dcterms:created xsi:type="dcterms:W3CDTF">2024-04-29T06:26:00Z</dcterms:created>
  <dcterms:modified xsi:type="dcterms:W3CDTF">2024-04-29T06:27:00Z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