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25FB1" w14:paraId="3F0E9EC4" w14:textId="77777777" w:rsidTr="00952667">
        <w:trPr>
          <w:cantSplit/>
          <w:trHeight w:val="1134"/>
        </w:trPr>
        <w:tc>
          <w:tcPr>
            <w:tcW w:w="6379" w:type="dxa"/>
          </w:tcPr>
          <w:p w14:paraId="68FE8375" w14:textId="1746B5C1" w:rsidR="00307769" w:rsidRPr="00425FB1" w:rsidRDefault="00307769" w:rsidP="00C62E99">
            <w:pPr>
              <w:tabs>
                <w:tab w:val="clear" w:pos="1191"/>
                <w:tab w:val="clear" w:pos="1588"/>
                <w:tab w:val="clear" w:pos="1985"/>
              </w:tabs>
              <w:ind w:left="34"/>
              <w:jc w:val="both"/>
              <w:rPr>
                <w:b/>
                <w:bCs/>
                <w:sz w:val="32"/>
                <w:szCs w:val="32"/>
              </w:rPr>
            </w:pPr>
            <w:r w:rsidRPr="00425FB1">
              <w:rPr>
                <w:b/>
                <w:bCs/>
                <w:sz w:val="32"/>
                <w:szCs w:val="32"/>
              </w:rPr>
              <w:t>Telecommunication Development</w:t>
            </w:r>
            <w:r w:rsidRPr="00425FB1">
              <w:rPr>
                <w:b/>
                <w:bCs/>
                <w:sz w:val="32"/>
                <w:szCs w:val="32"/>
              </w:rPr>
              <w:br/>
              <w:t>Advisory Group (TDAG)</w:t>
            </w:r>
          </w:p>
          <w:p w14:paraId="5F5F590A" w14:textId="26D7BEA9" w:rsidR="00307769" w:rsidRPr="00425FB1" w:rsidRDefault="00466E1A" w:rsidP="00C62E99">
            <w:pPr>
              <w:tabs>
                <w:tab w:val="clear" w:pos="1191"/>
                <w:tab w:val="clear" w:pos="1588"/>
                <w:tab w:val="clear" w:pos="1985"/>
              </w:tabs>
              <w:spacing w:after="120"/>
              <w:ind w:left="34"/>
              <w:jc w:val="both"/>
              <w:rPr>
                <w:rFonts w:ascii="Verdana" w:hAnsi="Verdana"/>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509" w:type="dxa"/>
          </w:tcPr>
          <w:p w14:paraId="67E7B4C4" w14:textId="0F52E4CC" w:rsidR="00307769" w:rsidRPr="00425FB1" w:rsidRDefault="00307769" w:rsidP="004179DD">
            <w:pPr>
              <w:spacing w:after="120"/>
              <w:ind w:right="142"/>
              <w:jc w:val="right"/>
            </w:pPr>
            <w:r w:rsidRPr="00425FB1">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25FB1" w14:paraId="3C13197B" w14:textId="77777777" w:rsidTr="0009076F">
        <w:trPr>
          <w:cantSplit/>
        </w:trPr>
        <w:tc>
          <w:tcPr>
            <w:tcW w:w="6379" w:type="dxa"/>
            <w:tcBorders>
              <w:top w:val="single" w:sz="12" w:space="0" w:color="auto"/>
            </w:tcBorders>
          </w:tcPr>
          <w:p w14:paraId="2EED9DB2" w14:textId="77777777" w:rsidR="00683C32" w:rsidRPr="00425FB1" w:rsidRDefault="00683C32" w:rsidP="00C62E99">
            <w:pPr>
              <w:spacing w:before="0"/>
              <w:jc w:val="both"/>
              <w:rPr>
                <w:rFonts w:cs="Arial"/>
                <w:b/>
                <w:bCs/>
                <w:sz w:val="20"/>
              </w:rPr>
            </w:pPr>
          </w:p>
        </w:tc>
        <w:tc>
          <w:tcPr>
            <w:tcW w:w="3509" w:type="dxa"/>
            <w:tcBorders>
              <w:top w:val="single" w:sz="12" w:space="0" w:color="auto"/>
            </w:tcBorders>
          </w:tcPr>
          <w:p w14:paraId="6CC77CFE" w14:textId="0CFDE86B" w:rsidR="00683C32" w:rsidRPr="005B4292" w:rsidRDefault="00683C32" w:rsidP="00C62E99">
            <w:pPr>
              <w:spacing w:before="0"/>
              <w:jc w:val="both"/>
              <w:rPr>
                <w:b/>
                <w:bCs/>
                <w:szCs w:val="24"/>
              </w:rPr>
            </w:pPr>
          </w:p>
        </w:tc>
      </w:tr>
      <w:tr w:rsidR="00683C32" w:rsidRPr="00425FB1" w14:paraId="0BB3FBC4" w14:textId="77777777" w:rsidTr="0009076F">
        <w:trPr>
          <w:cantSplit/>
        </w:trPr>
        <w:tc>
          <w:tcPr>
            <w:tcW w:w="6379" w:type="dxa"/>
          </w:tcPr>
          <w:p w14:paraId="43C54B3D" w14:textId="77777777" w:rsidR="00683C32" w:rsidRPr="00425FB1" w:rsidRDefault="00683C32" w:rsidP="00C62E99">
            <w:pPr>
              <w:pStyle w:val="Committee"/>
              <w:spacing w:before="0"/>
              <w:jc w:val="both"/>
              <w:rPr>
                <w:b w:val="0"/>
                <w:szCs w:val="24"/>
              </w:rPr>
            </w:pPr>
          </w:p>
        </w:tc>
        <w:tc>
          <w:tcPr>
            <w:tcW w:w="3509" w:type="dxa"/>
          </w:tcPr>
          <w:p w14:paraId="02E44EE9" w14:textId="28E95109" w:rsidR="00683C32" w:rsidRPr="00425FB1" w:rsidRDefault="0096201B" w:rsidP="00C62E99">
            <w:pPr>
              <w:spacing w:before="0"/>
              <w:jc w:val="both"/>
              <w:rPr>
                <w:bCs/>
                <w:szCs w:val="24"/>
              </w:rPr>
            </w:pPr>
            <w:r w:rsidRPr="00425FB1">
              <w:rPr>
                <w:b/>
                <w:bCs/>
              </w:rPr>
              <w:t xml:space="preserve">Document </w:t>
            </w:r>
            <w:bookmarkStart w:id="0" w:name="DocRef1"/>
            <w:bookmarkEnd w:id="0"/>
            <w:r w:rsidRPr="003329E6">
              <w:rPr>
                <w:b/>
                <w:bCs/>
              </w:rPr>
              <w:t>TDAG</w:t>
            </w:r>
            <w:r w:rsidR="003242AB" w:rsidRPr="003329E6">
              <w:rPr>
                <w:b/>
                <w:bCs/>
              </w:rPr>
              <w:t>-</w:t>
            </w:r>
            <w:r w:rsidR="00B648C7" w:rsidRPr="003329E6">
              <w:rPr>
                <w:b/>
                <w:bCs/>
              </w:rPr>
              <w:t>2</w:t>
            </w:r>
            <w:bookmarkStart w:id="1" w:name="DocNo1"/>
            <w:bookmarkEnd w:id="1"/>
            <w:r w:rsidR="00BD73F4" w:rsidRPr="003329E6">
              <w:rPr>
                <w:b/>
                <w:bCs/>
              </w:rPr>
              <w:t>4</w:t>
            </w:r>
            <w:r w:rsidR="0009076F" w:rsidRPr="003329E6">
              <w:rPr>
                <w:b/>
                <w:bCs/>
              </w:rPr>
              <w:t>/</w:t>
            </w:r>
            <w:r w:rsidR="00531F8E" w:rsidRPr="003329E6">
              <w:rPr>
                <w:b/>
                <w:bCs/>
              </w:rPr>
              <w:t>51</w:t>
            </w:r>
            <w:r w:rsidR="006E2B33">
              <w:rPr>
                <w:b/>
                <w:bCs/>
              </w:rPr>
              <w:t>(Rev.1)</w:t>
            </w:r>
            <w:r w:rsidRPr="003329E6">
              <w:rPr>
                <w:b/>
                <w:bCs/>
              </w:rPr>
              <w:t>-E</w:t>
            </w:r>
          </w:p>
        </w:tc>
      </w:tr>
      <w:tr w:rsidR="00683C32" w:rsidRPr="00425FB1" w14:paraId="24D04936" w14:textId="77777777" w:rsidTr="0009076F">
        <w:trPr>
          <w:cantSplit/>
        </w:trPr>
        <w:tc>
          <w:tcPr>
            <w:tcW w:w="6379" w:type="dxa"/>
          </w:tcPr>
          <w:p w14:paraId="12CE4DBF" w14:textId="77777777" w:rsidR="00683C32" w:rsidRPr="00425FB1" w:rsidRDefault="00683C32" w:rsidP="00C62E99">
            <w:pPr>
              <w:spacing w:before="0"/>
              <w:jc w:val="both"/>
              <w:rPr>
                <w:b/>
                <w:bCs/>
                <w:smallCaps/>
                <w:szCs w:val="24"/>
              </w:rPr>
            </w:pPr>
          </w:p>
        </w:tc>
        <w:tc>
          <w:tcPr>
            <w:tcW w:w="3509" w:type="dxa"/>
          </w:tcPr>
          <w:p w14:paraId="0F89640F" w14:textId="3F059988" w:rsidR="00683C32" w:rsidRPr="00425FB1" w:rsidRDefault="006E2B33" w:rsidP="00C62E99">
            <w:pPr>
              <w:spacing w:before="0"/>
              <w:jc w:val="both"/>
              <w:rPr>
                <w:b/>
                <w:szCs w:val="24"/>
              </w:rPr>
            </w:pPr>
            <w:r>
              <w:rPr>
                <w:b/>
                <w:bCs/>
                <w:szCs w:val="28"/>
              </w:rPr>
              <w:t>4 November</w:t>
            </w:r>
            <w:r w:rsidRPr="00CE7994">
              <w:rPr>
                <w:b/>
                <w:bCs/>
                <w:szCs w:val="28"/>
              </w:rPr>
              <w:t xml:space="preserve"> </w:t>
            </w:r>
            <w:r w:rsidR="00C626FF" w:rsidRPr="00CE7994">
              <w:rPr>
                <w:b/>
                <w:bCs/>
                <w:szCs w:val="28"/>
              </w:rPr>
              <w:t>2024</w:t>
            </w:r>
          </w:p>
        </w:tc>
      </w:tr>
      <w:tr w:rsidR="00683C32" w:rsidRPr="00425FB1" w14:paraId="7B96545F" w14:textId="77777777" w:rsidTr="0009076F">
        <w:trPr>
          <w:cantSplit/>
        </w:trPr>
        <w:tc>
          <w:tcPr>
            <w:tcW w:w="6379" w:type="dxa"/>
          </w:tcPr>
          <w:p w14:paraId="65956FD3" w14:textId="77777777" w:rsidR="00683C32" w:rsidRPr="00425FB1" w:rsidRDefault="00683C32" w:rsidP="00C62E99">
            <w:pPr>
              <w:spacing w:before="0"/>
              <w:jc w:val="both"/>
              <w:rPr>
                <w:b/>
                <w:bCs/>
                <w:smallCaps/>
                <w:szCs w:val="24"/>
              </w:rPr>
            </w:pPr>
          </w:p>
        </w:tc>
        <w:tc>
          <w:tcPr>
            <w:tcW w:w="3509" w:type="dxa"/>
          </w:tcPr>
          <w:p w14:paraId="30EFD39F" w14:textId="60961B3B" w:rsidR="00514D2F" w:rsidRPr="00425FB1" w:rsidRDefault="0096201B" w:rsidP="00B45BFF">
            <w:pPr>
              <w:spacing w:before="0" w:after="240"/>
              <w:jc w:val="both"/>
              <w:rPr>
                <w:szCs w:val="24"/>
              </w:rPr>
            </w:pPr>
            <w:r w:rsidRPr="00425FB1">
              <w:rPr>
                <w:b/>
              </w:rPr>
              <w:t>Original:</w:t>
            </w:r>
            <w:bookmarkStart w:id="2" w:name="Original"/>
            <w:bookmarkEnd w:id="2"/>
            <w:r w:rsidR="00CE0422" w:rsidRPr="00425FB1">
              <w:rPr>
                <w:b/>
              </w:rPr>
              <w:t xml:space="preserve"> </w:t>
            </w:r>
            <w:r w:rsidR="00CA23BC" w:rsidRPr="00425FB1">
              <w:rPr>
                <w:b/>
              </w:rPr>
              <w:t>English</w:t>
            </w:r>
          </w:p>
        </w:tc>
      </w:tr>
      <w:tr w:rsidR="00A13162" w:rsidRPr="00425FB1" w14:paraId="31656E31" w14:textId="77777777" w:rsidTr="00107E85">
        <w:trPr>
          <w:cantSplit/>
          <w:trHeight w:val="852"/>
        </w:trPr>
        <w:tc>
          <w:tcPr>
            <w:tcW w:w="9888" w:type="dxa"/>
            <w:gridSpan w:val="2"/>
          </w:tcPr>
          <w:p w14:paraId="512FCA01" w14:textId="56B91AD1" w:rsidR="00A13162" w:rsidRPr="00425FB1" w:rsidRDefault="000C165A" w:rsidP="00AB5BBC">
            <w:pPr>
              <w:pStyle w:val="Source"/>
            </w:pPr>
            <w:bookmarkStart w:id="3" w:name="Source"/>
            <w:bookmarkEnd w:id="3"/>
            <w:r w:rsidRPr="00425FB1">
              <w:t>Chair, Telecommunication Development Advisory Group (TDAG)</w:t>
            </w:r>
          </w:p>
        </w:tc>
      </w:tr>
      <w:tr w:rsidR="00AC6F14" w:rsidRPr="00425FB1" w14:paraId="2CBD3A36" w14:textId="77777777" w:rsidTr="00107E85">
        <w:trPr>
          <w:cantSplit/>
        </w:trPr>
        <w:tc>
          <w:tcPr>
            <w:tcW w:w="9888" w:type="dxa"/>
            <w:gridSpan w:val="2"/>
          </w:tcPr>
          <w:p w14:paraId="1B4121DF" w14:textId="7205DEF6" w:rsidR="00AC6F14" w:rsidRPr="00425FB1" w:rsidRDefault="000C165A" w:rsidP="00AB5BBC">
            <w:pPr>
              <w:pStyle w:val="Title1"/>
            </w:pPr>
            <w:bookmarkStart w:id="4" w:name="Title"/>
            <w:bookmarkEnd w:id="4"/>
            <w:r w:rsidRPr="00425FB1">
              <w:t>Report of the 3</w:t>
            </w:r>
            <w:r w:rsidR="00466E1A">
              <w:t>1st</w:t>
            </w:r>
            <w:r w:rsidRPr="00425FB1">
              <w:t xml:space="preserve"> TDAG Meeting</w:t>
            </w:r>
          </w:p>
        </w:tc>
      </w:tr>
      <w:tr w:rsidR="00A721F4" w:rsidRPr="00425FB1" w14:paraId="23A30231" w14:textId="77777777" w:rsidTr="00A721F4">
        <w:trPr>
          <w:cantSplit/>
        </w:trPr>
        <w:tc>
          <w:tcPr>
            <w:tcW w:w="9888" w:type="dxa"/>
            <w:gridSpan w:val="2"/>
            <w:tcBorders>
              <w:bottom w:val="single" w:sz="4" w:space="0" w:color="auto"/>
            </w:tcBorders>
          </w:tcPr>
          <w:p w14:paraId="726EE70E" w14:textId="77777777" w:rsidR="00A721F4" w:rsidRPr="00425FB1" w:rsidRDefault="00A721F4" w:rsidP="00C62E99">
            <w:pPr>
              <w:jc w:val="both"/>
            </w:pPr>
          </w:p>
        </w:tc>
      </w:tr>
    </w:tbl>
    <w:p w14:paraId="37698417" w14:textId="77777777" w:rsidR="00905D5D" w:rsidRDefault="00905D5D">
      <w:pPr>
        <w:tabs>
          <w:tab w:val="clear" w:pos="794"/>
          <w:tab w:val="clear" w:pos="1191"/>
          <w:tab w:val="clear" w:pos="1588"/>
          <w:tab w:val="clear" w:pos="1985"/>
        </w:tabs>
        <w:overflowPunct/>
        <w:autoSpaceDE/>
        <w:autoSpaceDN/>
        <w:adjustRightInd/>
        <w:spacing w:before="0"/>
        <w:textAlignment w:val="auto"/>
        <w:rPr>
          <w:rFonts w:cstheme="minorHAnsi"/>
          <w:b/>
          <w:bCs/>
          <w:szCs w:val="24"/>
        </w:rPr>
      </w:pPr>
      <w:bookmarkStart w:id="5" w:name="Proposal"/>
      <w:bookmarkEnd w:id="5"/>
    </w:p>
    <w:p w14:paraId="774DED38" w14:textId="3B9AA99B" w:rsidR="00905D5D" w:rsidRDefault="00905D5D">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19FEFD4F" w14:textId="25277F5E" w:rsidR="001815A2" w:rsidRPr="00215AF0" w:rsidRDefault="001815A2" w:rsidP="00B45BFF">
      <w:pPr>
        <w:tabs>
          <w:tab w:val="clear" w:pos="794"/>
          <w:tab w:val="clear" w:pos="1191"/>
          <w:tab w:val="clear" w:pos="1588"/>
          <w:tab w:val="clear" w:pos="1985"/>
          <w:tab w:val="left" w:pos="567"/>
          <w:tab w:val="left" w:pos="1134"/>
          <w:tab w:val="left" w:pos="1701"/>
          <w:tab w:val="left" w:pos="2268"/>
        </w:tabs>
        <w:rPr>
          <w:rFonts w:cstheme="minorHAnsi"/>
          <w:b/>
          <w:bCs/>
          <w:szCs w:val="24"/>
        </w:rPr>
      </w:pPr>
      <w:r w:rsidRPr="00215AF0">
        <w:rPr>
          <w:rFonts w:cstheme="minorHAnsi"/>
          <w:b/>
          <w:bCs/>
          <w:szCs w:val="24"/>
        </w:rPr>
        <w:lastRenderedPageBreak/>
        <w:t xml:space="preserve">Introduction and highlights </w:t>
      </w:r>
    </w:p>
    <w:p w14:paraId="20B89F3C" w14:textId="14104C4D" w:rsidR="004B5283" w:rsidRPr="00215AF0" w:rsidRDefault="7DF37C0C" w:rsidP="00B45BFF">
      <w:pPr>
        <w:tabs>
          <w:tab w:val="clear" w:pos="794"/>
          <w:tab w:val="clear" w:pos="1191"/>
          <w:tab w:val="clear" w:pos="1588"/>
          <w:tab w:val="clear" w:pos="1985"/>
          <w:tab w:val="left" w:pos="567"/>
          <w:tab w:val="left" w:pos="1134"/>
          <w:tab w:val="left" w:pos="1701"/>
          <w:tab w:val="left" w:pos="2268"/>
        </w:tabs>
        <w:rPr>
          <w:rFonts w:cstheme="minorHAnsi"/>
          <w:szCs w:val="24"/>
        </w:rPr>
      </w:pPr>
      <w:r w:rsidRPr="00215AF0">
        <w:rPr>
          <w:rFonts w:cstheme="minorHAnsi"/>
          <w:szCs w:val="24"/>
        </w:rPr>
        <w:t xml:space="preserve">The Telecommunication Development Advisory Group (TDAG) </w:t>
      </w:r>
      <w:r w:rsidR="3E5B00FF" w:rsidRPr="00215AF0">
        <w:rPr>
          <w:rFonts w:cstheme="minorHAnsi"/>
          <w:szCs w:val="24"/>
        </w:rPr>
        <w:t xml:space="preserve">held its annual meeting under the chairmanship of Roxanne </w:t>
      </w:r>
      <w:proofErr w:type="spellStart"/>
      <w:r w:rsidR="3E5B00FF" w:rsidRPr="00215AF0">
        <w:rPr>
          <w:rFonts w:cstheme="minorHAnsi"/>
          <w:szCs w:val="24"/>
        </w:rPr>
        <w:t>McElvane</w:t>
      </w:r>
      <w:proofErr w:type="spellEnd"/>
      <w:r w:rsidR="3E5B00FF" w:rsidRPr="00215AF0">
        <w:rPr>
          <w:rFonts w:cstheme="minorHAnsi"/>
          <w:szCs w:val="24"/>
        </w:rPr>
        <w:t xml:space="preserve"> Webber (United States)</w:t>
      </w:r>
      <w:r w:rsidRPr="00215AF0">
        <w:rPr>
          <w:rFonts w:cstheme="minorHAnsi"/>
          <w:szCs w:val="24"/>
        </w:rPr>
        <w:t xml:space="preserve"> from </w:t>
      </w:r>
      <w:r w:rsidR="4E6E930A" w:rsidRPr="00215AF0">
        <w:rPr>
          <w:rFonts w:cstheme="minorHAnsi"/>
          <w:szCs w:val="24"/>
        </w:rPr>
        <w:t xml:space="preserve">20 </w:t>
      </w:r>
      <w:r w:rsidRPr="00215AF0">
        <w:rPr>
          <w:rFonts w:cstheme="minorHAnsi"/>
          <w:szCs w:val="24"/>
        </w:rPr>
        <w:t xml:space="preserve">to </w:t>
      </w:r>
      <w:r w:rsidR="09DF47C9" w:rsidRPr="00215AF0">
        <w:rPr>
          <w:rFonts w:cstheme="minorHAnsi"/>
          <w:szCs w:val="24"/>
        </w:rPr>
        <w:t>23</w:t>
      </w:r>
      <w:r w:rsidRPr="00215AF0">
        <w:rPr>
          <w:rFonts w:cstheme="minorHAnsi"/>
          <w:szCs w:val="24"/>
        </w:rPr>
        <w:t xml:space="preserve"> </w:t>
      </w:r>
      <w:r w:rsidR="1C884290" w:rsidRPr="00215AF0">
        <w:rPr>
          <w:rFonts w:cstheme="minorHAnsi"/>
          <w:szCs w:val="24"/>
        </w:rPr>
        <w:t xml:space="preserve">May </w:t>
      </w:r>
      <w:r w:rsidRPr="00215AF0">
        <w:rPr>
          <w:rFonts w:cstheme="minorHAnsi"/>
          <w:szCs w:val="24"/>
        </w:rPr>
        <w:t>202</w:t>
      </w:r>
      <w:r w:rsidR="5D0B5B8A" w:rsidRPr="00215AF0">
        <w:rPr>
          <w:rFonts w:cstheme="minorHAnsi"/>
          <w:szCs w:val="24"/>
        </w:rPr>
        <w:t>4</w:t>
      </w:r>
      <w:r w:rsidR="75FA21C0" w:rsidRPr="00215AF0">
        <w:rPr>
          <w:rFonts w:cstheme="minorHAnsi"/>
          <w:szCs w:val="24"/>
        </w:rPr>
        <w:t xml:space="preserve">. </w:t>
      </w:r>
      <w:r w:rsidR="00552B3F" w:rsidRPr="309CE0B4">
        <w:rPr>
          <w:rFonts w:cstheme="minorBidi"/>
        </w:rPr>
        <w:t>The meeting attracted</w:t>
      </w:r>
      <w:r w:rsidR="00552B3F" w:rsidRPr="309CE0B4">
        <w:rPr>
          <w:rFonts w:eastAsiaTheme="minorEastAsia" w:cstheme="minorBidi"/>
          <w:color w:val="000000" w:themeColor="text1"/>
        </w:rPr>
        <w:t xml:space="preserve"> 175 </w:t>
      </w:r>
      <w:r w:rsidR="00552B3F" w:rsidRPr="309CE0B4">
        <w:rPr>
          <w:rFonts w:cstheme="minorBidi"/>
        </w:rPr>
        <w:t xml:space="preserve">participants, including 84 female and 91 male participants from 68 countries, with 99 participants present </w:t>
      </w:r>
      <w:r w:rsidR="005D3F80">
        <w:rPr>
          <w:rFonts w:cstheme="minorBidi"/>
        </w:rPr>
        <w:t>physical</w:t>
      </w:r>
      <w:r w:rsidR="001067DC">
        <w:rPr>
          <w:rFonts w:cstheme="minorBidi"/>
        </w:rPr>
        <w:t>l</w:t>
      </w:r>
      <w:r w:rsidR="00552B3F" w:rsidRPr="309CE0B4">
        <w:rPr>
          <w:rFonts w:cstheme="minorBidi"/>
        </w:rPr>
        <w:t>y</w:t>
      </w:r>
      <w:r w:rsidR="005D3F80">
        <w:rPr>
          <w:rFonts w:cstheme="minorBidi"/>
        </w:rPr>
        <w:t xml:space="preserve"> to consider 49 contributions</w:t>
      </w:r>
      <w:r w:rsidR="00552B3F" w:rsidRPr="309CE0B4">
        <w:rPr>
          <w:rFonts w:cstheme="minorBidi"/>
        </w:rPr>
        <w:t>.</w:t>
      </w:r>
    </w:p>
    <w:p w14:paraId="13C1FDCC" w14:textId="50C3C200" w:rsidR="004B5283" w:rsidRPr="00215AF0" w:rsidRDefault="074F24BD" w:rsidP="00B45BFF">
      <w:pPr>
        <w:tabs>
          <w:tab w:val="clear" w:pos="794"/>
          <w:tab w:val="clear" w:pos="1191"/>
          <w:tab w:val="clear" w:pos="1588"/>
          <w:tab w:val="clear" w:pos="1985"/>
          <w:tab w:val="left" w:pos="567"/>
          <w:tab w:val="left" w:pos="1134"/>
          <w:tab w:val="left" w:pos="1701"/>
          <w:tab w:val="left" w:pos="2268"/>
        </w:tabs>
        <w:rPr>
          <w:rFonts w:cstheme="minorHAnsi"/>
          <w:szCs w:val="24"/>
        </w:rPr>
      </w:pPr>
      <w:r w:rsidRPr="00215AF0">
        <w:rPr>
          <w:rFonts w:cstheme="minorHAnsi"/>
          <w:szCs w:val="24"/>
        </w:rPr>
        <w:t>At the opening of the meeting, the Chair expressed condolences to the Islamic Republic of Iran for the tragic accident that occurred the previous day and invited TDAG participants to observe a moment of silence. Throughout the deliberations, many delegations extended their condolences during their interventions.</w:t>
      </w:r>
    </w:p>
    <w:p w14:paraId="60CFFC55" w14:textId="20E35E07" w:rsidR="005A11A7" w:rsidRDefault="074F24BD" w:rsidP="00B45BFF">
      <w:pPr>
        <w:tabs>
          <w:tab w:val="clear" w:pos="794"/>
          <w:tab w:val="clear" w:pos="1191"/>
          <w:tab w:val="clear" w:pos="1588"/>
          <w:tab w:val="clear" w:pos="1985"/>
          <w:tab w:val="left" w:pos="567"/>
          <w:tab w:val="left" w:pos="1134"/>
          <w:tab w:val="left" w:pos="1701"/>
          <w:tab w:val="left" w:pos="2268"/>
        </w:tabs>
        <w:rPr>
          <w:rFonts w:cstheme="minorHAnsi"/>
          <w:szCs w:val="24"/>
        </w:rPr>
      </w:pPr>
      <w:r w:rsidRPr="00215AF0">
        <w:rPr>
          <w:rFonts w:cstheme="minorHAnsi"/>
          <w:szCs w:val="24"/>
        </w:rPr>
        <w:t>During th</w:t>
      </w:r>
      <w:r w:rsidR="001067DC">
        <w:rPr>
          <w:rFonts w:cstheme="minorHAnsi"/>
          <w:szCs w:val="24"/>
        </w:rPr>
        <w:t>is</w:t>
      </w:r>
      <w:r w:rsidRPr="00215AF0">
        <w:rPr>
          <w:rFonts w:cstheme="minorHAnsi"/>
          <w:szCs w:val="24"/>
        </w:rPr>
        <w:t xml:space="preserve"> 2024 session, </w:t>
      </w:r>
      <w:r w:rsidR="0092669A">
        <w:rPr>
          <w:rFonts w:cstheme="minorHAnsi"/>
          <w:szCs w:val="24"/>
        </w:rPr>
        <w:t xml:space="preserve">as </w:t>
      </w:r>
      <w:r w:rsidR="005A11A7">
        <w:rPr>
          <w:rFonts w:cstheme="minorHAnsi"/>
          <w:szCs w:val="24"/>
        </w:rPr>
        <w:t xml:space="preserve">a </w:t>
      </w:r>
      <w:r w:rsidR="0010095F">
        <w:rPr>
          <w:rFonts w:cstheme="minorHAnsi"/>
          <w:szCs w:val="24"/>
        </w:rPr>
        <w:t xml:space="preserve">principal </w:t>
      </w:r>
      <w:r w:rsidR="0092669A">
        <w:rPr>
          <w:rFonts w:cstheme="minorHAnsi"/>
          <w:szCs w:val="24"/>
        </w:rPr>
        <w:t xml:space="preserve">matter, </w:t>
      </w:r>
      <w:r w:rsidRPr="00215AF0">
        <w:rPr>
          <w:rFonts w:cstheme="minorHAnsi"/>
          <w:szCs w:val="24"/>
        </w:rPr>
        <w:t xml:space="preserve">BDT Director Dr Cosmas </w:t>
      </w:r>
      <w:proofErr w:type="spellStart"/>
      <w:r w:rsidRPr="00215AF0">
        <w:rPr>
          <w:rFonts w:cstheme="minorHAnsi"/>
          <w:szCs w:val="24"/>
        </w:rPr>
        <w:t>Luckyson</w:t>
      </w:r>
      <w:proofErr w:type="spellEnd"/>
      <w:r w:rsidRPr="00215AF0">
        <w:rPr>
          <w:rFonts w:cstheme="minorHAnsi"/>
          <w:szCs w:val="24"/>
        </w:rPr>
        <w:t xml:space="preserve"> Zavazava and his team reported on the </w:t>
      </w:r>
      <w:r w:rsidR="004D4BE4">
        <w:rPr>
          <w:rFonts w:cstheme="minorHAnsi"/>
          <w:szCs w:val="24"/>
        </w:rPr>
        <w:t>extensive</w:t>
      </w:r>
      <w:r w:rsidR="003E0220">
        <w:rPr>
          <w:rFonts w:cstheme="minorHAnsi"/>
          <w:szCs w:val="24"/>
        </w:rPr>
        <w:t xml:space="preserve"> activities </w:t>
      </w:r>
      <w:r w:rsidR="004D4BE4">
        <w:rPr>
          <w:rFonts w:cstheme="minorHAnsi"/>
          <w:szCs w:val="24"/>
        </w:rPr>
        <w:t xml:space="preserve">the BDT has undertaken </w:t>
      </w:r>
      <w:r w:rsidR="003E0220">
        <w:rPr>
          <w:rFonts w:cstheme="minorHAnsi"/>
          <w:szCs w:val="24"/>
        </w:rPr>
        <w:t xml:space="preserve">to </w:t>
      </w:r>
      <w:r w:rsidRPr="00215AF0">
        <w:rPr>
          <w:rFonts w:cstheme="minorHAnsi"/>
          <w:szCs w:val="24"/>
        </w:rPr>
        <w:t>implemen</w:t>
      </w:r>
      <w:r w:rsidR="003E0220">
        <w:rPr>
          <w:rFonts w:cstheme="minorHAnsi"/>
          <w:szCs w:val="24"/>
        </w:rPr>
        <w:t>t</w:t>
      </w:r>
      <w:r w:rsidRPr="00215AF0">
        <w:rPr>
          <w:rFonts w:cstheme="minorHAnsi"/>
          <w:szCs w:val="24"/>
        </w:rPr>
        <w:t xml:space="preserve"> the Kigali Action Plan (KAP) adopted at WTDC-22, along with other projects and activities</w:t>
      </w:r>
      <w:r w:rsidR="00675FD1">
        <w:rPr>
          <w:rFonts w:cstheme="minorHAnsi"/>
          <w:szCs w:val="24"/>
        </w:rPr>
        <w:t>,</w:t>
      </w:r>
      <w:r w:rsidR="003E4BDB">
        <w:rPr>
          <w:rFonts w:cstheme="minorHAnsi"/>
          <w:szCs w:val="24"/>
        </w:rPr>
        <w:t xml:space="preserve"> including the </w:t>
      </w:r>
      <w:r w:rsidR="00BA6A68">
        <w:rPr>
          <w:rFonts w:cstheme="minorHAnsi"/>
          <w:szCs w:val="24"/>
        </w:rPr>
        <w:t>2024 I</w:t>
      </w:r>
      <w:r w:rsidR="0039172B">
        <w:rPr>
          <w:rFonts w:cstheme="minorHAnsi"/>
          <w:szCs w:val="24"/>
        </w:rPr>
        <w:t xml:space="preserve">TU-D </w:t>
      </w:r>
      <w:r w:rsidR="003E4BDB">
        <w:rPr>
          <w:rFonts w:cstheme="minorHAnsi"/>
          <w:szCs w:val="24"/>
        </w:rPr>
        <w:t>Operational Plan</w:t>
      </w:r>
      <w:r w:rsidR="0039172B">
        <w:rPr>
          <w:rFonts w:cstheme="minorHAnsi"/>
          <w:szCs w:val="24"/>
        </w:rPr>
        <w:t>, which TDAG endorsed.</w:t>
      </w:r>
      <w:r w:rsidR="00B45BFF">
        <w:rPr>
          <w:rFonts w:cstheme="minorHAnsi"/>
          <w:szCs w:val="24"/>
        </w:rPr>
        <w:t xml:space="preserve"> </w:t>
      </w:r>
      <w:r w:rsidR="00656894">
        <w:rPr>
          <w:rFonts w:cstheme="minorHAnsi"/>
          <w:szCs w:val="24"/>
        </w:rPr>
        <w:t>Some of the n</w:t>
      </w:r>
      <w:r w:rsidR="00D60853" w:rsidRPr="000F6592">
        <w:rPr>
          <w:rFonts w:cstheme="minorHAnsi"/>
          <w:szCs w:val="24"/>
        </w:rPr>
        <w:t xml:space="preserve">otable achievements </w:t>
      </w:r>
      <w:r w:rsidR="000F6592">
        <w:rPr>
          <w:rFonts w:cstheme="minorHAnsi"/>
          <w:szCs w:val="24"/>
        </w:rPr>
        <w:t xml:space="preserve">by the BDT </w:t>
      </w:r>
      <w:r w:rsidR="00D60853" w:rsidRPr="000F6592">
        <w:rPr>
          <w:rFonts w:cstheme="minorHAnsi"/>
          <w:szCs w:val="24"/>
        </w:rPr>
        <w:t>include</w:t>
      </w:r>
      <w:r w:rsidR="00D60853">
        <w:rPr>
          <w:rFonts w:cstheme="minorHAnsi"/>
          <w:szCs w:val="24"/>
        </w:rPr>
        <w:t xml:space="preserve"> </w:t>
      </w:r>
      <w:r w:rsidR="004C03C1">
        <w:rPr>
          <w:rFonts w:cstheme="minorHAnsi"/>
          <w:szCs w:val="24"/>
        </w:rPr>
        <w:t>capacity building for</w:t>
      </w:r>
      <w:r w:rsidR="007661E4">
        <w:rPr>
          <w:rFonts w:cstheme="minorHAnsi"/>
          <w:szCs w:val="24"/>
        </w:rPr>
        <w:t xml:space="preserve"> </w:t>
      </w:r>
      <w:r w:rsidR="004C03C1">
        <w:rPr>
          <w:rFonts w:cstheme="minorHAnsi"/>
          <w:szCs w:val="24"/>
        </w:rPr>
        <w:t>7800 registrants</w:t>
      </w:r>
      <w:r w:rsidR="006A6865">
        <w:rPr>
          <w:rFonts w:cstheme="minorHAnsi"/>
          <w:szCs w:val="24"/>
        </w:rPr>
        <w:t xml:space="preserve"> </w:t>
      </w:r>
      <w:r w:rsidR="006A6865">
        <w:rPr>
          <w:rFonts w:eastAsia="SimSun" w:cstheme="minorHAnsi"/>
          <w:bCs/>
          <w:szCs w:val="24"/>
        </w:rPr>
        <w:t>at</w:t>
      </w:r>
      <w:r w:rsidR="009C20C7">
        <w:rPr>
          <w:rFonts w:eastAsia="SimSun" w:cstheme="minorHAnsi"/>
          <w:bCs/>
          <w:szCs w:val="24"/>
        </w:rPr>
        <w:t xml:space="preserve"> the</w:t>
      </w:r>
      <w:r w:rsidR="006A6865">
        <w:rPr>
          <w:rFonts w:eastAsia="SimSun" w:cstheme="minorHAnsi"/>
          <w:bCs/>
          <w:szCs w:val="24"/>
        </w:rPr>
        <w:t xml:space="preserve"> ITU Academy</w:t>
      </w:r>
      <w:r w:rsidR="00A9464C">
        <w:rPr>
          <w:rFonts w:eastAsia="SimSun" w:cstheme="minorHAnsi"/>
          <w:bCs/>
          <w:szCs w:val="24"/>
        </w:rPr>
        <w:t>,</w:t>
      </w:r>
      <w:r w:rsidR="000F1776">
        <w:rPr>
          <w:rFonts w:eastAsia="SimSun" w:cstheme="minorHAnsi"/>
          <w:bCs/>
          <w:szCs w:val="24"/>
        </w:rPr>
        <w:t xml:space="preserve"> </w:t>
      </w:r>
      <w:r w:rsidR="006A6865">
        <w:rPr>
          <w:rFonts w:eastAsia="SimSun" w:cstheme="minorHAnsi"/>
          <w:bCs/>
          <w:szCs w:val="24"/>
        </w:rPr>
        <w:t xml:space="preserve">trained via 120 courses delivered through Digital Transformation </w:t>
      </w:r>
      <w:r w:rsidR="00BF720F">
        <w:rPr>
          <w:rFonts w:eastAsia="SimSun" w:cstheme="minorHAnsi"/>
          <w:bCs/>
          <w:szCs w:val="24"/>
        </w:rPr>
        <w:t>Centres</w:t>
      </w:r>
      <w:r w:rsidR="004C03C1">
        <w:rPr>
          <w:rFonts w:cstheme="minorHAnsi"/>
          <w:szCs w:val="24"/>
        </w:rPr>
        <w:t xml:space="preserve">, </w:t>
      </w:r>
      <w:r w:rsidR="00897D32">
        <w:rPr>
          <w:rFonts w:cstheme="minorHAnsi"/>
          <w:szCs w:val="24"/>
        </w:rPr>
        <w:t>r</w:t>
      </w:r>
      <w:r w:rsidR="00DA1716">
        <w:rPr>
          <w:rFonts w:cstheme="minorHAnsi"/>
          <w:szCs w:val="24"/>
        </w:rPr>
        <w:t>e</w:t>
      </w:r>
      <w:r w:rsidR="00140F61">
        <w:rPr>
          <w:rFonts w:cstheme="minorHAnsi"/>
          <w:szCs w:val="24"/>
        </w:rPr>
        <w:t xml:space="preserve">source mobilization efforts </w:t>
      </w:r>
      <w:r w:rsidR="00C90261">
        <w:rPr>
          <w:rFonts w:cstheme="minorHAnsi"/>
          <w:szCs w:val="24"/>
        </w:rPr>
        <w:t>tota</w:t>
      </w:r>
      <w:r w:rsidR="00897D32">
        <w:rPr>
          <w:rFonts w:cstheme="minorHAnsi"/>
          <w:szCs w:val="24"/>
        </w:rPr>
        <w:t>l</w:t>
      </w:r>
      <w:r w:rsidR="00C90261">
        <w:rPr>
          <w:rFonts w:cstheme="minorHAnsi"/>
          <w:szCs w:val="24"/>
        </w:rPr>
        <w:t>lin</w:t>
      </w:r>
      <w:r w:rsidR="00DA1716">
        <w:rPr>
          <w:rFonts w:cstheme="minorHAnsi"/>
          <w:szCs w:val="24"/>
        </w:rPr>
        <w:t>g</w:t>
      </w:r>
      <w:r w:rsidR="00C90261">
        <w:rPr>
          <w:rFonts w:cstheme="minorHAnsi"/>
          <w:szCs w:val="24"/>
        </w:rPr>
        <w:t xml:space="preserve"> </w:t>
      </w:r>
      <w:r w:rsidR="00A30BE3">
        <w:rPr>
          <w:rFonts w:cstheme="minorHAnsi"/>
          <w:szCs w:val="24"/>
        </w:rPr>
        <w:t>nearly</w:t>
      </w:r>
      <w:r w:rsidR="00C90261">
        <w:rPr>
          <w:rFonts w:cstheme="minorHAnsi"/>
          <w:szCs w:val="24"/>
        </w:rPr>
        <w:t xml:space="preserve"> 30 mil</w:t>
      </w:r>
      <w:r w:rsidR="00E77B4D">
        <w:rPr>
          <w:rFonts w:cstheme="minorHAnsi"/>
          <w:szCs w:val="24"/>
        </w:rPr>
        <w:t>l</w:t>
      </w:r>
      <w:r w:rsidR="00C90261">
        <w:rPr>
          <w:rFonts w:cstheme="minorHAnsi"/>
          <w:szCs w:val="24"/>
        </w:rPr>
        <w:t xml:space="preserve">ion USD, complemented by </w:t>
      </w:r>
      <w:r w:rsidR="00A30BE3">
        <w:rPr>
          <w:rFonts w:cstheme="minorHAnsi"/>
          <w:szCs w:val="24"/>
        </w:rPr>
        <w:t xml:space="preserve">a </w:t>
      </w:r>
      <w:r w:rsidR="00C90261">
        <w:rPr>
          <w:rFonts w:cstheme="minorHAnsi"/>
          <w:szCs w:val="24"/>
        </w:rPr>
        <w:t xml:space="preserve">new </w:t>
      </w:r>
      <w:r w:rsidR="000A325E">
        <w:rPr>
          <w:rFonts w:cstheme="minorHAnsi"/>
          <w:szCs w:val="24"/>
        </w:rPr>
        <w:t xml:space="preserve">BDT </w:t>
      </w:r>
      <w:r w:rsidR="00A30BE3">
        <w:rPr>
          <w:rFonts w:cstheme="minorHAnsi"/>
          <w:szCs w:val="24"/>
        </w:rPr>
        <w:t>practice</w:t>
      </w:r>
      <w:r w:rsidR="00407E0D">
        <w:rPr>
          <w:rFonts w:cstheme="minorHAnsi"/>
          <w:szCs w:val="24"/>
        </w:rPr>
        <w:t xml:space="preserve"> to report biannually to donors</w:t>
      </w:r>
      <w:r w:rsidR="00E03468">
        <w:rPr>
          <w:rFonts w:cstheme="minorHAnsi"/>
          <w:szCs w:val="24"/>
        </w:rPr>
        <w:t xml:space="preserve"> </w:t>
      </w:r>
      <w:r w:rsidR="003D207F">
        <w:rPr>
          <w:rFonts w:cstheme="minorHAnsi"/>
          <w:szCs w:val="24"/>
        </w:rPr>
        <w:t>on their projects</w:t>
      </w:r>
      <w:r w:rsidR="00E77B4D">
        <w:rPr>
          <w:rFonts w:cstheme="minorHAnsi"/>
          <w:szCs w:val="24"/>
        </w:rPr>
        <w:t>,</w:t>
      </w:r>
      <w:r w:rsidR="003D207F">
        <w:rPr>
          <w:rFonts w:cstheme="minorHAnsi"/>
          <w:szCs w:val="24"/>
        </w:rPr>
        <w:t xml:space="preserve"> </w:t>
      </w:r>
      <w:r w:rsidR="00D806CA">
        <w:rPr>
          <w:rFonts w:cstheme="minorHAnsi"/>
          <w:szCs w:val="24"/>
        </w:rPr>
        <w:t>63 new m</w:t>
      </w:r>
      <w:r w:rsidR="00337456">
        <w:rPr>
          <w:rFonts w:cstheme="minorHAnsi"/>
          <w:szCs w:val="24"/>
        </w:rPr>
        <w:t>embers</w:t>
      </w:r>
      <w:r w:rsidR="00943B61">
        <w:rPr>
          <w:rFonts w:cstheme="minorHAnsi"/>
          <w:szCs w:val="24"/>
        </w:rPr>
        <w:t>,</w:t>
      </w:r>
      <w:r w:rsidR="001E3648">
        <w:rPr>
          <w:rStyle w:val="FootnoteReference"/>
          <w:rFonts w:cstheme="minorHAnsi"/>
          <w:szCs w:val="24"/>
        </w:rPr>
        <w:footnoteReference w:id="2"/>
      </w:r>
      <w:r w:rsidR="00337456">
        <w:rPr>
          <w:rFonts w:cstheme="minorHAnsi"/>
          <w:szCs w:val="24"/>
        </w:rPr>
        <w:t xml:space="preserve"> 36 new projects, </w:t>
      </w:r>
      <w:r w:rsidR="00A30BE3">
        <w:rPr>
          <w:rFonts w:cstheme="minorHAnsi"/>
          <w:szCs w:val="24"/>
        </w:rPr>
        <w:t xml:space="preserve">117 new partnership agreements, </w:t>
      </w:r>
      <w:r w:rsidR="00041293">
        <w:rPr>
          <w:rFonts w:eastAsia="SimSun" w:cstheme="minorHAnsi"/>
          <w:bCs/>
          <w:szCs w:val="24"/>
        </w:rPr>
        <w:t xml:space="preserve">17 Acceleration </w:t>
      </w:r>
      <w:r w:rsidR="00BF720F">
        <w:rPr>
          <w:rFonts w:eastAsia="SimSun" w:cstheme="minorHAnsi"/>
          <w:bCs/>
          <w:szCs w:val="24"/>
        </w:rPr>
        <w:t>Centres</w:t>
      </w:r>
      <w:r w:rsidR="00041293">
        <w:rPr>
          <w:rFonts w:eastAsia="SimSun" w:cstheme="minorHAnsi"/>
          <w:bCs/>
          <w:szCs w:val="24"/>
        </w:rPr>
        <w:t xml:space="preserve"> for innovation and entrepreneurship, </w:t>
      </w:r>
      <w:r w:rsidR="00E03468">
        <w:rPr>
          <w:rFonts w:cstheme="minorHAnsi"/>
          <w:szCs w:val="24"/>
        </w:rPr>
        <w:t>new</w:t>
      </w:r>
      <w:r w:rsidR="00A34020">
        <w:rPr>
          <w:rFonts w:cstheme="minorHAnsi"/>
          <w:szCs w:val="24"/>
        </w:rPr>
        <w:t xml:space="preserve"> </w:t>
      </w:r>
      <w:r w:rsidR="00E03468">
        <w:rPr>
          <w:rFonts w:cstheme="minorHAnsi"/>
          <w:szCs w:val="24"/>
        </w:rPr>
        <w:t>dashboard</w:t>
      </w:r>
      <w:r w:rsidR="00A34020">
        <w:rPr>
          <w:rFonts w:cstheme="minorHAnsi"/>
          <w:szCs w:val="24"/>
        </w:rPr>
        <w:t>s</w:t>
      </w:r>
      <w:r w:rsidR="00E03468">
        <w:rPr>
          <w:rFonts w:cstheme="minorHAnsi"/>
          <w:szCs w:val="24"/>
        </w:rPr>
        <w:t xml:space="preserve"> </w:t>
      </w:r>
      <w:r w:rsidR="004005D6">
        <w:rPr>
          <w:rFonts w:cstheme="minorHAnsi"/>
          <w:szCs w:val="24"/>
        </w:rPr>
        <w:t xml:space="preserve">for membership to </w:t>
      </w:r>
      <w:r w:rsidR="001A19FC">
        <w:rPr>
          <w:rFonts w:cstheme="minorHAnsi"/>
          <w:szCs w:val="24"/>
        </w:rPr>
        <w:t>monitor</w:t>
      </w:r>
      <w:r w:rsidR="00744BD9">
        <w:rPr>
          <w:rFonts w:cstheme="minorHAnsi"/>
          <w:szCs w:val="24"/>
        </w:rPr>
        <w:t xml:space="preserve"> </w:t>
      </w:r>
      <w:r w:rsidR="00DB2E06">
        <w:rPr>
          <w:rFonts w:cstheme="minorHAnsi"/>
          <w:szCs w:val="24"/>
        </w:rPr>
        <w:t>acti</w:t>
      </w:r>
      <w:r w:rsidR="00CF7D7F">
        <w:rPr>
          <w:rFonts w:cstheme="minorHAnsi"/>
          <w:szCs w:val="24"/>
        </w:rPr>
        <w:t xml:space="preserve">ons taken </w:t>
      </w:r>
      <w:r w:rsidR="00221A32">
        <w:rPr>
          <w:rFonts w:cstheme="minorHAnsi"/>
          <w:szCs w:val="24"/>
        </w:rPr>
        <w:t xml:space="preserve">to </w:t>
      </w:r>
      <w:r w:rsidR="00744BD9">
        <w:rPr>
          <w:rFonts w:cstheme="minorHAnsi"/>
          <w:szCs w:val="24"/>
        </w:rPr>
        <w:t>implement</w:t>
      </w:r>
      <w:r w:rsidR="00CF7D7F">
        <w:rPr>
          <w:rFonts w:cstheme="minorHAnsi"/>
          <w:szCs w:val="24"/>
        </w:rPr>
        <w:t xml:space="preserve"> </w:t>
      </w:r>
      <w:r w:rsidR="00AB51BE">
        <w:rPr>
          <w:rFonts w:cstheme="minorHAnsi"/>
          <w:szCs w:val="24"/>
        </w:rPr>
        <w:t>the</w:t>
      </w:r>
      <w:r w:rsidR="00B41DFF">
        <w:rPr>
          <w:rFonts w:cstheme="minorHAnsi"/>
          <w:szCs w:val="24"/>
        </w:rPr>
        <w:t xml:space="preserve"> </w:t>
      </w:r>
      <w:r w:rsidR="0050656C">
        <w:rPr>
          <w:rFonts w:cstheme="minorHAnsi"/>
          <w:szCs w:val="24"/>
        </w:rPr>
        <w:t xml:space="preserve">ITU-D </w:t>
      </w:r>
      <w:r w:rsidR="00B41DFF">
        <w:rPr>
          <w:rFonts w:cstheme="minorHAnsi"/>
          <w:szCs w:val="24"/>
        </w:rPr>
        <w:t>Operational Plan</w:t>
      </w:r>
      <w:r w:rsidR="00A34020">
        <w:rPr>
          <w:rFonts w:cstheme="minorHAnsi"/>
          <w:szCs w:val="24"/>
        </w:rPr>
        <w:t xml:space="preserve"> and</w:t>
      </w:r>
      <w:r w:rsidR="0050656C">
        <w:rPr>
          <w:rFonts w:cstheme="minorHAnsi"/>
          <w:szCs w:val="24"/>
        </w:rPr>
        <w:t xml:space="preserve"> ITU-D projects</w:t>
      </w:r>
      <w:r w:rsidR="00D7478D">
        <w:rPr>
          <w:rFonts w:cstheme="minorHAnsi"/>
          <w:szCs w:val="24"/>
        </w:rPr>
        <w:t xml:space="preserve">, </w:t>
      </w:r>
      <w:r w:rsidR="001E7916">
        <w:rPr>
          <w:rFonts w:cstheme="minorHAnsi"/>
          <w:szCs w:val="24"/>
        </w:rPr>
        <w:t>agenda and plans for WTDC-25</w:t>
      </w:r>
      <w:r w:rsidR="00FC650B">
        <w:rPr>
          <w:rFonts w:cstheme="minorHAnsi"/>
          <w:szCs w:val="24"/>
        </w:rPr>
        <w:t xml:space="preserve">, </w:t>
      </w:r>
      <w:r w:rsidR="00A30BE3">
        <w:rPr>
          <w:rFonts w:cstheme="minorHAnsi"/>
          <w:szCs w:val="24"/>
        </w:rPr>
        <w:t xml:space="preserve">publication of </w:t>
      </w:r>
      <w:r w:rsidR="00CF7D7F">
        <w:rPr>
          <w:rFonts w:cstheme="minorHAnsi"/>
          <w:szCs w:val="24"/>
        </w:rPr>
        <w:t>statistics and long-awaited indices</w:t>
      </w:r>
      <w:r w:rsidR="00A30BE3">
        <w:rPr>
          <w:rFonts w:cstheme="minorHAnsi"/>
          <w:szCs w:val="24"/>
        </w:rPr>
        <w:t xml:space="preserve">, </w:t>
      </w:r>
      <w:r w:rsidR="00D7478D">
        <w:rPr>
          <w:rFonts w:cstheme="minorHAnsi"/>
          <w:szCs w:val="24"/>
        </w:rPr>
        <w:t xml:space="preserve">and </w:t>
      </w:r>
      <w:r w:rsidR="009C42C4">
        <w:rPr>
          <w:rFonts w:cstheme="minorHAnsi"/>
          <w:szCs w:val="24"/>
        </w:rPr>
        <w:t xml:space="preserve">jointly with the UAE </w:t>
      </w:r>
      <w:r w:rsidR="00B9173D">
        <w:rPr>
          <w:rFonts w:cstheme="minorHAnsi"/>
          <w:szCs w:val="24"/>
        </w:rPr>
        <w:t xml:space="preserve">Cyber </w:t>
      </w:r>
      <w:r w:rsidR="009C42C4">
        <w:rPr>
          <w:rFonts w:cstheme="minorHAnsi"/>
          <w:szCs w:val="24"/>
        </w:rPr>
        <w:t>Security</w:t>
      </w:r>
      <w:r w:rsidR="00B9173D">
        <w:rPr>
          <w:rFonts w:cstheme="minorHAnsi"/>
          <w:szCs w:val="24"/>
        </w:rPr>
        <w:t xml:space="preserve"> Council, </w:t>
      </w:r>
      <w:r w:rsidR="00041293">
        <w:rPr>
          <w:rFonts w:cstheme="minorHAnsi"/>
          <w:szCs w:val="24"/>
        </w:rPr>
        <w:t xml:space="preserve">receiving </w:t>
      </w:r>
      <w:r w:rsidR="00B9173D">
        <w:rPr>
          <w:rFonts w:cstheme="minorHAnsi"/>
          <w:szCs w:val="24"/>
        </w:rPr>
        <w:t xml:space="preserve">five </w:t>
      </w:r>
      <w:r w:rsidR="00B9173D">
        <w:rPr>
          <w:rFonts w:eastAsia="SimSun" w:cstheme="minorHAnsi"/>
          <w:bCs/>
          <w:szCs w:val="24"/>
        </w:rPr>
        <w:t>Guiness World Records for hosting a record number of cyber security capacity building events</w:t>
      </w:r>
      <w:r w:rsidR="00E82146">
        <w:rPr>
          <w:rFonts w:cstheme="minorHAnsi"/>
          <w:szCs w:val="24"/>
        </w:rPr>
        <w:t>.</w:t>
      </w:r>
    </w:p>
    <w:p w14:paraId="1CB9B0C6" w14:textId="503353AF" w:rsidR="00BE71F3" w:rsidRPr="00383211" w:rsidRDefault="007C4550" w:rsidP="00B45BFF">
      <w:pPr>
        <w:pStyle w:val="ListParagraph"/>
        <w:widowControl w:val="0"/>
        <w:spacing w:after="120"/>
        <w:ind w:left="0"/>
        <w:rPr>
          <w:rFonts w:cstheme="minorBidi"/>
        </w:rPr>
      </w:pPr>
      <w:r w:rsidRPr="089C62A7">
        <w:rPr>
          <w:rFonts w:cstheme="minorBidi"/>
        </w:rPr>
        <w:t xml:space="preserve">TDAG </w:t>
      </w:r>
      <w:r w:rsidR="005121B0" w:rsidRPr="089C62A7">
        <w:rPr>
          <w:rFonts w:cstheme="minorBidi"/>
        </w:rPr>
        <w:t>al</w:t>
      </w:r>
      <w:r w:rsidR="000257B0" w:rsidRPr="089C62A7">
        <w:rPr>
          <w:rFonts w:cstheme="minorBidi"/>
        </w:rPr>
        <w:t>s</w:t>
      </w:r>
      <w:r w:rsidR="005121B0" w:rsidRPr="089C62A7">
        <w:rPr>
          <w:rFonts w:cstheme="minorBidi"/>
        </w:rPr>
        <w:t xml:space="preserve">o </w:t>
      </w:r>
      <w:r w:rsidR="00C114CD" w:rsidRPr="089C62A7">
        <w:rPr>
          <w:rFonts w:cstheme="minorBidi"/>
        </w:rPr>
        <w:t xml:space="preserve">endorsed </w:t>
      </w:r>
      <w:r w:rsidR="00A1369D" w:rsidRPr="089C62A7">
        <w:rPr>
          <w:rFonts w:cstheme="minorBidi"/>
        </w:rPr>
        <w:t>a</w:t>
      </w:r>
      <w:r w:rsidR="00C114CD" w:rsidRPr="089C62A7">
        <w:rPr>
          <w:rFonts w:cstheme="minorBidi"/>
        </w:rPr>
        <w:t xml:space="preserve"> draft agenda for WTDC-25, </w:t>
      </w:r>
      <w:r w:rsidRPr="089C62A7">
        <w:rPr>
          <w:rFonts w:cstheme="minorBidi"/>
        </w:rPr>
        <w:t xml:space="preserve">appointed </w:t>
      </w:r>
      <w:r w:rsidR="00B57FB9" w:rsidRPr="089C62A7">
        <w:rPr>
          <w:rFonts w:cstheme="minorBidi"/>
        </w:rPr>
        <w:t xml:space="preserve">Ms. Blanca Gonzalez (Spain) and Ms. Shahad </w:t>
      </w:r>
      <w:proofErr w:type="spellStart"/>
      <w:r w:rsidR="00B57FB9" w:rsidRPr="089C62A7">
        <w:rPr>
          <w:rFonts w:cstheme="minorBidi"/>
        </w:rPr>
        <w:t>Albalawi</w:t>
      </w:r>
      <w:proofErr w:type="spellEnd"/>
      <w:r w:rsidR="00B57FB9" w:rsidRPr="089C62A7">
        <w:rPr>
          <w:rFonts w:cstheme="minorBidi"/>
        </w:rPr>
        <w:t xml:space="preserve"> (Saudi Arabia) as </w:t>
      </w:r>
      <w:r w:rsidR="00BC2874" w:rsidRPr="089C62A7">
        <w:rPr>
          <w:rFonts w:cstheme="minorBidi"/>
        </w:rPr>
        <w:t xml:space="preserve">ITU-D </w:t>
      </w:r>
      <w:r w:rsidRPr="089C62A7">
        <w:rPr>
          <w:rFonts w:cstheme="minorBidi"/>
        </w:rPr>
        <w:t>representatives</w:t>
      </w:r>
      <w:r w:rsidR="00FE0F15" w:rsidRPr="089C62A7">
        <w:rPr>
          <w:rFonts w:cstheme="minorBidi"/>
        </w:rPr>
        <w:t xml:space="preserve"> to the </w:t>
      </w:r>
      <w:r w:rsidR="007E2492" w:rsidRPr="089C62A7">
        <w:rPr>
          <w:rFonts w:cstheme="minorBidi"/>
        </w:rPr>
        <w:t>Inter</w:t>
      </w:r>
      <w:r w:rsidR="00743782" w:rsidRPr="089C62A7">
        <w:rPr>
          <w:rFonts w:cstheme="minorBidi"/>
        </w:rPr>
        <w:t xml:space="preserve">-Sector Coordination Group </w:t>
      </w:r>
      <w:r w:rsidR="00241B6B" w:rsidRPr="089C62A7">
        <w:rPr>
          <w:rFonts w:cstheme="minorBidi"/>
        </w:rPr>
        <w:t>(</w:t>
      </w:r>
      <w:r w:rsidR="00FE0F15" w:rsidRPr="089C62A7">
        <w:rPr>
          <w:rFonts w:cstheme="minorBidi"/>
        </w:rPr>
        <w:t>ISCG</w:t>
      </w:r>
      <w:r w:rsidR="00241B6B" w:rsidRPr="089C62A7">
        <w:rPr>
          <w:rFonts w:cstheme="minorBidi"/>
        </w:rPr>
        <w:t>)</w:t>
      </w:r>
      <w:r w:rsidR="00FE0F15" w:rsidRPr="089C62A7">
        <w:rPr>
          <w:rFonts w:cstheme="minorBidi"/>
        </w:rPr>
        <w:t xml:space="preserve"> on the topic of digital transformation</w:t>
      </w:r>
      <w:r w:rsidR="00383211" w:rsidRPr="089C62A7">
        <w:rPr>
          <w:rFonts w:cstheme="minorBidi"/>
        </w:rPr>
        <w:t xml:space="preserve">, </w:t>
      </w:r>
      <w:r w:rsidRPr="089C62A7">
        <w:rPr>
          <w:rFonts w:cstheme="minorBidi"/>
        </w:rPr>
        <w:t xml:space="preserve">approved two </w:t>
      </w:r>
      <w:r w:rsidR="0029031B" w:rsidRPr="089C62A7">
        <w:rPr>
          <w:rFonts w:cstheme="minorBidi"/>
        </w:rPr>
        <w:t xml:space="preserve">reply </w:t>
      </w:r>
      <w:r w:rsidRPr="089C62A7">
        <w:rPr>
          <w:rFonts w:cstheme="minorBidi"/>
        </w:rPr>
        <w:t>liaison stateme</w:t>
      </w:r>
      <w:r w:rsidR="00AA6961" w:rsidRPr="089C62A7">
        <w:rPr>
          <w:rFonts w:cstheme="minorBidi"/>
        </w:rPr>
        <w:t>n</w:t>
      </w:r>
      <w:r w:rsidRPr="089C62A7">
        <w:rPr>
          <w:rFonts w:cstheme="minorBidi"/>
        </w:rPr>
        <w:t>t</w:t>
      </w:r>
      <w:r w:rsidR="00A30BE3" w:rsidRPr="089C62A7">
        <w:rPr>
          <w:rFonts w:cstheme="minorBidi"/>
        </w:rPr>
        <w:t>s --</w:t>
      </w:r>
      <w:r w:rsidRPr="089C62A7">
        <w:rPr>
          <w:rFonts w:cstheme="minorBidi"/>
        </w:rPr>
        <w:t xml:space="preserve"> </w:t>
      </w:r>
      <w:r w:rsidR="00D200D6" w:rsidRPr="089C62A7">
        <w:rPr>
          <w:rFonts w:cstheme="minorBidi"/>
        </w:rPr>
        <w:t xml:space="preserve">one </w:t>
      </w:r>
      <w:r w:rsidRPr="089C62A7">
        <w:rPr>
          <w:rFonts w:cstheme="minorBidi"/>
        </w:rPr>
        <w:t xml:space="preserve">to the </w:t>
      </w:r>
      <w:r w:rsidR="009D3B7F" w:rsidRPr="089C62A7">
        <w:rPr>
          <w:rFonts w:cstheme="minorBidi"/>
        </w:rPr>
        <w:t>ITU Council</w:t>
      </w:r>
      <w:r w:rsidRPr="089C62A7">
        <w:rPr>
          <w:rFonts w:cstheme="minorBidi"/>
        </w:rPr>
        <w:t xml:space="preserve"> </w:t>
      </w:r>
      <w:r w:rsidR="007A1077" w:rsidRPr="089C62A7">
        <w:rPr>
          <w:rStyle w:val="Hyperlink"/>
          <w:color w:val="auto"/>
          <w:u w:val="none"/>
          <w:lang w:val="en-US"/>
        </w:rPr>
        <w:t xml:space="preserve">on the criteria for establishing future </w:t>
      </w:r>
      <w:r w:rsidR="002C3173">
        <w:rPr>
          <w:rStyle w:val="Hyperlink"/>
          <w:color w:val="auto"/>
          <w:u w:val="none"/>
        </w:rPr>
        <w:t xml:space="preserve">ITU </w:t>
      </w:r>
      <w:r w:rsidR="007A1077" w:rsidRPr="089C62A7">
        <w:rPr>
          <w:rStyle w:val="Hyperlink"/>
          <w:color w:val="auto"/>
          <w:u w:val="none"/>
          <w:lang w:val="en-US"/>
        </w:rPr>
        <w:t>area and regional offices</w:t>
      </w:r>
      <w:r w:rsidR="0029031B">
        <w:rPr>
          <w:rStyle w:val="Hyperlink"/>
          <w:color w:val="auto"/>
          <w:u w:val="none"/>
        </w:rPr>
        <w:t>,</w:t>
      </w:r>
      <w:r w:rsidRPr="089C62A7">
        <w:rPr>
          <w:rFonts w:cstheme="minorBidi"/>
        </w:rPr>
        <w:t xml:space="preserve"> and the</w:t>
      </w:r>
      <w:r w:rsidR="00572A9C" w:rsidRPr="089C62A7">
        <w:rPr>
          <w:rFonts w:cstheme="minorBidi"/>
        </w:rPr>
        <w:t xml:space="preserve"> other to the</w:t>
      </w:r>
      <w:r w:rsidRPr="089C62A7">
        <w:rPr>
          <w:rFonts w:cstheme="minorBidi"/>
        </w:rPr>
        <w:t xml:space="preserve"> </w:t>
      </w:r>
      <w:r w:rsidR="00906377" w:rsidRPr="089C62A7">
        <w:rPr>
          <w:rFonts w:cstheme="minorBidi"/>
        </w:rPr>
        <w:t xml:space="preserve">Telecommunication </w:t>
      </w:r>
      <w:r w:rsidR="00AA6961" w:rsidRPr="089C62A7">
        <w:rPr>
          <w:rFonts w:cstheme="minorBidi"/>
        </w:rPr>
        <w:t>Standardization Advisory Group</w:t>
      </w:r>
      <w:r w:rsidRPr="089C62A7">
        <w:rPr>
          <w:rFonts w:cstheme="minorBidi"/>
        </w:rPr>
        <w:t xml:space="preserve"> </w:t>
      </w:r>
      <w:r w:rsidR="00FA0BD3" w:rsidRPr="089C62A7">
        <w:rPr>
          <w:rFonts w:cstheme="minorBidi"/>
        </w:rPr>
        <w:t>(TSAG)</w:t>
      </w:r>
      <w:r w:rsidRPr="089C62A7">
        <w:rPr>
          <w:rFonts w:cstheme="minorBidi"/>
        </w:rPr>
        <w:t xml:space="preserve"> </w:t>
      </w:r>
      <w:r w:rsidR="0029031B" w:rsidRPr="089C62A7">
        <w:rPr>
          <w:rFonts w:cstheme="minorBidi"/>
        </w:rPr>
        <w:t>confirming</w:t>
      </w:r>
      <w:r w:rsidR="00BB4752" w:rsidRPr="089C62A7">
        <w:rPr>
          <w:rFonts w:cstheme="minorBidi"/>
        </w:rPr>
        <w:t xml:space="preserve"> </w:t>
      </w:r>
      <w:r w:rsidR="00C01DF1" w:rsidRPr="089C62A7">
        <w:rPr>
          <w:rStyle w:val="Hyperlink"/>
          <w:rFonts w:cstheme="minorBidi"/>
          <w:color w:val="auto"/>
          <w:u w:val="none"/>
          <w:lang w:val="en-US"/>
        </w:rPr>
        <w:t xml:space="preserve">Digital Transformation </w:t>
      </w:r>
      <w:r w:rsidR="00C72C5D" w:rsidRPr="089C62A7">
        <w:rPr>
          <w:rStyle w:val="Hyperlink"/>
          <w:rFonts w:cstheme="minorBidi"/>
          <w:color w:val="auto"/>
          <w:u w:val="none"/>
        </w:rPr>
        <w:t>a</w:t>
      </w:r>
      <w:r w:rsidR="00BB4752" w:rsidRPr="089C62A7">
        <w:rPr>
          <w:rStyle w:val="Hyperlink"/>
          <w:rFonts w:cstheme="minorBidi"/>
          <w:color w:val="auto"/>
          <w:u w:val="none"/>
        </w:rPr>
        <w:t xml:space="preserve">s </w:t>
      </w:r>
      <w:r w:rsidR="00C01DF1" w:rsidRPr="089C62A7">
        <w:rPr>
          <w:rStyle w:val="Hyperlink"/>
          <w:rFonts w:cstheme="minorBidi"/>
          <w:color w:val="auto"/>
          <w:u w:val="none"/>
          <w:lang w:val="en-US"/>
        </w:rPr>
        <w:t>an integral part of the ITU-D mandate established by</w:t>
      </w:r>
      <w:r w:rsidR="00991C72" w:rsidRPr="089C62A7">
        <w:rPr>
          <w:rStyle w:val="Hyperlink"/>
          <w:rFonts w:cstheme="minorBidi"/>
          <w:color w:val="auto"/>
          <w:u w:val="none"/>
        </w:rPr>
        <w:t xml:space="preserve"> WTD</w:t>
      </w:r>
      <w:r w:rsidR="004421AA" w:rsidRPr="089C62A7">
        <w:rPr>
          <w:rStyle w:val="Hyperlink"/>
          <w:rFonts w:cstheme="minorBidi"/>
          <w:color w:val="auto"/>
          <w:u w:val="none"/>
        </w:rPr>
        <w:t>C-22</w:t>
      </w:r>
      <w:r w:rsidR="00A30BE3" w:rsidRPr="089C62A7">
        <w:rPr>
          <w:rStyle w:val="Hyperlink"/>
          <w:rFonts w:cstheme="minorBidi"/>
          <w:color w:val="auto"/>
          <w:u w:val="none"/>
        </w:rPr>
        <w:t xml:space="preserve"> -- </w:t>
      </w:r>
      <w:r w:rsidRPr="089C62A7">
        <w:rPr>
          <w:rFonts w:cstheme="minorBidi"/>
        </w:rPr>
        <w:t xml:space="preserve">and created three additional groups to prepare for the 2025 World Telecommunication Development Conference (WTDC-25): </w:t>
      </w:r>
    </w:p>
    <w:p w14:paraId="4EDC0E49" w14:textId="71D3E8A9" w:rsidR="00BE71F3" w:rsidRDefault="007C4550" w:rsidP="00756B97">
      <w:pPr>
        <w:pStyle w:val="Default"/>
        <w:numPr>
          <w:ilvl w:val="0"/>
          <w:numId w:val="3"/>
        </w:numPr>
        <w:spacing w:before="60" w:after="60"/>
        <w:rPr>
          <w:color w:val="auto"/>
          <w:lang w:val="en-GB"/>
        </w:rPr>
      </w:pPr>
      <w:r w:rsidRPr="2895358F">
        <w:rPr>
          <w:color w:val="auto"/>
          <w:lang w:val="en-GB"/>
        </w:rPr>
        <w:t xml:space="preserve">TDAG Working Group on ITU-D Priorities (TDAG-WG-ITUDP) led by TDAG Vice Chair </w:t>
      </w:r>
      <w:r w:rsidR="00733B81" w:rsidRPr="2895358F">
        <w:rPr>
          <w:color w:val="auto"/>
          <w:lang w:val="en-GB"/>
        </w:rPr>
        <w:t>Mr.</w:t>
      </w:r>
      <w:r w:rsidR="00B45BFF">
        <w:rPr>
          <w:color w:val="auto"/>
          <w:lang w:val="en-GB"/>
        </w:rPr>
        <w:t> </w:t>
      </w:r>
      <w:r w:rsidRPr="2895358F">
        <w:rPr>
          <w:color w:val="auto"/>
          <w:lang w:val="en-GB"/>
        </w:rPr>
        <w:t>Christopher Kemei (Kenya)</w:t>
      </w:r>
      <w:r w:rsidR="002447F4" w:rsidRPr="2895358F">
        <w:rPr>
          <w:color w:val="auto"/>
          <w:lang w:val="en-GB"/>
        </w:rPr>
        <w:t xml:space="preserve"> </w:t>
      </w:r>
      <w:r w:rsidR="002447F4" w:rsidRPr="2895358F">
        <w:rPr>
          <w:rFonts w:cstheme="minorBidi"/>
          <w:lang w:val="en-GB"/>
        </w:rPr>
        <w:t xml:space="preserve">with assistance from </w:t>
      </w:r>
      <w:r w:rsidR="00656894" w:rsidRPr="2895358F">
        <w:rPr>
          <w:rFonts w:cstheme="minorBidi"/>
          <w:lang w:val="en-GB"/>
        </w:rPr>
        <w:t xml:space="preserve">TDAG Vice Chairs </w:t>
      </w:r>
      <w:r w:rsidR="002447F4" w:rsidRPr="2895358F">
        <w:rPr>
          <w:rFonts w:cstheme="minorBidi"/>
          <w:lang w:val="en-GB"/>
        </w:rPr>
        <w:t>Blanca Gonzalez (Spain) and Dr Ahmad Sharafat (Iran</w:t>
      </w:r>
      <w:proofErr w:type="gramStart"/>
      <w:r w:rsidR="002447F4" w:rsidRPr="2895358F">
        <w:rPr>
          <w:rFonts w:cstheme="minorBidi"/>
          <w:lang w:val="en-GB"/>
        </w:rPr>
        <w:t>)</w:t>
      </w:r>
      <w:r w:rsidR="00AA4C2C" w:rsidRPr="2895358F">
        <w:rPr>
          <w:color w:val="auto"/>
          <w:lang w:val="en-GB"/>
        </w:rPr>
        <w:t>;</w:t>
      </w:r>
      <w:proofErr w:type="gramEnd"/>
    </w:p>
    <w:p w14:paraId="625EF732" w14:textId="200FE66D" w:rsidR="00817626" w:rsidRPr="00750FCF" w:rsidRDefault="007C4550" w:rsidP="00756B97">
      <w:pPr>
        <w:pStyle w:val="Default"/>
        <w:numPr>
          <w:ilvl w:val="0"/>
          <w:numId w:val="3"/>
        </w:numPr>
        <w:spacing w:before="60" w:after="60"/>
        <w:rPr>
          <w:rFonts w:cstheme="minorBidi"/>
          <w:color w:val="auto"/>
        </w:rPr>
      </w:pPr>
      <w:r w:rsidRPr="000045C9">
        <w:rPr>
          <w:color w:val="auto"/>
        </w:rPr>
        <w:t>TDAG Working Group on the WTDC Declaration (TDAG-WG-DEC)</w:t>
      </w:r>
      <w:r w:rsidRPr="4D2A44D0">
        <w:rPr>
          <w:rFonts w:cstheme="minorBidi"/>
          <w:color w:val="auto"/>
        </w:rPr>
        <w:t xml:space="preserve"> led by </w:t>
      </w:r>
      <w:r w:rsidR="003927DC" w:rsidRPr="4D2A44D0">
        <w:rPr>
          <w:rFonts w:cstheme="minorBidi"/>
          <w:color w:val="auto"/>
        </w:rPr>
        <w:t xml:space="preserve">TDAG Vice Chair </w:t>
      </w:r>
      <w:r w:rsidRPr="4D2A44D0">
        <w:rPr>
          <w:rFonts w:cstheme="minorBidi"/>
          <w:color w:val="auto"/>
        </w:rPr>
        <w:t>Mr. Abdulkarim Oloyede (Nigeria)</w:t>
      </w:r>
      <w:r w:rsidR="00AA4C2C" w:rsidRPr="4D2A44D0">
        <w:rPr>
          <w:rFonts w:cstheme="minorBidi"/>
          <w:color w:val="auto"/>
        </w:rPr>
        <w:t>;</w:t>
      </w:r>
      <w:r w:rsidRPr="4D2A44D0">
        <w:rPr>
          <w:rFonts w:cstheme="minorBidi"/>
          <w:color w:val="auto"/>
        </w:rPr>
        <w:t xml:space="preserve"> and the </w:t>
      </w:r>
    </w:p>
    <w:p w14:paraId="5F578EE2" w14:textId="03BA29FD" w:rsidR="00353022" w:rsidRDefault="007C4550" w:rsidP="00756B97">
      <w:pPr>
        <w:pStyle w:val="Default"/>
        <w:numPr>
          <w:ilvl w:val="0"/>
          <w:numId w:val="3"/>
        </w:numPr>
        <w:spacing w:before="60" w:after="60"/>
        <w:rPr>
          <w:color w:val="auto"/>
          <w:lang w:val="en-GB"/>
        </w:rPr>
      </w:pPr>
      <w:r w:rsidRPr="2895358F">
        <w:rPr>
          <w:color w:val="auto"/>
          <w:lang w:val="en-GB"/>
        </w:rPr>
        <w:t>TDAG Informal Coordination Group on the Global Youth Summit (TDAG-ICG-GYS)</w:t>
      </w:r>
      <w:r w:rsidR="00710256" w:rsidRPr="2895358F">
        <w:rPr>
          <w:rStyle w:val="Hyperlink"/>
          <w:rFonts w:cstheme="minorBidi"/>
          <w:color w:val="auto"/>
          <w:u w:val="none"/>
          <w:lang w:val="en-GB"/>
        </w:rPr>
        <w:t xml:space="preserve"> coordinated by </w:t>
      </w:r>
      <w:r w:rsidR="00012A9C" w:rsidRPr="2895358F">
        <w:rPr>
          <w:rStyle w:val="Hyperlink"/>
          <w:rFonts w:cstheme="minorBidi"/>
          <w:color w:val="auto"/>
          <w:u w:val="none"/>
          <w:lang w:val="en-GB"/>
        </w:rPr>
        <w:t xml:space="preserve">TDAG Vice Chairs </w:t>
      </w:r>
      <w:r w:rsidR="00710256" w:rsidRPr="2895358F">
        <w:rPr>
          <w:rStyle w:val="Hyperlink"/>
          <w:rFonts w:cstheme="minorBidi"/>
          <w:color w:val="auto"/>
          <w:u w:val="none"/>
          <w:lang w:val="en-GB"/>
        </w:rPr>
        <w:t>Ms. Agustina BRIZIO (Argentina), Ms. Ke WANG (China), Mr. Abdoulkarim OLOYEDE (Nigeria) and Ms. Shahad ALBALAWI (Saudi Arabia).</w:t>
      </w:r>
    </w:p>
    <w:p w14:paraId="769B6821" w14:textId="25DD0452" w:rsidR="00D65251" w:rsidRDefault="00A87D53" w:rsidP="00B45BFF">
      <w:pPr>
        <w:overflowPunct/>
        <w:autoSpaceDE/>
        <w:autoSpaceDN/>
        <w:adjustRightInd/>
        <w:spacing w:after="120"/>
        <w:textAlignment w:val="auto"/>
      </w:pPr>
      <w:r>
        <w:t>These</w:t>
      </w:r>
      <w:r w:rsidR="00F921E2">
        <w:t xml:space="preserve"> groups </w:t>
      </w:r>
      <w:r w:rsidR="00D201FF" w:rsidRPr="000045C9">
        <w:t>will</w:t>
      </w:r>
      <w:r w:rsidR="007C4550" w:rsidRPr="00FA0F16">
        <w:rPr>
          <w:rFonts w:cstheme="minorHAnsi"/>
        </w:rPr>
        <w:t xml:space="preserve"> </w:t>
      </w:r>
      <w:r w:rsidR="00D201FF" w:rsidRPr="00FA0F16">
        <w:rPr>
          <w:rFonts w:cstheme="minorHAnsi"/>
        </w:rPr>
        <w:t xml:space="preserve">augment </w:t>
      </w:r>
      <w:r w:rsidR="007C4550" w:rsidRPr="00FA0F16">
        <w:rPr>
          <w:rFonts w:cstheme="minorHAnsi"/>
          <w:szCs w:val="24"/>
        </w:rPr>
        <w:t>th</w:t>
      </w:r>
      <w:r w:rsidR="00FA0F16">
        <w:rPr>
          <w:rFonts w:cstheme="minorHAnsi"/>
          <w:szCs w:val="24"/>
        </w:rPr>
        <w:t>ose created</w:t>
      </w:r>
      <w:r w:rsidR="00FA0F16" w:rsidRPr="00B62386">
        <w:t xml:space="preserve"> at TDAG 2023</w:t>
      </w:r>
      <w:r w:rsidR="00FA0F16">
        <w:t>:</w:t>
      </w:r>
    </w:p>
    <w:p w14:paraId="2F3AF149" w14:textId="550AE3F4" w:rsidR="00D65251" w:rsidRPr="000045C9" w:rsidRDefault="007C4550" w:rsidP="00756B97">
      <w:pPr>
        <w:pStyle w:val="ListParagraph"/>
        <w:numPr>
          <w:ilvl w:val="0"/>
          <w:numId w:val="4"/>
        </w:numPr>
        <w:overflowPunct/>
        <w:autoSpaceDE/>
        <w:autoSpaceDN/>
        <w:adjustRightInd/>
        <w:spacing w:before="60" w:after="60"/>
        <w:ind w:left="714" w:hanging="357"/>
        <w:contextualSpacing w:val="0"/>
        <w:textAlignment w:val="auto"/>
        <w:rPr>
          <w:rFonts w:eastAsia="Malgun Gothic" w:cstheme="minorHAnsi"/>
          <w:szCs w:val="24"/>
          <w:lang w:val="en-US" w:eastAsia="ko-KR"/>
        </w:rPr>
      </w:pPr>
      <w:r w:rsidRPr="000045C9">
        <w:rPr>
          <w:szCs w:val="24"/>
        </w:rPr>
        <w:t>TDAG Working Group on the Future of Study Group Questions (TDAG-WG-</w:t>
      </w:r>
      <w:proofErr w:type="spellStart"/>
      <w:r w:rsidRPr="000045C9">
        <w:rPr>
          <w:szCs w:val="24"/>
        </w:rPr>
        <w:t>futureSGQ</w:t>
      </w:r>
      <w:proofErr w:type="spellEnd"/>
      <w:r w:rsidR="00B20FA0" w:rsidRPr="00D65251">
        <w:rPr>
          <w:szCs w:val="24"/>
        </w:rPr>
        <w:t xml:space="preserve">) chaired by </w:t>
      </w:r>
      <w:r w:rsidR="00656894">
        <w:rPr>
          <w:szCs w:val="24"/>
        </w:rPr>
        <w:t xml:space="preserve">TDAG Vice Chair </w:t>
      </w:r>
      <w:proofErr w:type="spellStart"/>
      <w:r w:rsidR="00B20FA0" w:rsidRPr="00D65251">
        <w:rPr>
          <w:szCs w:val="24"/>
        </w:rPr>
        <w:t>Dr.</w:t>
      </w:r>
      <w:proofErr w:type="spellEnd"/>
      <w:r w:rsidR="00B20FA0" w:rsidRPr="00D65251">
        <w:rPr>
          <w:szCs w:val="24"/>
        </w:rPr>
        <w:t xml:space="preserve"> Ahmed Sharafat</w:t>
      </w:r>
      <w:r w:rsidR="0029480C" w:rsidRPr="00D65251">
        <w:rPr>
          <w:szCs w:val="24"/>
        </w:rPr>
        <w:t xml:space="preserve"> with </w:t>
      </w:r>
      <w:r w:rsidR="00A42483">
        <w:rPr>
          <w:rStyle w:val="ui-provider"/>
          <w:rFonts w:cstheme="minorHAnsi"/>
          <w:szCs w:val="24"/>
        </w:rPr>
        <w:t>Vi</w:t>
      </w:r>
      <w:r w:rsidR="00EC2524" w:rsidRPr="00D65251">
        <w:rPr>
          <w:rStyle w:val="ui-provider"/>
          <w:rFonts w:cstheme="minorHAnsi"/>
          <w:szCs w:val="24"/>
        </w:rPr>
        <w:t>ce</w:t>
      </w:r>
      <w:r w:rsidR="00A42483">
        <w:rPr>
          <w:rStyle w:val="ui-provider"/>
          <w:rFonts w:cstheme="minorHAnsi"/>
          <w:szCs w:val="24"/>
        </w:rPr>
        <w:t xml:space="preserve"> C</w:t>
      </w:r>
      <w:r w:rsidR="00EC2524" w:rsidRPr="00D65251">
        <w:rPr>
          <w:rStyle w:val="ui-provider"/>
          <w:rFonts w:cstheme="minorHAnsi"/>
          <w:szCs w:val="24"/>
        </w:rPr>
        <w:t xml:space="preserve">hairs Mrs Regina Fleur Assoumou </w:t>
      </w:r>
      <w:proofErr w:type="spellStart"/>
      <w:r w:rsidR="00EC2524" w:rsidRPr="00D65251">
        <w:rPr>
          <w:rStyle w:val="ui-provider"/>
          <w:rFonts w:cstheme="minorHAnsi"/>
          <w:szCs w:val="24"/>
        </w:rPr>
        <w:t>Bessou</w:t>
      </w:r>
      <w:proofErr w:type="spellEnd"/>
      <w:r w:rsidR="00EC2524" w:rsidRPr="00D65251">
        <w:rPr>
          <w:rStyle w:val="ui-provider"/>
          <w:rFonts w:cstheme="minorHAnsi"/>
          <w:szCs w:val="24"/>
        </w:rPr>
        <w:t xml:space="preserve"> (</w:t>
      </w:r>
      <w:r w:rsidR="006D1B91">
        <w:rPr>
          <w:rStyle w:val="ui-provider"/>
          <w:rFonts w:cstheme="minorHAnsi"/>
          <w:szCs w:val="24"/>
        </w:rPr>
        <w:t>Côte d’Ivoire</w:t>
      </w:r>
      <w:r w:rsidR="00EC2524" w:rsidRPr="00D65251">
        <w:rPr>
          <w:rStyle w:val="ui-provider"/>
          <w:rFonts w:cstheme="minorHAnsi"/>
          <w:szCs w:val="24"/>
        </w:rPr>
        <w:t xml:space="preserve">, SG1 Chair) and Mr Fadel </w:t>
      </w:r>
      <w:proofErr w:type="spellStart"/>
      <w:r w:rsidR="00EC2524" w:rsidRPr="00D65251">
        <w:rPr>
          <w:rStyle w:val="ui-provider"/>
          <w:rFonts w:cstheme="minorHAnsi"/>
          <w:szCs w:val="24"/>
        </w:rPr>
        <w:t>Digham</w:t>
      </w:r>
      <w:proofErr w:type="spellEnd"/>
      <w:r w:rsidR="00EC2524" w:rsidRPr="00D65251">
        <w:rPr>
          <w:rStyle w:val="ui-provider"/>
          <w:rFonts w:cstheme="minorHAnsi"/>
          <w:szCs w:val="24"/>
        </w:rPr>
        <w:t xml:space="preserve"> (Egypt, SG2 Chair)</w:t>
      </w:r>
      <w:r w:rsidR="00D65251" w:rsidRPr="00D65251">
        <w:rPr>
          <w:rStyle w:val="ui-provider"/>
          <w:rFonts w:cstheme="minorHAnsi"/>
          <w:szCs w:val="24"/>
        </w:rPr>
        <w:t>;</w:t>
      </w:r>
      <w:r w:rsidR="0029480C" w:rsidRPr="00D65251">
        <w:rPr>
          <w:rStyle w:val="ui-provider"/>
          <w:rFonts w:cstheme="minorHAnsi"/>
          <w:szCs w:val="24"/>
        </w:rPr>
        <w:t xml:space="preserve"> </w:t>
      </w:r>
      <w:r w:rsidRPr="000045C9">
        <w:t xml:space="preserve">and the </w:t>
      </w:r>
    </w:p>
    <w:p w14:paraId="3C99BDEF" w14:textId="7F29B01B" w:rsidR="009F071A" w:rsidRPr="00D65251" w:rsidRDefault="007C4550" w:rsidP="00756B97">
      <w:pPr>
        <w:pStyle w:val="ListParagraph"/>
        <w:numPr>
          <w:ilvl w:val="0"/>
          <w:numId w:val="4"/>
        </w:numPr>
        <w:overflowPunct/>
        <w:autoSpaceDE/>
        <w:autoSpaceDN/>
        <w:adjustRightInd/>
        <w:spacing w:before="60" w:after="60"/>
        <w:ind w:left="714" w:hanging="357"/>
        <w:contextualSpacing w:val="0"/>
        <w:textAlignment w:val="auto"/>
        <w:rPr>
          <w:rFonts w:eastAsia="Malgun Gothic" w:cstheme="minorHAnsi"/>
          <w:szCs w:val="24"/>
          <w:lang w:val="en-US" w:eastAsia="ko-KR"/>
        </w:rPr>
      </w:pPr>
      <w:r w:rsidRPr="000045C9">
        <w:rPr>
          <w:szCs w:val="24"/>
        </w:rPr>
        <w:lastRenderedPageBreak/>
        <w:t>TDAG Working Group on Streamlining Resolutions (TDAG-WG-SR)</w:t>
      </w:r>
      <w:r w:rsidR="00390C94">
        <w:rPr>
          <w:szCs w:val="24"/>
        </w:rPr>
        <w:t xml:space="preserve">, chaired by Ms Andrea Grippa (Brazil) with </w:t>
      </w:r>
      <w:r w:rsidR="009F071A" w:rsidRPr="00D65251">
        <w:rPr>
          <w:rFonts w:eastAsia="Malgun Gothic" w:cstheme="minorHAnsi"/>
          <w:szCs w:val="24"/>
          <w:lang w:eastAsia="ko-KR"/>
        </w:rPr>
        <w:t>Vice</w:t>
      </w:r>
      <w:r w:rsidR="00663E18">
        <w:rPr>
          <w:rFonts w:eastAsia="Malgun Gothic" w:cstheme="minorHAnsi"/>
          <w:szCs w:val="24"/>
          <w:lang w:eastAsia="ko-KR"/>
        </w:rPr>
        <w:t xml:space="preserve"> </w:t>
      </w:r>
      <w:r w:rsidR="009F071A" w:rsidRPr="00D65251">
        <w:rPr>
          <w:rFonts w:eastAsia="Malgun Gothic" w:cstheme="minorHAnsi"/>
          <w:szCs w:val="24"/>
          <w:lang w:eastAsia="ko-KR"/>
        </w:rPr>
        <w:t xml:space="preserve">Chairs </w:t>
      </w:r>
      <w:r w:rsidR="009F071A" w:rsidRPr="00D65251">
        <w:rPr>
          <w:rFonts w:eastAsia="Malgun Gothic" w:cstheme="minorHAnsi"/>
          <w:szCs w:val="24"/>
          <w:lang w:val="en-US" w:eastAsia="ko-KR"/>
        </w:rPr>
        <w:t>Ms. Blanca Gonzalez (Spain) and Ms. Agustina Brizo (Argentina)</w:t>
      </w:r>
      <w:r w:rsidR="00332C6A">
        <w:rPr>
          <w:rFonts w:eastAsia="Malgun Gothic" w:cstheme="minorHAnsi"/>
          <w:szCs w:val="24"/>
          <w:lang w:val="en-US" w:eastAsia="ko-KR"/>
        </w:rPr>
        <w:t>.</w:t>
      </w:r>
    </w:p>
    <w:p w14:paraId="5D7646AA" w14:textId="2203E79D" w:rsidR="008A3213" w:rsidRDefault="00B7150D" w:rsidP="00CB1C8E">
      <w:pPr>
        <w:spacing w:after="120"/>
      </w:pPr>
      <w:r>
        <w:t xml:space="preserve">All TDAG groups are open to all </w:t>
      </w:r>
      <w:r w:rsidR="00357AAE">
        <w:t>ITU-D Membership</w:t>
      </w:r>
      <w:r>
        <w:t>.</w:t>
      </w:r>
      <w:r w:rsidR="00146988">
        <w:t xml:space="preserve"> </w:t>
      </w:r>
    </w:p>
    <w:p w14:paraId="69061549" w14:textId="1BD90504" w:rsidR="008A3213" w:rsidRPr="007A5FF1" w:rsidRDefault="00EA660B" w:rsidP="00424283">
      <w:pPr>
        <w:spacing w:after="120"/>
        <w:rPr>
          <w:szCs w:val="24"/>
        </w:rPr>
      </w:pPr>
      <w:r>
        <w:rPr>
          <w:szCs w:val="24"/>
        </w:rPr>
        <w:t>B</w:t>
      </w:r>
      <w:r w:rsidR="008A3213" w:rsidRPr="007A5FF1">
        <w:rPr>
          <w:szCs w:val="24"/>
        </w:rPr>
        <w:t xml:space="preserve">ased on contributions </w:t>
      </w:r>
      <w:r>
        <w:rPr>
          <w:szCs w:val="24"/>
        </w:rPr>
        <w:t>from Membership representing the advice of TDAG participants</w:t>
      </w:r>
      <w:r w:rsidR="00487D29">
        <w:rPr>
          <w:szCs w:val="24"/>
        </w:rPr>
        <w:t xml:space="preserve"> and discussion at the meeting</w:t>
      </w:r>
      <w:r w:rsidR="008A3213" w:rsidRPr="007A5FF1">
        <w:rPr>
          <w:szCs w:val="24"/>
        </w:rPr>
        <w:t>, the BDT agreed to streamline the methods by which it collects various data through surveys, to report to TDAG on the activities undertaken to implement ITU-D Resolution 9</w:t>
      </w:r>
      <w:r w:rsidR="008A3213" w:rsidRPr="007A5FF1">
        <w:rPr>
          <w:i/>
          <w:iCs/>
          <w:szCs w:val="24"/>
        </w:rPr>
        <w:t>, Participation of Countries, Especially Developing Countries, in Spectrum Management</w:t>
      </w:r>
      <w:r w:rsidR="008A3213" w:rsidRPr="007A5FF1">
        <w:rPr>
          <w:szCs w:val="24"/>
        </w:rPr>
        <w:t xml:space="preserve"> (Rev. Kigali, 2022), to provide further information about the cost and timing of a proposed ICT for ALL Global Summit, to provide updates on coordination between the Acceleration </w:t>
      </w:r>
      <w:proofErr w:type="spellStart"/>
      <w:r w:rsidR="008A3213" w:rsidRPr="007A5FF1">
        <w:rPr>
          <w:szCs w:val="24"/>
        </w:rPr>
        <w:t>Centers</w:t>
      </w:r>
      <w:proofErr w:type="spellEnd"/>
      <w:r w:rsidR="008A3213" w:rsidRPr="007A5FF1">
        <w:rPr>
          <w:szCs w:val="24"/>
        </w:rPr>
        <w:t xml:space="preserve"> and the ITU Academy, and to examine the operational and legal implications of various remote participation modalities for WTDC-25, including their impact on the success and inclusiveness of the conference.</w:t>
      </w:r>
    </w:p>
    <w:p w14:paraId="6849E943" w14:textId="36E79279" w:rsidR="00D74F7A" w:rsidRPr="00215AF0" w:rsidRDefault="29232E21" w:rsidP="00CB1C8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50FCF">
        <w:rPr>
          <w:rFonts w:cstheme="minorBidi"/>
        </w:rPr>
        <w:t xml:space="preserve">The following </w:t>
      </w:r>
      <w:r w:rsidR="5FB3B43B" w:rsidRPr="00750FCF">
        <w:rPr>
          <w:rFonts w:cstheme="minorBidi"/>
        </w:rPr>
        <w:t>TDAG Vice-Chair</w:t>
      </w:r>
      <w:r w:rsidR="3E99A0E7" w:rsidRPr="00750FCF">
        <w:rPr>
          <w:rFonts w:cstheme="minorBidi"/>
        </w:rPr>
        <w:t>s</w:t>
      </w:r>
      <w:r w:rsidR="5FB3B43B" w:rsidRPr="00750FCF">
        <w:rPr>
          <w:rFonts w:cstheme="minorBidi"/>
        </w:rPr>
        <w:t xml:space="preserve"> were </w:t>
      </w:r>
      <w:r w:rsidR="5FB3B43B" w:rsidRPr="309CE0B4">
        <w:rPr>
          <w:rFonts w:cstheme="minorBidi"/>
        </w:rPr>
        <w:t xml:space="preserve">present </w:t>
      </w:r>
      <w:r w:rsidR="2B563EBE" w:rsidRPr="309CE0B4">
        <w:rPr>
          <w:rFonts w:cstheme="minorBidi"/>
        </w:rPr>
        <w:t>and participated in th</w:t>
      </w:r>
      <w:r w:rsidR="5FB3B43B" w:rsidRPr="309CE0B4">
        <w:rPr>
          <w:rFonts w:cstheme="minorBidi"/>
        </w:rPr>
        <w:t>e meeting</w:t>
      </w:r>
      <w:r w:rsidR="00DF4E64">
        <w:rPr>
          <w:rFonts w:cstheme="minorBidi"/>
        </w:rPr>
        <w:t>,</w:t>
      </w:r>
      <w:r w:rsidR="00D74F7A" w:rsidRPr="000F1091">
        <w:rPr>
          <w:rStyle w:val="FootnoteReference"/>
          <w:rFonts w:cstheme="minorBidi"/>
          <w:sz w:val="14"/>
          <w:szCs w:val="14"/>
        </w:rPr>
        <w:footnoteReference w:id="3"/>
      </w:r>
      <w:r w:rsidR="5FB3B43B" w:rsidRPr="309CE0B4">
        <w:rPr>
          <w:rFonts w:cstheme="minorBidi"/>
        </w:rPr>
        <w:t xml:space="preserve"> as were the chair</w:t>
      </w:r>
      <w:r w:rsidR="1DE63E7F" w:rsidRPr="309CE0B4">
        <w:rPr>
          <w:rFonts w:cstheme="minorBidi"/>
        </w:rPr>
        <w:t xml:space="preserve">s </w:t>
      </w:r>
      <w:r w:rsidR="5FB3B43B" w:rsidRPr="309CE0B4">
        <w:rPr>
          <w:rFonts w:cstheme="minorBidi"/>
        </w:rPr>
        <w:t>of the ITU</w:t>
      </w:r>
      <w:r w:rsidR="70DE8CC0" w:rsidRPr="309CE0B4">
        <w:rPr>
          <w:rFonts w:cstheme="minorBidi"/>
        </w:rPr>
        <w:t xml:space="preserve"> </w:t>
      </w:r>
      <w:r w:rsidR="5FB3B43B" w:rsidRPr="309CE0B4">
        <w:rPr>
          <w:rFonts w:cstheme="minorBidi"/>
        </w:rPr>
        <w:t>D</w:t>
      </w:r>
      <w:r w:rsidR="70DE8CC0" w:rsidRPr="309CE0B4">
        <w:rPr>
          <w:rFonts w:cstheme="minorBidi"/>
        </w:rPr>
        <w:t>evelopment Sector</w:t>
      </w:r>
      <w:r w:rsidR="5FB3B43B" w:rsidRPr="309CE0B4">
        <w:rPr>
          <w:rFonts w:cstheme="minorBidi"/>
        </w:rPr>
        <w:t xml:space="preserve"> study groups</w:t>
      </w:r>
      <w:r w:rsidR="1279C88A" w:rsidRPr="309CE0B4">
        <w:rPr>
          <w:rFonts w:cstheme="minorBid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5"/>
        <w:gridCol w:w="2250"/>
        <w:gridCol w:w="3874"/>
      </w:tblGrid>
      <w:tr w:rsidR="001E173A" w:rsidRPr="00FC09A3" w14:paraId="6DB77DEA" w14:textId="77777777" w:rsidTr="00B61E0C">
        <w:trPr>
          <w:tblHeader/>
        </w:trPr>
        <w:tc>
          <w:tcPr>
            <w:tcW w:w="3505" w:type="dxa"/>
            <w:shd w:val="clear" w:color="auto" w:fill="auto"/>
            <w:tcMar>
              <w:top w:w="29" w:type="dxa"/>
              <w:left w:w="75" w:type="dxa"/>
              <w:bottom w:w="29" w:type="dxa"/>
              <w:right w:w="75" w:type="dxa"/>
            </w:tcMar>
            <w:vAlign w:val="center"/>
            <w:hideMark/>
          </w:tcPr>
          <w:p w14:paraId="7AD516FD"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Strong"/>
                <w:rFonts w:asciiTheme="minorHAnsi" w:hAnsiTheme="minorHAnsi" w:cstheme="minorHAnsi"/>
                <w:bdr w:val="none" w:sz="0" w:space="0" w:color="auto" w:frame="1"/>
              </w:rPr>
              <w:t>Position</w:t>
            </w:r>
          </w:p>
        </w:tc>
        <w:tc>
          <w:tcPr>
            <w:tcW w:w="2250" w:type="dxa"/>
            <w:shd w:val="clear" w:color="auto" w:fill="auto"/>
            <w:tcMar>
              <w:top w:w="29" w:type="dxa"/>
              <w:left w:w="75" w:type="dxa"/>
              <w:bottom w:w="29" w:type="dxa"/>
              <w:right w:w="75" w:type="dxa"/>
            </w:tcMar>
            <w:vAlign w:val="center"/>
            <w:hideMark/>
          </w:tcPr>
          <w:p w14:paraId="5BDFF393"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Strong"/>
                <w:rFonts w:asciiTheme="minorHAnsi" w:hAnsiTheme="minorHAnsi" w:cstheme="minorHAnsi"/>
                <w:bdr w:val="none" w:sz="0" w:space="0" w:color="auto" w:frame="1"/>
              </w:rPr>
              <w:t>Country</w:t>
            </w:r>
          </w:p>
        </w:tc>
        <w:tc>
          <w:tcPr>
            <w:tcW w:w="3874" w:type="dxa"/>
            <w:shd w:val="clear" w:color="auto" w:fill="auto"/>
            <w:tcMar>
              <w:top w:w="29" w:type="dxa"/>
              <w:left w:w="75" w:type="dxa"/>
              <w:bottom w:w="29" w:type="dxa"/>
              <w:right w:w="75" w:type="dxa"/>
            </w:tcMar>
            <w:vAlign w:val="center"/>
            <w:hideMark/>
          </w:tcPr>
          <w:p w14:paraId="39903E6C"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Strong"/>
                <w:rFonts w:asciiTheme="minorHAnsi" w:hAnsiTheme="minorHAnsi" w:cstheme="minorHAnsi"/>
                <w:bdr w:val="none" w:sz="0" w:space="0" w:color="auto" w:frame="1"/>
              </w:rPr>
              <w:t>Name</w:t>
            </w:r>
          </w:p>
        </w:tc>
      </w:tr>
      <w:tr w:rsidR="001E173A" w:rsidRPr="00FC09A3" w14:paraId="4206849A" w14:textId="77777777" w:rsidTr="00B61E0C">
        <w:tc>
          <w:tcPr>
            <w:tcW w:w="3505" w:type="dxa"/>
            <w:shd w:val="clear" w:color="auto" w:fill="auto"/>
            <w:tcMar>
              <w:top w:w="29" w:type="dxa"/>
              <w:left w:w="75" w:type="dxa"/>
              <w:bottom w:w="29" w:type="dxa"/>
              <w:right w:w="75" w:type="dxa"/>
            </w:tcMar>
            <w:vAlign w:val="center"/>
            <w:hideMark/>
          </w:tcPr>
          <w:p w14:paraId="33665B31" w14:textId="0978FE6D"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Chair</w:t>
            </w:r>
          </w:p>
        </w:tc>
        <w:tc>
          <w:tcPr>
            <w:tcW w:w="2250" w:type="dxa"/>
            <w:shd w:val="clear" w:color="auto" w:fill="auto"/>
            <w:tcMar>
              <w:top w:w="29" w:type="dxa"/>
              <w:left w:w="75" w:type="dxa"/>
              <w:bottom w:w="29" w:type="dxa"/>
              <w:right w:w="75" w:type="dxa"/>
            </w:tcMar>
            <w:vAlign w:val="center"/>
            <w:hideMark/>
          </w:tcPr>
          <w:p w14:paraId="78C530E7"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United States</w:t>
            </w:r>
          </w:p>
        </w:tc>
        <w:tc>
          <w:tcPr>
            <w:tcW w:w="3874" w:type="dxa"/>
            <w:shd w:val="clear" w:color="auto" w:fill="auto"/>
            <w:tcMar>
              <w:top w:w="29" w:type="dxa"/>
              <w:left w:w="75" w:type="dxa"/>
              <w:bottom w:w="29" w:type="dxa"/>
              <w:right w:w="75" w:type="dxa"/>
            </w:tcMar>
            <w:vAlign w:val="center"/>
            <w:hideMark/>
          </w:tcPr>
          <w:p w14:paraId="3FF20069" w14:textId="229876C2"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b/>
              </w:rPr>
            </w:pPr>
            <w:r w:rsidRPr="00A8755D">
              <w:rPr>
                <w:rStyle w:val="Strong"/>
                <w:rFonts w:asciiTheme="minorHAnsi" w:hAnsiTheme="minorHAnsi" w:cstheme="minorHAnsi"/>
                <w:b w:val="0"/>
                <w:bdr w:val="none" w:sz="0" w:space="0" w:color="auto" w:frame="1"/>
              </w:rPr>
              <w:t xml:space="preserve">Roxanne </w:t>
            </w:r>
            <w:proofErr w:type="spellStart"/>
            <w:r w:rsidRPr="00A8755D">
              <w:rPr>
                <w:rStyle w:val="Strong"/>
                <w:rFonts w:asciiTheme="minorHAnsi" w:hAnsiTheme="minorHAnsi" w:cstheme="minorHAnsi"/>
                <w:b w:val="0"/>
                <w:bdr w:val="none" w:sz="0" w:space="0" w:color="auto" w:frame="1"/>
              </w:rPr>
              <w:t>McElvane</w:t>
            </w:r>
            <w:proofErr w:type="spellEnd"/>
            <w:r w:rsidRPr="00A8755D">
              <w:rPr>
                <w:rStyle w:val="Strong"/>
                <w:rFonts w:asciiTheme="minorHAnsi" w:hAnsiTheme="minorHAnsi" w:cstheme="minorHAnsi"/>
                <w:b w:val="0"/>
                <w:bdr w:val="none" w:sz="0" w:space="0" w:color="auto" w:frame="1"/>
              </w:rPr>
              <w:t xml:space="preserve"> WEBBER</w:t>
            </w:r>
          </w:p>
        </w:tc>
      </w:tr>
      <w:tr w:rsidR="001E173A" w:rsidRPr="00FC09A3" w14:paraId="09C9F7D4" w14:textId="77777777" w:rsidTr="00B61E0C">
        <w:tc>
          <w:tcPr>
            <w:tcW w:w="3505" w:type="dxa"/>
            <w:shd w:val="clear" w:color="auto" w:fill="auto"/>
            <w:tcMar>
              <w:top w:w="29" w:type="dxa"/>
              <w:left w:w="75" w:type="dxa"/>
              <w:bottom w:w="29" w:type="dxa"/>
              <w:right w:w="75" w:type="dxa"/>
            </w:tcMar>
            <w:vAlign w:val="center"/>
            <w:hideMark/>
          </w:tcPr>
          <w:p w14:paraId="0F19D43A" w14:textId="414AF37C"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Vice-Chair</w:t>
            </w:r>
            <w:r w:rsidR="00CF5442" w:rsidRPr="00A8755D">
              <w:rPr>
                <w:rStyle w:val="ms-rtethemeforecolor-2-0"/>
                <w:rFonts w:asciiTheme="minorHAnsi" w:hAnsiTheme="minorHAnsi" w:cstheme="minorHAnsi"/>
                <w:bdr w:val="none" w:sz="0" w:space="0" w:color="auto" w:frame="1"/>
              </w:rPr>
              <w:t xml:space="preserve"> </w:t>
            </w:r>
            <w:r w:rsidRPr="00A8755D">
              <w:rPr>
                <w:rStyle w:val="ms-rtethemeforecolor-2-0"/>
                <w:rFonts w:asciiTheme="minorHAnsi" w:hAnsiTheme="minorHAnsi" w:cstheme="minorHAnsi"/>
                <w:bdr w:val="none" w:sz="0" w:space="0" w:color="auto" w:frame="1"/>
              </w:rPr>
              <w:t>(Chair</w:t>
            </w:r>
            <w:r w:rsidR="001E173A" w:rsidRPr="00A8755D">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Study Group 1)</w:t>
            </w:r>
          </w:p>
        </w:tc>
        <w:tc>
          <w:tcPr>
            <w:tcW w:w="2250" w:type="dxa"/>
            <w:shd w:val="clear" w:color="auto" w:fill="auto"/>
            <w:tcMar>
              <w:top w:w="29" w:type="dxa"/>
              <w:left w:w="75" w:type="dxa"/>
              <w:bottom w:w="29" w:type="dxa"/>
              <w:right w:w="75" w:type="dxa"/>
            </w:tcMar>
            <w:vAlign w:val="center"/>
            <w:hideMark/>
          </w:tcPr>
          <w:p w14:paraId="6CEF6519"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Côte d'Ivoire</w:t>
            </w:r>
          </w:p>
        </w:tc>
        <w:tc>
          <w:tcPr>
            <w:tcW w:w="3874" w:type="dxa"/>
            <w:shd w:val="clear" w:color="auto" w:fill="auto"/>
            <w:tcMar>
              <w:top w:w="29" w:type="dxa"/>
              <w:left w:w="75" w:type="dxa"/>
              <w:bottom w:w="29" w:type="dxa"/>
              <w:right w:w="75" w:type="dxa"/>
            </w:tcMar>
            <w:vAlign w:val="center"/>
            <w:hideMark/>
          </w:tcPr>
          <w:p w14:paraId="37065A7B" w14:textId="71C7D91E"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b/>
                <w:lang w:val="fr-FR"/>
              </w:rPr>
            </w:pPr>
            <w:r w:rsidRPr="00A8755D">
              <w:rPr>
                <w:rStyle w:val="Strong"/>
                <w:rFonts w:asciiTheme="minorHAnsi" w:hAnsiTheme="minorHAnsi" w:cstheme="minorHAnsi"/>
                <w:b w:val="0"/>
                <w:bdr w:val="none" w:sz="0" w:space="0" w:color="auto" w:frame="1"/>
                <w:lang w:val="fr-FR"/>
              </w:rPr>
              <w:t>Regina Fleur Assoumou BESSOU</w:t>
            </w:r>
          </w:p>
        </w:tc>
      </w:tr>
      <w:tr w:rsidR="001E173A" w:rsidRPr="00FC09A3" w14:paraId="5CCC59C5" w14:textId="77777777" w:rsidTr="00B61E0C">
        <w:tc>
          <w:tcPr>
            <w:tcW w:w="3505" w:type="dxa"/>
            <w:shd w:val="clear" w:color="auto" w:fill="auto"/>
            <w:tcMar>
              <w:top w:w="29" w:type="dxa"/>
              <w:left w:w="75" w:type="dxa"/>
              <w:bottom w:w="29" w:type="dxa"/>
              <w:right w:w="75" w:type="dxa"/>
            </w:tcMar>
            <w:vAlign w:val="center"/>
            <w:hideMark/>
          </w:tcPr>
          <w:p w14:paraId="24353D02" w14:textId="0F0EC75C"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Vice-Chair</w:t>
            </w:r>
            <w:r w:rsidR="00CF5442" w:rsidRPr="00A8755D">
              <w:rPr>
                <w:rStyle w:val="ms-rtethemeforecolor-2-0"/>
                <w:rFonts w:asciiTheme="minorHAnsi" w:hAnsiTheme="minorHAnsi" w:cstheme="minorHAnsi"/>
                <w:bdr w:val="none" w:sz="0" w:space="0" w:color="auto" w:frame="1"/>
              </w:rPr>
              <w:t xml:space="preserve"> </w:t>
            </w:r>
            <w:r w:rsidRPr="00A8755D">
              <w:rPr>
                <w:rStyle w:val="ms-rtethemeforecolor-2-0"/>
                <w:rFonts w:asciiTheme="minorHAnsi" w:hAnsiTheme="minorHAnsi" w:cstheme="minorHAnsi"/>
                <w:bdr w:val="none" w:sz="0" w:space="0" w:color="auto" w:frame="1"/>
              </w:rPr>
              <w:t>(Chair</w:t>
            </w:r>
            <w:r w:rsidR="001E173A" w:rsidRPr="00A8755D">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Study Group 2)</w:t>
            </w:r>
          </w:p>
        </w:tc>
        <w:tc>
          <w:tcPr>
            <w:tcW w:w="2250" w:type="dxa"/>
            <w:shd w:val="clear" w:color="auto" w:fill="auto"/>
            <w:tcMar>
              <w:top w:w="29" w:type="dxa"/>
              <w:left w:w="75" w:type="dxa"/>
              <w:bottom w:w="29" w:type="dxa"/>
              <w:right w:w="75" w:type="dxa"/>
            </w:tcMar>
            <w:vAlign w:val="center"/>
            <w:hideMark/>
          </w:tcPr>
          <w:p w14:paraId="29724A06"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Egypt</w:t>
            </w:r>
          </w:p>
        </w:tc>
        <w:tc>
          <w:tcPr>
            <w:tcW w:w="3874" w:type="dxa"/>
            <w:shd w:val="clear" w:color="auto" w:fill="auto"/>
            <w:tcMar>
              <w:top w:w="29" w:type="dxa"/>
              <w:left w:w="75" w:type="dxa"/>
              <w:bottom w:w="29" w:type="dxa"/>
              <w:right w:w="75" w:type="dxa"/>
            </w:tcMar>
            <w:vAlign w:val="center"/>
            <w:hideMark/>
          </w:tcPr>
          <w:p w14:paraId="6005E26D" w14:textId="54BAF574" w:rsidR="00AC4ADB" w:rsidRPr="00A8755D" w:rsidRDefault="00AC4ADB" w:rsidP="00B45BFF">
            <w:pPr>
              <w:spacing w:before="40" w:after="40"/>
              <w:jc w:val="both"/>
              <w:rPr>
                <w:rFonts w:cstheme="minorHAnsi"/>
                <w:b/>
                <w:szCs w:val="24"/>
                <w:lang w:val="fr-FR"/>
              </w:rPr>
            </w:pPr>
            <w:r w:rsidRPr="00A8755D">
              <w:rPr>
                <w:rStyle w:val="Strong"/>
                <w:rFonts w:cstheme="minorHAnsi"/>
                <w:b w:val="0"/>
                <w:szCs w:val="24"/>
                <w:bdr w:val="none" w:sz="0" w:space="0" w:color="auto" w:frame="1"/>
                <w:lang w:val="fr-FR"/>
              </w:rPr>
              <w:t>Fadel DIGHAM</w:t>
            </w:r>
          </w:p>
        </w:tc>
      </w:tr>
      <w:tr w:rsidR="001E173A" w:rsidRPr="00FC09A3" w14:paraId="1F9FB994" w14:textId="77777777" w:rsidTr="00B61E0C">
        <w:tc>
          <w:tcPr>
            <w:tcW w:w="3505" w:type="dxa"/>
            <w:vMerge w:val="restart"/>
            <w:shd w:val="clear" w:color="auto" w:fill="auto"/>
            <w:tcMar>
              <w:top w:w="29" w:type="dxa"/>
              <w:left w:w="75" w:type="dxa"/>
              <w:bottom w:w="29" w:type="dxa"/>
              <w:right w:w="75" w:type="dxa"/>
            </w:tcMar>
            <w:vAlign w:val="center"/>
            <w:hideMark/>
          </w:tcPr>
          <w:p w14:paraId="269CC32B" w14:textId="23E8C284"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 xml:space="preserve">Vice-Chair </w:t>
            </w:r>
            <w:r w:rsidR="00301F57">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Africa</w:t>
            </w:r>
          </w:p>
        </w:tc>
        <w:tc>
          <w:tcPr>
            <w:tcW w:w="2250" w:type="dxa"/>
            <w:shd w:val="clear" w:color="auto" w:fill="auto"/>
            <w:tcMar>
              <w:top w:w="29" w:type="dxa"/>
              <w:left w:w="75" w:type="dxa"/>
              <w:bottom w:w="29" w:type="dxa"/>
              <w:right w:w="75" w:type="dxa"/>
            </w:tcMar>
            <w:vAlign w:val="center"/>
            <w:hideMark/>
          </w:tcPr>
          <w:p w14:paraId="66F811F9" w14:textId="5D7ABB7E" w:rsidR="001E173A" w:rsidRPr="00A8755D" w:rsidRDefault="001E173A" w:rsidP="00B45BFF">
            <w:pPr>
              <w:spacing w:before="40" w:after="40"/>
              <w:jc w:val="both"/>
              <w:rPr>
                <w:rFonts w:cstheme="minorHAnsi"/>
                <w:szCs w:val="24"/>
              </w:rPr>
            </w:pPr>
            <w:r w:rsidRPr="00A8755D">
              <w:rPr>
                <w:rStyle w:val="ms-rtethemeforecolor-2-0"/>
                <w:rFonts w:cstheme="minorHAnsi"/>
                <w:szCs w:val="24"/>
                <w:bdr w:val="none" w:sz="0" w:space="0" w:color="auto" w:frame="1"/>
              </w:rPr>
              <w:t>Kenya </w:t>
            </w:r>
          </w:p>
        </w:tc>
        <w:tc>
          <w:tcPr>
            <w:tcW w:w="3874" w:type="dxa"/>
            <w:shd w:val="clear" w:color="auto" w:fill="auto"/>
            <w:tcMar>
              <w:top w:w="29" w:type="dxa"/>
              <w:left w:w="75" w:type="dxa"/>
              <w:bottom w:w="29" w:type="dxa"/>
              <w:right w:w="75" w:type="dxa"/>
            </w:tcMar>
            <w:vAlign w:val="center"/>
            <w:hideMark/>
          </w:tcPr>
          <w:p w14:paraId="55D676FD" w14:textId="3FB57F85"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b/>
              </w:rPr>
            </w:pPr>
            <w:r w:rsidRPr="00A8755D">
              <w:rPr>
                <w:rStyle w:val="Strong"/>
                <w:rFonts w:asciiTheme="minorHAnsi" w:hAnsiTheme="minorHAnsi" w:cstheme="minorHAnsi"/>
                <w:b w:val="0"/>
                <w:bdr w:val="none" w:sz="0" w:space="0" w:color="auto" w:frame="1"/>
              </w:rPr>
              <w:t>Christopher Kipkoech KEMEI</w:t>
            </w:r>
          </w:p>
        </w:tc>
      </w:tr>
      <w:tr w:rsidR="001E173A" w:rsidRPr="00FC09A3" w14:paraId="7F8723EF" w14:textId="77777777" w:rsidTr="00B61E0C">
        <w:tc>
          <w:tcPr>
            <w:tcW w:w="3505" w:type="dxa"/>
            <w:vMerge/>
            <w:shd w:val="clear" w:color="auto" w:fill="auto"/>
            <w:tcMar>
              <w:top w:w="29" w:type="dxa"/>
              <w:left w:w="75" w:type="dxa"/>
              <w:bottom w:w="29" w:type="dxa"/>
              <w:right w:w="75" w:type="dxa"/>
            </w:tcMar>
            <w:vAlign w:val="center"/>
            <w:hideMark/>
          </w:tcPr>
          <w:p w14:paraId="4D9F2B4C" w14:textId="197BAE23"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p>
        </w:tc>
        <w:tc>
          <w:tcPr>
            <w:tcW w:w="2250" w:type="dxa"/>
            <w:shd w:val="clear" w:color="auto" w:fill="auto"/>
            <w:tcMar>
              <w:top w:w="29" w:type="dxa"/>
              <w:left w:w="75" w:type="dxa"/>
              <w:bottom w:w="29" w:type="dxa"/>
              <w:right w:w="75" w:type="dxa"/>
            </w:tcMar>
            <w:vAlign w:val="center"/>
            <w:hideMark/>
          </w:tcPr>
          <w:p w14:paraId="6E4CD5DA" w14:textId="5A878E8C" w:rsidR="001E173A" w:rsidRPr="00A8755D" w:rsidRDefault="001E173A" w:rsidP="00B45BFF">
            <w:pPr>
              <w:spacing w:before="40" w:after="40"/>
              <w:jc w:val="both"/>
              <w:rPr>
                <w:rFonts w:cstheme="minorHAnsi"/>
                <w:szCs w:val="24"/>
              </w:rPr>
            </w:pPr>
            <w:r w:rsidRPr="00A8755D">
              <w:rPr>
                <w:rStyle w:val="ms-rtethemeforecolor-2-0"/>
                <w:rFonts w:cstheme="minorHAnsi"/>
                <w:szCs w:val="24"/>
                <w:bdr w:val="none" w:sz="0" w:space="0" w:color="auto" w:frame="1"/>
              </w:rPr>
              <w:t>Nigeria</w:t>
            </w:r>
          </w:p>
        </w:tc>
        <w:tc>
          <w:tcPr>
            <w:tcW w:w="3874" w:type="dxa"/>
            <w:shd w:val="clear" w:color="auto" w:fill="auto"/>
            <w:tcMar>
              <w:top w:w="29" w:type="dxa"/>
              <w:left w:w="75" w:type="dxa"/>
              <w:bottom w:w="29" w:type="dxa"/>
              <w:right w:w="75" w:type="dxa"/>
            </w:tcMar>
            <w:vAlign w:val="center"/>
            <w:hideMark/>
          </w:tcPr>
          <w:p w14:paraId="14B504D5" w14:textId="7EFE75D4"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b/>
              </w:rPr>
            </w:pPr>
            <w:r w:rsidRPr="00A8755D">
              <w:rPr>
                <w:rStyle w:val="Strong"/>
                <w:rFonts w:asciiTheme="minorHAnsi" w:hAnsiTheme="minorHAnsi" w:cstheme="minorHAnsi"/>
                <w:b w:val="0"/>
                <w:bdr w:val="none" w:sz="0" w:space="0" w:color="auto" w:frame="1"/>
              </w:rPr>
              <w:t xml:space="preserve">Abdulkarim </w:t>
            </w:r>
            <w:proofErr w:type="spellStart"/>
            <w:r w:rsidRPr="00A8755D">
              <w:rPr>
                <w:rStyle w:val="Strong"/>
                <w:rFonts w:asciiTheme="minorHAnsi" w:hAnsiTheme="minorHAnsi" w:cstheme="minorHAnsi"/>
                <w:b w:val="0"/>
                <w:bdr w:val="none" w:sz="0" w:space="0" w:color="auto" w:frame="1"/>
              </w:rPr>
              <w:t>Ayopo</w:t>
            </w:r>
            <w:proofErr w:type="spellEnd"/>
            <w:r w:rsidRPr="00A8755D">
              <w:rPr>
                <w:rStyle w:val="Strong"/>
                <w:rFonts w:asciiTheme="minorHAnsi" w:hAnsiTheme="minorHAnsi" w:cstheme="minorHAnsi"/>
                <w:b w:val="0"/>
                <w:bdr w:val="none" w:sz="0" w:space="0" w:color="auto" w:frame="1"/>
              </w:rPr>
              <w:t xml:space="preserve"> OLOYEDE </w:t>
            </w:r>
          </w:p>
        </w:tc>
      </w:tr>
      <w:tr w:rsidR="001E173A" w:rsidRPr="00FC09A3" w14:paraId="7B0DDEB6" w14:textId="77777777" w:rsidTr="00B61E0C">
        <w:tc>
          <w:tcPr>
            <w:tcW w:w="3505" w:type="dxa"/>
            <w:vMerge w:val="restart"/>
            <w:shd w:val="clear" w:color="auto" w:fill="auto"/>
            <w:tcMar>
              <w:top w:w="29" w:type="dxa"/>
              <w:left w:w="75" w:type="dxa"/>
              <w:bottom w:w="29" w:type="dxa"/>
              <w:right w:w="75" w:type="dxa"/>
            </w:tcMar>
            <w:vAlign w:val="center"/>
            <w:hideMark/>
          </w:tcPr>
          <w:p w14:paraId="7E7A8FBE" w14:textId="3718311F"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 xml:space="preserve">Vice-Chair </w:t>
            </w:r>
            <w:r w:rsidR="00301F57">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Americas</w:t>
            </w:r>
          </w:p>
        </w:tc>
        <w:tc>
          <w:tcPr>
            <w:tcW w:w="2250" w:type="dxa"/>
            <w:shd w:val="clear" w:color="auto" w:fill="auto"/>
            <w:tcMar>
              <w:top w:w="29" w:type="dxa"/>
              <w:left w:w="75" w:type="dxa"/>
              <w:bottom w:w="29" w:type="dxa"/>
              <w:right w:w="75" w:type="dxa"/>
            </w:tcMar>
            <w:vAlign w:val="center"/>
            <w:hideMark/>
          </w:tcPr>
          <w:p w14:paraId="3EE9590B" w14:textId="77777777"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Argentina</w:t>
            </w:r>
          </w:p>
        </w:tc>
        <w:tc>
          <w:tcPr>
            <w:tcW w:w="3874" w:type="dxa"/>
            <w:shd w:val="clear" w:color="auto" w:fill="auto"/>
            <w:tcMar>
              <w:top w:w="29" w:type="dxa"/>
              <w:left w:w="75" w:type="dxa"/>
              <w:bottom w:w="29" w:type="dxa"/>
              <w:right w:w="75" w:type="dxa"/>
            </w:tcMar>
            <w:vAlign w:val="center"/>
            <w:hideMark/>
          </w:tcPr>
          <w:p w14:paraId="2AE05447" w14:textId="02FB3E48" w:rsidR="001E173A" w:rsidRPr="00215AF0" w:rsidRDefault="001E173A" w:rsidP="00B45BFF">
            <w:pPr>
              <w:pStyle w:val="NormalWeb"/>
              <w:spacing w:before="40" w:beforeAutospacing="0" w:after="40" w:afterAutospacing="0"/>
              <w:jc w:val="both"/>
              <w:textAlignment w:val="baseline"/>
              <w:rPr>
                <w:rFonts w:asciiTheme="minorHAnsi" w:hAnsiTheme="minorHAnsi" w:cstheme="minorHAnsi"/>
                <w:b/>
                <w:bCs/>
                <w:bdr w:val="none" w:sz="0" w:space="0" w:color="auto" w:frame="1"/>
              </w:rPr>
            </w:pPr>
            <w:r w:rsidRPr="00A8755D">
              <w:rPr>
                <w:rStyle w:val="Strong"/>
                <w:rFonts w:asciiTheme="minorHAnsi" w:hAnsiTheme="minorHAnsi" w:cstheme="minorHAnsi"/>
                <w:b w:val="0"/>
                <w:bdr w:val="none" w:sz="0" w:space="0" w:color="auto" w:frame="1"/>
              </w:rPr>
              <w:t>Agustina BRIZIO</w:t>
            </w:r>
            <w:r w:rsidRPr="00A8755D">
              <w:rPr>
                <w:rStyle w:val="Strong"/>
                <w:rFonts w:asciiTheme="minorHAnsi" w:hAnsiTheme="minorHAnsi" w:cstheme="minorHAnsi"/>
                <w:b w:val="0"/>
              </w:rPr>
              <w:t xml:space="preserve"> </w:t>
            </w:r>
          </w:p>
        </w:tc>
      </w:tr>
      <w:tr w:rsidR="001E173A" w:rsidRPr="00FC09A3" w14:paraId="06B3DC43" w14:textId="77777777" w:rsidTr="00B61E0C">
        <w:tc>
          <w:tcPr>
            <w:tcW w:w="3505" w:type="dxa"/>
            <w:vMerge/>
            <w:shd w:val="clear" w:color="auto" w:fill="auto"/>
            <w:tcMar>
              <w:top w:w="29" w:type="dxa"/>
              <w:left w:w="75" w:type="dxa"/>
              <w:bottom w:w="29" w:type="dxa"/>
              <w:right w:w="75" w:type="dxa"/>
            </w:tcMar>
            <w:vAlign w:val="center"/>
            <w:hideMark/>
          </w:tcPr>
          <w:p w14:paraId="5E25F1CA" w14:textId="683A23C8" w:rsidR="001E173A" w:rsidRPr="00A8755D" w:rsidRDefault="001E173A" w:rsidP="00B45BFF">
            <w:pPr>
              <w:spacing w:before="40" w:after="40"/>
              <w:jc w:val="both"/>
              <w:rPr>
                <w:rFonts w:cstheme="minorHAnsi"/>
                <w:szCs w:val="24"/>
              </w:rPr>
            </w:pPr>
          </w:p>
        </w:tc>
        <w:tc>
          <w:tcPr>
            <w:tcW w:w="2250" w:type="dxa"/>
            <w:shd w:val="clear" w:color="auto" w:fill="auto"/>
            <w:tcMar>
              <w:top w:w="29" w:type="dxa"/>
              <w:left w:w="75" w:type="dxa"/>
              <w:bottom w:w="29" w:type="dxa"/>
              <w:right w:w="75" w:type="dxa"/>
            </w:tcMar>
            <w:vAlign w:val="center"/>
            <w:hideMark/>
          </w:tcPr>
          <w:p w14:paraId="70B9AE04" w14:textId="264ED854" w:rsidR="001E173A" w:rsidRPr="00A8755D" w:rsidRDefault="001E173A" w:rsidP="00B45BFF">
            <w:pPr>
              <w:spacing w:before="40" w:after="40"/>
              <w:jc w:val="both"/>
              <w:rPr>
                <w:rFonts w:cstheme="minorHAnsi"/>
                <w:szCs w:val="24"/>
              </w:rPr>
            </w:pPr>
            <w:r w:rsidRPr="00A8755D">
              <w:rPr>
                <w:rFonts w:cstheme="minorHAnsi"/>
                <w:szCs w:val="24"/>
              </w:rPr>
              <w:t>Brazil</w:t>
            </w:r>
          </w:p>
        </w:tc>
        <w:tc>
          <w:tcPr>
            <w:tcW w:w="3874" w:type="dxa"/>
            <w:shd w:val="clear" w:color="auto" w:fill="auto"/>
            <w:tcMar>
              <w:top w:w="29" w:type="dxa"/>
              <w:left w:w="75" w:type="dxa"/>
              <w:bottom w:w="29" w:type="dxa"/>
              <w:right w:w="75" w:type="dxa"/>
            </w:tcMar>
            <w:vAlign w:val="center"/>
            <w:hideMark/>
          </w:tcPr>
          <w:p w14:paraId="6BA727EF" w14:textId="747671F3" w:rsidR="001E173A" w:rsidRPr="00A8755D" w:rsidRDefault="001E173A"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Andrea Mamprim GRIPPA </w:t>
            </w:r>
          </w:p>
        </w:tc>
      </w:tr>
      <w:tr w:rsidR="001E173A" w:rsidRPr="00FC09A3" w14:paraId="38F37D2A" w14:textId="77777777" w:rsidTr="00B61E0C">
        <w:tc>
          <w:tcPr>
            <w:tcW w:w="3505" w:type="dxa"/>
            <w:vMerge w:val="restart"/>
            <w:shd w:val="clear" w:color="auto" w:fill="auto"/>
            <w:tcMar>
              <w:top w:w="29" w:type="dxa"/>
              <w:left w:w="75" w:type="dxa"/>
              <w:bottom w:w="29" w:type="dxa"/>
              <w:right w:w="75" w:type="dxa"/>
            </w:tcMar>
            <w:vAlign w:val="center"/>
            <w:hideMark/>
          </w:tcPr>
          <w:p w14:paraId="3D15A120" w14:textId="11FE3307" w:rsidR="001E173A" w:rsidRPr="00A8755D" w:rsidRDefault="001E173A" w:rsidP="00B45BFF">
            <w:pPr>
              <w:spacing w:before="40" w:after="40"/>
              <w:jc w:val="both"/>
              <w:rPr>
                <w:rFonts w:cstheme="minorHAnsi"/>
                <w:szCs w:val="24"/>
              </w:rPr>
            </w:pPr>
            <w:r w:rsidRPr="00A8755D">
              <w:rPr>
                <w:rFonts w:cstheme="minorHAnsi"/>
                <w:szCs w:val="24"/>
              </w:rPr>
              <w:t xml:space="preserve">Vice-Chair </w:t>
            </w:r>
            <w:r w:rsidR="00567694">
              <w:rPr>
                <w:rStyle w:val="ms-rtethemeforecolor-2-0"/>
                <w:rFonts w:cstheme="minorHAnsi"/>
                <w:bdr w:val="none" w:sz="0" w:space="0" w:color="auto" w:frame="1"/>
              </w:rPr>
              <w:t>–</w:t>
            </w:r>
            <w:r w:rsidR="00532277" w:rsidRPr="00A8755D">
              <w:rPr>
                <w:rStyle w:val="ms-rtethemeforecolor-2-0"/>
                <w:rFonts w:cstheme="minorHAnsi"/>
                <w:bdr w:val="none" w:sz="0" w:space="0" w:color="auto" w:frame="1"/>
              </w:rPr>
              <w:t xml:space="preserve"> </w:t>
            </w:r>
            <w:r w:rsidRPr="00A8755D">
              <w:rPr>
                <w:rFonts w:cstheme="minorHAnsi"/>
                <w:szCs w:val="24"/>
              </w:rPr>
              <w:t>Asia and the Pacific</w:t>
            </w:r>
          </w:p>
        </w:tc>
        <w:tc>
          <w:tcPr>
            <w:tcW w:w="2250" w:type="dxa"/>
            <w:shd w:val="clear" w:color="auto" w:fill="auto"/>
            <w:tcMar>
              <w:top w:w="29" w:type="dxa"/>
              <w:left w:w="75" w:type="dxa"/>
              <w:bottom w:w="29" w:type="dxa"/>
              <w:right w:w="75" w:type="dxa"/>
            </w:tcMar>
            <w:vAlign w:val="center"/>
            <w:hideMark/>
          </w:tcPr>
          <w:p w14:paraId="01D3179B" w14:textId="1A506688" w:rsidR="001E173A" w:rsidRPr="00A8755D" w:rsidRDefault="001E173A" w:rsidP="00B45BFF">
            <w:pPr>
              <w:spacing w:before="40" w:after="40"/>
              <w:jc w:val="both"/>
              <w:rPr>
                <w:rFonts w:cstheme="minorHAnsi"/>
                <w:szCs w:val="24"/>
              </w:rPr>
            </w:pPr>
            <w:r w:rsidRPr="00A8755D">
              <w:rPr>
                <w:rStyle w:val="ms-rtefontface-13"/>
                <w:rFonts w:cstheme="minorHAnsi"/>
                <w:szCs w:val="24"/>
                <w:bdr w:val="none" w:sz="0" w:space="0" w:color="auto" w:frame="1"/>
              </w:rPr>
              <w:t>China</w:t>
            </w:r>
          </w:p>
        </w:tc>
        <w:tc>
          <w:tcPr>
            <w:tcW w:w="3874" w:type="dxa"/>
            <w:shd w:val="clear" w:color="auto" w:fill="auto"/>
            <w:tcMar>
              <w:top w:w="29" w:type="dxa"/>
              <w:left w:w="75" w:type="dxa"/>
              <w:bottom w:w="29" w:type="dxa"/>
              <w:right w:w="75" w:type="dxa"/>
            </w:tcMar>
            <w:vAlign w:val="center"/>
            <w:hideMark/>
          </w:tcPr>
          <w:p w14:paraId="1A3D33A8" w14:textId="7B90F1CC" w:rsidR="001E173A" w:rsidRPr="00A8755D" w:rsidRDefault="001E173A"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Ke WANG </w:t>
            </w:r>
          </w:p>
        </w:tc>
      </w:tr>
      <w:tr w:rsidR="001E173A" w:rsidRPr="00FC09A3" w14:paraId="5F0B4D97" w14:textId="77777777" w:rsidTr="00B61E0C">
        <w:trPr>
          <w:trHeight w:val="15"/>
        </w:trPr>
        <w:tc>
          <w:tcPr>
            <w:tcW w:w="3505" w:type="dxa"/>
            <w:vMerge/>
            <w:shd w:val="clear" w:color="auto" w:fill="auto"/>
            <w:tcMar>
              <w:top w:w="29" w:type="dxa"/>
              <w:left w:w="75" w:type="dxa"/>
              <w:bottom w:w="29" w:type="dxa"/>
              <w:right w:w="75" w:type="dxa"/>
            </w:tcMar>
            <w:vAlign w:val="center"/>
            <w:hideMark/>
          </w:tcPr>
          <w:p w14:paraId="70158986" w14:textId="38F69EE2" w:rsidR="001E173A" w:rsidRPr="00A8755D" w:rsidRDefault="001E173A" w:rsidP="00B45BFF">
            <w:pPr>
              <w:spacing w:before="40" w:after="40"/>
              <w:jc w:val="both"/>
              <w:rPr>
                <w:rFonts w:cstheme="minorHAnsi"/>
                <w:szCs w:val="24"/>
              </w:rPr>
            </w:pPr>
          </w:p>
        </w:tc>
        <w:tc>
          <w:tcPr>
            <w:tcW w:w="2250" w:type="dxa"/>
            <w:shd w:val="clear" w:color="auto" w:fill="auto"/>
            <w:tcMar>
              <w:top w:w="29" w:type="dxa"/>
              <w:left w:w="75" w:type="dxa"/>
              <w:bottom w:w="29" w:type="dxa"/>
              <w:right w:w="75" w:type="dxa"/>
            </w:tcMar>
            <w:vAlign w:val="center"/>
            <w:hideMark/>
          </w:tcPr>
          <w:p w14:paraId="0549CEA6" w14:textId="2FD157BB"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Fonts w:asciiTheme="minorHAnsi" w:hAnsiTheme="minorHAnsi" w:cstheme="minorHAnsi"/>
              </w:rPr>
              <w:t>Iran (Islamic Rep</w:t>
            </w:r>
            <w:r w:rsidR="00B61E0C" w:rsidRPr="00A8755D">
              <w:rPr>
                <w:rFonts w:asciiTheme="minorHAnsi" w:hAnsiTheme="minorHAnsi" w:cstheme="minorHAnsi"/>
              </w:rPr>
              <w:t>.</w:t>
            </w:r>
            <w:r w:rsidRPr="00A8755D">
              <w:rPr>
                <w:rFonts w:asciiTheme="minorHAnsi" w:hAnsiTheme="minorHAnsi" w:cstheme="minorHAnsi"/>
              </w:rPr>
              <w:t xml:space="preserve"> of)</w:t>
            </w:r>
          </w:p>
        </w:tc>
        <w:tc>
          <w:tcPr>
            <w:tcW w:w="3874" w:type="dxa"/>
            <w:shd w:val="clear" w:color="auto" w:fill="auto"/>
            <w:tcMar>
              <w:top w:w="29" w:type="dxa"/>
              <w:left w:w="75" w:type="dxa"/>
              <w:bottom w:w="29" w:type="dxa"/>
              <w:right w:w="75" w:type="dxa"/>
            </w:tcMar>
            <w:vAlign w:val="center"/>
            <w:hideMark/>
          </w:tcPr>
          <w:p w14:paraId="7B89583E" w14:textId="02990E4F" w:rsidR="001E173A" w:rsidRPr="00A8755D" w:rsidRDefault="001E173A"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Ahmad Reza SHARAFAT </w:t>
            </w:r>
          </w:p>
        </w:tc>
      </w:tr>
      <w:tr w:rsidR="00532277" w:rsidRPr="00FC09A3" w14:paraId="39B4D416" w14:textId="77777777" w:rsidTr="00B61E0C">
        <w:tc>
          <w:tcPr>
            <w:tcW w:w="3505" w:type="dxa"/>
            <w:shd w:val="clear" w:color="auto" w:fill="auto"/>
            <w:tcMar>
              <w:top w:w="29" w:type="dxa"/>
              <w:left w:w="75" w:type="dxa"/>
              <w:bottom w:w="29" w:type="dxa"/>
              <w:right w:w="75" w:type="dxa"/>
            </w:tcMar>
            <w:vAlign w:val="center"/>
            <w:hideMark/>
          </w:tcPr>
          <w:p w14:paraId="4FAC787D" w14:textId="0995DC24" w:rsidR="00532277" w:rsidRPr="00A8755D" w:rsidRDefault="00532277" w:rsidP="00B45BFF">
            <w:pPr>
              <w:pStyle w:val="NormalWeb"/>
              <w:spacing w:before="40" w:beforeAutospacing="0" w:after="40" w:afterAutospacing="0"/>
              <w:jc w:val="both"/>
              <w:textAlignment w:val="baseline"/>
              <w:rPr>
                <w:rFonts w:asciiTheme="minorHAnsi" w:hAnsiTheme="minorHAnsi" w:cstheme="minorHAnsi"/>
              </w:rPr>
            </w:pPr>
            <w:r w:rsidRPr="00A8755D">
              <w:rPr>
                <w:rFonts w:asciiTheme="minorHAnsi" w:hAnsiTheme="minorHAnsi" w:cstheme="minorHAnsi"/>
              </w:rPr>
              <w:t>Vice-Chair from Arab states</w:t>
            </w:r>
          </w:p>
        </w:tc>
        <w:tc>
          <w:tcPr>
            <w:tcW w:w="2250" w:type="dxa"/>
            <w:shd w:val="clear" w:color="auto" w:fill="auto"/>
            <w:tcMar>
              <w:top w:w="29" w:type="dxa"/>
              <w:left w:w="75" w:type="dxa"/>
              <w:bottom w:w="29" w:type="dxa"/>
              <w:right w:w="75" w:type="dxa"/>
            </w:tcMar>
            <w:vAlign w:val="center"/>
            <w:hideMark/>
          </w:tcPr>
          <w:p w14:paraId="26973D10" w14:textId="048D84FB" w:rsidR="00532277" w:rsidRPr="00A8755D" w:rsidRDefault="00532277" w:rsidP="00B45BFF">
            <w:pPr>
              <w:spacing w:before="40" w:after="40"/>
              <w:jc w:val="both"/>
              <w:rPr>
                <w:rFonts w:cstheme="minorHAnsi"/>
                <w:szCs w:val="24"/>
              </w:rPr>
            </w:pPr>
            <w:r w:rsidRPr="00A8755D">
              <w:rPr>
                <w:rStyle w:val="ms-rtefontface-13"/>
                <w:rFonts w:cstheme="minorHAnsi"/>
                <w:szCs w:val="24"/>
                <w:bdr w:val="none" w:sz="0" w:space="0" w:color="auto" w:frame="1"/>
              </w:rPr>
              <w:t>Saudi Arabia </w:t>
            </w:r>
          </w:p>
        </w:tc>
        <w:tc>
          <w:tcPr>
            <w:tcW w:w="3874" w:type="dxa"/>
            <w:shd w:val="clear" w:color="auto" w:fill="auto"/>
            <w:tcMar>
              <w:top w:w="29" w:type="dxa"/>
              <w:left w:w="75" w:type="dxa"/>
              <w:bottom w:w="29" w:type="dxa"/>
              <w:right w:w="75" w:type="dxa"/>
            </w:tcMar>
            <w:vAlign w:val="center"/>
            <w:hideMark/>
          </w:tcPr>
          <w:p w14:paraId="4A54FE83" w14:textId="7DA17BC7" w:rsidR="00532277" w:rsidRPr="00A8755D" w:rsidRDefault="00532277" w:rsidP="00B45BFF">
            <w:pPr>
              <w:spacing w:before="40" w:after="40"/>
              <w:jc w:val="both"/>
              <w:rPr>
                <w:rFonts w:cstheme="minorHAnsi"/>
                <w:b/>
                <w:szCs w:val="24"/>
                <w:lang w:val="en-US"/>
              </w:rPr>
            </w:pPr>
            <w:r w:rsidRPr="00A8755D">
              <w:rPr>
                <w:rStyle w:val="Strong"/>
                <w:rFonts w:cstheme="minorHAnsi"/>
                <w:b w:val="0"/>
                <w:szCs w:val="24"/>
                <w:bdr w:val="none" w:sz="0" w:space="0" w:color="auto" w:frame="1"/>
              </w:rPr>
              <w:t>Shahad ALBALAWI</w:t>
            </w:r>
            <w:r w:rsidRPr="00A8755D">
              <w:rPr>
                <w:rStyle w:val="Strong"/>
                <w:rFonts w:cstheme="minorHAnsi"/>
                <w:b w:val="0"/>
                <w:szCs w:val="24"/>
              </w:rPr>
              <w:t xml:space="preserve"> </w:t>
            </w:r>
          </w:p>
        </w:tc>
      </w:tr>
      <w:tr w:rsidR="00532277" w:rsidRPr="00FC09A3" w14:paraId="40DF41E3" w14:textId="77777777" w:rsidTr="00B61E0C">
        <w:tc>
          <w:tcPr>
            <w:tcW w:w="3505" w:type="dxa"/>
            <w:shd w:val="clear" w:color="auto" w:fill="auto"/>
            <w:tcMar>
              <w:top w:w="29" w:type="dxa"/>
              <w:left w:w="75" w:type="dxa"/>
              <w:bottom w:w="29" w:type="dxa"/>
              <w:right w:w="75" w:type="dxa"/>
            </w:tcMar>
            <w:vAlign w:val="center"/>
            <w:hideMark/>
          </w:tcPr>
          <w:p w14:paraId="07EF0DB5" w14:textId="2C58D20A" w:rsidR="00532277" w:rsidRPr="00A8755D" w:rsidRDefault="00532277" w:rsidP="00B45BFF">
            <w:pPr>
              <w:spacing w:before="40" w:after="40"/>
              <w:jc w:val="both"/>
              <w:rPr>
                <w:rFonts w:cstheme="minorHAnsi"/>
                <w:szCs w:val="24"/>
              </w:rPr>
            </w:pPr>
            <w:r w:rsidRPr="00A8755D">
              <w:rPr>
                <w:rStyle w:val="ms-rtefontface-13"/>
                <w:rFonts w:cstheme="minorHAnsi"/>
                <w:szCs w:val="24"/>
                <w:bdr w:val="none" w:sz="0" w:space="0" w:color="auto" w:frame="1"/>
              </w:rPr>
              <w:t>Vice-Chair from Europe</w:t>
            </w:r>
          </w:p>
        </w:tc>
        <w:tc>
          <w:tcPr>
            <w:tcW w:w="2250" w:type="dxa"/>
            <w:shd w:val="clear" w:color="auto" w:fill="auto"/>
            <w:tcMar>
              <w:top w:w="29" w:type="dxa"/>
              <w:left w:w="75" w:type="dxa"/>
              <w:bottom w:w="29" w:type="dxa"/>
              <w:right w:w="75" w:type="dxa"/>
            </w:tcMar>
            <w:vAlign w:val="center"/>
            <w:hideMark/>
          </w:tcPr>
          <w:p w14:paraId="78ED8123" w14:textId="77777777" w:rsidR="00532277" w:rsidRPr="00A8755D" w:rsidRDefault="00532277" w:rsidP="00B45BFF">
            <w:pPr>
              <w:spacing w:before="40" w:after="40"/>
              <w:jc w:val="both"/>
              <w:rPr>
                <w:rFonts w:cstheme="minorHAnsi"/>
                <w:szCs w:val="24"/>
              </w:rPr>
            </w:pPr>
            <w:r w:rsidRPr="00A8755D">
              <w:rPr>
                <w:rFonts w:cstheme="minorHAnsi"/>
                <w:szCs w:val="24"/>
              </w:rPr>
              <w:t>Spain</w:t>
            </w:r>
          </w:p>
        </w:tc>
        <w:tc>
          <w:tcPr>
            <w:tcW w:w="3874" w:type="dxa"/>
            <w:shd w:val="clear" w:color="auto" w:fill="auto"/>
            <w:tcMar>
              <w:top w:w="29" w:type="dxa"/>
              <w:left w:w="75" w:type="dxa"/>
              <w:bottom w:w="29" w:type="dxa"/>
              <w:right w:w="75" w:type="dxa"/>
            </w:tcMar>
            <w:vAlign w:val="center"/>
            <w:hideMark/>
          </w:tcPr>
          <w:p w14:paraId="3AD60DE1" w14:textId="13E1A5AE" w:rsidR="00532277" w:rsidRPr="00A8755D" w:rsidRDefault="00532277"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Blanca GONZÁLEZ </w:t>
            </w:r>
          </w:p>
        </w:tc>
      </w:tr>
    </w:tbl>
    <w:p w14:paraId="5E75CF1C" w14:textId="4ADE9AD5" w:rsidR="009640DE" w:rsidRPr="00CF7D7F" w:rsidRDefault="004B5283" w:rsidP="00B45BFF">
      <w:pPr>
        <w:spacing w:after="120"/>
      </w:pPr>
      <w:r w:rsidRPr="00215AF0">
        <w:rPr>
          <w:rFonts w:cstheme="minorHAnsi"/>
          <w:szCs w:val="24"/>
        </w:rPr>
        <w:t xml:space="preserve">All Regional Directors </w:t>
      </w:r>
      <w:r w:rsidR="00A7036C" w:rsidRPr="00215AF0">
        <w:rPr>
          <w:rFonts w:cstheme="minorHAnsi"/>
          <w:szCs w:val="24"/>
        </w:rPr>
        <w:t>and</w:t>
      </w:r>
      <w:r w:rsidR="00A7036C" w:rsidRPr="00215AF0" w:rsidDel="00543466">
        <w:rPr>
          <w:rFonts w:cstheme="minorHAnsi"/>
          <w:szCs w:val="24"/>
        </w:rPr>
        <w:t xml:space="preserve"> </w:t>
      </w:r>
      <w:r w:rsidR="00A7036C" w:rsidRPr="00215AF0">
        <w:rPr>
          <w:rFonts w:cstheme="minorHAnsi"/>
          <w:szCs w:val="24"/>
        </w:rPr>
        <w:t xml:space="preserve">Department Heads from the </w:t>
      </w:r>
      <w:r w:rsidR="006B13D0" w:rsidRPr="00215AF0">
        <w:rPr>
          <w:rFonts w:cstheme="minorHAnsi"/>
          <w:szCs w:val="24"/>
        </w:rPr>
        <w:t>Telecommunication</w:t>
      </w:r>
      <w:r w:rsidR="004457BD" w:rsidRPr="00215AF0">
        <w:rPr>
          <w:rFonts w:cstheme="minorHAnsi"/>
          <w:szCs w:val="24"/>
        </w:rPr>
        <w:t xml:space="preserve"> Development Bureau (</w:t>
      </w:r>
      <w:r w:rsidR="00A7036C" w:rsidRPr="00215AF0">
        <w:rPr>
          <w:rFonts w:cstheme="minorHAnsi"/>
          <w:szCs w:val="24"/>
        </w:rPr>
        <w:t>BDT</w:t>
      </w:r>
      <w:r w:rsidR="004457BD" w:rsidRPr="00215AF0">
        <w:rPr>
          <w:rFonts w:cstheme="minorHAnsi"/>
          <w:szCs w:val="24"/>
        </w:rPr>
        <w:t>)</w:t>
      </w:r>
      <w:r w:rsidR="00A7036C" w:rsidRPr="00215AF0">
        <w:rPr>
          <w:rFonts w:cstheme="minorHAnsi"/>
          <w:szCs w:val="24"/>
        </w:rPr>
        <w:t xml:space="preserve"> </w:t>
      </w:r>
      <w:r w:rsidRPr="00215AF0">
        <w:rPr>
          <w:rFonts w:cstheme="minorHAnsi"/>
          <w:szCs w:val="24"/>
        </w:rPr>
        <w:t>were present to discuss outcomes from their respective portfolios</w:t>
      </w:r>
      <w:r w:rsidR="001C6E90" w:rsidRPr="00656894">
        <w:rPr>
          <w:rFonts w:cstheme="minorHAnsi"/>
          <w:szCs w:val="24"/>
        </w:rPr>
        <w:t>, as</w:t>
      </w:r>
      <w:r w:rsidR="00B45BFF">
        <w:rPr>
          <w:rFonts w:cstheme="minorHAnsi"/>
          <w:szCs w:val="24"/>
        </w:rPr>
        <w:t xml:space="preserve"> </w:t>
      </w:r>
      <w:r w:rsidR="00656894" w:rsidRPr="00955DCA">
        <w:rPr>
          <w:rFonts w:cstheme="minorHAnsi"/>
          <w:szCs w:val="24"/>
        </w:rPr>
        <w:t>wa</w:t>
      </w:r>
      <w:r w:rsidR="00656894" w:rsidRPr="00656894">
        <w:rPr>
          <w:rFonts w:cstheme="minorHAnsi"/>
          <w:szCs w:val="24"/>
        </w:rPr>
        <w:t xml:space="preserve">s </w:t>
      </w:r>
      <w:r w:rsidR="00656894">
        <w:rPr>
          <w:rFonts w:cstheme="minorHAnsi"/>
          <w:szCs w:val="24"/>
        </w:rPr>
        <w:t>the Chair of the Inter-Sector Coordination Group</w:t>
      </w:r>
      <w:r w:rsidR="00656894">
        <w:rPr>
          <w:szCs w:val="24"/>
        </w:rPr>
        <w:t xml:space="preserve"> (ISCG)</w:t>
      </w:r>
      <w:r w:rsidR="00656894">
        <w:rPr>
          <w:rFonts w:cstheme="minorHAnsi"/>
          <w:szCs w:val="24"/>
        </w:rPr>
        <w:t xml:space="preserve">, Mr Fabio Bigi (Italy), </w:t>
      </w:r>
      <w:r w:rsidR="00CF7D7F" w:rsidRPr="001974C1">
        <w:rPr>
          <w:rFonts w:cstheme="minorHAnsi"/>
          <w:szCs w:val="24"/>
          <w:lang w:eastAsia="en-GB"/>
        </w:rPr>
        <w:t xml:space="preserve">Chair of the Industry Advisory Group on Development Issues and </w:t>
      </w:r>
      <w:r w:rsidR="00CF7D7F">
        <w:rPr>
          <w:rFonts w:cstheme="minorHAnsi"/>
          <w:szCs w:val="24"/>
          <w:lang w:eastAsia="en-GB"/>
        </w:rPr>
        <w:t xml:space="preserve">the </w:t>
      </w:r>
      <w:r w:rsidR="00CF7D7F" w:rsidRPr="001974C1">
        <w:rPr>
          <w:rFonts w:cstheme="minorHAnsi"/>
          <w:szCs w:val="24"/>
          <w:lang w:eastAsia="en-GB"/>
        </w:rPr>
        <w:t>Private Sector</w:t>
      </w:r>
      <w:r w:rsidR="00CF7D7F">
        <w:rPr>
          <w:rFonts w:cstheme="minorHAnsi"/>
          <w:szCs w:val="24"/>
          <w:lang w:eastAsia="en-GB"/>
        </w:rPr>
        <w:t>, Mr. Bocar Ba (</w:t>
      </w:r>
      <w:r w:rsidR="00CF7D7F" w:rsidRPr="001974C1">
        <w:rPr>
          <w:rFonts w:cstheme="minorHAnsi"/>
          <w:szCs w:val="24"/>
          <w:lang w:eastAsia="en-GB"/>
        </w:rPr>
        <w:t>CEO</w:t>
      </w:r>
      <w:r w:rsidR="00CF7D7F">
        <w:rPr>
          <w:rFonts w:cstheme="minorHAnsi"/>
          <w:szCs w:val="24"/>
          <w:lang w:eastAsia="en-GB"/>
        </w:rPr>
        <w:t>,</w:t>
      </w:r>
      <w:r w:rsidR="00CF7D7F" w:rsidRPr="001974C1">
        <w:rPr>
          <w:rFonts w:cstheme="minorHAnsi"/>
          <w:szCs w:val="24"/>
          <w:lang w:eastAsia="en-GB"/>
        </w:rPr>
        <w:t xml:space="preserve"> SAMENA Telecommunications Council</w:t>
      </w:r>
      <w:r w:rsidR="00CF7D7F">
        <w:rPr>
          <w:rFonts w:cstheme="minorHAnsi"/>
          <w:szCs w:val="24"/>
          <w:lang w:eastAsia="en-GB"/>
        </w:rPr>
        <w:t xml:space="preserve">) and </w:t>
      </w:r>
      <w:r w:rsidR="00656894">
        <w:rPr>
          <w:rFonts w:cstheme="minorHAnsi"/>
          <w:szCs w:val="24"/>
        </w:rPr>
        <w:t xml:space="preserve">the new Chair of the Group on Capacity Building Initiatives (CGBI) Professor Mustapha </w:t>
      </w:r>
      <w:proofErr w:type="spellStart"/>
      <w:r w:rsidR="00656894" w:rsidRPr="00CF7D7F">
        <w:rPr>
          <w:rFonts w:cstheme="minorHAnsi"/>
          <w:szCs w:val="24"/>
        </w:rPr>
        <w:t>Benjillali</w:t>
      </w:r>
      <w:proofErr w:type="spellEnd"/>
      <w:r w:rsidR="00CF7D7F" w:rsidRPr="00955DCA">
        <w:rPr>
          <w:rFonts w:cstheme="minorHAnsi"/>
          <w:szCs w:val="24"/>
        </w:rPr>
        <w:t xml:space="preserve">. </w:t>
      </w:r>
    </w:p>
    <w:p w14:paraId="7AE7DF2C" w14:textId="6FDF0650" w:rsidR="005C1345" w:rsidRPr="00215AF0" w:rsidRDefault="00413524" w:rsidP="00B45BFF">
      <w:pPr>
        <w:spacing w:after="120"/>
        <w:rPr>
          <w:rFonts w:cstheme="minorHAnsi"/>
          <w:szCs w:val="24"/>
        </w:rPr>
      </w:pPr>
      <w:r w:rsidRPr="00215AF0">
        <w:rPr>
          <w:rFonts w:cstheme="minorHAnsi"/>
          <w:szCs w:val="24"/>
        </w:rPr>
        <w:lastRenderedPageBreak/>
        <w:t xml:space="preserve">TDAG featured </w:t>
      </w:r>
      <w:proofErr w:type="gramStart"/>
      <w:r w:rsidRPr="00215AF0">
        <w:rPr>
          <w:rFonts w:cstheme="minorHAnsi"/>
          <w:szCs w:val="24"/>
        </w:rPr>
        <w:t>a number of</w:t>
      </w:r>
      <w:proofErr w:type="gramEnd"/>
      <w:r w:rsidRPr="00215AF0">
        <w:rPr>
          <w:rFonts w:cstheme="minorHAnsi"/>
          <w:szCs w:val="24"/>
        </w:rPr>
        <w:t xml:space="preserve"> innovative sessions including an interactive conversation</w:t>
      </w:r>
      <w:r w:rsidR="005A1619" w:rsidRPr="00215AF0">
        <w:rPr>
          <w:rFonts w:cstheme="minorHAnsi"/>
          <w:szCs w:val="24"/>
        </w:rPr>
        <w:t xml:space="preserve"> between t</w:t>
      </w:r>
      <w:r w:rsidR="005C1345" w:rsidRPr="00215AF0">
        <w:rPr>
          <w:rFonts w:cstheme="minorHAnsi"/>
          <w:szCs w:val="24"/>
        </w:rPr>
        <w:t xml:space="preserve">he BDT Director </w:t>
      </w:r>
      <w:r w:rsidR="005A1619" w:rsidRPr="00215AF0">
        <w:rPr>
          <w:rFonts w:cstheme="minorHAnsi"/>
          <w:szCs w:val="24"/>
        </w:rPr>
        <w:t>and</w:t>
      </w:r>
      <w:r w:rsidR="005C1345" w:rsidRPr="00215AF0">
        <w:rPr>
          <w:rFonts w:cstheme="minorHAnsi"/>
          <w:szCs w:val="24"/>
        </w:rPr>
        <w:t xml:space="preserve"> the Regional Directors and Chiefs of Department on </w:t>
      </w:r>
      <w:r w:rsidR="00E71601">
        <w:rPr>
          <w:rFonts w:cstheme="minorHAnsi"/>
          <w:szCs w:val="24"/>
        </w:rPr>
        <w:t>actions taken</w:t>
      </w:r>
      <w:r w:rsidR="005C1345" w:rsidRPr="00215AF0">
        <w:rPr>
          <w:rFonts w:cstheme="minorHAnsi"/>
          <w:szCs w:val="24"/>
        </w:rPr>
        <w:t xml:space="preserve"> in each region to implement the</w:t>
      </w:r>
      <w:r w:rsidR="00E71601">
        <w:rPr>
          <w:rFonts w:cstheme="minorHAnsi"/>
          <w:szCs w:val="24"/>
        </w:rPr>
        <w:t xml:space="preserve"> Kigali</w:t>
      </w:r>
      <w:r w:rsidR="005C1345" w:rsidRPr="00215AF0">
        <w:rPr>
          <w:rFonts w:cstheme="minorHAnsi"/>
          <w:szCs w:val="24"/>
        </w:rPr>
        <w:t xml:space="preserve"> Action Plan</w:t>
      </w:r>
      <w:r w:rsidR="00951111" w:rsidRPr="00215AF0">
        <w:rPr>
          <w:rFonts w:cstheme="minorHAnsi"/>
          <w:szCs w:val="24"/>
        </w:rPr>
        <w:t xml:space="preserve"> (see</w:t>
      </w:r>
      <w:r w:rsidR="00E92140" w:rsidRPr="00215AF0">
        <w:rPr>
          <w:rFonts w:cstheme="minorHAnsi"/>
          <w:szCs w:val="24"/>
        </w:rPr>
        <w:t xml:space="preserve"> </w:t>
      </w:r>
      <w:r w:rsidR="00E92140" w:rsidRPr="00D64634">
        <w:rPr>
          <w:rFonts w:cstheme="minorHAnsi"/>
          <w:szCs w:val="24"/>
        </w:rPr>
        <w:t xml:space="preserve">Annex </w:t>
      </w:r>
      <w:r w:rsidR="00274AA5" w:rsidRPr="00D64634">
        <w:rPr>
          <w:rFonts w:cstheme="minorHAnsi"/>
          <w:szCs w:val="24"/>
        </w:rPr>
        <w:t>1</w:t>
      </w:r>
      <w:r w:rsidR="00951111" w:rsidRPr="00D64634">
        <w:rPr>
          <w:rFonts w:cstheme="minorHAnsi"/>
          <w:szCs w:val="24"/>
        </w:rPr>
        <w:t>)</w:t>
      </w:r>
      <w:r w:rsidR="00E92140" w:rsidRPr="00D64634">
        <w:rPr>
          <w:rFonts w:cstheme="minorHAnsi"/>
          <w:szCs w:val="24"/>
        </w:rPr>
        <w:t>.</w:t>
      </w:r>
      <w:r w:rsidR="00E92140" w:rsidRPr="00215AF0">
        <w:rPr>
          <w:rFonts w:cstheme="minorHAnsi"/>
          <w:szCs w:val="24"/>
        </w:rPr>
        <w:t xml:space="preserve"> </w:t>
      </w:r>
    </w:p>
    <w:p w14:paraId="79143BC6" w14:textId="6EEE4BF5" w:rsidR="00E84CE7" w:rsidRPr="00215AF0" w:rsidRDefault="0015775E" w:rsidP="00B45BFF">
      <w:pPr>
        <w:spacing w:after="120"/>
        <w:rPr>
          <w:rFonts w:cstheme="minorHAnsi"/>
          <w:szCs w:val="24"/>
        </w:rPr>
      </w:pPr>
      <w:r>
        <w:rPr>
          <w:rFonts w:cstheme="minorHAnsi"/>
          <w:szCs w:val="24"/>
        </w:rPr>
        <w:t>During another interactive session,</w:t>
      </w:r>
      <w:r w:rsidR="009910A7" w:rsidRPr="00215AF0" w:rsidDel="00FC09A3">
        <w:rPr>
          <w:rFonts w:cstheme="minorHAnsi"/>
          <w:szCs w:val="24"/>
        </w:rPr>
        <w:t xml:space="preserve"> </w:t>
      </w:r>
      <w:r w:rsidR="00E84CE7" w:rsidRPr="00215AF0">
        <w:rPr>
          <w:rFonts w:cstheme="minorHAnsi"/>
          <w:szCs w:val="24"/>
        </w:rPr>
        <w:t>TDAG participants</w:t>
      </w:r>
      <w:r w:rsidR="005118A1" w:rsidRPr="00215AF0">
        <w:rPr>
          <w:rFonts w:cstheme="minorHAnsi"/>
          <w:szCs w:val="24"/>
        </w:rPr>
        <w:t xml:space="preserve"> </w:t>
      </w:r>
      <w:r w:rsidR="008C2DEF" w:rsidRPr="00215AF0">
        <w:rPr>
          <w:rFonts w:cstheme="minorHAnsi"/>
          <w:szCs w:val="24"/>
        </w:rPr>
        <w:t xml:space="preserve">were asked to </w:t>
      </w:r>
      <w:r w:rsidR="00F55918" w:rsidRPr="00215AF0">
        <w:rPr>
          <w:rFonts w:cstheme="minorHAnsi"/>
          <w:szCs w:val="24"/>
        </w:rPr>
        <w:t xml:space="preserve">share their views </w:t>
      </w:r>
      <w:r w:rsidR="00C935FC" w:rsidRPr="00215AF0">
        <w:rPr>
          <w:rFonts w:cstheme="minorHAnsi"/>
          <w:szCs w:val="24"/>
        </w:rPr>
        <w:t xml:space="preserve">on </w:t>
      </w:r>
      <w:r w:rsidR="005118A1" w:rsidRPr="00215AF0">
        <w:rPr>
          <w:rFonts w:cstheme="minorHAnsi"/>
          <w:szCs w:val="24"/>
        </w:rPr>
        <w:t>three questions</w:t>
      </w:r>
      <w:r w:rsidR="00FC09A3">
        <w:rPr>
          <w:rFonts w:cstheme="minorHAnsi"/>
          <w:szCs w:val="24"/>
        </w:rPr>
        <w:t xml:space="preserve"> </w:t>
      </w:r>
      <w:r w:rsidR="00B10106">
        <w:rPr>
          <w:rFonts w:cstheme="minorHAnsi"/>
          <w:szCs w:val="24"/>
        </w:rPr>
        <w:t xml:space="preserve">with results displayed via </w:t>
      </w:r>
      <w:proofErr w:type="spellStart"/>
      <w:r w:rsidR="00983F55">
        <w:rPr>
          <w:rFonts w:cstheme="minorHAnsi"/>
          <w:szCs w:val="24"/>
        </w:rPr>
        <w:t>m</w:t>
      </w:r>
      <w:r w:rsidR="00B10106">
        <w:rPr>
          <w:rFonts w:cstheme="minorHAnsi"/>
          <w:szCs w:val="24"/>
        </w:rPr>
        <w:t>entimeter</w:t>
      </w:r>
      <w:proofErr w:type="spellEnd"/>
      <w:r w:rsidR="00CE4869" w:rsidRPr="00215AF0">
        <w:rPr>
          <w:rFonts w:cstheme="minorHAnsi"/>
          <w:szCs w:val="24"/>
        </w:rPr>
        <w:t xml:space="preserve">: </w:t>
      </w:r>
      <w:r w:rsidR="00C426EA" w:rsidRPr="00215AF0">
        <w:rPr>
          <w:rFonts w:cstheme="minorHAnsi"/>
          <w:szCs w:val="24"/>
        </w:rPr>
        <w:t>“Moving forward, what are your suggestions to help us strengthen the work of BDT?”</w:t>
      </w:r>
      <w:r w:rsidR="00E873BE" w:rsidRPr="00215AF0">
        <w:rPr>
          <w:rFonts w:cstheme="minorHAnsi"/>
          <w:szCs w:val="24"/>
        </w:rPr>
        <w:t xml:space="preserve">, </w:t>
      </w:r>
      <w:r w:rsidR="00882104" w:rsidRPr="00215AF0">
        <w:rPr>
          <w:rFonts w:cstheme="minorHAnsi"/>
          <w:szCs w:val="24"/>
        </w:rPr>
        <w:t>“</w:t>
      </w:r>
      <w:r w:rsidR="00E84CE7" w:rsidRPr="00215AF0">
        <w:rPr>
          <w:rFonts w:cstheme="minorHAnsi"/>
          <w:szCs w:val="24"/>
        </w:rPr>
        <w:t>What does WTDC mean to you?</w:t>
      </w:r>
      <w:r w:rsidR="00882104" w:rsidRPr="00215AF0">
        <w:rPr>
          <w:rFonts w:cstheme="minorHAnsi"/>
          <w:szCs w:val="24"/>
        </w:rPr>
        <w:t>”</w:t>
      </w:r>
      <w:r w:rsidR="008C2DEF" w:rsidRPr="00215AF0">
        <w:rPr>
          <w:rFonts w:cstheme="minorHAnsi"/>
          <w:szCs w:val="24"/>
        </w:rPr>
        <w:t xml:space="preserve"> and </w:t>
      </w:r>
      <w:r w:rsidR="00300CBC" w:rsidRPr="00215AF0">
        <w:rPr>
          <w:rFonts w:cstheme="minorHAnsi"/>
          <w:szCs w:val="24"/>
        </w:rPr>
        <w:t>“</w:t>
      </w:r>
      <w:r w:rsidR="00E84CE7" w:rsidRPr="00215AF0">
        <w:rPr>
          <w:rFonts w:cstheme="minorHAnsi"/>
          <w:szCs w:val="24"/>
        </w:rPr>
        <w:t>What should be the theme of a WTDC song?</w:t>
      </w:r>
      <w:r w:rsidR="00300CBC" w:rsidRPr="00215AF0">
        <w:rPr>
          <w:rFonts w:cstheme="minorHAnsi"/>
          <w:szCs w:val="24"/>
        </w:rPr>
        <w:t>”</w:t>
      </w:r>
      <w:r w:rsidR="007B3A91" w:rsidRPr="00215AF0">
        <w:rPr>
          <w:rFonts w:cstheme="minorHAnsi"/>
          <w:szCs w:val="24"/>
        </w:rPr>
        <w:t xml:space="preserve"> (</w:t>
      </w:r>
      <w:r w:rsidR="007B3A91" w:rsidRPr="00D64634">
        <w:rPr>
          <w:rFonts w:cstheme="minorHAnsi"/>
          <w:szCs w:val="24"/>
        </w:rPr>
        <w:t>see Annex 2</w:t>
      </w:r>
      <w:r w:rsidR="007B3A91" w:rsidRPr="00215AF0">
        <w:rPr>
          <w:rFonts w:cstheme="minorHAnsi"/>
          <w:szCs w:val="24"/>
        </w:rPr>
        <w:t>)</w:t>
      </w:r>
      <w:r w:rsidR="003D1DF4" w:rsidRPr="00215AF0">
        <w:rPr>
          <w:rFonts w:cstheme="minorHAnsi"/>
          <w:szCs w:val="24"/>
        </w:rPr>
        <w:t xml:space="preserve">. </w:t>
      </w:r>
    </w:p>
    <w:p w14:paraId="5979AB06" w14:textId="4175FC44" w:rsidR="002D1DD3" w:rsidRPr="00C76D83" w:rsidRDefault="00413524"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A</w:t>
      </w:r>
      <w:r w:rsidR="009E3337" w:rsidRPr="00215AF0">
        <w:rPr>
          <w:rFonts w:cstheme="minorHAnsi"/>
          <w:szCs w:val="24"/>
        </w:rPr>
        <w:t xml:space="preserve"> s</w:t>
      </w:r>
      <w:r w:rsidR="00A30ABC" w:rsidRPr="00215AF0">
        <w:rPr>
          <w:rFonts w:cstheme="minorHAnsi"/>
          <w:szCs w:val="24"/>
        </w:rPr>
        <w:t>egment</w:t>
      </w:r>
      <w:r w:rsidR="009E3337" w:rsidRPr="00215AF0">
        <w:rPr>
          <w:rFonts w:cstheme="minorHAnsi"/>
          <w:szCs w:val="24"/>
        </w:rPr>
        <w:t xml:space="preserve"> </w:t>
      </w:r>
      <w:r w:rsidR="00AA3C90">
        <w:rPr>
          <w:rFonts w:cstheme="minorHAnsi"/>
          <w:szCs w:val="24"/>
        </w:rPr>
        <w:t>recognizing</w:t>
      </w:r>
      <w:r w:rsidR="009E3337" w:rsidRPr="00215AF0">
        <w:rPr>
          <w:rFonts w:cstheme="minorHAnsi"/>
          <w:szCs w:val="24"/>
        </w:rPr>
        <w:t xml:space="preserve"> partner</w:t>
      </w:r>
      <w:r w:rsidR="00472D95">
        <w:rPr>
          <w:rFonts w:cstheme="minorHAnsi"/>
          <w:szCs w:val="24"/>
        </w:rPr>
        <w:t>s</w:t>
      </w:r>
      <w:r w:rsidR="009E3337" w:rsidRPr="00215AF0">
        <w:rPr>
          <w:rFonts w:cstheme="minorHAnsi"/>
          <w:szCs w:val="24"/>
        </w:rPr>
        <w:t xml:space="preserve"> and member</w:t>
      </w:r>
      <w:r w:rsidR="00F75B0F">
        <w:rPr>
          <w:rFonts w:cstheme="minorHAnsi"/>
          <w:szCs w:val="24"/>
        </w:rPr>
        <w:t>s</w:t>
      </w:r>
      <w:r w:rsidR="00B45BFF">
        <w:rPr>
          <w:rFonts w:cstheme="minorHAnsi"/>
          <w:szCs w:val="24"/>
        </w:rPr>
        <w:t xml:space="preserve"> </w:t>
      </w:r>
      <w:r w:rsidR="00274AA5" w:rsidRPr="00215AF0">
        <w:rPr>
          <w:rFonts w:cstheme="minorHAnsi"/>
          <w:szCs w:val="24"/>
        </w:rPr>
        <w:t>(</w:t>
      </w:r>
      <w:r w:rsidR="00274AA5" w:rsidRPr="00D64634">
        <w:rPr>
          <w:rFonts w:cstheme="minorHAnsi"/>
          <w:szCs w:val="24"/>
        </w:rPr>
        <w:t xml:space="preserve">see Annex </w:t>
      </w:r>
      <w:r w:rsidR="007B3A91" w:rsidRPr="00D64634">
        <w:rPr>
          <w:rFonts w:cstheme="minorHAnsi"/>
          <w:szCs w:val="24"/>
        </w:rPr>
        <w:t>3</w:t>
      </w:r>
      <w:r w:rsidR="00274AA5" w:rsidRPr="00215AF0">
        <w:rPr>
          <w:rFonts w:cstheme="minorHAnsi"/>
          <w:szCs w:val="24"/>
        </w:rPr>
        <w:t xml:space="preserve">) </w:t>
      </w:r>
      <w:r w:rsidR="00DF7195" w:rsidRPr="00215AF0">
        <w:rPr>
          <w:rFonts w:cstheme="minorHAnsi"/>
          <w:szCs w:val="24"/>
        </w:rPr>
        <w:t xml:space="preserve">and </w:t>
      </w:r>
      <w:r w:rsidR="007C7155" w:rsidRPr="00215AF0">
        <w:rPr>
          <w:rFonts w:cstheme="minorHAnsi"/>
          <w:szCs w:val="24"/>
        </w:rPr>
        <w:t>a</w:t>
      </w:r>
      <w:r w:rsidR="00A30ABC" w:rsidRPr="00215AF0">
        <w:rPr>
          <w:rFonts w:cstheme="minorHAnsi"/>
          <w:szCs w:val="24"/>
        </w:rPr>
        <w:t xml:space="preserve"> </w:t>
      </w:r>
      <w:r w:rsidR="003510BA" w:rsidRPr="00215AF0">
        <w:rPr>
          <w:rFonts w:cstheme="minorHAnsi"/>
          <w:szCs w:val="24"/>
        </w:rPr>
        <w:t xml:space="preserve">meeting of </w:t>
      </w:r>
      <w:r w:rsidR="00FE2405" w:rsidRPr="00215AF0">
        <w:rPr>
          <w:rFonts w:cstheme="minorHAnsi"/>
          <w:szCs w:val="24"/>
        </w:rPr>
        <w:t xml:space="preserve">the </w:t>
      </w:r>
      <w:r w:rsidR="00401C84" w:rsidRPr="00215AF0">
        <w:rPr>
          <w:rFonts w:cstheme="minorHAnsi"/>
          <w:szCs w:val="24"/>
        </w:rPr>
        <w:t xml:space="preserve">TDAG Working Group on Streamlining Resolutions (TDAG-WG-SR) </w:t>
      </w:r>
      <w:r w:rsidR="00274AA5" w:rsidRPr="00215AF0">
        <w:rPr>
          <w:rFonts w:cstheme="minorHAnsi"/>
          <w:szCs w:val="24"/>
        </w:rPr>
        <w:t>(</w:t>
      </w:r>
      <w:r w:rsidR="00642946" w:rsidRPr="00215AF0">
        <w:rPr>
          <w:rFonts w:cstheme="minorHAnsi"/>
          <w:szCs w:val="24"/>
        </w:rPr>
        <w:t xml:space="preserve">see agenda item </w:t>
      </w:r>
      <w:r w:rsidR="00E33526" w:rsidRPr="00215AF0">
        <w:rPr>
          <w:rFonts w:cstheme="minorHAnsi"/>
          <w:szCs w:val="24"/>
        </w:rPr>
        <w:t xml:space="preserve">7 below) </w:t>
      </w:r>
      <w:r w:rsidR="00F820DC" w:rsidRPr="00215AF0">
        <w:rPr>
          <w:rFonts w:cstheme="minorHAnsi"/>
          <w:szCs w:val="24"/>
        </w:rPr>
        <w:t xml:space="preserve">were </w:t>
      </w:r>
      <w:r w:rsidRPr="00215AF0">
        <w:rPr>
          <w:rFonts w:cstheme="minorHAnsi"/>
          <w:szCs w:val="24"/>
        </w:rPr>
        <w:t xml:space="preserve">also </w:t>
      </w:r>
      <w:r w:rsidR="00F820DC" w:rsidRPr="00215AF0">
        <w:rPr>
          <w:rFonts w:cstheme="minorHAnsi"/>
          <w:szCs w:val="24"/>
        </w:rPr>
        <w:t>featured, as well as</w:t>
      </w:r>
      <w:r w:rsidR="00DE45D6" w:rsidRPr="00215AF0">
        <w:rPr>
          <w:rFonts w:cstheme="minorHAnsi"/>
          <w:szCs w:val="24"/>
        </w:rPr>
        <w:t xml:space="preserve"> an</w:t>
      </w:r>
      <w:r w:rsidR="00DF7195" w:rsidRPr="00215AF0">
        <w:rPr>
          <w:rFonts w:cstheme="minorHAnsi"/>
          <w:szCs w:val="24"/>
        </w:rPr>
        <w:t xml:space="preserve"> </w:t>
      </w:r>
      <w:r w:rsidR="004B5283" w:rsidRPr="00215AF0">
        <w:rPr>
          <w:rFonts w:cstheme="minorHAnsi"/>
          <w:szCs w:val="24"/>
        </w:rPr>
        <w:t>ITU-D Network of Women</w:t>
      </w:r>
      <w:r w:rsidR="003510BA" w:rsidRPr="00215AF0">
        <w:rPr>
          <w:rFonts w:cstheme="minorHAnsi"/>
          <w:szCs w:val="24"/>
        </w:rPr>
        <w:t xml:space="preserve"> (</w:t>
      </w:r>
      <w:proofErr w:type="spellStart"/>
      <w:r w:rsidR="003510BA" w:rsidRPr="00215AF0">
        <w:rPr>
          <w:rFonts w:cstheme="minorHAnsi"/>
          <w:szCs w:val="24"/>
        </w:rPr>
        <w:t>NoW</w:t>
      </w:r>
      <w:proofErr w:type="spellEnd"/>
      <w:r w:rsidR="003510BA" w:rsidRPr="00215AF0">
        <w:rPr>
          <w:rFonts w:cstheme="minorHAnsi"/>
          <w:szCs w:val="24"/>
        </w:rPr>
        <w:t xml:space="preserve">) </w:t>
      </w:r>
      <w:r w:rsidR="00DF7195" w:rsidRPr="00215AF0">
        <w:rPr>
          <w:rFonts w:cstheme="minorHAnsi"/>
          <w:szCs w:val="24"/>
        </w:rPr>
        <w:t xml:space="preserve">social </w:t>
      </w:r>
      <w:r w:rsidR="003510BA" w:rsidRPr="00215AF0">
        <w:rPr>
          <w:rFonts w:cstheme="minorHAnsi"/>
          <w:szCs w:val="24"/>
        </w:rPr>
        <w:t>event</w:t>
      </w:r>
      <w:r w:rsidR="00A45A6C" w:rsidRPr="00215AF0">
        <w:rPr>
          <w:rFonts w:cstheme="minorHAnsi"/>
          <w:szCs w:val="24"/>
        </w:rPr>
        <w:t xml:space="preserve"> </w:t>
      </w:r>
      <w:r w:rsidR="00242C5C">
        <w:rPr>
          <w:rFonts w:cstheme="minorHAnsi"/>
          <w:szCs w:val="24"/>
        </w:rPr>
        <w:t xml:space="preserve">titled </w:t>
      </w:r>
      <w:r w:rsidR="002D1DD3" w:rsidRPr="00BB0F09">
        <w:rPr>
          <w:rStyle w:val="ui-provider"/>
          <w:rFonts w:cstheme="minorHAnsi"/>
          <w:i/>
          <w:iCs/>
          <w:szCs w:val="24"/>
        </w:rPr>
        <w:t>Mainstream</w:t>
      </w:r>
      <w:r w:rsidR="002D1DD3" w:rsidRPr="00BB0F09">
        <w:rPr>
          <w:rStyle w:val="ui-provider"/>
          <w:rFonts w:cstheme="minorHAnsi"/>
          <w:i/>
          <w:szCs w:val="24"/>
        </w:rPr>
        <w:t xml:space="preserve"> Gender: from</w:t>
      </w:r>
      <w:r w:rsidR="00894C90" w:rsidRPr="00BB0F09">
        <w:rPr>
          <w:rStyle w:val="ui-provider"/>
          <w:rFonts w:cstheme="minorHAnsi"/>
          <w:i/>
          <w:szCs w:val="24"/>
        </w:rPr>
        <w:t xml:space="preserve"> </w:t>
      </w:r>
      <w:r w:rsidR="00242C5C" w:rsidRPr="00BB0F09">
        <w:rPr>
          <w:rStyle w:val="ui-provider"/>
          <w:rFonts w:cstheme="minorHAnsi"/>
          <w:i/>
          <w:iCs/>
          <w:szCs w:val="24"/>
        </w:rPr>
        <w:t>M</w:t>
      </w:r>
      <w:r w:rsidR="002D1DD3" w:rsidRPr="00BB0F09">
        <w:rPr>
          <w:rStyle w:val="ui-provider"/>
          <w:rFonts w:cstheme="minorHAnsi"/>
          <w:i/>
          <w:iCs/>
          <w:szCs w:val="24"/>
        </w:rPr>
        <w:t>usic</w:t>
      </w:r>
      <w:r w:rsidR="002D1DD3" w:rsidRPr="00BB0F09">
        <w:rPr>
          <w:rStyle w:val="ui-provider"/>
          <w:rFonts w:cstheme="minorHAnsi"/>
          <w:i/>
          <w:szCs w:val="24"/>
        </w:rPr>
        <w:t xml:space="preserve"> to </w:t>
      </w:r>
      <w:r w:rsidR="00894C90" w:rsidRPr="00BB0F09">
        <w:rPr>
          <w:rStyle w:val="ui-provider"/>
          <w:rFonts w:cstheme="minorHAnsi"/>
          <w:i/>
          <w:iCs/>
          <w:szCs w:val="24"/>
        </w:rPr>
        <w:t>A</w:t>
      </w:r>
      <w:r w:rsidR="002D1DD3" w:rsidRPr="00BB0F09">
        <w:rPr>
          <w:rStyle w:val="ui-provider"/>
          <w:rFonts w:cstheme="minorHAnsi"/>
          <w:i/>
          <w:iCs/>
          <w:szCs w:val="24"/>
        </w:rPr>
        <w:t>ction</w:t>
      </w:r>
      <w:r w:rsidR="002D1DD3" w:rsidRPr="00894C90">
        <w:rPr>
          <w:rStyle w:val="ui-provider"/>
          <w:rFonts w:cstheme="minorHAnsi"/>
          <w:szCs w:val="24"/>
        </w:rPr>
        <w:t xml:space="preserve"> </w:t>
      </w:r>
      <w:r w:rsidR="002D1DD3" w:rsidRPr="00215AF0">
        <w:rPr>
          <w:rStyle w:val="ui-provider"/>
          <w:rFonts w:cstheme="minorHAnsi"/>
          <w:szCs w:val="24"/>
        </w:rPr>
        <w:t>wh</w:t>
      </w:r>
      <w:r w:rsidR="004012CD">
        <w:rPr>
          <w:rStyle w:val="ui-provider"/>
          <w:rFonts w:cstheme="minorHAnsi"/>
          <w:szCs w:val="24"/>
        </w:rPr>
        <w:t xml:space="preserve">ich featured </w:t>
      </w:r>
      <w:r w:rsidR="00AE3093" w:rsidRPr="00215AF0">
        <w:rPr>
          <w:rStyle w:val="ui-provider"/>
          <w:rFonts w:cstheme="minorHAnsi"/>
          <w:szCs w:val="24"/>
        </w:rPr>
        <w:t>Giovanna di Marzo</w:t>
      </w:r>
      <w:r w:rsidR="00AE3093">
        <w:rPr>
          <w:rStyle w:val="ui-provider"/>
          <w:rFonts w:cstheme="minorHAnsi"/>
          <w:szCs w:val="24"/>
        </w:rPr>
        <w:t xml:space="preserve">, Director </w:t>
      </w:r>
      <w:r w:rsidR="00115E10">
        <w:rPr>
          <w:rStyle w:val="ui-provider"/>
          <w:rFonts w:cstheme="minorHAnsi"/>
          <w:szCs w:val="24"/>
        </w:rPr>
        <w:t>o</w:t>
      </w:r>
      <w:r w:rsidR="00AE3093">
        <w:rPr>
          <w:rStyle w:val="ui-provider"/>
          <w:rFonts w:cstheme="minorHAnsi"/>
          <w:szCs w:val="24"/>
        </w:rPr>
        <w:t>f ISS at</w:t>
      </w:r>
      <w:r w:rsidR="002D1DD3" w:rsidRPr="00215AF0">
        <w:rPr>
          <w:rStyle w:val="ui-provider"/>
          <w:rFonts w:cstheme="minorHAnsi"/>
          <w:szCs w:val="24"/>
        </w:rPr>
        <w:t xml:space="preserve"> the University of Geneva</w:t>
      </w:r>
      <w:r w:rsidR="00894C90">
        <w:rPr>
          <w:rStyle w:val="ui-provider"/>
          <w:rFonts w:cstheme="minorHAnsi"/>
          <w:szCs w:val="24"/>
        </w:rPr>
        <w:t xml:space="preserve">, </w:t>
      </w:r>
      <w:r w:rsidR="008068FC">
        <w:rPr>
          <w:rStyle w:val="ui-provider"/>
          <w:rFonts w:cstheme="minorHAnsi"/>
          <w:szCs w:val="24"/>
        </w:rPr>
        <w:t>and</w:t>
      </w:r>
      <w:r w:rsidR="00B45BFF">
        <w:rPr>
          <w:rStyle w:val="ui-provider"/>
          <w:rFonts w:cstheme="minorHAnsi"/>
          <w:szCs w:val="24"/>
        </w:rPr>
        <w:t xml:space="preserve"> </w:t>
      </w:r>
      <w:r w:rsidR="002D1DD3" w:rsidRPr="00C76D83">
        <w:rPr>
          <w:rStyle w:val="ui-provider"/>
          <w:rFonts w:cstheme="minorHAnsi"/>
          <w:szCs w:val="24"/>
        </w:rPr>
        <w:t>c</w:t>
      </w:r>
      <w:r w:rsidR="00EE331C" w:rsidRPr="00C76D83">
        <w:rPr>
          <w:rStyle w:val="ui-provider"/>
          <w:rFonts w:cstheme="minorHAnsi"/>
          <w:szCs w:val="24"/>
        </w:rPr>
        <w:t>ulminated</w:t>
      </w:r>
      <w:r w:rsidR="002D1DD3" w:rsidRPr="00C76D83">
        <w:rPr>
          <w:rStyle w:val="ui-provider"/>
          <w:rFonts w:cstheme="minorHAnsi"/>
          <w:szCs w:val="24"/>
        </w:rPr>
        <w:t xml:space="preserve"> with a</w:t>
      </w:r>
      <w:r w:rsidR="00EA5176" w:rsidRPr="00C76D83">
        <w:rPr>
          <w:rStyle w:val="ui-provider"/>
          <w:rFonts w:cstheme="minorHAnsi"/>
          <w:szCs w:val="24"/>
        </w:rPr>
        <w:t>n operatic</w:t>
      </w:r>
      <w:r w:rsidR="002D1DD3" w:rsidRPr="00C76D83">
        <w:rPr>
          <w:rStyle w:val="ui-provider"/>
          <w:rFonts w:cstheme="minorHAnsi"/>
          <w:szCs w:val="24"/>
        </w:rPr>
        <w:t xml:space="preserve"> perform</w:t>
      </w:r>
      <w:r w:rsidR="00B077B5" w:rsidRPr="00C76D83">
        <w:rPr>
          <w:rStyle w:val="ui-provider"/>
          <w:rFonts w:cstheme="minorHAnsi"/>
          <w:szCs w:val="24"/>
        </w:rPr>
        <w:t>ance</w:t>
      </w:r>
      <w:r w:rsidR="00BA1F2C">
        <w:rPr>
          <w:rStyle w:val="ui-provider"/>
          <w:rFonts w:cstheme="minorHAnsi"/>
          <w:szCs w:val="24"/>
        </w:rPr>
        <w:t xml:space="preserve"> </w:t>
      </w:r>
      <w:r w:rsidR="002D1DD3" w:rsidRPr="00C76D83">
        <w:rPr>
          <w:rStyle w:val="ui-provider"/>
          <w:rFonts w:cstheme="minorHAnsi"/>
          <w:szCs w:val="24"/>
        </w:rPr>
        <w:t>by Ms Varduhi Khachatryan, Lyric singer and President of the Avetis Association who s</w:t>
      </w:r>
      <w:r w:rsidR="00697DBE" w:rsidRPr="00C76D83">
        <w:rPr>
          <w:rStyle w:val="ui-provider"/>
          <w:rFonts w:cstheme="minorHAnsi"/>
          <w:szCs w:val="24"/>
        </w:rPr>
        <w:t>a</w:t>
      </w:r>
      <w:r w:rsidR="002D1DD3" w:rsidRPr="00C76D83">
        <w:rPr>
          <w:rStyle w:val="ui-provider"/>
          <w:rFonts w:cstheme="minorHAnsi"/>
          <w:szCs w:val="24"/>
        </w:rPr>
        <w:t xml:space="preserve">ng lyrics </w:t>
      </w:r>
      <w:r w:rsidR="00876ED0" w:rsidRPr="00C76D83">
        <w:rPr>
          <w:rStyle w:val="ui-provider"/>
          <w:rFonts w:cstheme="minorHAnsi"/>
          <w:szCs w:val="24"/>
        </w:rPr>
        <w:t xml:space="preserve">by </w:t>
      </w:r>
      <w:r w:rsidR="002D1DD3" w:rsidRPr="00C76D83">
        <w:rPr>
          <w:rStyle w:val="ui-provider"/>
          <w:rFonts w:cstheme="minorHAnsi"/>
          <w:szCs w:val="24"/>
        </w:rPr>
        <w:t>Puccini, Bellini and Bizet. </w:t>
      </w:r>
    </w:p>
    <w:p w14:paraId="48C5BE54" w14:textId="2D3C797F" w:rsidR="00690C6C" w:rsidRPr="00C76D83" w:rsidRDefault="68E6C2D8"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C76D83">
        <w:rPr>
          <w:rFonts w:cstheme="minorHAnsi"/>
          <w:szCs w:val="24"/>
        </w:rPr>
        <w:t xml:space="preserve">A </w:t>
      </w:r>
      <w:r w:rsidR="002445E3" w:rsidRPr="00C76D83">
        <w:rPr>
          <w:rFonts w:cstheme="minorHAnsi"/>
          <w:szCs w:val="24"/>
        </w:rPr>
        <w:t xml:space="preserve">draft </w:t>
      </w:r>
      <w:r w:rsidR="3E5B00FF" w:rsidRPr="00C76D83">
        <w:rPr>
          <w:rFonts w:cstheme="minorHAnsi"/>
          <w:szCs w:val="24"/>
        </w:rPr>
        <w:t xml:space="preserve">summary of conclusions of the meeting can be found </w:t>
      </w:r>
      <w:r w:rsidR="09DF47C9" w:rsidRPr="00C76D83">
        <w:rPr>
          <w:rFonts w:cstheme="minorHAnsi"/>
          <w:szCs w:val="24"/>
        </w:rPr>
        <w:t xml:space="preserve">in document </w:t>
      </w:r>
      <w:hyperlink r:id="rId12" w:history="1">
        <w:r w:rsidR="09DF47C9" w:rsidRPr="00F27A37">
          <w:rPr>
            <w:rStyle w:val="Hyperlink"/>
            <w:rFonts w:cstheme="minorHAnsi"/>
            <w:szCs w:val="24"/>
          </w:rPr>
          <w:t>DT/</w:t>
        </w:r>
        <w:r w:rsidR="76CE7250" w:rsidRPr="00F27A37">
          <w:rPr>
            <w:rStyle w:val="Hyperlink"/>
            <w:rFonts w:cstheme="minorHAnsi"/>
            <w:szCs w:val="24"/>
          </w:rPr>
          <w:t>9</w:t>
        </w:r>
      </w:hyperlink>
      <w:r w:rsidR="0895897A" w:rsidRPr="00A30065">
        <w:rPr>
          <w:rFonts w:cstheme="minorHAnsi"/>
          <w:szCs w:val="24"/>
        </w:rPr>
        <w:t>.</w:t>
      </w:r>
    </w:p>
    <w:p w14:paraId="45E074C9" w14:textId="05782280" w:rsidR="00952922" w:rsidRDefault="00BC01A3" w:rsidP="00B45BFF">
      <w:pPr>
        <w:keepNext/>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Broadly speaking, </w:t>
      </w:r>
      <w:r w:rsidR="00873358" w:rsidRPr="00C76D83">
        <w:rPr>
          <w:rFonts w:cstheme="minorHAnsi"/>
          <w:szCs w:val="24"/>
        </w:rPr>
        <w:t xml:space="preserve">TDAG </w:t>
      </w:r>
      <w:r w:rsidR="009D4D49">
        <w:rPr>
          <w:rFonts w:cstheme="minorHAnsi"/>
          <w:szCs w:val="24"/>
        </w:rPr>
        <w:t xml:space="preserve">discussed </w:t>
      </w:r>
      <w:r w:rsidR="00E82C3F" w:rsidRPr="00E82C3F">
        <w:rPr>
          <w:rFonts w:cstheme="minorHAnsi"/>
          <w:szCs w:val="24"/>
        </w:rPr>
        <w:t>various facets of digital transformation, strategic planning, and inclusivity within the ITU</w:t>
      </w:r>
      <w:r w:rsidR="00FF5C2D">
        <w:rPr>
          <w:rFonts w:cstheme="minorHAnsi"/>
          <w:szCs w:val="24"/>
        </w:rPr>
        <w:t>-D</w:t>
      </w:r>
      <w:r w:rsidR="00E82C3F" w:rsidRPr="00E82C3F">
        <w:rPr>
          <w:rFonts w:cstheme="minorHAnsi"/>
          <w:szCs w:val="24"/>
        </w:rPr>
        <w:t xml:space="preserve"> framework</w:t>
      </w:r>
      <w:r w:rsidR="008D71C2">
        <w:rPr>
          <w:rFonts w:cstheme="minorHAnsi"/>
          <w:szCs w:val="24"/>
        </w:rPr>
        <w:t xml:space="preserve">, and </w:t>
      </w:r>
      <w:r w:rsidR="006313F5">
        <w:rPr>
          <w:rFonts w:cstheme="minorHAnsi"/>
          <w:szCs w:val="24"/>
        </w:rPr>
        <w:t>reflected</w:t>
      </w:r>
      <w:r w:rsidR="0082364A" w:rsidRPr="006313F5">
        <w:rPr>
          <w:rFonts w:cstheme="minorHAnsi"/>
          <w:szCs w:val="24"/>
        </w:rPr>
        <w:t xml:space="preserve"> on the following key </w:t>
      </w:r>
      <w:r>
        <w:rPr>
          <w:rFonts w:cstheme="minorHAnsi"/>
          <w:szCs w:val="24"/>
        </w:rPr>
        <w:t xml:space="preserve">categories of </w:t>
      </w:r>
      <w:r w:rsidR="0082364A" w:rsidRPr="006313F5">
        <w:rPr>
          <w:rFonts w:cstheme="minorHAnsi"/>
          <w:szCs w:val="24"/>
        </w:rPr>
        <w:t>achievements</w:t>
      </w:r>
      <w:r w:rsidR="00FC7EA2">
        <w:rPr>
          <w:rFonts w:cstheme="minorHAnsi"/>
          <w:szCs w:val="24"/>
        </w:rPr>
        <w:t xml:space="preserve"> by the BDT</w:t>
      </w:r>
      <w:r w:rsidR="00952922" w:rsidRPr="006313F5">
        <w:rPr>
          <w:rFonts w:cstheme="minorHAnsi"/>
          <w:szCs w:val="24"/>
        </w:rPr>
        <w:t>:</w:t>
      </w:r>
    </w:p>
    <w:p w14:paraId="28513F77" w14:textId="04C8552E" w:rsidR="0082364A" w:rsidRP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630D0E">
        <w:rPr>
          <w:rFonts w:cstheme="minorHAnsi"/>
          <w:szCs w:val="24"/>
        </w:rPr>
        <w:t xml:space="preserve">Significant progress </w:t>
      </w:r>
      <w:r w:rsidRPr="0082364A">
        <w:rPr>
          <w:rFonts w:cstheme="minorHAnsi"/>
          <w:szCs w:val="24"/>
        </w:rPr>
        <w:t xml:space="preserve">in implementing </w:t>
      </w:r>
      <w:r w:rsidRPr="0082364A" w:rsidDel="00E2356B">
        <w:rPr>
          <w:rFonts w:cstheme="minorHAnsi"/>
          <w:szCs w:val="24"/>
        </w:rPr>
        <w:t xml:space="preserve">the </w:t>
      </w:r>
      <w:r w:rsidRPr="0082364A">
        <w:rPr>
          <w:rFonts w:cstheme="minorHAnsi"/>
          <w:szCs w:val="24"/>
        </w:rPr>
        <w:t>Kigali Action Plan, which aims to enhance digital connectivity and bridge the digital divide.</w:t>
      </w:r>
    </w:p>
    <w:p w14:paraId="4FFC7EF6" w14:textId="0675756D" w:rsidR="0082364A" w:rsidRP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 xml:space="preserve">Advancements in </w:t>
      </w:r>
      <w:r w:rsidRPr="0082364A" w:rsidDel="00E2356B">
        <w:rPr>
          <w:rFonts w:cstheme="minorHAnsi"/>
          <w:szCs w:val="24"/>
        </w:rPr>
        <w:t xml:space="preserve">digital connectivity projects </w:t>
      </w:r>
      <w:r w:rsidRPr="0082364A">
        <w:rPr>
          <w:rFonts w:cstheme="minorHAnsi"/>
          <w:szCs w:val="24"/>
        </w:rPr>
        <w:t>providing improved access to digital services in underserved and remote regions.</w:t>
      </w:r>
    </w:p>
    <w:p w14:paraId="249F8F31" w14:textId="1CCEB895" w:rsidR="0082364A" w:rsidRP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Resource</w:t>
      </w:r>
      <w:r w:rsidR="008030D4">
        <w:rPr>
          <w:rFonts w:cstheme="minorHAnsi"/>
          <w:szCs w:val="24"/>
        </w:rPr>
        <w:t xml:space="preserve"> m</w:t>
      </w:r>
      <w:r w:rsidRPr="0082364A">
        <w:rPr>
          <w:rFonts w:cstheme="minorHAnsi"/>
          <w:szCs w:val="24"/>
        </w:rPr>
        <w:t>obilization</w:t>
      </w:r>
      <w:r w:rsidR="00A66B5B">
        <w:rPr>
          <w:rFonts w:cstheme="minorHAnsi"/>
          <w:szCs w:val="24"/>
        </w:rPr>
        <w:t xml:space="preserve"> as mentioned above</w:t>
      </w:r>
      <w:r w:rsidR="00256B9E">
        <w:rPr>
          <w:rFonts w:cstheme="minorHAnsi"/>
          <w:szCs w:val="24"/>
        </w:rPr>
        <w:t xml:space="preserve"> </w:t>
      </w:r>
      <w:r w:rsidRPr="00472E1B">
        <w:rPr>
          <w:rFonts w:cstheme="minorHAnsi"/>
          <w:szCs w:val="24"/>
        </w:rPr>
        <w:t xml:space="preserve">to support </w:t>
      </w:r>
      <w:r w:rsidR="00256B9E">
        <w:rPr>
          <w:rFonts w:cstheme="minorHAnsi"/>
          <w:szCs w:val="24"/>
        </w:rPr>
        <w:t xml:space="preserve">important </w:t>
      </w:r>
      <w:r w:rsidRPr="0082364A">
        <w:rPr>
          <w:rFonts w:cstheme="minorHAnsi"/>
          <w:szCs w:val="24"/>
        </w:rPr>
        <w:t>digital transformation initiatives</w:t>
      </w:r>
      <w:r w:rsidR="007B13A2">
        <w:rPr>
          <w:rFonts w:cstheme="minorHAnsi"/>
          <w:szCs w:val="24"/>
        </w:rPr>
        <w:t xml:space="preserve"> which involved</w:t>
      </w:r>
      <w:r w:rsidR="00D30E70">
        <w:rPr>
          <w:rFonts w:cstheme="minorHAnsi"/>
          <w:szCs w:val="24"/>
        </w:rPr>
        <w:t xml:space="preserve"> </w:t>
      </w:r>
      <w:r w:rsidRPr="0082364A">
        <w:rPr>
          <w:rFonts w:cstheme="minorHAnsi"/>
          <w:szCs w:val="24"/>
        </w:rPr>
        <w:t>securing funding and forming strategic partnerships with member states, private sector entities, and international organizations.</w:t>
      </w:r>
    </w:p>
    <w:p w14:paraId="18450CE4" w14:textId="428D74F0" w:rsidR="0082364A" w:rsidRPr="0082364A" w:rsidRDefault="009B1B15" w:rsidP="008871E7">
      <w:pPr>
        <w:pStyle w:val="ListParagraph"/>
        <w:numPr>
          <w:ilvl w:val="0"/>
          <w:numId w:val="2"/>
        </w:numPr>
        <w:tabs>
          <w:tab w:val="left" w:pos="1701"/>
        </w:tabs>
        <w:spacing w:before="60" w:after="60"/>
        <w:ind w:left="714" w:hanging="357"/>
        <w:contextualSpacing w:val="0"/>
        <w:rPr>
          <w:rFonts w:cstheme="minorHAnsi"/>
          <w:szCs w:val="24"/>
        </w:rPr>
      </w:pPr>
      <w:r>
        <w:rPr>
          <w:rFonts w:cstheme="minorHAnsi"/>
          <w:szCs w:val="24"/>
        </w:rPr>
        <w:t>R</w:t>
      </w:r>
      <w:r w:rsidR="00C01F7F" w:rsidRPr="0082364A">
        <w:rPr>
          <w:rFonts w:cstheme="minorHAnsi"/>
          <w:szCs w:val="24"/>
        </w:rPr>
        <w:t>amped up</w:t>
      </w:r>
      <w:r>
        <w:rPr>
          <w:rFonts w:cstheme="minorHAnsi"/>
          <w:szCs w:val="24"/>
        </w:rPr>
        <w:t xml:space="preserve"> e</w:t>
      </w:r>
      <w:r w:rsidR="0082364A" w:rsidRPr="0082364A">
        <w:rPr>
          <w:rFonts w:cstheme="minorHAnsi"/>
          <w:szCs w:val="24"/>
        </w:rPr>
        <w:t>fforts in capacity building and digital skills training for stakeholders in different regions.</w:t>
      </w:r>
    </w:p>
    <w:p w14:paraId="2C0C423F" w14:textId="5E010BBB" w:rsid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Innovative Solutions and Partnerships to develop and implement cutting-edge solutions that address the challenges of digital transformation.</w:t>
      </w:r>
    </w:p>
    <w:p w14:paraId="39CB1158" w14:textId="74BF6BBB" w:rsidR="007B13A2" w:rsidRPr="0082364A" w:rsidRDefault="007B13A2"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 xml:space="preserve">Impactful Initiatives, demonstrating tangible benefits in </w:t>
      </w:r>
      <w:r>
        <w:rPr>
          <w:rFonts w:cstheme="minorHAnsi"/>
          <w:szCs w:val="24"/>
        </w:rPr>
        <w:t>the</w:t>
      </w:r>
      <w:r w:rsidRPr="0082364A">
        <w:rPr>
          <w:rFonts w:cstheme="minorHAnsi"/>
          <w:szCs w:val="24"/>
        </w:rPr>
        <w:t xml:space="preserve"> regions</w:t>
      </w:r>
      <w:r>
        <w:rPr>
          <w:rFonts w:cstheme="minorHAnsi"/>
          <w:szCs w:val="24"/>
        </w:rPr>
        <w:t xml:space="preserve">, </w:t>
      </w:r>
      <w:r w:rsidRPr="0082364A">
        <w:rPr>
          <w:rFonts w:cstheme="minorHAnsi"/>
          <w:szCs w:val="24"/>
        </w:rPr>
        <w:t>includ</w:t>
      </w:r>
      <w:r>
        <w:rPr>
          <w:rFonts w:cstheme="minorHAnsi"/>
          <w:szCs w:val="24"/>
        </w:rPr>
        <w:t>ing</w:t>
      </w:r>
      <w:r w:rsidRPr="0082364A">
        <w:rPr>
          <w:rFonts w:cstheme="minorHAnsi"/>
          <w:szCs w:val="24"/>
        </w:rPr>
        <w:t xml:space="preserve"> projects related to e-waste management, early warning systems, and broadband infrastructure</w:t>
      </w:r>
      <w:r>
        <w:rPr>
          <w:rFonts w:cstheme="minorHAnsi"/>
          <w:szCs w:val="24"/>
        </w:rPr>
        <w:t xml:space="preserve"> mapping.</w:t>
      </w:r>
    </w:p>
    <w:p w14:paraId="137333A7" w14:textId="444CEE66" w:rsidR="001815A2" w:rsidRPr="00215AF0" w:rsidRDefault="00BA0B86" w:rsidP="008871E7">
      <w:pPr>
        <w:pStyle w:val="ListParagraph"/>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15AF0">
        <w:rPr>
          <w:rFonts w:cstheme="minorHAnsi"/>
          <w:b/>
          <w:bCs/>
          <w:szCs w:val="24"/>
        </w:rPr>
        <w:t>Address by the Secretary-General</w:t>
      </w:r>
    </w:p>
    <w:p w14:paraId="570195D4" w14:textId="7E9EA13F" w:rsidR="006200B0" w:rsidRPr="00215AF0" w:rsidRDefault="1D540FC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On behalf of the Secretary-General, </w:t>
      </w:r>
      <w:r w:rsidR="00D73403" w:rsidRPr="00215AF0">
        <w:rPr>
          <w:rFonts w:cstheme="minorHAnsi"/>
          <w:szCs w:val="24"/>
        </w:rPr>
        <w:t xml:space="preserve">Mr. </w:t>
      </w:r>
      <w:r w:rsidRPr="00215AF0">
        <w:rPr>
          <w:rFonts w:cstheme="minorHAnsi"/>
          <w:szCs w:val="24"/>
        </w:rPr>
        <w:t xml:space="preserve">Tomas </w:t>
      </w:r>
      <w:proofErr w:type="spellStart"/>
      <w:r w:rsidR="7E081E1A" w:rsidRPr="00215AF0">
        <w:rPr>
          <w:rFonts w:cstheme="minorHAnsi"/>
          <w:szCs w:val="24"/>
        </w:rPr>
        <w:t>Lamanauskas</w:t>
      </w:r>
      <w:proofErr w:type="spellEnd"/>
      <w:r w:rsidRPr="00215AF0">
        <w:rPr>
          <w:rFonts w:cstheme="minorHAnsi"/>
          <w:szCs w:val="24"/>
        </w:rPr>
        <w:t>, Deputy Secretary</w:t>
      </w:r>
      <w:r w:rsidR="293B93AF" w:rsidRPr="00215AF0">
        <w:rPr>
          <w:rFonts w:cstheme="minorHAnsi"/>
          <w:szCs w:val="24"/>
        </w:rPr>
        <w:t>-</w:t>
      </w:r>
      <w:r w:rsidRPr="00215AF0">
        <w:rPr>
          <w:rFonts w:cstheme="minorHAnsi"/>
          <w:szCs w:val="24"/>
        </w:rPr>
        <w:t>General, addressed the TDAG</w:t>
      </w:r>
      <w:r w:rsidR="393C9BA2" w:rsidRPr="00215AF0">
        <w:rPr>
          <w:rFonts w:cstheme="minorHAnsi"/>
          <w:szCs w:val="24"/>
        </w:rPr>
        <w:t>.</w:t>
      </w:r>
    </w:p>
    <w:p w14:paraId="023A2F3A" w14:textId="43BDB177" w:rsidR="00A83F81" w:rsidRPr="00215AF0" w:rsidRDefault="1D854224"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lang w:val="en-US"/>
        </w:rPr>
      </w:pPr>
      <w:r w:rsidRPr="00215AF0">
        <w:rPr>
          <w:rFonts w:cstheme="minorHAnsi"/>
          <w:szCs w:val="24"/>
        </w:rPr>
        <w:t>He first expressed his</w:t>
      </w:r>
      <w:r w:rsidR="70C14861" w:rsidRPr="00215AF0">
        <w:rPr>
          <w:rFonts w:cstheme="minorHAnsi"/>
          <w:szCs w:val="24"/>
        </w:rPr>
        <w:t xml:space="preserve"> condolences to </w:t>
      </w:r>
      <w:r w:rsidR="3FA8A590" w:rsidRPr="00215AF0">
        <w:rPr>
          <w:rFonts w:cstheme="minorHAnsi"/>
          <w:szCs w:val="24"/>
        </w:rPr>
        <w:t xml:space="preserve">the </w:t>
      </w:r>
      <w:r w:rsidR="322496B7" w:rsidRPr="00215AF0">
        <w:rPr>
          <w:rFonts w:cstheme="minorHAnsi"/>
          <w:szCs w:val="24"/>
        </w:rPr>
        <w:t>Islamic Republic of Iran for the tragic accident that happened</w:t>
      </w:r>
      <w:r w:rsidR="70C14861" w:rsidRPr="00215AF0">
        <w:rPr>
          <w:rFonts w:cstheme="minorHAnsi"/>
          <w:szCs w:val="24"/>
        </w:rPr>
        <w:t>, extending sympathy to the families affected</w:t>
      </w:r>
      <w:r w:rsidR="179F5BB3" w:rsidRPr="00215AF0">
        <w:rPr>
          <w:rFonts w:cstheme="minorHAnsi"/>
          <w:szCs w:val="24"/>
        </w:rPr>
        <w:t xml:space="preserve">, </w:t>
      </w:r>
      <w:r w:rsidR="70C14861" w:rsidRPr="00215AF0">
        <w:rPr>
          <w:rFonts w:cstheme="minorHAnsi"/>
          <w:szCs w:val="24"/>
        </w:rPr>
        <w:t>welcome</w:t>
      </w:r>
      <w:r w:rsidRPr="00215AF0">
        <w:rPr>
          <w:rFonts w:cstheme="minorHAnsi"/>
          <w:szCs w:val="24"/>
        </w:rPr>
        <w:t>d</w:t>
      </w:r>
      <w:r w:rsidR="70C14861" w:rsidRPr="00215AF0">
        <w:rPr>
          <w:rFonts w:cstheme="minorHAnsi"/>
          <w:szCs w:val="24"/>
        </w:rPr>
        <w:t xml:space="preserve"> the TDAG community</w:t>
      </w:r>
      <w:r w:rsidR="179F5BB3" w:rsidRPr="00215AF0">
        <w:rPr>
          <w:rFonts w:cstheme="minorHAnsi"/>
          <w:szCs w:val="24"/>
        </w:rPr>
        <w:t xml:space="preserve"> and recalled</w:t>
      </w:r>
      <w:r w:rsidR="7BF8E5E2" w:rsidRPr="00215AF0">
        <w:rPr>
          <w:rFonts w:cstheme="minorHAnsi"/>
          <w:szCs w:val="24"/>
        </w:rPr>
        <w:t xml:space="preserve"> the recent celebrations of the World Telecommunication and Information Society Day marking ITU’s 159th birthday. </w:t>
      </w:r>
      <w:r w:rsidR="74F7A977" w:rsidRPr="00215AF0">
        <w:rPr>
          <w:rFonts w:cstheme="minorHAnsi"/>
          <w:szCs w:val="24"/>
        </w:rPr>
        <w:t xml:space="preserve">The Deputy Secretary-General also recalled </w:t>
      </w:r>
      <w:r w:rsidR="7BF8E5E2" w:rsidRPr="00215AF0">
        <w:rPr>
          <w:rFonts w:cstheme="minorHAnsi"/>
          <w:szCs w:val="24"/>
        </w:rPr>
        <w:t xml:space="preserve">ITU’s mission to connect the world and build a better digital future for all, achieving universal and meaningful connectivity, and driving sustainable digital transformation. </w:t>
      </w:r>
      <w:r w:rsidR="74F7A977" w:rsidRPr="00215AF0">
        <w:rPr>
          <w:rFonts w:cstheme="minorHAnsi"/>
          <w:szCs w:val="24"/>
        </w:rPr>
        <w:t>He thanked</w:t>
      </w:r>
      <w:r w:rsidR="7BF8E5E2" w:rsidRPr="00215AF0">
        <w:rPr>
          <w:rFonts w:cstheme="minorHAnsi"/>
          <w:szCs w:val="24"/>
        </w:rPr>
        <w:t xml:space="preserve"> the BDT Director and his team for their dedication.</w:t>
      </w:r>
    </w:p>
    <w:p w14:paraId="0D327D3E" w14:textId="58503CAB" w:rsidR="00A83F81" w:rsidRPr="00215AF0" w:rsidRDefault="00A83F8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The Deputy Secretary-General highlighted ITU-led Partner2Connect Digital Coalition pledges to enhance digital connectivity in remote areas, aiming for $100 billion by 2026</w:t>
      </w:r>
      <w:r w:rsidR="00756A8E" w:rsidRPr="00215AF0">
        <w:rPr>
          <w:rFonts w:cstheme="minorHAnsi"/>
          <w:szCs w:val="24"/>
        </w:rPr>
        <w:t xml:space="preserve"> and </w:t>
      </w:r>
      <w:r w:rsidR="00B62BFA" w:rsidRPr="00215AF0">
        <w:rPr>
          <w:rFonts w:cstheme="minorHAnsi"/>
          <w:szCs w:val="24"/>
        </w:rPr>
        <w:t xml:space="preserve">noted that </w:t>
      </w:r>
      <w:r w:rsidRPr="00215AF0">
        <w:rPr>
          <w:rFonts w:cstheme="minorHAnsi"/>
          <w:szCs w:val="24"/>
        </w:rPr>
        <w:t xml:space="preserve">significant new pledges </w:t>
      </w:r>
      <w:r w:rsidR="00B62BFA" w:rsidRPr="00215AF0">
        <w:rPr>
          <w:rFonts w:cstheme="minorHAnsi"/>
          <w:szCs w:val="24"/>
        </w:rPr>
        <w:t xml:space="preserve">are expected </w:t>
      </w:r>
      <w:r w:rsidRPr="00215AF0">
        <w:rPr>
          <w:rFonts w:cstheme="minorHAnsi"/>
          <w:szCs w:val="24"/>
        </w:rPr>
        <w:t xml:space="preserve">at next week’s WSIS+20 High-Level Event in Geneva. The </w:t>
      </w:r>
      <w:r w:rsidRPr="00215AF0">
        <w:rPr>
          <w:rFonts w:cstheme="minorHAnsi"/>
          <w:szCs w:val="24"/>
        </w:rPr>
        <w:lastRenderedPageBreak/>
        <w:t xml:space="preserve">WSIS community’s dedication to inclusive digital development is crucial, especially ahead of the Summit of the Future in September, where the Global Digital Compact will reinvigorate international digital cooperation. </w:t>
      </w:r>
      <w:r w:rsidR="00B62BFA" w:rsidRPr="00215AF0">
        <w:rPr>
          <w:rFonts w:cstheme="minorHAnsi"/>
          <w:szCs w:val="24"/>
        </w:rPr>
        <w:t>He reiterated</w:t>
      </w:r>
      <w:r w:rsidR="00964DA0" w:rsidRPr="00215AF0">
        <w:rPr>
          <w:rFonts w:cstheme="minorHAnsi"/>
          <w:szCs w:val="24"/>
        </w:rPr>
        <w:t xml:space="preserve"> ITU’s </w:t>
      </w:r>
      <w:r w:rsidRPr="00215AF0">
        <w:rPr>
          <w:rFonts w:cstheme="minorHAnsi"/>
          <w:szCs w:val="24"/>
        </w:rPr>
        <w:t xml:space="preserve">support </w:t>
      </w:r>
      <w:r w:rsidR="00964DA0" w:rsidRPr="00215AF0">
        <w:rPr>
          <w:rFonts w:cstheme="minorHAnsi"/>
          <w:szCs w:val="24"/>
        </w:rPr>
        <w:t xml:space="preserve">in </w:t>
      </w:r>
      <w:r w:rsidRPr="00215AF0">
        <w:rPr>
          <w:rFonts w:cstheme="minorHAnsi"/>
          <w:szCs w:val="24"/>
        </w:rPr>
        <w:t>key UN processes, including conferences on Small Island Developing States and Landlocked Developing Countries, emphasizing digital technologies</w:t>
      </w:r>
      <w:r w:rsidR="00964DA0" w:rsidRPr="00215AF0">
        <w:rPr>
          <w:rFonts w:cstheme="minorHAnsi"/>
          <w:szCs w:val="24"/>
        </w:rPr>
        <w:t>’</w:t>
      </w:r>
      <w:r w:rsidRPr="00215AF0">
        <w:rPr>
          <w:rFonts w:cstheme="minorHAnsi"/>
          <w:szCs w:val="24"/>
        </w:rPr>
        <w:t xml:space="preserve"> transformative power for these regions.</w:t>
      </w:r>
    </w:p>
    <w:p w14:paraId="4C97975C" w14:textId="076F8BB3" w:rsidR="009E41C6" w:rsidRPr="00215AF0" w:rsidRDefault="0082125E"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The Deputy Secretary-General stressed </w:t>
      </w:r>
      <w:r w:rsidR="00A83F81" w:rsidRPr="00215AF0">
        <w:rPr>
          <w:rFonts w:cstheme="minorHAnsi"/>
          <w:szCs w:val="24"/>
        </w:rPr>
        <w:t>ITU’s development activities creat</w:t>
      </w:r>
      <w:r w:rsidRPr="00215AF0">
        <w:rPr>
          <w:rFonts w:cstheme="minorHAnsi"/>
          <w:szCs w:val="24"/>
        </w:rPr>
        <w:t>ing</w:t>
      </w:r>
      <w:r w:rsidR="00A83F81" w:rsidRPr="00215AF0">
        <w:rPr>
          <w:rFonts w:cstheme="minorHAnsi"/>
          <w:szCs w:val="24"/>
        </w:rPr>
        <w:t xml:space="preserve"> synergies with </w:t>
      </w:r>
      <w:r w:rsidRPr="00215AF0">
        <w:rPr>
          <w:rFonts w:cstheme="minorHAnsi"/>
          <w:szCs w:val="24"/>
        </w:rPr>
        <w:t xml:space="preserve">ITU’s </w:t>
      </w:r>
      <w:r w:rsidR="00A83F81" w:rsidRPr="00215AF0">
        <w:rPr>
          <w:rFonts w:cstheme="minorHAnsi"/>
          <w:szCs w:val="24"/>
        </w:rPr>
        <w:t xml:space="preserve">role as an international standards body, ensuring </w:t>
      </w:r>
      <w:r w:rsidR="00415989">
        <w:rPr>
          <w:rFonts w:cstheme="minorHAnsi"/>
          <w:szCs w:val="24"/>
        </w:rPr>
        <w:t xml:space="preserve">for example </w:t>
      </w:r>
      <w:r w:rsidR="00A83F81" w:rsidRPr="00215AF0">
        <w:rPr>
          <w:rFonts w:cstheme="minorHAnsi"/>
          <w:szCs w:val="24"/>
        </w:rPr>
        <w:t xml:space="preserve">digital solutions </w:t>
      </w:r>
      <w:r w:rsidR="00415989">
        <w:rPr>
          <w:rFonts w:cstheme="minorHAnsi"/>
          <w:szCs w:val="24"/>
        </w:rPr>
        <w:t xml:space="preserve">that </w:t>
      </w:r>
      <w:r w:rsidR="00A83F81" w:rsidRPr="00215AF0">
        <w:rPr>
          <w:rFonts w:cstheme="minorHAnsi"/>
          <w:szCs w:val="24"/>
        </w:rPr>
        <w:t xml:space="preserve">aid in overcoming the climate crisis. </w:t>
      </w:r>
    </w:p>
    <w:p w14:paraId="1F6AF705" w14:textId="4EBC17C6" w:rsidR="009E41C6" w:rsidRPr="00215AF0" w:rsidRDefault="00A83F8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Despite rising e-waste, </w:t>
      </w:r>
      <w:r w:rsidR="0082125E" w:rsidRPr="00215AF0">
        <w:rPr>
          <w:rFonts w:cstheme="minorHAnsi"/>
          <w:szCs w:val="24"/>
        </w:rPr>
        <w:t>ITU</w:t>
      </w:r>
      <w:r w:rsidRPr="00215AF0">
        <w:rPr>
          <w:rFonts w:cstheme="minorHAnsi"/>
          <w:szCs w:val="24"/>
        </w:rPr>
        <w:t xml:space="preserve"> strive</w:t>
      </w:r>
      <w:r w:rsidR="00415989">
        <w:rPr>
          <w:rFonts w:cstheme="minorHAnsi"/>
          <w:szCs w:val="24"/>
        </w:rPr>
        <w:t>s</w:t>
      </w:r>
      <w:r w:rsidRPr="00215AF0">
        <w:rPr>
          <w:rFonts w:cstheme="minorHAnsi"/>
          <w:szCs w:val="24"/>
        </w:rPr>
        <w:t xml:space="preserve"> for effective green digital action and improved material efficiency. Addressing digital divides is crucial as </w:t>
      </w:r>
      <w:r w:rsidR="0082125E" w:rsidRPr="00215AF0">
        <w:rPr>
          <w:rFonts w:cstheme="minorHAnsi"/>
          <w:szCs w:val="24"/>
        </w:rPr>
        <w:t xml:space="preserve">preparation of the </w:t>
      </w:r>
      <w:r w:rsidRPr="00215AF0">
        <w:rPr>
          <w:rFonts w:cstheme="minorHAnsi"/>
          <w:szCs w:val="24"/>
        </w:rPr>
        <w:t>2025 World Telecommunication Development Conference</w:t>
      </w:r>
      <w:r w:rsidR="0082125E" w:rsidRPr="00215AF0">
        <w:rPr>
          <w:rFonts w:cstheme="minorHAnsi"/>
          <w:szCs w:val="24"/>
        </w:rPr>
        <w:t xml:space="preserve"> is on-going</w:t>
      </w:r>
      <w:r w:rsidRPr="00215AF0">
        <w:rPr>
          <w:rFonts w:cstheme="minorHAnsi"/>
          <w:szCs w:val="24"/>
        </w:rPr>
        <w:t xml:space="preserve">. </w:t>
      </w:r>
    </w:p>
    <w:p w14:paraId="5F548C03" w14:textId="40936EC3" w:rsidR="009E41C6" w:rsidRPr="00215AF0" w:rsidRDefault="00A83F8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Strengthening </w:t>
      </w:r>
      <w:r w:rsidR="0082125E" w:rsidRPr="00215AF0">
        <w:rPr>
          <w:rFonts w:cstheme="minorHAnsi"/>
          <w:szCs w:val="24"/>
        </w:rPr>
        <w:t>ITU’s</w:t>
      </w:r>
      <w:r w:rsidRPr="00215AF0">
        <w:rPr>
          <w:rFonts w:cstheme="minorHAnsi"/>
          <w:szCs w:val="24"/>
        </w:rPr>
        <w:t xml:space="preserve"> engagement with member states and UN agencies, ITU </w:t>
      </w:r>
      <w:r w:rsidR="0082125E" w:rsidRPr="00215AF0">
        <w:rPr>
          <w:rFonts w:cstheme="minorHAnsi"/>
          <w:szCs w:val="24"/>
        </w:rPr>
        <w:t xml:space="preserve">will </w:t>
      </w:r>
      <w:r w:rsidRPr="00215AF0">
        <w:rPr>
          <w:rFonts w:cstheme="minorHAnsi"/>
          <w:szCs w:val="24"/>
        </w:rPr>
        <w:t xml:space="preserve">be transparent, efficient, forward-looking, </w:t>
      </w:r>
      <w:r w:rsidR="00415989">
        <w:rPr>
          <w:rFonts w:cstheme="minorHAnsi"/>
          <w:szCs w:val="24"/>
        </w:rPr>
        <w:t xml:space="preserve">and </w:t>
      </w:r>
      <w:r w:rsidRPr="00215AF0">
        <w:rPr>
          <w:rFonts w:cstheme="minorHAnsi"/>
          <w:szCs w:val="24"/>
        </w:rPr>
        <w:t xml:space="preserve">committed to gender equality. </w:t>
      </w:r>
    </w:p>
    <w:p w14:paraId="64FB7DB4" w14:textId="5970FED2" w:rsidR="00A83F81" w:rsidRPr="00215AF0" w:rsidRDefault="0082125E"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Finally, </w:t>
      </w:r>
      <w:r w:rsidR="00347539" w:rsidRPr="00215AF0">
        <w:rPr>
          <w:rFonts w:cstheme="minorHAnsi"/>
          <w:szCs w:val="24"/>
        </w:rPr>
        <w:t xml:space="preserve">Deputy Secretary-General Tomas </w:t>
      </w:r>
      <w:proofErr w:type="spellStart"/>
      <w:r w:rsidR="00347539" w:rsidRPr="00215AF0">
        <w:rPr>
          <w:rFonts w:cstheme="minorHAnsi"/>
          <w:szCs w:val="24"/>
        </w:rPr>
        <w:t>Lamanauskas</w:t>
      </w:r>
      <w:proofErr w:type="spellEnd"/>
      <w:r w:rsidRPr="00215AF0">
        <w:rPr>
          <w:rFonts w:cstheme="minorHAnsi"/>
          <w:szCs w:val="24"/>
        </w:rPr>
        <w:t xml:space="preserve"> wished the participants a successful TDAG, anticipating the results of their deliberations for the upcoming Council discussions.</w:t>
      </w:r>
    </w:p>
    <w:p w14:paraId="6DDD8CC8" w14:textId="77777777" w:rsidR="00860690" w:rsidRPr="00215AF0" w:rsidRDefault="00860690"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580C51">
        <w:rPr>
          <w:rFonts w:cstheme="minorHAnsi"/>
          <w:b/>
          <w:szCs w:val="24"/>
        </w:rPr>
        <w:t>Address</w:t>
      </w:r>
      <w:r w:rsidRPr="00215AF0">
        <w:rPr>
          <w:rFonts w:cstheme="minorHAnsi"/>
          <w:b/>
          <w:szCs w:val="24"/>
        </w:rPr>
        <w:t xml:space="preserve"> by the Director of the Telecommunication Development Bureau</w:t>
      </w:r>
    </w:p>
    <w:p w14:paraId="51EA7781" w14:textId="2F99D3D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91221C">
        <w:rPr>
          <w:rFonts w:cstheme="minorHAnsi"/>
          <w:szCs w:val="24"/>
        </w:rPr>
        <w:t>Dr.</w:t>
      </w:r>
      <w:proofErr w:type="spellEnd"/>
      <w:r w:rsidRPr="0091221C">
        <w:rPr>
          <w:rFonts w:cstheme="minorHAnsi"/>
          <w:szCs w:val="24"/>
        </w:rPr>
        <w:t xml:space="preserve"> Zavazava welcomed </w:t>
      </w:r>
      <w:r>
        <w:rPr>
          <w:rFonts w:cstheme="minorHAnsi"/>
          <w:szCs w:val="24"/>
        </w:rPr>
        <w:t xml:space="preserve">TDAG </w:t>
      </w:r>
      <w:r w:rsidR="00557B8F">
        <w:rPr>
          <w:rFonts w:cstheme="minorHAnsi"/>
          <w:szCs w:val="24"/>
        </w:rPr>
        <w:t>delegates</w:t>
      </w:r>
      <w:r w:rsidRPr="0091221C">
        <w:rPr>
          <w:rFonts w:cstheme="minorHAnsi"/>
          <w:szCs w:val="24"/>
        </w:rPr>
        <w:t xml:space="preserve">, including TDAG Chair Roxanne </w:t>
      </w:r>
      <w:proofErr w:type="spellStart"/>
      <w:r w:rsidRPr="0091221C">
        <w:rPr>
          <w:rFonts w:cstheme="minorHAnsi"/>
          <w:szCs w:val="24"/>
        </w:rPr>
        <w:t>McElvane</w:t>
      </w:r>
      <w:proofErr w:type="spellEnd"/>
      <w:r w:rsidRPr="0091221C">
        <w:rPr>
          <w:rFonts w:cstheme="minorHAnsi"/>
          <w:szCs w:val="24"/>
        </w:rPr>
        <w:t xml:space="preserve"> Webber, Vice Chairs, and other esteemed participants. He outlined the critical role of TDAG in reviewing the priorities, strategies, operations, and financial matters of the Telecommunication Development Sector (ITU-D), particularly in advising on the implementation of the Kigali Action Plan between World Telecommunication Development Conferences (WTDCs).</w:t>
      </w:r>
    </w:p>
    <w:p w14:paraId="2AF7801C" w14:textId="24125B4D" w:rsidR="0091221C" w:rsidRPr="0091221C" w:rsidRDefault="00D37BE3"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In his address </w:t>
      </w:r>
      <w:proofErr w:type="spellStart"/>
      <w:r w:rsidR="0091221C" w:rsidRPr="0091221C">
        <w:rPr>
          <w:rFonts w:cstheme="minorHAnsi"/>
          <w:szCs w:val="24"/>
        </w:rPr>
        <w:t>Dr.</w:t>
      </w:r>
      <w:proofErr w:type="spellEnd"/>
      <w:r w:rsidR="0091221C" w:rsidRPr="0091221C">
        <w:rPr>
          <w:rFonts w:cstheme="minorHAnsi"/>
          <w:szCs w:val="24"/>
        </w:rPr>
        <w:t xml:space="preserve"> Zavazava reported significant achievements since January 2023, including the mobilization of a record CHF 27.8 million, the implementation of 87 projects valued at CHF 106.4 million, and the unprecedented growth in ITU-D membership</w:t>
      </w:r>
      <w:r w:rsidR="00580C51">
        <w:rPr>
          <w:rFonts w:cstheme="minorHAnsi"/>
          <w:szCs w:val="24"/>
        </w:rPr>
        <w:t xml:space="preserve">, specifically </w:t>
      </w:r>
      <w:r w:rsidR="0091221C" w:rsidRPr="0091221C">
        <w:rPr>
          <w:rFonts w:cstheme="minorHAnsi"/>
          <w:szCs w:val="24"/>
        </w:rPr>
        <w:t>the addition of 63 new members, including academia, associates, and others.</w:t>
      </w:r>
    </w:p>
    <w:p w14:paraId="73FA6964" w14:textId="7777777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Efforts have been directed towards impactful areas such as e-waste management, broadband infrastructure, national emergency telecommunications plans, innovation, and capacity building in ICTs</w:t>
      </w:r>
      <w:r w:rsidRPr="00435A56">
        <w:rPr>
          <w:rFonts w:cstheme="minorHAnsi"/>
          <w:szCs w:val="24"/>
        </w:rPr>
        <w:t>. These efforts have led to breaking six Guinness World Records, thanks to support from various partners, including the UAE Cybersecurity Council.</w:t>
      </w:r>
    </w:p>
    <w:p w14:paraId="68AA1C82" w14:textId="66B04838"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91221C">
        <w:rPr>
          <w:rFonts w:cstheme="minorHAnsi"/>
          <w:szCs w:val="24"/>
        </w:rPr>
        <w:t>Dr.</w:t>
      </w:r>
      <w:proofErr w:type="spellEnd"/>
      <w:r w:rsidRPr="0091221C">
        <w:rPr>
          <w:rFonts w:cstheme="minorHAnsi"/>
          <w:szCs w:val="24"/>
        </w:rPr>
        <w:t xml:space="preserve"> Zavazava emphasized the publication of the ICT Development Index (IDI) after a six-year hiatus </w:t>
      </w:r>
      <w:r w:rsidRPr="00435A56">
        <w:rPr>
          <w:rFonts w:cstheme="minorHAnsi"/>
          <w:szCs w:val="24"/>
        </w:rPr>
        <w:t>and the initiation of measuring universal meaningful connectivity, with</w:t>
      </w:r>
      <w:r w:rsidRPr="0091221C">
        <w:rPr>
          <w:rFonts w:cstheme="minorHAnsi"/>
          <w:szCs w:val="24"/>
        </w:rPr>
        <w:t xml:space="preserve"> significant financial support from the European Union. The ITU Academy Digital Skills development project and Academy Training </w:t>
      </w:r>
      <w:r w:rsidR="00741CC8" w:rsidRPr="0091221C">
        <w:rPr>
          <w:rFonts w:cstheme="minorHAnsi"/>
          <w:szCs w:val="24"/>
        </w:rPr>
        <w:t>Centres</w:t>
      </w:r>
      <w:r w:rsidRPr="0091221C">
        <w:rPr>
          <w:rFonts w:cstheme="minorHAnsi"/>
          <w:szCs w:val="24"/>
        </w:rPr>
        <w:t xml:space="preserve"> initiative have also been instrumental in bridging the digital skills gap, supported by partners like NORAD and CISCO.</w:t>
      </w:r>
    </w:p>
    <w:p w14:paraId="611498BE" w14:textId="7777777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 xml:space="preserve">Looking ahead, </w:t>
      </w:r>
      <w:proofErr w:type="spellStart"/>
      <w:r w:rsidRPr="0091221C">
        <w:rPr>
          <w:rFonts w:cstheme="minorHAnsi"/>
          <w:szCs w:val="24"/>
        </w:rPr>
        <w:t>Dr.</w:t>
      </w:r>
      <w:proofErr w:type="spellEnd"/>
      <w:r w:rsidRPr="0091221C">
        <w:rPr>
          <w:rFonts w:cstheme="minorHAnsi"/>
          <w:szCs w:val="24"/>
        </w:rPr>
        <w:t xml:space="preserve"> Zavazava indicated that the focus would remain on accountable, responsive, efficient, transparent, and forward-looking implementation of projects and operational activities. Key upcoming events include the release of this year's IDI and Cybersecurity Index, the Global Symposium for Regulators in Uganda, the Global Digital Skills event in Bahrain, and the Global Innovation Forum in Malta. A Youth Summit is also planned, featuring training on emerging technologies.</w:t>
      </w:r>
    </w:p>
    <w:p w14:paraId="6E3491FA" w14:textId="7777777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 xml:space="preserve">For 2025, </w:t>
      </w:r>
      <w:proofErr w:type="spellStart"/>
      <w:r w:rsidRPr="0091221C">
        <w:rPr>
          <w:rFonts w:cstheme="minorHAnsi"/>
          <w:szCs w:val="24"/>
        </w:rPr>
        <w:t>Dr.</w:t>
      </w:r>
      <w:proofErr w:type="spellEnd"/>
      <w:r w:rsidRPr="0091221C">
        <w:rPr>
          <w:rFonts w:cstheme="minorHAnsi"/>
          <w:szCs w:val="24"/>
        </w:rPr>
        <w:t xml:space="preserve"> Zavazava outlined plans for regional preparatory meetings and the WTDC in November, with discussions ongoing regarding the host country. The TDAG aims to organize a celebratory youth event, pending agreement from the host country and TDAG-24.</w:t>
      </w:r>
    </w:p>
    <w:p w14:paraId="71D125AB" w14:textId="38893FBD"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lastRenderedPageBreak/>
        <w:t xml:space="preserve">In conclusion, </w:t>
      </w:r>
      <w:proofErr w:type="spellStart"/>
      <w:r w:rsidRPr="0091221C">
        <w:rPr>
          <w:rFonts w:cstheme="minorHAnsi"/>
          <w:szCs w:val="24"/>
        </w:rPr>
        <w:t>Dr.</w:t>
      </w:r>
      <w:proofErr w:type="spellEnd"/>
      <w:r w:rsidRPr="0091221C">
        <w:rPr>
          <w:rFonts w:cstheme="minorHAnsi"/>
          <w:szCs w:val="24"/>
        </w:rPr>
        <w:t xml:space="preserve"> Zavazava expressed gratitude to all member states for their contributions and emphasized the impact of TDAG's work on millions of lives globally. He acknowledged the support from various ITU sectors and the dedication of BDT staff. </w:t>
      </w:r>
      <w:proofErr w:type="spellStart"/>
      <w:r w:rsidRPr="0091221C">
        <w:rPr>
          <w:rFonts w:cstheme="minorHAnsi"/>
          <w:szCs w:val="24"/>
        </w:rPr>
        <w:t>Dr.</w:t>
      </w:r>
      <w:proofErr w:type="spellEnd"/>
      <w:r w:rsidRPr="0091221C">
        <w:rPr>
          <w:rFonts w:cstheme="minorHAnsi"/>
          <w:szCs w:val="24"/>
        </w:rPr>
        <w:t xml:space="preserve"> Zavazava also stressed the importance of work-life balance and the need to streamline resolutions to avoid duplication in future efforts.</w:t>
      </w:r>
    </w:p>
    <w:p w14:paraId="746A93D3" w14:textId="1875D975" w:rsidR="08EFD2FA" w:rsidRPr="00215AF0" w:rsidRDefault="623328A7"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215AF0">
        <w:rPr>
          <w:rFonts w:cstheme="minorHAnsi"/>
          <w:szCs w:val="24"/>
        </w:rPr>
        <w:t>Dr.</w:t>
      </w:r>
      <w:proofErr w:type="spellEnd"/>
      <w:r w:rsidRPr="00215AF0">
        <w:rPr>
          <w:rFonts w:cstheme="minorHAnsi"/>
          <w:szCs w:val="24"/>
        </w:rPr>
        <w:t xml:space="preserve"> Zavazava concluded by wishing all attendees a successful TDAG-24.</w:t>
      </w:r>
    </w:p>
    <w:p w14:paraId="63304024" w14:textId="5CA95179" w:rsidR="00757E02" w:rsidRDefault="00757E02"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The BDT Director’s </w:t>
      </w:r>
      <w:r w:rsidR="00FB29BB">
        <w:rPr>
          <w:rFonts w:cstheme="minorHAnsi"/>
          <w:szCs w:val="24"/>
        </w:rPr>
        <w:t xml:space="preserve">full </w:t>
      </w:r>
      <w:r>
        <w:rPr>
          <w:rFonts w:cstheme="minorHAnsi"/>
          <w:szCs w:val="24"/>
        </w:rPr>
        <w:t xml:space="preserve">opening remarks are available on the </w:t>
      </w:r>
      <w:hyperlink r:id="rId13" w:history="1">
        <w:r w:rsidRPr="00AC1C3E">
          <w:rPr>
            <w:rStyle w:val="Hyperlink"/>
            <w:rFonts w:cstheme="minorHAnsi"/>
            <w:szCs w:val="24"/>
          </w:rPr>
          <w:t>Director’s corner</w:t>
        </w:r>
      </w:hyperlink>
      <w:r>
        <w:rPr>
          <w:rFonts w:cstheme="minorHAnsi"/>
          <w:szCs w:val="24"/>
        </w:rPr>
        <w:t xml:space="preserve"> of the BDT </w:t>
      </w:r>
      <w:r w:rsidR="00FB29BB">
        <w:rPr>
          <w:rFonts w:cstheme="minorHAnsi"/>
          <w:szCs w:val="24"/>
        </w:rPr>
        <w:t>w</w:t>
      </w:r>
      <w:r>
        <w:rPr>
          <w:rFonts w:cstheme="minorHAnsi"/>
          <w:szCs w:val="24"/>
        </w:rPr>
        <w:t>ebsite.</w:t>
      </w:r>
    </w:p>
    <w:p w14:paraId="6072AD9F" w14:textId="2AD99895" w:rsidR="00AC16A6" w:rsidRPr="002A77DC" w:rsidRDefault="00AC16A6"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A77DC">
        <w:rPr>
          <w:rFonts w:cstheme="minorHAnsi"/>
          <w:b/>
          <w:szCs w:val="24"/>
        </w:rPr>
        <w:t>Opening remarks by the Chair of TDAG</w:t>
      </w:r>
    </w:p>
    <w:p w14:paraId="39CFA0EE" w14:textId="7C9968E8" w:rsidR="29FC4ED0" w:rsidRPr="00215AF0" w:rsidRDefault="00D73403"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eastAsiaTheme="minorEastAsia" w:cstheme="minorHAnsi"/>
          <w:szCs w:val="24"/>
        </w:rPr>
        <w:t xml:space="preserve">Ms. </w:t>
      </w:r>
      <w:r w:rsidR="29FC4ED0" w:rsidRPr="00215AF0">
        <w:rPr>
          <w:rFonts w:eastAsiaTheme="minorEastAsia" w:cstheme="minorHAnsi"/>
          <w:szCs w:val="24"/>
        </w:rPr>
        <w:t xml:space="preserve">Roxanne </w:t>
      </w:r>
      <w:proofErr w:type="spellStart"/>
      <w:r w:rsidR="29FC4ED0" w:rsidRPr="00215AF0">
        <w:rPr>
          <w:rFonts w:eastAsiaTheme="minorEastAsia" w:cstheme="minorHAnsi"/>
          <w:szCs w:val="24"/>
        </w:rPr>
        <w:t>McElvane</w:t>
      </w:r>
      <w:proofErr w:type="spellEnd"/>
      <w:r w:rsidR="29FC4ED0" w:rsidRPr="00215AF0">
        <w:rPr>
          <w:rFonts w:eastAsiaTheme="minorEastAsia" w:cstheme="minorHAnsi"/>
          <w:szCs w:val="24"/>
        </w:rPr>
        <w:t xml:space="preserve"> Webber</w:t>
      </w:r>
      <w:r w:rsidR="7DDC4A68" w:rsidRPr="00215AF0">
        <w:rPr>
          <w:rFonts w:eastAsiaTheme="minorEastAsia" w:cstheme="minorHAnsi"/>
          <w:szCs w:val="24"/>
        </w:rPr>
        <w:t xml:space="preserve"> </w:t>
      </w:r>
      <w:r w:rsidR="5000BAA9" w:rsidRPr="00215AF0">
        <w:rPr>
          <w:rFonts w:eastAsiaTheme="minorEastAsia" w:cstheme="minorHAnsi"/>
          <w:szCs w:val="24"/>
        </w:rPr>
        <w:t xml:space="preserve">warmly welcomed attendees, expressing gratitude for the thoughtful contributions received, with 49 items to address during the week. She indicated that key discussions would include the upcoming WTDC, the Global Youth Summit, and the implementation of the Kigali Action Plan and Operational Plan through 2028. </w:t>
      </w:r>
    </w:p>
    <w:p w14:paraId="4022C627" w14:textId="3975D986" w:rsidR="5000BAA9" w:rsidRPr="00215AF0" w:rsidRDefault="5000BAA9"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eastAsiaTheme="minorEastAsia" w:cstheme="minorHAnsi"/>
          <w:szCs w:val="24"/>
        </w:rPr>
        <w:t xml:space="preserve">The Chair conveyed appreciation for the support from her administration and the privilege of working with dedicated colleagues. The Chair emphasized the goal of endorsing the Operational Plan by week’s end, </w:t>
      </w:r>
      <w:r w:rsidR="00C61998">
        <w:rPr>
          <w:rFonts w:eastAsiaTheme="minorEastAsia" w:cstheme="minorHAnsi"/>
          <w:szCs w:val="24"/>
        </w:rPr>
        <w:t xml:space="preserve">in accord with outcomes from </w:t>
      </w:r>
      <w:r w:rsidRPr="00215AF0">
        <w:rPr>
          <w:rFonts w:eastAsiaTheme="minorEastAsia" w:cstheme="minorHAnsi"/>
          <w:szCs w:val="24"/>
        </w:rPr>
        <w:t xml:space="preserve">previous TDAGs. Encouraging open dialogue, the Chair highlighted the importance of understanding the BDT’s activities, regional engagements, and the progress of study groups. </w:t>
      </w:r>
    </w:p>
    <w:p w14:paraId="31E0A3F1" w14:textId="3930659C" w:rsidR="7DDC4A68" w:rsidRPr="00215AF0" w:rsidRDefault="7DDC4A68"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eastAsiaTheme="minorEastAsia" w:cstheme="minorHAnsi"/>
          <w:szCs w:val="24"/>
        </w:rPr>
        <w:t>Chair of TDAG</w:t>
      </w:r>
      <w:r w:rsidR="29FC4ED0" w:rsidRPr="00215AF0">
        <w:rPr>
          <w:rFonts w:cstheme="minorHAnsi"/>
          <w:szCs w:val="24"/>
        </w:rPr>
        <w:t xml:space="preserve"> thanked the ITU </w:t>
      </w:r>
      <w:r w:rsidR="7A3C880C" w:rsidRPr="00215AF0">
        <w:rPr>
          <w:rFonts w:cstheme="minorHAnsi"/>
          <w:szCs w:val="24"/>
        </w:rPr>
        <w:t xml:space="preserve">Deputy </w:t>
      </w:r>
      <w:r w:rsidR="29FC4ED0" w:rsidRPr="00215AF0">
        <w:rPr>
          <w:rFonts w:cstheme="minorHAnsi"/>
          <w:szCs w:val="24"/>
        </w:rPr>
        <w:t xml:space="preserve">Secretary-General, and the Director of the Telecommunication Development Bureau for outlining </w:t>
      </w:r>
      <w:r w:rsidR="6828A50B" w:rsidRPr="00215AF0">
        <w:rPr>
          <w:rFonts w:cstheme="minorHAnsi"/>
          <w:szCs w:val="24"/>
        </w:rPr>
        <w:t>ITU's</w:t>
      </w:r>
      <w:r w:rsidR="29FC4ED0" w:rsidRPr="00215AF0">
        <w:rPr>
          <w:rFonts w:cstheme="minorHAnsi"/>
          <w:szCs w:val="24"/>
        </w:rPr>
        <w:t xml:space="preserve"> vision and </w:t>
      </w:r>
      <w:r w:rsidR="00F31B67">
        <w:rPr>
          <w:rFonts w:cstheme="minorHAnsi"/>
          <w:szCs w:val="24"/>
        </w:rPr>
        <w:t xml:space="preserve">for </w:t>
      </w:r>
      <w:r w:rsidR="29FC4ED0" w:rsidRPr="00215AF0">
        <w:rPr>
          <w:rFonts w:cstheme="minorHAnsi"/>
          <w:szCs w:val="24"/>
        </w:rPr>
        <w:t xml:space="preserve">the impressive volume of work undertaken </w:t>
      </w:r>
      <w:r w:rsidR="207EA748" w:rsidRPr="00215AF0">
        <w:rPr>
          <w:rFonts w:cstheme="minorHAnsi"/>
          <w:szCs w:val="24"/>
        </w:rPr>
        <w:t>by</w:t>
      </w:r>
      <w:r w:rsidR="29FC4ED0" w:rsidRPr="00215AF0">
        <w:rPr>
          <w:rFonts w:cstheme="minorHAnsi"/>
          <w:szCs w:val="24"/>
        </w:rPr>
        <w:t xml:space="preserve"> the </w:t>
      </w:r>
      <w:r w:rsidR="207EA748" w:rsidRPr="00215AF0">
        <w:rPr>
          <w:rFonts w:cstheme="minorHAnsi"/>
          <w:szCs w:val="24"/>
        </w:rPr>
        <w:t>BDT</w:t>
      </w:r>
      <w:r w:rsidR="29FC4ED0" w:rsidRPr="00215AF0">
        <w:rPr>
          <w:rFonts w:cstheme="minorHAnsi"/>
          <w:szCs w:val="24"/>
        </w:rPr>
        <w:t>.</w:t>
      </w:r>
    </w:p>
    <w:p w14:paraId="625FF72A" w14:textId="7C49C797" w:rsidR="00AC16A6" w:rsidRDefault="29FC4ED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215AF0">
        <w:rPr>
          <w:rFonts w:eastAsiaTheme="minorEastAsia" w:cstheme="minorHAnsi"/>
          <w:szCs w:val="24"/>
        </w:rPr>
        <w:t xml:space="preserve">The </w:t>
      </w:r>
      <w:r w:rsidR="37C27A22" w:rsidRPr="00215AF0">
        <w:rPr>
          <w:rFonts w:eastAsiaTheme="minorEastAsia" w:cstheme="minorHAnsi"/>
          <w:szCs w:val="24"/>
        </w:rPr>
        <w:t xml:space="preserve">Chair also </w:t>
      </w:r>
      <w:r w:rsidRPr="00215AF0">
        <w:rPr>
          <w:rFonts w:eastAsiaTheme="minorEastAsia" w:cstheme="minorHAnsi"/>
          <w:szCs w:val="24"/>
        </w:rPr>
        <w:t xml:space="preserve">gave the floor to the </w:t>
      </w:r>
      <w:r w:rsidR="2317FC17" w:rsidRPr="00215AF0">
        <w:rPr>
          <w:rFonts w:eastAsiaTheme="minorEastAsia" w:cstheme="minorHAnsi"/>
          <w:szCs w:val="24"/>
        </w:rPr>
        <w:t>C</w:t>
      </w:r>
      <w:r w:rsidRPr="00215AF0">
        <w:rPr>
          <w:rFonts w:eastAsiaTheme="minorEastAsia" w:cstheme="minorHAnsi"/>
          <w:szCs w:val="24"/>
        </w:rPr>
        <w:t>hai</w:t>
      </w:r>
      <w:r w:rsidR="1B80F893" w:rsidRPr="00215AF0">
        <w:rPr>
          <w:rFonts w:eastAsiaTheme="minorEastAsia" w:cstheme="minorHAnsi"/>
          <w:szCs w:val="24"/>
        </w:rPr>
        <w:t>rs</w:t>
      </w:r>
      <w:r w:rsidRPr="00215AF0">
        <w:rPr>
          <w:rFonts w:eastAsiaTheme="minorEastAsia" w:cstheme="minorHAnsi"/>
          <w:szCs w:val="24"/>
        </w:rPr>
        <w:t xml:space="preserve"> of ITU-D study groups and the </w:t>
      </w:r>
      <w:bookmarkStart w:id="6" w:name="_Hlk140073019"/>
      <w:bookmarkStart w:id="7" w:name="_Hlk140073404"/>
      <w:r w:rsidRPr="00215AF0">
        <w:rPr>
          <w:rFonts w:eastAsiaTheme="minorEastAsia" w:cstheme="minorHAnsi"/>
          <w:szCs w:val="24"/>
        </w:rPr>
        <w:t>TDAG vice</w:t>
      </w:r>
      <w:r w:rsidR="5DFAB21D" w:rsidRPr="00215AF0">
        <w:rPr>
          <w:rFonts w:eastAsiaTheme="minorEastAsia" w:cstheme="minorHAnsi"/>
          <w:szCs w:val="24"/>
        </w:rPr>
        <w:t xml:space="preserve"> chairs representing</w:t>
      </w:r>
      <w:r w:rsidRPr="00215AF0">
        <w:rPr>
          <w:rFonts w:eastAsiaTheme="minorEastAsia" w:cstheme="minorHAnsi"/>
          <w:szCs w:val="24"/>
        </w:rPr>
        <w:t xml:space="preserve"> each of the regions</w:t>
      </w:r>
      <w:bookmarkEnd w:id="6"/>
      <w:r w:rsidRPr="00215AF0">
        <w:rPr>
          <w:rFonts w:eastAsiaTheme="minorEastAsia" w:cstheme="minorHAnsi"/>
          <w:szCs w:val="24"/>
        </w:rPr>
        <w:t xml:space="preserve"> </w:t>
      </w:r>
      <w:bookmarkEnd w:id="7"/>
      <w:r w:rsidRPr="00215AF0">
        <w:rPr>
          <w:rFonts w:eastAsiaTheme="minorEastAsia" w:cstheme="minorHAnsi"/>
          <w:szCs w:val="24"/>
        </w:rPr>
        <w:t xml:space="preserve">and the directors of each of the ITU regional offices in a round of introductions as part of the initiation of all participants for the new TDAG cycle. </w:t>
      </w:r>
    </w:p>
    <w:p w14:paraId="04633B02" w14:textId="215BC729" w:rsidR="00E024EC" w:rsidRDefault="00E22173"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Pr>
          <w:rFonts w:eastAsiaTheme="minorEastAsia" w:cstheme="minorHAnsi"/>
          <w:szCs w:val="24"/>
        </w:rPr>
        <w:t>The Chair requested that TDAG participants</w:t>
      </w:r>
      <w:r w:rsidR="008C0716">
        <w:rPr>
          <w:rFonts w:eastAsiaTheme="minorEastAsia" w:cstheme="minorHAnsi"/>
          <w:szCs w:val="24"/>
        </w:rPr>
        <w:t xml:space="preserve"> orient all deliber</w:t>
      </w:r>
      <w:r w:rsidR="0053719D">
        <w:rPr>
          <w:rFonts w:eastAsiaTheme="minorEastAsia" w:cstheme="minorHAnsi"/>
          <w:szCs w:val="24"/>
        </w:rPr>
        <w:t>a</w:t>
      </w:r>
      <w:r w:rsidR="008C0716">
        <w:rPr>
          <w:rFonts w:eastAsiaTheme="minorEastAsia" w:cstheme="minorHAnsi"/>
          <w:szCs w:val="24"/>
        </w:rPr>
        <w:t>tions</w:t>
      </w:r>
      <w:r w:rsidR="00D738F4">
        <w:rPr>
          <w:rFonts w:eastAsiaTheme="minorEastAsia" w:cstheme="minorHAnsi"/>
          <w:szCs w:val="24"/>
        </w:rPr>
        <w:t xml:space="preserve"> </w:t>
      </w:r>
      <w:r w:rsidR="00041293">
        <w:rPr>
          <w:rFonts w:eastAsiaTheme="minorEastAsia" w:cstheme="minorHAnsi"/>
          <w:szCs w:val="24"/>
        </w:rPr>
        <w:t xml:space="preserve">and decisions </w:t>
      </w:r>
      <w:r w:rsidR="00D738F4">
        <w:rPr>
          <w:rFonts w:eastAsiaTheme="minorEastAsia" w:cstheme="minorHAnsi"/>
          <w:szCs w:val="24"/>
        </w:rPr>
        <w:t>towards connecting the unconnected, especially in planning for a successful WTDC</w:t>
      </w:r>
      <w:r w:rsidR="00821B89">
        <w:rPr>
          <w:rFonts w:eastAsiaTheme="minorEastAsia" w:cstheme="minorHAnsi"/>
          <w:szCs w:val="24"/>
        </w:rPr>
        <w:t>-25</w:t>
      </w:r>
      <w:r w:rsidR="00D738F4">
        <w:rPr>
          <w:rFonts w:eastAsiaTheme="minorEastAsia" w:cstheme="minorHAnsi"/>
          <w:szCs w:val="24"/>
        </w:rPr>
        <w:t xml:space="preserve"> </w:t>
      </w:r>
      <w:r w:rsidR="00041293">
        <w:rPr>
          <w:rFonts w:eastAsiaTheme="minorEastAsia" w:cstheme="minorHAnsi"/>
          <w:szCs w:val="24"/>
        </w:rPr>
        <w:t xml:space="preserve">that will </w:t>
      </w:r>
      <w:r w:rsidR="00D738F4">
        <w:rPr>
          <w:rFonts w:eastAsiaTheme="minorEastAsia" w:cstheme="minorHAnsi"/>
          <w:szCs w:val="24"/>
        </w:rPr>
        <w:t>promote meaningful, affordable, safe</w:t>
      </w:r>
      <w:r w:rsidR="00041293">
        <w:rPr>
          <w:rFonts w:eastAsiaTheme="minorEastAsia" w:cstheme="minorHAnsi"/>
          <w:szCs w:val="24"/>
        </w:rPr>
        <w:t>,</w:t>
      </w:r>
      <w:r w:rsidR="00D738F4">
        <w:rPr>
          <w:rFonts w:eastAsiaTheme="minorEastAsia" w:cstheme="minorHAnsi"/>
          <w:szCs w:val="24"/>
        </w:rPr>
        <w:t xml:space="preserve"> and secure connectivity</w:t>
      </w:r>
      <w:r w:rsidR="006D3D52">
        <w:rPr>
          <w:rFonts w:eastAsiaTheme="minorEastAsia" w:cstheme="minorHAnsi"/>
          <w:szCs w:val="24"/>
        </w:rPr>
        <w:t>,</w:t>
      </w:r>
      <w:r w:rsidR="0051592A">
        <w:rPr>
          <w:rFonts w:eastAsiaTheme="minorEastAsia" w:cstheme="minorHAnsi"/>
          <w:szCs w:val="24"/>
        </w:rPr>
        <w:t xml:space="preserve"> and to keep these</w:t>
      </w:r>
      <w:r w:rsidR="00C732FA">
        <w:rPr>
          <w:rFonts w:eastAsiaTheme="minorEastAsia" w:cstheme="minorHAnsi"/>
          <w:szCs w:val="24"/>
        </w:rPr>
        <w:t xml:space="preserve"> objectives top of mind</w:t>
      </w:r>
      <w:r w:rsidR="00B86C96">
        <w:rPr>
          <w:rFonts w:eastAsiaTheme="minorEastAsia" w:cstheme="minorHAnsi"/>
          <w:szCs w:val="24"/>
        </w:rPr>
        <w:t xml:space="preserve"> regardless of any differences </w:t>
      </w:r>
      <w:r w:rsidR="003F2EE1">
        <w:rPr>
          <w:rFonts w:eastAsiaTheme="minorEastAsia" w:cstheme="minorHAnsi"/>
          <w:szCs w:val="24"/>
        </w:rPr>
        <w:t>held</w:t>
      </w:r>
      <w:r w:rsidR="00333CFE">
        <w:rPr>
          <w:rFonts w:eastAsiaTheme="minorEastAsia" w:cstheme="minorHAnsi"/>
          <w:szCs w:val="24"/>
        </w:rPr>
        <w:t>,</w:t>
      </w:r>
      <w:r w:rsidR="00B86C96">
        <w:rPr>
          <w:rFonts w:eastAsiaTheme="minorEastAsia" w:cstheme="minorHAnsi"/>
          <w:szCs w:val="24"/>
        </w:rPr>
        <w:t xml:space="preserve"> </w:t>
      </w:r>
      <w:r w:rsidR="005773BD">
        <w:rPr>
          <w:rFonts w:eastAsiaTheme="minorEastAsia" w:cstheme="minorHAnsi"/>
          <w:szCs w:val="24"/>
        </w:rPr>
        <w:t>since</w:t>
      </w:r>
      <w:r w:rsidR="00B86C96">
        <w:rPr>
          <w:rFonts w:eastAsiaTheme="minorEastAsia" w:cstheme="minorHAnsi"/>
          <w:szCs w:val="24"/>
        </w:rPr>
        <w:t xml:space="preserve"> all </w:t>
      </w:r>
      <w:r w:rsidR="00934A7E">
        <w:rPr>
          <w:rFonts w:eastAsiaTheme="minorEastAsia" w:cstheme="minorHAnsi"/>
          <w:szCs w:val="24"/>
        </w:rPr>
        <w:t xml:space="preserve">participants </w:t>
      </w:r>
      <w:r w:rsidR="00B86C96">
        <w:rPr>
          <w:rFonts w:eastAsiaTheme="minorEastAsia" w:cstheme="minorHAnsi"/>
          <w:szCs w:val="24"/>
        </w:rPr>
        <w:t xml:space="preserve">are working towards these </w:t>
      </w:r>
      <w:r w:rsidR="001426F7">
        <w:rPr>
          <w:rFonts w:eastAsiaTheme="minorEastAsia" w:cstheme="minorHAnsi"/>
          <w:szCs w:val="24"/>
        </w:rPr>
        <w:t xml:space="preserve">principal </w:t>
      </w:r>
      <w:r w:rsidR="00B86C96">
        <w:rPr>
          <w:rFonts w:eastAsiaTheme="minorEastAsia" w:cstheme="minorHAnsi"/>
          <w:szCs w:val="24"/>
        </w:rPr>
        <w:t>goals</w:t>
      </w:r>
      <w:r w:rsidR="00666A57">
        <w:rPr>
          <w:rFonts w:eastAsiaTheme="minorEastAsia" w:cstheme="minorHAnsi"/>
          <w:szCs w:val="24"/>
        </w:rPr>
        <w:t xml:space="preserve">. </w:t>
      </w:r>
    </w:p>
    <w:p w14:paraId="098DDDE4" w14:textId="1FCBFEA4" w:rsidR="002854AF" w:rsidRDefault="00F34BAC"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Pr>
          <w:rFonts w:eastAsiaTheme="minorEastAsia" w:cstheme="minorHAnsi"/>
          <w:szCs w:val="24"/>
        </w:rPr>
        <w:t xml:space="preserve">In considering the numerous </w:t>
      </w:r>
      <w:r w:rsidR="00BC01A3">
        <w:rPr>
          <w:rFonts w:eastAsiaTheme="minorEastAsia" w:cstheme="minorHAnsi"/>
          <w:szCs w:val="24"/>
        </w:rPr>
        <w:t xml:space="preserve">and highly detailed </w:t>
      </w:r>
      <w:r>
        <w:rPr>
          <w:rFonts w:eastAsiaTheme="minorEastAsia" w:cstheme="minorHAnsi"/>
          <w:szCs w:val="24"/>
        </w:rPr>
        <w:t>reporting documents</w:t>
      </w:r>
      <w:r w:rsidR="000B15F2">
        <w:rPr>
          <w:rFonts w:eastAsiaTheme="minorEastAsia" w:cstheme="minorHAnsi"/>
          <w:szCs w:val="24"/>
        </w:rPr>
        <w:t xml:space="preserve"> presented for consideration, s</w:t>
      </w:r>
      <w:r w:rsidR="00666A57">
        <w:rPr>
          <w:rFonts w:eastAsiaTheme="minorEastAsia" w:cstheme="minorHAnsi"/>
          <w:szCs w:val="24"/>
        </w:rPr>
        <w:t xml:space="preserve">he asked TDAG participants </w:t>
      </w:r>
      <w:r w:rsidR="003425F4">
        <w:rPr>
          <w:rFonts w:eastAsiaTheme="minorEastAsia" w:cstheme="minorHAnsi"/>
          <w:szCs w:val="24"/>
        </w:rPr>
        <w:t xml:space="preserve">to reflect on the fact that behind the </w:t>
      </w:r>
      <w:r w:rsidR="00B44037">
        <w:rPr>
          <w:rFonts w:eastAsiaTheme="minorEastAsia" w:cstheme="minorHAnsi"/>
          <w:szCs w:val="24"/>
        </w:rPr>
        <w:t xml:space="preserve">myriad </w:t>
      </w:r>
      <w:r w:rsidR="00BB7E89">
        <w:rPr>
          <w:rFonts w:eastAsiaTheme="minorEastAsia" w:cstheme="minorHAnsi"/>
          <w:szCs w:val="24"/>
        </w:rPr>
        <w:t>statistics an</w:t>
      </w:r>
      <w:r w:rsidR="00BD6428">
        <w:rPr>
          <w:rFonts w:eastAsiaTheme="minorEastAsia" w:cstheme="minorHAnsi"/>
          <w:szCs w:val="24"/>
        </w:rPr>
        <w:t xml:space="preserve">d </w:t>
      </w:r>
      <w:r w:rsidR="003425F4">
        <w:rPr>
          <w:rFonts w:eastAsiaTheme="minorEastAsia" w:cstheme="minorHAnsi"/>
          <w:szCs w:val="24"/>
        </w:rPr>
        <w:t xml:space="preserve">numbers </w:t>
      </w:r>
      <w:r w:rsidR="00BB7E89">
        <w:rPr>
          <w:rFonts w:eastAsiaTheme="minorEastAsia" w:cstheme="minorHAnsi"/>
          <w:szCs w:val="24"/>
        </w:rPr>
        <w:t>reported</w:t>
      </w:r>
      <w:r w:rsidR="00821B89">
        <w:rPr>
          <w:rFonts w:eastAsiaTheme="minorEastAsia" w:cstheme="minorHAnsi"/>
          <w:szCs w:val="24"/>
        </w:rPr>
        <w:t xml:space="preserve">, </w:t>
      </w:r>
      <w:r w:rsidR="00710FC2">
        <w:rPr>
          <w:rFonts w:eastAsiaTheme="minorEastAsia" w:cstheme="minorHAnsi"/>
          <w:szCs w:val="24"/>
        </w:rPr>
        <w:t xml:space="preserve">are </w:t>
      </w:r>
      <w:r w:rsidR="00710FC2" w:rsidRPr="00E55E33">
        <w:rPr>
          <w:rFonts w:eastAsiaTheme="minorEastAsia" w:cstheme="minorHAnsi"/>
          <w:i/>
          <w:szCs w:val="24"/>
        </w:rPr>
        <w:t>people</w:t>
      </w:r>
      <w:r w:rsidR="00FC4637">
        <w:rPr>
          <w:rFonts w:eastAsiaTheme="minorEastAsia" w:cstheme="minorHAnsi"/>
          <w:szCs w:val="24"/>
        </w:rPr>
        <w:t xml:space="preserve">, </w:t>
      </w:r>
      <w:r w:rsidR="002B34E7">
        <w:rPr>
          <w:rFonts w:eastAsiaTheme="minorEastAsia" w:cstheme="minorHAnsi"/>
          <w:szCs w:val="24"/>
        </w:rPr>
        <w:t xml:space="preserve">and </w:t>
      </w:r>
      <w:r w:rsidR="000A0CD7">
        <w:rPr>
          <w:rFonts w:eastAsiaTheme="minorEastAsia" w:cstheme="minorHAnsi"/>
          <w:szCs w:val="24"/>
        </w:rPr>
        <w:t>the activities undertaken by the BDT</w:t>
      </w:r>
      <w:r w:rsidR="00192F00">
        <w:rPr>
          <w:rFonts w:eastAsiaTheme="minorEastAsia" w:cstheme="minorHAnsi"/>
          <w:szCs w:val="24"/>
        </w:rPr>
        <w:t xml:space="preserve"> impact real individuals</w:t>
      </w:r>
      <w:r w:rsidR="00F81854">
        <w:rPr>
          <w:rFonts w:eastAsiaTheme="minorEastAsia" w:cstheme="minorHAnsi"/>
          <w:szCs w:val="24"/>
        </w:rPr>
        <w:t xml:space="preserve"> in the world</w:t>
      </w:r>
      <w:r w:rsidR="00192F00">
        <w:rPr>
          <w:rFonts w:eastAsiaTheme="minorEastAsia" w:cstheme="minorHAnsi"/>
          <w:szCs w:val="24"/>
        </w:rPr>
        <w:t>.</w:t>
      </w:r>
      <w:r w:rsidR="00B45BFF">
        <w:rPr>
          <w:rFonts w:eastAsiaTheme="minorEastAsia" w:cstheme="minorHAnsi"/>
          <w:szCs w:val="24"/>
        </w:rPr>
        <w:t xml:space="preserve"> </w:t>
      </w:r>
      <w:r w:rsidR="00BD6428">
        <w:rPr>
          <w:rFonts w:eastAsiaTheme="minorEastAsia" w:cstheme="minorHAnsi"/>
          <w:szCs w:val="24"/>
        </w:rPr>
        <w:t>She noted that t</w:t>
      </w:r>
      <w:r w:rsidR="00DD12A0">
        <w:rPr>
          <w:rFonts w:eastAsiaTheme="minorEastAsia" w:cstheme="minorHAnsi"/>
          <w:szCs w:val="24"/>
        </w:rPr>
        <w:t xml:space="preserve">he impressive </w:t>
      </w:r>
      <w:proofErr w:type="gramStart"/>
      <w:r w:rsidR="00DD12A0">
        <w:rPr>
          <w:rFonts w:eastAsiaTheme="minorEastAsia" w:cstheme="minorHAnsi"/>
          <w:szCs w:val="24"/>
        </w:rPr>
        <w:t>amount</w:t>
      </w:r>
      <w:proofErr w:type="gramEnd"/>
      <w:r w:rsidR="00DD12A0">
        <w:rPr>
          <w:rFonts w:eastAsiaTheme="minorEastAsia" w:cstheme="minorHAnsi"/>
          <w:szCs w:val="24"/>
        </w:rPr>
        <w:t xml:space="preserve"> of financial resources raised</w:t>
      </w:r>
      <w:r w:rsidR="007E07E5">
        <w:rPr>
          <w:rFonts w:eastAsiaTheme="minorEastAsia" w:cstheme="minorHAnsi"/>
          <w:szCs w:val="24"/>
        </w:rPr>
        <w:t xml:space="preserve"> reflect that others </w:t>
      </w:r>
      <w:r w:rsidR="00887A5E">
        <w:rPr>
          <w:rFonts w:eastAsiaTheme="minorEastAsia" w:cstheme="minorHAnsi"/>
          <w:szCs w:val="24"/>
        </w:rPr>
        <w:t xml:space="preserve">outside of ITU </w:t>
      </w:r>
      <w:r w:rsidR="007E07E5">
        <w:rPr>
          <w:rFonts w:eastAsiaTheme="minorEastAsia" w:cstheme="minorHAnsi"/>
          <w:szCs w:val="24"/>
        </w:rPr>
        <w:t>believe in the work that is performed by the BDT</w:t>
      </w:r>
      <w:r w:rsidR="00BF3C8D">
        <w:rPr>
          <w:rFonts w:eastAsiaTheme="minorEastAsia" w:cstheme="minorHAnsi"/>
          <w:szCs w:val="24"/>
        </w:rPr>
        <w:t xml:space="preserve">, and </w:t>
      </w:r>
      <w:r w:rsidR="00A8454A">
        <w:rPr>
          <w:rFonts w:eastAsiaTheme="minorEastAsia" w:cstheme="minorHAnsi"/>
          <w:szCs w:val="24"/>
        </w:rPr>
        <w:t xml:space="preserve">that TDAG </w:t>
      </w:r>
      <w:r w:rsidR="00BF3C8D">
        <w:rPr>
          <w:rFonts w:eastAsiaTheme="minorEastAsia" w:cstheme="minorHAnsi"/>
          <w:szCs w:val="24"/>
        </w:rPr>
        <w:t xml:space="preserve">can appreciate that </w:t>
      </w:r>
      <w:r w:rsidR="00F22B2E">
        <w:rPr>
          <w:rFonts w:eastAsiaTheme="minorEastAsia" w:cstheme="minorHAnsi"/>
          <w:szCs w:val="24"/>
        </w:rPr>
        <w:t>important a</w:t>
      </w:r>
      <w:r w:rsidR="00BE1531">
        <w:rPr>
          <w:rFonts w:eastAsiaTheme="minorEastAsia" w:cstheme="minorHAnsi"/>
          <w:szCs w:val="24"/>
        </w:rPr>
        <w:t xml:space="preserve">nd meaningful </w:t>
      </w:r>
      <w:r w:rsidR="00BF3C8D">
        <w:rPr>
          <w:rFonts w:eastAsiaTheme="minorEastAsia" w:cstheme="minorHAnsi"/>
          <w:szCs w:val="24"/>
        </w:rPr>
        <w:t xml:space="preserve">activities </w:t>
      </w:r>
      <w:r w:rsidR="00BE1531">
        <w:rPr>
          <w:rFonts w:eastAsiaTheme="minorEastAsia" w:cstheme="minorHAnsi"/>
          <w:szCs w:val="24"/>
        </w:rPr>
        <w:t xml:space="preserve">that impact the world for good </w:t>
      </w:r>
      <w:r w:rsidR="00BF3C8D">
        <w:rPr>
          <w:rFonts w:eastAsiaTheme="minorEastAsia" w:cstheme="minorHAnsi"/>
          <w:szCs w:val="24"/>
        </w:rPr>
        <w:t xml:space="preserve">are </w:t>
      </w:r>
      <w:r w:rsidR="00BE1531">
        <w:rPr>
          <w:rFonts w:eastAsiaTheme="minorEastAsia" w:cstheme="minorHAnsi"/>
          <w:szCs w:val="24"/>
        </w:rPr>
        <w:t xml:space="preserve">being </w:t>
      </w:r>
      <w:r w:rsidR="00BF3C8D">
        <w:rPr>
          <w:rFonts w:eastAsiaTheme="minorEastAsia" w:cstheme="minorHAnsi"/>
          <w:szCs w:val="24"/>
        </w:rPr>
        <w:t>conducted on behalf of membership.</w:t>
      </w:r>
      <w:r w:rsidR="00B45BFF">
        <w:rPr>
          <w:rFonts w:eastAsiaTheme="minorEastAsia" w:cstheme="minorHAnsi"/>
          <w:szCs w:val="24"/>
        </w:rPr>
        <w:t xml:space="preserve"> </w:t>
      </w:r>
      <w:r w:rsidR="0090360E">
        <w:rPr>
          <w:rFonts w:eastAsiaTheme="minorEastAsia" w:cstheme="minorHAnsi"/>
          <w:szCs w:val="24"/>
        </w:rPr>
        <w:t>TDAG, she hoped, wou</w:t>
      </w:r>
      <w:r w:rsidR="00363AC0">
        <w:rPr>
          <w:rFonts w:eastAsiaTheme="minorEastAsia" w:cstheme="minorHAnsi"/>
          <w:szCs w:val="24"/>
        </w:rPr>
        <w:t>l</w:t>
      </w:r>
      <w:r w:rsidR="0090360E">
        <w:rPr>
          <w:rFonts w:eastAsiaTheme="minorEastAsia" w:cstheme="minorHAnsi"/>
          <w:szCs w:val="24"/>
        </w:rPr>
        <w:t xml:space="preserve">d help ensure that BDT activities </w:t>
      </w:r>
      <w:r w:rsidR="00F0789A">
        <w:rPr>
          <w:rFonts w:eastAsiaTheme="minorEastAsia" w:cstheme="minorHAnsi"/>
          <w:szCs w:val="24"/>
        </w:rPr>
        <w:t xml:space="preserve">are carried out as efficiently as possible, with as much consultation as </w:t>
      </w:r>
      <w:r w:rsidR="009E78FD">
        <w:rPr>
          <w:rFonts w:eastAsiaTheme="minorEastAsia" w:cstheme="minorHAnsi"/>
          <w:szCs w:val="24"/>
        </w:rPr>
        <w:t>was</w:t>
      </w:r>
      <w:r w:rsidR="0023066C">
        <w:rPr>
          <w:rFonts w:eastAsiaTheme="minorEastAsia" w:cstheme="minorHAnsi"/>
          <w:szCs w:val="24"/>
        </w:rPr>
        <w:t xml:space="preserve"> </w:t>
      </w:r>
      <w:r w:rsidR="00363AC0">
        <w:rPr>
          <w:rFonts w:eastAsiaTheme="minorEastAsia" w:cstheme="minorHAnsi"/>
          <w:szCs w:val="24"/>
        </w:rPr>
        <w:t>useful</w:t>
      </w:r>
      <w:r w:rsidR="002F6829">
        <w:rPr>
          <w:rFonts w:eastAsiaTheme="minorEastAsia" w:cstheme="minorHAnsi"/>
          <w:szCs w:val="24"/>
        </w:rPr>
        <w:t xml:space="preserve">. </w:t>
      </w:r>
    </w:p>
    <w:p w14:paraId="355B181D" w14:textId="3BDC4C80" w:rsidR="008B1430" w:rsidRPr="00215AF0" w:rsidRDefault="00192F0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Pr>
          <w:rFonts w:eastAsiaTheme="minorEastAsia" w:cstheme="minorHAnsi"/>
          <w:szCs w:val="24"/>
        </w:rPr>
        <w:t xml:space="preserve">The Chair encouraged all participants to </w:t>
      </w:r>
      <w:r w:rsidR="00291E2C">
        <w:rPr>
          <w:rFonts w:eastAsiaTheme="minorEastAsia" w:cstheme="minorHAnsi"/>
          <w:szCs w:val="24"/>
        </w:rPr>
        <w:t>acquaint themselves with the Regional Directors and Department Heads</w:t>
      </w:r>
      <w:r w:rsidR="004F6BB0">
        <w:rPr>
          <w:rFonts w:eastAsiaTheme="minorEastAsia" w:cstheme="minorHAnsi"/>
          <w:szCs w:val="24"/>
        </w:rPr>
        <w:t xml:space="preserve"> present from the field</w:t>
      </w:r>
      <w:r w:rsidR="00946C19">
        <w:rPr>
          <w:rFonts w:eastAsiaTheme="minorEastAsia" w:cstheme="minorHAnsi"/>
          <w:szCs w:val="24"/>
        </w:rPr>
        <w:t>,</w:t>
      </w:r>
      <w:r w:rsidR="004F6BB0">
        <w:rPr>
          <w:rFonts w:eastAsiaTheme="minorEastAsia" w:cstheme="minorHAnsi"/>
          <w:szCs w:val="24"/>
        </w:rPr>
        <w:t xml:space="preserve"> </w:t>
      </w:r>
      <w:r w:rsidR="002C64DF">
        <w:rPr>
          <w:rFonts w:eastAsiaTheme="minorEastAsia" w:cstheme="minorHAnsi"/>
          <w:szCs w:val="24"/>
        </w:rPr>
        <w:t>and with other TDAG participants from around the globe</w:t>
      </w:r>
      <w:r w:rsidR="0069732C">
        <w:rPr>
          <w:rFonts w:eastAsiaTheme="minorEastAsia" w:cstheme="minorHAnsi"/>
          <w:szCs w:val="24"/>
        </w:rPr>
        <w:t>, to</w:t>
      </w:r>
      <w:r w:rsidR="0023066C">
        <w:rPr>
          <w:rFonts w:eastAsiaTheme="minorEastAsia" w:cstheme="minorHAnsi"/>
          <w:szCs w:val="24"/>
        </w:rPr>
        <w:t xml:space="preserve"> take advantage </w:t>
      </w:r>
      <w:r w:rsidR="0043444F">
        <w:rPr>
          <w:rFonts w:eastAsiaTheme="minorEastAsia" w:cstheme="minorHAnsi"/>
          <w:szCs w:val="24"/>
        </w:rPr>
        <w:t xml:space="preserve">of </w:t>
      </w:r>
      <w:r w:rsidR="00515E17">
        <w:rPr>
          <w:rFonts w:eastAsiaTheme="minorEastAsia" w:cstheme="minorHAnsi"/>
          <w:szCs w:val="24"/>
        </w:rPr>
        <w:t xml:space="preserve">a convenient opportunity </w:t>
      </w:r>
      <w:r w:rsidR="0069732C">
        <w:rPr>
          <w:rFonts w:eastAsiaTheme="minorEastAsia" w:cstheme="minorHAnsi"/>
          <w:szCs w:val="24"/>
        </w:rPr>
        <w:t>presented by t</w:t>
      </w:r>
      <w:r w:rsidR="00946C19">
        <w:rPr>
          <w:rFonts w:eastAsiaTheme="minorEastAsia" w:cstheme="minorHAnsi"/>
          <w:szCs w:val="24"/>
        </w:rPr>
        <w:t>h</w:t>
      </w:r>
      <w:r w:rsidR="00370222">
        <w:rPr>
          <w:rFonts w:eastAsiaTheme="minorEastAsia" w:cstheme="minorHAnsi"/>
          <w:szCs w:val="24"/>
        </w:rPr>
        <w:t>e</w:t>
      </w:r>
      <w:r w:rsidR="00946C19">
        <w:rPr>
          <w:rFonts w:eastAsiaTheme="minorEastAsia" w:cstheme="minorHAnsi"/>
          <w:szCs w:val="24"/>
        </w:rPr>
        <w:t xml:space="preserve"> annual</w:t>
      </w:r>
      <w:r w:rsidR="00370222">
        <w:rPr>
          <w:rFonts w:eastAsiaTheme="minorEastAsia" w:cstheme="minorHAnsi"/>
          <w:szCs w:val="24"/>
        </w:rPr>
        <w:t xml:space="preserve"> TDAG</w:t>
      </w:r>
      <w:r w:rsidR="0069732C">
        <w:rPr>
          <w:rFonts w:eastAsiaTheme="minorEastAsia" w:cstheme="minorHAnsi"/>
          <w:szCs w:val="24"/>
        </w:rPr>
        <w:t xml:space="preserve"> meeting </w:t>
      </w:r>
      <w:r w:rsidR="00515E17">
        <w:rPr>
          <w:rFonts w:eastAsiaTheme="minorEastAsia" w:cstheme="minorHAnsi"/>
          <w:szCs w:val="24"/>
        </w:rPr>
        <w:t>to engage</w:t>
      </w:r>
      <w:r w:rsidR="001B6C66">
        <w:rPr>
          <w:rFonts w:eastAsiaTheme="minorEastAsia" w:cstheme="minorHAnsi"/>
          <w:szCs w:val="24"/>
        </w:rPr>
        <w:t xml:space="preserve"> with </w:t>
      </w:r>
      <w:r w:rsidR="001A73FA">
        <w:rPr>
          <w:rFonts w:eastAsiaTheme="minorEastAsia" w:cstheme="minorHAnsi"/>
          <w:szCs w:val="24"/>
        </w:rPr>
        <w:t>one another.</w:t>
      </w:r>
    </w:p>
    <w:p w14:paraId="1699EDBD" w14:textId="33489182" w:rsidR="00AC16A6" w:rsidRPr="00215AF0" w:rsidRDefault="29FC4ED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215AF0">
        <w:rPr>
          <w:rFonts w:eastAsiaTheme="minorEastAsia" w:cstheme="minorHAnsi"/>
          <w:szCs w:val="24"/>
        </w:rPr>
        <w:t xml:space="preserve">The chair outlined the role of TDAG to advise the BDT Director, to review priorities, programmes, operation, financial matters, and strategies for the Development Sector, to guide the work of ITU-D study groups and coordinate with the other ITU Sectors, and the obligation to report to the WTDC and noted the strong work ethic and experience of this outstanding TDAG and ITU-D team that will help ITU-D to move forward and implement BDT4impact. </w:t>
      </w:r>
    </w:p>
    <w:p w14:paraId="2A421938" w14:textId="6C5B7B2B" w:rsidR="00AC16A6" w:rsidRPr="00215AF0" w:rsidRDefault="29FC4ED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215AF0">
        <w:rPr>
          <w:rFonts w:eastAsiaTheme="minorEastAsia" w:cstheme="minorHAnsi"/>
          <w:szCs w:val="24"/>
        </w:rPr>
        <w:lastRenderedPageBreak/>
        <w:t>In recounting the expectations for the TDAG meeting and its outcomes as determined by relevant resolutions, the chair</w:t>
      </w:r>
      <w:r w:rsidR="3C654362" w:rsidRPr="00215AF0">
        <w:rPr>
          <w:rFonts w:eastAsiaTheme="minorEastAsia" w:cstheme="minorHAnsi"/>
          <w:szCs w:val="24"/>
        </w:rPr>
        <w:t xml:space="preserve"> </w:t>
      </w:r>
      <w:r w:rsidRPr="00215AF0">
        <w:rPr>
          <w:rFonts w:eastAsiaTheme="minorEastAsia" w:cstheme="minorHAnsi"/>
          <w:szCs w:val="24"/>
        </w:rPr>
        <w:t xml:space="preserve">reminded the TDAG participants that the next WTDC is expected to take place in roughly </w:t>
      </w:r>
      <w:r w:rsidR="759B8660" w:rsidRPr="00215AF0">
        <w:rPr>
          <w:rFonts w:eastAsiaTheme="minorEastAsia" w:cstheme="minorHAnsi"/>
          <w:szCs w:val="24"/>
        </w:rPr>
        <w:t xml:space="preserve">one </w:t>
      </w:r>
      <w:r w:rsidRPr="00215AF0">
        <w:rPr>
          <w:rFonts w:eastAsiaTheme="minorEastAsia" w:cstheme="minorHAnsi"/>
          <w:szCs w:val="24"/>
        </w:rPr>
        <w:t>and a half years and that advice, decisions, and activities would need to be considered in that context and timeframe.</w:t>
      </w:r>
    </w:p>
    <w:p w14:paraId="2C584524" w14:textId="1997B711" w:rsidR="00BA0B86" w:rsidRPr="00215AF0" w:rsidRDefault="00BA0B86"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15AF0">
        <w:rPr>
          <w:rFonts w:cstheme="minorHAnsi"/>
          <w:b/>
          <w:szCs w:val="24"/>
        </w:rPr>
        <w:t>Adoption of the agenda and Time Management Plan</w:t>
      </w:r>
    </w:p>
    <w:p w14:paraId="0B712373" w14:textId="77777777" w:rsidR="00961F19" w:rsidRPr="007A0924" w:rsidRDefault="007E0EF6" w:rsidP="00B45BFF">
      <w:pPr>
        <w:keepNext/>
        <w:tabs>
          <w:tab w:val="clear" w:pos="794"/>
          <w:tab w:val="clear" w:pos="1191"/>
          <w:tab w:val="clear" w:pos="1588"/>
          <w:tab w:val="clear" w:pos="1985"/>
          <w:tab w:val="left" w:pos="567"/>
          <w:tab w:val="left" w:pos="1134"/>
          <w:tab w:val="left" w:pos="1701"/>
          <w:tab w:val="left" w:pos="2268"/>
        </w:tabs>
        <w:spacing w:after="120"/>
        <w:rPr>
          <w:rStyle w:val="Hyperlink"/>
          <w:rFonts w:cstheme="minorHAnsi"/>
          <w:b/>
          <w:color w:val="auto"/>
          <w:szCs w:val="24"/>
          <w:u w:val="none"/>
          <w:lang w:val="en-US"/>
        </w:rPr>
      </w:pPr>
      <w:r w:rsidRPr="007A0924">
        <w:rPr>
          <w:rFonts w:cstheme="minorHAnsi"/>
          <w:b/>
          <w:szCs w:val="24"/>
          <w:lang w:val="en-US"/>
        </w:rPr>
        <w:t xml:space="preserve">Document </w:t>
      </w:r>
      <w:hyperlink r:id="rId14" w:history="1">
        <w:r w:rsidRPr="00017C2F">
          <w:rPr>
            <w:rStyle w:val="Hyperlink"/>
            <w:rFonts w:cstheme="minorHAnsi"/>
            <w:b/>
            <w:szCs w:val="24"/>
            <w:lang w:val="en-US"/>
          </w:rPr>
          <w:t>1</w:t>
        </w:r>
        <w:r w:rsidR="003F75D6" w:rsidRPr="00017C2F">
          <w:rPr>
            <w:rStyle w:val="Hyperlink"/>
            <w:rFonts w:cstheme="minorHAnsi"/>
            <w:b/>
            <w:szCs w:val="24"/>
            <w:lang w:val="en-US"/>
          </w:rPr>
          <w:t>(Rev.1)</w:t>
        </w:r>
      </w:hyperlink>
      <w:r w:rsidR="00024F8A" w:rsidRPr="00017C2F">
        <w:rPr>
          <w:rStyle w:val="Hyperlink"/>
          <w:rFonts w:cstheme="minorHAnsi"/>
          <w:b/>
          <w:color w:val="auto"/>
          <w:szCs w:val="24"/>
          <w:u w:val="none"/>
          <w:lang w:val="en-US"/>
        </w:rPr>
        <w:t xml:space="preserve"> (Director, BDT)</w:t>
      </w:r>
      <w:r w:rsidR="001C22CF" w:rsidRPr="007A0924">
        <w:rPr>
          <w:rStyle w:val="Hyperlink"/>
          <w:rFonts w:cstheme="minorHAnsi"/>
          <w:b/>
          <w:color w:val="auto"/>
          <w:szCs w:val="24"/>
          <w:u w:val="none"/>
          <w:lang w:val="en-US"/>
        </w:rPr>
        <w:t xml:space="preserve"> - </w:t>
      </w:r>
      <w:r w:rsidR="00961F19" w:rsidRPr="007A0924">
        <w:rPr>
          <w:rStyle w:val="Hyperlink"/>
          <w:rFonts w:cstheme="minorHAnsi"/>
          <w:b/>
          <w:color w:val="auto"/>
          <w:szCs w:val="24"/>
          <w:u w:val="none"/>
          <w:lang w:val="en-US"/>
        </w:rPr>
        <w:t>Draft agenda</w:t>
      </w:r>
    </w:p>
    <w:p w14:paraId="15718C2F" w14:textId="7DE2604A" w:rsidR="00961F19" w:rsidRPr="007A0924" w:rsidRDefault="00A81273" w:rsidP="00B45BFF">
      <w:pPr>
        <w:keepNext/>
        <w:tabs>
          <w:tab w:val="clear" w:pos="794"/>
          <w:tab w:val="clear" w:pos="1191"/>
          <w:tab w:val="clear" w:pos="1588"/>
          <w:tab w:val="clear" w:pos="1985"/>
          <w:tab w:val="left" w:pos="567"/>
          <w:tab w:val="left" w:pos="1134"/>
          <w:tab w:val="left" w:pos="1701"/>
          <w:tab w:val="left" w:pos="2268"/>
        </w:tabs>
        <w:spacing w:after="120"/>
        <w:rPr>
          <w:rStyle w:val="Hyperlink"/>
          <w:rFonts w:cstheme="minorHAnsi"/>
          <w:b/>
          <w:color w:val="auto"/>
          <w:szCs w:val="24"/>
          <w:u w:val="none"/>
          <w:lang w:val="en-US"/>
        </w:rPr>
      </w:pPr>
      <w:r w:rsidRPr="00017C2F">
        <w:rPr>
          <w:rFonts w:cstheme="minorHAnsi"/>
          <w:b/>
          <w:szCs w:val="24"/>
          <w:lang w:val="en-US"/>
        </w:rPr>
        <w:t xml:space="preserve">Document </w:t>
      </w:r>
      <w:hyperlink r:id="rId15" w:history="1">
        <w:r w:rsidR="00964BB7" w:rsidRPr="00017C2F">
          <w:rPr>
            <w:rStyle w:val="Hyperlink"/>
            <w:rFonts w:cstheme="minorHAnsi"/>
            <w:b/>
            <w:szCs w:val="24"/>
            <w:lang w:val="en-US"/>
          </w:rPr>
          <w:t>DT/</w:t>
        </w:r>
        <w:r w:rsidR="004623FF" w:rsidRPr="00017C2F">
          <w:rPr>
            <w:rStyle w:val="Hyperlink"/>
            <w:rFonts w:cstheme="minorHAnsi"/>
            <w:b/>
            <w:szCs w:val="24"/>
            <w:lang w:val="en-US"/>
          </w:rPr>
          <w:t>1(Rev.</w:t>
        </w:r>
        <w:r w:rsidR="00EF124B">
          <w:rPr>
            <w:rStyle w:val="Hyperlink"/>
            <w:rFonts w:cstheme="minorHAnsi"/>
            <w:b/>
            <w:szCs w:val="24"/>
            <w:lang w:val="en-US"/>
          </w:rPr>
          <w:t>1-6</w:t>
        </w:r>
        <w:r w:rsidR="004623FF" w:rsidRPr="00017C2F">
          <w:rPr>
            <w:rStyle w:val="Hyperlink"/>
            <w:rFonts w:cstheme="minorHAnsi"/>
            <w:b/>
            <w:szCs w:val="24"/>
            <w:lang w:val="en-US"/>
          </w:rPr>
          <w:t>)</w:t>
        </w:r>
      </w:hyperlink>
      <w:r w:rsidR="00024F8A" w:rsidRPr="00017C2F">
        <w:rPr>
          <w:rStyle w:val="Hyperlink"/>
          <w:rFonts w:cstheme="minorHAnsi"/>
          <w:b/>
          <w:color w:val="auto"/>
          <w:szCs w:val="24"/>
          <w:u w:val="none"/>
          <w:lang w:val="en-US"/>
        </w:rPr>
        <w:t xml:space="preserve"> (Director, BDT)</w:t>
      </w:r>
      <w:r w:rsidR="00961F19" w:rsidRPr="007A0924">
        <w:rPr>
          <w:rStyle w:val="Hyperlink"/>
          <w:rFonts w:cstheme="minorHAnsi"/>
          <w:b/>
          <w:color w:val="auto"/>
          <w:szCs w:val="24"/>
          <w:u w:val="none"/>
          <w:lang w:val="en-US"/>
        </w:rPr>
        <w:t xml:space="preserve"> - Time Management Plan</w:t>
      </w:r>
    </w:p>
    <w:p w14:paraId="4C6EF393" w14:textId="19D0605E" w:rsidR="00961F19" w:rsidRPr="00017C2F" w:rsidRDefault="006C29B6" w:rsidP="00B45BFF">
      <w:pPr>
        <w:keepNext/>
        <w:tabs>
          <w:tab w:val="clear" w:pos="794"/>
          <w:tab w:val="clear" w:pos="1191"/>
          <w:tab w:val="clear" w:pos="1588"/>
          <w:tab w:val="clear" w:pos="1985"/>
          <w:tab w:val="left" w:pos="567"/>
          <w:tab w:val="left" w:pos="1134"/>
          <w:tab w:val="left" w:pos="1701"/>
          <w:tab w:val="left" w:pos="2268"/>
        </w:tabs>
        <w:spacing w:after="120"/>
        <w:rPr>
          <w:rFonts w:cstheme="minorHAnsi"/>
          <w:b/>
          <w:szCs w:val="24"/>
          <w:lang w:val="en-US"/>
        </w:rPr>
      </w:pPr>
      <w:r w:rsidRPr="007A0924">
        <w:rPr>
          <w:rFonts w:cstheme="minorHAnsi"/>
          <w:b/>
          <w:szCs w:val="24"/>
          <w:lang w:val="en-US"/>
        </w:rPr>
        <w:t xml:space="preserve">Document </w:t>
      </w:r>
      <w:hyperlink r:id="rId16" w:history="1">
        <w:r w:rsidRPr="007A0924">
          <w:rPr>
            <w:rStyle w:val="Hyperlink"/>
            <w:rFonts w:cstheme="minorHAnsi"/>
            <w:b/>
            <w:szCs w:val="24"/>
            <w:lang w:val="en-US"/>
          </w:rPr>
          <w:t>DT/</w:t>
        </w:r>
        <w:r w:rsidR="00EF124B">
          <w:rPr>
            <w:rStyle w:val="Hyperlink"/>
            <w:rFonts w:cstheme="minorHAnsi"/>
            <w:b/>
            <w:szCs w:val="24"/>
            <w:lang w:val="en-US"/>
          </w:rPr>
          <w:t>2</w:t>
        </w:r>
      </w:hyperlink>
      <w:r w:rsidR="00024F8A" w:rsidRPr="007A0924">
        <w:rPr>
          <w:rStyle w:val="Hyperlink"/>
          <w:rFonts w:cstheme="minorHAnsi"/>
          <w:b/>
          <w:color w:val="auto"/>
          <w:szCs w:val="24"/>
          <w:u w:val="none"/>
          <w:lang w:val="en-US"/>
        </w:rPr>
        <w:t xml:space="preserve"> (Director, BDT)</w:t>
      </w:r>
      <w:r w:rsidR="00961F19" w:rsidRPr="007A0924">
        <w:rPr>
          <w:rStyle w:val="Hyperlink"/>
          <w:rFonts w:cstheme="minorHAnsi"/>
          <w:b/>
          <w:color w:val="auto"/>
          <w:szCs w:val="24"/>
          <w:u w:val="none"/>
          <w:lang w:val="en-US"/>
        </w:rPr>
        <w:t xml:space="preserve"> - Guidance for remote participants to TDAG-24</w:t>
      </w:r>
    </w:p>
    <w:p w14:paraId="63B401B4" w14:textId="1CCE9C3A" w:rsidR="009712B8" w:rsidRDefault="009712B8" w:rsidP="00B45BFF">
      <w:pPr>
        <w:keepNext/>
        <w:tabs>
          <w:tab w:val="clear" w:pos="794"/>
          <w:tab w:val="clear" w:pos="1191"/>
          <w:tab w:val="clear" w:pos="1588"/>
          <w:tab w:val="clear" w:pos="1985"/>
          <w:tab w:val="left" w:pos="1701"/>
        </w:tabs>
        <w:spacing w:after="120"/>
        <w:rPr>
          <w:rFonts w:cstheme="minorHAnsi"/>
          <w:szCs w:val="24"/>
          <w:lang w:val="en-US"/>
        </w:rPr>
      </w:pPr>
      <w:r w:rsidRPr="00215AF0">
        <w:rPr>
          <w:rFonts w:cstheme="minorHAnsi"/>
          <w:szCs w:val="24"/>
          <w:lang w:val="en-US"/>
        </w:rPr>
        <w:t xml:space="preserve">The agenda contained in document </w:t>
      </w:r>
      <w:hyperlink r:id="rId17" w:history="1">
        <w:r w:rsidRPr="00215AF0">
          <w:rPr>
            <w:rStyle w:val="Hyperlink"/>
            <w:rFonts w:cstheme="minorHAnsi"/>
            <w:szCs w:val="24"/>
            <w:lang w:val="en-US"/>
          </w:rPr>
          <w:t>1(Rev.1)</w:t>
        </w:r>
      </w:hyperlink>
      <w:r w:rsidRPr="00215AF0">
        <w:rPr>
          <w:rFonts w:cstheme="minorHAnsi"/>
          <w:szCs w:val="24"/>
          <w:lang w:val="en-US"/>
        </w:rPr>
        <w:t xml:space="preserve">, the time management plan contained in document </w:t>
      </w:r>
      <w:hyperlink r:id="rId18" w:history="1">
        <w:r w:rsidRPr="00215AF0">
          <w:rPr>
            <w:rStyle w:val="Hyperlink"/>
            <w:rFonts w:cstheme="minorHAnsi"/>
            <w:szCs w:val="24"/>
            <w:lang w:val="en-US"/>
          </w:rPr>
          <w:t>DT/1(Rev.3)</w:t>
        </w:r>
      </w:hyperlink>
      <w:r w:rsidRPr="00215AF0">
        <w:rPr>
          <w:rFonts w:cstheme="minorHAnsi"/>
          <w:szCs w:val="24"/>
          <w:lang w:val="en-US"/>
        </w:rPr>
        <w:t xml:space="preserve">, the guidance for remote participants to TDAG-24 contained in document </w:t>
      </w:r>
      <w:hyperlink r:id="rId19" w:history="1">
        <w:r w:rsidRPr="00215AF0">
          <w:rPr>
            <w:rStyle w:val="Hyperlink"/>
            <w:rFonts w:cstheme="minorHAnsi"/>
            <w:szCs w:val="24"/>
            <w:lang w:val="en-US"/>
          </w:rPr>
          <w:t>DT/2</w:t>
        </w:r>
      </w:hyperlink>
      <w:r w:rsidRPr="00215AF0">
        <w:rPr>
          <w:rStyle w:val="Hyperlink"/>
          <w:rFonts w:cstheme="minorHAnsi"/>
          <w:color w:val="auto"/>
          <w:szCs w:val="24"/>
          <w:u w:val="none"/>
          <w:lang w:val="en-US"/>
        </w:rPr>
        <w:t xml:space="preserve"> </w:t>
      </w:r>
      <w:r w:rsidRPr="00215AF0">
        <w:rPr>
          <w:rFonts w:cstheme="minorHAnsi"/>
          <w:szCs w:val="24"/>
          <w:lang w:val="en-US"/>
        </w:rPr>
        <w:t>were presented and considered by TDAG.</w:t>
      </w:r>
    </w:p>
    <w:tbl>
      <w:tblPr>
        <w:tblStyle w:val="TableGrid"/>
        <w:tblW w:w="0" w:type="auto"/>
        <w:tblLook w:val="04A0" w:firstRow="1" w:lastRow="0" w:firstColumn="1" w:lastColumn="0" w:noHBand="0" w:noVBand="1"/>
      </w:tblPr>
      <w:tblGrid>
        <w:gridCol w:w="9629"/>
      </w:tblGrid>
      <w:tr w:rsidR="00B45BFF" w14:paraId="0AEEF869" w14:textId="77777777" w:rsidTr="00B45BFF">
        <w:tc>
          <w:tcPr>
            <w:tcW w:w="9629" w:type="dxa"/>
          </w:tcPr>
          <w:p w14:paraId="2DA2331A" w14:textId="77777777" w:rsidR="00B45BFF" w:rsidRPr="00B45BFF" w:rsidRDefault="00B45BFF" w:rsidP="00B45BFF">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 xml:space="preserve">TDAG agreed to the proposed agenda. </w:t>
            </w:r>
          </w:p>
          <w:p w14:paraId="68C5E4FF" w14:textId="428F3BA5" w:rsidR="00B45BFF" w:rsidRDefault="00B45BFF" w:rsidP="00B45BFF">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TDAG noted the time management plan and the guidance for remote participants to TDAG-24 documents.</w:t>
            </w:r>
          </w:p>
        </w:tc>
      </w:tr>
    </w:tbl>
    <w:p w14:paraId="0390F932" w14:textId="07595FD5" w:rsidR="007800F8" w:rsidRPr="00215AF0" w:rsidRDefault="007800F8"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15AF0">
        <w:rPr>
          <w:rFonts w:cstheme="minorHAnsi"/>
          <w:b/>
          <w:szCs w:val="24"/>
        </w:rPr>
        <w:t>Reporting on the implementation of the ITU-D Action Plan</w:t>
      </w:r>
    </w:p>
    <w:p w14:paraId="585FBD81" w14:textId="2A980F57" w:rsidR="006C1957" w:rsidRPr="00F15FBB" w:rsidRDefault="00CB31DD" w:rsidP="00756B97">
      <w:pPr>
        <w:pStyle w:val="ListParagraph"/>
        <w:keepNext/>
        <w:numPr>
          <w:ilvl w:val="1"/>
          <w:numId w:val="1"/>
        </w:numPr>
        <w:tabs>
          <w:tab w:val="clear" w:pos="1871"/>
          <w:tab w:val="left" w:pos="567"/>
          <w:tab w:val="left" w:pos="1701"/>
        </w:tabs>
        <w:spacing w:after="120"/>
        <w:ind w:left="567" w:hanging="567"/>
        <w:contextualSpacing w:val="0"/>
        <w:textAlignment w:val="auto"/>
        <w:rPr>
          <w:rFonts w:cstheme="minorHAnsi"/>
          <w:b/>
          <w:szCs w:val="24"/>
        </w:rPr>
      </w:pPr>
      <w:r w:rsidRPr="00F15FBB">
        <w:rPr>
          <w:rFonts w:cstheme="minorHAnsi"/>
          <w:b/>
          <w:szCs w:val="24"/>
        </w:rPr>
        <w:t>Implementation of the Kigali Action Plan (KAP)</w:t>
      </w:r>
    </w:p>
    <w:p w14:paraId="0A68048D" w14:textId="6EB3C80E" w:rsidR="002A6F59" w:rsidRPr="001D7482" w:rsidRDefault="0068380E"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20" w:history="1">
        <w:r w:rsidRPr="001D7482">
          <w:rPr>
            <w:rStyle w:val="Hyperlink"/>
            <w:rFonts w:cstheme="minorHAnsi"/>
            <w:b/>
            <w:bCs/>
            <w:szCs w:val="24"/>
            <w:lang w:val="en-US"/>
          </w:rPr>
          <w:t>2</w:t>
        </w:r>
        <w:r w:rsidR="00FD0457" w:rsidRPr="001D7482">
          <w:rPr>
            <w:rStyle w:val="Hyperlink"/>
            <w:rFonts w:cstheme="minorHAnsi"/>
            <w:b/>
            <w:bCs/>
            <w:szCs w:val="24"/>
            <w:lang w:val="en-US"/>
          </w:rPr>
          <w:t>(Rev.1)</w:t>
        </w:r>
      </w:hyperlink>
      <w:r w:rsidRPr="001D7482">
        <w:rPr>
          <w:rStyle w:val="Hyperlink"/>
          <w:rFonts w:cstheme="minorHAnsi"/>
          <w:b/>
          <w:bCs/>
          <w:color w:val="auto"/>
          <w:szCs w:val="24"/>
          <w:u w:val="none"/>
          <w:lang w:val="en-US"/>
        </w:rPr>
        <w:t xml:space="preserve"> (Director, BDT) </w:t>
      </w:r>
      <w:r w:rsidR="002A6F59" w:rsidRPr="001D7482">
        <w:rPr>
          <w:rStyle w:val="Hyperlink"/>
          <w:rFonts w:cstheme="minorHAnsi"/>
          <w:b/>
          <w:bCs/>
          <w:color w:val="auto"/>
          <w:szCs w:val="24"/>
          <w:u w:val="none"/>
          <w:lang w:val="en-US"/>
        </w:rPr>
        <w:t>- Reporting on the implementation of the Kigali Action Plan (KAP)</w:t>
      </w:r>
    </w:p>
    <w:p w14:paraId="11F666BF" w14:textId="33EE1986" w:rsidR="00895B92" w:rsidRDefault="0060249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Presented by the BDT Secretariat, </w:t>
      </w:r>
      <w:r w:rsidR="00895B92" w:rsidRPr="00215AF0">
        <w:rPr>
          <w:rStyle w:val="Hyperlink"/>
          <w:rFonts w:cstheme="minorHAnsi"/>
          <w:color w:val="auto"/>
          <w:szCs w:val="24"/>
          <w:u w:val="none"/>
          <w:lang w:val="en-US"/>
        </w:rPr>
        <w:t xml:space="preserve">the </w:t>
      </w:r>
      <w:r w:rsidR="006F2EAD" w:rsidRPr="00215AF0">
        <w:rPr>
          <w:rStyle w:val="Hyperlink"/>
          <w:rFonts w:cstheme="minorHAnsi"/>
          <w:color w:val="auto"/>
          <w:szCs w:val="24"/>
          <w:u w:val="none"/>
          <w:lang w:val="en-US"/>
        </w:rPr>
        <w:t>report</w:t>
      </w:r>
      <w:r w:rsidR="00895B92" w:rsidRPr="00215AF0">
        <w:rPr>
          <w:rStyle w:val="Hyperlink"/>
          <w:rFonts w:cstheme="minorHAnsi"/>
          <w:color w:val="auto"/>
          <w:szCs w:val="24"/>
          <w:u w:val="none"/>
          <w:lang w:val="en-US"/>
        </w:rPr>
        <w:t xml:space="preserve"> </w:t>
      </w:r>
      <w:r w:rsidR="00124243">
        <w:rPr>
          <w:rStyle w:val="Hyperlink"/>
          <w:rFonts w:cstheme="minorHAnsi"/>
          <w:color w:val="auto"/>
          <w:szCs w:val="24"/>
          <w:u w:val="none"/>
          <w:lang w:val="en-US"/>
        </w:rPr>
        <w:t xml:space="preserve">provided an update </w:t>
      </w:r>
      <w:r w:rsidR="00124243" w:rsidRPr="00124243">
        <w:rPr>
          <w:rStyle w:val="Hyperlink"/>
          <w:rFonts w:cstheme="minorHAnsi"/>
          <w:color w:val="auto"/>
          <w:szCs w:val="24"/>
          <w:u w:val="none"/>
          <w:lang w:val="en-US"/>
        </w:rPr>
        <w:t xml:space="preserve">on the implementation of the Kigali Action Plan (KAP) from June 2023 until April 2024, highlighting key achievements across </w:t>
      </w:r>
      <w:r w:rsidR="00D87863">
        <w:rPr>
          <w:rStyle w:val="Hyperlink"/>
          <w:rFonts w:cstheme="minorHAnsi"/>
          <w:color w:val="auto"/>
          <w:szCs w:val="24"/>
          <w:u w:val="none"/>
          <w:lang w:val="en-US"/>
        </w:rPr>
        <w:t xml:space="preserve">all </w:t>
      </w:r>
      <w:r w:rsidR="00F15FBB">
        <w:rPr>
          <w:rStyle w:val="Hyperlink"/>
          <w:rFonts w:cstheme="minorHAnsi"/>
          <w:color w:val="auto"/>
          <w:szCs w:val="24"/>
          <w:u w:val="none"/>
          <w:lang w:val="en-US"/>
        </w:rPr>
        <w:t xml:space="preserve">six of the </w:t>
      </w:r>
      <w:r w:rsidR="00124243" w:rsidRPr="00124243">
        <w:rPr>
          <w:rStyle w:val="Hyperlink"/>
          <w:rFonts w:cstheme="minorHAnsi"/>
          <w:color w:val="auto"/>
          <w:szCs w:val="24"/>
          <w:u w:val="none"/>
          <w:lang w:val="en-US"/>
        </w:rPr>
        <w:t>regions, in line with KAP objectives and in accordance with ITU-D priorities and enablers. It also report</w:t>
      </w:r>
      <w:r w:rsidR="00465DA3">
        <w:rPr>
          <w:rStyle w:val="Hyperlink"/>
          <w:rFonts w:cstheme="minorHAnsi"/>
          <w:color w:val="auto"/>
          <w:szCs w:val="24"/>
          <w:u w:val="none"/>
          <w:lang w:val="en-US"/>
        </w:rPr>
        <w:t>ed</w:t>
      </w:r>
      <w:r w:rsidR="00124243" w:rsidRPr="00124243">
        <w:rPr>
          <w:rStyle w:val="Hyperlink"/>
          <w:rFonts w:cstheme="minorHAnsi"/>
          <w:color w:val="auto"/>
          <w:szCs w:val="24"/>
          <w:u w:val="none"/>
          <w:lang w:val="en-US"/>
        </w:rPr>
        <w:t xml:space="preserve"> on the results of the exercise undertaken by BDT to aggregate the key performance indicators (KPIs) as requested by TDAG-23</w:t>
      </w:r>
      <w:r w:rsidR="00124243">
        <w:rPr>
          <w:rStyle w:val="Hyperlink"/>
          <w:rFonts w:cstheme="minorHAnsi"/>
          <w:color w:val="auto"/>
          <w:szCs w:val="24"/>
          <w:u w:val="none"/>
          <w:lang w:val="en-US"/>
        </w:rPr>
        <w:t xml:space="preserve">. </w:t>
      </w:r>
      <w:r w:rsidR="00465DA3">
        <w:rPr>
          <w:rStyle w:val="Hyperlink"/>
          <w:rFonts w:cstheme="minorHAnsi"/>
          <w:color w:val="auto"/>
          <w:szCs w:val="24"/>
          <w:u w:val="none"/>
          <w:lang w:val="en-US"/>
        </w:rPr>
        <w:t>Accordingly,</w:t>
      </w:r>
      <w:r w:rsidR="00964A9C">
        <w:rPr>
          <w:rStyle w:val="Hyperlink"/>
          <w:rFonts w:cstheme="minorHAnsi"/>
          <w:color w:val="auto"/>
          <w:szCs w:val="24"/>
          <w:u w:val="none"/>
          <w:lang w:val="en-US"/>
        </w:rPr>
        <w:t xml:space="preserve"> the document reported </w:t>
      </w:r>
      <w:r w:rsidR="00021CA7">
        <w:rPr>
          <w:rStyle w:val="Hyperlink"/>
          <w:rFonts w:cstheme="minorHAnsi"/>
          <w:color w:val="auto"/>
          <w:szCs w:val="24"/>
          <w:u w:val="none"/>
          <w:lang w:val="en-US"/>
        </w:rPr>
        <w:t xml:space="preserve">on 18 outcome indicators and 27 output indicators for a total of </w:t>
      </w:r>
      <w:r w:rsidR="00832C30">
        <w:rPr>
          <w:rStyle w:val="Hyperlink"/>
          <w:rFonts w:cstheme="minorHAnsi"/>
          <w:color w:val="auto"/>
          <w:szCs w:val="24"/>
          <w:u w:val="none"/>
          <w:lang w:val="en-US"/>
        </w:rPr>
        <w:t>45 indicators.</w:t>
      </w:r>
    </w:p>
    <w:p w14:paraId="7F1BCB08" w14:textId="67BDE92F" w:rsidR="004F1C48" w:rsidRPr="00913E17" w:rsidRDefault="00C0705A" w:rsidP="00B45BFF">
      <w:pPr>
        <w:widowControl w:val="0"/>
        <w:spacing w:after="120"/>
        <w:rPr>
          <w:rStyle w:val="Hyperlink"/>
          <w:rFonts w:eastAsia="SimSun" w:cstheme="minorHAnsi"/>
          <w:color w:val="auto"/>
          <w:szCs w:val="24"/>
          <w:u w:val="none"/>
        </w:rPr>
      </w:pPr>
      <w:r>
        <w:rPr>
          <w:rFonts w:eastAsia="SimSun" w:cstheme="minorHAnsi"/>
          <w:bCs/>
          <w:szCs w:val="24"/>
        </w:rPr>
        <w:t>Activities undertaken to implement the KAP</w:t>
      </w:r>
      <w:r w:rsidR="009B1765">
        <w:rPr>
          <w:rFonts w:eastAsia="SimSun" w:cstheme="minorHAnsi"/>
          <w:bCs/>
          <w:szCs w:val="24"/>
        </w:rPr>
        <w:t xml:space="preserve"> </w:t>
      </w:r>
      <w:r>
        <w:rPr>
          <w:rFonts w:eastAsia="SimSun" w:cstheme="minorHAnsi"/>
          <w:bCs/>
          <w:szCs w:val="24"/>
        </w:rPr>
        <w:t xml:space="preserve">include: </w:t>
      </w:r>
      <w:r w:rsidRPr="00B63AEE">
        <w:rPr>
          <w:rFonts w:eastAsia="SimSun" w:cstheme="minorHAnsi"/>
          <w:bCs/>
          <w:szCs w:val="24"/>
        </w:rPr>
        <w:t>Early</w:t>
      </w:r>
      <w:r>
        <w:rPr>
          <w:rFonts w:eastAsia="SimSun" w:cstheme="minorHAnsi"/>
          <w:bCs/>
          <w:szCs w:val="24"/>
        </w:rPr>
        <w:t xml:space="preserve"> Warnings for All Road Maps; 5G infrastructure business plans and associated toolkit; a new IPV6 Laboratory; 6 Regional Development Forums with P</w:t>
      </w:r>
      <w:r w:rsidR="00447AE6">
        <w:rPr>
          <w:rFonts w:eastAsia="SimSun" w:cstheme="minorHAnsi"/>
          <w:bCs/>
          <w:szCs w:val="24"/>
        </w:rPr>
        <w:t>artner</w:t>
      </w:r>
      <w:r w:rsidR="00A55255">
        <w:rPr>
          <w:rFonts w:eastAsia="SimSun" w:cstheme="minorHAnsi"/>
          <w:bCs/>
          <w:szCs w:val="24"/>
        </w:rPr>
        <w:t xml:space="preserve"> </w:t>
      </w:r>
      <w:r>
        <w:rPr>
          <w:rFonts w:eastAsia="SimSun" w:cstheme="minorHAnsi"/>
          <w:bCs/>
          <w:szCs w:val="24"/>
        </w:rPr>
        <w:t>2</w:t>
      </w:r>
      <w:r w:rsidR="00A55255">
        <w:rPr>
          <w:rFonts w:eastAsia="SimSun" w:cstheme="minorHAnsi"/>
          <w:bCs/>
          <w:szCs w:val="24"/>
        </w:rPr>
        <w:t xml:space="preserve"> </w:t>
      </w:r>
      <w:r>
        <w:rPr>
          <w:rFonts w:eastAsia="SimSun" w:cstheme="minorHAnsi"/>
          <w:bCs/>
          <w:szCs w:val="24"/>
        </w:rPr>
        <w:t>C</w:t>
      </w:r>
      <w:r w:rsidR="00A55255">
        <w:rPr>
          <w:rFonts w:eastAsia="SimSun" w:cstheme="minorHAnsi"/>
          <w:bCs/>
          <w:szCs w:val="24"/>
        </w:rPr>
        <w:t>onnect (P2C)</w:t>
      </w:r>
      <w:r>
        <w:rPr>
          <w:rFonts w:eastAsia="SimSun" w:cstheme="minorHAnsi"/>
          <w:bCs/>
          <w:szCs w:val="24"/>
        </w:rPr>
        <w:t xml:space="preserve"> matchmaking; The Innovation and Entrepreneurship Initiative and activities; the Smart villages and Smart Islands Initiative; 17 Acceleration </w:t>
      </w:r>
      <w:r w:rsidR="00E55E33">
        <w:rPr>
          <w:rFonts w:eastAsia="SimSun" w:cstheme="minorHAnsi"/>
          <w:bCs/>
          <w:szCs w:val="24"/>
        </w:rPr>
        <w:t>Centres</w:t>
      </w:r>
      <w:r>
        <w:rPr>
          <w:rFonts w:eastAsia="SimSun" w:cstheme="minorHAnsi"/>
          <w:bCs/>
          <w:szCs w:val="24"/>
        </w:rPr>
        <w:t xml:space="preserve"> for innovation and entrepreneurship around the globe with a new Board of Directors; </w:t>
      </w:r>
      <w:proofErr w:type="spellStart"/>
      <w:r>
        <w:rPr>
          <w:rFonts w:eastAsia="SimSun" w:cstheme="minorHAnsi"/>
          <w:bCs/>
          <w:szCs w:val="24"/>
        </w:rPr>
        <w:t>GovStack</w:t>
      </w:r>
      <w:proofErr w:type="spellEnd"/>
      <w:r>
        <w:rPr>
          <w:rFonts w:eastAsia="SimSun" w:cstheme="minorHAnsi"/>
          <w:bCs/>
          <w:szCs w:val="24"/>
        </w:rPr>
        <w:t xml:space="preserve"> Women having trained 139 during this time period; digital transformation workshops; digital skills assessments; the PRIDA project for spectrum management and emerging technologies; 7800 new users registered at ITU Academy trained via 120 courses delivered through Digital Transformation </w:t>
      </w:r>
      <w:r w:rsidR="00913E17">
        <w:rPr>
          <w:rFonts w:eastAsia="SimSun" w:cstheme="minorHAnsi"/>
          <w:bCs/>
          <w:szCs w:val="24"/>
        </w:rPr>
        <w:t>Centres</w:t>
      </w:r>
      <w:r>
        <w:rPr>
          <w:rFonts w:eastAsia="SimSun" w:cstheme="minorHAnsi"/>
          <w:bCs/>
          <w:szCs w:val="24"/>
        </w:rPr>
        <w:t xml:space="preserve">, 5 new digital regulation country reviews produced; G5 Benchmarks for Regulation published; statistical data published, including measurements for SIDs, LLDCs and the long-awaited ICT Development Index; CIRTs Team projects; the Cyber for Good Initiative (benefitting 23 LDCs); Cyber Drills, between Jan 23 and April 2024, 36 new projects 117 agreements, 66 of which are valued at 27.8 million USD; Jointly with the UAE Cyber Security Council, 5 Guiness World Records </w:t>
      </w:r>
      <w:r w:rsidR="002C1A52">
        <w:rPr>
          <w:rFonts w:eastAsia="SimSun" w:cstheme="minorHAnsi"/>
          <w:bCs/>
          <w:szCs w:val="24"/>
        </w:rPr>
        <w:t xml:space="preserve">awarded </w:t>
      </w:r>
      <w:r>
        <w:rPr>
          <w:rFonts w:eastAsia="SimSun" w:cstheme="minorHAnsi"/>
          <w:bCs/>
          <w:szCs w:val="24"/>
        </w:rPr>
        <w:t>for hosting a record number of cyber security capacity building events; accessible regional events, youth engagement; the ITU-D Network of Women, Girls in ICT, climate change adaption/environmental sustainability and related publications, e.g., the Global e-Waste monitor.</w:t>
      </w:r>
    </w:p>
    <w:p w14:paraId="22B85D27" w14:textId="1C7DBD3F" w:rsidR="00602491" w:rsidRPr="00215AF0" w:rsidRDefault="00895B9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A </w:t>
      </w:r>
      <w:hyperlink r:id="rId21" w:history="1">
        <w:r w:rsidRPr="00215AF0">
          <w:rPr>
            <w:rStyle w:val="Hyperlink"/>
            <w:rFonts w:cstheme="minorHAnsi"/>
            <w:szCs w:val="24"/>
            <w:lang w:val="en-US"/>
          </w:rPr>
          <w:t>video</w:t>
        </w:r>
      </w:hyperlink>
      <w:r w:rsidRPr="00215AF0">
        <w:rPr>
          <w:rStyle w:val="Hyperlink"/>
          <w:rFonts w:cstheme="minorHAnsi"/>
          <w:color w:val="auto"/>
          <w:szCs w:val="24"/>
          <w:u w:val="none"/>
          <w:lang w:val="en-US"/>
        </w:rPr>
        <w:t xml:space="preserve"> was also presented to visually summarize the extensive data and achievements reported in Document </w:t>
      </w:r>
      <w:hyperlink r:id="rId22" w:history="1">
        <w:r w:rsidR="00E67F7D" w:rsidRPr="00215AF0">
          <w:rPr>
            <w:rFonts w:cstheme="minorHAnsi"/>
            <w:color w:val="0000FF"/>
            <w:szCs w:val="24"/>
            <w:u w:val="single"/>
          </w:rPr>
          <w:t>2(Rev.1)</w:t>
        </w:r>
      </w:hyperlink>
      <w:r w:rsidRPr="00215AF0">
        <w:rPr>
          <w:rStyle w:val="Hyperlink"/>
          <w:rFonts w:cstheme="minorHAnsi"/>
          <w:color w:val="auto"/>
          <w:szCs w:val="24"/>
          <w:u w:val="none"/>
          <w:lang w:val="en-US"/>
        </w:rPr>
        <w:t>.</w:t>
      </w:r>
    </w:p>
    <w:p w14:paraId="58EFDC7C" w14:textId="555DB468" w:rsidR="004A2AB1" w:rsidRPr="00215AF0" w:rsidRDefault="00E7471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Pr>
          <w:rStyle w:val="Hyperlink"/>
          <w:rFonts w:cstheme="minorHAnsi"/>
          <w:color w:val="auto"/>
          <w:szCs w:val="24"/>
          <w:u w:val="none"/>
          <w:lang w:val="en-US"/>
        </w:rPr>
        <w:lastRenderedPageBreak/>
        <w:t>TDAG</w:t>
      </w:r>
      <w:r w:rsidR="004A2AB1" w:rsidRPr="00215AF0">
        <w:rPr>
          <w:rStyle w:val="Hyperlink"/>
          <w:rFonts w:cstheme="minorHAnsi"/>
          <w:color w:val="auto"/>
          <w:szCs w:val="24"/>
          <w:u w:val="none"/>
          <w:lang w:val="en-US"/>
        </w:rPr>
        <w:t xml:space="preserve"> expressed appreciation for the </w:t>
      </w:r>
      <w:r w:rsidR="00F4240E">
        <w:rPr>
          <w:rStyle w:val="Hyperlink"/>
          <w:rFonts w:cstheme="minorHAnsi"/>
          <w:color w:val="auto"/>
          <w:szCs w:val="24"/>
          <w:u w:val="none"/>
          <w:lang w:val="en-US"/>
        </w:rPr>
        <w:t xml:space="preserve">highly </w:t>
      </w:r>
      <w:r w:rsidR="004A2AB1" w:rsidRPr="00215AF0">
        <w:rPr>
          <w:rStyle w:val="Hyperlink"/>
          <w:rFonts w:cstheme="minorHAnsi"/>
          <w:color w:val="auto"/>
          <w:szCs w:val="24"/>
          <w:u w:val="none"/>
          <w:lang w:val="en-US"/>
        </w:rPr>
        <w:t xml:space="preserve">detailed </w:t>
      </w:r>
      <w:r w:rsidR="00855874">
        <w:rPr>
          <w:rStyle w:val="Hyperlink"/>
          <w:rFonts w:cstheme="minorHAnsi"/>
          <w:color w:val="auto"/>
          <w:szCs w:val="24"/>
          <w:u w:val="none"/>
          <w:lang w:val="en-US"/>
        </w:rPr>
        <w:t>and well</w:t>
      </w:r>
      <w:r w:rsidR="00A14327">
        <w:rPr>
          <w:rStyle w:val="Hyperlink"/>
          <w:rFonts w:cstheme="minorHAnsi"/>
          <w:color w:val="auto"/>
          <w:szCs w:val="24"/>
          <w:u w:val="none"/>
          <w:lang w:val="en-US"/>
        </w:rPr>
        <w:t>-</w:t>
      </w:r>
      <w:r w:rsidR="00855874">
        <w:rPr>
          <w:rStyle w:val="Hyperlink"/>
          <w:rFonts w:cstheme="minorHAnsi"/>
          <w:color w:val="auto"/>
          <w:szCs w:val="24"/>
          <w:u w:val="none"/>
          <w:lang w:val="en-US"/>
        </w:rPr>
        <w:t xml:space="preserve">organized </w:t>
      </w:r>
      <w:r w:rsidR="004A2AB1" w:rsidRPr="00215AF0">
        <w:rPr>
          <w:rStyle w:val="Hyperlink"/>
          <w:rFonts w:cstheme="minorHAnsi"/>
          <w:color w:val="auto"/>
          <w:szCs w:val="24"/>
          <w:u w:val="none"/>
          <w:lang w:val="en-US"/>
        </w:rPr>
        <w:t xml:space="preserve">reporting and highlighted the significance of projects </w:t>
      </w:r>
      <w:r w:rsidR="00AB18C8">
        <w:rPr>
          <w:rStyle w:val="Hyperlink"/>
          <w:rFonts w:cstheme="minorHAnsi"/>
          <w:color w:val="auto"/>
          <w:szCs w:val="24"/>
          <w:u w:val="none"/>
          <w:lang w:val="en-US"/>
        </w:rPr>
        <w:t xml:space="preserve">such as </w:t>
      </w:r>
      <w:r w:rsidR="004A2AB1" w:rsidRPr="00215AF0">
        <w:rPr>
          <w:rStyle w:val="Hyperlink"/>
          <w:rFonts w:cstheme="minorHAnsi"/>
          <w:color w:val="auto"/>
          <w:szCs w:val="24"/>
          <w:u w:val="none"/>
          <w:lang w:val="en-US"/>
        </w:rPr>
        <w:t>early warning systems and broadband infrastructure mapping in their region, emphasizing their importance for achieving digital transformation.</w:t>
      </w:r>
    </w:p>
    <w:p w14:paraId="23F7A04C" w14:textId="68C75922" w:rsidR="00711097" w:rsidRDefault="004A2AB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A request was made for more detailed information on the implementation of Resolution 9 related to spectrum management issues. </w:t>
      </w:r>
      <w:r w:rsidR="000800A6">
        <w:rPr>
          <w:rStyle w:val="Hyperlink"/>
          <w:rFonts w:cstheme="minorHAnsi"/>
          <w:color w:val="auto"/>
          <w:szCs w:val="24"/>
          <w:u w:val="none"/>
          <w:lang w:val="en-US"/>
        </w:rPr>
        <w:t>The BDT Director</w:t>
      </w:r>
      <w:r w:rsidR="00070563">
        <w:rPr>
          <w:rStyle w:val="Hyperlink"/>
          <w:rFonts w:cstheme="minorHAnsi"/>
          <w:color w:val="auto"/>
          <w:szCs w:val="24"/>
          <w:u w:val="none"/>
          <w:lang w:val="en-US"/>
        </w:rPr>
        <w:t xml:space="preserve"> </w:t>
      </w:r>
      <w:r w:rsidR="0099428C">
        <w:rPr>
          <w:rStyle w:val="Hyperlink"/>
          <w:rFonts w:cstheme="minorHAnsi"/>
          <w:color w:val="auto"/>
          <w:szCs w:val="24"/>
          <w:u w:val="none"/>
          <w:lang w:val="en-US"/>
        </w:rPr>
        <w:t>provid</w:t>
      </w:r>
      <w:r w:rsidR="007523A5">
        <w:rPr>
          <w:rStyle w:val="Hyperlink"/>
          <w:rFonts w:cstheme="minorHAnsi"/>
          <w:color w:val="auto"/>
          <w:szCs w:val="24"/>
          <w:u w:val="none"/>
          <w:lang w:val="en-US"/>
        </w:rPr>
        <w:t xml:space="preserve">ed </w:t>
      </w:r>
      <w:r w:rsidR="00432A04">
        <w:rPr>
          <w:rStyle w:val="Hyperlink"/>
          <w:rFonts w:cstheme="minorHAnsi"/>
          <w:color w:val="auto"/>
          <w:szCs w:val="24"/>
          <w:u w:val="none"/>
          <w:lang w:val="en-US"/>
        </w:rPr>
        <w:t>clarification</w:t>
      </w:r>
      <w:r w:rsidR="007523A5">
        <w:rPr>
          <w:rStyle w:val="Hyperlink"/>
          <w:rFonts w:cstheme="minorHAnsi"/>
          <w:color w:val="auto"/>
          <w:szCs w:val="24"/>
          <w:u w:val="none"/>
          <w:lang w:val="en-US"/>
        </w:rPr>
        <w:t>s</w:t>
      </w:r>
      <w:r w:rsidR="00726675">
        <w:rPr>
          <w:rStyle w:val="Hyperlink"/>
          <w:rFonts w:cstheme="minorHAnsi"/>
          <w:color w:val="auto"/>
          <w:szCs w:val="24"/>
          <w:u w:val="none"/>
          <w:lang w:val="en-US"/>
        </w:rPr>
        <w:t xml:space="preserve"> </w:t>
      </w:r>
      <w:r w:rsidR="00775263">
        <w:rPr>
          <w:rStyle w:val="Hyperlink"/>
          <w:rFonts w:cstheme="minorHAnsi"/>
          <w:color w:val="auto"/>
          <w:szCs w:val="24"/>
          <w:u w:val="none"/>
          <w:lang w:val="en-US"/>
        </w:rPr>
        <w:t xml:space="preserve">on a </w:t>
      </w:r>
      <w:r w:rsidR="00D334E1">
        <w:rPr>
          <w:rStyle w:val="Hyperlink"/>
          <w:rFonts w:cstheme="minorHAnsi"/>
          <w:color w:val="auto"/>
          <w:szCs w:val="24"/>
          <w:u w:val="none"/>
          <w:lang w:val="en-US"/>
        </w:rPr>
        <w:t xml:space="preserve">mapping </w:t>
      </w:r>
      <w:r w:rsidR="00515DBE">
        <w:rPr>
          <w:rStyle w:val="Hyperlink"/>
          <w:rFonts w:cstheme="minorHAnsi"/>
          <w:color w:val="auto"/>
          <w:szCs w:val="24"/>
          <w:u w:val="none"/>
          <w:lang w:val="en-US"/>
        </w:rPr>
        <w:t>exercise</w:t>
      </w:r>
      <w:r w:rsidR="00D334E1">
        <w:rPr>
          <w:rStyle w:val="Hyperlink"/>
          <w:rFonts w:cstheme="minorHAnsi"/>
          <w:color w:val="auto"/>
          <w:szCs w:val="24"/>
          <w:u w:val="none"/>
          <w:lang w:val="en-US"/>
        </w:rPr>
        <w:t xml:space="preserve"> to be </w:t>
      </w:r>
      <w:r w:rsidR="00775263">
        <w:rPr>
          <w:rStyle w:val="Hyperlink"/>
          <w:rFonts w:cstheme="minorHAnsi"/>
          <w:color w:val="auto"/>
          <w:szCs w:val="24"/>
          <w:u w:val="none"/>
          <w:lang w:val="en-US"/>
        </w:rPr>
        <w:t>completed</w:t>
      </w:r>
      <w:r w:rsidR="00D334E1">
        <w:rPr>
          <w:rStyle w:val="Hyperlink"/>
          <w:rFonts w:cstheme="minorHAnsi"/>
          <w:color w:val="auto"/>
          <w:szCs w:val="24"/>
          <w:u w:val="none"/>
          <w:lang w:val="en-US"/>
        </w:rPr>
        <w:t xml:space="preserve"> ahead of WTDC-25 to </w:t>
      </w:r>
      <w:r w:rsidR="00590910">
        <w:rPr>
          <w:rStyle w:val="Hyperlink"/>
          <w:rFonts w:cstheme="minorHAnsi"/>
          <w:color w:val="auto"/>
          <w:szCs w:val="24"/>
          <w:u w:val="none"/>
          <w:lang w:val="en-US"/>
        </w:rPr>
        <w:t>demonstrate the implementation</w:t>
      </w:r>
      <w:r w:rsidR="00D334E1">
        <w:rPr>
          <w:rStyle w:val="Hyperlink"/>
          <w:rFonts w:cstheme="minorHAnsi"/>
          <w:color w:val="auto"/>
          <w:szCs w:val="24"/>
          <w:u w:val="none"/>
          <w:lang w:val="en-US"/>
        </w:rPr>
        <w:t xml:space="preserve"> </w:t>
      </w:r>
      <w:r w:rsidR="00515DBE">
        <w:rPr>
          <w:rStyle w:val="Hyperlink"/>
          <w:rFonts w:cstheme="minorHAnsi"/>
          <w:color w:val="auto"/>
          <w:szCs w:val="24"/>
          <w:u w:val="none"/>
          <w:lang w:val="en-US"/>
        </w:rPr>
        <w:t>of</w:t>
      </w:r>
      <w:r w:rsidRPr="00215AF0">
        <w:rPr>
          <w:rStyle w:val="Hyperlink"/>
          <w:rFonts w:cstheme="minorHAnsi"/>
          <w:color w:val="auto"/>
          <w:szCs w:val="24"/>
          <w:u w:val="none"/>
          <w:lang w:val="en-US"/>
        </w:rPr>
        <w:t xml:space="preserve"> </w:t>
      </w:r>
      <w:r w:rsidR="0047093F">
        <w:rPr>
          <w:rStyle w:val="Hyperlink"/>
          <w:rFonts w:cstheme="minorHAnsi"/>
          <w:color w:val="auto"/>
          <w:szCs w:val="24"/>
          <w:u w:val="none"/>
          <w:lang w:val="en-US"/>
        </w:rPr>
        <w:t>ITU-D</w:t>
      </w:r>
      <w:r w:rsidRPr="00215AF0">
        <w:rPr>
          <w:rStyle w:val="Hyperlink"/>
          <w:rFonts w:cstheme="minorHAnsi"/>
          <w:color w:val="auto"/>
          <w:szCs w:val="24"/>
          <w:u w:val="none"/>
          <w:lang w:val="en-US"/>
        </w:rPr>
        <w:t xml:space="preserve"> resolution</w:t>
      </w:r>
      <w:r w:rsidR="0047093F">
        <w:rPr>
          <w:rStyle w:val="Hyperlink"/>
          <w:rFonts w:cstheme="minorHAnsi"/>
          <w:color w:val="auto"/>
          <w:szCs w:val="24"/>
          <w:u w:val="none"/>
          <w:lang w:val="en-US"/>
        </w:rPr>
        <w:t>s</w:t>
      </w:r>
      <w:r w:rsidR="00515DBE">
        <w:rPr>
          <w:rStyle w:val="Hyperlink"/>
          <w:rFonts w:cstheme="minorHAnsi"/>
          <w:color w:val="auto"/>
          <w:szCs w:val="24"/>
          <w:u w:val="none"/>
          <w:lang w:val="en-US"/>
        </w:rPr>
        <w:t xml:space="preserve"> and actions taken.</w:t>
      </w:r>
      <w:r w:rsidR="00DF4515">
        <w:rPr>
          <w:rStyle w:val="Hyperlink"/>
          <w:rFonts w:cstheme="minorHAnsi"/>
          <w:color w:val="auto"/>
          <w:szCs w:val="24"/>
          <w:u w:val="none"/>
          <w:lang w:val="en-US"/>
        </w:rPr>
        <w:t xml:space="preserve"> </w:t>
      </w:r>
    </w:p>
    <w:p w14:paraId="2D31EDB3" w14:textId="50BC2DFA" w:rsidR="004A2AB1" w:rsidRPr="00215AF0" w:rsidRDefault="00E7471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4E4912">
        <w:rPr>
          <w:rStyle w:val="Hyperlink"/>
          <w:rFonts w:cstheme="minorHAnsi"/>
          <w:color w:val="auto"/>
          <w:szCs w:val="24"/>
          <w:u w:val="none"/>
          <w:lang w:val="en-US"/>
        </w:rPr>
        <w:t>TDAG</w:t>
      </w:r>
      <w:r w:rsidR="004A2AB1" w:rsidRPr="004E4912">
        <w:rPr>
          <w:rStyle w:val="Hyperlink"/>
          <w:rFonts w:cstheme="minorHAnsi"/>
          <w:color w:val="auto"/>
          <w:szCs w:val="24"/>
          <w:u w:val="none"/>
          <w:lang w:val="en-US"/>
        </w:rPr>
        <w:t xml:space="preserve"> </w:t>
      </w:r>
      <w:r w:rsidR="004E4912">
        <w:rPr>
          <w:rStyle w:val="Hyperlink"/>
          <w:rFonts w:cstheme="minorHAnsi"/>
          <w:color w:val="auto"/>
          <w:szCs w:val="24"/>
          <w:u w:val="none"/>
          <w:lang w:val="en-US"/>
        </w:rPr>
        <w:t xml:space="preserve">participants </w:t>
      </w:r>
      <w:r w:rsidR="004A2AB1" w:rsidRPr="004E4912">
        <w:rPr>
          <w:rStyle w:val="Hyperlink"/>
          <w:rFonts w:cstheme="minorHAnsi"/>
          <w:color w:val="auto"/>
          <w:szCs w:val="24"/>
          <w:u w:val="none"/>
          <w:lang w:val="en-US"/>
        </w:rPr>
        <w:t>highlighted the positive impact of the Smart Village and Smart Islands initiative in their country,</w:t>
      </w:r>
      <w:r w:rsidR="004A2AB1" w:rsidRPr="00215AF0">
        <w:rPr>
          <w:rStyle w:val="Hyperlink"/>
          <w:rFonts w:cstheme="minorHAnsi"/>
          <w:color w:val="auto"/>
          <w:szCs w:val="24"/>
          <w:u w:val="none"/>
          <w:lang w:val="en-US"/>
        </w:rPr>
        <w:t xml:space="preserve"> mentioning new economic activities resulting from improved digital literacy and connectivity, and sought further assistance for nationwide rollout.</w:t>
      </w:r>
    </w:p>
    <w:p w14:paraId="6F78B6CE" w14:textId="1A513F4A" w:rsidR="004A2AB1" w:rsidRPr="00215AF0" w:rsidRDefault="00E7471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Pr>
          <w:rStyle w:val="Hyperlink"/>
          <w:rFonts w:cstheme="minorHAnsi"/>
          <w:color w:val="auto"/>
          <w:szCs w:val="24"/>
          <w:u w:val="none"/>
          <w:lang w:val="en-US"/>
        </w:rPr>
        <w:t>TDAG</w:t>
      </w:r>
      <w:r w:rsidR="004A2AB1" w:rsidRPr="00215AF0">
        <w:rPr>
          <w:rStyle w:val="Hyperlink"/>
          <w:rFonts w:cstheme="minorHAnsi"/>
          <w:color w:val="auto"/>
          <w:szCs w:val="24"/>
          <w:u w:val="none"/>
          <w:lang w:val="en-US"/>
        </w:rPr>
        <w:t xml:space="preserve"> discussed the need for better alignment between qualitative and quantitative aspects of reporting, suggesting that the impact of initiatives should be measured not only by numbers but also by qualitative benefits.</w:t>
      </w:r>
    </w:p>
    <w:p w14:paraId="0509E152" w14:textId="23A27C32" w:rsidR="004A2AB1" w:rsidRPr="00215AF0" w:rsidRDefault="006E13B6"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Pr>
          <w:rStyle w:val="Hyperlink"/>
          <w:rFonts w:cstheme="minorHAnsi"/>
          <w:color w:val="auto"/>
          <w:szCs w:val="24"/>
          <w:u w:val="none"/>
          <w:lang w:val="en-US"/>
        </w:rPr>
        <w:t xml:space="preserve">TDAG </w:t>
      </w:r>
      <w:r w:rsidR="00232B9F">
        <w:rPr>
          <w:rStyle w:val="Hyperlink"/>
          <w:rFonts w:cstheme="minorHAnsi"/>
          <w:color w:val="auto"/>
          <w:szCs w:val="24"/>
          <w:u w:val="none"/>
          <w:lang w:val="en-US"/>
        </w:rPr>
        <w:t xml:space="preserve">participants </w:t>
      </w:r>
      <w:r>
        <w:rPr>
          <w:rStyle w:val="Hyperlink"/>
          <w:rFonts w:cstheme="minorHAnsi"/>
          <w:color w:val="auto"/>
          <w:szCs w:val="24"/>
          <w:u w:val="none"/>
          <w:lang w:val="en-US"/>
        </w:rPr>
        <w:t>voiced s</w:t>
      </w:r>
      <w:r w:rsidR="004A2AB1" w:rsidRPr="00215AF0">
        <w:rPr>
          <w:rStyle w:val="Hyperlink"/>
          <w:rFonts w:cstheme="minorHAnsi"/>
          <w:color w:val="auto"/>
          <w:szCs w:val="24"/>
          <w:u w:val="none"/>
          <w:lang w:val="en-US"/>
        </w:rPr>
        <w:t xml:space="preserve">upport for the initiatives </w:t>
      </w:r>
      <w:r w:rsidR="001739F0">
        <w:rPr>
          <w:rStyle w:val="Hyperlink"/>
          <w:rFonts w:cstheme="minorHAnsi"/>
          <w:color w:val="auto"/>
          <w:szCs w:val="24"/>
          <w:u w:val="none"/>
          <w:lang w:val="en-US"/>
        </w:rPr>
        <w:t xml:space="preserve">presented </w:t>
      </w:r>
      <w:r w:rsidR="004A2AB1" w:rsidRPr="00215AF0">
        <w:rPr>
          <w:rStyle w:val="Hyperlink"/>
          <w:rFonts w:cstheme="minorHAnsi"/>
          <w:color w:val="auto"/>
          <w:szCs w:val="24"/>
          <w:u w:val="none"/>
          <w:lang w:val="en-US"/>
        </w:rPr>
        <w:t xml:space="preserve">and the reporting process, emphasizing the positive reception of ITU’s </w:t>
      </w:r>
      <w:r w:rsidR="004A2AB1" w:rsidRPr="000C6C08">
        <w:rPr>
          <w:rStyle w:val="Hyperlink"/>
          <w:rFonts w:cstheme="minorHAnsi"/>
          <w:color w:val="auto"/>
          <w:szCs w:val="24"/>
          <w:u w:val="none"/>
          <w:lang w:val="en-US"/>
        </w:rPr>
        <w:t>efforts in their country,</w:t>
      </w:r>
      <w:r w:rsidR="004A2AB1" w:rsidRPr="00215AF0">
        <w:rPr>
          <w:rStyle w:val="Hyperlink"/>
          <w:rFonts w:cstheme="minorHAnsi"/>
          <w:color w:val="auto"/>
          <w:szCs w:val="24"/>
          <w:u w:val="none"/>
          <w:lang w:val="en-US"/>
        </w:rPr>
        <w:t xml:space="preserve"> particularly in innovation and entrepreneurship.</w:t>
      </w:r>
    </w:p>
    <w:p w14:paraId="4530700D" w14:textId="24BBD65C" w:rsidR="004A2AB1" w:rsidRPr="00215AF0" w:rsidRDefault="004A2AB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A suggestion was made to obtain feedback from individuals who received training to assess the practical impact of these initiatives, providing concrete evidence of the benefits of ITU programs.</w:t>
      </w:r>
    </w:p>
    <w:p w14:paraId="03CF9B2A" w14:textId="4D58B461" w:rsidR="00106DD1" w:rsidRPr="00215AF0" w:rsidRDefault="004A2AB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Emphasis was placed on the importance of distinguishing between activities, outputs, and outcomes, and the need for clear measurement of the impact of these initiatives.</w:t>
      </w:r>
    </w:p>
    <w:p w14:paraId="2BA7F251" w14:textId="54A332B0" w:rsidR="002B699B" w:rsidRDefault="00E23C87"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The discussions were concluded with a demonstration of the Dashboard, a tool designed to provide a visual representation of the progress </w:t>
      </w:r>
      <w:r w:rsidR="00733AC9">
        <w:rPr>
          <w:rStyle w:val="Hyperlink"/>
          <w:rFonts w:cstheme="minorHAnsi"/>
          <w:color w:val="auto"/>
          <w:szCs w:val="24"/>
          <w:u w:val="none"/>
          <w:lang w:val="en-US"/>
        </w:rPr>
        <w:t xml:space="preserve">made on the implementation of KAP </w:t>
      </w:r>
      <w:r w:rsidR="00733AC9" w:rsidRPr="00FC6408">
        <w:rPr>
          <w:rStyle w:val="Hyperlink"/>
          <w:rFonts w:cstheme="minorHAnsi"/>
          <w:color w:val="auto"/>
          <w:szCs w:val="24"/>
          <w:u w:val="none"/>
          <w:lang w:val="en-US"/>
        </w:rPr>
        <w:t>both on the budget and outcome perspectives</w:t>
      </w:r>
      <w:r w:rsidRPr="00FC6408">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B45BFF" w14:paraId="46A8B06F" w14:textId="77777777" w:rsidTr="00B45BFF">
        <w:tc>
          <w:tcPr>
            <w:tcW w:w="9629" w:type="dxa"/>
          </w:tcPr>
          <w:p w14:paraId="3065A647" w14:textId="430578F5" w:rsidR="00B45BFF" w:rsidRDefault="00B45BFF"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B45BFF">
              <w:rPr>
                <w:rStyle w:val="Hyperlink"/>
                <w:rFonts w:cstheme="minorHAnsi"/>
                <w:color w:val="auto"/>
                <w:szCs w:val="24"/>
                <w:u w:val="none"/>
                <w:lang w:val="en-US"/>
              </w:rPr>
              <w:t>TDAG noted the document with appreciation. Member States provided several comments, questions and guidance on outputs and outcomes resulting from implementation of the KAP activities.</w:t>
            </w:r>
          </w:p>
        </w:tc>
      </w:tr>
    </w:tbl>
    <w:p w14:paraId="2F0A5A1C" w14:textId="3B1571F0" w:rsidR="00D8787C" w:rsidRPr="001D7482" w:rsidRDefault="00D8787C" w:rsidP="00B45BF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b/>
          <w:bCs/>
          <w:szCs w:val="24"/>
          <w:lang w:val="en-US"/>
        </w:rPr>
      </w:pPr>
      <w:r w:rsidRPr="001D7482">
        <w:rPr>
          <w:rStyle w:val="Hyperlink"/>
          <w:rFonts w:cstheme="minorHAnsi"/>
          <w:b/>
          <w:bCs/>
          <w:color w:val="auto"/>
          <w:szCs w:val="24"/>
          <w:u w:val="none"/>
          <w:lang w:val="en-US"/>
        </w:rPr>
        <w:t xml:space="preserve">Document </w:t>
      </w:r>
      <w:hyperlink r:id="rId23">
        <w:r w:rsidRPr="001D7482">
          <w:rPr>
            <w:rStyle w:val="Hyperlink"/>
            <w:rFonts w:cstheme="minorHAnsi"/>
            <w:b/>
            <w:bCs/>
            <w:szCs w:val="24"/>
            <w:lang w:val="en-US"/>
          </w:rPr>
          <w:t>2(Ann.1)</w:t>
        </w:r>
      </w:hyperlink>
      <w:r w:rsidRPr="001D7482">
        <w:rPr>
          <w:rStyle w:val="Hyperlink"/>
          <w:rFonts w:cstheme="minorHAnsi"/>
          <w:b/>
          <w:bCs/>
          <w:color w:val="auto"/>
          <w:szCs w:val="24"/>
          <w:u w:val="none"/>
          <w:lang w:val="en-US"/>
        </w:rPr>
        <w:t xml:space="preserve"> (Director, BDT)</w:t>
      </w:r>
      <w:r w:rsidR="002A6F59" w:rsidRPr="001D7482">
        <w:rPr>
          <w:rStyle w:val="Hyperlink"/>
          <w:rFonts w:cstheme="minorHAnsi"/>
          <w:b/>
          <w:bCs/>
          <w:color w:val="auto"/>
          <w:szCs w:val="24"/>
          <w:u w:val="none"/>
          <w:lang w:val="en-US"/>
        </w:rPr>
        <w:t xml:space="preserve"> - ITU-D Operational Plan Dashboards</w:t>
      </w:r>
    </w:p>
    <w:p w14:paraId="01620C2E" w14:textId="5340889F" w:rsidR="00D46D1B" w:rsidRPr="00215AF0" w:rsidRDefault="00D46D1B" w:rsidP="00B45BF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215AF0">
        <w:rPr>
          <w:rFonts w:cstheme="minorHAnsi"/>
          <w:szCs w:val="24"/>
        </w:rPr>
        <w:t>BDT Secretariat presented Annex 1 of Document 2, which is the Dashboard for the Operational Plan. This Dashboard is a comprehensive tool designed to provide a visual representation of the progress and budget implementation related to the Kigali Action Plan. The presentation highlighted the following key points:</w:t>
      </w:r>
    </w:p>
    <w:p w14:paraId="45E76F21" w14:textId="14AE8936" w:rsidR="00D46D1B" w:rsidRPr="00215AF0"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215AF0">
        <w:rPr>
          <w:rFonts w:cstheme="minorHAnsi"/>
          <w:szCs w:val="24"/>
        </w:rPr>
        <w:t>The Dashboard aligns with results-based management principles and incorporates aggregated KPIs. It is structured to show progress on each ITUD priority and enabler, featuring budget implementation, outcomes, and outputs.</w:t>
      </w:r>
    </w:p>
    <w:p w14:paraId="5A9F1CD7" w14:textId="01E5D68E" w:rsidR="00D46D1B" w:rsidRPr="00215AF0"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070BC6">
        <w:rPr>
          <w:rFonts w:cstheme="minorHAnsi"/>
          <w:szCs w:val="24"/>
        </w:rPr>
        <w:t>For 2023, the Dashboard shows a budget implementation level of 82%. It</w:t>
      </w:r>
      <w:r w:rsidRPr="00215AF0">
        <w:rPr>
          <w:rFonts w:cstheme="minorHAnsi"/>
          <w:szCs w:val="24"/>
        </w:rPr>
        <w:t xml:space="preserve"> de</w:t>
      </w:r>
      <w:r w:rsidR="00C842B0">
        <w:rPr>
          <w:rFonts w:cstheme="minorHAnsi"/>
          <w:szCs w:val="24"/>
        </w:rPr>
        <w:t>scribes</w:t>
      </w:r>
      <w:r w:rsidRPr="00215AF0">
        <w:rPr>
          <w:rFonts w:cstheme="minorHAnsi"/>
          <w:szCs w:val="24"/>
        </w:rPr>
        <w:t xml:space="preserve"> budget allocation per region, demonstrating the effective use of resources across different areas.</w:t>
      </w:r>
    </w:p>
    <w:p w14:paraId="25225027" w14:textId="2F212FA1" w:rsidR="00D46D1B" w:rsidRPr="00215AF0"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215AF0">
        <w:rPr>
          <w:rFonts w:cstheme="minorHAnsi"/>
          <w:szCs w:val="24"/>
        </w:rPr>
        <w:t>The Dashboard includes outcome KPIs for each ITU</w:t>
      </w:r>
      <w:r w:rsidR="00010DB7">
        <w:rPr>
          <w:rFonts w:cstheme="minorHAnsi"/>
          <w:szCs w:val="24"/>
        </w:rPr>
        <w:t>-</w:t>
      </w:r>
      <w:r w:rsidRPr="00215AF0">
        <w:rPr>
          <w:rFonts w:cstheme="minorHAnsi"/>
          <w:szCs w:val="24"/>
        </w:rPr>
        <w:t>D priority and enabler, showing the progress made in 2023 and the targets for 2025. This provides a high-level view of the impact ITU</w:t>
      </w:r>
      <w:r w:rsidR="00EB6829">
        <w:rPr>
          <w:rFonts w:cstheme="minorHAnsi"/>
          <w:szCs w:val="24"/>
        </w:rPr>
        <w:t>-</w:t>
      </w:r>
      <w:r w:rsidRPr="00215AF0">
        <w:rPr>
          <w:rFonts w:cstheme="minorHAnsi"/>
          <w:szCs w:val="24"/>
        </w:rPr>
        <w:t>D activities aim to achieve.</w:t>
      </w:r>
    </w:p>
    <w:p w14:paraId="3069BF29" w14:textId="749B9860" w:rsidR="00D46D1B" w:rsidRPr="00215AF0" w:rsidRDefault="00EB6829"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Pr>
          <w:rFonts w:cstheme="minorHAnsi"/>
          <w:szCs w:val="24"/>
        </w:rPr>
        <w:t>The Dashbo</w:t>
      </w:r>
      <w:r w:rsidR="00BC01A3">
        <w:rPr>
          <w:rFonts w:cstheme="minorHAnsi"/>
          <w:szCs w:val="24"/>
        </w:rPr>
        <w:t>a</w:t>
      </w:r>
      <w:r>
        <w:rPr>
          <w:rFonts w:cstheme="minorHAnsi"/>
          <w:szCs w:val="24"/>
        </w:rPr>
        <w:t xml:space="preserve">rd also </w:t>
      </w:r>
      <w:r w:rsidR="00D46D1B" w:rsidRPr="00215AF0">
        <w:rPr>
          <w:rFonts w:cstheme="minorHAnsi"/>
          <w:szCs w:val="24"/>
        </w:rPr>
        <w:t xml:space="preserve">summarizes key outputs from 2023, such as the number of countries assisted, technical assistance provided, capacity development efforts, and partnerships formed. </w:t>
      </w:r>
      <w:r>
        <w:rPr>
          <w:rFonts w:cstheme="minorHAnsi"/>
          <w:szCs w:val="24"/>
        </w:rPr>
        <w:t>It</w:t>
      </w:r>
      <w:r w:rsidR="00D46D1B" w:rsidRPr="00215AF0" w:rsidDel="00EB6829">
        <w:rPr>
          <w:rFonts w:cstheme="minorHAnsi"/>
          <w:szCs w:val="24"/>
        </w:rPr>
        <w:t xml:space="preserve"> </w:t>
      </w:r>
      <w:r w:rsidR="00D46D1B" w:rsidRPr="00215AF0">
        <w:rPr>
          <w:rFonts w:cstheme="minorHAnsi"/>
          <w:szCs w:val="24"/>
        </w:rPr>
        <w:t>also links these outputs to relevant SDGs and WSIS action lines.</w:t>
      </w:r>
    </w:p>
    <w:p w14:paraId="0F7CEB3E" w14:textId="4BD0CFB9" w:rsidR="0068380E"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215AF0">
        <w:rPr>
          <w:rFonts w:cstheme="minorHAnsi"/>
          <w:szCs w:val="24"/>
        </w:rPr>
        <w:lastRenderedPageBreak/>
        <w:t>The Dashboard features a virtual survey to gather feedback from member states, aimed at continuously improving the tool to meet users’ needs.</w:t>
      </w:r>
    </w:p>
    <w:p w14:paraId="27CBB9DA" w14:textId="5C0C4A96" w:rsidR="00751F65" w:rsidRDefault="00751F65" w:rsidP="00B45BFF">
      <w:pPr>
        <w:tabs>
          <w:tab w:val="left" w:pos="567"/>
          <w:tab w:val="left" w:pos="1701"/>
        </w:tabs>
        <w:spacing w:after="120"/>
        <w:textAlignment w:val="auto"/>
        <w:rPr>
          <w:rFonts w:cstheme="minorHAnsi"/>
          <w:szCs w:val="24"/>
        </w:rPr>
      </w:pPr>
      <w:r w:rsidRPr="00751F65">
        <w:rPr>
          <w:rFonts w:cstheme="minorHAnsi"/>
          <w:szCs w:val="24"/>
        </w:rPr>
        <w:t xml:space="preserve">The Chairman thanked all for the fruitful comments and invited TDAG members to review the dashboard in their own time and undertake the </w:t>
      </w:r>
      <w:hyperlink r:id="rId24" w:history="1">
        <w:r w:rsidRPr="00F254FC">
          <w:rPr>
            <w:rStyle w:val="Hyperlink"/>
            <w:rFonts w:cstheme="minorHAnsi"/>
            <w:szCs w:val="24"/>
          </w:rPr>
          <w:t>survey</w:t>
        </w:r>
      </w:hyperlink>
      <w:r w:rsidRPr="00751F65">
        <w:rPr>
          <w:rFonts w:cstheme="minorHAnsi"/>
          <w:szCs w:val="24"/>
        </w:rPr>
        <w:t>, as requested by the Secretariat, to share their feedback with a view to improve th</w:t>
      </w:r>
      <w:r w:rsidR="00A55706">
        <w:rPr>
          <w:rFonts w:cstheme="minorHAnsi"/>
          <w:szCs w:val="24"/>
        </w:rPr>
        <w:t>is tool.</w:t>
      </w:r>
    </w:p>
    <w:p w14:paraId="7EE5D593" w14:textId="6DD784B3" w:rsidR="00517F8F" w:rsidRDefault="00245ADF" w:rsidP="00B45BFF">
      <w:pPr>
        <w:tabs>
          <w:tab w:val="left" w:pos="567"/>
          <w:tab w:val="left" w:pos="1701"/>
        </w:tabs>
        <w:spacing w:after="120"/>
        <w:textAlignment w:val="auto"/>
        <w:rPr>
          <w:rFonts w:cstheme="minorHAnsi"/>
          <w:szCs w:val="24"/>
        </w:rPr>
      </w:pPr>
      <w:r w:rsidRPr="00215AF0">
        <w:rPr>
          <w:rFonts w:cstheme="minorHAnsi"/>
          <w:szCs w:val="24"/>
        </w:rPr>
        <w:t xml:space="preserve">The presentation and subsequent discussions highlighted the Dashboard as a valuable tool for monitoring and evaluating the progress of the Kigali Action Plan. </w:t>
      </w:r>
      <w:r w:rsidR="00E74712">
        <w:rPr>
          <w:rFonts w:cstheme="minorHAnsi"/>
          <w:szCs w:val="24"/>
        </w:rPr>
        <w:t>TDAG</w:t>
      </w:r>
      <w:r w:rsidRPr="00215AF0">
        <w:rPr>
          <w:rFonts w:cstheme="minorHAnsi"/>
          <w:szCs w:val="24"/>
        </w:rPr>
        <w:t xml:space="preserve"> appreciated the detailed visual representation and provided constructive feedback to further enhance its utility and comprehensiveness. The inclusion of qualitative measures alongside quantitative data was emphasized to better capture the impact of ITU’s initiatives.</w:t>
      </w:r>
    </w:p>
    <w:tbl>
      <w:tblPr>
        <w:tblStyle w:val="TableGrid"/>
        <w:tblW w:w="0" w:type="auto"/>
        <w:tblLook w:val="04A0" w:firstRow="1" w:lastRow="0" w:firstColumn="1" w:lastColumn="0" w:noHBand="0" w:noVBand="1"/>
      </w:tblPr>
      <w:tblGrid>
        <w:gridCol w:w="9629"/>
      </w:tblGrid>
      <w:tr w:rsidR="00B45BFF" w14:paraId="364A0B67" w14:textId="77777777" w:rsidTr="00B45BFF">
        <w:tc>
          <w:tcPr>
            <w:tcW w:w="9629" w:type="dxa"/>
          </w:tcPr>
          <w:p w14:paraId="18595622" w14:textId="6F9CAA54" w:rsidR="00B45BFF" w:rsidRDefault="00B45BFF" w:rsidP="00B45BFF">
            <w:pPr>
              <w:tabs>
                <w:tab w:val="left" w:pos="567"/>
                <w:tab w:val="left" w:pos="1701"/>
              </w:tabs>
              <w:spacing w:after="120"/>
              <w:textAlignment w:val="auto"/>
              <w:rPr>
                <w:rFonts w:cstheme="minorHAnsi"/>
                <w:szCs w:val="24"/>
              </w:rPr>
            </w:pPr>
            <w:r w:rsidRPr="006E003A">
              <w:rPr>
                <w:rFonts w:cstheme="minorHAnsi"/>
                <w:szCs w:val="24"/>
              </w:rPr>
              <w:t xml:space="preserve">TDAG noted the document with appreciation. Member States made several comments, asked questions and gave guidance regarding the dashboard as presented. The </w:t>
            </w:r>
            <w:hyperlink r:id="rId25" w:history="1">
              <w:r w:rsidRPr="006E003A">
                <w:rPr>
                  <w:rStyle w:val="Hyperlink"/>
                  <w:rFonts w:cstheme="minorHAnsi"/>
                  <w:szCs w:val="24"/>
                </w:rPr>
                <w:t>dashboard</w:t>
              </w:r>
            </w:hyperlink>
            <w:r w:rsidRPr="006E003A">
              <w:rPr>
                <w:rFonts w:cstheme="minorHAnsi"/>
                <w:szCs w:val="24"/>
              </w:rPr>
              <w:t xml:space="preserve"> is available on the </w:t>
            </w:r>
            <w:hyperlink r:id="rId26" w:history="1">
              <w:r w:rsidRPr="006E003A">
                <w:rPr>
                  <w:rStyle w:val="Hyperlink"/>
                  <w:rFonts w:cstheme="minorHAnsi"/>
                  <w:szCs w:val="24"/>
                </w:rPr>
                <w:t>TDAG website</w:t>
              </w:r>
            </w:hyperlink>
            <w:r w:rsidRPr="006E003A">
              <w:rPr>
                <w:rFonts w:cstheme="minorHAnsi"/>
                <w:szCs w:val="24"/>
              </w:rPr>
              <w:t xml:space="preserve"> with access limited to TIES account holders. Developed as a new and easier way for Membership to track progress of the operational plan, the Chair encouraged delegates to provide additional feedback by using the link on the dashboard webpage to answer the survey embedded for this purpose.</w:t>
            </w:r>
          </w:p>
        </w:tc>
      </w:tr>
    </w:tbl>
    <w:p w14:paraId="7AE36EAF" w14:textId="25D1292F" w:rsidR="00BE335C" w:rsidRPr="001D7482" w:rsidRDefault="00BE335C" w:rsidP="00E03A36">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27">
        <w:r w:rsidRPr="001D7482">
          <w:rPr>
            <w:rStyle w:val="Hyperlink"/>
            <w:rFonts w:cstheme="minorHAnsi"/>
            <w:b/>
            <w:bCs/>
            <w:szCs w:val="24"/>
            <w:lang w:val="en-US"/>
          </w:rPr>
          <w:t>22</w:t>
        </w:r>
      </w:hyperlink>
      <w:r w:rsidRPr="001D7482">
        <w:rPr>
          <w:rStyle w:val="Hyperlink"/>
          <w:rFonts w:cstheme="minorHAnsi"/>
          <w:b/>
          <w:bCs/>
          <w:color w:val="auto"/>
          <w:szCs w:val="24"/>
          <w:u w:val="none"/>
          <w:lang w:val="en-US"/>
        </w:rPr>
        <w:t xml:space="preserve"> (Director, BDT)</w:t>
      </w:r>
      <w:r w:rsidR="004227D7" w:rsidRPr="001D7482">
        <w:rPr>
          <w:rStyle w:val="Hyperlink"/>
          <w:rFonts w:cstheme="minorHAnsi"/>
          <w:b/>
          <w:bCs/>
          <w:color w:val="auto"/>
          <w:szCs w:val="24"/>
          <w:u w:val="none"/>
          <w:lang w:val="en-US"/>
        </w:rPr>
        <w:t xml:space="preserve"> - </w:t>
      </w:r>
      <w:r w:rsidR="005F31D5" w:rsidRPr="001D7482">
        <w:rPr>
          <w:rStyle w:val="Hyperlink"/>
          <w:rFonts w:cstheme="minorHAnsi"/>
          <w:b/>
          <w:bCs/>
          <w:color w:val="auto"/>
          <w:szCs w:val="24"/>
          <w:u w:val="none"/>
          <w:lang w:val="en-US"/>
        </w:rPr>
        <w:t>Report on cyber-related activities mapping exercise requested in document TDAG-23/43</w:t>
      </w:r>
    </w:p>
    <w:p w14:paraId="1143AF59" w14:textId="1FFB1968" w:rsidR="00BE335C" w:rsidRPr="00215AF0" w:rsidRDefault="00BE335C"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215AF0">
        <w:rPr>
          <w:rFonts w:cstheme="minorHAnsi"/>
          <w:szCs w:val="24"/>
          <w:lang w:val="en-US"/>
        </w:rPr>
        <w:t xml:space="preserve">This document presented the mapping exercise carried out by the BDT and ways forward including the development of a dashboard, adding additional past activities and continuing to add new activities and data as they become available. </w:t>
      </w:r>
    </w:p>
    <w:p w14:paraId="5FCA378A" w14:textId="364DA319" w:rsidR="00375D8A" w:rsidRPr="00215AF0" w:rsidRDefault="00375D8A"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215AF0">
        <w:rPr>
          <w:rFonts w:cstheme="minorHAnsi"/>
          <w:szCs w:val="24"/>
          <w:lang w:val="en-US"/>
        </w:rPr>
        <w:t xml:space="preserve">TDAG acknowledged efforts made </w:t>
      </w:r>
      <w:r w:rsidR="00A745A3" w:rsidRPr="00215AF0">
        <w:rPr>
          <w:rFonts w:cstheme="minorHAnsi"/>
          <w:szCs w:val="24"/>
          <w:lang w:val="en-US"/>
        </w:rPr>
        <w:t xml:space="preserve">by both </w:t>
      </w:r>
      <w:r w:rsidR="001D3FC1" w:rsidRPr="00215AF0">
        <w:rPr>
          <w:rFonts w:cstheme="minorHAnsi"/>
          <w:szCs w:val="24"/>
          <w:lang w:val="en-US"/>
        </w:rPr>
        <w:t>the</w:t>
      </w:r>
      <w:r w:rsidRPr="00215AF0">
        <w:rPr>
          <w:rFonts w:cstheme="minorHAnsi"/>
          <w:szCs w:val="24"/>
          <w:lang w:val="en-US"/>
        </w:rPr>
        <w:t xml:space="preserve"> BDT</w:t>
      </w:r>
      <w:r w:rsidR="001D3FC1" w:rsidRPr="00215AF0">
        <w:rPr>
          <w:rFonts w:cstheme="minorHAnsi"/>
          <w:szCs w:val="24"/>
          <w:lang w:val="en-US"/>
        </w:rPr>
        <w:t xml:space="preserve"> and the </w:t>
      </w:r>
      <w:r w:rsidR="00A745A3" w:rsidRPr="00215AF0">
        <w:rPr>
          <w:rFonts w:cstheme="minorHAnsi"/>
          <w:szCs w:val="24"/>
          <w:lang w:val="en-US"/>
        </w:rPr>
        <w:t>Study Group 3/2 co-rapporteur</w:t>
      </w:r>
      <w:r w:rsidR="00CA4D08" w:rsidRPr="00215AF0">
        <w:rPr>
          <w:rFonts w:cstheme="minorHAnsi"/>
          <w:szCs w:val="24"/>
          <w:lang w:val="en-US"/>
        </w:rPr>
        <w:t xml:space="preserve">. </w:t>
      </w:r>
    </w:p>
    <w:p w14:paraId="72B8CB4B" w14:textId="7AB0C069" w:rsidR="00DB5AE4" w:rsidRDefault="00DB5AE4"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215AF0">
        <w:rPr>
          <w:rFonts w:cstheme="minorHAnsi"/>
          <w:szCs w:val="24"/>
          <w:lang w:val="en-US"/>
        </w:rPr>
        <w:t xml:space="preserve">The presentation and subsequent discussion underscored the significant progress made by ITU-D in the field of cybersecurity. </w:t>
      </w:r>
      <w:r w:rsidR="00E74712">
        <w:rPr>
          <w:rFonts w:cstheme="minorHAnsi"/>
          <w:szCs w:val="24"/>
          <w:lang w:val="en-US"/>
        </w:rPr>
        <w:t>TDAG</w:t>
      </w:r>
      <w:r w:rsidRPr="00215AF0">
        <w:rPr>
          <w:rFonts w:cstheme="minorHAnsi"/>
          <w:szCs w:val="24"/>
          <w:lang w:val="en-US"/>
        </w:rPr>
        <w:t xml:space="preserve"> appreciated the detailed mapping of activities and provided constructive feedback to enhance future reports. The importance of regional-specific approaches, capacity building, and inter-agency coordination was emphasized to ensure the effectiveness of cybersecurity initiatives across different regions</w:t>
      </w:r>
      <w:r w:rsidR="00B502CC">
        <w:rPr>
          <w:rFonts w:cstheme="minorHAnsi"/>
          <w:szCs w:val="24"/>
          <w:lang w:val="en-US"/>
        </w:rPr>
        <w:t>.</w:t>
      </w:r>
    </w:p>
    <w:tbl>
      <w:tblPr>
        <w:tblStyle w:val="TableGrid"/>
        <w:tblW w:w="0" w:type="auto"/>
        <w:tblLook w:val="04A0" w:firstRow="1" w:lastRow="0" w:firstColumn="1" w:lastColumn="0" w:noHBand="0" w:noVBand="1"/>
      </w:tblPr>
      <w:tblGrid>
        <w:gridCol w:w="9629"/>
      </w:tblGrid>
      <w:tr w:rsidR="00E03A36" w14:paraId="6CC7DA12" w14:textId="77777777" w:rsidTr="00E03A36">
        <w:tc>
          <w:tcPr>
            <w:tcW w:w="9629" w:type="dxa"/>
          </w:tcPr>
          <w:p w14:paraId="056AC9AE" w14:textId="4BC7BC82" w:rsidR="00E03A36" w:rsidRDefault="00E03A36"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03A36">
              <w:rPr>
                <w:rFonts w:cstheme="minorHAnsi"/>
                <w:szCs w:val="24"/>
                <w:lang w:val="en-US"/>
              </w:rPr>
              <w:t>TDAG took note of the document with appreciation, acknowledging that it had been prepared at the request of participants at the 2023 TDAG meeting. TDAG also took note of the number of activities which benefitted each region: Africa: 15; Americas: 7, Arab States: 10; Asia and the Pacific: 12; Commonwealth of Independent States: 6; Europe: 8.</w:t>
            </w:r>
          </w:p>
        </w:tc>
      </w:tr>
    </w:tbl>
    <w:p w14:paraId="66AFBC93" w14:textId="254EB445" w:rsidR="00520C4E" w:rsidRPr="00215AF0" w:rsidRDefault="007E1BD3" w:rsidP="00756B97">
      <w:pPr>
        <w:pStyle w:val="ListParagraph"/>
        <w:widowControl w:val="0"/>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215AF0">
        <w:rPr>
          <w:rFonts w:cstheme="minorHAnsi"/>
          <w:b/>
          <w:szCs w:val="24"/>
        </w:rPr>
        <w:t>Operational Plan 2024 (OP-24)</w:t>
      </w:r>
    </w:p>
    <w:p w14:paraId="76203CAF" w14:textId="0E4FFCAD" w:rsidR="00901ADB" w:rsidRPr="00F2489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F24892">
        <w:rPr>
          <w:rFonts w:cstheme="minorHAnsi"/>
          <w:b/>
          <w:szCs w:val="24"/>
          <w:lang w:val="en-US"/>
        </w:rPr>
        <w:t xml:space="preserve">Document </w:t>
      </w:r>
      <w:hyperlink r:id="rId28">
        <w:r w:rsidRPr="00F24892">
          <w:rPr>
            <w:rStyle w:val="Hyperlink"/>
            <w:rFonts w:cstheme="minorHAnsi"/>
            <w:b/>
            <w:szCs w:val="24"/>
            <w:lang w:val="en-US"/>
          </w:rPr>
          <w:t>12</w:t>
        </w:r>
      </w:hyperlink>
      <w:r w:rsidR="00181231" w:rsidRPr="00F24892">
        <w:rPr>
          <w:rStyle w:val="Hyperlink"/>
          <w:rFonts w:cstheme="minorHAnsi"/>
          <w:b/>
          <w:color w:val="auto"/>
          <w:szCs w:val="24"/>
          <w:u w:val="none"/>
          <w:lang w:val="en-US"/>
        </w:rPr>
        <w:t xml:space="preserve"> (Director, BDT)</w:t>
      </w:r>
      <w:r w:rsidR="005837B8" w:rsidRPr="00F24892">
        <w:rPr>
          <w:rStyle w:val="Hyperlink"/>
          <w:rFonts w:cstheme="minorHAnsi"/>
          <w:b/>
          <w:color w:val="auto"/>
          <w:szCs w:val="24"/>
          <w:u w:val="none"/>
          <w:lang w:val="en-US"/>
        </w:rPr>
        <w:t xml:space="preserve"> </w:t>
      </w:r>
      <w:r w:rsidR="002F55BD" w:rsidRPr="00F24892">
        <w:rPr>
          <w:rStyle w:val="Hyperlink"/>
          <w:rFonts w:cstheme="minorHAnsi"/>
          <w:b/>
          <w:color w:val="auto"/>
          <w:szCs w:val="24"/>
          <w:u w:val="none"/>
          <w:lang w:val="en-US"/>
        </w:rPr>
        <w:t>- ITU-D Operational Plan 2024</w:t>
      </w:r>
    </w:p>
    <w:p w14:paraId="5449D186" w14:textId="70EFA2D5" w:rsidR="000E7A5B" w:rsidRPr="00215AF0" w:rsidRDefault="009E4604"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This</w:t>
      </w:r>
      <w:r w:rsidR="000E7A5B" w:rsidRPr="00215AF0">
        <w:rPr>
          <w:rStyle w:val="Hyperlink"/>
          <w:rFonts w:cstheme="minorHAnsi"/>
          <w:color w:val="auto"/>
          <w:szCs w:val="24"/>
          <w:u w:val="none"/>
          <w:lang w:val="en-US"/>
        </w:rPr>
        <w:t xml:space="preserve"> document </w:t>
      </w:r>
      <w:r>
        <w:rPr>
          <w:rStyle w:val="Hyperlink"/>
          <w:rFonts w:cstheme="minorHAnsi"/>
          <w:color w:val="auto"/>
          <w:szCs w:val="24"/>
          <w:u w:val="none"/>
          <w:lang w:val="en-US"/>
        </w:rPr>
        <w:t>provided an</w:t>
      </w:r>
      <w:r w:rsidR="000E7A5B" w:rsidRPr="00215AF0">
        <w:rPr>
          <w:rStyle w:val="Hyperlink"/>
          <w:rFonts w:cstheme="minorHAnsi"/>
          <w:color w:val="auto"/>
          <w:szCs w:val="24"/>
          <w:u w:val="none"/>
          <w:lang w:val="en-US"/>
        </w:rPr>
        <w:t xml:space="preserve"> overview of the process undertaken by the </w:t>
      </w:r>
      <w:r w:rsidR="00A00B2C">
        <w:rPr>
          <w:rStyle w:val="Hyperlink"/>
          <w:rFonts w:cstheme="minorHAnsi"/>
          <w:color w:val="auto"/>
          <w:szCs w:val="24"/>
          <w:u w:val="none"/>
          <w:lang w:val="en-US"/>
        </w:rPr>
        <w:t>B</w:t>
      </w:r>
      <w:r w:rsidR="000E7A5B" w:rsidRPr="00215AF0">
        <w:rPr>
          <w:rStyle w:val="Hyperlink"/>
          <w:rFonts w:cstheme="minorHAnsi"/>
          <w:color w:val="auto"/>
          <w:szCs w:val="24"/>
          <w:u w:val="none"/>
          <w:lang w:val="en-US"/>
        </w:rPr>
        <w:t>ureau in planning</w:t>
      </w:r>
      <w:r w:rsidR="00B45BFF">
        <w:rPr>
          <w:rStyle w:val="Hyperlink"/>
          <w:rFonts w:cstheme="minorHAnsi"/>
          <w:color w:val="auto"/>
          <w:szCs w:val="24"/>
          <w:u w:val="none"/>
          <w:lang w:val="en-US"/>
        </w:rPr>
        <w:t xml:space="preserve"> </w:t>
      </w:r>
      <w:r w:rsidR="000E7A5B" w:rsidRPr="00215AF0">
        <w:rPr>
          <w:rStyle w:val="Hyperlink"/>
          <w:rFonts w:cstheme="minorHAnsi"/>
          <w:color w:val="auto"/>
          <w:szCs w:val="24"/>
          <w:u w:val="none"/>
          <w:lang w:val="en-US"/>
        </w:rPr>
        <w:t>activities deployed under OP</w:t>
      </w:r>
      <w:r w:rsidR="003E1E17">
        <w:rPr>
          <w:rStyle w:val="Hyperlink"/>
          <w:rFonts w:cstheme="minorHAnsi"/>
          <w:color w:val="auto"/>
          <w:szCs w:val="24"/>
          <w:u w:val="none"/>
          <w:lang w:val="en-US"/>
        </w:rPr>
        <w:t>-</w:t>
      </w:r>
      <w:r w:rsidR="000E7A5B" w:rsidRPr="00215AF0">
        <w:rPr>
          <w:rStyle w:val="Hyperlink"/>
          <w:rFonts w:cstheme="minorHAnsi"/>
          <w:color w:val="auto"/>
          <w:szCs w:val="24"/>
          <w:u w:val="none"/>
          <w:lang w:val="en-US"/>
        </w:rPr>
        <w:t>24.</w:t>
      </w:r>
      <w:r w:rsidR="00B45BFF">
        <w:rPr>
          <w:rStyle w:val="Hyperlink"/>
          <w:rFonts w:cstheme="minorHAnsi"/>
          <w:color w:val="auto"/>
          <w:szCs w:val="24"/>
          <w:u w:val="none"/>
          <w:lang w:val="en-US"/>
        </w:rPr>
        <w:t xml:space="preserve"> </w:t>
      </w:r>
    </w:p>
    <w:p w14:paraId="7673A610" w14:textId="1808AE78" w:rsidR="000E7A5B" w:rsidRPr="00215AF0" w:rsidRDefault="000E7A5B"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TDAG was informed that the process, anchored in the principles of results-based management, involved internal discussions within BDT as well as thorough consultations with Member States in all regions, </w:t>
      </w:r>
      <w:proofErr w:type="gramStart"/>
      <w:r w:rsidRPr="00215AF0">
        <w:rPr>
          <w:rStyle w:val="Hyperlink"/>
          <w:rFonts w:cstheme="minorHAnsi"/>
          <w:color w:val="auto"/>
          <w:szCs w:val="24"/>
          <w:u w:val="none"/>
          <w:lang w:val="en-US"/>
        </w:rPr>
        <w:t>taking into account</w:t>
      </w:r>
      <w:proofErr w:type="gramEnd"/>
      <w:r w:rsidRPr="00215AF0">
        <w:rPr>
          <w:rStyle w:val="Hyperlink"/>
          <w:rFonts w:cstheme="minorHAnsi"/>
          <w:color w:val="auto"/>
          <w:szCs w:val="24"/>
          <w:u w:val="none"/>
          <w:lang w:val="en-US"/>
        </w:rPr>
        <w:t xml:space="preserve"> the outcomes of the Kigali Action Plan, including Regional Initiatives.</w:t>
      </w:r>
      <w:r w:rsidR="00B45BFF">
        <w:rPr>
          <w:rStyle w:val="Hyperlink"/>
          <w:rFonts w:cstheme="minorHAnsi"/>
          <w:color w:val="auto"/>
          <w:szCs w:val="24"/>
          <w:u w:val="none"/>
          <w:lang w:val="en-US"/>
        </w:rPr>
        <w:t xml:space="preserve"> </w:t>
      </w:r>
    </w:p>
    <w:p w14:paraId="2BE3908A" w14:textId="54B1D772" w:rsidR="00AE5D66" w:rsidRPr="00215AF0" w:rsidRDefault="000E7A5B"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Budget allocation was presented and TDAG was invited to visit the OP dashboard published on the TDAG website to view implementation levels across regions as well as by ITU-D Priorities and Enablers.</w:t>
      </w:r>
      <w:r w:rsidR="00B45BFF">
        <w:rPr>
          <w:rStyle w:val="Hyperlink"/>
          <w:rFonts w:cstheme="minorHAnsi"/>
          <w:color w:val="auto"/>
          <w:szCs w:val="24"/>
          <w:u w:val="none"/>
          <w:lang w:val="en-US"/>
        </w:rPr>
        <w:t xml:space="preserve"> </w:t>
      </w:r>
    </w:p>
    <w:p w14:paraId="1F604099" w14:textId="79E1F423" w:rsidR="00763F86" w:rsidRPr="00215AF0" w:rsidRDefault="00763F8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lastRenderedPageBreak/>
        <w:t>The presentation and discussion underscored the effectiveness of the BDT’s planning and budgeting processes for 2024.</w:t>
      </w:r>
    </w:p>
    <w:p w14:paraId="2AAE47B7" w14:textId="4816F7CC" w:rsidR="007E31ED" w:rsidRPr="00215AF0" w:rsidRDefault="000615C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7E31ED" w:rsidRPr="00215AF0">
        <w:rPr>
          <w:rStyle w:val="Hyperlink"/>
          <w:rFonts w:cstheme="minorHAnsi"/>
          <w:color w:val="auto"/>
          <w:szCs w:val="24"/>
          <w:u w:val="none"/>
          <w:lang w:val="en-US"/>
        </w:rPr>
        <w:t xml:space="preserve"> expressed great appreciation for the detailed information provided, particularly in relation to the budget allocated for implementing the Kigali Action Plan.</w:t>
      </w:r>
    </w:p>
    <w:p w14:paraId="7B020122" w14:textId="342D1AD0" w:rsidR="007E31ED" w:rsidRPr="00215AF0" w:rsidRDefault="00340B39"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7E31ED" w:rsidRPr="00215AF0">
        <w:rPr>
          <w:rStyle w:val="Hyperlink"/>
          <w:rFonts w:cstheme="minorHAnsi"/>
          <w:color w:val="auto"/>
          <w:szCs w:val="24"/>
          <w:u w:val="none"/>
          <w:lang w:val="en-US"/>
        </w:rPr>
        <w:t xml:space="preserve"> thanked the BDT for actively engaging members in the planning process, emphasizing that such involvement ensures the programs are relevant and impactful for member needs.</w:t>
      </w:r>
    </w:p>
    <w:p w14:paraId="2D55E3C4" w14:textId="2C043F65" w:rsidR="00D26E5E" w:rsidRDefault="00E7471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 xml:space="preserve">TDAG </w:t>
      </w:r>
      <w:r w:rsidR="007E31ED" w:rsidRPr="00215AF0">
        <w:rPr>
          <w:rStyle w:val="Hyperlink"/>
          <w:rFonts w:cstheme="minorHAnsi"/>
          <w:color w:val="auto"/>
          <w:szCs w:val="24"/>
          <w:u w:val="none"/>
          <w:lang w:val="en-US"/>
        </w:rPr>
        <w:t xml:space="preserve">discussed the importance of ensuring that the implementation of the Operational Plan leads to tangible outcomes that address regional and global </w:t>
      </w:r>
      <w:proofErr w:type="gramStart"/>
      <w:r w:rsidR="007E31ED" w:rsidRPr="00215AF0">
        <w:rPr>
          <w:rStyle w:val="Hyperlink"/>
          <w:rFonts w:cstheme="minorHAnsi"/>
          <w:color w:val="auto"/>
          <w:szCs w:val="24"/>
          <w:u w:val="none"/>
          <w:lang w:val="en-US"/>
        </w:rPr>
        <w:t>priorities</w:t>
      </w:r>
      <w:r w:rsidR="0011675A">
        <w:rPr>
          <w:rStyle w:val="Hyperlink"/>
          <w:rFonts w:cstheme="minorHAnsi"/>
          <w:color w:val="auto"/>
          <w:szCs w:val="24"/>
          <w:u w:val="none"/>
          <w:lang w:val="en-US"/>
        </w:rPr>
        <w:t>,</w:t>
      </w:r>
      <w:r w:rsidR="00763F86">
        <w:rPr>
          <w:rStyle w:val="Hyperlink"/>
          <w:rFonts w:cstheme="minorHAnsi"/>
          <w:color w:val="auto"/>
          <w:szCs w:val="24"/>
          <w:u w:val="none"/>
          <w:lang w:val="en-US"/>
        </w:rPr>
        <w:t xml:space="preserve"> and</w:t>
      </w:r>
      <w:proofErr w:type="gramEnd"/>
      <w:r w:rsidR="00763F86">
        <w:rPr>
          <w:rStyle w:val="Hyperlink"/>
          <w:rFonts w:cstheme="minorHAnsi"/>
          <w:color w:val="auto"/>
          <w:szCs w:val="24"/>
          <w:u w:val="none"/>
          <w:lang w:val="en-US"/>
        </w:rPr>
        <w:t xml:space="preserve"> </w:t>
      </w:r>
      <w:r w:rsidR="007E31ED" w:rsidRPr="00215AF0">
        <w:rPr>
          <w:rStyle w:val="Hyperlink"/>
          <w:rFonts w:cstheme="minorHAnsi"/>
          <w:color w:val="auto"/>
          <w:szCs w:val="24"/>
          <w:u w:val="none"/>
          <w:lang w:val="en-US"/>
        </w:rPr>
        <w:t>stressed the need for continued focus on impactful activities and initiatives.</w:t>
      </w:r>
    </w:p>
    <w:tbl>
      <w:tblPr>
        <w:tblStyle w:val="TableGrid"/>
        <w:tblW w:w="0" w:type="auto"/>
        <w:tblLook w:val="04A0" w:firstRow="1" w:lastRow="0" w:firstColumn="1" w:lastColumn="0" w:noHBand="0" w:noVBand="1"/>
      </w:tblPr>
      <w:tblGrid>
        <w:gridCol w:w="9629"/>
      </w:tblGrid>
      <w:tr w:rsidR="00E03A36" w14:paraId="39D50613" w14:textId="77777777" w:rsidTr="00E03A36">
        <w:tc>
          <w:tcPr>
            <w:tcW w:w="9629" w:type="dxa"/>
          </w:tcPr>
          <w:p w14:paraId="61B6B89B" w14:textId="3E7599A0"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endorsed the document and the activities being deployed under the 2024 operational plan.</w:t>
            </w:r>
          </w:p>
        </w:tc>
      </w:tr>
    </w:tbl>
    <w:p w14:paraId="47B49D7D" w14:textId="6D10BC1E" w:rsidR="00C85DA9" w:rsidRPr="001D7482" w:rsidRDefault="00C85DA9"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1D7482">
        <w:rPr>
          <w:rFonts w:cstheme="minorHAnsi"/>
          <w:b/>
          <w:bCs/>
          <w:szCs w:val="24"/>
        </w:rPr>
        <w:t xml:space="preserve">Document </w:t>
      </w:r>
      <w:hyperlink r:id="rId29">
        <w:r w:rsidRPr="001D7482">
          <w:rPr>
            <w:rStyle w:val="Hyperlink"/>
            <w:rFonts w:cstheme="minorHAnsi"/>
            <w:b/>
            <w:bCs/>
            <w:szCs w:val="24"/>
          </w:rPr>
          <w:t>4</w:t>
        </w:r>
        <w:r w:rsidR="003F35DC" w:rsidRPr="001D7482">
          <w:rPr>
            <w:rStyle w:val="Hyperlink"/>
            <w:rFonts w:cstheme="minorHAnsi"/>
            <w:b/>
            <w:bCs/>
            <w:szCs w:val="24"/>
          </w:rPr>
          <w:t>9(Rev.1)</w:t>
        </w:r>
      </w:hyperlink>
      <w:r w:rsidRPr="001D7482">
        <w:rPr>
          <w:rStyle w:val="Hyperlink"/>
          <w:rFonts w:cstheme="minorHAnsi"/>
          <w:b/>
          <w:bCs/>
          <w:color w:val="auto"/>
          <w:szCs w:val="24"/>
          <w:u w:val="none"/>
        </w:rPr>
        <w:t xml:space="preserve"> (Report by the Secretary-General)</w:t>
      </w:r>
      <w:r w:rsidR="000900D3" w:rsidRPr="001D7482">
        <w:rPr>
          <w:rStyle w:val="Hyperlink"/>
          <w:rFonts w:cstheme="minorHAnsi"/>
          <w:b/>
          <w:bCs/>
          <w:color w:val="auto"/>
          <w:szCs w:val="24"/>
          <w:u w:val="none"/>
        </w:rPr>
        <w:t xml:space="preserve"> - </w:t>
      </w:r>
      <w:r w:rsidR="005C4935" w:rsidRPr="001D7482">
        <w:rPr>
          <w:rStyle w:val="Hyperlink"/>
          <w:rFonts w:cstheme="minorHAnsi"/>
          <w:b/>
          <w:bCs/>
          <w:color w:val="auto"/>
          <w:szCs w:val="24"/>
          <w:u w:val="none"/>
        </w:rPr>
        <w:t>ITU-D draft operational plan for 2025-2028 and 2023 performance report</w:t>
      </w:r>
    </w:p>
    <w:p w14:paraId="5972F05E" w14:textId="4A050132" w:rsidR="006F4573" w:rsidRPr="00215AF0" w:rsidRDefault="006F4573"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document outlined the comprehensive plan for ITU-D’s activities from 2025 to 2028 and provides a performance report for 2023. </w:t>
      </w:r>
      <w:r w:rsidR="00D56BBD" w:rsidRPr="00215AF0">
        <w:rPr>
          <w:rStyle w:val="Hyperlink"/>
          <w:rFonts w:cstheme="minorHAnsi"/>
          <w:color w:val="auto"/>
          <w:szCs w:val="24"/>
          <w:u w:val="none"/>
          <w:lang w:val="en-US"/>
        </w:rPr>
        <w:t xml:space="preserve">The plan aligned with </w:t>
      </w:r>
      <w:r w:rsidR="00F53264">
        <w:rPr>
          <w:rStyle w:val="Hyperlink"/>
          <w:rFonts w:cstheme="minorHAnsi"/>
          <w:color w:val="auto"/>
          <w:szCs w:val="24"/>
          <w:u w:val="none"/>
          <w:lang w:val="en-US"/>
        </w:rPr>
        <w:t xml:space="preserve">the </w:t>
      </w:r>
      <w:r w:rsidR="00D56BBD" w:rsidRPr="00215AF0">
        <w:rPr>
          <w:rStyle w:val="Hyperlink"/>
          <w:rFonts w:cstheme="minorHAnsi"/>
          <w:color w:val="auto"/>
          <w:szCs w:val="24"/>
          <w:u w:val="none"/>
          <w:lang w:val="en-US"/>
        </w:rPr>
        <w:t>ITU Plenipotentiary Conference recommendations and provides detailed sector-specific results, key performance indicators (KPIs), and risk factors along with human resource indicators. The Secretariat emphasized the need for member states’ analysis and guidance to ensure successful implementation of the plan.</w:t>
      </w:r>
    </w:p>
    <w:p w14:paraId="6565341D" w14:textId="527EAC34" w:rsidR="00AE5D66" w:rsidRDefault="006F4573"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presentation and subsequent discussion highlighted the comprehensive nature of the Operational Plan for 2025-2028 and the achievements of 2023. </w:t>
      </w:r>
      <w:r w:rsidR="007D08D9">
        <w:rPr>
          <w:rStyle w:val="Hyperlink"/>
          <w:rFonts w:cstheme="minorHAnsi"/>
          <w:color w:val="auto"/>
          <w:szCs w:val="24"/>
          <w:u w:val="none"/>
          <w:lang w:val="en-US"/>
        </w:rPr>
        <w:t>TDAG</w:t>
      </w:r>
      <w:r w:rsidRPr="00215AF0">
        <w:rPr>
          <w:rStyle w:val="Hyperlink"/>
          <w:rFonts w:cstheme="minorHAnsi"/>
          <w:color w:val="auto"/>
          <w:szCs w:val="24"/>
          <w:u w:val="none"/>
          <w:lang w:val="en-US"/>
        </w:rPr>
        <w:t xml:space="preserve"> appreciated the detailed sector-specific focus and</w:t>
      </w:r>
      <w:r w:rsidRPr="00215AF0" w:rsidDel="001F37A7">
        <w:rPr>
          <w:rStyle w:val="Hyperlink"/>
          <w:rFonts w:cstheme="minorHAnsi"/>
          <w:color w:val="auto"/>
          <w:szCs w:val="24"/>
          <w:u w:val="none"/>
          <w:lang w:val="en-US"/>
        </w:rPr>
        <w:t xml:space="preserve"> </w:t>
      </w:r>
      <w:r w:rsidR="001F37A7">
        <w:rPr>
          <w:rStyle w:val="Hyperlink"/>
          <w:rFonts w:cstheme="minorHAnsi"/>
          <w:color w:val="auto"/>
          <w:szCs w:val="24"/>
          <w:u w:val="none"/>
          <w:lang w:val="en-US"/>
        </w:rPr>
        <w:t>emphasized t</w:t>
      </w:r>
      <w:r w:rsidRPr="00215AF0">
        <w:rPr>
          <w:rStyle w:val="Hyperlink"/>
          <w:rFonts w:cstheme="minorHAnsi"/>
          <w:color w:val="auto"/>
          <w:szCs w:val="24"/>
          <w:u w:val="none"/>
          <w:lang w:val="en-US"/>
        </w:rPr>
        <w:t>he importance of financial considerations, transparency, and coordination to ensure the effective use of resources and the achievement of ITU’s strategic objectives.</w:t>
      </w:r>
    </w:p>
    <w:tbl>
      <w:tblPr>
        <w:tblStyle w:val="TableGrid"/>
        <w:tblW w:w="0" w:type="auto"/>
        <w:tblLook w:val="04A0" w:firstRow="1" w:lastRow="0" w:firstColumn="1" w:lastColumn="0" w:noHBand="0" w:noVBand="1"/>
      </w:tblPr>
      <w:tblGrid>
        <w:gridCol w:w="9629"/>
      </w:tblGrid>
      <w:tr w:rsidR="00E03A36" w14:paraId="08E169AE" w14:textId="77777777" w:rsidTr="00B309EA">
        <w:tc>
          <w:tcPr>
            <w:tcW w:w="9629" w:type="dxa"/>
          </w:tcPr>
          <w:p w14:paraId="78DE72A7" w14:textId="151C2ADB" w:rsidR="00E03A36" w:rsidRDefault="00E03A36" w:rsidP="00B309EA">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w:t>
            </w:r>
          </w:p>
        </w:tc>
      </w:tr>
    </w:tbl>
    <w:p w14:paraId="6177DD3E" w14:textId="1A1259B2" w:rsidR="00D72C09" w:rsidRPr="001D7482" w:rsidRDefault="00F84D4F" w:rsidP="00E03A36">
      <w:pPr>
        <w:pStyle w:val="Default"/>
        <w:spacing w:before="120" w:after="120"/>
        <w:rPr>
          <w:rFonts w:asciiTheme="minorHAnsi" w:hAnsiTheme="minorHAnsi" w:cstheme="minorBidi"/>
          <w:b/>
          <w:bCs/>
          <w:lang w:val="en-GB"/>
        </w:rPr>
      </w:pPr>
      <w:r w:rsidRPr="38A6BD3C">
        <w:rPr>
          <w:rFonts w:asciiTheme="minorHAnsi" w:hAnsiTheme="minorHAnsi" w:cstheme="minorBidi"/>
          <w:b/>
          <w:bCs/>
          <w:lang w:val="en-GB"/>
        </w:rPr>
        <w:t xml:space="preserve">Document </w:t>
      </w:r>
      <w:hyperlink r:id="rId30">
        <w:r w:rsidRPr="38A6BD3C">
          <w:rPr>
            <w:rStyle w:val="Hyperlink"/>
            <w:rFonts w:asciiTheme="minorHAnsi" w:hAnsiTheme="minorHAnsi" w:cstheme="minorBidi"/>
            <w:b/>
            <w:bCs/>
            <w:lang w:val="en-GB"/>
          </w:rPr>
          <w:t>20</w:t>
        </w:r>
      </w:hyperlink>
      <w:r w:rsidR="00181231" w:rsidRPr="38A6BD3C">
        <w:rPr>
          <w:rStyle w:val="Hyperlink"/>
          <w:rFonts w:asciiTheme="minorHAnsi" w:hAnsiTheme="minorHAnsi" w:cstheme="minorBidi"/>
          <w:b/>
          <w:bCs/>
          <w:color w:val="auto"/>
          <w:u w:val="none"/>
          <w:lang w:val="en-GB"/>
        </w:rPr>
        <w:t xml:space="preserve"> (TSAG)</w:t>
      </w:r>
      <w:r w:rsidR="00B45BFF">
        <w:rPr>
          <w:rFonts w:asciiTheme="minorHAnsi" w:hAnsiTheme="minorHAnsi" w:cstheme="minorBidi"/>
          <w:b/>
          <w:bCs/>
          <w:lang w:val="en-GB"/>
        </w:rPr>
        <w:t xml:space="preserve"> </w:t>
      </w:r>
      <w:r w:rsidR="000E1B91" w:rsidRPr="38A6BD3C">
        <w:rPr>
          <w:rFonts w:asciiTheme="minorHAnsi" w:hAnsiTheme="minorHAnsi" w:cstheme="minorBidi"/>
          <w:b/>
          <w:bCs/>
          <w:lang w:val="en-GB"/>
        </w:rPr>
        <w:t>- Incoming LS - Liaison Statement on work on Digital Transformation</w:t>
      </w:r>
    </w:p>
    <w:p w14:paraId="25D677C9" w14:textId="63A34AD9" w:rsidR="000A4B9D" w:rsidRPr="009D5C31" w:rsidRDefault="000A4B9D" w:rsidP="00E03A36">
      <w:pPr>
        <w:pStyle w:val="Default"/>
        <w:spacing w:before="120" w:after="120"/>
        <w:rPr>
          <w:rStyle w:val="Hyperlink"/>
          <w:rFonts w:asciiTheme="minorHAnsi" w:hAnsiTheme="minorHAnsi" w:cstheme="minorHAnsi"/>
          <w:b/>
          <w:color w:val="auto"/>
          <w:u w:val="none"/>
        </w:rPr>
      </w:pPr>
      <w:r w:rsidRPr="009D5C31">
        <w:rPr>
          <w:rFonts w:asciiTheme="minorHAnsi" w:hAnsiTheme="minorHAnsi" w:cstheme="minorHAnsi"/>
          <w:b/>
        </w:rPr>
        <w:t xml:space="preserve">Document </w:t>
      </w:r>
      <w:hyperlink r:id="rId31">
        <w:r w:rsidRPr="009D5C31">
          <w:rPr>
            <w:rStyle w:val="Hyperlink"/>
            <w:rFonts w:asciiTheme="minorHAnsi" w:hAnsiTheme="minorHAnsi" w:cstheme="minorHAnsi"/>
            <w:b/>
          </w:rPr>
          <w:t>DT/6(Rev.2)</w:t>
        </w:r>
      </w:hyperlink>
      <w:r w:rsidR="007B4D3D" w:rsidRPr="009D5C31">
        <w:rPr>
          <w:rStyle w:val="Hyperlink"/>
          <w:rFonts w:asciiTheme="minorHAnsi" w:hAnsiTheme="minorHAnsi" w:cstheme="minorHAnsi"/>
          <w:b/>
        </w:rPr>
        <w:t xml:space="preserve"> </w:t>
      </w:r>
      <w:r w:rsidR="007B4D3D" w:rsidRPr="009D5C31">
        <w:rPr>
          <w:rFonts w:asciiTheme="minorHAnsi" w:hAnsiTheme="minorHAnsi" w:cstheme="minorHAnsi"/>
          <w:b/>
        </w:rPr>
        <w:t xml:space="preserve">- </w:t>
      </w:r>
      <w:r w:rsidR="007B4D3D" w:rsidRPr="00585835">
        <w:rPr>
          <w:rFonts w:asciiTheme="minorHAnsi" w:hAnsiTheme="minorHAnsi" w:cstheme="minorHAnsi"/>
          <w:b/>
        </w:rPr>
        <w:t>Reply liaison statement to TSAG: Work on</w:t>
      </w:r>
      <w:r w:rsidR="007B4D3D" w:rsidRPr="009D5C31">
        <w:rPr>
          <w:rFonts w:asciiTheme="minorHAnsi" w:hAnsiTheme="minorHAnsi" w:cstheme="minorHAnsi"/>
          <w:b/>
        </w:rPr>
        <w:t xml:space="preserve"> Digital Transformation </w:t>
      </w:r>
      <w:r w:rsidR="004C7060" w:rsidRPr="009D5C31">
        <w:rPr>
          <w:rFonts w:asciiTheme="minorHAnsi" w:hAnsiTheme="minorHAnsi" w:cstheme="minorHAnsi"/>
          <w:b/>
        </w:rPr>
        <w:t>(</w:t>
      </w:r>
      <w:r w:rsidRPr="009D5C31">
        <w:rPr>
          <w:rFonts w:asciiTheme="minorHAnsi" w:hAnsiTheme="minorHAnsi" w:cstheme="minorHAnsi"/>
          <w:b/>
        </w:rPr>
        <w:t>Chair, TDAG)</w:t>
      </w:r>
    </w:p>
    <w:p w14:paraId="13D21522" w14:textId="1C1CAD8C" w:rsidR="00A52A7B" w:rsidRPr="00215AF0" w:rsidRDefault="004251F4" w:rsidP="00E03A36">
      <w:pPr>
        <w:pStyle w:val="Default"/>
        <w:spacing w:before="120" w:after="120"/>
        <w:rPr>
          <w:rStyle w:val="Hyperlink"/>
          <w:rFonts w:asciiTheme="minorHAnsi" w:hAnsiTheme="minorHAnsi" w:cstheme="minorHAnsi"/>
          <w:color w:val="auto"/>
          <w:u w:val="none"/>
        </w:rPr>
      </w:pPr>
      <w:r w:rsidRPr="00215AF0">
        <w:rPr>
          <w:rFonts w:asciiTheme="minorHAnsi" w:hAnsiTheme="minorHAnsi" w:cstheme="minorHAnsi"/>
        </w:rPr>
        <w:t>The BDT Secretariat</w:t>
      </w:r>
      <w:r w:rsidR="005D0E5C" w:rsidRPr="00215AF0">
        <w:rPr>
          <w:rFonts w:asciiTheme="minorHAnsi" w:hAnsiTheme="minorHAnsi" w:cstheme="minorHAnsi"/>
        </w:rPr>
        <w:t xml:space="preserve"> presented </w:t>
      </w:r>
      <w:r w:rsidR="000A4B9D">
        <w:rPr>
          <w:rFonts w:asciiTheme="minorHAnsi" w:hAnsiTheme="minorHAnsi" w:cstheme="minorHAnsi"/>
        </w:rPr>
        <w:t>document 20</w:t>
      </w:r>
      <w:r w:rsidR="000E1B91">
        <w:rPr>
          <w:rFonts w:asciiTheme="minorHAnsi" w:hAnsiTheme="minorHAnsi" w:cstheme="minorHAnsi"/>
        </w:rPr>
        <w:t xml:space="preserve"> </w:t>
      </w:r>
      <w:r w:rsidR="00540DE2">
        <w:rPr>
          <w:rFonts w:asciiTheme="minorHAnsi" w:hAnsiTheme="minorHAnsi" w:cstheme="minorHAnsi"/>
        </w:rPr>
        <w:t xml:space="preserve">summarizing </w:t>
      </w:r>
      <w:r w:rsidR="00577CAA">
        <w:rPr>
          <w:rFonts w:asciiTheme="minorHAnsi" w:hAnsiTheme="minorHAnsi" w:cstheme="minorHAnsi"/>
        </w:rPr>
        <w:t>the Standa</w:t>
      </w:r>
      <w:r w:rsidR="002E2CB5">
        <w:rPr>
          <w:rFonts w:asciiTheme="minorHAnsi" w:hAnsiTheme="minorHAnsi" w:cstheme="minorHAnsi"/>
        </w:rPr>
        <w:t xml:space="preserve">rdization Bureau’s </w:t>
      </w:r>
      <w:r w:rsidR="005D0E5C" w:rsidRPr="00215AF0">
        <w:rPr>
          <w:rFonts w:asciiTheme="minorHAnsi" w:hAnsiTheme="minorHAnsi" w:cstheme="minorHAnsi"/>
        </w:rPr>
        <w:t>work on digital transformation. The document focuse</w:t>
      </w:r>
      <w:r w:rsidR="007364E5" w:rsidRPr="00215AF0">
        <w:rPr>
          <w:rFonts w:asciiTheme="minorHAnsi" w:hAnsiTheme="minorHAnsi" w:cstheme="minorHAnsi"/>
        </w:rPr>
        <w:t>d</w:t>
      </w:r>
      <w:r w:rsidR="005D0E5C" w:rsidRPr="00215AF0">
        <w:rPr>
          <w:rFonts w:asciiTheme="minorHAnsi" w:hAnsiTheme="minorHAnsi" w:cstheme="minorHAnsi"/>
        </w:rPr>
        <w:t xml:space="preserve"> on a gap analysis of sustainable digital transformation activities across ITU sectors (ITU-T, ITU-D, and ITU-R) and other standardization bodies</w:t>
      </w:r>
      <w:r w:rsidR="007D6858" w:rsidRPr="00215AF0">
        <w:rPr>
          <w:rStyle w:val="Hyperlink"/>
          <w:rFonts w:asciiTheme="minorHAnsi" w:hAnsiTheme="minorHAnsi" w:cstheme="minorHAnsi"/>
          <w:color w:val="auto"/>
          <w:u w:val="none"/>
        </w:rPr>
        <w:t>.</w:t>
      </w:r>
    </w:p>
    <w:p w14:paraId="70B40A4E" w14:textId="5FC32B09" w:rsidR="008C5576" w:rsidRPr="00215AF0" w:rsidRDefault="007D08D9" w:rsidP="00E03A36">
      <w:pPr>
        <w:pStyle w:val="Default"/>
        <w:spacing w:before="120" w:after="120"/>
        <w:rPr>
          <w:rStyle w:val="Hyperlink"/>
          <w:rFonts w:asciiTheme="minorHAnsi" w:hAnsiTheme="minorHAnsi" w:cstheme="minorHAnsi"/>
          <w:color w:val="auto"/>
          <w:u w:val="none"/>
        </w:rPr>
      </w:pPr>
      <w:r>
        <w:rPr>
          <w:rStyle w:val="Hyperlink"/>
          <w:rFonts w:asciiTheme="minorHAnsi" w:hAnsiTheme="minorHAnsi" w:cstheme="minorHAnsi"/>
          <w:color w:val="auto"/>
          <w:u w:val="none"/>
        </w:rPr>
        <w:t>TDAG</w:t>
      </w:r>
      <w:r w:rsidR="008C5576" w:rsidRPr="00215AF0">
        <w:rPr>
          <w:rStyle w:val="Hyperlink"/>
          <w:rFonts w:asciiTheme="minorHAnsi" w:hAnsiTheme="minorHAnsi" w:cstheme="minorHAnsi"/>
          <w:color w:val="auto"/>
          <w:u w:val="none"/>
        </w:rPr>
        <w:t xml:space="preserve"> expressed appreciation for the detailed gap analysis and the collaborative approach taken by TSAG and BDT. </w:t>
      </w:r>
      <w:r w:rsidR="005449F5">
        <w:rPr>
          <w:rStyle w:val="Hyperlink"/>
          <w:rFonts w:asciiTheme="minorHAnsi" w:hAnsiTheme="minorHAnsi" w:cstheme="minorHAnsi"/>
          <w:color w:val="auto"/>
          <w:u w:val="none"/>
        </w:rPr>
        <w:t>TDAG</w:t>
      </w:r>
      <w:r w:rsidR="008C5576" w:rsidRPr="00215AF0" w:rsidDel="00A93E15">
        <w:rPr>
          <w:rStyle w:val="Hyperlink"/>
          <w:rFonts w:asciiTheme="minorHAnsi" w:hAnsiTheme="minorHAnsi" w:cstheme="minorHAnsi"/>
          <w:color w:val="auto"/>
          <w:u w:val="none"/>
        </w:rPr>
        <w:t xml:space="preserve"> </w:t>
      </w:r>
      <w:r w:rsidR="00A93E15">
        <w:rPr>
          <w:rStyle w:val="Hyperlink"/>
          <w:rFonts w:asciiTheme="minorHAnsi" w:hAnsiTheme="minorHAnsi" w:cstheme="minorHAnsi"/>
          <w:color w:val="auto"/>
          <w:u w:val="none"/>
        </w:rPr>
        <w:t>stressed</w:t>
      </w:r>
      <w:r w:rsidR="00A93E15" w:rsidRPr="00215AF0">
        <w:rPr>
          <w:rStyle w:val="Hyperlink"/>
          <w:rFonts w:asciiTheme="minorHAnsi" w:hAnsiTheme="minorHAnsi" w:cstheme="minorHAnsi"/>
          <w:color w:val="auto"/>
          <w:u w:val="none"/>
        </w:rPr>
        <w:t xml:space="preserve"> </w:t>
      </w:r>
      <w:r w:rsidR="008C5576" w:rsidRPr="00215AF0">
        <w:rPr>
          <w:rStyle w:val="Hyperlink"/>
          <w:rFonts w:asciiTheme="minorHAnsi" w:hAnsiTheme="minorHAnsi" w:cstheme="minorHAnsi"/>
          <w:color w:val="auto"/>
          <w:u w:val="none"/>
        </w:rPr>
        <w:t xml:space="preserve">the </w:t>
      </w:r>
      <w:r w:rsidR="00A93E15">
        <w:rPr>
          <w:rStyle w:val="Hyperlink"/>
          <w:rFonts w:asciiTheme="minorHAnsi" w:hAnsiTheme="minorHAnsi" w:cstheme="minorHAnsi"/>
          <w:color w:val="auto"/>
          <w:u w:val="none"/>
        </w:rPr>
        <w:t>importance</w:t>
      </w:r>
      <w:r w:rsidR="008C5576" w:rsidRPr="00215AF0">
        <w:rPr>
          <w:rStyle w:val="Hyperlink"/>
          <w:rFonts w:asciiTheme="minorHAnsi" w:hAnsiTheme="minorHAnsi" w:cstheme="minorHAnsi"/>
          <w:color w:val="auto"/>
          <w:u w:val="none"/>
        </w:rPr>
        <w:t xml:space="preserve"> of avoiding </w:t>
      </w:r>
      <w:r w:rsidR="00A93E15">
        <w:rPr>
          <w:rStyle w:val="Hyperlink"/>
          <w:rFonts w:asciiTheme="minorHAnsi" w:hAnsiTheme="minorHAnsi" w:cstheme="minorHAnsi"/>
          <w:color w:val="auto"/>
          <w:u w:val="none"/>
        </w:rPr>
        <w:t xml:space="preserve">duplication and </w:t>
      </w:r>
      <w:r w:rsidR="008C5576" w:rsidRPr="00215AF0">
        <w:rPr>
          <w:rStyle w:val="Hyperlink"/>
          <w:rFonts w:asciiTheme="minorHAnsi" w:hAnsiTheme="minorHAnsi" w:cstheme="minorHAnsi"/>
          <w:color w:val="auto"/>
          <w:u w:val="none"/>
        </w:rPr>
        <w:t>redundancy</w:t>
      </w:r>
      <w:r w:rsidR="00A93E15">
        <w:rPr>
          <w:rStyle w:val="Hyperlink"/>
          <w:rFonts w:asciiTheme="minorHAnsi" w:hAnsiTheme="minorHAnsi" w:cstheme="minorHAnsi"/>
          <w:color w:val="auto"/>
          <w:u w:val="none"/>
        </w:rPr>
        <w:t>,</w:t>
      </w:r>
      <w:r w:rsidR="008C5576" w:rsidRPr="00215AF0">
        <w:rPr>
          <w:rStyle w:val="Hyperlink"/>
          <w:rFonts w:asciiTheme="minorHAnsi" w:hAnsiTheme="minorHAnsi" w:cstheme="minorHAnsi"/>
          <w:color w:val="auto"/>
          <w:u w:val="none"/>
        </w:rPr>
        <w:t xml:space="preserve"> and ensuring the efficient use of resources, noting that a well-coordinated effort would be critical to the success of digital transformation initiatives.</w:t>
      </w:r>
    </w:p>
    <w:p w14:paraId="0EA270F6" w14:textId="4A8FEC8C" w:rsidR="008C5576" w:rsidRPr="00215AF0" w:rsidRDefault="008C5576" w:rsidP="00E03A36">
      <w:pPr>
        <w:pStyle w:val="Default"/>
        <w:spacing w:before="120" w:after="120"/>
        <w:rPr>
          <w:rStyle w:val="Hyperlink"/>
          <w:rFonts w:asciiTheme="minorHAnsi" w:hAnsiTheme="minorHAnsi" w:cstheme="minorBidi"/>
          <w:color w:val="auto"/>
          <w:u w:val="none"/>
          <w:lang w:val="en-GB"/>
        </w:rPr>
      </w:pPr>
      <w:r w:rsidRPr="38A6BD3C">
        <w:rPr>
          <w:rStyle w:val="Hyperlink"/>
          <w:rFonts w:asciiTheme="minorHAnsi" w:hAnsiTheme="minorHAnsi" w:cstheme="minorBidi"/>
          <w:color w:val="auto"/>
          <w:u w:val="none"/>
          <w:lang w:val="en-GB"/>
        </w:rPr>
        <w:t xml:space="preserve">A significant portion of the discussion focused on the mechanisms for ensuring that digital transformation initiatives are well-coordinated across different sectors. </w:t>
      </w:r>
      <w:r w:rsidR="005B20E0" w:rsidRPr="38A6BD3C">
        <w:rPr>
          <w:rStyle w:val="Hyperlink"/>
          <w:rFonts w:asciiTheme="minorHAnsi" w:hAnsiTheme="minorHAnsi" w:cstheme="minorBidi"/>
          <w:color w:val="auto"/>
          <w:u w:val="none"/>
          <w:lang w:val="en-GB"/>
        </w:rPr>
        <w:t>TDAG</w:t>
      </w:r>
      <w:r w:rsidRPr="38A6BD3C">
        <w:rPr>
          <w:rStyle w:val="Hyperlink"/>
          <w:rFonts w:asciiTheme="minorHAnsi" w:hAnsiTheme="minorHAnsi" w:cstheme="minorBidi"/>
          <w:color w:val="auto"/>
          <w:u w:val="none"/>
          <w:lang w:val="en-GB"/>
        </w:rPr>
        <w:t xml:space="preserve"> emphasized the need for a clear and unified strategy to guide these efforts, with specific attention to preventing overlap and ensuring that all initiatives are complementary and aligned with ITU’s strategic goals.</w:t>
      </w:r>
    </w:p>
    <w:p w14:paraId="231ABA1B" w14:textId="22E2AD88" w:rsidR="008C5576" w:rsidRPr="00215AF0" w:rsidRDefault="008C5576" w:rsidP="00E03A36">
      <w:pPr>
        <w:pStyle w:val="Default"/>
        <w:spacing w:before="120" w:after="120"/>
        <w:rPr>
          <w:rStyle w:val="Hyperlink"/>
          <w:rFonts w:asciiTheme="minorHAnsi" w:hAnsiTheme="minorHAnsi" w:cstheme="minorHAnsi"/>
          <w:color w:val="auto"/>
          <w:u w:val="none"/>
        </w:rPr>
      </w:pPr>
      <w:r w:rsidRPr="00215AF0">
        <w:rPr>
          <w:rStyle w:val="Hyperlink"/>
          <w:rFonts w:asciiTheme="minorHAnsi" w:hAnsiTheme="minorHAnsi" w:cstheme="minorHAnsi"/>
          <w:color w:val="auto"/>
          <w:u w:val="none"/>
        </w:rPr>
        <w:t xml:space="preserve">The importance of involving a broad range of stakeholders, including member states, private sector entities, and other relevant organizations, was widely acknowledged. </w:t>
      </w:r>
      <w:r w:rsidR="00F51220">
        <w:rPr>
          <w:rStyle w:val="Hyperlink"/>
          <w:rFonts w:asciiTheme="minorHAnsi" w:hAnsiTheme="minorHAnsi" w:cstheme="minorHAnsi"/>
          <w:color w:val="auto"/>
          <w:u w:val="none"/>
        </w:rPr>
        <w:t>TDAG</w:t>
      </w:r>
      <w:r w:rsidRPr="00215AF0">
        <w:rPr>
          <w:rStyle w:val="Hyperlink"/>
          <w:rFonts w:asciiTheme="minorHAnsi" w:hAnsiTheme="minorHAnsi" w:cstheme="minorHAnsi"/>
          <w:color w:val="auto"/>
          <w:u w:val="none"/>
        </w:rPr>
        <w:t xml:space="preserve"> suggested enhancing stakeholder engagement through regular consultations and feedback sessions. The </w:t>
      </w:r>
      <w:r w:rsidRPr="00215AF0">
        <w:rPr>
          <w:rStyle w:val="Hyperlink"/>
          <w:rFonts w:asciiTheme="minorHAnsi" w:hAnsiTheme="minorHAnsi" w:cstheme="minorHAnsi"/>
          <w:color w:val="auto"/>
          <w:u w:val="none"/>
        </w:rPr>
        <w:lastRenderedPageBreak/>
        <w:t xml:space="preserve">need for robust monitoring and reporting mechanisms to track the progress of digital transformation initiatives was also discussed. </w:t>
      </w:r>
      <w:r w:rsidR="005B20E0">
        <w:rPr>
          <w:rStyle w:val="Hyperlink"/>
          <w:rFonts w:asciiTheme="minorHAnsi" w:hAnsiTheme="minorHAnsi" w:cstheme="minorHAnsi"/>
          <w:color w:val="auto"/>
          <w:u w:val="none"/>
        </w:rPr>
        <w:t>TDAG</w:t>
      </w:r>
      <w:r w:rsidRPr="00215AF0">
        <w:rPr>
          <w:rStyle w:val="Hyperlink"/>
          <w:rFonts w:asciiTheme="minorHAnsi" w:hAnsiTheme="minorHAnsi" w:cstheme="minorHAnsi"/>
          <w:color w:val="auto"/>
          <w:u w:val="none"/>
        </w:rPr>
        <w:t xml:space="preserve"> agreed on the importance of transparency and accountability in these efforts, suggesting that regular progress reports and updates would be necessary to keep all stakeholders informed and engaged.</w:t>
      </w:r>
    </w:p>
    <w:p w14:paraId="207BD885" w14:textId="5E0B7F08" w:rsidR="008C5576" w:rsidRPr="00215AF0" w:rsidRDefault="008C5576" w:rsidP="00E03A36">
      <w:pPr>
        <w:pStyle w:val="Default"/>
        <w:spacing w:before="120" w:after="120"/>
        <w:rPr>
          <w:rStyle w:val="Hyperlink"/>
          <w:rFonts w:asciiTheme="minorHAnsi" w:hAnsiTheme="minorHAnsi" w:cstheme="minorBidi"/>
          <w:color w:val="auto"/>
          <w:u w:val="none"/>
          <w:lang w:val="en-GB"/>
        </w:rPr>
      </w:pPr>
      <w:r w:rsidRPr="38A6BD3C">
        <w:rPr>
          <w:rStyle w:val="Hyperlink"/>
          <w:rFonts w:asciiTheme="minorHAnsi" w:hAnsiTheme="minorHAnsi" w:cstheme="minorBidi"/>
          <w:color w:val="auto"/>
          <w:u w:val="none"/>
          <w:lang w:val="en-GB"/>
        </w:rPr>
        <w:t xml:space="preserve">There was strong support for continued collaboration between TSAG and BDT. </w:t>
      </w:r>
      <w:r w:rsidR="005B20E0" w:rsidRPr="38A6BD3C">
        <w:rPr>
          <w:rStyle w:val="Hyperlink"/>
          <w:rFonts w:asciiTheme="minorHAnsi" w:hAnsiTheme="minorHAnsi" w:cstheme="minorBidi"/>
          <w:color w:val="auto"/>
          <w:u w:val="none"/>
          <w:lang w:val="en-GB"/>
        </w:rPr>
        <w:t>TDAG</w:t>
      </w:r>
      <w:r w:rsidRPr="38A6BD3C">
        <w:rPr>
          <w:rStyle w:val="Hyperlink"/>
          <w:rFonts w:asciiTheme="minorHAnsi" w:hAnsiTheme="minorHAnsi" w:cstheme="minorBidi"/>
          <w:color w:val="auto"/>
          <w:u w:val="none"/>
          <w:lang w:val="en-GB"/>
        </w:rPr>
        <w:t xml:space="preserve"> emphasized the need to </w:t>
      </w:r>
      <w:r w:rsidR="000A1CA3">
        <w:rPr>
          <w:rStyle w:val="Hyperlink"/>
          <w:rFonts w:asciiTheme="minorHAnsi" w:hAnsiTheme="minorHAnsi" w:cstheme="minorBidi"/>
          <w:color w:val="auto"/>
          <w:u w:val="none"/>
          <w:lang w:val="en-GB"/>
        </w:rPr>
        <w:t xml:space="preserve">avoid duplication, </w:t>
      </w:r>
      <w:r w:rsidRPr="38A6BD3C">
        <w:rPr>
          <w:rStyle w:val="Hyperlink"/>
          <w:rFonts w:asciiTheme="minorHAnsi" w:hAnsiTheme="minorHAnsi" w:cstheme="minorBidi"/>
          <w:color w:val="auto"/>
          <w:u w:val="none"/>
          <w:lang w:val="en-GB"/>
        </w:rPr>
        <w:t xml:space="preserve">leverage synergies and share best practices to achieve the ITU’s digital transformation goals. </w:t>
      </w:r>
    </w:p>
    <w:p w14:paraId="7BDD391C" w14:textId="276C6E1A" w:rsidR="005043E7" w:rsidRDefault="008C5576" w:rsidP="00E03A36">
      <w:pPr>
        <w:pStyle w:val="Default"/>
        <w:spacing w:before="120" w:after="120"/>
        <w:rPr>
          <w:rStyle w:val="Hyperlink"/>
          <w:rFonts w:asciiTheme="minorHAnsi" w:hAnsiTheme="minorHAnsi" w:cstheme="minorHAnsi"/>
          <w:color w:val="auto"/>
          <w:u w:val="none"/>
        </w:rPr>
      </w:pPr>
      <w:r w:rsidRPr="00215AF0">
        <w:rPr>
          <w:rStyle w:val="Hyperlink"/>
          <w:rFonts w:asciiTheme="minorHAnsi" w:hAnsiTheme="minorHAnsi" w:cstheme="minorHAnsi"/>
          <w:color w:val="auto"/>
          <w:u w:val="none"/>
        </w:rPr>
        <w:t>In conclusion, the discussions underscored the critical importance of coordination, stakeholder involvement, and robust monitoring in advancing ITU’s digital transformation initiatives</w:t>
      </w:r>
      <w:r w:rsidR="00D819A2">
        <w:rPr>
          <w:rStyle w:val="Hyperlink"/>
          <w:rFonts w:asciiTheme="minorHAnsi" w:hAnsiTheme="minorHAnsi" w:cstheme="minorHAnsi"/>
          <w:color w:val="auto"/>
          <w:u w:val="none"/>
        </w:rPr>
        <w:t xml:space="preserve"> and</w:t>
      </w:r>
      <w:r w:rsidRPr="00215AF0" w:rsidDel="008E63DE">
        <w:rPr>
          <w:rStyle w:val="Hyperlink"/>
          <w:rFonts w:asciiTheme="minorHAnsi" w:hAnsiTheme="minorHAnsi" w:cstheme="minorHAnsi"/>
          <w:color w:val="auto"/>
          <w:u w:val="none"/>
        </w:rPr>
        <w:t xml:space="preserve"> </w:t>
      </w:r>
      <w:r w:rsidR="005B20E0">
        <w:rPr>
          <w:rStyle w:val="Hyperlink"/>
          <w:rFonts w:asciiTheme="minorHAnsi" w:hAnsiTheme="minorHAnsi" w:cstheme="minorHAnsi"/>
          <w:color w:val="auto"/>
          <w:u w:val="none"/>
        </w:rPr>
        <w:t>TDAG</w:t>
      </w:r>
      <w:r w:rsidR="005B20E0" w:rsidRPr="00215AF0">
        <w:rPr>
          <w:rStyle w:val="Hyperlink"/>
          <w:rFonts w:asciiTheme="minorHAnsi" w:hAnsiTheme="minorHAnsi" w:cstheme="minorHAnsi"/>
          <w:color w:val="auto"/>
          <w:u w:val="none"/>
        </w:rPr>
        <w:t xml:space="preserve"> </w:t>
      </w:r>
      <w:r w:rsidRPr="00215AF0">
        <w:rPr>
          <w:rStyle w:val="Hyperlink"/>
          <w:rFonts w:asciiTheme="minorHAnsi" w:hAnsiTheme="minorHAnsi" w:cstheme="minorHAnsi"/>
          <w:color w:val="auto"/>
          <w:u w:val="none"/>
        </w:rPr>
        <w:t>expressed optimism about future progress in this area</w:t>
      </w:r>
      <w:r w:rsidR="00D819A2">
        <w:rPr>
          <w:rStyle w:val="Hyperlink"/>
          <w:rFonts w:asciiTheme="minorHAnsi" w:hAnsiTheme="minorHAnsi" w:cstheme="minorHAnsi"/>
          <w:color w:val="auto"/>
          <w:u w:val="none"/>
        </w:rPr>
        <w:t xml:space="preserve">. </w:t>
      </w:r>
    </w:p>
    <w:tbl>
      <w:tblPr>
        <w:tblStyle w:val="TableGrid"/>
        <w:tblW w:w="0" w:type="auto"/>
        <w:tblLook w:val="04A0" w:firstRow="1" w:lastRow="0" w:firstColumn="1" w:lastColumn="0" w:noHBand="0" w:noVBand="1"/>
      </w:tblPr>
      <w:tblGrid>
        <w:gridCol w:w="9629"/>
      </w:tblGrid>
      <w:tr w:rsidR="00E03A36" w14:paraId="4F7637CB" w14:textId="77777777" w:rsidTr="00E03A36">
        <w:tc>
          <w:tcPr>
            <w:tcW w:w="9629" w:type="dxa"/>
          </w:tcPr>
          <w:p w14:paraId="57A88AF5" w14:textId="243C52F4" w:rsidR="00E03A36" w:rsidRPr="00E03A36" w:rsidRDefault="00E03A36" w:rsidP="00E03A36">
            <w:pPr>
              <w:pStyle w:val="Default"/>
              <w:spacing w:before="120" w:after="120"/>
              <w:rPr>
                <w:rStyle w:val="Hyperlink"/>
                <w:rFonts w:asciiTheme="minorHAnsi" w:hAnsiTheme="minorHAnsi" w:cstheme="minorHAnsi"/>
                <w:color w:val="auto"/>
                <w:u w:val="none"/>
              </w:rPr>
            </w:pPr>
            <w:r w:rsidRPr="00E03A36">
              <w:rPr>
                <w:rStyle w:val="Hyperlink"/>
                <w:rFonts w:asciiTheme="minorHAnsi" w:hAnsiTheme="minorHAnsi" w:cstheme="minorHAnsi"/>
                <w:color w:val="auto"/>
                <w:u w:val="none"/>
              </w:rPr>
              <w:t xml:space="preserve">TDAG approved Document </w:t>
            </w:r>
            <w:hyperlink r:id="rId32" w:history="1">
              <w:r w:rsidRPr="00E03A36">
                <w:rPr>
                  <w:rStyle w:val="Hyperlink"/>
                  <w:rFonts w:asciiTheme="minorHAnsi" w:hAnsiTheme="minorHAnsi" w:cstheme="minorHAnsi"/>
                </w:rPr>
                <w:t>DT/6(Rev.2)</w:t>
              </w:r>
            </w:hyperlink>
            <w:r w:rsidRPr="00E03A36">
              <w:rPr>
                <w:rStyle w:val="Hyperlink"/>
                <w:rFonts w:asciiTheme="minorHAnsi" w:hAnsiTheme="minorHAnsi" w:cstheme="minorHAnsi"/>
                <w:color w:val="auto"/>
                <w:u w:val="none"/>
              </w:rPr>
              <w:t xml:space="preserve"> a reply liaison statement that provides information to clarify the role of ITU-D and BDT in Digital Transformation, specifically that the BDT, through its Secretariat, is currently executing a series of initiatives, </w:t>
            </w:r>
            <w:proofErr w:type="spellStart"/>
            <w:r w:rsidRPr="00E03A36">
              <w:rPr>
                <w:rStyle w:val="Hyperlink"/>
                <w:rFonts w:asciiTheme="minorHAnsi" w:hAnsiTheme="minorHAnsi" w:cstheme="minorHAnsi"/>
                <w:color w:val="auto"/>
                <w:u w:val="none"/>
              </w:rPr>
              <w:t>programmes</w:t>
            </w:r>
            <w:proofErr w:type="spellEnd"/>
            <w:r w:rsidRPr="00E03A36">
              <w:rPr>
                <w:rStyle w:val="Hyperlink"/>
                <w:rFonts w:asciiTheme="minorHAnsi" w:hAnsiTheme="minorHAnsi" w:cstheme="minorHAnsi"/>
                <w:color w:val="auto"/>
                <w:u w:val="none"/>
              </w:rPr>
              <w:t xml:space="preserve"> and activities aimed at achieving digital transformation in a holistic and systematic manner. The statement also noted that Digital Transformation is an integral part of the ITU-D mandate as established by the outcomes of the 2022 World Telecommunications Development Conference (WTDC). </w:t>
            </w:r>
            <w:proofErr w:type="gramStart"/>
            <w:r w:rsidRPr="00E03A36">
              <w:rPr>
                <w:rStyle w:val="Hyperlink"/>
                <w:rFonts w:asciiTheme="minorHAnsi" w:hAnsiTheme="minorHAnsi" w:cstheme="minorHAnsi"/>
                <w:color w:val="auto"/>
                <w:u w:val="none"/>
              </w:rPr>
              <w:t>In particular, WTDC-22</w:t>
            </w:r>
            <w:proofErr w:type="gramEnd"/>
            <w:r w:rsidRPr="00E03A36">
              <w:rPr>
                <w:rStyle w:val="Hyperlink"/>
                <w:rFonts w:asciiTheme="minorHAnsi" w:hAnsiTheme="minorHAnsi" w:cstheme="minorHAnsi"/>
                <w:color w:val="auto"/>
                <w:u w:val="none"/>
              </w:rPr>
              <w:t xml:space="preserve"> adopted the Kigali Action Plan (KAP) which identifies Digital Transformation as one of the five ITU-D priorities.</w:t>
            </w:r>
          </w:p>
          <w:p w14:paraId="07E3F68D" w14:textId="77E7C1D3" w:rsidR="00E03A36" w:rsidRDefault="00E03A36" w:rsidP="00E03A36">
            <w:pPr>
              <w:pStyle w:val="Default"/>
              <w:spacing w:before="120" w:after="120"/>
              <w:rPr>
                <w:rStyle w:val="Hyperlink"/>
                <w:rFonts w:asciiTheme="minorHAnsi" w:hAnsiTheme="minorHAnsi" w:cstheme="minorHAnsi"/>
                <w:color w:val="auto"/>
                <w:u w:val="none"/>
              </w:rPr>
            </w:pPr>
            <w:r w:rsidRPr="00E03A36">
              <w:rPr>
                <w:rStyle w:val="Hyperlink"/>
                <w:rFonts w:asciiTheme="minorHAnsi" w:hAnsiTheme="minorHAnsi" w:cstheme="minorHAnsi"/>
                <w:color w:val="auto"/>
                <w:u w:val="none"/>
              </w:rPr>
              <w:t>TDAG agreed to liaise with TSAG to ensure cohesion of efforts, avoid duplication of mandates and scope of work, and to foster cross-sector coordination.</w:t>
            </w:r>
          </w:p>
        </w:tc>
      </w:tr>
    </w:tbl>
    <w:p w14:paraId="5B4631BC" w14:textId="246C1F49" w:rsidR="00F84D4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33">
        <w:r w:rsidRPr="001D7482">
          <w:rPr>
            <w:rStyle w:val="Hyperlink"/>
            <w:rFonts w:cstheme="minorHAnsi"/>
            <w:b/>
            <w:bCs/>
            <w:szCs w:val="24"/>
            <w:lang w:val="en-US"/>
          </w:rPr>
          <w:t>26</w:t>
        </w:r>
      </w:hyperlink>
      <w:r w:rsidR="009A1092" w:rsidRPr="001D7482">
        <w:rPr>
          <w:rStyle w:val="Hyperlink"/>
          <w:rFonts w:cstheme="minorHAnsi"/>
          <w:b/>
          <w:bCs/>
          <w:color w:val="auto"/>
          <w:szCs w:val="24"/>
          <w:u w:val="none"/>
          <w:lang w:val="en-US"/>
        </w:rPr>
        <w:t xml:space="preserve"> (Palestine)</w:t>
      </w:r>
      <w:r w:rsidR="00227DED">
        <w:rPr>
          <w:rStyle w:val="Hyperlink"/>
          <w:rFonts w:cstheme="minorHAnsi"/>
          <w:b/>
          <w:bCs/>
          <w:color w:val="auto"/>
          <w:szCs w:val="24"/>
          <w:u w:val="none"/>
          <w:lang w:val="en-US"/>
        </w:rPr>
        <w:t xml:space="preserve"> - </w:t>
      </w:r>
      <w:proofErr w:type="spellStart"/>
      <w:r w:rsidR="00227DED" w:rsidRPr="00227DED">
        <w:rPr>
          <w:rStyle w:val="Hyperlink"/>
          <w:rFonts w:cstheme="minorHAnsi"/>
          <w:b/>
          <w:bCs/>
          <w:color w:val="auto"/>
          <w:szCs w:val="24"/>
          <w:u w:val="none"/>
          <w:lang w:val="en-US"/>
        </w:rPr>
        <w:t>Hukumati</w:t>
      </w:r>
      <w:proofErr w:type="spellEnd"/>
      <w:r w:rsidR="00227DED" w:rsidRPr="00227DED">
        <w:rPr>
          <w:rStyle w:val="Hyperlink"/>
          <w:rFonts w:cstheme="minorHAnsi"/>
          <w:b/>
          <w:bCs/>
          <w:color w:val="auto"/>
          <w:szCs w:val="24"/>
          <w:u w:val="none"/>
          <w:lang w:val="en-US"/>
        </w:rPr>
        <w:t xml:space="preserve"> e-government system</w:t>
      </w:r>
    </w:p>
    <w:p w14:paraId="1FCC103F" w14:textId="2F4C5FAE" w:rsidR="00AE5D66" w:rsidRDefault="0095647A" w:rsidP="00E03A36">
      <w:pPr>
        <w:spacing w:after="120"/>
        <w:rPr>
          <w:rFonts w:cstheme="minorBidi"/>
        </w:rPr>
      </w:pPr>
      <w:r w:rsidRPr="195D0C96">
        <w:rPr>
          <w:rStyle w:val="Hyperlink"/>
          <w:rFonts w:cstheme="minorBidi"/>
          <w:color w:val="auto"/>
          <w:u w:val="none"/>
          <w:lang w:val="en-US"/>
        </w:rPr>
        <w:t>This contribution</w:t>
      </w:r>
      <w:r w:rsidR="00351018" w:rsidRPr="195D0C96">
        <w:rPr>
          <w:rStyle w:val="Hyperlink"/>
          <w:rFonts w:cstheme="minorBidi"/>
          <w:color w:val="auto"/>
          <w:u w:val="none"/>
          <w:lang w:val="en-US"/>
        </w:rPr>
        <w:t xml:space="preserve"> presented </w:t>
      </w:r>
      <w:proofErr w:type="spellStart"/>
      <w:r w:rsidR="00351018" w:rsidRPr="195D0C96">
        <w:rPr>
          <w:rFonts w:cstheme="minorBidi"/>
        </w:rPr>
        <w:t>Hukumati</w:t>
      </w:r>
      <w:proofErr w:type="spellEnd"/>
      <w:r w:rsidR="00351018" w:rsidRPr="195D0C96">
        <w:rPr>
          <w:rFonts w:cstheme="minorBidi"/>
        </w:rPr>
        <w:t xml:space="preserve"> (my Government), a unified e-government system with a single sign-on (SSO) authentication scheme that serves as a common portal for government institutions and agencies to provide e-services to citizens and other sectors. It allows citizens to access government services electronically and pay for them via available payment methods licensed by the Palestinian Monetary Authority. The </w:t>
      </w:r>
      <w:proofErr w:type="spellStart"/>
      <w:r w:rsidR="00351018" w:rsidRPr="195D0C96">
        <w:rPr>
          <w:rFonts w:cstheme="minorBidi"/>
        </w:rPr>
        <w:t>Hukumati</w:t>
      </w:r>
      <w:proofErr w:type="spellEnd"/>
      <w:r w:rsidR="00351018" w:rsidRPr="195D0C96">
        <w:rPr>
          <w:rFonts w:cstheme="minorBidi"/>
        </w:rPr>
        <w:t xml:space="preserve"> e-government system was publicly launched on 15 January 2023 to allow all citizens to complete the registration process using an SSO authentication scheme and verification by the relevant offices of the Ministry of the Interior and the Palestinian Postal Service </w:t>
      </w:r>
      <w:proofErr w:type="gramStart"/>
      <w:r w:rsidR="00351018" w:rsidRPr="195D0C96">
        <w:rPr>
          <w:rFonts w:cstheme="minorBidi"/>
        </w:rPr>
        <w:t>in order to</w:t>
      </w:r>
      <w:proofErr w:type="gramEnd"/>
      <w:r w:rsidR="00351018" w:rsidRPr="195D0C96">
        <w:rPr>
          <w:rFonts w:cstheme="minorBidi"/>
        </w:rPr>
        <w:t xml:space="preserve"> obtain a username and password for access to the system and the services provided through it. </w:t>
      </w:r>
      <w:bookmarkStart w:id="8" w:name="lt_pId019"/>
      <w:bookmarkEnd w:id="8"/>
    </w:p>
    <w:tbl>
      <w:tblPr>
        <w:tblStyle w:val="TableGrid"/>
        <w:tblW w:w="0" w:type="auto"/>
        <w:tblLook w:val="04A0" w:firstRow="1" w:lastRow="0" w:firstColumn="1" w:lastColumn="0" w:noHBand="0" w:noVBand="1"/>
      </w:tblPr>
      <w:tblGrid>
        <w:gridCol w:w="9629"/>
      </w:tblGrid>
      <w:tr w:rsidR="00E03A36" w14:paraId="02266FEE" w14:textId="77777777" w:rsidTr="00B309EA">
        <w:tc>
          <w:tcPr>
            <w:tcW w:w="9629" w:type="dxa"/>
          </w:tcPr>
          <w:p w14:paraId="7E619F3A" w14:textId="58AE0D45" w:rsidR="00E03A36" w:rsidRDefault="00E03A36" w:rsidP="00B309EA">
            <w:pPr>
              <w:pStyle w:val="Default"/>
              <w:spacing w:before="120" w:after="120"/>
              <w:rPr>
                <w:rStyle w:val="Hyperlink"/>
                <w:rFonts w:asciiTheme="minorHAnsi" w:hAnsiTheme="minorHAnsi" w:cstheme="minorHAnsi"/>
                <w:color w:val="auto"/>
                <w:u w:val="none"/>
              </w:rPr>
            </w:pPr>
            <w:r w:rsidRPr="00E03A36">
              <w:rPr>
                <w:rStyle w:val="Hyperlink"/>
                <w:rFonts w:asciiTheme="minorHAnsi" w:hAnsiTheme="minorHAnsi" w:cstheme="minorHAnsi"/>
                <w:color w:val="auto"/>
                <w:u w:val="none"/>
              </w:rPr>
              <w:t xml:space="preserve">The representative of the State of Palestine presented its experience with the </w:t>
            </w:r>
            <w:proofErr w:type="spellStart"/>
            <w:r w:rsidRPr="00E03A36">
              <w:rPr>
                <w:rStyle w:val="Hyperlink"/>
                <w:rFonts w:asciiTheme="minorHAnsi" w:hAnsiTheme="minorHAnsi" w:cstheme="minorHAnsi"/>
                <w:color w:val="auto"/>
                <w:u w:val="none"/>
              </w:rPr>
              <w:t>Hukumati</w:t>
            </w:r>
            <w:proofErr w:type="spellEnd"/>
            <w:r w:rsidRPr="00E03A36">
              <w:rPr>
                <w:rStyle w:val="Hyperlink"/>
                <w:rFonts w:asciiTheme="minorHAnsi" w:hAnsiTheme="minorHAnsi" w:cstheme="minorHAnsi"/>
                <w:color w:val="auto"/>
                <w:u w:val="none"/>
              </w:rPr>
              <w:t xml:space="preserve"> e-government system. TDAG took note of the document with appreciation.</w:t>
            </w:r>
          </w:p>
        </w:tc>
      </w:tr>
    </w:tbl>
    <w:p w14:paraId="33B4AE23" w14:textId="6018C711" w:rsidR="002F1F1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jc w:val="both"/>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34">
        <w:r w:rsidRPr="001D7482">
          <w:rPr>
            <w:rStyle w:val="Hyperlink"/>
            <w:rFonts w:cstheme="minorHAnsi"/>
            <w:b/>
            <w:bCs/>
            <w:szCs w:val="24"/>
            <w:lang w:val="en-US"/>
          </w:rPr>
          <w:t>27 + Annex 1</w:t>
        </w:r>
      </w:hyperlink>
      <w:r w:rsidR="00D356AF" w:rsidRPr="001D7482">
        <w:rPr>
          <w:rStyle w:val="Hyperlink"/>
          <w:rFonts w:cstheme="minorHAnsi"/>
          <w:b/>
          <w:bCs/>
          <w:color w:val="auto"/>
          <w:szCs w:val="24"/>
          <w:u w:val="none"/>
          <w:lang w:val="en-US"/>
        </w:rPr>
        <w:t xml:space="preserve"> (Hungary)</w:t>
      </w:r>
      <w:r w:rsidR="00E30907" w:rsidRPr="001D7482">
        <w:rPr>
          <w:rStyle w:val="Hyperlink"/>
          <w:rFonts w:cstheme="minorHAnsi"/>
          <w:b/>
          <w:bCs/>
          <w:color w:val="auto"/>
          <w:szCs w:val="24"/>
          <w:u w:val="none"/>
          <w:lang w:val="en-US"/>
        </w:rPr>
        <w:t xml:space="preserve"> - </w:t>
      </w:r>
      <w:r w:rsidR="008748BE" w:rsidRPr="001D7482">
        <w:rPr>
          <w:rStyle w:val="Hyperlink"/>
          <w:rFonts w:cstheme="minorHAnsi"/>
          <w:b/>
          <w:bCs/>
          <w:color w:val="auto"/>
          <w:szCs w:val="24"/>
          <w:u w:val="none"/>
          <w:lang w:val="en-US"/>
        </w:rPr>
        <w:t xml:space="preserve">Follow-up on the 3G switchover </w:t>
      </w:r>
      <w:proofErr w:type="spellStart"/>
      <w:r w:rsidR="008748BE" w:rsidRPr="001D7482">
        <w:rPr>
          <w:rStyle w:val="Hyperlink"/>
          <w:rFonts w:cstheme="minorHAnsi"/>
          <w:b/>
          <w:bCs/>
          <w:color w:val="auto"/>
          <w:szCs w:val="24"/>
          <w:u w:val="none"/>
          <w:lang w:val="en-US"/>
        </w:rPr>
        <w:t>programme</w:t>
      </w:r>
      <w:proofErr w:type="spellEnd"/>
      <w:r w:rsidR="008748BE" w:rsidRPr="001D7482">
        <w:rPr>
          <w:rStyle w:val="Hyperlink"/>
          <w:rFonts w:cstheme="minorHAnsi"/>
          <w:b/>
          <w:bCs/>
          <w:color w:val="auto"/>
          <w:szCs w:val="24"/>
          <w:u w:val="none"/>
          <w:lang w:val="en-US"/>
        </w:rPr>
        <w:t xml:space="preserve"> in Hungary</w:t>
      </w:r>
    </w:p>
    <w:p w14:paraId="4B0DD33C" w14:textId="77D2F2E5" w:rsidR="00AE5D66" w:rsidRPr="00215AF0" w:rsidRDefault="00020F05" w:rsidP="00DF76EF">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215AF0">
        <w:rPr>
          <w:rFonts w:cstheme="minorHAnsi"/>
          <w:szCs w:val="24"/>
        </w:rPr>
        <w:t xml:space="preserve">The representative from Hungary presented Document 27, providing an update on the country’s digital inclusion project, which had been previously initiated and reported on in the </w:t>
      </w:r>
      <w:r w:rsidR="00E3366C">
        <w:rPr>
          <w:rFonts w:cstheme="minorHAnsi"/>
          <w:szCs w:val="24"/>
        </w:rPr>
        <w:t>2023 TDAG</w:t>
      </w:r>
      <w:r w:rsidR="00B45BFF">
        <w:rPr>
          <w:rFonts w:cstheme="minorHAnsi"/>
          <w:szCs w:val="24"/>
        </w:rPr>
        <w:t xml:space="preserve"> </w:t>
      </w:r>
      <w:r w:rsidRPr="00215AF0">
        <w:rPr>
          <w:rFonts w:cstheme="minorHAnsi"/>
          <w:szCs w:val="24"/>
        </w:rPr>
        <w:t>meeting</w:t>
      </w:r>
      <w:r w:rsidR="003C352C" w:rsidRPr="00215AF0">
        <w:rPr>
          <w:rFonts w:cstheme="minorHAnsi"/>
          <w:szCs w:val="24"/>
        </w:rPr>
        <w:t xml:space="preserve"> (Document </w:t>
      </w:r>
      <w:hyperlink r:id="rId35" w:history="1">
        <w:r w:rsidR="003C352C" w:rsidRPr="00716A3A">
          <w:rPr>
            <w:rStyle w:val="Hyperlink"/>
            <w:rFonts w:cstheme="minorHAnsi"/>
            <w:szCs w:val="24"/>
          </w:rPr>
          <w:t>29</w:t>
        </w:r>
      </w:hyperlink>
      <w:r w:rsidR="003C352C" w:rsidRPr="00716A3A">
        <w:rPr>
          <w:rStyle w:val="Hyperlink"/>
          <w:rFonts w:cstheme="minorHAnsi"/>
          <w:color w:val="auto"/>
          <w:szCs w:val="24"/>
          <w:u w:val="none"/>
        </w:rPr>
        <w:t>)</w:t>
      </w:r>
      <w:r w:rsidRPr="00215AF0">
        <w:rPr>
          <w:rFonts w:cstheme="minorHAnsi"/>
          <w:szCs w:val="24"/>
        </w:rPr>
        <w:t>. The presentation highlighted the significant progress made, with over 120,000 individuals benefiting from the project aimed at improving digital literacy and accessibility.</w:t>
      </w:r>
      <w:r w:rsidR="003C352C" w:rsidRPr="00215AF0">
        <w:rPr>
          <w:rFonts w:cstheme="minorHAnsi"/>
          <w:szCs w:val="24"/>
        </w:rPr>
        <w:t xml:space="preserve"> </w:t>
      </w:r>
      <w:r w:rsidR="00720D66" w:rsidRPr="00215AF0">
        <w:rPr>
          <w:rFonts w:cstheme="minorHAnsi"/>
          <w:szCs w:val="24"/>
        </w:rPr>
        <w:t>As several Member States requested a follow-up on this programme, Hungary submitted a long and a short analysis of it.</w:t>
      </w:r>
    </w:p>
    <w:p w14:paraId="73EFAB8C" w14:textId="5C2B4B87" w:rsidR="00290F8E" w:rsidRDefault="007D08D9" w:rsidP="00DF76EF">
      <w:pPr>
        <w:tabs>
          <w:tab w:val="clear" w:pos="794"/>
          <w:tab w:val="clear" w:pos="1191"/>
          <w:tab w:val="clear" w:pos="1588"/>
          <w:tab w:val="clear" w:pos="1985"/>
        </w:tabs>
        <w:overflowPunct/>
        <w:autoSpaceDE/>
        <w:autoSpaceDN/>
        <w:adjustRightInd/>
        <w:spacing w:after="120"/>
        <w:textAlignment w:val="auto"/>
        <w:rPr>
          <w:rStyle w:val="Hyperlink"/>
          <w:rFonts w:cstheme="minorHAnsi"/>
          <w:color w:val="auto"/>
          <w:szCs w:val="24"/>
          <w:u w:val="none"/>
        </w:rPr>
      </w:pPr>
      <w:r>
        <w:rPr>
          <w:rStyle w:val="Hyperlink"/>
          <w:rFonts w:cstheme="minorHAnsi"/>
          <w:color w:val="auto"/>
          <w:szCs w:val="24"/>
          <w:u w:val="none"/>
        </w:rPr>
        <w:t>TDAG</w:t>
      </w:r>
      <w:r w:rsidR="00290F8E" w:rsidRPr="00215AF0">
        <w:rPr>
          <w:rStyle w:val="Hyperlink"/>
          <w:rFonts w:cstheme="minorHAnsi"/>
          <w:color w:val="auto"/>
          <w:szCs w:val="24"/>
          <w:u w:val="none"/>
        </w:rPr>
        <w:t xml:space="preserve"> commended Hungary for the significant progress reported in the digital inclusion project. </w:t>
      </w:r>
      <w:r w:rsidR="00475776">
        <w:rPr>
          <w:rStyle w:val="Hyperlink"/>
          <w:rFonts w:cstheme="minorHAnsi"/>
          <w:color w:val="auto"/>
          <w:szCs w:val="24"/>
          <w:u w:val="none"/>
        </w:rPr>
        <w:t>It was</w:t>
      </w:r>
      <w:r w:rsidR="00290F8E" w:rsidRPr="00215AF0">
        <w:rPr>
          <w:rStyle w:val="Hyperlink"/>
          <w:rFonts w:cstheme="minorHAnsi"/>
          <w:color w:val="auto"/>
          <w:szCs w:val="24"/>
          <w:u w:val="none"/>
        </w:rPr>
        <w:t xml:space="preserve"> appreciated the detailed data and the focus on enhancing digital literacy, which aligns with the broader goals of the ITU in promoting digital inclusion globally.</w:t>
      </w:r>
    </w:p>
    <w:tbl>
      <w:tblPr>
        <w:tblStyle w:val="TableGrid"/>
        <w:tblW w:w="0" w:type="auto"/>
        <w:tblLook w:val="04A0" w:firstRow="1" w:lastRow="0" w:firstColumn="1" w:lastColumn="0" w:noHBand="0" w:noVBand="1"/>
      </w:tblPr>
      <w:tblGrid>
        <w:gridCol w:w="9629"/>
      </w:tblGrid>
      <w:tr w:rsidR="00E03A36" w14:paraId="293C91A6" w14:textId="77777777" w:rsidTr="00E03A36">
        <w:tc>
          <w:tcPr>
            <w:tcW w:w="9629" w:type="dxa"/>
          </w:tcPr>
          <w:p w14:paraId="007525EC" w14:textId="00A9A517" w:rsidR="00E03A36" w:rsidRDefault="00E03A36" w:rsidP="00E03A36">
            <w:pPr>
              <w:tabs>
                <w:tab w:val="clear" w:pos="794"/>
                <w:tab w:val="clear" w:pos="1191"/>
                <w:tab w:val="clear" w:pos="1588"/>
                <w:tab w:val="clear" w:pos="1985"/>
              </w:tabs>
              <w:overflowPunct/>
              <w:autoSpaceDE/>
              <w:autoSpaceDN/>
              <w:adjustRightInd/>
              <w:spacing w:after="120"/>
              <w:jc w:val="both"/>
              <w:textAlignment w:val="auto"/>
              <w:rPr>
                <w:rStyle w:val="Hyperlink"/>
                <w:rFonts w:cstheme="minorHAnsi"/>
                <w:color w:val="auto"/>
                <w:szCs w:val="24"/>
                <w:u w:val="none"/>
              </w:rPr>
            </w:pPr>
            <w:r w:rsidRPr="00E03A36">
              <w:rPr>
                <w:rStyle w:val="Hyperlink"/>
                <w:rFonts w:cstheme="minorHAnsi"/>
                <w:color w:val="auto"/>
                <w:szCs w:val="24"/>
                <w:u w:val="none"/>
              </w:rPr>
              <w:lastRenderedPageBreak/>
              <w:t>TDAG took note of the update with appreciation and congratulated Hungary on the 120,000 people who took advantage of the support provided by NMHH. The representative of Hungary briefly presented the 3G switchover programme as contained in document and its annex.</w:t>
            </w:r>
          </w:p>
        </w:tc>
      </w:tr>
    </w:tbl>
    <w:p w14:paraId="038C9C8A" w14:textId="74E512C1" w:rsidR="00F84D4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fr-CA"/>
        </w:rPr>
      </w:pPr>
      <w:r w:rsidRPr="001D7482">
        <w:rPr>
          <w:rFonts w:cstheme="minorHAnsi"/>
          <w:b/>
          <w:bCs/>
          <w:szCs w:val="24"/>
          <w:lang w:val="fr-CA"/>
        </w:rPr>
        <w:t xml:space="preserve">Document </w:t>
      </w:r>
      <w:hyperlink r:id="rId36">
        <w:r w:rsidRPr="001D7482">
          <w:rPr>
            <w:rStyle w:val="Hyperlink"/>
            <w:rFonts w:cstheme="minorHAnsi"/>
            <w:b/>
            <w:bCs/>
            <w:szCs w:val="24"/>
            <w:lang w:val="fr-CA"/>
          </w:rPr>
          <w:t>28</w:t>
        </w:r>
      </w:hyperlink>
      <w:r w:rsidR="00565A0F" w:rsidRPr="001D7482">
        <w:rPr>
          <w:rStyle w:val="Hyperlink"/>
          <w:rFonts w:cstheme="minorHAnsi"/>
          <w:b/>
          <w:bCs/>
          <w:color w:val="auto"/>
          <w:szCs w:val="24"/>
          <w:u w:val="none"/>
          <w:lang w:val="fr-CA"/>
        </w:rPr>
        <w:t xml:space="preserve"> (</w:t>
      </w:r>
      <w:proofErr w:type="spellStart"/>
      <w:r w:rsidR="00565A0F" w:rsidRPr="001D7482">
        <w:rPr>
          <w:rStyle w:val="Hyperlink"/>
          <w:rFonts w:cstheme="minorHAnsi"/>
          <w:b/>
          <w:bCs/>
          <w:color w:val="auto"/>
          <w:szCs w:val="24"/>
          <w:u w:val="none"/>
          <w:lang w:val="fr-CA"/>
        </w:rPr>
        <w:t>Comoros</w:t>
      </w:r>
      <w:proofErr w:type="spellEnd"/>
      <w:r w:rsidR="00565A0F" w:rsidRPr="001D7482">
        <w:rPr>
          <w:rStyle w:val="Hyperlink"/>
          <w:rFonts w:cstheme="minorHAnsi"/>
          <w:b/>
          <w:bCs/>
          <w:color w:val="auto"/>
          <w:szCs w:val="24"/>
          <w:u w:val="none"/>
          <w:lang w:val="fr-CA"/>
        </w:rPr>
        <w:t>)</w:t>
      </w:r>
      <w:r w:rsidR="008821C7" w:rsidRPr="001D7482">
        <w:rPr>
          <w:rStyle w:val="Hyperlink"/>
          <w:rFonts w:cstheme="minorHAnsi"/>
          <w:b/>
          <w:bCs/>
          <w:color w:val="auto"/>
          <w:szCs w:val="24"/>
          <w:u w:val="none"/>
          <w:lang w:val="fr-CA"/>
        </w:rPr>
        <w:t xml:space="preserve"> - Le régulateur comorien met en pratique des actions en faveur de la transformation numérique durable par le contrôle des énergies et les études d'impact sur les sites des télécommunications</w:t>
      </w:r>
    </w:p>
    <w:p w14:paraId="6D45A4E5" w14:textId="77777777" w:rsidR="007F770F" w:rsidRPr="00215AF0" w:rsidRDefault="007F770F"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representative from Comoros presented Document 28, focusing on the country’s efforts to promote sustainable digital transformation by monitoring energy usage and conducting impact studies on specific telecommunications sites.</w:t>
      </w:r>
    </w:p>
    <w:p w14:paraId="7530104D" w14:textId="5AFF2BBC" w:rsidR="00AE5D66" w:rsidRPr="00215AF0" w:rsidRDefault="001A07BA"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One of the objectives of the Comorian regulator is to put into practice actions in favor of sustainable digital transformation, with a view to achieving the 2030 SDGs, particularly those relating to the environment.</w:t>
      </w:r>
      <w:r w:rsidR="00B45BFF">
        <w:rPr>
          <w:rStyle w:val="Hyperlink"/>
          <w:rFonts w:cstheme="minorHAnsi"/>
          <w:color w:val="auto"/>
          <w:szCs w:val="24"/>
          <w:u w:val="none"/>
          <w:lang w:val="en-US"/>
        </w:rPr>
        <w:t xml:space="preserve"> </w:t>
      </w:r>
      <w:r w:rsidR="00507628" w:rsidRPr="00215AF0">
        <w:rPr>
          <w:rStyle w:val="Hyperlink"/>
          <w:rFonts w:cstheme="minorHAnsi"/>
          <w:color w:val="auto"/>
          <w:szCs w:val="24"/>
          <w:u w:val="none"/>
          <w:lang w:val="en-US"/>
        </w:rPr>
        <w:t>The contribution draws its inspiration from ITU resolutions and recommendations, as well as national regulations and legislation. It aims to align itself with a sustainable digital transformation reflected in control</w:t>
      </w:r>
      <w:r w:rsidR="002B37A4">
        <w:rPr>
          <w:rStyle w:val="Hyperlink"/>
          <w:rFonts w:cstheme="minorHAnsi"/>
          <w:color w:val="auto"/>
          <w:szCs w:val="24"/>
          <w:u w:val="none"/>
          <w:lang w:val="en-US"/>
        </w:rPr>
        <w:t>ling</w:t>
      </w:r>
      <w:r w:rsidR="00507628" w:rsidRPr="00215AF0">
        <w:rPr>
          <w:rStyle w:val="Hyperlink"/>
          <w:rFonts w:cstheme="minorHAnsi"/>
          <w:color w:val="auto"/>
          <w:szCs w:val="24"/>
          <w:u w:val="none"/>
          <w:lang w:val="en-US"/>
        </w:rPr>
        <w:t xml:space="preserve"> the energy used by operators and </w:t>
      </w:r>
      <w:r w:rsidR="00674AEF">
        <w:rPr>
          <w:rStyle w:val="Hyperlink"/>
          <w:rFonts w:cstheme="minorHAnsi"/>
          <w:color w:val="auto"/>
          <w:szCs w:val="24"/>
          <w:u w:val="none"/>
          <w:lang w:val="en-US"/>
        </w:rPr>
        <w:t xml:space="preserve">by </w:t>
      </w:r>
      <w:r w:rsidR="00507628" w:rsidRPr="00215AF0">
        <w:rPr>
          <w:rStyle w:val="Hyperlink"/>
          <w:rFonts w:cstheme="minorHAnsi"/>
          <w:color w:val="auto"/>
          <w:szCs w:val="24"/>
          <w:u w:val="none"/>
          <w:lang w:val="en-US"/>
        </w:rPr>
        <w:t>certif</w:t>
      </w:r>
      <w:r w:rsidR="00674AEF">
        <w:rPr>
          <w:rStyle w:val="Hyperlink"/>
          <w:rFonts w:cstheme="minorHAnsi"/>
          <w:color w:val="auto"/>
          <w:szCs w:val="24"/>
          <w:u w:val="none"/>
          <w:lang w:val="en-US"/>
        </w:rPr>
        <w:t>ying</w:t>
      </w:r>
      <w:r w:rsidR="00507628" w:rsidRPr="00215AF0">
        <w:rPr>
          <w:rStyle w:val="Hyperlink"/>
          <w:rFonts w:cstheme="minorHAnsi"/>
          <w:color w:val="auto"/>
          <w:szCs w:val="24"/>
          <w:u w:val="none"/>
          <w:lang w:val="en-US"/>
        </w:rPr>
        <w:t xml:space="preserve"> telecommunications sites.</w:t>
      </w:r>
    </w:p>
    <w:p w14:paraId="63549115" w14:textId="1A683D92" w:rsidR="00463935" w:rsidRDefault="00216E6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463935" w:rsidRPr="00215AF0">
        <w:rPr>
          <w:rStyle w:val="Hyperlink"/>
          <w:rFonts w:cstheme="minorHAnsi"/>
          <w:color w:val="auto"/>
          <w:szCs w:val="24"/>
          <w:u w:val="none"/>
          <w:lang w:val="en-US"/>
        </w:rPr>
        <w:t xml:space="preserve"> commended the initiative, noting its alignment with ITU’s environmental sustainability goals.</w:t>
      </w:r>
      <w:r w:rsidR="004A2627" w:rsidRPr="00215AF0">
        <w:rPr>
          <w:rFonts w:cstheme="minorHAnsi"/>
          <w:szCs w:val="24"/>
        </w:rPr>
        <w:t xml:space="preserve"> T</w:t>
      </w:r>
      <w:r w:rsidR="004A2627" w:rsidRPr="00215AF0">
        <w:rPr>
          <w:rStyle w:val="Hyperlink"/>
          <w:rFonts w:cstheme="minorHAnsi"/>
          <w:color w:val="auto"/>
          <w:szCs w:val="24"/>
          <w:u w:val="none"/>
          <w:lang w:val="en-US"/>
        </w:rPr>
        <w:t>he success of Comoros in aligning its national initiatives with ITU Resolutions was praised, noting the importance of following global standards and guidelines to achieve sustainable development goals.</w:t>
      </w:r>
    </w:p>
    <w:tbl>
      <w:tblPr>
        <w:tblStyle w:val="TableGrid"/>
        <w:tblW w:w="0" w:type="auto"/>
        <w:tblLook w:val="04A0" w:firstRow="1" w:lastRow="0" w:firstColumn="1" w:lastColumn="0" w:noHBand="0" w:noVBand="1"/>
      </w:tblPr>
      <w:tblGrid>
        <w:gridCol w:w="9629"/>
      </w:tblGrid>
      <w:tr w:rsidR="00E03A36" w14:paraId="4B6FACF2" w14:textId="77777777" w:rsidTr="00E03A36">
        <w:tc>
          <w:tcPr>
            <w:tcW w:w="9629" w:type="dxa"/>
          </w:tcPr>
          <w:p w14:paraId="6779EC6B" w14:textId="79730845"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noted with appreciation the contribution from Comoros which presented actions to promote sustainable digital transformation by monitoring energy usage and conducting impact studies on telecommunications sites. Inspired by ITU resolutions and national regulations, these efforts aim to contribute to achieving the Sustainable Development Goals (SDGs) by 2030, particularly those related to environmental sustainability.</w:t>
            </w:r>
          </w:p>
        </w:tc>
      </w:tr>
    </w:tbl>
    <w:p w14:paraId="17B1BCA5" w14:textId="2030316F" w:rsidR="00F84D4F" w:rsidRPr="00DE6CA3" w:rsidRDefault="00F84D4F" w:rsidP="00E03A36">
      <w:pPr>
        <w:widowControl w:val="0"/>
        <w:tabs>
          <w:tab w:val="clear" w:pos="794"/>
          <w:tab w:val="clear" w:pos="1191"/>
          <w:tab w:val="clear" w:pos="1588"/>
          <w:tab w:val="clear" w:pos="1985"/>
          <w:tab w:val="left" w:pos="567"/>
          <w:tab w:val="left" w:pos="1134"/>
          <w:tab w:val="left" w:pos="1701"/>
          <w:tab w:val="left" w:pos="2268"/>
          <w:tab w:val="left" w:pos="6409"/>
        </w:tabs>
        <w:spacing w:after="120"/>
        <w:textAlignment w:val="auto"/>
        <w:rPr>
          <w:rStyle w:val="Hyperlink"/>
          <w:rFonts w:cstheme="minorHAnsi"/>
          <w:b/>
          <w:color w:val="auto"/>
          <w:szCs w:val="24"/>
          <w:u w:val="none"/>
          <w:lang w:val="en-US"/>
        </w:rPr>
      </w:pPr>
      <w:r w:rsidRPr="00DE6CA3">
        <w:rPr>
          <w:rFonts w:cstheme="minorHAnsi"/>
          <w:b/>
          <w:szCs w:val="24"/>
          <w:lang w:val="en-US"/>
        </w:rPr>
        <w:t xml:space="preserve">Document </w:t>
      </w:r>
      <w:hyperlink r:id="rId37">
        <w:r w:rsidRPr="00DE6CA3">
          <w:rPr>
            <w:rStyle w:val="Hyperlink"/>
            <w:rFonts w:cstheme="minorHAnsi"/>
            <w:b/>
            <w:szCs w:val="24"/>
            <w:lang w:val="en-US"/>
          </w:rPr>
          <w:t>3</w:t>
        </w:r>
        <w:r w:rsidR="003C6857" w:rsidRPr="00DE6CA3">
          <w:rPr>
            <w:rStyle w:val="Hyperlink"/>
            <w:rFonts w:cstheme="minorHAnsi"/>
            <w:b/>
            <w:szCs w:val="24"/>
            <w:lang w:val="en-US"/>
          </w:rPr>
          <w:t>3(Rev.1)</w:t>
        </w:r>
      </w:hyperlink>
      <w:r w:rsidR="003C6857" w:rsidRPr="00835AE6">
        <w:rPr>
          <w:rStyle w:val="Hyperlink"/>
          <w:rFonts w:cstheme="minorHAnsi"/>
          <w:b/>
          <w:color w:val="auto"/>
          <w:szCs w:val="24"/>
          <w:u w:val="none"/>
          <w:lang w:val="en-US"/>
        </w:rPr>
        <w:t xml:space="preserve"> </w:t>
      </w:r>
      <w:r w:rsidR="00565A0F" w:rsidRPr="00DE6CA3">
        <w:rPr>
          <w:rStyle w:val="Hyperlink"/>
          <w:rFonts w:cstheme="minorHAnsi"/>
          <w:b/>
          <w:color w:val="auto"/>
          <w:szCs w:val="24"/>
          <w:u w:val="none"/>
          <w:lang w:val="en-US"/>
        </w:rPr>
        <w:t>(</w:t>
      </w:r>
      <w:r w:rsidR="003C6857" w:rsidRPr="00DE6CA3">
        <w:rPr>
          <w:rStyle w:val="Hyperlink"/>
          <w:rFonts w:cstheme="minorHAnsi"/>
          <w:b/>
          <w:color w:val="auto"/>
          <w:szCs w:val="24"/>
          <w:u w:val="none"/>
          <w:lang w:val="en-US"/>
        </w:rPr>
        <w:t>Armenia, Belarus, Russian Federation</w:t>
      </w:r>
      <w:r w:rsidR="00565A0F" w:rsidRPr="00DE6CA3">
        <w:rPr>
          <w:rStyle w:val="Hyperlink"/>
          <w:rFonts w:cstheme="minorHAnsi"/>
          <w:b/>
          <w:color w:val="auto"/>
          <w:szCs w:val="24"/>
          <w:u w:val="none"/>
          <w:lang w:val="en-US"/>
        </w:rPr>
        <w:t>)</w:t>
      </w:r>
      <w:r w:rsidR="00DE6CA3">
        <w:rPr>
          <w:rStyle w:val="Hyperlink"/>
          <w:rFonts w:cstheme="minorHAnsi"/>
          <w:b/>
          <w:bCs/>
          <w:color w:val="auto"/>
          <w:szCs w:val="24"/>
          <w:u w:val="none"/>
          <w:lang w:val="en-US"/>
        </w:rPr>
        <w:t xml:space="preserve"> - </w:t>
      </w:r>
      <w:r w:rsidR="00EC6CC1" w:rsidRPr="00EC6CC1">
        <w:rPr>
          <w:rStyle w:val="Hyperlink"/>
          <w:rFonts w:cstheme="minorHAnsi"/>
          <w:b/>
          <w:bCs/>
          <w:color w:val="auto"/>
          <w:szCs w:val="24"/>
          <w:u w:val="none"/>
          <w:lang w:val="en-US"/>
        </w:rPr>
        <w:t>Draft revision of WTDC Resolution</w:t>
      </w:r>
      <w:r w:rsidR="00BB2876">
        <w:rPr>
          <w:rStyle w:val="Hyperlink"/>
          <w:rFonts w:cstheme="minorHAnsi"/>
          <w:b/>
          <w:bCs/>
          <w:color w:val="auto"/>
          <w:szCs w:val="24"/>
          <w:u w:val="none"/>
          <w:lang w:val="en-US"/>
        </w:rPr>
        <w:t> </w:t>
      </w:r>
      <w:r w:rsidR="00EC6CC1" w:rsidRPr="00EC6CC1">
        <w:rPr>
          <w:rStyle w:val="Hyperlink"/>
          <w:rFonts w:cstheme="minorHAnsi"/>
          <w:b/>
          <w:bCs/>
          <w:color w:val="auto"/>
          <w:szCs w:val="24"/>
          <w:u w:val="none"/>
          <w:lang w:val="en-US"/>
        </w:rPr>
        <w:t>2</w:t>
      </w:r>
    </w:p>
    <w:p w14:paraId="18FE8E55" w14:textId="66545694" w:rsidR="00C25762" w:rsidRDefault="00C2576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This contribution proposed a draft revision of WTDC Resolution 2 "Establishment of study groups" aiming at improving the efficiency of work on measurements in the field of telecommunications/ICTs, primarily aimed at further progress in the work on the ICT Development Index.</w:t>
      </w:r>
    </w:p>
    <w:tbl>
      <w:tblPr>
        <w:tblStyle w:val="TableGrid"/>
        <w:tblW w:w="0" w:type="auto"/>
        <w:tblLook w:val="04A0" w:firstRow="1" w:lastRow="0" w:firstColumn="1" w:lastColumn="0" w:noHBand="0" w:noVBand="1"/>
      </w:tblPr>
      <w:tblGrid>
        <w:gridCol w:w="9629"/>
      </w:tblGrid>
      <w:tr w:rsidR="00E03A36" w14:paraId="6519CCBA" w14:textId="77777777" w:rsidTr="00E03A36">
        <w:tc>
          <w:tcPr>
            <w:tcW w:w="9629" w:type="dxa"/>
          </w:tcPr>
          <w:p w14:paraId="31BE1AE0" w14:textId="56E48F08" w:rsidR="00E03A36" w:rsidRDefault="00E03A36" w:rsidP="00E03A36">
            <w:pPr>
              <w:widowControl w:val="0"/>
              <w:tabs>
                <w:tab w:val="clear" w:pos="794"/>
                <w:tab w:val="clear" w:pos="1191"/>
                <w:tab w:val="clear" w:pos="1588"/>
                <w:tab w:val="clear" w:pos="1985"/>
                <w:tab w:val="left" w:pos="1701"/>
              </w:tabs>
              <w:spacing w:after="120"/>
              <w:jc w:val="both"/>
              <w:rPr>
                <w:rStyle w:val="Hyperlink"/>
                <w:rFonts w:cstheme="minorHAnsi"/>
                <w:color w:val="auto"/>
                <w:szCs w:val="24"/>
                <w:u w:val="none"/>
                <w:lang w:val="en-US"/>
              </w:rPr>
            </w:pPr>
            <w:r w:rsidRPr="00E03A36">
              <w:rPr>
                <w:rStyle w:val="Hyperlink"/>
                <w:rFonts w:cstheme="minorHAnsi"/>
                <w:color w:val="auto"/>
                <w:szCs w:val="24"/>
                <w:u w:val="none"/>
                <w:lang w:val="en-US"/>
              </w:rPr>
              <w:t>TDAG received the contribution to establish a new study group on ICT statistics, and discussed various elements associated with this proposal, recognizing that this matter would be decided at WTDC-25.</w:t>
            </w:r>
          </w:p>
        </w:tc>
      </w:tr>
    </w:tbl>
    <w:p w14:paraId="33E21D43" w14:textId="6F79C02F" w:rsidR="00F84D4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38">
        <w:r w:rsidRPr="001D7482">
          <w:rPr>
            <w:rStyle w:val="Hyperlink"/>
            <w:rFonts w:cstheme="minorHAnsi"/>
            <w:b/>
            <w:bCs/>
            <w:szCs w:val="24"/>
            <w:lang w:val="en-US"/>
          </w:rPr>
          <w:t>35</w:t>
        </w:r>
      </w:hyperlink>
      <w:r w:rsidR="00565A0F" w:rsidRPr="001D7482">
        <w:rPr>
          <w:rStyle w:val="Hyperlink"/>
          <w:rFonts w:cstheme="minorHAnsi"/>
          <w:b/>
          <w:bCs/>
          <w:color w:val="auto"/>
          <w:szCs w:val="24"/>
          <w:u w:val="none"/>
          <w:lang w:val="en-US"/>
        </w:rPr>
        <w:t xml:space="preserve"> (Cisco Systems, Inc.)</w:t>
      </w:r>
      <w:r w:rsidR="00751071">
        <w:rPr>
          <w:rStyle w:val="Hyperlink"/>
          <w:rFonts w:cstheme="minorHAnsi"/>
          <w:b/>
          <w:color w:val="auto"/>
          <w:szCs w:val="24"/>
          <w:u w:val="none"/>
          <w:lang w:val="en-US"/>
        </w:rPr>
        <w:t xml:space="preserve"> - </w:t>
      </w:r>
      <w:r w:rsidR="00751071" w:rsidRPr="00751071">
        <w:rPr>
          <w:rStyle w:val="Hyperlink"/>
          <w:rFonts w:cstheme="minorHAnsi"/>
          <w:b/>
          <w:color w:val="auto"/>
          <w:szCs w:val="24"/>
          <w:u w:val="none"/>
          <w:lang w:val="en-US"/>
        </w:rPr>
        <w:t>Bridging the digital divide through the Digital Transformation Centre Initiative</w:t>
      </w:r>
    </w:p>
    <w:p w14:paraId="491BA85B" w14:textId="69FCC897" w:rsidR="00A54E51" w:rsidRPr="00215AF0" w:rsidRDefault="00A54E51"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This contribution provided an overview of the Digital Transformation </w:t>
      </w:r>
      <w:proofErr w:type="spellStart"/>
      <w:r w:rsidRPr="00215AF0" w:rsidDel="00437087">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xml:space="preserve"> Initiative (DTCI)</w:t>
      </w:r>
      <w:r w:rsidR="00C06A32">
        <w:rPr>
          <w:rFonts w:asciiTheme="minorHAnsi" w:hAnsiTheme="minorHAnsi" w:cstheme="minorHAnsi"/>
          <w:sz w:val="24"/>
          <w:szCs w:val="24"/>
          <w:lang w:val="en-US"/>
        </w:rPr>
        <w:t>,</w:t>
      </w:r>
      <w:r w:rsidRPr="00215AF0" w:rsidDel="00381526">
        <w:rPr>
          <w:rFonts w:asciiTheme="minorHAnsi" w:hAnsiTheme="minorHAnsi" w:cstheme="minorHAnsi"/>
          <w:sz w:val="24"/>
          <w:szCs w:val="24"/>
          <w:lang w:val="en-US"/>
        </w:rPr>
        <w:t xml:space="preserve"> </w:t>
      </w:r>
      <w:r w:rsidRPr="00215AF0">
        <w:rPr>
          <w:rFonts w:asciiTheme="minorHAnsi" w:hAnsiTheme="minorHAnsi" w:cstheme="minorHAnsi"/>
          <w:sz w:val="24"/>
          <w:szCs w:val="24"/>
          <w:lang w:val="en-US"/>
        </w:rPr>
        <w:t xml:space="preserve">highlighting its achievements and continued relevance. This flagship Initiative was launched by ITU and Cisco in 2019 to bridge the digital divide and close the digital skills gap. The DTCI aims to boost digital skills among underserved groups and rural communities, with Digital Transformation </w:t>
      </w:r>
      <w:proofErr w:type="spellStart"/>
      <w:r w:rsidRPr="00215AF0" w:rsidDel="00437087">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xml:space="preserve"> (DTCs) delivering basic and intermediate digital skills training. These </w:t>
      </w:r>
      <w:proofErr w:type="spellStart"/>
      <w:r w:rsidRPr="00215AF0" w:rsidDel="00ED5A34">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xml:space="preserve"> also work to strengthen their institutional capacities to design and implement digital skills </w:t>
      </w:r>
      <w:proofErr w:type="spellStart"/>
      <w:r w:rsidRPr="00215AF0">
        <w:rPr>
          <w:rFonts w:asciiTheme="minorHAnsi" w:hAnsiTheme="minorHAnsi" w:cstheme="minorHAnsi"/>
          <w:sz w:val="24"/>
          <w:szCs w:val="24"/>
          <w:lang w:val="en-US"/>
        </w:rPr>
        <w:t>programmes</w:t>
      </w:r>
      <w:proofErr w:type="spellEnd"/>
      <w:r w:rsidRPr="00215AF0">
        <w:rPr>
          <w:rFonts w:asciiTheme="minorHAnsi" w:hAnsiTheme="minorHAnsi" w:cstheme="minorHAnsi"/>
          <w:sz w:val="24"/>
          <w:szCs w:val="24"/>
          <w:lang w:val="en-US"/>
        </w:rPr>
        <w:t xml:space="preserve">, </w:t>
      </w:r>
      <w:r w:rsidRPr="00215AF0">
        <w:rPr>
          <w:rFonts w:asciiTheme="minorHAnsi" w:hAnsiTheme="minorHAnsi" w:cstheme="minorHAnsi"/>
          <w:sz w:val="24"/>
          <w:szCs w:val="24"/>
          <w:lang w:val="en-US"/>
        </w:rPr>
        <w:lastRenderedPageBreak/>
        <w:t>through train-the-trainer activities, to ensure scalability and self-sustainability in digital skills development.</w:t>
      </w:r>
    </w:p>
    <w:p w14:paraId="1D55ED52" w14:textId="266002DC" w:rsidR="00AE5D66" w:rsidRDefault="00A54E51"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TDAG congratulated Cisco and ITU on this excellent initiative and encouraged them to further strengthen it. TDAG also highlighted the importance of digital skills, which was one of the biggest barriers to digital transformation and therefore needed urgent attention. </w:t>
      </w:r>
      <w:r w:rsidR="000839FB" w:rsidRPr="00215AF0">
        <w:rPr>
          <w:rFonts w:asciiTheme="minorHAnsi" w:hAnsiTheme="minorHAnsi" w:cstheme="minorHAnsi"/>
          <w:sz w:val="24"/>
          <w:szCs w:val="24"/>
          <w:lang w:val="en-US"/>
        </w:rPr>
        <w:t>TDAG</w:t>
      </w:r>
      <w:r w:rsidRPr="00215AF0">
        <w:rPr>
          <w:rFonts w:asciiTheme="minorHAnsi" w:hAnsiTheme="minorHAnsi" w:cstheme="minorHAnsi"/>
          <w:sz w:val="24"/>
          <w:szCs w:val="24"/>
          <w:lang w:val="en-US"/>
        </w:rPr>
        <w:t xml:space="preserve"> encouraged the expansion of the Initiative to other countries and regions. Two countries expressed interest </w:t>
      </w:r>
      <w:r w:rsidR="00180DF8" w:rsidRPr="00215AF0">
        <w:rPr>
          <w:rFonts w:asciiTheme="minorHAnsi" w:hAnsiTheme="minorHAnsi" w:cstheme="minorHAnsi"/>
          <w:sz w:val="24"/>
          <w:szCs w:val="24"/>
          <w:lang w:val="en-US"/>
        </w:rPr>
        <w:t xml:space="preserve">during the TDAG meeting </w:t>
      </w:r>
      <w:r w:rsidRPr="00215AF0">
        <w:rPr>
          <w:rFonts w:asciiTheme="minorHAnsi" w:hAnsiTheme="minorHAnsi" w:cstheme="minorHAnsi"/>
          <w:sz w:val="24"/>
          <w:szCs w:val="24"/>
          <w:lang w:val="en-US"/>
        </w:rPr>
        <w:t xml:space="preserve">in being part of the Initiative. </w:t>
      </w:r>
    </w:p>
    <w:tbl>
      <w:tblPr>
        <w:tblStyle w:val="TableGrid"/>
        <w:tblW w:w="0" w:type="auto"/>
        <w:tblLook w:val="04A0" w:firstRow="1" w:lastRow="0" w:firstColumn="1" w:lastColumn="0" w:noHBand="0" w:noVBand="1"/>
      </w:tblPr>
      <w:tblGrid>
        <w:gridCol w:w="9629"/>
      </w:tblGrid>
      <w:tr w:rsidR="00E03A36" w14:paraId="7DE6AA33" w14:textId="77777777" w:rsidTr="00E03A36">
        <w:tc>
          <w:tcPr>
            <w:tcW w:w="9629" w:type="dxa"/>
          </w:tcPr>
          <w:p w14:paraId="7B40BEDA" w14:textId="7C8D9A7C" w:rsidR="00E03A36" w:rsidRDefault="00E03A36" w:rsidP="00E03A36">
            <w:pPr>
              <w:pStyle w:val="CEONormal"/>
              <w:rPr>
                <w:rFonts w:asciiTheme="minorHAnsi" w:hAnsiTheme="minorHAnsi" w:cstheme="minorHAnsi"/>
                <w:sz w:val="24"/>
                <w:szCs w:val="24"/>
                <w:lang w:val="en-US"/>
              </w:rPr>
            </w:pPr>
            <w:r w:rsidRPr="00E03A36">
              <w:rPr>
                <w:rFonts w:asciiTheme="minorHAnsi" w:hAnsiTheme="minorHAnsi" w:cstheme="minorHAnsi"/>
                <w:sz w:val="24"/>
                <w:szCs w:val="24"/>
                <w:lang w:val="en-US"/>
              </w:rPr>
              <w:t xml:space="preserve">TDAG noted the document with appreciation and </w:t>
            </w:r>
            <w:proofErr w:type="gramStart"/>
            <w:r w:rsidRPr="00E03A36">
              <w:rPr>
                <w:rFonts w:asciiTheme="minorHAnsi" w:hAnsiTheme="minorHAnsi" w:cstheme="minorHAnsi"/>
                <w:sz w:val="24"/>
                <w:szCs w:val="24"/>
                <w:lang w:val="en-US"/>
              </w:rPr>
              <w:t>a number of</w:t>
            </w:r>
            <w:proofErr w:type="gramEnd"/>
            <w:r w:rsidRPr="00E03A36">
              <w:rPr>
                <w:rFonts w:asciiTheme="minorHAnsi" w:hAnsiTheme="minorHAnsi" w:cstheme="minorHAnsi"/>
                <w:sz w:val="24"/>
                <w:szCs w:val="24"/>
                <w:lang w:val="en-US"/>
              </w:rPr>
              <w:t xml:space="preserve"> member states expressed their support to call for engagement, commitment and continued support to the DTC Initiative by the BDT, the ITU-D membership as well as other partners.</w:t>
            </w:r>
          </w:p>
        </w:tc>
      </w:tr>
    </w:tbl>
    <w:p w14:paraId="6119B506" w14:textId="15644737" w:rsidR="00EC2295" w:rsidRPr="00360891" w:rsidRDefault="00EC2295"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360891">
        <w:rPr>
          <w:rFonts w:cstheme="minorHAnsi"/>
          <w:b/>
          <w:bCs/>
          <w:szCs w:val="24"/>
          <w:lang w:val="en-US"/>
        </w:rPr>
        <w:t xml:space="preserve">Document </w:t>
      </w:r>
      <w:hyperlink r:id="rId39">
        <w:r w:rsidRPr="00360891">
          <w:rPr>
            <w:rStyle w:val="Hyperlink"/>
            <w:rFonts w:cstheme="minorHAnsi"/>
            <w:b/>
            <w:bCs/>
            <w:szCs w:val="24"/>
            <w:lang w:val="en-US"/>
          </w:rPr>
          <w:t>42</w:t>
        </w:r>
      </w:hyperlink>
      <w:r w:rsidRPr="00360891">
        <w:rPr>
          <w:rStyle w:val="Hyperlink"/>
          <w:rFonts w:cstheme="minorHAnsi"/>
          <w:b/>
          <w:bCs/>
          <w:color w:val="auto"/>
          <w:szCs w:val="24"/>
          <w:u w:val="none"/>
          <w:lang w:val="en-US"/>
        </w:rPr>
        <w:t xml:space="preserve"> (</w:t>
      </w:r>
      <w:r w:rsidR="00580458" w:rsidRPr="00360891">
        <w:rPr>
          <w:rStyle w:val="Hyperlink"/>
          <w:rFonts w:cstheme="minorHAnsi"/>
          <w:b/>
          <w:bCs/>
          <w:color w:val="auto"/>
          <w:szCs w:val="24"/>
          <w:u w:val="none"/>
          <w:lang w:val="en-US"/>
        </w:rPr>
        <w:t>Czech Republic, Poland</w:t>
      </w:r>
      <w:r w:rsidRPr="00360891">
        <w:rPr>
          <w:rStyle w:val="Hyperlink"/>
          <w:rFonts w:cstheme="minorHAnsi"/>
          <w:b/>
          <w:bCs/>
          <w:color w:val="auto"/>
          <w:szCs w:val="24"/>
          <w:u w:val="none"/>
          <w:lang w:val="en-US"/>
        </w:rPr>
        <w:t>)</w:t>
      </w:r>
      <w:r w:rsidR="00AE5D66" w:rsidRPr="00360891">
        <w:rPr>
          <w:rStyle w:val="Hyperlink"/>
          <w:rFonts w:cstheme="minorHAnsi"/>
          <w:b/>
          <w:bCs/>
          <w:color w:val="auto"/>
          <w:szCs w:val="24"/>
          <w:u w:val="none"/>
          <w:lang w:val="en-US"/>
        </w:rPr>
        <w:t xml:space="preserve"> </w:t>
      </w:r>
      <w:r w:rsidR="00360891" w:rsidRPr="00360891">
        <w:rPr>
          <w:rStyle w:val="Hyperlink"/>
          <w:rFonts w:cstheme="minorHAnsi"/>
          <w:b/>
          <w:bCs/>
          <w:color w:val="auto"/>
          <w:szCs w:val="24"/>
          <w:u w:val="none"/>
          <w:lang w:val="en-US"/>
        </w:rPr>
        <w:t>-</w:t>
      </w:r>
      <w:r w:rsidR="00360891" w:rsidRPr="00360891">
        <w:rPr>
          <w:rFonts w:ascii="Calibri" w:hAnsi="Calibri" w:cs="Calibri"/>
          <w:b/>
          <w:bCs/>
          <w:color w:val="000000"/>
          <w:sz w:val="20"/>
          <w:shd w:val="clear" w:color="auto" w:fill="FFFFFF"/>
        </w:rPr>
        <w:t xml:space="preserve"> </w:t>
      </w:r>
      <w:r w:rsidR="00360891" w:rsidRPr="00360891">
        <w:rPr>
          <w:rFonts w:cstheme="minorHAnsi"/>
          <w:b/>
          <w:bCs/>
          <w:szCs w:val="24"/>
        </w:rPr>
        <w:t>Human-Centric Approach for Digital Transformation </w:t>
      </w:r>
    </w:p>
    <w:p w14:paraId="3BEA7313" w14:textId="53A6FFF4" w:rsidR="00AE5D66" w:rsidRPr="00215AF0" w:rsidRDefault="00FC249E"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representative from Poland presented Document 42 which focused on a human-centric approach to digital transformation. The document outlined recent developments and initiatives aimed at ensuring that digital transformation efforts prioritize human well-being and societal benefits. </w:t>
      </w:r>
      <w:r w:rsidR="003D5842" w:rsidRPr="00215AF0">
        <w:rPr>
          <w:rStyle w:val="Hyperlink"/>
          <w:rFonts w:cstheme="minorHAnsi"/>
          <w:color w:val="auto"/>
          <w:szCs w:val="24"/>
          <w:u w:val="none"/>
          <w:lang w:val="en-US"/>
        </w:rPr>
        <w:t xml:space="preserve">This contribution provided an update on the results achieved via a special initiative focusing on Human Centric Digital Transformation, in particular the Compendium and its recommendations that were developed upon a series of national experiences shared by fourteen European countries. </w:t>
      </w:r>
    </w:p>
    <w:p w14:paraId="17C2283A" w14:textId="7C08418A" w:rsidR="008132B2" w:rsidRDefault="00216E6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8132B2" w:rsidRPr="00215AF0">
        <w:rPr>
          <w:rStyle w:val="Hyperlink"/>
          <w:rFonts w:cstheme="minorHAnsi"/>
          <w:color w:val="auto"/>
          <w:szCs w:val="24"/>
          <w:u w:val="none"/>
          <w:lang w:val="en-US"/>
        </w:rPr>
        <w:t xml:space="preserve"> commended Poland’s efforts to prioritize human-centric values in digital transformation.</w:t>
      </w:r>
    </w:p>
    <w:tbl>
      <w:tblPr>
        <w:tblStyle w:val="TableGrid"/>
        <w:tblW w:w="0" w:type="auto"/>
        <w:tblLook w:val="04A0" w:firstRow="1" w:lastRow="0" w:firstColumn="1" w:lastColumn="0" w:noHBand="0" w:noVBand="1"/>
      </w:tblPr>
      <w:tblGrid>
        <w:gridCol w:w="9629"/>
      </w:tblGrid>
      <w:tr w:rsidR="00E03A36" w14:paraId="071171D9" w14:textId="77777777" w:rsidTr="00E03A36">
        <w:tc>
          <w:tcPr>
            <w:tcW w:w="9629" w:type="dxa"/>
          </w:tcPr>
          <w:p w14:paraId="610E925A" w14:textId="1E89F69A"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with appreciation.</w:t>
            </w:r>
          </w:p>
        </w:tc>
      </w:tr>
    </w:tbl>
    <w:p w14:paraId="4161689C" w14:textId="3E31230B" w:rsidR="00580458" w:rsidRPr="00214B86" w:rsidRDefault="00580458"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214B86">
        <w:rPr>
          <w:rFonts w:cstheme="minorHAnsi"/>
          <w:b/>
          <w:szCs w:val="24"/>
          <w:lang w:val="en-US"/>
        </w:rPr>
        <w:t xml:space="preserve">Document </w:t>
      </w:r>
      <w:hyperlink r:id="rId40">
        <w:r w:rsidRPr="00214B86">
          <w:rPr>
            <w:rStyle w:val="Hyperlink"/>
            <w:rFonts w:cstheme="minorHAnsi"/>
            <w:b/>
            <w:szCs w:val="24"/>
            <w:lang w:val="en-US"/>
          </w:rPr>
          <w:t>43</w:t>
        </w:r>
      </w:hyperlink>
      <w:r w:rsidRPr="00214B86">
        <w:rPr>
          <w:rStyle w:val="Hyperlink"/>
          <w:rFonts w:cstheme="minorHAnsi"/>
          <w:b/>
          <w:color w:val="auto"/>
          <w:szCs w:val="24"/>
          <w:u w:val="none"/>
          <w:lang w:val="en-US"/>
        </w:rPr>
        <w:t xml:space="preserve"> (</w:t>
      </w:r>
      <w:r w:rsidR="00077E0A" w:rsidRPr="00214B86">
        <w:rPr>
          <w:rStyle w:val="Hyperlink"/>
          <w:rFonts w:cstheme="minorHAnsi"/>
          <w:b/>
          <w:color w:val="auto"/>
          <w:szCs w:val="24"/>
          <w:u w:val="none"/>
          <w:lang w:val="en-US"/>
        </w:rPr>
        <w:t>Japan</w:t>
      </w:r>
      <w:r w:rsidRPr="00214B86">
        <w:rPr>
          <w:rStyle w:val="Hyperlink"/>
          <w:rFonts w:cstheme="minorHAnsi"/>
          <w:b/>
          <w:color w:val="auto"/>
          <w:szCs w:val="24"/>
          <w:u w:val="none"/>
          <w:lang w:val="en-US"/>
        </w:rPr>
        <w:t>)</w:t>
      </w:r>
      <w:r w:rsidR="00214B86">
        <w:rPr>
          <w:rStyle w:val="Hyperlink"/>
          <w:rFonts w:cstheme="minorHAnsi"/>
          <w:b/>
          <w:bCs/>
          <w:color w:val="auto"/>
          <w:szCs w:val="24"/>
          <w:u w:val="none"/>
          <w:lang w:val="en-US"/>
        </w:rPr>
        <w:t xml:space="preserve"> - </w:t>
      </w:r>
      <w:r w:rsidR="00F7020B" w:rsidRPr="00F7020B">
        <w:rPr>
          <w:rFonts w:cstheme="minorHAnsi"/>
          <w:b/>
          <w:bCs/>
          <w:szCs w:val="24"/>
        </w:rPr>
        <w:t>Proposals to improve ICT survey work at ITU-D </w:t>
      </w:r>
    </w:p>
    <w:p w14:paraId="688633C4" w14:textId="4FBDFE81" w:rsidR="00BF3DAF" w:rsidRPr="00215AF0" w:rsidRDefault="00BF3DAF" w:rsidP="00E03A36">
      <w:pPr>
        <w:widowControl w:val="0"/>
        <w:spacing w:after="120"/>
        <w:rPr>
          <w:rFonts w:cstheme="minorHAnsi"/>
          <w:szCs w:val="24"/>
        </w:rPr>
      </w:pPr>
      <w:r w:rsidRPr="00215AF0">
        <w:rPr>
          <w:rFonts w:cstheme="minorHAnsi"/>
          <w:szCs w:val="24"/>
        </w:rPr>
        <w:t>The representative from Japan presented Document 43, focusing wa</w:t>
      </w:r>
      <w:r w:rsidR="002B6394">
        <w:rPr>
          <w:rFonts w:cstheme="minorHAnsi"/>
          <w:szCs w:val="24"/>
        </w:rPr>
        <w:t>y</w:t>
      </w:r>
      <w:r w:rsidRPr="00215AF0">
        <w:rPr>
          <w:rFonts w:cstheme="minorHAnsi"/>
          <w:szCs w:val="24"/>
        </w:rPr>
        <w:t xml:space="preserve">s to streamline and enhance the survey processes to reduce the burden on member states and improve the quality and usefulness of collected data. </w:t>
      </w:r>
    </w:p>
    <w:p w14:paraId="50D39339" w14:textId="6CCCB3BA" w:rsidR="00DE5144" w:rsidRPr="00215AF0" w:rsidRDefault="00216E62" w:rsidP="00E03A36">
      <w:pPr>
        <w:widowControl w:val="0"/>
        <w:spacing w:after="120"/>
        <w:rPr>
          <w:rFonts w:cstheme="minorHAnsi"/>
          <w:szCs w:val="24"/>
        </w:rPr>
      </w:pPr>
      <w:r>
        <w:rPr>
          <w:rFonts w:cstheme="minorHAnsi"/>
          <w:szCs w:val="24"/>
        </w:rPr>
        <w:t>TDAG</w:t>
      </w:r>
      <w:r w:rsidR="00DE5144" w:rsidRPr="00215AF0">
        <w:rPr>
          <w:rFonts w:cstheme="minorHAnsi"/>
          <w:szCs w:val="24"/>
        </w:rPr>
        <w:t xml:space="preserve"> expressed strong support for the proposals outlined in Document 43. </w:t>
      </w:r>
      <w:r w:rsidR="009E064A">
        <w:rPr>
          <w:rFonts w:cstheme="minorHAnsi"/>
          <w:szCs w:val="24"/>
        </w:rPr>
        <w:t>Delegates</w:t>
      </w:r>
      <w:r w:rsidR="00DE5144" w:rsidRPr="00215AF0">
        <w:rPr>
          <w:rFonts w:cstheme="minorHAnsi"/>
          <w:szCs w:val="24"/>
        </w:rPr>
        <w:t xml:space="preserve"> appreciated Japan’s effort to streamline the survey processes, which they felt would significantly reduce the administrative burden on member states and improve the overall efficiency of data collection.</w:t>
      </w:r>
    </w:p>
    <w:p w14:paraId="79E4BE6C" w14:textId="77B76D4A" w:rsidR="00DE5144" w:rsidRPr="00215AF0" w:rsidRDefault="00DE5144" w:rsidP="00E03A36">
      <w:pPr>
        <w:widowControl w:val="0"/>
        <w:spacing w:after="120"/>
        <w:rPr>
          <w:rFonts w:cstheme="minorHAnsi"/>
          <w:szCs w:val="24"/>
        </w:rPr>
      </w:pPr>
      <w:r w:rsidRPr="00215AF0">
        <w:rPr>
          <w:rFonts w:cstheme="minorHAnsi"/>
          <w:szCs w:val="24"/>
        </w:rPr>
        <w:t xml:space="preserve">Discussions focused on the importance of coordination in the timing and execution of surveys. </w:t>
      </w:r>
      <w:r w:rsidR="00707A47">
        <w:rPr>
          <w:rFonts w:cstheme="minorHAnsi"/>
          <w:szCs w:val="24"/>
        </w:rPr>
        <w:t>TDAG</w:t>
      </w:r>
      <w:r w:rsidRPr="00215AF0">
        <w:rPr>
          <w:rFonts w:cstheme="minorHAnsi"/>
          <w:szCs w:val="24"/>
        </w:rPr>
        <w:t xml:space="preserve"> emphasized the need for a synchronized approach that aligns with the operational cycles of member states, thereby avoiding periods of survey overload.</w:t>
      </w:r>
    </w:p>
    <w:p w14:paraId="0C16ADA6" w14:textId="52E8B76D" w:rsidR="00DE5144" w:rsidRPr="00215AF0" w:rsidRDefault="00DE5144" w:rsidP="00E03A36">
      <w:pPr>
        <w:widowControl w:val="0"/>
        <w:spacing w:after="120"/>
        <w:rPr>
          <w:rFonts w:cstheme="minorHAnsi"/>
          <w:szCs w:val="24"/>
        </w:rPr>
      </w:pPr>
      <w:r w:rsidRPr="00215AF0">
        <w:rPr>
          <w:rFonts w:cstheme="minorHAnsi"/>
          <w:szCs w:val="24"/>
        </w:rPr>
        <w:t xml:space="preserve">A significant part of the discussion revolved around improving the quality of data collected through ICT surveys. </w:t>
      </w:r>
      <w:r w:rsidR="00707A47">
        <w:rPr>
          <w:rFonts w:cstheme="minorHAnsi"/>
          <w:szCs w:val="24"/>
        </w:rPr>
        <w:t>TDAG</w:t>
      </w:r>
      <w:r w:rsidRPr="00215AF0">
        <w:rPr>
          <w:rFonts w:cstheme="minorHAnsi"/>
          <w:szCs w:val="24"/>
        </w:rPr>
        <w:t xml:space="preserve"> agreed on the necessity of adopting robust methodologies and best practices to enhance data accuracy. The representative from Japan elaborated on proposed methodologies and technologies that could be adopted to achieve this goal.</w:t>
      </w:r>
    </w:p>
    <w:p w14:paraId="485C5CB8" w14:textId="7439AC55" w:rsidR="00DE5144" w:rsidRPr="00215AF0" w:rsidRDefault="00DE5144" w:rsidP="00E03A36">
      <w:pPr>
        <w:widowControl w:val="0"/>
        <w:spacing w:after="120"/>
        <w:rPr>
          <w:rFonts w:cstheme="minorHAnsi"/>
          <w:szCs w:val="24"/>
        </w:rPr>
      </w:pPr>
      <w:r w:rsidRPr="00215AF0">
        <w:rPr>
          <w:rFonts w:cstheme="minorHAnsi"/>
          <w:szCs w:val="24"/>
        </w:rPr>
        <w:t xml:space="preserve">The BDT reaffirmed its commitment to implementing these proposals. </w:t>
      </w:r>
      <w:r w:rsidR="00531043" w:rsidRPr="00215AF0">
        <w:rPr>
          <w:rFonts w:cstheme="minorHAnsi"/>
          <w:szCs w:val="24"/>
        </w:rPr>
        <w:t>The Secretariat</w:t>
      </w:r>
      <w:r w:rsidRPr="00215AF0">
        <w:rPr>
          <w:rFonts w:cstheme="minorHAnsi"/>
          <w:szCs w:val="24"/>
        </w:rPr>
        <w:t xml:space="preserve"> acknowledged the feedback from </w:t>
      </w:r>
      <w:r w:rsidR="00027284">
        <w:rPr>
          <w:rFonts w:cstheme="minorHAnsi"/>
          <w:szCs w:val="24"/>
        </w:rPr>
        <w:t>M</w:t>
      </w:r>
      <w:r w:rsidRPr="00215AF0">
        <w:rPr>
          <w:rFonts w:cstheme="minorHAnsi"/>
          <w:szCs w:val="24"/>
        </w:rPr>
        <w:t xml:space="preserve">ember </w:t>
      </w:r>
      <w:r w:rsidR="00027284">
        <w:rPr>
          <w:rFonts w:cstheme="minorHAnsi"/>
          <w:szCs w:val="24"/>
        </w:rPr>
        <w:t>S</w:t>
      </w:r>
      <w:r w:rsidRPr="00215AF0">
        <w:rPr>
          <w:rFonts w:cstheme="minorHAnsi"/>
          <w:szCs w:val="24"/>
        </w:rPr>
        <w:t>tates and assured that efforts would be made to streamline survey processes and improve coordination. The BDT also emphasized its role in providing technical support and capacity-building to member states to facilitate better data collection and analysis.</w:t>
      </w:r>
    </w:p>
    <w:p w14:paraId="2820F33E" w14:textId="01ED1AAA" w:rsidR="00AE5D66" w:rsidRDefault="00DE5144" w:rsidP="00E03A36">
      <w:pPr>
        <w:widowControl w:val="0"/>
        <w:spacing w:after="120"/>
        <w:rPr>
          <w:rFonts w:cstheme="minorHAnsi"/>
          <w:szCs w:val="24"/>
        </w:rPr>
      </w:pPr>
      <w:r w:rsidRPr="00215AF0">
        <w:rPr>
          <w:rFonts w:cstheme="minorHAnsi"/>
          <w:szCs w:val="24"/>
        </w:rPr>
        <w:t xml:space="preserve">In conclusion, the interventions and discussions highlighted the widespread support for Japan’s proposals to improve ICT survey work at ITU-D. </w:t>
      </w:r>
      <w:r w:rsidR="00707A47">
        <w:rPr>
          <w:rFonts w:cstheme="minorHAnsi"/>
          <w:szCs w:val="24"/>
        </w:rPr>
        <w:t>TDAG</w:t>
      </w:r>
      <w:r w:rsidRPr="00215AF0">
        <w:rPr>
          <w:rFonts w:cstheme="minorHAnsi"/>
          <w:szCs w:val="24"/>
        </w:rPr>
        <w:t xml:space="preserve"> appreciated the focus on reducing the burden of surveys, improving data quality, and enhancing coordination. The session ended on a </w:t>
      </w:r>
      <w:r w:rsidRPr="00215AF0">
        <w:rPr>
          <w:rFonts w:cstheme="minorHAnsi"/>
          <w:szCs w:val="24"/>
        </w:rPr>
        <w:lastRenderedPageBreak/>
        <w:t xml:space="preserve">positive note, with a strong commitment from the BDT and </w:t>
      </w:r>
      <w:r w:rsidR="00DA5E5F">
        <w:rPr>
          <w:rFonts w:cstheme="minorHAnsi"/>
          <w:szCs w:val="24"/>
        </w:rPr>
        <w:t>M</w:t>
      </w:r>
      <w:r w:rsidRPr="00215AF0">
        <w:rPr>
          <w:rFonts w:cstheme="minorHAnsi"/>
          <w:szCs w:val="24"/>
        </w:rPr>
        <w:t xml:space="preserve">ember </w:t>
      </w:r>
      <w:r w:rsidR="00DA5E5F">
        <w:rPr>
          <w:rFonts w:cstheme="minorHAnsi"/>
          <w:szCs w:val="24"/>
        </w:rPr>
        <w:t>S</w:t>
      </w:r>
      <w:r w:rsidRPr="00215AF0">
        <w:rPr>
          <w:rFonts w:cstheme="minorHAnsi"/>
          <w:szCs w:val="24"/>
        </w:rPr>
        <w:t>tates to work collaboratively towards implementing these improvements</w:t>
      </w:r>
      <w:r w:rsidR="005D352C" w:rsidRPr="00215AF0" w:rsidDel="00027284">
        <w:rPr>
          <w:rFonts w:cstheme="minorHAnsi"/>
          <w:szCs w:val="24"/>
        </w:rPr>
        <w:t>.</w:t>
      </w:r>
    </w:p>
    <w:tbl>
      <w:tblPr>
        <w:tblStyle w:val="TableGrid"/>
        <w:tblW w:w="0" w:type="auto"/>
        <w:tblLook w:val="04A0" w:firstRow="1" w:lastRow="0" w:firstColumn="1" w:lastColumn="0" w:noHBand="0" w:noVBand="1"/>
      </w:tblPr>
      <w:tblGrid>
        <w:gridCol w:w="9629"/>
      </w:tblGrid>
      <w:tr w:rsidR="00E03A36" w14:paraId="3712FB5B" w14:textId="77777777" w:rsidTr="00E03A36">
        <w:tc>
          <w:tcPr>
            <w:tcW w:w="9629" w:type="dxa"/>
          </w:tcPr>
          <w:p w14:paraId="5F721816" w14:textId="03A384EA" w:rsidR="00E03A36" w:rsidRDefault="00E03A36" w:rsidP="00E03A36">
            <w:pPr>
              <w:widowControl w:val="0"/>
              <w:spacing w:after="120"/>
              <w:rPr>
                <w:rStyle w:val="Hyperlink"/>
                <w:rFonts w:cstheme="minorHAnsi"/>
                <w:color w:val="auto"/>
                <w:szCs w:val="24"/>
                <w:u w:val="none"/>
              </w:rPr>
            </w:pPr>
            <w:r w:rsidRPr="00E03A36">
              <w:rPr>
                <w:rStyle w:val="Hyperlink"/>
                <w:rFonts w:cstheme="minorHAnsi"/>
                <w:color w:val="auto"/>
                <w:szCs w:val="24"/>
                <w:u w:val="none"/>
              </w:rPr>
              <w:t>TDAG expressed widespread support for the proposal made by Japan for the BDT to streamline its approach to disseminating surveys and collecting data. BDT committed to reduce the burden on the membership associated with completing surveys and to and address the concerns raised regarding the timing.</w:t>
            </w:r>
          </w:p>
        </w:tc>
      </w:tr>
    </w:tbl>
    <w:p w14:paraId="5C6CCC6B" w14:textId="47E3D851" w:rsidR="00077E0A" w:rsidRPr="0019465A" w:rsidRDefault="00077E0A"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9465A">
        <w:rPr>
          <w:rFonts w:cstheme="minorHAnsi"/>
          <w:b/>
          <w:bCs/>
          <w:szCs w:val="24"/>
          <w:lang w:val="en-US"/>
        </w:rPr>
        <w:t xml:space="preserve">Document </w:t>
      </w:r>
      <w:hyperlink r:id="rId41">
        <w:r w:rsidRPr="0019465A">
          <w:rPr>
            <w:rStyle w:val="Hyperlink"/>
            <w:rFonts w:cstheme="minorHAnsi"/>
            <w:b/>
            <w:bCs/>
            <w:szCs w:val="24"/>
            <w:lang w:val="en-US"/>
          </w:rPr>
          <w:t>44</w:t>
        </w:r>
      </w:hyperlink>
      <w:r w:rsidRPr="0019465A">
        <w:rPr>
          <w:rStyle w:val="Hyperlink"/>
          <w:rFonts w:cstheme="minorHAnsi"/>
          <w:b/>
          <w:bCs/>
          <w:color w:val="auto"/>
          <w:szCs w:val="24"/>
          <w:u w:val="none"/>
          <w:lang w:val="en-US"/>
        </w:rPr>
        <w:t xml:space="preserve"> (</w:t>
      </w:r>
      <w:r w:rsidR="002B057E" w:rsidRPr="0019465A">
        <w:rPr>
          <w:rStyle w:val="Hyperlink"/>
          <w:rFonts w:cstheme="minorHAnsi"/>
          <w:b/>
          <w:bCs/>
          <w:color w:val="auto"/>
          <w:szCs w:val="24"/>
          <w:u w:val="none"/>
          <w:lang w:val="en-US"/>
        </w:rPr>
        <w:t>Internet Society)</w:t>
      </w:r>
      <w:r w:rsidR="00AE5D66" w:rsidRPr="0019465A">
        <w:rPr>
          <w:rStyle w:val="Hyperlink"/>
          <w:rFonts w:cstheme="minorHAnsi"/>
          <w:b/>
          <w:bCs/>
          <w:color w:val="auto"/>
          <w:szCs w:val="24"/>
          <w:u w:val="none"/>
          <w:lang w:val="en-US"/>
        </w:rPr>
        <w:t xml:space="preserve"> </w:t>
      </w:r>
      <w:r w:rsidR="0019465A" w:rsidRPr="0019465A">
        <w:rPr>
          <w:rStyle w:val="Hyperlink"/>
          <w:rFonts w:cstheme="minorHAnsi"/>
          <w:b/>
          <w:bCs/>
          <w:color w:val="auto"/>
          <w:szCs w:val="24"/>
          <w:u w:val="none"/>
          <w:lang w:val="en-US"/>
        </w:rPr>
        <w:t>-</w:t>
      </w:r>
      <w:r w:rsidR="0019465A" w:rsidRPr="0019465A">
        <w:rPr>
          <w:rFonts w:ascii="Calibri" w:hAnsi="Calibri" w:cs="Calibri"/>
          <w:b/>
          <w:bCs/>
          <w:color w:val="000000"/>
          <w:sz w:val="20"/>
          <w:shd w:val="clear" w:color="auto" w:fill="FFFFFF"/>
        </w:rPr>
        <w:t xml:space="preserve"> </w:t>
      </w:r>
      <w:r w:rsidR="0019465A" w:rsidRPr="0019465A">
        <w:rPr>
          <w:rFonts w:cstheme="minorHAnsi"/>
          <w:b/>
          <w:bCs/>
          <w:szCs w:val="24"/>
        </w:rPr>
        <w:t>Implementation of Resolution 11: Capacity Development of Indigenous, Rural Communities and Geographically Isolated and Disadvantaged Areas (GIDA) in Asia Pacific </w:t>
      </w:r>
    </w:p>
    <w:p w14:paraId="77AD1579" w14:textId="7C8D0382" w:rsidR="00D81B36" w:rsidRPr="00215AF0" w:rsidRDefault="00D81B36" w:rsidP="00E03A36">
      <w:pPr>
        <w:pStyle w:val="s21"/>
        <w:spacing w:before="120" w:beforeAutospacing="0" w:after="120" w:afterAutospacing="0"/>
        <w:rPr>
          <w:rFonts w:asciiTheme="minorHAnsi" w:eastAsia="SimHei" w:hAnsiTheme="minorHAnsi" w:cstheme="minorHAnsi"/>
          <w:sz w:val="24"/>
          <w:szCs w:val="24"/>
          <w:lang w:eastAsia="en-US"/>
        </w:rPr>
      </w:pPr>
      <w:r w:rsidRPr="00215AF0">
        <w:rPr>
          <w:rFonts w:asciiTheme="minorHAnsi" w:eastAsia="SimHei" w:hAnsiTheme="minorHAnsi" w:cstheme="minorHAnsi"/>
          <w:sz w:val="24"/>
          <w:szCs w:val="24"/>
          <w:lang w:eastAsia="en-US"/>
        </w:rPr>
        <w:t>This contribution by the Internet Society proposed a comprehensive capacity building programme with online modules and face-to-face boot camps t</w:t>
      </w:r>
      <w:r w:rsidR="003C1F9D">
        <w:rPr>
          <w:rFonts w:asciiTheme="minorHAnsi" w:eastAsia="SimHei" w:hAnsiTheme="minorHAnsi" w:cstheme="minorHAnsi"/>
          <w:sz w:val="24"/>
          <w:szCs w:val="24"/>
          <w:lang w:eastAsia="en-US"/>
        </w:rPr>
        <w:t xml:space="preserve">o </w:t>
      </w:r>
      <w:r w:rsidRPr="00215AF0">
        <w:rPr>
          <w:rFonts w:asciiTheme="minorHAnsi" w:eastAsia="SimHei" w:hAnsiTheme="minorHAnsi" w:cstheme="minorHAnsi"/>
          <w:sz w:val="24"/>
          <w:szCs w:val="24"/>
          <w:lang w:eastAsia="en-US"/>
        </w:rPr>
        <w:t>strengthen the technical</w:t>
      </w:r>
      <w:r w:rsidR="0007281D">
        <w:rPr>
          <w:rFonts w:asciiTheme="minorHAnsi" w:eastAsia="SimHei" w:hAnsiTheme="minorHAnsi" w:cstheme="minorHAnsi"/>
          <w:sz w:val="24"/>
          <w:szCs w:val="24"/>
          <w:lang w:eastAsia="en-US"/>
        </w:rPr>
        <w:t>,</w:t>
      </w:r>
      <w:r w:rsidRPr="00215AF0">
        <w:rPr>
          <w:rFonts w:asciiTheme="minorHAnsi" w:eastAsia="SimHei" w:hAnsiTheme="minorHAnsi" w:cstheme="minorHAnsi"/>
          <w:sz w:val="24"/>
          <w:szCs w:val="24"/>
          <w:lang w:eastAsia="en-US"/>
        </w:rPr>
        <w:t xml:space="preserve"> organizational, economic, and social capacities of people from rural, isolated, and poorly served communities for the development of local communication and ICT projects. This proposed programme in the APEC Region w</w:t>
      </w:r>
      <w:r w:rsidR="005A77A8">
        <w:rPr>
          <w:rFonts w:asciiTheme="minorHAnsi" w:eastAsia="SimHei" w:hAnsiTheme="minorHAnsi" w:cstheme="minorHAnsi"/>
          <w:sz w:val="24"/>
          <w:szCs w:val="24"/>
          <w:lang w:eastAsia="en-US"/>
        </w:rPr>
        <w:t>ould</w:t>
      </w:r>
      <w:r w:rsidRPr="00215AF0">
        <w:rPr>
          <w:rFonts w:asciiTheme="minorHAnsi" w:eastAsia="SimHei" w:hAnsiTheme="minorHAnsi" w:cstheme="minorHAnsi"/>
          <w:sz w:val="24"/>
          <w:szCs w:val="24"/>
          <w:lang w:eastAsia="en-US"/>
        </w:rPr>
        <w:t xml:space="preserve"> complement the series of actions being developed in remote or low-income areas by the ITU, civil society organizations, and governments. It was proposed that this programme be promoted by the ITU Regional Office for Asia and the Pacific and the Digital Inclusion Office of BDT of the ITU in collaboration with governments and civil society organizations in the region.</w:t>
      </w:r>
      <w:r w:rsidR="00B45BFF">
        <w:rPr>
          <w:rFonts w:asciiTheme="minorHAnsi" w:eastAsia="SimHei" w:hAnsiTheme="minorHAnsi" w:cstheme="minorHAnsi"/>
          <w:sz w:val="24"/>
          <w:szCs w:val="24"/>
          <w:lang w:eastAsia="en-US"/>
        </w:rPr>
        <w:t xml:space="preserve"> </w:t>
      </w:r>
    </w:p>
    <w:p w14:paraId="75354B56" w14:textId="7F28B924" w:rsidR="00AE5D66" w:rsidRDefault="00D81B36"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 xml:space="preserve">TDAG congratulated the initiative. </w:t>
      </w:r>
      <w:r w:rsidR="00D1051C" w:rsidRPr="00215AF0">
        <w:rPr>
          <w:rFonts w:cstheme="minorHAnsi"/>
          <w:szCs w:val="24"/>
        </w:rPr>
        <w:t xml:space="preserve">TDAG </w:t>
      </w:r>
      <w:r w:rsidRPr="00215AF0">
        <w:rPr>
          <w:rFonts w:cstheme="minorHAnsi"/>
          <w:szCs w:val="24"/>
        </w:rPr>
        <w:t>Vice-</w:t>
      </w:r>
      <w:r w:rsidR="000250B3">
        <w:rPr>
          <w:rFonts w:cstheme="minorHAnsi"/>
          <w:szCs w:val="24"/>
        </w:rPr>
        <w:t>C</w:t>
      </w:r>
      <w:r w:rsidR="000250B3" w:rsidRPr="00215AF0">
        <w:rPr>
          <w:rFonts w:cstheme="minorHAnsi"/>
          <w:szCs w:val="24"/>
        </w:rPr>
        <w:t>hair</w:t>
      </w:r>
      <w:r w:rsidRPr="00215AF0">
        <w:rPr>
          <w:rFonts w:cstheme="minorHAnsi"/>
          <w:szCs w:val="24"/>
        </w:rPr>
        <w:t xml:space="preserve"> Europe reinforced the importance of digital skills and capacity building.</w:t>
      </w:r>
    </w:p>
    <w:tbl>
      <w:tblPr>
        <w:tblStyle w:val="TableGrid"/>
        <w:tblW w:w="0" w:type="auto"/>
        <w:tblLook w:val="04A0" w:firstRow="1" w:lastRow="0" w:firstColumn="1" w:lastColumn="0" w:noHBand="0" w:noVBand="1"/>
      </w:tblPr>
      <w:tblGrid>
        <w:gridCol w:w="9629"/>
      </w:tblGrid>
      <w:tr w:rsidR="00E03A36" w14:paraId="3015262D" w14:textId="77777777" w:rsidTr="00E03A36">
        <w:tc>
          <w:tcPr>
            <w:tcW w:w="9629" w:type="dxa"/>
          </w:tcPr>
          <w:p w14:paraId="1B79F0BC" w14:textId="02B15843"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noted the presentation made by the Internet Society and Member States expressed widespread support for this initiative.</w:t>
            </w:r>
          </w:p>
        </w:tc>
      </w:tr>
    </w:tbl>
    <w:p w14:paraId="4E3E640A" w14:textId="7E24EDFF" w:rsidR="002B057E" w:rsidRPr="00AF7E03" w:rsidRDefault="002B057E"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AF7E03">
        <w:rPr>
          <w:rFonts w:cstheme="minorHAnsi"/>
          <w:b/>
          <w:bCs/>
          <w:szCs w:val="24"/>
          <w:lang w:val="en-US"/>
        </w:rPr>
        <w:t xml:space="preserve">Document </w:t>
      </w:r>
      <w:hyperlink r:id="rId42">
        <w:r w:rsidRPr="00AF7E03">
          <w:rPr>
            <w:rStyle w:val="Hyperlink"/>
            <w:rFonts w:cstheme="minorHAnsi"/>
            <w:b/>
            <w:bCs/>
            <w:szCs w:val="24"/>
            <w:lang w:val="en-US"/>
          </w:rPr>
          <w:t>45</w:t>
        </w:r>
      </w:hyperlink>
      <w:r w:rsidRPr="00AF7E03">
        <w:rPr>
          <w:rStyle w:val="Hyperlink"/>
          <w:rFonts w:cstheme="minorHAnsi"/>
          <w:b/>
          <w:bCs/>
          <w:color w:val="auto"/>
          <w:szCs w:val="24"/>
          <w:u w:val="none"/>
          <w:lang w:val="en-US"/>
        </w:rPr>
        <w:t xml:space="preserve"> (</w:t>
      </w:r>
      <w:r w:rsidR="00572039" w:rsidRPr="00AF7E03">
        <w:rPr>
          <w:rStyle w:val="Hyperlink"/>
          <w:rFonts w:cstheme="minorHAnsi"/>
          <w:b/>
          <w:bCs/>
          <w:color w:val="auto"/>
          <w:szCs w:val="24"/>
          <w:u w:val="none"/>
          <w:lang w:val="en-US"/>
        </w:rPr>
        <w:t>India</w:t>
      </w:r>
      <w:r w:rsidRPr="00AF7E03">
        <w:rPr>
          <w:rStyle w:val="Hyperlink"/>
          <w:rFonts w:cstheme="minorHAnsi"/>
          <w:b/>
          <w:bCs/>
          <w:color w:val="auto"/>
          <w:szCs w:val="24"/>
          <w:u w:val="none"/>
          <w:lang w:val="en-US"/>
        </w:rPr>
        <w:t>)</w:t>
      </w:r>
      <w:r w:rsidR="00AE5D66" w:rsidRPr="00AF7E03">
        <w:rPr>
          <w:rStyle w:val="Hyperlink"/>
          <w:rFonts w:cstheme="minorHAnsi"/>
          <w:b/>
          <w:bCs/>
          <w:color w:val="auto"/>
          <w:szCs w:val="24"/>
          <w:u w:val="none"/>
          <w:lang w:val="en-US"/>
        </w:rPr>
        <w:t xml:space="preserve"> </w:t>
      </w:r>
      <w:r w:rsidR="00921721" w:rsidRPr="00921721">
        <w:rPr>
          <w:rStyle w:val="Hyperlink"/>
          <w:rFonts w:cstheme="minorHAnsi"/>
          <w:b/>
          <w:bCs/>
          <w:color w:val="auto"/>
          <w:szCs w:val="24"/>
          <w:u w:val="none"/>
          <w:lang w:val="en-US"/>
        </w:rPr>
        <w:t xml:space="preserve">- </w:t>
      </w:r>
      <w:r w:rsidR="006E1E5B" w:rsidRPr="006E1E5B">
        <w:rPr>
          <w:rFonts w:cstheme="minorHAnsi"/>
          <w:b/>
          <w:bCs/>
          <w:szCs w:val="24"/>
        </w:rPr>
        <w:t>E-Governance platform to empower people to connect with the Government &amp; contribute towards good governance: "MyGov.in" </w:t>
      </w:r>
    </w:p>
    <w:p w14:paraId="128CB8BF" w14:textId="0BA95E35" w:rsidR="00D51590" w:rsidRPr="00215AF0" w:rsidRDefault="00140BCF"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representative from India presented Document 45, which describe</w:t>
      </w:r>
      <w:r w:rsidR="00193481" w:rsidRPr="00215AF0">
        <w:rPr>
          <w:rStyle w:val="Hyperlink"/>
          <w:rFonts w:cstheme="minorHAnsi"/>
          <w:color w:val="auto"/>
          <w:szCs w:val="24"/>
          <w:u w:val="none"/>
          <w:lang w:val="en-US"/>
        </w:rPr>
        <w:t>d</w:t>
      </w:r>
      <w:r w:rsidRPr="00215AF0">
        <w:rPr>
          <w:rStyle w:val="Hyperlink"/>
          <w:rFonts w:cstheme="minorHAnsi"/>
          <w:color w:val="auto"/>
          <w:szCs w:val="24"/>
          <w:u w:val="none"/>
          <w:lang w:val="en-US"/>
        </w:rPr>
        <w:t xml:space="preserve"> the </w:t>
      </w:r>
      <w:proofErr w:type="spellStart"/>
      <w:r w:rsidRPr="00215AF0">
        <w:rPr>
          <w:rStyle w:val="Hyperlink"/>
          <w:rFonts w:cstheme="minorHAnsi"/>
          <w:color w:val="auto"/>
          <w:szCs w:val="24"/>
          <w:u w:val="none"/>
          <w:lang w:val="en-US"/>
        </w:rPr>
        <w:t>eGovernance</w:t>
      </w:r>
      <w:proofErr w:type="spellEnd"/>
      <w:r w:rsidRPr="00215AF0">
        <w:rPr>
          <w:rStyle w:val="Hyperlink"/>
          <w:rFonts w:cstheme="minorHAnsi"/>
          <w:color w:val="auto"/>
          <w:szCs w:val="24"/>
          <w:u w:val="none"/>
          <w:lang w:val="en-US"/>
        </w:rPr>
        <w:t xml:space="preserve"> platform developed by the Government of India, called MyGov. The primary objective of this platform is to empower citizens by facilitating their connection and interaction with the government, thereby contributing to good governance. </w:t>
      </w:r>
      <w:r w:rsidR="000B771A">
        <w:rPr>
          <w:rStyle w:val="Hyperlink"/>
          <w:rFonts w:cstheme="minorHAnsi"/>
          <w:color w:val="auto"/>
          <w:szCs w:val="24"/>
          <w:u w:val="none"/>
          <w:lang w:val="en-US"/>
        </w:rPr>
        <w:t xml:space="preserve">The </w:t>
      </w:r>
      <w:r w:rsidR="000B771A" w:rsidRPr="00215AF0">
        <w:rPr>
          <w:rStyle w:val="Hyperlink"/>
          <w:rFonts w:cstheme="minorHAnsi"/>
          <w:color w:val="auto"/>
          <w:szCs w:val="24"/>
          <w:u w:val="none"/>
          <w:lang w:val="en-US"/>
        </w:rPr>
        <w:t xml:space="preserve">MyGov Citizen Engagement Platform collaborates with multiple Government bodies/ Ministries to engage with citizens for policy formulation </w:t>
      </w:r>
      <w:r w:rsidR="000B771A">
        <w:rPr>
          <w:rStyle w:val="Hyperlink"/>
          <w:rFonts w:cstheme="minorHAnsi"/>
          <w:color w:val="auto"/>
          <w:szCs w:val="24"/>
          <w:u w:val="none"/>
          <w:lang w:val="en-US"/>
        </w:rPr>
        <w:t>by seeking</w:t>
      </w:r>
      <w:r w:rsidR="000B771A" w:rsidRPr="00215AF0">
        <w:rPr>
          <w:rStyle w:val="Hyperlink"/>
          <w:rFonts w:cstheme="minorHAnsi"/>
          <w:color w:val="auto"/>
          <w:szCs w:val="24"/>
          <w:u w:val="none"/>
          <w:lang w:val="en-US"/>
        </w:rPr>
        <w:t xml:space="preserve"> the</w:t>
      </w:r>
      <w:r w:rsidR="000B771A">
        <w:rPr>
          <w:rStyle w:val="Hyperlink"/>
          <w:rFonts w:cstheme="minorHAnsi"/>
          <w:color w:val="auto"/>
          <w:szCs w:val="24"/>
          <w:u w:val="none"/>
          <w:lang w:val="en-US"/>
        </w:rPr>
        <w:t>ir</w:t>
      </w:r>
      <w:r w:rsidR="000B771A" w:rsidRPr="00215AF0">
        <w:rPr>
          <w:rStyle w:val="Hyperlink"/>
          <w:rFonts w:cstheme="minorHAnsi"/>
          <w:color w:val="auto"/>
          <w:szCs w:val="24"/>
          <w:u w:val="none"/>
          <w:lang w:val="en-US"/>
        </w:rPr>
        <w:t xml:space="preserve"> opinion on issues/topics of public interest and welfare. </w:t>
      </w:r>
      <w:r w:rsidR="004552DE">
        <w:rPr>
          <w:rStyle w:val="Hyperlink"/>
          <w:rFonts w:cstheme="minorHAnsi"/>
          <w:color w:val="auto"/>
          <w:szCs w:val="24"/>
          <w:u w:val="none"/>
          <w:lang w:val="en-US"/>
        </w:rPr>
        <w:t xml:space="preserve">The </w:t>
      </w:r>
      <w:r w:rsidR="00AF4F99" w:rsidRPr="00215AF0">
        <w:rPr>
          <w:rStyle w:val="Hyperlink"/>
          <w:rFonts w:cstheme="minorHAnsi"/>
          <w:color w:val="auto"/>
          <w:szCs w:val="24"/>
          <w:u w:val="none"/>
          <w:lang w:val="en-US"/>
        </w:rPr>
        <w:t xml:space="preserve">MyGov Citizen Engagement Platform collaborates with multiple Government bodies/ Ministries to engage with citizens for policy formulation </w:t>
      </w:r>
      <w:r w:rsidR="00E15D52">
        <w:rPr>
          <w:rStyle w:val="Hyperlink"/>
          <w:rFonts w:cstheme="minorHAnsi"/>
          <w:color w:val="auto"/>
          <w:szCs w:val="24"/>
          <w:u w:val="none"/>
          <w:lang w:val="en-US"/>
        </w:rPr>
        <w:t xml:space="preserve">by seeking </w:t>
      </w:r>
      <w:r w:rsidR="00AF4F99" w:rsidRPr="00215AF0">
        <w:rPr>
          <w:rStyle w:val="Hyperlink"/>
          <w:rFonts w:cstheme="minorHAnsi"/>
          <w:color w:val="auto"/>
          <w:szCs w:val="24"/>
          <w:u w:val="none"/>
          <w:lang w:val="en-US"/>
        </w:rPr>
        <w:t>the</w:t>
      </w:r>
      <w:r w:rsidR="00475191">
        <w:rPr>
          <w:rStyle w:val="Hyperlink"/>
          <w:rFonts w:cstheme="minorHAnsi"/>
          <w:color w:val="auto"/>
          <w:szCs w:val="24"/>
          <w:u w:val="none"/>
          <w:lang w:val="en-US"/>
        </w:rPr>
        <w:t>ir</w:t>
      </w:r>
      <w:r w:rsidR="00AF4F99" w:rsidRPr="00215AF0">
        <w:rPr>
          <w:rStyle w:val="Hyperlink"/>
          <w:rFonts w:cstheme="minorHAnsi"/>
          <w:color w:val="auto"/>
          <w:szCs w:val="24"/>
          <w:u w:val="none"/>
          <w:lang w:val="en-US"/>
        </w:rPr>
        <w:t xml:space="preserve"> opinion on issues/ topics of public interest and welfare. </w:t>
      </w:r>
    </w:p>
    <w:p w14:paraId="2333487C" w14:textId="6B87905D" w:rsidR="00403867" w:rsidRDefault="00403867"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discussions following the presentation by India were marked by a positive reception of the MyGov platform and its achievements. </w:t>
      </w:r>
      <w:r w:rsidR="00D26B8C">
        <w:rPr>
          <w:rStyle w:val="Hyperlink"/>
          <w:rFonts w:cstheme="minorHAnsi"/>
          <w:color w:val="auto"/>
          <w:szCs w:val="24"/>
          <w:u w:val="none"/>
          <w:lang w:val="en-US"/>
        </w:rPr>
        <w:t>TDAG</w:t>
      </w:r>
      <w:r w:rsidRPr="00215AF0">
        <w:rPr>
          <w:rStyle w:val="Hyperlink"/>
          <w:rFonts w:cstheme="minorHAnsi"/>
          <w:color w:val="auto"/>
          <w:szCs w:val="24"/>
          <w:u w:val="none"/>
          <w:lang w:val="en-US"/>
        </w:rPr>
        <w:t xml:space="preserve"> acknowledged the importance of using ICT tools for improving government services and enhancing citizen engagement.</w:t>
      </w:r>
    </w:p>
    <w:tbl>
      <w:tblPr>
        <w:tblStyle w:val="TableGrid"/>
        <w:tblW w:w="0" w:type="auto"/>
        <w:tblLook w:val="04A0" w:firstRow="1" w:lastRow="0" w:firstColumn="1" w:lastColumn="0" w:noHBand="0" w:noVBand="1"/>
      </w:tblPr>
      <w:tblGrid>
        <w:gridCol w:w="9629"/>
      </w:tblGrid>
      <w:tr w:rsidR="00E03A36" w14:paraId="4E6966B8" w14:textId="77777777" w:rsidTr="00E03A36">
        <w:tc>
          <w:tcPr>
            <w:tcW w:w="9629" w:type="dxa"/>
          </w:tcPr>
          <w:p w14:paraId="4C28A5B1" w14:textId="676E2369" w:rsidR="00E03A36" w:rsidRDefault="00E03A36" w:rsidP="00F22D29">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with appreciation, in which India presented the “MyGov.in” platform, launched in July 2014 and which now has more than 30 million registered users.</w:t>
            </w:r>
          </w:p>
        </w:tc>
      </w:tr>
    </w:tbl>
    <w:p w14:paraId="4FC5C237" w14:textId="3430EEFC" w:rsidR="00572039" w:rsidRPr="006E003A" w:rsidRDefault="00572039" w:rsidP="00E03A36">
      <w:pPr>
        <w:widowControl w:val="0"/>
        <w:tabs>
          <w:tab w:val="clear" w:pos="794"/>
          <w:tab w:val="clear" w:pos="1191"/>
          <w:tab w:val="clear" w:pos="1588"/>
          <w:tab w:val="clear" w:pos="1985"/>
          <w:tab w:val="left" w:pos="567"/>
          <w:tab w:val="left" w:pos="1134"/>
          <w:tab w:val="left" w:pos="1701"/>
          <w:tab w:val="left" w:pos="2268"/>
        </w:tabs>
        <w:spacing w:after="120"/>
        <w:jc w:val="both"/>
        <w:textAlignment w:val="auto"/>
        <w:rPr>
          <w:rStyle w:val="Hyperlink"/>
          <w:rFonts w:cstheme="minorHAnsi"/>
          <w:b/>
          <w:color w:val="auto"/>
          <w:szCs w:val="24"/>
          <w:u w:val="none"/>
          <w:lang w:val="fr-CA"/>
        </w:rPr>
      </w:pPr>
      <w:r w:rsidRPr="006E003A">
        <w:rPr>
          <w:rFonts w:cstheme="minorHAnsi"/>
          <w:b/>
          <w:szCs w:val="24"/>
          <w:lang w:val="fr-CA"/>
        </w:rPr>
        <w:t xml:space="preserve">Document </w:t>
      </w:r>
      <w:hyperlink r:id="rId43">
        <w:r w:rsidRPr="006E003A">
          <w:rPr>
            <w:rStyle w:val="Hyperlink"/>
            <w:rFonts w:cstheme="minorHAnsi"/>
            <w:b/>
            <w:szCs w:val="24"/>
            <w:lang w:val="fr-CA"/>
          </w:rPr>
          <w:t>46</w:t>
        </w:r>
      </w:hyperlink>
      <w:r w:rsidRPr="006E003A">
        <w:rPr>
          <w:rStyle w:val="Hyperlink"/>
          <w:rFonts w:cstheme="minorHAnsi"/>
          <w:b/>
          <w:color w:val="auto"/>
          <w:szCs w:val="24"/>
          <w:u w:val="none"/>
          <w:lang w:val="fr-CA"/>
        </w:rPr>
        <w:t xml:space="preserve"> (</w:t>
      </w:r>
      <w:proofErr w:type="spellStart"/>
      <w:r w:rsidR="00593B68" w:rsidRPr="006E003A">
        <w:rPr>
          <w:rStyle w:val="Hyperlink"/>
          <w:rFonts w:cstheme="minorHAnsi"/>
          <w:b/>
          <w:color w:val="auto"/>
          <w:szCs w:val="24"/>
          <w:u w:val="none"/>
          <w:lang w:val="fr-CA"/>
        </w:rPr>
        <w:t>RealTyme</w:t>
      </w:r>
      <w:proofErr w:type="spellEnd"/>
      <w:r w:rsidR="00593B68" w:rsidRPr="006E003A">
        <w:rPr>
          <w:rStyle w:val="Hyperlink"/>
          <w:rFonts w:cstheme="minorHAnsi"/>
          <w:b/>
          <w:color w:val="auto"/>
          <w:szCs w:val="24"/>
          <w:u w:val="none"/>
          <w:lang w:val="fr-CA"/>
        </w:rPr>
        <w:t xml:space="preserve"> SA</w:t>
      </w:r>
      <w:r w:rsidRPr="006E003A">
        <w:rPr>
          <w:rStyle w:val="Hyperlink"/>
          <w:rFonts w:cstheme="minorHAnsi"/>
          <w:b/>
          <w:color w:val="auto"/>
          <w:szCs w:val="24"/>
          <w:u w:val="none"/>
          <w:lang w:val="fr-CA"/>
        </w:rPr>
        <w:t>)</w:t>
      </w:r>
      <w:r w:rsidR="00AE5D66" w:rsidRPr="006E003A">
        <w:rPr>
          <w:rStyle w:val="Hyperlink"/>
          <w:rFonts w:cstheme="minorHAnsi"/>
          <w:b/>
          <w:color w:val="auto"/>
          <w:szCs w:val="24"/>
          <w:u w:val="none"/>
          <w:lang w:val="fr-CA"/>
        </w:rPr>
        <w:t xml:space="preserve"> </w:t>
      </w:r>
      <w:r w:rsidR="00921721" w:rsidRPr="006E003A">
        <w:rPr>
          <w:rStyle w:val="Hyperlink"/>
          <w:rFonts w:cstheme="minorHAnsi"/>
          <w:b/>
          <w:color w:val="auto"/>
          <w:szCs w:val="24"/>
          <w:u w:val="none"/>
          <w:lang w:val="fr-CA"/>
        </w:rPr>
        <w:t xml:space="preserve">- Social media </w:t>
      </w:r>
      <w:proofErr w:type="spellStart"/>
      <w:r w:rsidR="00921721" w:rsidRPr="006E003A">
        <w:rPr>
          <w:rStyle w:val="Hyperlink"/>
          <w:rFonts w:cstheme="minorHAnsi"/>
          <w:b/>
          <w:color w:val="auto"/>
          <w:szCs w:val="24"/>
          <w:u w:val="none"/>
          <w:lang w:val="fr-CA"/>
        </w:rPr>
        <w:t>messenger</w:t>
      </w:r>
      <w:proofErr w:type="spellEnd"/>
      <w:r w:rsidR="00921721" w:rsidRPr="006E003A">
        <w:rPr>
          <w:rStyle w:val="Hyperlink"/>
          <w:rFonts w:cstheme="minorHAnsi"/>
          <w:b/>
          <w:color w:val="auto"/>
          <w:szCs w:val="24"/>
          <w:u w:val="none"/>
          <w:lang w:val="fr-CA"/>
        </w:rPr>
        <w:t xml:space="preserve"> apps </w:t>
      </w:r>
      <w:proofErr w:type="spellStart"/>
      <w:r w:rsidR="00921721" w:rsidRPr="006E003A">
        <w:rPr>
          <w:rStyle w:val="Hyperlink"/>
          <w:rFonts w:cstheme="minorHAnsi"/>
          <w:b/>
          <w:color w:val="auto"/>
          <w:szCs w:val="24"/>
          <w:u w:val="none"/>
          <w:lang w:val="fr-CA"/>
        </w:rPr>
        <w:t>privacy</w:t>
      </w:r>
      <w:proofErr w:type="spellEnd"/>
      <w:r w:rsidR="00921721" w:rsidRPr="006E003A">
        <w:rPr>
          <w:rStyle w:val="Hyperlink"/>
          <w:rFonts w:cstheme="minorHAnsi"/>
          <w:b/>
          <w:color w:val="auto"/>
          <w:szCs w:val="24"/>
          <w:u w:val="none"/>
          <w:lang w:val="fr-CA"/>
        </w:rPr>
        <w:t xml:space="preserve"> </w:t>
      </w:r>
      <w:proofErr w:type="spellStart"/>
      <w:r w:rsidR="00921721" w:rsidRPr="006E003A">
        <w:rPr>
          <w:rStyle w:val="Hyperlink"/>
          <w:rFonts w:cstheme="minorHAnsi"/>
          <w:b/>
          <w:color w:val="auto"/>
          <w:szCs w:val="24"/>
          <w:u w:val="none"/>
          <w:lang w:val="fr-CA"/>
        </w:rPr>
        <w:t>concerns</w:t>
      </w:r>
      <w:proofErr w:type="spellEnd"/>
    </w:p>
    <w:tbl>
      <w:tblPr>
        <w:tblStyle w:val="TableGrid"/>
        <w:tblW w:w="0" w:type="auto"/>
        <w:tblLook w:val="04A0" w:firstRow="1" w:lastRow="0" w:firstColumn="1" w:lastColumn="0" w:noHBand="0" w:noVBand="1"/>
      </w:tblPr>
      <w:tblGrid>
        <w:gridCol w:w="9629"/>
      </w:tblGrid>
      <w:tr w:rsidR="00E03A36" w14:paraId="03A3539F" w14:textId="77777777" w:rsidTr="00E03A36">
        <w:tc>
          <w:tcPr>
            <w:tcW w:w="9629" w:type="dxa"/>
          </w:tcPr>
          <w:p w14:paraId="34A045D2" w14:textId="302B1E5D" w:rsidR="00E03A36" w:rsidRPr="00F22D29" w:rsidRDefault="00E03A36" w:rsidP="00F22D29">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Cs/>
                <w:color w:val="auto"/>
                <w:szCs w:val="24"/>
                <w:u w:val="none"/>
              </w:rPr>
            </w:pPr>
            <w:r w:rsidRPr="00F22D29">
              <w:rPr>
                <w:rStyle w:val="Hyperlink"/>
                <w:rFonts w:cstheme="minorHAnsi"/>
                <w:bCs/>
                <w:color w:val="auto"/>
                <w:szCs w:val="24"/>
                <w:u w:val="none"/>
              </w:rPr>
              <w:t>As the author was not available to present this contribution; it may be considered at the next TDAG meeting, if so desired.</w:t>
            </w:r>
          </w:p>
        </w:tc>
      </w:tr>
    </w:tbl>
    <w:p w14:paraId="75E38778" w14:textId="2F83278B" w:rsidR="00593B68" w:rsidRPr="008C4DE1" w:rsidRDefault="00593B68"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8C4DE1">
        <w:rPr>
          <w:rFonts w:cstheme="minorHAnsi"/>
          <w:b/>
          <w:bCs/>
          <w:szCs w:val="24"/>
          <w:lang w:val="en-US"/>
        </w:rPr>
        <w:lastRenderedPageBreak/>
        <w:t xml:space="preserve">Document </w:t>
      </w:r>
      <w:hyperlink r:id="rId44">
        <w:r w:rsidRPr="008C4DE1">
          <w:rPr>
            <w:rStyle w:val="Hyperlink"/>
            <w:rFonts w:cstheme="minorHAnsi"/>
            <w:b/>
            <w:bCs/>
            <w:szCs w:val="24"/>
            <w:lang w:val="en-US"/>
          </w:rPr>
          <w:t>47</w:t>
        </w:r>
      </w:hyperlink>
      <w:r w:rsidRPr="008C4DE1">
        <w:rPr>
          <w:rStyle w:val="Hyperlink"/>
          <w:rFonts w:cstheme="minorHAnsi"/>
          <w:b/>
          <w:bCs/>
          <w:color w:val="auto"/>
          <w:szCs w:val="24"/>
          <w:u w:val="none"/>
          <w:lang w:val="en-US"/>
        </w:rPr>
        <w:t xml:space="preserve"> (India)</w:t>
      </w:r>
      <w:r w:rsidR="008C4DE1" w:rsidRPr="008C4DE1">
        <w:rPr>
          <w:rStyle w:val="Hyperlink"/>
          <w:rFonts w:cstheme="minorHAnsi"/>
          <w:b/>
          <w:bCs/>
          <w:color w:val="auto"/>
          <w:szCs w:val="24"/>
          <w:u w:val="none"/>
          <w:lang w:val="en-US"/>
        </w:rPr>
        <w:t xml:space="preserve"> -</w:t>
      </w:r>
      <w:r w:rsidR="008C4DE1" w:rsidRPr="008C4DE1">
        <w:rPr>
          <w:rFonts w:ascii="Calibri" w:hAnsi="Calibri" w:cs="Calibri"/>
          <w:b/>
          <w:bCs/>
          <w:color w:val="000000"/>
          <w:sz w:val="20"/>
          <w:shd w:val="clear" w:color="auto" w:fill="FFFFFF"/>
        </w:rPr>
        <w:t xml:space="preserve"> </w:t>
      </w:r>
      <w:r w:rsidR="008C4DE1" w:rsidRPr="008C4DE1">
        <w:rPr>
          <w:rFonts w:cstheme="minorHAnsi"/>
          <w:b/>
          <w:bCs/>
          <w:szCs w:val="24"/>
        </w:rPr>
        <w:t>The ICT Development Index 2023 </w:t>
      </w:r>
    </w:p>
    <w:p w14:paraId="403E8C3D" w14:textId="1B1F8216" w:rsidR="00AE5D66" w:rsidRDefault="00EF645C" w:rsidP="00E03A36">
      <w:pPr>
        <w:keepNext/>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representative from India presented Document 47, focusing on the ICT Development Index (IDI). India raised concerns about the methodology used in the 2023 IDI report published by the ITU</w:t>
      </w:r>
      <w:r w:rsidR="002521EF" w:rsidRPr="00215AF0">
        <w:rPr>
          <w:rStyle w:val="Hyperlink"/>
          <w:rFonts w:cstheme="minorHAnsi"/>
          <w:color w:val="auto"/>
          <w:szCs w:val="24"/>
          <w:u w:val="none"/>
          <w:lang w:val="en-US"/>
        </w:rPr>
        <w:t>.</w:t>
      </w:r>
      <w:r w:rsidR="00A824FF" w:rsidRPr="00215AF0">
        <w:rPr>
          <w:rFonts w:cstheme="minorHAnsi"/>
          <w:szCs w:val="24"/>
        </w:rPr>
        <w:t xml:space="preserve"> </w:t>
      </w:r>
      <w:r w:rsidR="00A824FF" w:rsidRPr="00215AF0">
        <w:rPr>
          <w:rStyle w:val="Hyperlink"/>
          <w:rFonts w:cstheme="minorHAnsi"/>
          <w:color w:val="auto"/>
          <w:szCs w:val="24"/>
          <w:u w:val="none"/>
          <w:lang w:val="en-US"/>
        </w:rPr>
        <w:t>India expressed its willingness to participate in the activities of the sub-working group tasked with revising the IDI methodology. However, they noted that recommendations from this group would only be considered after four years, in 2027, which they believed defeated the purpose of the subgroup. India requested TDAG to provide guidance for an early review and revision of the IDI methodology.</w:t>
      </w:r>
    </w:p>
    <w:tbl>
      <w:tblPr>
        <w:tblStyle w:val="TableGrid"/>
        <w:tblW w:w="0" w:type="auto"/>
        <w:tblLook w:val="04A0" w:firstRow="1" w:lastRow="0" w:firstColumn="1" w:lastColumn="0" w:noHBand="0" w:noVBand="1"/>
      </w:tblPr>
      <w:tblGrid>
        <w:gridCol w:w="9629"/>
      </w:tblGrid>
      <w:tr w:rsidR="00E03A36" w14:paraId="1D79AE4E" w14:textId="77777777" w:rsidTr="00E03A36">
        <w:tc>
          <w:tcPr>
            <w:tcW w:w="9629" w:type="dxa"/>
          </w:tcPr>
          <w:p w14:paraId="442D6B49" w14:textId="19150580" w:rsidR="00E03A36" w:rsidRDefault="00E03A36" w:rsidP="00E03A36">
            <w:pPr>
              <w:keepNext/>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which expressed reservations about the methodology of the IDI.</w:t>
            </w:r>
          </w:p>
        </w:tc>
      </w:tr>
    </w:tbl>
    <w:p w14:paraId="365E968B" w14:textId="0C7D2701" w:rsidR="00A831C0" w:rsidRPr="009B5778" w:rsidRDefault="00A831C0"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9B5778">
        <w:rPr>
          <w:rFonts w:cstheme="minorHAnsi"/>
          <w:b/>
          <w:bCs/>
          <w:szCs w:val="24"/>
          <w:lang w:val="en-US"/>
        </w:rPr>
        <w:t xml:space="preserve">Document </w:t>
      </w:r>
      <w:hyperlink r:id="rId45" w:history="1">
        <w:r w:rsidRPr="009B5778">
          <w:rPr>
            <w:rStyle w:val="Hyperlink"/>
            <w:rFonts w:cstheme="minorHAnsi"/>
            <w:b/>
            <w:bCs/>
            <w:szCs w:val="24"/>
            <w:lang w:val="en-US"/>
          </w:rPr>
          <w:t>48</w:t>
        </w:r>
      </w:hyperlink>
      <w:r w:rsidRPr="009B5778">
        <w:rPr>
          <w:rStyle w:val="Hyperlink"/>
          <w:rFonts w:cstheme="minorHAnsi"/>
          <w:b/>
          <w:bCs/>
          <w:color w:val="auto"/>
          <w:szCs w:val="24"/>
          <w:u w:val="none"/>
          <w:lang w:val="en-US"/>
        </w:rPr>
        <w:t xml:space="preserve"> (Egypt)</w:t>
      </w:r>
      <w:r w:rsidR="009B5778" w:rsidRPr="009B5778">
        <w:rPr>
          <w:rStyle w:val="Hyperlink"/>
          <w:rFonts w:cstheme="minorHAnsi"/>
          <w:b/>
          <w:bCs/>
          <w:color w:val="auto"/>
          <w:szCs w:val="24"/>
          <w:u w:val="none"/>
          <w:lang w:val="en-US"/>
        </w:rPr>
        <w:t xml:space="preserve"> - </w:t>
      </w:r>
      <w:r w:rsidR="009B5778" w:rsidRPr="009B5778">
        <w:rPr>
          <w:rFonts w:cstheme="minorHAnsi"/>
          <w:b/>
          <w:bCs/>
          <w:szCs w:val="24"/>
        </w:rPr>
        <w:t>Collaboration Project between Egypt and ITU for Promoting the Development of SSCC Telecom Infrastructure in Egypt</w:t>
      </w:r>
    </w:p>
    <w:p w14:paraId="74828324" w14:textId="26735D4D" w:rsidR="00572818" w:rsidRPr="00215AF0" w:rsidRDefault="00A412DD"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sidRPr="00215AF0">
        <w:rPr>
          <w:rStyle w:val="Hyperlink"/>
          <w:rFonts w:cstheme="minorHAnsi"/>
          <w:color w:val="auto"/>
          <w:szCs w:val="24"/>
          <w:u w:val="none"/>
        </w:rPr>
        <w:t>The representative from Egypt presented Document 48, detailing a collaborative project between Egypt and the ITU aimed at promoting the development of smart sustainable cities and communities</w:t>
      </w:r>
      <w:r w:rsidR="00990E23">
        <w:rPr>
          <w:rStyle w:val="Hyperlink"/>
          <w:rFonts w:cstheme="minorHAnsi"/>
          <w:color w:val="auto"/>
          <w:szCs w:val="24"/>
          <w:u w:val="none"/>
        </w:rPr>
        <w:t xml:space="preserve"> (SSCC)</w:t>
      </w:r>
      <w:r w:rsidRPr="00215AF0">
        <w:rPr>
          <w:rStyle w:val="Hyperlink"/>
          <w:rFonts w:cstheme="minorHAnsi"/>
          <w:color w:val="auto"/>
          <w:szCs w:val="24"/>
          <w:u w:val="none"/>
        </w:rPr>
        <w:t xml:space="preserve">. This initiative, developed in collaboration with the Arab Regional Office, aligns with the regional initiative for the Arab Region and Egypt’s national efforts to enhance smart city infrastructure. </w:t>
      </w:r>
    </w:p>
    <w:p w14:paraId="7F54B116" w14:textId="7D0244C3" w:rsidR="003E2C5F" w:rsidRPr="00215AF0" w:rsidRDefault="00453108"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sidRPr="00215AF0">
        <w:rPr>
          <w:rStyle w:val="Hyperlink"/>
          <w:rFonts w:cstheme="minorHAnsi"/>
          <w:color w:val="auto"/>
          <w:szCs w:val="24"/>
          <w:u w:val="none"/>
        </w:rPr>
        <w:t>This contribution provide</w:t>
      </w:r>
      <w:r w:rsidR="0030673E" w:rsidRPr="00215AF0">
        <w:rPr>
          <w:rStyle w:val="Hyperlink"/>
          <w:rFonts w:cstheme="minorHAnsi"/>
          <w:color w:val="auto"/>
          <w:szCs w:val="24"/>
          <w:u w:val="none"/>
        </w:rPr>
        <w:t>d</w:t>
      </w:r>
      <w:r w:rsidRPr="00215AF0">
        <w:rPr>
          <w:rStyle w:val="Hyperlink"/>
          <w:rFonts w:cstheme="minorHAnsi"/>
          <w:color w:val="auto"/>
          <w:szCs w:val="24"/>
          <w:u w:val="none"/>
        </w:rPr>
        <w:t xml:space="preserve"> an overview of the </w:t>
      </w:r>
      <w:r w:rsidR="00E305AE" w:rsidRPr="00215AF0">
        <w:rPr>
          <w:rStyle w:val="Hyperlink"/>
          <w:rFonts w:cstheme="minorHAnsi"/>
          <w:color w:val="auto"/>
          <w:szCs w:val="24"/>
          <w:u w:val="none"/>
        </w:rPr>
        <w:t>project</w:t>
      </w:r>
      <w:r w:rsidRPr="00215AF0">
        <w:rPr>
          <w:rStyle w:val="Hyperlink"/>
          <w:rFonts w:cstheme="minorHAnsi"/>
          <w:color w:val="auto"/>
          <w:szCs w:val="24"/>
          <w:u w:val="none"/>
        </w:rPr>
        <w:t xml:space="preserve"> </w:t>
      </w:r>
      <w:r w:rsidR="00572818" w:rsidRPr="00215AF0">
        <w:rPr>
          <w:rStyle w:val="Hyperlink"/>
          <w:rFonts w:cstheme="minorHAnsi"/>
          <w:color w:val="auto"/>
          <w:szCs w:val="24"/>
          <w:u w:val="none"/>
        </w:rPr>
        <w:t xml:space="preserve">that </w:t>
      </w:r>
      <w:r w:rsidRPr="00215AF0">
        <w:rPr>
          <w:rStyle w:val="Hyperlink"/>
          <w:rFonts w:cstheme="minorHAnsi"/>
          <w:color w:val="auto"/>
          <w:szCs w:val="24"/>
          <w:u w:val="none"/>
        </w:rPr>
        <w:t xml:space="preserve">aims </w:t>
      </w:r>
      <w:r w:rsidR="00DC3008">
        <w:rPr>
          <w:rStyle w:val="Hyperlink"/>
          <w:rFonts w:cstheme="minorHAnsi"/>
          <w:color w:val="auto"/>
          <w:szCs w:val="24"/>
          <w:u w:val="none"/>
        </w:rPr>
        <w:t>to</w:t>
      </w:r>
      <w:r w:rsidRPr="00215AF0">
        <w:rPr>
          <w:rStyle w:val="Hyperlink"/>
          <w:rFonts w:cstheme="minorHAnsi"/>
          <w:color w:val="auto"/>
          <w:szCs w:val="24"/>
          <w:u w:val="none"/>
        </w:rPr>
        <w:t xml:space="preserve"> creat</w:t>
      </w:r>
      <w:r w:rsidR="00DC3008">
        <w:rPr>
          <w:rStyle w:val="Hyperlink"/>
          <w:rFonts w:cstheme="minorHAnsi"/>
          <w:color w:val="auto"/>
          <w:szCs w:val="24"/>
          <w:u w:val="none"/>
        </w:rPr>
        <w:t>e</w:t>
      </w:r>
      <w:r w:rsidRPr="00215AF0">
        <w:rPr>
          <w:rStyle w:val="Hyperlink"/>
          <w:rFonts w:cstheme="minorHAnsi"/>
          <w:color w:val="auto"/>
          <w:szCs w:val="24"/>
          <w:u w:val="none"/>
        </w:rPr>
        <w:t xml:space="preserve"> and promot</w:t>
      </w:r>
      <w:r w:rsidR="00DC3008">
        <w:rPr>
          <w:rStyle w:val="Hyperlink"/>
          <w:rFonts w:cstheme="minorHAnsi"/>
          <w:color w:val="auto"/>
          <w:szCs w:val="24"/>
          <w:u w:val="none"/>
        </w:rPr>
        <w:t>e</w:t>
      </w:r>
      <w:r w:rsidRPr="00215AF0">
        <w:rPr>
          <w:rStyle w:val="Hyperlink"/>
          <w:rFonts w:cstheme="minorHAnsi"/>
          <w:color w:val="auto"/>
          <w:szCs w:val="24"/>
          <w:u w:val="none"/>
        </w:rPr>
        <w:t xml:space="preserve"> an enabling environment to support the Government of Egypt’s efforts </w:t>
      </w:r>
      <w:r w:rsidR="00DC3008">
        <w:rPr>
          <w:rStyle w:val="Hyperlink"/>
          <w:rFonts w:cstheme="minorHAnsi"/>
          <w:color w:val="auto"/>
          <w:szCs w:val="24"/>
          <w:u w:val="none"/>
        </w:rPr>
        <w:t>t</w:t>
      </w:r>
      <w:r w:rsidR="00006DB0">
        <w:rPr>
          <w:rStyle w:val="Hyperlink"/>
          <w:rFonts w:cstheme="minorHAnsi"/>
          <w:color w:val="auto"/>
          <w:szCs w:val="24"/>
          <w:u w:val="none"/>
        </w:rPr>
        <w:t xml:space="preserve">o </w:t>
      </w:r>
      <w:r w:rsidRPr="00215AF0">
        <w:rPr>
          <w:rStyle w:val="Hyperlink"/>
          <w:rFonts w:cstheme="minorHAnsi"/>
          <w:color w:val="auto"/>
          <w:szCs w:val="24"/>
          <w:u w:val="none"/>
        </w:rPr>
        <w:t>establish and develop SSCC through developing an evaluation framework and tool based on Egypt existing codes and ITU experience.</w:t>
      </w:r>
    </w:p>
    <w:p w14:paraId="508133CE" w14:textId="636D86E2" w:rsidR="00A26ADF" w:rsidRDefault="00216E62"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Pr>
          <w:rStyle w:val="Hyperlink"/>
          <w:rFonts w:cstheme="minorHAnsi"/>
          <w:color w:val="auto"/>
          <w:szCs w:val="24"/>
          <w:u w:val="none"/>
        </w:rPr>
        <w:t>TDAG</w:t>
      </w:r>
      <w:r w:rsidR="00A26ADF" w:rsidRPr="00215AF0">
        <w:rPr>
          <w:rStyle w:val="Hyperlink"/>
          <w:rFonts w:cstheme="minorHAnsi"/>
          <w:color w:val="auto"/>
          <w:szCs w:val="24"/>
          <w:u w:val="none"/>
        </w:rPr>
        <w:t xml:space="preserve"> expressed appreciation for Egypt’s extensive experience and leadership in the smart cit</w:t>
      </w:r>
      <w:r w:rsidR="00BE2D31">
        <w:rPr>
          <w:rStyle w:val="Hyperlink"/>
          <w:rFonts w:cstheme="minorHAnsi"/>
          <w:color w:val="auto"/>
          <w:szCs w:val="24"/>
          <w:u w:val="none"/>
        </w:rPr>
        <w:t>y</w:t>
      </w:r>
      <w:r w:rsidR="00A26ADF" w:rsidRPr="00215AF0">
        <w:rPr>
          <w:rStyle w:val="Hyperlink"/>
          <w:rFonts w:cstheme="minorHAnsi"/>
          <w:color w:val="auto"/>
          <w:szCs w:val="24"/>
          <w:u w:val="none"/>
        </w:rPr>
        <w:t xml:space="preserve"> domain. The initiative to build a brand-new administrative city in Egypt was highlighted as a notable example of innovative urban planning.</w:t>
      </w:r>
    </w:p>
    <w:tbl>
      <w:tblPr>
        <w:tblStyle w:val="TableGrid"/>
        <w:tblW w:w="0" w:type="auto"/>
        <w:tblLook w:val="04A0" w:firstRow="1" w:lastRow="0" w:firstColumn="1" w:lastColumn="0" w:noHBand="0" w:noVBand="1"/>
      </w:tblPr>
      <w:tblGrid>
        <w:gridCol w:w="9629"/>
      </w:tblGrid>
      <w:tr w:rsidR="00E03A36" w14:paraId="5240D741" w14:textId="77777777" w:rsidTr="00E03A36">
        <w:tc>
          <w:tcPr>
            <w:tcW w:w="9629" w:type="dxa"/>
          </w:tcPr>
          <w:p w14:paraId="79FBF708" w14:textId="07E1FEF0" w:rsidR="00E03A36" w:rsidRDefault="00E03A36"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sidRPr="00E03A36">
              <w:rPr>
                <w:rStyle w:val="Hyperlink"/>
                <w:rFonts w:cstheme="minorHAnsi"/>
                <w:color w:val="auto"/>
                <w:szCs w:val="24"/>
                <w:u w:val="none"/>
              </w:rPr>
              <w:t>TDAG took note of the document and appreciated the presentation by Egypt on its project with the ITU on smart cities and communities. The project aimed to promote standard innovation of SSCC in Egypt, specifically, standardizing the ICTs infrastructure requirements, while considering the aspects of smartness and sustainability based on ITU technical standards or Recommendations.</w:t>
            </w:r>
          </w:p>
        </w:tc>
      </w:tr>
    </w:tbl>
    <w:p w14:paraId="42CB6E62" w14:textId="6AFA87E0" w:rsidR="00EF6648" w:rsidRPr="00215AF0" w:rsidRDefault="009D7C30" w:rsidP="00756B97">
      <w:pPr>
        <w:pStyle w:val="ListParagraph"/>
        <w:keepNext/>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215AF0">
        <w:rPr>
          <w:rFonts w:cstheme="minorHAnsi"/>
          <w:b/>
          <w:szCs w:val="24"/>
        </w:rPr>
        <w:t>Study Group activities</w:t>
      </w:r>
    </w:p>
    <w:p w14:paraId="1156904D" w14:textId="24608C35" w:rsidR="00EF6648" w:rsidRPr="005702B5" w:rsidRDefault="00EF6648"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5702B5">
        <w:rPr>
          <w:rFonts w:cstheme="minorHAnsi"/>
          <w:b/>
          <w:bCs/>
          <w:szCs w:val="24"/>
        </w:rPr>
        <w:t xml:space="preserve">Document </w:t>
      </w:r>
      <w:hyperlink r:id="rId46">
        <w:r w:rsidR="00CC2BF2" w:rsidRPr="005702B5">
          <w:rPr>
            <w:rStyle w:val="Hyperlink"/>
            <w:rFonts w:cstheme="minorHAnsi"/>
            <w:b/>
            <w:bCs/>
            <w:szCs w:val="24"/>
          </w:rPr>
          <w:t>5(Rev.1)</w:t>
        </w:r>
      </w:hyperlink>
      <w:r w:rsidR="00565A0F" w:rsidRPr="005702B5">
        <w:rPr>
          <w:rStyle w:val="Hyperlink"/>
          <w:rFonts w:cstheme="minorHAnsi"/>
          <w:b/>
          <w:bCs/>
          <w:color w:val="auto"/>
          <w:szCs w:val="24"/>
          <w:u w:val="none"/>
        </w:rPr>
        <w:t xml:space="preserve"> (Chair, ITU-D Study Group 1)</w:t>
      </w:r>
      <w:r w:rsidR="00405BF7">
        <w:rPr>
          <w:rStyle w:val="Hyperlink"/>
          <w:rFonts w:cstheme="minorHAnsi"/>
          <w:b/>
          <w:bCs/>
          <w:color w:val="auto"/>
          <w:szCs w:val="24"/>
          <w:u w:val="none"/>
        </w:rPr>
        <w:t xml:space="preserve"> -</w:t>
      </w:r>
      <w:r w:rsidR="00405BF7" w:rsidRPr="00405BF7">
        <w:rPr>
          <w:rFonts w:ascii="Calibri" w:hAnsi="Calibri" w:cs="Calibri"/>
          <w:color w:val="000000"/>
          <w:sz w:val="20"/>
          <w:shd w:val="clear" w:color="auto" w:fill="FFFFFF"/>
        </w:rPr>
        <w:t xml:space="preserve"> </w:t>
      </w:r>
      <w:r w:rsidR="00405BF7" w:rsidRPr="00405BF7">
        <w:rPr>
          <w:rFonts w:cstheme="minorHAnsi"/>
          <w:b/>
          <w:bCs/>
          <w:szCs w:val="24"/>
        </w:rPr>
        <w:t>ITU-D Study Group 1 - Activities and progress </w:t>
      </w:r>
    </w:p>
    <w:p w14:paraId="4DA25215" w14:textId="12C3E9F3" w:rsidR="00C07DD4" w:rsidRPr="00215AF0" w:rsidRDefault="003E2C5F" w:rsidP="00E03A36">
      <w:pPr>
        <w:pStyle w:val="CEONormal"/>
        <w:rPr>
          <w:rFonts w:asciiTheme="minorHAnsi" w:eastAsia="Malgun Gothic" w:hAnsiTheme="minorHAnsi" w:cstheme="minorHAnsi"/>
          <w:sz w:val="24"/>
          <w:szCs w:val="24"/>
          <w:lang w:val="en-US" w:eastAsia="ko-KR"/>
        </w:rPr>
      </w:pPr>
      <w:r w:rsidRPr="00215AF0">
        <w:rPr>
          <w:rFonts w:asciiTheme="minorHAnsi" w:hAnsiTheme="minorHAnsi" w:cstheme="minorHAnsi"/>
          <w:sz w:val="24"/>
          <w:szCs w:val="24"/>
          <w:lang w:val="en-US" w:eastAsia="zh-CN"/>
        </w:rPr>
        <w:t>In this document, h</w:t>
      </w:r>
      <w:r w:rsidR="00C07DD4" w:rsidRPr="00215AF0">
        <w:rPr>
          <w:rFonts w:asciiTheme="minorHAnsi" w:hAnsiTheme="minorHAnsi" w:cstheme="minorHAnsi"/>
          <w:sz w:val="24"/>
          <w:szCs w:val="24"/>
          <w:lang w:val="en-US" w:eastAsia="zh-CN"/>
        </w:rPr>
        <w:t xml:space="preserve">ighlights from the second meeting of ITU-D Study Group 1 (SG1) held 23-27 October 2023 and from the rapporteur group (RG1) meetings and workshops held 15-26 April 2024 were shared by the ITU-D SG1 Chair </w:t>
      </w:r>
      <w:proofErr w:type="spellStart"/>
      <w:r w:rsidR="00C07DD4" w:rsidRPr="00215AF0">
        <w:rPr>
          <w:rFonts w:asciiTheme="minorHAnsi" w:hAnsiTheme="minorHAnsi" w:cstheme="minorHAnsi"/>
          <w:sz w:val="24"/>
          <w:szCs w:val="24"/>
          <w:lang w:val="en-US" w:eastAsia="zh-CN"/>
        </w:rPr>
        <w:t>Ms</w:t>
      </w:r>
      <w:proofErr w:type="spellEnd"/>
      <w:r w:rsidR="00C07DD4" w:rsidRPr="00215AF0">
        <w:rPr>
          <w:rFonts w:asciiTheme="minorHAnsi" w:hAnsiTheme="minorHAnsi" w:cstheme="minorHAnsi"/>
          <w:sz w:val="24"/>
          <w:szCs w:val="24"/>
          <w:lang w:val="en-US" w:eastAsia="zh-CN"/>
        </w:rPr>
        <w:t xml:space="preserve"> Regina Fleur Assoumou-</w:t>
      </w:r>
      <w:proofErr w:type="spellStart"/>
      <w:r w:rsidR="00C07DD4" w:rsidRPr="00215AF0">
        <w:rPr>
          <w:rFonts w:asciiTheme="minorHAnsi" w:hAnsiTheme="minorHAnsi" w:cstheme="minorHAnsi"/>
          <w:sz w:val="24"/>
          <w:szCs w:val="24"/>
          <w:lang w:val="en-US" w:eastAsia="zh-CN"/>
        </w:rPr>
        <w:t>Bessou</w:t>
      </w:r>
      <w:proofErr w:type="spellEnd"/>
      <w:r w:rsidR="00C07DD4" w:rsidRPr="00215AF0">
        <w:rPr>
          <w:rFonts w:asciiTheme="minorHAnsi" w:hAnsiTheme="minorHAnsi" w:cstheme="minorHAnsi"/>
          <w:sz w:val="24"/>
          <w:szCs w:val="24"/>
          <w:lang w:val="en-US" w:eastAsia="zh-CN"/>
        </w:rPr>
        <w:t xml:space="preserve"> (Côte d’Ivoire). </w:t>
      </w:r>
      <w:r w:rsidR="00C07DD4" w:rsidRPr="00215AF0">
        <w:rPr>
          <w:rFonts w:asciiTheme="minorHAnsi" w:eastAsia="Malgun Gothic" w:hAnsiTheme="minorHAnsi" w:cstheme="minorHAnsi"/>
          <w:sz w:val="24"/>
          <w:szCs w:val="24"/>
          <w:lang w:val="en-US" w:eastAsia="ko-KR"/>
        </w:rPr>
        <w:t xml:space="preserve">The number of contributions received to date puts ITU-D Study Group 1 on the right track to achieve the expected outputs as per the Kigali Action Plan. </w:t>
      </w:r>
      <w:r w:rsidR="00171621" w:rsidRPr="00215AF0">
        <w:rPr>
          <w:rFonts w:asciiTheme="minorHAnsi" w:eastAsia="Malgun Gothic" w:hAnsiTheme="minorHAnsi" w:cstheme="minorHAnsi"/>
          <w:sz w:val="24"/>
          <w:szCs w:val="24"/>
          <w:lang w:val="en-US" w:eastAsia="ko-KR"/>
        </w:rPr>
        <w:t xml:space="preserve">The Chair </w:t>
      </w:r>
      <w:r w:rsidR="00C07DD4" w:rsidRPr="00215AF0">
        <w:rPr>
          <w:rFonts w:asciiTheme="minorHAnsi" w:eastAsia="Malgun Gothic" w:hAnsiTheme="minorHAnsi" w:cstheme="minorHAnsi"/>
          <w:sz w:val="24"/>
          <w:szCs w:val="24"/>
          <w:lang w:val="en-US" w:eastAsia="ko-KR"/>
        </w:rPr>
        <w:t xml:space="preserve">indicated the collaboration actions led by coordinator </w:t>
      </w:r>
      <w:proofErr w:type="spellStart"/>
      <w:r w:rsidR="00C07DD4" w:rsidRPr="00215AF0">
        <w:rPr>
          <w:rFonts w:asciiTheme="minorHAnsi" w:eastAsia="Malgun Gothic" w:hAnsiTheme="minorHAnsi" w:cstheme="minorHAnsi"/>
          <w:sz w:val="24"/>
          <w:szCs w:val="24"/>
          <w:lang w:val="en-US" w:eastAsia="ko-KR"/>
        </w:rPr>
        <w:t>Mr</w:t>
      </w:r>
      <w:proofErr w:type="spellEnd"/>
      <w:r w:rsidR="00C07DD4" w:rsidRPr="00215AF0">
        <w:rPr>
          <w:rFonts w:asciiTheme="minorHAnsi" w:eastAsia="Malgun Gothic" w:hAnsiTheme="minorHAnsi" w:cstheme="minorHAnsi"/>
          <w:sz w:val="24"/>
          <w:szCs w:val="24"/>
          <w:lang w:val="en-US" w:eastAsia="ko-KR"/>
        </w:rPr>
        <w:t xml:space="preserve"> Roberto Hirayama (</w:t>
      </w:r>
      <w:r w:rsidR="00171621" w:rsidRPr="00215AF0">
        <w:rPr>
          <w:rFonts w:asciiTheme="minorHAnsi" w:eastAsia="Malgun Gothic" w:hAnsiTheme="minorHAnsi" w:cstheme="minorHAnsi"/>
          <w:sz w:val="24"/>
          <w:szCs w:val="24"/>
          <w:lang w:val="en-US" w:eastAsia="ko-KR"/>
        </w:rPr>
        <w:t>V</w:t>
      </w:r>
      <w:r w:rsidR="00C07DD4" w:rsidRPr="00215AF0">
        <w:rPr>
          <w:rFonts w:asciiTheme="minorHAnsi" w:eastAsia="Malgun Gothic" w:hAnsiTheme="minorHAnsi" w:cstheme="minorHAnsi"/>
          <w:sz w:val="24"/>
          <w:szCs w:val="24"/>
          <w:lang w:val="en-US" w:eastAsia="ko-KR"/>
        </w:rPr>
        <w:t>ice</w:t>
      </w:r>
      <w:r w:rsidR="00171621" w:rsidRPr="00215AF0">
        <w:rPr>
          <w:rFonts w:asciiTheme="minorHAnsi" w:eastAsia="Malgun Gothic" w:hAnsiTheme="minorHAnsi" w:cstheme="minorHAnsi"/>
          <w:sz w:val="24"/>
          <w:szCs w:val="24"/>
          <w:lang w:val="en-US" w:eastAsia="ko-KR"/>
        </w:rPr>
        <w:t>-</w:t>
      </w:r>
      <w:r w:rsidR="00C07DD4" w:rsidRPr="00215AF0">
        <w:rPr>
          <w:rFonts w:asciiTheme="minorHAnsi" w:eastAsia="Malgun Gothic" w:hAnsiTheme="minorHAnsi" w:cstheme="minorHAnsi"/>
          <w:sz w:val="24"/>
          <w:szCs w:val="24"/>
          <w:lang w:val="en-US" w:eastAsia="ko-KR"/>
        </w:rPr>
        <w:t>Chair, Brazil) to curate key topics for BDT and BR to consider, from relevant contributions received at SG1 pertaining to WTDC Resolution 9 (Rev. Kigali 2022).</w:t>
      </w:r>
      <w:r w:rsidR="00B45BFF">
        <w:rPr>
          <w:rFonts w:asciiTheme="minorHAnsi" w:eastAsia="Malgun Gothic" w:hAnsiTheme="minorHAnsi" w:cstheme="minorHAnsi"/>
          <w:sz w:val="24"/>
          <w:szCs w:val="24"/>
          <w:lang w:val="en-US" w:eastAsia="ko-KR"/>
        </w:rPr>
        <w:t xml:space="preserve"> </w:t>
      </w:r>
      <w:r w:rsidR="00C07DD4" w:rsidRPr="00215AF0">
        <w:rPr>
          <w:rFonts w:asciiTheme="minorHAnsi" w:eastAsia="Malgun Gothic" w:hAnsiTheme="minorHAnsi" w:cstheme="minorHAnsi"/>
          <w:sz w:val="24"/>
          <w:szCs w:val="24"/>
          <w:lang w:val="en-US" w:eastAsia="ko-KR"/>
        </w:rPr>
        <w:t>She thanked the BDT Director for his support, including the recent communication addressed to administrations with vice-chairs, rapporteurs, and co-rapporteurs, to ensure their continued work until the end of the study period.</w:t>
      </w:r>
      <w:r w:rsidR="00B45BFF">
        <w:rPr>
          <w:rFonts w:asciiTheme="minorHAnsi" w:eastAsia="Malgun Gothic" w:hAnsiTheme="minorHAnsi" w:cstheme="minorHAnsi"/>
          <w:sz w:val="24"/>
          <w:szCs w:val="24"/>
          <w:lang w:val="en-US" w:eastAsia="ko-KR"/>
        </w:rPr>
        <w:t xml:space="preserve"> </w:t>
      </w:r>
      <w:r w:rsidR="00C07DD4" w:rsidRPr="00215AF0">
        <w:rPr>
          <w:rFonts w:asciiTheme="minorHAnsi" w:eastAsia="Malgun Gothic" w:hAnsiTheme="minorHAnsi" w:cstheme="minorHAnsi"/>
          <w:sz w:val="24"/>
          <w:szCs w:val="24"/>
          <w:lang w:val="en-US" w:eastAsia="ko-KR"/>
        </w:rPr>
        <w:t xml:space="preserve">She pointed out the good percentages of women participation in the meetings and workshops and thanked all those who joined the ITU-D SG1 celebration of Girls in ICT held on 25 April 2024 in Geneva which was partly moderated by the ITU Secretary General. She indicated the information shared on the TDAG Working Group on </w:t>
      </w:r>
      <w:r w:rsidR="00C07DD4" w:rsidRPr="00215AF0">
        <w:rPr>
          <w:rFonts w:asciiTheme="minorHAnsi" w:eastAsia="Malgun Gothic" w:hAnsiTheme="minorHAnsi" w:cstheme="minorHAnsi"/>
          <w:sz w:val="24"/>
          <w:szCs w:val="24"/>
          <w:lang w:val="en-US" w:eastAsia="ko-KR"/>
        </w:rPr>
        <w:lastRenderedPageBreak/>
        <w:t>Future of Study Group Questions which streamlines the approach for reviewing the study Questions in preparation for the next WTDC. She invited all to continue working towards the next SG1 meeting to be held in Geneva from 4</w:t>
      </w:r>
      <w:r w:rsidR="00CD4FAD" w:rsidRPr="00215AF0">
        <w:rPr>
          <w:rFonts w:asciiTheme="minorHAnsi" w:eastAsia="Malgun Gothic" w:hAnsiTheme="minorHAnsi" w:cstheme="minorHAnsi"/>
          <w:sz w:val="24"/>
          <w:szCs w:val="24"/>
          <w:lang w:val="en-US" w:eastAsia="ko-KR"/>
        </w:rPr>
        <w:t xml:space="preserve"> to </w:t>
      </w:r>
      <w:r w:rsidR="00C07DD4" w:rsidRPr="00215AF0">
        <w:rPr>
          <w:rFonts w:asciiTheme="minorHAnsi" w:eastAsia="Malgun Gothic" w:hAnsiTheme="minorHAnsi" w:cstheme="minorHAnsi"/>
          <w:sz w:val="24"/>
          <w:szCs w:val="24"/>
          <w:lang w:val="en-US" w:eastAsia="ko-KR"/>
        </w:rPr>
        <w:t>8 November 2024.</w:t>
      </w:r>
    </w:p>
    <w:p w14:paraId="46257F44" w14:textId="77777777" w:rsidR="007E33DE" w:rsidRPr="00215AF0" w:rsidRDefault="00C07DD4"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SG1 Questions 1/1, 3/1 and 5/1 management teams and GSOA were commended by</w:t>
      </w:r>
      <w:r w:rsidR="00BA21E9" w:rsidRPr="00215AF0">
        <w:rPr>
          <w:rFonts w:asciiTheme="minorHAnsi" w:eastAsia="Malgun Gothic" w:hAnsiTheme="minorHAnsi" w:cstheme="minorHAnsi"/>
          <w:sz w:val="24"/>
          <w:szCs w:val="24"/>
          <w:lang w:val="en-US" w:eastAsia="ko-KR"/>
        </w:rPr>
        <w:t xml:space="preserve"> TDAG</w:t>
      </w:r>
      <w:r w:rsidRPr="00215AF0">
        <w:rPr>
          <w:rFonts w:asciiTheme="minorHAnsi" w:eastAsia="Malgun Gothic" w:hAnsiTheme="minorHAnsi" w:cstheme="minorHAnsi"/>
          <w:b/>
          <w:bCs/>
          <w:sz w:val="24"/>
          <w:szCs w:val="24"/>
          <w:lang w:val="en-US" w:eastAsia="ko-KR"/>
        </w:rPr>
        <w:t xml:space="preserve"> </w:t>
      </w:r>
      <w:r w:rsidRPr="00215AF0">
        <w:rPr>
          <w:rFonts w:asciiTheme="minorHAnsi" w:eastAsia="Malgun Gothic" w:hAnsiTheme="minorHAnsi" w:cstheme="minorHAnsi"/>
          <w:sz w:val="24"/>
          <w:szCs w:val="24"/>
          <w:lang w:val="en-US" w:eastAsia="ko-KR"/>
        </w:rPr>
        <w:t xml:space="preserve">for the </w:t>
      </w:r>
      <w:hyperlink r:id="rId47" w:history="1">
        <w:r w:rsidRPr="00215AF0">
          <w:rPr>
            <w:rStyle w:val="Hyperlink"/>
            <w:rFonts w:asciiTheme="minorHAnsi" w:eastAsia="Malgun Gothic" w:hAnsiTheme="minorHAnsi" w:cstheme="minorHAnsi"/>
            <w:sz w:val="24"/>
            <w:szCs w:val="24"/>
            <w:lang w:val="en-US" w:eastAsia="ko-KR"/>
          </w:rPr>
          <w:t>joint workshop on transformative satellite connectivity</w:t>
        </w:r>
      </w:hyperlink>
      <w:r w:rsidRPr="00215AF0">
        <w:rPr>
          <w:rFonts w:asciiTheme="minorHAnsi" w:eastAsia="Malgun Gothic" w:hAnsiTheme="minorHAnsi" w:cstheme="minorHAnsi"/>
          <w:sz w:val="24"/>
          <w:szCs w:val="24"/>
          <w:lang w:val="en-US" w:eastAsia="ko-KR"/>
        </w:rPr>
        <w:t xml:space="preserve"> held on 23 April 2024 as part of the RG1 meetings and workshops. </w:t>
      </w:r>
    </w:p>
    <w:p w14:paraId="4CF91D6F" w14:textId="4C01FAE1" w:rsidR="00FE3BE5" w:rsidRPr="00215AF0" w:rsidRDefault="00C07DD4" w:rsidP="00E03A36">
      <w:pPr>
        <w:pStyle w:val="CEONormal"/>
        <w:rPr>
          <w:rFonts w:asciiTheme="minorHAnsi" w:hAnsiTheme="minorHAnsi" w:cstheme="minorHAnsi"/>
          <w:sz w:val="24"/>
          <w:szCs w:val="24"/>
          <w:shd w:val="clear" w:color="auto" w:fill="FFFFFF"/>
          <w:lang w:eastAsia="zh-CN"/>
        </w:rPr>
      </w:pPr>
      <w:r w:rsidRPr="00215AF0">
        <w:rPr>
          <w:rFonts w:asciiTheme="minorHAnsi" w:eastAsia="Malgun Gothic" w:hAnsiTheme="minorHAnsi" w:cstheme="minorHAnsi"/>
          <w:sz w:val="24"/>
          <w:szCs w:val="24"/>
          <w:lang w:val="en-US" w:eastAsia="ko-KR"/>
        </w:rPr>
        <w:t xml:space="preserve">Brazil reiterated the invitation to the </w:t>
      </w:r>
      <w:hyperlink r:id="rId48" w:history="1">
        <w:r w:rsidRPr="00215AF0">
          <w:rPr>
            <w:rStyle w:val="Hyperlink"/>
            <w:rFonts w:asciiTheme="minorHAnsi" w:hAnsiTheme="minorHAnsi" w:cstheme="minorHAnsi"/>
            <w:color w:val="3789BD"/>
            <w:sz w:val="24"/>
            <w:szCs w:val="24"/>
            <w:bdr w:val="none" w:sz="0" w:space="0" w:color="auto" w:frame="1"/>
            <w:shd w:val="clear" w:color="auto" w:fill="FFFFFF"/>
            <w:lang w:eastAsia="zh-CN"/>
          </w:rPr>
          <w:t>Regional Workshop on Increasing Consumer Awareness</w:t>
        </w:r>
      </w:hyperlink>
      <w:r w:rsidR="001B4006" w:rsidRPr="00215AF0">
        <w:rPr>
          <w:rFonts w:asciiTheme="minorHAnsi" w:hAnsiTheme="minorHAnsi" w:cstheme="minorHAnsi"/>
          <w:color w:val="444444"/>
          <w:sz w:val="24"/>
          <w:szCs w:val="24"/>
          <w:shd w:val="clear" w:color="auto" w:fill="FFFFFF"/>
          <w:lang w:eastAsia="zh-CN"/>
        </w:rPr>
        <w:t xml:space="preserve"> from</w:t>
      </w:r>
      <w:r w:rsidRPr="00215AF0">
        <w:rPr>
          <w:rFonts w:asciiTheme="minorHAnsi" w:hAnsiTheme="minorHAnsi" w:cstheme="minorHAnsi"/>
          <w:color w:val="444444"/>
          <w:sz w:val="24"/>
          <w:szCs w:val="24"/>
          <w:shd w:val="clear" w:color="auto" w:fill="FFFFFF"/>
          <w:lang w:eastAsia="zh-CN"/>
        </w:rPr>
        <w:t xml:space="preserve"> 18</w:t>
      </w:r>
      <w:r w:rsidR="001B4006" w:rsidRPr="00215AF0">
        <w:rPr>
          <w:rFonts w:asciiTheme="minorHAnsi" w:hAnsiTheme="minorHAnsi" w:cstheme="minorHAnsi"/>
          <w:color w:val="444444"/>
          <w:sz w:val="24"/>
          <w:szCs w:val="24"/>
          <w:shd w:val="clear" w:color="auto" w:fill="FFFFFF"/>
          <w:lang w:eastAsia="zh-CN"/>
        </w:rPr>
        <w:t xml:space="preserve"> to 20</w:t>
      </w:r>
      <w:r w:rsidRPr="00215AF0">
        <w:rPr>
          <w:rFonts w:asciiTheme="minorHAnsi" w:hAnsiTheme="minorHAnsi" w:cstheme="minorHAnsi"/>
          <w:color w:val="444444"/>
          <w:sz w:val="24"/>
          <w:szCs w:val="24"/>
          <w:shd w:val="clear" w:color="auto" w:fill="FFFFFF"/>
          <w:lang w:eastAsia="zh-CN"/>
        </w:rPr>
        <w:t xml:space="preserve"> </w:t>
      </w:r>
      <w:r w:rsidRPr="00215AF0">
        <w:rPr>
          <w:rFonts w:asciiTheme="minorHAnsi" w:hAnsiTheme="minorHAnsi" w:cstheme="minorHAnsi"/>
          <w:sz w:val="24"/>
          <w:szCs w:val="24"/>
          <w:shd w:val="clear" w:color="auto" w:fill="FFFFFF"/>
          <w:lang w:eastAsia="zh-CN"/>
        </w:rPr>
        <w:t xml:space="preserve">June 2024 hosted by ANATEL in Brasilia and organised by </w:t>
      </w:r>
      <w:r w:rsidR="001B4006" w:rsidRPr="00215AF0">
        <w:rPr>
          <w:rFonts w:asciiTheme="minorHAnsi" w:hAnsiTheme="minorHAnsi" w:cstheme="minorHAnsi"/>
          <w:sz w:val="24"/>
          <w:szCs w:val="24"/>
          <w:shd w:val="clear" w:color="auto" w:fill="FFFFFF"/>
          <w:lang w:eastAsia="zh-CN"/>
        </w:rPr>
        <w:t xml:space="preserve">the </w:t>
      </w:r>
      <w:r w:rsidRPr="00215AF0">
        <w:rPr>
          <w:rFonts w:asciiTheme="minorHAnsi" w:hAnsiTheme="minorHAnsi" w:cstheme="minorHAnsi"/>
          <w:sz w:val="24"/>
          <w:szCs w:val="24"/>
          <w:shd w:val="clear" w:color="auto" w:fill="FFFFFF"/>
          <w:lang w:eastAsia="zh-CN"/>
        </w:rPr>
        <w:t xml:space="preserve">ITU regional office for Americas in collaboration with ITU-D Study Questions 6/1 and 3/2. </w:t>
      </w:r>
    </w:p>
    <w:p w14:paraId="6733BB4E" w14:textId="09CE5E02" w:rsidR="00C07DD4" w:rsidRPr="00215AF0" w:rsidRDefault="00C07DD4" w:rsidP="00E03A36">
      <w:pPr>
        <w:pStyle w:val="CEONormal"/>
        <w:rPr>
          <w:rFonts w:asciiTheme="minorHAnsi" w:eastAsia="Malgun Gothic" w:hAnsiTheme="minorHAnsi" w:cstheme="minorHAnsi"/>
          <w:sz w:val="24"/>
          <w:szCs w:val="24"/>
          <w:lang w:eastAsia="ko-KR"/>
        </w:rPr>
      </w:pPr>
      <w:r w:rsidRPr="00215AF0">
        <w:rPr>
          <w:rFonts w:asciiTheme="minorHAnsi" w:hAnsiTheme="minorHAnsi" w:cstheme="minorHAnsi"/>
          <w:sz w:val="24"/>
          <w:szCs w:val="24"/>
          <w:shd w:val="clear" w:color="auto" w:fill="FFFFFF"/>
          <w:lang w:eastAsia="zh-CN"/>
        </w:rPr>
        <w:t xml:space="preserve">The Director of ITU Africa Regional Office shared further information on a regional capacity building action currently taking place, within the context of WTDC Resolution 9 (Rev. Kigali 2022) and organised jointly by BDT and BR. </w:t>
      </w:r>
    </w:p>
    <w:p w14:paraId="2F9807BC" w14:textId="7B26634B" w:rsidR="00C07DD4" w:rsidRDefault="00C07DD4" w:rsidP="00E03A36">
      <w:pPr>
        <w:keepNext/>
        <w:tabs>
          <w:tab w:val="clear" w:pos="794"/>
          <w:tab w:val="clear" w:pos="1191"/>
          <w:tab w:val="clear" w:pos="1588"/>
          <w:tab w:val="clear" w:pos="1985"/>
          <w:tab w:val="left" w:pos="567"/>
          <w:tab w:val="left" w:pos="1134"/>
          <w:tab w:val="left" w:pos="1701"/>
          <w:tab w:val="left" w:pos="2268"/>
        </w:tabs>
        <w:spacing w:after="120"/>
        <w:textAlignment w:val="auto"/>
        <w:rPr>
          <w:rFonts w:eastAsia="Malgun Gothic" w:cstheme="minorHAnsi"/>
          <w:szCs w:val="24"/>
          <w:lang w:val="en-US" w:eastAsia="ko-KR"/>
        </w:rPr>
      </w:pPr>
      <w:r w:rsidRPr="00215AF0">
        <w:rPr>
          <w:rFonts w:eastAsia="Malgun Gothic" w:cstheme="minorHAnsi"/>
          <w:szCs w:val="24"/>
          <w:lang w:val="en-US" w:eastAsia="ko-KR"/>
        </w:rPr>
        <w:t xml:space="preserve">The </w:t>
      </w:r>
      <w:r w:rsidR="00FE3BE5" w:rsidRPr="00215AF0">
        <w:rPr>
          <w:rFonts w:eastAsia="Malgun Gothic" w:cstheme="minorHAnsi"/>
          <w:szCs w:val="24"/>
          <w:lang w:val="en-US" w:eastAsia="ko-KR"/>
        </w:rPr>
        <w:t xml:space="preserve">matter of </w:t>
      </w:r>
      <w:r w:rsidR="00217063" w:rsidRPr="00215AF0">
        <w:rPr>
          <w:rFonts w:eastAsia="Malgun Gothic" w:cstheme="minorHAnsi"/>
          <w:szCs w:val="24"/>
          <w:lang w:val="en-US" w:eastAsia="ko-KR"/>
        </w:rPr>
        <w:t>giving</w:t>
      </w:r>
      <w:r w:rsidRPr="00215AF0">
        <w:rPr>
          <w:rFonts w:eastAsia="Malgun Gothic" w:cstheme="minorHAnsi"/>
          <w:szCs w:val="24"/>
          <w:lang w:val="en-US" w:eastAsia="ko-KR"/>
        </w:rPr>
        <w:t xml:space="preserve"> active responsibilities to vice-rapporteurs and to further review WTDC Resolution 1 with regards to </w:t>
      </w:r>
      <w:r w:rsidR="00006DB0">
        <w:rPr>
          <w:rFonts w:eastAsia="Malgun Gothic" w:cstheme="minorHAnsi"/>
          <w:szCs w:val="24"/>
          <w:lang w:val="en-US" w:eastAsia="ko-KR"/>
        </w:rPr>
        <w:t xml:space="preserve">their </w:t>
      </w:r>
      <w:r w:rsidRPr="00215AF0">
        <w:rPr>
          <w:rFonts w:eastAsia="Malgun Gothic" w:cstheme="minorHAnsi"/>
          <w:szCs w:val="24"/>
          <w:lang w:val="en-US" w:eastAsia="ko-KR"/>
        </w:rPr>
        <w:t>attendance</w:t>
      </w:r>
      <w:r w:rsidR="00B45BFF">
        <w:rPr>
          <w:rFonts w:eastAsia="Malgun Gothic" w:cstheme="minorHAnsi"/>
          <w:szCs w:val="24"/>
          <w:lang w:val="en-US" w:eastAsia="ko-KR"/>
        </w:rPr>
        <w:t xml:space="preserve"> </w:t>
      </w:r>
      <w:r w:rsidRPr="00215AF0">
        <w:rPr>
          <w:rFonts w:eastAsia="Malgun Gothic" w:cstheme="minorHAnsi"/>
          <w:szCs w:val="24"/>
          <w:lang w:val="en-US" w:eastAsia="ko-KR"/>
        </w:rPr>
        <w:t>was raised</w:t>
      </w:r>
      <w:r w:rsidR="00BA21E9" w:rsidRPr="00215AF0">
        <w:rPr>
          <w:rFonts w:eastAsia="Malgun Gothic" w:cstheme="minorHAnsi"/>
          <w:szCs w:val="24"/>
          <w:lang w:val="en-US" w:eastAsia="ko-KR"/>
        </w:rPr>
        <w:t xml:space="preserve"> by TDAG</w:t>
      </w:r>
      <w:r w:rsidRPr="00215AF0">
        <w:rPr>
          <w:rFonts w:eastAsia="Malgun Gothic" w:cstheme="minorHAnsi"/>
          <w:szCs w:val="24"/>
          <w:lang w:val="en-US" w:eastAsia="ko-KR"/>
        </w:rPr>
        <w:t>.</w:t>
      </w:r>
    </w:p>
    <w:tbl>
      <w:tblPr>
        <w:tblStyle w:val="TableGrid"/>
        <w:tblW w:w="0" w:type="auto"/>
        <w:tblLook w:val="04A0" w:firstRow="1" w:lastRow="0" w:firstColumn="1" w:lastColumn="0" w:noHBand="0" w:noVBand="1"/>
      </w:tblPr>
      <w:tblGrid>
        <w:gridCol w:w="9629"/>
      </w:tblGrid>
      <w:tr w:rsidR="00E03A36" w14:paraId="4D1FEC45" w14:textId="77777777" w:rsidTr="00E03A36">
        <w:tc>
          <w:tcPr>
            <w:tcW w:w="9629" w:type="dxa"/>
          </w:tcPr>
          <w:p w14:paraId="0DBD1E44" w14:textId="77777777" w:rsidR="00E03A36" w:rsidRPr="00E03A36" w:rsidRDefault="00E03A36" w:rsidP="00E03A36">
            <w:pPr>
              <w:keepNext/>
              <w:tabs>
                <w:tab w:val="clear" w:pos="794"/>
                <w:tab w:val="clear" w:pos="1191"/>
                <w:tab w:val="clear" w:pos="1588"/>
                <w:tab w:val="clear" w:pos="1985"/>
                <w:tab w:val="left" w:pos="567"/>
                <w:tab w:val="left" w:pos="1134"/>
                <w:tab w:val="left" w:pos="1701"/>
                <w:tab w:val="left" w:pos="2268"/>
              </w:tabs>
              <w:spacing w:after="120"/>
              <w:textAlignment w:val="auto"/>
              <w:rPr>
                <w:rFonts w:eastAsia="Malgun Gothic" w:cstheme="minorHAnsi"/>
                <w:szCs w:val="24"/>
                <w:lang w:val="en-US" w:eastAsia="ko-KR"/>
              </w:rPr>
            </w:pPr>
            <w:r w:rsidRPr="00E03A36">
              <w:rPr>
                <w:rFonts w:eastAsia="Malgun Gothic" w:cstheme="minorHAnsi"/>
                <w:szCs w:val="24"/>
                <w:lang w:val="en-US" w:eastAsia="ko-KR"/>
              </w:rPr>
              <w:t xml:space="preserve">TDAG took note with appreciation that the second annual meeting of ITU-D Study Group 1 (SG1), held in October 2023, featured significant participation with 224 attendees (45% women), and 155 contributions, while the SG1 Rapporteur Group meetings in April 2024 continued this progress with 208 participants, 132 contributions discussed, and several workshops and a cross-cutting session on Girls in ICT Day. </w:t>
            </w:r>
          </w:p>
          <w:p w14:paraId="54D010C3" w14:textId="2B3ED69E" w:rsidR="00E03A36" w:rsidRDefault="00E03A36" w:rsidP="00E03A36">
            <w:pPr>
              <w:keepNext/>
              <w:tabs>
                <w:tab w:val="clear" w:pos="794"/>
                <w:tab w:val="clear" w:pos="1191"/>
                <w:tab w:val="clear" w:pos="1588"/>
                <w:tab w:val="clear" w:pos="1985"/>
                <w:tab w:val="left" w:pos="567"/>
                <w:tab w:val="left" w:pos="1134"/>
                <w:tab w:val="left" w:pos="1701"/>
                <w:tab w:val="left" w:pos="2268"/>
              </w:tabs>
              <w:spacing w:after="120"/>
              <w:textAlignment w:val="auto"/>
              <w:rPr>
                <w:rFonts w:eastAsia="Malgun Gothic" w:cstheme="minorHAnsi"/>
                <w:szCs w:val="24"/>
                <w:lang w:val="en-US" w:eastAsia="ko-KR"/>
              </w:rPr>
            </w:pPr>
            <w:r w:rsidRPr="00E03A36">
              <w:rPr>
                <w:rFonts w:eastAsia="Malgun Gothic" w:cstheme="minorHAnsi"/>
                <w:szCs w:val="24"/>
                <w:lang w:val="en-US" w:eastAsia="ko-KR"/>
              </w:rPr>
              <w:t>TDAG thanked the SG1 Chair and the BDT for the activities and progress made in the work of the study group while also noting the non-attendance or irregular attendance of several vice-rapporteurs.</w:t>
            </w:r>
          </w:p>
        </w:tc>
      </w:tr>
    </w:tbl>
    <w:p w14:paraId="0F4891FC" w14:textId="19EDCE49" w:rsidR="00CC2BF2" w:rsidRPr="00E02341" w:rsidRDefault="00CC2BF2"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E02341">
        <w:rPr>
          <w:rFonts w:cstheme="minorHAnsi"/>
          <w:b/>
          <w:bCs/>
          <w:szCs w:val="24"/>
        </w:rPr>
        <w:t xml:space="preserve">Document </w:t>
      </w:r>
      <w:hyperlink r:id="rId49">
        <w:r w:rsidRPr="00E02341">
          <w:rPr>
            <w:rStyle w:val="Hyperlink"/>
            <w:rFonts w:cstheme="minorHAnsi"/>
            <w:b/>
            <w:bCs/>
            <w:szCs w:val="24"/>
          </w:rPr>
          <w:t>6(Rev.1)</w:t>
        </w:r>
      </w:hyperlink>
      <w:r w:rsidR="00CA6A8E" w:rsidRPr="00E02341">
        <w:rPr>
          <w:rStyle w:val="Hyperlink"/>
          <w:rFonts w:cstheme="minorHAnsi"/>
          <w:b/>
          <w:bCs/>
          <w:color w:val="auto"/>
          <w:szCs w:val="24"/>
          <w:u w:val="none"/>
        </w:rPr>
        <w:t xml:space="preserve"> (Chair, ITU-D Study Group 2)</w:t>
      </w:r>
      <w:r w:rsidR="00E02341" w:rsidRPr="00E02341">
        <w:rPr>
          <w:rStyle w:val="Hyperlink"/>
          <w:rFonts w:cstheme="minorHAnsi"/>
          <w:b/>
          <w:bCs/>
          <w:color w:val="auto"/>
          <w:szCs w:val="24"/>
          <w:u w:val="none"/>
        </w:rPr>
        <w:t xml:space="preserve"> -</w:t>
      </w:r>
      <w:r w:rsidR="00E02341" w:rsidRPr="00E02341">
        <w:rPr>
          <w:rFonts w:ascii="Calibri" w:hAnsi="Calibri" w:cs="Calibri"/>
          <w:b/>
          <w:bCs/>
          <w:color w:val="000000"/>
          <w:sz w:val="20"/>
          <w:shd w:val="clear" w:color="auto" w:fill="FFFFFF"/>
        </w:rPr>
        <w:t xml:space="preserve"> </w:t>
      </w:r>
      <w:r w:rsidR="00E02341" w:rsidRPr="00E02341">
        <w:rPr>
          <w:rStyle w:val="Hyperlink"/>
          <w:rFonts w:cstheme="minorHAnsi"/>
          <w:b/>
          <w:bCs/>
          <w:color w:val="auto"/>
          <w:szCs w:val="24"/>
          <w:u w:val="none"/>
        </w:rPr>
        <w:t>ITU-D Study Group 2 - Activities and progress </w:t>
      </w:r>
    </w:p>
    <w:p w14:paraId="18677957" w14:textId="2E0C4C56" w:rsidR="0020783C" w:rsidRPr="00215AF0"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hAnsiTheme="minorHAnsi" w:cstheme="minorHAnsi"/>
          <w:sz w:val="24"/>
          <w:szCs w:val="24"/>
          <w:lang w:val="en-US"/>
        </w:rPr>
        <w:t xml:space="preserve">This document reported on the </w:t>
      </w:r>
      <w:proofErr w:type="gramStart"/>
      <w:r w:rsidRPr="00215AF0">
        <w:rPr>
          <w:rFonts w:asciiTheme="minorHAnsi" w:hAnsiTheme="minorHAnsi" w:cstheme="minorHAnsi"/>
          <w:sz w:val="24"/>
          <w:szCs w:val="24"/>
          <w:lang w:val="en-US"/>
        </w:rPr>
        <w:t>current status</w:t>
      </w:r>
      <w:proofErr w:type="gramEnd"/>
      <w:r w:rsidRPr="00215AF0">
        <w:rPr>
          <w:rFonts w:asciiTheme="minorHAnsi" w:hAnsiTheme="minorHAnsi" w:cstheme="minorHAnsi"/>
          <w:sz w:val="24"/>
          <w:szCs w:val="24"/>
          <w:lang w:val="en-US"/>
        </w:rPr>
        <w:t xml:space="preserve"> of ITU-D Study Group 2 (SG2) and provided some highlights from the second meeting of SG2 held from 30 October to 3 November 2023, as well as the rapporteur group meetings of SG2 held from 29 April to 10 May 2024</w:t>
      </w:r>
      <w:r w:rsidRPr="00215AF0">
        <w:rPr>
          <w:rFonts w:asciiTheme="minorHAnsi" w:eastAsia="Malgun Gothic" w:hAnsiTheme="minorHAnsi" w:cstheme="minorHAnsi"/>
          <w:sz w:val="24"/>
          <w:szCs w:val="24"/>
          <w:lang w:val="en-US" w:eastAsia="ko-KR"/>
        </w:rPr>
        <w:t>.</w:t>
      </w:r>
    </w:p>
    <w:p w14:paraId="492A1F11" w14:textId="666FC93B" w:rsidR="0020783C" w:rsidRPr="00215AF0"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 xml:space="preserve">TSAG expressed its appreciation for the comprehensive and engaging contributions of the study group chairs, and congratulations were extended to the management teams for the successful workshops held. An invitation was extended to a regional seminar in Brasilia, scheduled from 18 to 20 June, which is a collaborative effort between ITU-D Study Groups 1 and 2. </w:t>
      </w:r>
    </w:p>
    <w:p w14:paraId="1BE20C18" w14:textId="2B3D8FE3" w:rsidR="0020783C" w:rsidRPr="00215AF0"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The significance of WTDC Resolution 9 (Rev. Kigali 2022) in relation to study group activities was highlighted, and activities by the BDT in implementing this resolution were discussed</w:t>
      </w:r>
      <w:r w:rsidR="00B6326A">
        <w:rPr>
          <w:rFonts w:asciiTheme="minorHAnsi" w:eastAsia="Malgun Gothic" w:hAnsiTheme="minorHAnsi" w:cstheme="minorHAnsi"/>
          <w:sz w:val="24"/>
          <w:szCs w:val="24"/>
          <w:lang w:val="en-US" w:eastAsia="ko-KR"/>
        </w:rPr>
        <w:t>, noting the need to present</w:t>
      </w:r>
      <w:r w:rsidR="008C75EF">
        <w:rPr>
          <w:rFonts w:asciiTheme="minorHAnsi" w:eastAsia="Malgun Gothic" w:hAnsiTheme="minorHAnsi" w:cstheme="minorHAnsi"/>
          <w:sz w:val="24"/>
          <w:szCs w:val="24"/>
          <w:lang w:val="en-US" w:eastAsia="ko-KR"/>
        </w:rPr>
        <w:t xml:space="preserve"> BDT activities under this Resolution to </w:t>
      </w:r>
      <w:r w:rsidR="00AE3A84">
        <w:rPr>
          <w:rFonts w:asciiTheme="minorHAnsi" w:eastAsia="Malgun Gothic" w:hAnsiTheme="minorHAnsi" w:cstheme="minorHAnsi"/>
          <w:sz w:val="24"/>
          <w:szCs w:val="24"/>
          <w:lang w:val="en-US" w:eastAsia="ko-KR"/>
        </w:rPr>
        <w:t xml:space="preserve">the </w:t>
      </w:r>
      <w:r w:rsidR="008C75EF">
        <w:rPr>
          <w:rFonts w:asciiTheme="minorHAnsi" w:eastAsia="Malgun Gothic" w:hAnsiTheme="minorHAnsi" w:cstheme="minorHAnsi"/>
          <w:sz w:val="24"/>
          <w:szCs w:val="24"/>
          <w:lang w:val="en-US" w:eastAsia="ko-KR"/>
        </w:rPr>
        <w:t>TDAG meetings</w:t>
      </w:r>
      <w:r w:rsidRPr="00215AF0" w:rsidDel="00B6326A">
        <w:rPr>
          <w:rFonts w:asciiTheme="minorHAnsi" w:eastAsia="Malgun Gothic" w:hAnsiTheme="minorHAnsi" w:cstheme="minorHAnsi"/>
          <w:sz w:val="24"/>
          <w:szCs w:val="24"/>
          <w:lang w:val="en-US" w:eastAsia="ko-KR"/>
        </w:rPr>
        <w:t>.</w:t>
      </w:r>
    </w:p>
    <w:p w14:paraId="4DED4CFB" w14:textId="02788A37" w:rsidR="006742C8"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TDAG noted the non-attendance or irregular attendance of several vice-rapporteurs. The need for a deeper understanding of the reasons behind this lack of participation was raised, which could include potential economic constraints affecting developing countries.</w:t>
      </w:r>
    </w:p>
    <w:tbl>
      <w:tblPr>
        <w:tblStyle w:val="TableGrid"/>
        <w:tblW w:w="0" w:type="auto"/>
        <w:tblLook w:val="04A0" w:firstRow="1" w:lastRow="0" w:firstColumn="1" w:lastColumn="0" w:noHBand="0" w:noVBand="1"/>
      </w:tblPr>
      <w:tblGrid>
        <w:gridCol w:w="9629"/>
      </w:tblGrid>
      <w:tr w:rsidR="00E03A36" w14:paraId="24047BD1" w14:textId="77777777" w:rsidTr="00E03A36">
        <w:tc>
          <w:tcPr>
            <w:tcW w:w="9629" w:type="dxa"/>
          </w:tcPr>
          <w:p w14:paraId="6833AA97" w14:textId="77777777" w:rsidR="00E03A36" w:rsidRPr="00E03A36" w:rsidRDefault="00E03A36" w:rsidP="00E03A36">
            <w:pPr>
              <w:pStyle w:val="CEONormal"/>
              <w:rPr>
                <w:rFonts w:asciiTheme="minorHAnsi" w:hAnsiTheme="minorHAnsi" w:cstheme="minorHAnsi"/>
                <w:sz w:val="24"/>
                <w:szCs w:val="24"/>
              </w:rPr>
            </w:pPr>
            <w:r w:rsidRPr="00E03A36">
              <w:rPr>
                <w:rFonts w:asciiTheme="minorHAnsi" w:hAnsiTheme="minorHAnsi" w:cstheme="minorHAnsi"/>
                <w:sz w:val="24"/>
                <w:szCs w:val="24"/>
              </w:rPr>
              <w:t>TDAG took note with appreciation that the second annual meeting of ITU-D Study Group 2 (SG2), held in October 2023, featured significant participation with 195 attendees, 54 member states and 120 contributions, while the Rapporteur Group meetings in April-May 2024 continued this progress with 221 participants, 123 contributions discussed, and several workshops.</w:t>
            </w:r>
          </w:p>
          <w:p w14:paraId="072EA88A" w14:textId="21245AD1" w:rsidR="00E03A36" w:rsidRDefault="00E03A36" w:rsidP="00E03A36">
            <w:pPr>
              <w:pStyle w:val="CEONormal"/>
              <w:rPr>
                <w:rFonts w:asciiTheme="minorHAnsi" w:hAnsiTheme="minorHAnsi" w:cstheme="minorHAnsi"/>
                <w:sz w:val="24"/>
                <w:szCs w:val="24"/>
              </w:rPr>
            </w:pPr>
            <w:r w:rsidRPr="00E03A36">
              <w:rPr>
                <w:rFonts w:asciiTheme="minorHAnsi" w:hAnsiTheme="minorHAnsi" w:cstheme="minorHAnsi"/>
                <w:sz w:val="24"/>
                <w:szCs w:val="24"/>
              </w:rPr>
              <w:lastRenderedPageBreak/>
              <w:t>TDAG thanked the SG2 Chair and the BDT for the activities and progress made in the work of the study group while also noting the non-attendance or irregular attendance of several vice-rapporteurs.</w:t>
            </w:r>
          </w:p>
        </w:tc>
      </w:tr>
    </w:tbl>
    <w:p w14:paraId="02A01772" w14:textId="28804725" w:rsidR="000311B5" w:rsidRPr="00215AF0" w:rsidRDefault="001A6C54" w:rsidP="00756B97">
      <w:pPr>
        <w:pStyle w:val="ListParagraph"/>
        <w:keepNext/>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215AF0">
        <w:rPr>
          <w:rFonts w:cstheme="minorHAnsi"/>
          <w:b/>
          <w:szCs w:val="24"/>
        </w:rPr>
        <w:lastRenderedPageBreak/>
        <w:t>ITU-D Projects</w:t>
      </w:r>
    </w:p>
    <w:p w14:paraId="42383B13" w14:textId="157E3B54" w:rsidR="000E3A47" w:rsidRPr="000325C4" w:rsidRDefault="0065137C"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fr-FR"/>
        </w:rPr>
      </w:pPr>
      <w:r w:rsidRPr="000325C4">
        <w:rPr>
          <w:rFonts w:cstheme="minorHAnsi"/>
          <w:b/>
          <w:bCs/>
          <w:szCs w:val="24"/>
          <w:lang w:val="fr-FR"/>
        </w:rPr>
        <w:t xml:space="preserve">Document </w:t>
      </w:r>
      <w:hyperlink r:id="rId50">
        <w:r w:rsidRPr="000325C4">
          <w:rPr>
            <w:rStyle w:val="Hyperlink"/>
            <w:rFonts w:cstheme="minorHAnsi"/>
            <w:b/>
            <w:bCs/>
            <w:szCs w:val="24"/>
            <w:lang w:val="fr-FR" w:eastAsia="zh-CN"/>
          </w:rPr>
          <w:t>7(Rev.1)</w:t>
        </w:r>
      </w:hyperlink>
      <w:r w:rsidR="00CA6A8E" w:rsidRPr="000325C4">
        <w:rPr>
          <w:rStyle w:val="Hyperlink"/>
          <w:rFonts w:cstheme="minorHAnsi"/>
          <w:b/>
          <w:bCs/>
          <w:color w:val="auto"/>
          <w:szCs w:val="24"/>
          <w:u w:val="none"/>
          <w:lang w:val="fr-FR"/>
        </w:rPr>
        <w:t xml:space="preserve"> (</w:t>
      </w:r>
      <w:proofErr w:type="spellStart"/>
      <w:r w:rsidR="00CA6A8E" w:rsidRPr="000325C4">
        <w:rPr>
          <w:rStyle w:val="Hyperlink"/>
          <w:rFonts w:cstheme="minorHAnsi"/>
          <w:b/>
          <w:bCs/>
          <w:color w:val="auto"/>
          <w:szCs w:val="24"/>
          <w:u w:val="none"/>
          <w:lang w:val="fr-FR"/>
        </w:rPr>
        <w:t>Director</w:t>
      </w:r>
      <w:proofErr w:type="spellEnd"/>
      <w:r w:rsidR="00CA6A8E" w:rsidRPr="000325C4">
        <w:rPr>
          <w:rStyle w:val="Hyperlink"/>
          <w:rFonts w:cstheme="minorHAnsi"/>
          <w:b/>
          <w:bCs/>
          <w:color w:val="auto"/>
          <w:szCs w:val="24"/>
          <w:u w:val="none"/>
          <w:lang w:val="fr-FR"/>
        </w:rPr>
        <w:t>, BDT)</w:t>
      </w:r>
      <w:r w:rsidR="000325C4" w:rsidRPr="000325C4">
        <w:rPr>
          <w:rStyle w:val="Hyperlink"/>
          <w:rFonts w:cstheme="minorHAnsi"/>
          <w:b/>
          <w:bCs/>
          <w:color w:val="auto"/>
          <w:szCs w:val="24"/>
          <w:u w:val="none"/>
          <w:lang w:val="fr-FR"/>
        </w:rPr>
        <w:t xml:space="preserve"> - </w:t>
      </w:r>
      <w:r w:rsidR="000325C4" w:rsidRPr="000325C4">
        <w:rPr>
          <w:rFonts w:cstheme="minorHAnsi"/>
          <w:b/>
          <w:bCs/>
          <w:szCs w:val="24"/>
        </w:rPr>
        <w:t>ITU-D Projects </w:t>
      </w:r>
    </w:p>
    <w:p w14:paraId="4E72D751" w14:textId="6FCACB01" w:rsidR="00F2553A" w:rsidRPr="00215AF0" w:rsidRDefault="00F2553A"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The document presented an overview of the work undertaken by the Bureau in project development and implementation in the six ITU-D regions as well as multi-regionally. This document complements the report presented on the efforts made by BDT to promote partnerships and attract new sector members to be engaged in the implementation of our work.</w:t>
      </w:r>
    </w:p>
    <w:p w14:paraId="26BB302B" w14:textId="5F718E5E" w:rsidR="00F2553A" w:rsidRPr="00215AF0" w:rsidRDefault="00065A66"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 document also presented </w:t>
      </w:r>
      <w:r w:rsidR="00C57B03" w:rsidRPr="00215AF0">
        <w:rPr>
          <w:rFonts w:asciiTheme="minorHAnsi" w:hAnsiTheme="minorHAnsi" w:cstheme="minorHAnsi"/>
          <w:sz w:val="24"/>
          <w:szCs w:val="24"/>
          <w:lang w:val="en-US"/>
        </w:rPr>
        <w:t xml:space="preserve">in section 2 </w:t>
      </w:r>
      <w:r w:rsidR="00F2553A" w:rsidRPr="00215AF0">
        <w:rPr>
          <w:rFonts w:asciiTheme="minorHAnsi" w:hAnsiTheme="minorHAnsi" w:cstheme="minorHAnsi"/>
          <w:sz w:val="24"/>
          <w:szCs w:val="24"/>
          <w:lang w:val="en-US"/>
        </w:rPr>
        <w:t xml:space="preserve">an overview of the project function in ITU, highlighting the different sources of funding available for ITU projects, as well as the evolution in the BDT projects portfolio throughout 2023. The figures presented in the report confirm the positive trend experimented by BDT since 2017 in the increase of funds mobilized by BDT from partners in the support of projects. </w:t>
      </w:r>
      <w:r w:rsidRPr="00215AF0">
        <w:rPr>
          <w:rFonts w:asciiTheme="minorHAnsi" w:hAnsiTheme="minorHAnsi" w:cstheme="minorHAnsi"/>
          <w:sz w:val="24"/>
          <w:szCs w:val="24"/>
          <w:lang w:val="en-US"/>
        </w:rPr>
        <w:t>BDT thanked the</w:t>
      </w:r>
      <w:r w:rsidR="00F2553A" w:rsidRPr="00215AF0">
        <w:rPr>
          <w:rFonts w:asciiTheme="minorHAnsi" w:hAnsiTheme="minorHAnsi" w:cstheme="minorHAnsi"/>
          <w:sz w:val="24"/>
          <w:szCs w:val="24"/>
          <w:lang w:val="en-US"/>
        </w:rPr>
        <w:t xml:space="preserve"> funding partners for their contributions to BDT projects.</w:t>
      </w:r>
    </w:p>
    <w:p w14:paraId="7633B11E" w14:textId="20EE040E" w:rsidR="00F2553A" w:rsidRPr="00215AF0" w:rsidRDefault="00F2553A"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Section 3 present</w:t>
      </w:r>
      <w:r w:rsidR="00C57B03" w:rsidRPr="00215AF0">
        <w:rPr>
          <w:rFonts w:asciiTheme="minorHAnsi" w:hAnsiTheme="minorHAnsi" w:cstheme="minorHAnsi"/>
          <w:sz w:val="24"/>
          <w:szCs w:val="24"/>
          <w:lang w:val="en-US"/>
        </w:rPr>
        <w:t>ed</w:t>
      </w:r>
      <w:r w:rsidRPr="00215AF0">
        <w:rPr>
          <w:rFonts w:asciiTheme="minorHAnsi" w:hAnsiTheme="minorHAnsi" w:cstheme="minorHAnsi"/>
          <w:sz w:val="24"/>
          <w:szCs w:val="24"/>
          <w:lang w:val="en-US"/>
        </w:rPr>
        <w:t xml:space="preserve"> an update on the utilization of the funds allocated by the 2023 Session of the ITU Council for the implementation of </w:t>
      </w:r>
      <w:r w:rsidRPr="00BC01A3">
        <w:rPr>
          <w:rFonts w:asciiTheme="minorHAnsi" w:hAnsiTheme="minorHAnsi" w:cstheme="minorHAnsi"/>
          <w:sz w:val="24"/>
          <w:szCs w:val="24"/>
          <w:lang w:val="en-US"/>
        </w:rPr>
        <w:t>the WTDC-</w:t>
      </w:r>
      <w:r w:rsidR="00A736C4" w:rsidRPr="00BC01A3">
        <w:rPr>
          <w:rFonts w:asciiTheme="minorHAnsi" w:hAnsiTheme="minorHAnsi" w:cstheme="minorHAnsi"/>
          <w:sz w:val="24"/>
          <w:szCs w:val="24"/>
          <w:lang w:val="en-US"/>
        </w:rPr>
        <w:t>22</w:t>
      </w:r>
      <w:r w:rsidRPr="00BC01A3">
        <w:rPr>
          <w:rFonts w:asciiTheme="minorHAnsi" w:hAnsiTheme="minorHAnsi" w:cstheme="minorHAnsi"/>
          <w:sz w:val="24"/>
          <w:szCs w:val="24"/>
          <w:lang w:val="en-US"/>
        </w:rPr>
        <w:t xml:space="preserve"> Regional Initiatives. These funds have already enabled the signature of a total of 7 projects during 2023. The details of these projects are available at ITU’s projects portal.</w:t>
      </w:r>
    </w:p>
    <w:p w14:paraId="381EC163" w14:textId="101C6E2C" w:rsidR="00F2553A" w:rsidRPr="00215AF0" w:rsidRDefault="00F2553A" w:rsidP="00E03A36">
      <w:pPr>
        <w:pStyle w:val="ListParagraph"/>
        <w:widowControl w:val="0"/>
        <w:spacing w:after="120"/>
        <w:ind w:left="0"/>
        <w:contextualSpacing w:val="0"/>
        <w:rPr>
          <w:lang w:val="en-US"/>
        </w:rPr>
      </w:pPr>
      <w:r w:rsidRPr="00215AF0">
        <w:rPr>
          <w:rFonts w:cstheme="minorHAnsi"/>
          <w:szCs w:val="24"/>
          <w:lang w:val="en-US"/>
        </w:rPr>
        <w:t xml:space="preserve">Section 4 </w:t>
      </w:r>
      <w:r w:rsidR="002D6B80" w:rsidRPr="00215AF0">
        <w:rPr>
          <w:rFonts w:cstheme="minorHAnsi"/>
          <w:szCs w:val="24"/>
          <w:lang w:val="en-US"/>
        </w:rPr>
        <w:t>presented</w:t>
      </w:r>
      <w:r w:rsidRPr="00215AF0">
        <w:rPr>
          <w:rFonts w:cstheme="minorHAnsi"/>
          <w:szCs w:val="24"/>
          <w:lang w:val="en-US"/>
        </w:rPr>
        <w:t xml:space="preserve"> an overview of the efforts made by </w:t>
      </w:r>
      <w:r w:rsidRPr="00A4344E">
        <w:rPr>
          <w:rFonts w:cstheme="minorHAnsi"/>
          <w:szCs w:val="24"/>
          <w:lang w:val="en-US"/>
        </w:rPr>
        <w:t>ITU in the last 12 months to strengthen project management practices in ITU</w:t>
      </w:r>
      <w:r w:rsidR="002D6B80" w:rsidRPr="00A4344E">
        <w:rPr>
          <w:rFonts w:cstheme="minorHAnsi"/>
          <w:szCs w:val="24"/>
          <w:lang w:val="en-US"/>
        </w:rPr>
        <w:t>, stressing</w:t>
      </w:r>
      <w:r w:rsidR="00B45BFF">
        <w:rPr>
          <w:rFonts w:cstheme="minorHAnsi"/>
          <w:szCs w:val="24"/>
          <w:lang w:val="en-US"/>
        </w:rPr>
        <w:t xml:space="preserve"> </w:t>
      </w:r>
      <w:r w:rsidR="002D6B80" w:rsidRPr="00A4344E">
        <w:rPr>
          <w:rFonts w:cstheme="minorHAnsi"/>
          <w:szCs w:val="24"/>
          <w:lang w:val="en-US"/>
        </w:rPr>
        <w:t xml:space="preserve">the </w:t>
      </w:r>
      <w:r w:rsidRPr="00A4344E">
        <w:rPr>
          <w:rFonts w:cstheme="minorHAnsi"/>
          <w:szCs w:val="24"/>
          <w:lang w:val="en-US"/>
        </w:rPr>
        <w:t>upcoming work to reinforce reporting to partners</w:t>
      </w:r>
      <w:r w:rsidR="00684629">
        <w:rPr>
          <w:rFonts w:cstheme="minorHAnsi"/>
          <w:szCs w:val="24"/>
          <w:lang w:val="en-US"/>
        </w:rPr>
        <w:t xml:space="preserve">: </w:t>
      </w:r>
      <w:r w:rsidR="003B3C63">
        <w:rPr>
          <w:rFonts w:cstheme="minorHAnsi"/>
        </w:rPr>
        <w:t>periodic</w:t>
      </w:r>
      <w:r w:rsidR="00684629">
        <w:rPr>
          <w:rFonts w:cstheme="minorHAnsi"/>
        </w:rPr>
        <w:t xml:space="preserve"> </w:t>
      </w:r>
      <w:r w:rsidR="00684629" w:rsidRPr="00821C34">
        <w:rPr>
          <w:rFonts w:cstheme="minorHAnsi"/>
        </w:rPr>
        <w:t>BDT Projects Board meet</w:t>
      </w:r>
      <w:r w:rsidR="00684629">
        <w:rPr>
          <w:rFonts w:cstheme="minorHAnsi"/>
        </w:rPr>
        <w:t>ing</w:t>
      </w:r>
      <w:r w:rsidR="003B3C63">
        <w:rPr>
          <w:rFonts w:cstheme="minorHAnsi"/>
        </w:rPr>
        <w:t>s</w:t>
      </w:r>
      <w:r w:rsidR="00684629" w:rsidRPr="00821C34">
        <w:rPr>
          <w:rFonts w:cstheme="minorHAnsi"/>
        </w:rPr>
        <w:t xml:space="preserve"> to evaluate project proposals</w:t>
      </w:r>
      <w:r w:rsidR="00684629">
        <w:rPr>
          <w:rFonts w:cstheme="minorHAnsi"/>
        </w:rPr>
        <w:t xml:space="preserve"> and oversee</w:t>
      </w:r>
      <w:r w:rsidR="00B45BFF">
        <w:rPr>
          <w:rFonts w:cstheme="minorHAnsi"/>
        </w:rPr>
        <w:t xml:space="preserve"> </w:t>
      </w:r>
      <w:r w:rsidR="00684629" w:rsidRPr="00821C34">
        <w:rPr>
          <w:rFonts w:cstheme="minorHAnsi"/>
        </w:rPr>
        <w:t>implementation</w:t>
      </w:r>
      <w:r w:rsidR="00684629">
        <w:rPr>
          <w:rFonts w:cstheme="minorHAnsi"/>
        </w:rPr>
        <w:t xml:space="preserve">; </w:t>
      </w:r>
      <w:r w:rsidR="00684629" w:rsidRPr="00821C34">
        <w:rPr>
          <w:rFonts w:cstheme="minorHAnsi"/>
        </w:rPr>
        <w:t>Quarterly Assessment reports</w:t>
      </w:r>
      <w:r w:rsidR="00684629">
        <w:rPr>
          <w:rFonts w:cstheme="minorHAnsi"/>
        </w:rPr>
        <w:t xml:space="preserve"> and </w:t>
      </w:r>
      <w:r w:rsidR="00684629" w:rsidRPr="00821C34">
        <w:rPr>
          <w:rFonts w:cstheme="minorHAnsi"/>
        </w:rPr>
        <w:t>internal dashboards</w:t>
      </w:r>
      <w:r w:rsidR="00684629" w:rsidRPr="009A0ABD">
        <w:rPr>
          <w:rFonts w:cstheme="minorHAnsi"/>
        </w:rPr>
        <w:t xml:space="preserve"> </w:t>
      </w:r>
      <w:r w:rsidR="00684629">
        <w:rPr>
          <w:rFonts w:cstheme="minorHAnsi"/>
        </w:rPr>
        <w:t xml:space="preserve">for </w:t>
      </w:r>
      <w:r w:rsidR="00684629" w:rsidRPr="00821C34">
        <w:rPr>
          <w:rFonts w:cstheme="minorHAnsi"/>
        </w:rPr>
        <w:t>BDT Management and Project Managers</w:t>
      </w:r>
      <w:r w:rsidR="0063441E">
        <w:rPr>
          <w:rFonts w:cstheme="minorHAnsi"/>
        </w:rPr>
        <w:t xml:space="preserve"> to monitor status</w:t>
      </w:r>
      <w:r w:rsidR="00684629">
        <w:rPr>
          <w:rFonts w:cstheme="minorHAnsi"/>
        </w:rPr>
        <w:t xml:space="preserve">; </w:t>
      </w:r>
      <w:r w:rsidR="00C4373B">
        <w:rPr>
          <w:rFonts w:cstheme="minorHAnsi"/>
        </w:rPr>
        <w:t>for projects experiencing challenges</w:t>
      </w:r>
      <w:r w:rsidR="00D81994">
        <w:rPr>
          <w:rFonts w:cstheme="minorHAnsi"/>
        </w:rPr>
        <w:t>,</w:t>
      </w:r>
      <w:r w:rsidR="00C4373B">
        <w:rPr>
          <w:rFonts w:cstheme="minorHAnsi"/>
        </w:rPr>
        <w:t xml:space="preserve"> </w:t>
      </w:r>
      <w:r w:rsidR="00684629">
        <w:rPr>
          <w:rFonts w:cstheme="minorHAnsi"/>
        </w:rPr>
        <w:t xml:space="preserve">weekly </w:t>
      </w:r>
      <w:r w:rsidR="00684629" w:rsidRPr="00821C34">
        <w:rPr>
          <w:rFonts w:cstheme="minorHAnsi"/>
        </w:rPr>
        <w:t xml:space="preserve">meetings with the project teams and </w:t>
      </w:r>
      <w:r w:rsidR="00684629">
        <w:rPr>
          <w:rFonts w:cstheme="minorHAnsi"/>
        </w:rPr>
        <w:t>increased</w:t>
      </w:r>
      <w:r w:rsidR="00684629" w:rsidRPr="00821C34">
        <w:rPr>
          <w:rFonts w:cstheme="minorHAnsi"/>
        </w:rPr>
        <w:t xml:space="preserve"> internal reporting</w:t>
      </w:r>
      <w:r w:rsidR="00684629">
        <w:rPr>
          <w:rFonts w:cstheme="minorHAnsi"/>
        </w:rPr>
        <w:t xml:space="preserve">; </w:t>
      </w:r>
      <w:r w:rsidR="00684629" w:rsidRPr="00821C34">
        <w:rPr>
          <w:rFonts w:cstheme="minorHAnsi"/>
        </w:rPr>
        <w:t>regular training sessions and information exchange sessions for project managers</w:t>
      </w:r>
      <w:r w:rsidR="00684629">
        <w:rPr>
          <w:rFonts w:cstheme="minorHAnsi"/>
        </w:rPr>
        <w:t xml:space="preserve"> to </w:t>
      </w:r>
      <w:r w:rsidR="00684629" w:rsidRPr="00821C34">
        <w:rPr>
          <w:rFonts w:cstheme="minorHAnsi"/>
        </w:rPr>
        <w:t>harmoniz</w:t>
      </w:r>
      <w:r w:rsidR="00684629">
        <w:rPr>
          <w:rFonts w:cstheme="minorHAnsi"/>
        </w:rPr>
        <w:t>e</w:t>
      </w:r>
      <w:r w:rsidR="00684629" w:rsidRPr="00821C34">
        <w:rPr>
          <w:rFonts w:cstheme="minorHAnsi"/>
        </w:rPr>
        <w:t xml:space="preserve"> practices across BDT</w:t>
      </w:r>
      <w:r w:rsidR="00684629">
        <w:rPr>
          <w:rFonts w:cstheme="minorHAnsi"/>
        </w:rPr>
        <w:t xml:space="preserve"> </w:t>
      </w:r>
      <w:r w:rsidR="00684629" w:rsidRPr="00821C34">
        <w:rPr>
          <w:rFonts w:cstheme="minorHAnsi"/>
        </w:rPr>
        <w:t>and further develop skills</w:t>
      </w:r>
      <w:r w:rsidR="00684629">
        <w:rPr>
          <w:rFonts w:cstheme="minorHAnsi"/>
        </w:rPr>
        <w:t>; new, automatic biannual reporting to donors on the status of their projects</w:t>
      </w:r>
      <w:r w:rsidR="00D81994">
        <w:rPr>
          <w:rFonts w:cstheme="minorHAnsi"/>
        </w:rPr>
        <w:t>;</w:t>
      </w:r>
      <w:r w:rsidR="00684629">
        <w:rPr>
          <w:rFonts w:cstheme="minorHAnsi"/>
        </w:rPr>
        <w:t xml:space="preserve"> </w:t>
      </w:r>
      <w:r w:rsidR="00D81994">
        <w:rPr>
          <w:rFonts w:cstheme="minorHAnsi"/>
        </w:rPr>
        <w:t xml:space="preserve">a </w:t>
      </w:r>
      <w:r w:rsidR="00684629" w:rsidRPr="00821C34">
        <w:rPr>
          <w:rFonts w:cstheme="minorBidi"/>
        </w:rPr>
        <w:t>new</w:t>
      </w:r>
      <w:r w:rsidR="00684629">
        <w:t>,</w:t>
      </w:r>
      <w:r w:rsidR="00684629" w:rsidRPr="00821C34">
        <w:rPr>
          <w:rFonts w:cstheme="minorBidi"/>
        </w:rPr>
        <w:t xml:space="preserve"> interactive</w:t>
      </w:r>
      <w:r w:rsidR="00D81994">
        <w:rPr>
          <w:rFonts w:cstheme="minorBidi"/>
        </w:rPr>
        <w:t>,</w:t>
      </w:r>
      <w:r w:rsidR="00684629" w:rsidRPr="00821C34">
        <w:rPr>
          <w:rFonts w:cstheme="minorBidi"/>
        </w:rPr>
        <w:t xml:space="preserve"> project dashboard</w:t>
      </w:r>
      <w:r w:rsidR="00684629">
        <w:t xml:space="preserve"> for membership to follow</w:t>
      </w:r>
      <w:r w:rsidR="00684629" w:rsidRPr="00821C34">
        <w:rPr>
          <w:rFonts w:cstheme="minorBidi"/>
        </w:rPr>
        <w:t xml:space="preserve"> the status of the ITU-D Project portfolio</w:t>
      </w:r>
      <w:r w:rsidR="00684629">
        <w:t>.</w:t>
      </w:r>
    </w:p>
    <w:p w14:paraId="1567CA62" w14:textId="73B1164C" w:rsidR="00B31879" w:rsidRDefault="00F2553A" w:rsidP="00E03A36">
      <w:pPr>
        <w:keepNext/>
        <w:tabs>
          <w:tab w:val="clear" w:pos="794"/>
          <w:tab w:val="clear" w:pos="1191"/>
          <w:tab w:val="clear" w:pos="1588"/>
          <w:tab w:val="clear" w:pos="1985"/>
          <w:tab w:val="left" w:pos="1701"/>
        </w:tabs>
        <w:spacing w:after="120"/>
        <w:rPr>
          <w:rFonts w:cstheme="minorHAnsi"/>
          <w:szCs w:val="24"/>
        </w:rPr>
      </w:pPr>
      <w:r w:rsidRPr="00215AF0">
        <w:rPr>
          <w:rFonts w:cstheme="minorHAnsi"/>
          <w:szCs w:val="24"/>
        </w:rPr>
        <w:t xml:space="preserve">Finally, section 5 </w:t>
      </w:r>
      <w:r w:rsidR="003C5645" w:rsidRPr="00215AF0">
        <w:rPr>
          <w:rFonts w:cstheme="minorHAnsi"/>
          <w:szCs w:val="24"/>
        </w:rPr>
        <w:t xml:space="preserve">contained </w:t>
      </w:r>
      <w:r w:rsidRPr="00215AF0">
        <w:rPr>
          <w:rFonts w:cstheme="minorHAnsi"/>
          <w:szCs w:val="24"/>
        </w:rPr>
        <w:t>conclusions and recommendations for the consideration of TDAG members.</w:t>
      </w:r>
    </w:p>
    <w:tbl>
      <w:tblPr>
        <w:tblStyle w:val="TableGrid"/>
        <w:tblW w:w="0" w:type="auto"/>
        <w:tblLook w:val="04A0" w:firstRow="1" w:lastRow="0" w:firstColumn="1" w:lastColumn="0" w:noHBand="0" w:noVBand="1"/>
      </w:tblPr>
      <w:tblGrid>
        <w:gridCol w:w="9629"/>
      </w:tblGrid>
      <w:tr w:rsidR="00E03A36" w14:paraId="79AD11A2" w14:textId="77777777" w:rsidTr="00E03A36">
        <w:tc>
          <w:tcPr>
            <w:tcW w:w="9629" w:type="dxa"/>
          </w:tcPr>
          <w:p w14:paraId="7F9B08C9" w14:textId="1A946A50" w:rsidR="00E03A36" w:rsidRDefault="00E03A36" w:rsidP="00E03A36">
            <w:pPr>
              <w:keepNext/>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that provided an overview of the work undertaken by the BDT in project development and implementation in the six ITU-D regions as well as multi-regionally. TDAG appreciated that during 2023 BDT implemented 87 projects, valued at CHF 106.4 million.</w:t>
            </w:r>
          </w:p>
        </w:tc>
      </w:tr>
    </w:tbl>
    <w:p w14:paraId="6F5D9604" w14:textId="07A98BED" w:rsidR="006637C0" w:rsidRPr="005C2D7F" w:rsidRDefault="006637C0"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5C2D7F">
        <w:rPr>
          <w:rFonts w:cstheme="minorHAnsi"/>
          <w:b/>
          <w:bCs/>
          <w:szCs w:val="24"/>
          <w:lang w:val="en-US"/>
        </w:rPr>
        <w:t xml:space="preserve">Document </w:t>
      </w:r>
      <w:hyperlink r:id="rId51">
        <w:r w:rsidRPr="005C2D7F">
          <w:rPr>
            <w:rStyle w:val="Hyperlink"/>
            <w:rFonts w:cstheme="minorHAnsi"/>
            <w:b/>
            <w:bCs/>
            <w:szCs w:val="24"/>
            <w:lang w:val="en-US" w:eastAsia="zh-CN"/>
          </w:rPr>
          <w:t>36</w:t>
        </w:r>
      </w:hyperlink>
      <w:r w:rsidRPr="005C2D7F">
        <w:rPr>
          <w:rStyle w:val="Hyperlink"/>
          <w:rFonts w:cstheme="minorHAnsi"/>
          <w:b/>
          <w:bCs/>
          <w:color w:val="auto"/>
          <w:szCs w:val="24"/>
          <w:u w:val="none"/>
          <w:lang w:val="en-US"/>
        </w:rPr>
        <w:t xml:space="preserve"> (Director, BDT)</w:t>
      </w:r>
      <w:r w:rsidR="005C2D7F" w:rsidRPr="005C2D7F">
        <w:rPr>
          <w:rStyle w:val="Hyperlink"/>
          <w:rFonts w:cstheme="minorHAnsi"/>
          <w:b/>
          <w:bCs/>
          <w:color w:val="auto"/>
          <w:szCs w:val="24"/>
          <w:u w:val="none"/>
          <w:lang w:val="en-US"/>
        </w:rPr>
        <w:t xml:space="preserve"> -</w:t>
      </w:r>
      <w:r w:rsidR="005C2D7F" w:rsidRPr="005C2D7F">
        <w:rPr>
          <w:rFonts w:ascii="Calibri" w:hAnsi="Calibri" w:cs="Calibri"/>
          <w:b/>
          <w:bCs/>
          <w:color w:val="000000"/>
          <w:sz w:val="20"/>
          <w:shd w:val="clear" w:color="auto" w:fill="FFFFFF"/>
        </w:rPr>
        <w:t xml:space="preserve"> </w:t>
      </w:r>
      <w:r w:rsidR="005C2D7F" w:rsidRPr="005C2D7F">
        <w:rPr>
          <w:rFonts w:cstheme="minorHAnsi"/>
          <w:b/>
          <w:bCs/>
          <w:szCs w:val="24"/>
        </w:rPr>
        <w:t>Improved project financial monitoring and reporting </w:t>
      </w:r>
    </w:p>
    <w:p w14:paraId="0C6795DE" w14:textId="14C5EA0F" w:rsidR="00172A46" w:rsidRPr="00215AF0" w:rsidRDefault="00172A46"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rPr>
        <w:t xml:space="preserve">This document provided </w:t>
      </w:r>
      <w:r w:rsidRPr="00215AF0">
        <w:rPr>
          <w:rFonts w:asciiTheme="minorHAnsi" w:hAnsiTheme="minorHAnsi" w:cstheme="minorHAnsi"/>
          <w:sz w:val="24"/>
          <w:szCs w:val="24"/>
          <w:lang w:eastAsia="zh-CN"/>
        </w:rPr>
        <w:t xml:space="preserve">information on measures that have been introduced by the BDT to improve financial monitoring and reporting </w:t>
      </w:r>
      <w:r w:rsidR="00363B86">
        <w:rPr>
          <w:rFonts w:asciiTheme="minorHAnsi" w:hAnsiTheme="minorHAnsi" w:cstheme="minorHAnsi"/>
          <w:sz w:val="24"/>
          <w:szCs w:val="24"/>
          <w:lang w:eastAsia="zh-CN"/>
        </w:rPr>
        <w:t xml:space="preserve">to donors and partners </w:t>
      </w:r>
      <w:r w:rsidRPr="00215AF0">
        <w:rPr>
          <w:rFonts w:asciiTheme="minorHAnsi" w:hAnsiTheme="minorHAnsi" w:cstheme="minorHAnsi"/>
          <w:sz w:val="24"/>
          <w:szCs w:val="24"/>
          <w:lang w:eastAsia="zh-CN"/>
        </w:rPr>
        <w:t>for BDT projects.</w:t>
      </w:r>
    </w:p>
    <w:p w14:paraId="3D14C0B6" w14:textId="1B210126" w:rsidR="00172A46" w:rsidRPr="00215AF0" w:rsidRDefault="00172A46" w:rsidP="00E03A36">
      <w:pPr>
        <w:pStyle w:val="s21"/>
        <w:spacing w:before="120" w:beforeAutospacing="0" w:after="120" w:afterAutospacing="0"/>
        <w:rPr>
          <w:rFonts w:asciiTheme="minorHAnsi" w:hAnsiTheme="minorHAnsi" w:cstheme="minorHAnsi"/>
          <w:sz w:val="24"/>
          <w:szCs w:val="24"/>
        </w:rPr>
      </w:pPr>
      <w:r w:rsidRPr="00215AF0">
        <w:rPr>
          <w:rFonts w:asciiTheme="minorHAnsi" w:hAnsiTheme="minorHAnsi" w:cstheme="minorHAnsi"/>
          <w:sz w:val="24"/>
          <w:szCs w:val="24"/>
        </w:rPr>
        <w:t xml:space="preserve">TDAG supported the ongoing work as it would strengthen ITU’s culture of transparency and accountability, in line with </w:t>
      </w:r>
      <w:r w:rsidRPr="00215AF0">
        <w:rPr>
          <w:rFonts w:asciiTheme="minorHAnsi" w:hAnsiTheme="minorHAnsi" w:cstheme="minorHAnsi"/>
          <w:color w:val="000000" w:themeColor="text1"/>
          <w:sz w:val="24"/>
          <w:szCs w:val="24"/>
        </w:rPr>
        <w:t xml:space="preserve">the </w:t>
      </w:r>
      <w:r w:rsidRPr="00215AF0">
        <w:rPr>
          <w:rFonts w:asciiTheme="minorHAnsi" w:hAnsiTheme="minorHAnsi" w:cstheme="minorHAnsi"/>
          <w:sz w:val="24"/>
          <w:szCs w:val="24"/>
        </w:rPr>
        <w:t xml:space="preserve">Financial Regulations and Financial Rules. </w:t>
      </w:r>
    </w:p>
    <w:p w14:paraId="716FCDF2" w14:textId="417EC71C" w:rsidR="00172A46" w:rsidRPr="00215AF0" w:rsidRDefault="00172A46" w:rsidP="00E03A36">
      <w:pPr>
        <w:pStyle w:val="s21"/>
        <w:spacing w:before="120" w:beforeAutospacing="0" w:after="120" w:afterAutospacing="0"/>
        <w:rPr>
          <w:rFonts w:asciiTheme="minorHAnsi" w:hAnsiTheme="minorHAnsi" w:cstheme="minorHAnsi"/>
          <w:sz w:val="24"/>
          <w:szCs w:val="24"/>
        </w:rPr>
      </w:pPr>
      <w:r w:rsidRPr="00215AF0">
        <w:rPr>
          <w:rFonts w:asciiTheme="minorHAnsi" w:hAnsiTheme="minorHAnsi" w:cstheme="minorHAnsi"/>
          <w:sz w:val="24"/>
          <w:szCs w:val="24"/>
        </w:rPr>
        <w:t xml:space="preserve">TDAG discussed that improved reporting should </w:t>
      </w:r>
      <w:r w:rsidRPr="00215AF0">
        <w:rPr>
          <w:rFonts w:asciiTheme="minorHAnsi" w:hAnsiTheme="minorHAnsi" w:cstheme="minorHAnsi"/>
          <w:color w:val="000000"/>
          <w:sz w:val="24"/>
          <w:szCs w:val="24"/>
          <w:shd w:val="clear" w:color="auto" w:fill="FFFFFF"/>
        </w:rPr>
        <w:t>ensure associated project management, information systems, financial reporting, and risk management tools are in place to make the ITU a trusted home for more donors and partners.</w:t>
      </w:r>
    </w:p>
    <w:p w14:paraId="570DFDA7" w14:textId="7466A569" w:rsidR="00172A46" w:rsidRDefault="7CFD1BBF" w:rsidP="00E03A36">
      <w:pPr>
        <w:pStyle w:val="s21"/>
        <w:spacing w:before="120" w:beforeAutospacing="0" w:after="120" w:afterAutospacing="0"/>
        <w:rPr>
          <w:rFonts w:asciiTheme="minorHAnsi" w:hAnsiTheme="minorHAnsi" w:cstheme="minorHAnsi"/>
          <w:sz w:val="24"/>
          <w:szCs w:val="24"/>
        </w:rPr>
      </w:pPr>
      <w:r w:rsidRPr="00215AF0">
        <w:rPr>
          <w:rFonts w:asciiTheme="minorHAnsi" w:hAnsiTheme="minorHAnsi" w:cstheme="minorHAnsi"/>
          <w:sz w:val="24"/>
          <w:szCs w:val="24"/>
        </w:rPr>
        <w:t xml:space="preserve">The BDT Director confirmed that the reports would be in line with Financial Regulations and Financial Rules, and that partners may request an additional report at any time. The aim will be to track financial implementation in real time and to explain what is available in terms of the financial </w:t>
      </w:r>
      <w:r w:rsidRPr="00215AF0">
        <w:rPr>
          <w:rFonts w:asciiTheme="minorHAnsi" w:hAnsiTheme="minorHAnsi" w:cstheme="minorHAnsi"/>
          <w:sz w:val="24"/>
          <w:szCs w:val="24"/>
        </w:rPr>
        <w:lastRenderedPageBreak/>
        <w:t>resources contributing to a project, what is ongoing or fully implemented, and what has been the outcome. Automated reporting would allow for better transparency, accountability, disclosure and reduce reporting delays.</w:t>
      </w:r>
    </w:p>
    <w:tbl>
      <w:tblPr>
        <w:tblStyle w:val="TableGrid"/>
        <w:tblW w:w="0" w:type="auto"/>
        <w:tblLook w:val="04A0" w:firstRow="1" w:lastRow="0" w:firstColumn="1" w:lastColumn="0" w:noHBand="0" w:noVBand="1"/>
      </w:tblPr>
      <w:tblGrid>
        <w:gridCol w:w="9629"/>
      </w:tblGrid>
      <w:tr w:rsidR="00E03A36" w14:paraId="35324150" w14:textId="77777777" w:rsidTr="00E03A36">
        <w:tc>
          <w:tcPr>
            <w:tcW w:w="9629" w:type="dxa"/>
          </w:tcPr>
          <w:p w14:paraId="1159983E" w14:textId="680CB0F8" w:rsidR="00E03A36" w:rsidRDefault="00E03A36" w:rsidP="00E03A36">
            <w:pPr>
              <w:pStyle w:val="s21"/>
              <w:spacing w:before="120" w:beforeAutospacing="0" w:after="120" w:afterAutospacing="0"/>
              <w:rPr>
                <w:rFonts w:asciiTheme="minorHAnsi" w:hAnsiTheme="minorHAnsi" w:cstheme="minorHAnsi"/>
                <w:sz w:val="24"/>
                <w:szCs w:val="24"/>
              </w:rPr>
            </w:pPr>
            <w:r w:rsidRPr="00E03A36">
              <w:rPr>
                <w:rFonts w:asciiTheme="minorHAnsi" w:hAnsiTheme="minorHAnsi" w:cstheme="minorHAnsi"/>
                <w:sz w:val="24"/>
                <w:szCs w:val="24"/>
              </w:rPr>
              <w:t>TDAG took note of the contribution and appreciated the BDT's new practice of reporting to donors and partners on use of their financial contributions every six months.</w:t>
            </w:r>
          </w:p>
        </w:tc>
      </w:tr>
    </w:tbl>
    <w:p w14:paraId="610CB89E" w14:textId="09781FB3" w:rsidR="0065137C" w:rsidRPr="000C6F6B" w:rsidRDefault="0065137C"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0C6F6B">
        <w:rPr>
          <w:rFonts w:cstheme="minorHAnsi"/>
          <w:b/>
          <w:szCs w:val="24"/>
          <w:lang w:val="en-US"/>
        </w:rPr>
        <w:t xml:space="preserve">Document </w:t>
      </w:r>
      <w:hyperlink r:id="rId52">
        <w:r w:rsidRPr="000C6F6B">
          <w:rPr>
            <w:rStyle w:val="Hyperlink"/>
            <w:rFonts w:cstheme="minorHAnsi"/>
            <w:b/>
            <w:szCs w:val="24"/>
            <w:lang w:val="en-US" w:eastAsia="zh-CN"/>
          </w:rPr>
          <w:t>1</w:t>
        </w:r>
        <w:r w:rsidR="00312527" w:rsidRPr="000C6F6B">
          <w:rPr>
            <w:rStyle w:val="Hyperlink"/>
            <w:rFonts w:cstheme="minorHAnsi"/>
            <w:b/>
            <w:szCs w:val="24"/>
            <w:lang w:val="en-US" w:eastAsia="zh-CN"/>
          </w:rPr>
          <w:t>6(Rev.1)</w:t>
        </w:r>
      </w:hyperlink>
      <w:r w:rsidR="00E95663" w:rsidRPr="000C6F6B">
        <w:rPr>
          <w:rStyle w:val="Hyperlink"/>
          <w:rFonts w:cstheme="minorHAnsi"/>
          <w:b/>
          <w:color w:val="auto"/>
          <w:szCs w:val="24"/>
          <w:u w:val="none"/>
          <w:lang w:val="en-US"/>
        </w:rPr>
        <w:t xml:space="preserve"> </w:t>
      </w:r>
      <w:r w:rsidR="00CA6A8E" w:rsidRPr="000C6F6B">
        <w:rPr>
          <w:rStyle w:val="Hyperlink"/>
          <w:rFonts w:cstheme="minorHAnsi"/>
          <w:b/>
          <w:color w:val="auto"/>
          <w:szCs w:val="24"/>
          <w:u w:val="none"/>
          <w:lang w:val="en-US"/>
        </w:rPr>
        <w:t>(Director, BDT)</w:t>
      </w:r>
      <w:r w:rsidR="000C6F6B" w:rsidRPr="000C6F6B">
        <w:rPr>
          <w:rStyle w:val="Hyperlink"/>
          <w:rFonts w:cstheme="minorHAnsi"/>
          <w:b/>
          <w:bCs/>
          <w:color w:val="auto"/>
          <w:szCs w:val="24"/>
          <w:u w:val="none"/>
          <w:lang w:val="en-US"/>
        </w:rPr>
        <w:t xml:space="preserve"> -</w:t>
      </w:r>
      <w:r w:rsidR="00457383">
        <w:rPr>
          <w:rStyle w:val="Hyperlink"/>
          <w:rFonts w:cstheme="minorHAnsi"/>
          <w:b/>
          <w:bCs/>
          <w:color w:val="auto"/>
          <w:szCs w:val="24"/>
          <w:u w:val="none"/>
          <w:lang w:val="en-US"/>
        </w:rPr>
        <w:t xml:space="preserve"> </w:t>
      </w:r>
      <w:r w:rsidR="00457383" w:rsidRPr="00457383">
        <w:rPr>
          <w:rStyle w:val="Hyperlink"/>
          <w:rFonts w:cstheme="minorHAnsi"/>
          <w:b/>
          <w:bCs/>
          <w:color w:val="auto"/>
          <w:szCs w:val="24"/>
          <w:u w:val="none"/>
          <w:lang w:val="en-US"/>
        </w:rPr>
        <w:t>Innovation and Entrepreneurship Alliance for Digital Development</w:t>
      </w:r>
    </w:p>
    <w:p w14:paraId="1E41DDDF" w14:textId="77777777" w:rsidR="00F503A8" w:rsidRPr="00215AF0" w:rsidRDefault="00F503A8" w:rsidP="00E03A36">
      <w:pPr>
        <w:pStyle w:val="CEONormal"/>
        <w:widowControl w:val="0"/>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 document presented the progress made through the Innovation and Entrepreneurship Alliance for Digital Development initiative and provided insights into its ongoing activities. It highlighted the progress of the three main components: the network of Acceleration </w:t>
      </w:r>
      <w:proofErr w:type="spellStart"/>
      <w:r w:rsidRPr="00215AF0">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the Digital Innovation Board, and the Digital Transformation Lab.</w:t>
      </w:r>
    </w:p>
    <w:p w14:paraId="5FE984C8" w14:textId="43668664" w:rsidR="00F503A8" w:rsidRPr="00215AF0" w:rsidRDefault="00F503A8" w:rsidP="00E03A36">
      <w:pPr>
        <w:pStyle w:val="CEONormal"/>
        <w:widowControl w:val="0"/>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There was widespread </w:t>
      </w:r>
      <w:r w:rsidR="00D31DC1">
        <w:rPr>
          <w:rFonts w:asciiTheme="minorHAnsi" w:hAnsiTheme="minorHAnsi" w:cstheme="minorHAnsi"/>
          <w:sz w:val="24"/>
          <w:szCs w:val="24"/>
          <w:lang w:val="en-US"/>
        </w:rPr>
        <w:t>interest in</w:t>
      </w:r>
      <w:r w:rsidRPr="00215AF0">
        <w:rPr>
          <w:rFonts w:asciiTheme="minorHAnsi" w:hAnsiTheme="minorHAnsi" w:cstheme="minorHAnsi"/>
          <w:sz w:val="24"/>
          <w:szCs w:val="24"/>
          <w:lang w:val="en-US"/>
        </w:rPr>
        <w:t xml:space="preserve"> the Alliance's work, </w:t>
      </w:r>
      <w:r w:rsidR="002C78AD">
        <w:rPr>
          <w:rFonts w:asciiTheme="minorHAnsi" w:hAnsiTheme="minorHAnsi" w:cstheme="minorHAnsi"/>
          <w:sz w:val="24"/>
          <w:szCs w:val="24"/>
          <w:lang w:val="en-US"/>
        </w:rPr>
        <w:t>with</w:t>
      </w:r>
      <w:r w:rsidR="00D31DC1">
        <w:rPr>
          <w:rFonts w:asciiTheme="minorHAnsi" w:hAnsiTheme="minorHAnsi" w:cstheme="minorHAnsi"/>
          <w:sz w:val="24"/>
          <w:szCs w:val="24"/>
          <w:lang w:val="en-US"/>
        </w:rPr>
        <w:t xml:space="preserve"> </w:t>
      </w:r>
      <w:proofErr w:type="gramStart"/>
      <w:r w:rsidR="00D31DC1">
        <w:rPr>
          <w:rFonts w:asciiTheme="minorHAnsi" w:hAnsiTheme="minorHAnsi" w:cstheme="minorHAnsi"/>
          <w:sz w:val="24"/>
          <w:szCs w:val="24"/>
          <w:lang w:val="en-US"/>
        </w:rPr>
        <w:t>a number of</w:t>
      </w:r>
      <w:proofErr w:type="gramEnd"/>
      <w:r w:rsidR="00D31DC1">
        <w:rPr>
          <w:rFonts w:asciiTheme="minorHAnsi" w:hAnsiTheme="minorHAnsi" w:cstheme="minorHAnsi"/>
          <w:sz w:val="24"/>
          <w:szCs w:val="24"/>
          <w:lang w:val="en-US"/>
        </w:rPr>
        <w:t xml:space="preserve"> countries </w:t>
      </w:r>
      <w:r w:rsidR="002C78AD">
        <w:rPr>
          <w:rFonts w:asciiTheme="minorHAnsi" w:hAnsiTheme="minorHAnsi" w:cstheme="minorHAnsi"/>
          <w:sz w:val="24"/>
          <w:szCs w:val="24"/>
          <w:lang w:val="en-US"/>
        </w:rPr>
        <w:t xml:space="preserve">expressing a desire to participate in and benefit from </w:t>
      </w:r>
      <w:r w:rsidR="00760DC2">
        <w:rPr>
          <w:rFonts w:asciiTheme="minorHAnsi" w:hAnsiTheme="minorHAnsi" w:cstheme="minorHAnsi"/>
          <w:sz w:val="24"/>
          <w:szCs w:val="24"/>
          <w:lang w:val="en-US"/>
        </w:rPr>
        <w:t>the activities underway.</w:t>
      </w:r>
      <w:r w:rsidR="00B45BFF">
        <w:rPr>
          <w:rFonts w:asciiTheme="minorHAnsi" w:hAnsiTheme="minorHAnsi" w:cstheme="minorHAnsi"/>
          <w:sz w:val="24"/>
          <w:szCs w:val="24"/>
          <w:lang w:val="en-US"/>
        </w:rPr>
        <w:t xml:space="preserve"> </w:t>
      </w:r>
      <w:proofErr w:type="gramStart"/>
      <w:r w:rsidR="007E19E2">
        <w:rPr>
          <w:rFonts w:asciiTheme="minorHAnsi" w:hAnsiTheme="minorHAnsi" w:cstheme="minorHAnsi"/>
          <w:sz w:val="24"/>
          <w:szCs w:val="24"/>
          <w:lang w:val="en-US"/>
        </w:rPr>
        <w:t>A number of</w:t>
      </w:r>
      <w:proofErr w:type="gramEnd"/>
      <w:r w:rsidR="007E19E2">
        <w:rPr>
          <w:rFonts w:asciiTheme="minorHAnsi" w:hAnsiTheme="minorHAnsi" w:cstheme="minorHAnsi"/>
          <w:sz w:val="24"/>
          <w:szCs w:val="24"/>
          <w:lang w:val="en-US"/>
        </w:rPr>
        <w:t xml:space="preserve"> countries participating in the initiative expressed their support and enthusiasm for the initiative</w:t>
      </w:r>
      <w:r w:rsidR="0069713B">
        <w:rPr>
          <w:rFonts w:asciiTheme="minorHAnsi" w:hAnsiTheme="minorHAnsi" w:cstheme="minorHAnsi"/>
          <w:sz w:val="24"/>
          <w:szCs w:val="24"/>
          <w:lang w:val="en-US"/>
        </w:rPr>
        <w:t xml:space="preserve"> and TDAG agreed </w:t>
      </w:r>
      <w:r w:rsidR="007E00A4">
        <w:rPr>
          <w:rFonts w:asciiTheme="minorHAnsi" w:hAnsiTheme="minorHAnsi" w:cstheme="minorHAnsi"/>
          <w:sz w:val="24"/>
          <w:szCs w:val="24"/>
          <w:lang w:val="en-US"/>
        </w:rPr>
        <w:t>on the desirability of facilitating wider participation</w:t>
      </w:r>
      <w:r w:rsidR="00EE01DA">
        <w:rPr>
          <w:rFonts w:asciiTheme="minorHAnsi" w:hAnsiTheme="minorHAnsi" w:cstheme="minorHAnsi"/>
          <w:sz w:val="24"/>
          <w:szCs w:val="24"/>
          <w:lang w:val="en-US"/>
        </w:rPr>
        <w:t>.</w:t>
      </w:r>
      <w:r w:rsidR="00B45BFF">
        <w:rPr>
          <w:rFonts w:asciiTheme="minorHAnsi" w:hAnsiTheme="minorHAnsi" w:cstheme="minorHAnsi"/>
          <w:sz w:val="24"/>
          <w:szCs w:val="24"/>
          <w:lang w:val="en-US"/>
        </w:rPr>
        <w:t xml:space="preserve"> </w:t>
      </w:r>
      <w:r w:rsidR="00760DC2">
        <w:rPr>
          <w:rFonts w:asciiTheme="minorHAnsi" w:hAnsiTheme="minorHAnsi" w:cstheme="minorHAnsi"/>
          <w:sz w:val="24"/>
          <w:szCs w:val="24"/>
          <w:lang w:val="en-US"/>
        </w:rPr>
        <w:t xml:space="preserve">There </w:t>
      </w:r>
      <w:r w:rsidR="00F266C7">
        <w:rPr>
          <w:rFonts w:asciiTheme="minorHAnsi" w:hAnsiTheme="minorHAnsi" w:cstheme="minorHAnsi"/>
          <w:sz w:val="24"/>
          <w:szCs w:val="24"/>
          <w:lang w:val="en-US"/>
        </w:rPr>
        <w:t>were</w:t>
      </w:r>
      <w:r w:rsidRPr="00215AF0">
        <w:rPr>
          <w:rFonts w:asciiTheme="minorHAnsi" w:hAnsiTheme="minorHAnsi" w:cstheme="minorHAnsi"/>
          <w:sz w:val="24"/>
          <w:szCs w:val="24"/>
          <w:lang w:val="en-US"/>
        </w:rPr>
        <w:t xml:space="preserve"> a few clarification questions raised about the Board's role, its terms of reference (</w:t>
      </w:r>
      <w:proofErr w:type="spellStart"/>
      <w:r w:rsidRPr="00215AF0">
        <w:rPr>
          <w:rFonts w:asciiTheme="minorHAnsi" w:hAnsiTheme="minorHAnsi" w:cstheme="minorHAnsi"/>
          <w:sz w:val="24"/>
          <w:szCs w:val="24"/>
          <w:lang w:val="en-US"/>
        </w:rPr>
        <w:t>ToR</w:t>
      </w:r>
      <w:proofErr w:type="spellEnd"/>
      <w:r w:rsidRPr="00215AF0">
        <w:rPr>
          <w:rFonts w:asciiTheme="minorHAnsi" w:hAnsiTheme="minorHAnsi" w:cstheme="minorHAnsi"/>
          <w:sz w:val="24"/>
          <w:szCs w:val="24"/>
          <w:lang w:val="en-US"/>
        </w:rPr>
        <w:t>), and participation</w:t>
      </w:r>
      <w:r w:rsidR="00F24A8E">
        <w:rPr>
          <w:rFonts w:asciiTheme="minorHAnsi" w:hAnsiTheme="minorHAnsi" w:cstheme="minorHAnsi"/>
          <w:sz w:val="24"/>
          <w:szCs w:val="24"/>
          <w:lang w:val="en-US"/>
        </w:rPr>
        <w:t xml:space="preserve"> which the BDT clarified during the meeting, also noting </w:t>
      </w:r>
      <w:r w:rsidRPr="00215AF0">
        <w:rPr>
          <w:rFonts w:asciiTheme="minorHAnsi" w:hAnsiTheme="minorHAnsi" w:cstheme="minorHAnsi"/>
          <w:sz w:val="24"/>
          <w:szCs w:val="24"/>
          <w:lang w:val="en-US"/>
        </w:rPr>
        <w:t xml:space="preserve">that the Board's </w:t>
      </w:r>
      <w:proofErr w:type="spellStart"/>
      <w:r w:rsidRPr="00215AF0">
        <w:rPr>
          <w:rFonts w:asciiTheme="minorHAnsi" w:hAnsiTheme="minorHAnsi" w:cstheme="minorHAnsi"/>
          <w:sz w:val="24"/>
          <w:szCs w:val="24"/>
          <w:lang w:val="en-US"/>
        </w:rPr>
        <w:t>ToR</w:t>
      </w:r>
      <w:proofErr w:type="spellEnd"/>
      <w:r w:rsidRPr="00215AF0">
        <w:rPr>
          <w:rFonts w:asciiTheme="minorHAnsi" w:hAnsiTheme="minorHAnsi" w:cstheme="minorHAnsi"/>
          <w:sz w:val="24"/>
          <w:szCs w:val="24"/>
          <w:lang w:val="en-US"/>
        </w:rPr>
        <w:t xml:space="preserve"> and the report of the last board meeting are available on the website.</w:t>
      </w:r>
    </w:p>
    <w:p w14:paraId="1C97E585" w14:textId="77777777" w:rsidR="00F503A8" w:rsidRPr="00215AF0" w:rsidRDefault="00F503A8" w:rsidP="00E03A36">
      <w:pPr>
        <w:pStyle w:val="CEONormal"/>
        <w:widowControl w:val="0"/>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 BDT also mentioned that the Alliance operates through various cooperation mechanisms, including the Global Digital Innovation Board, workgroups focused on each strategic objective, and collaborations with other stakeholders, such as the TSB. The Alliance delivers its activities in accordance with the ITU mandate, rules and procedures. </w:t>
      </w:r>
    </w:p>
    <w:p w14:paraId="393B9D0D" w14:textId="00E6C967" w:rsidR="00B31879" w:rsidRDefault="00F503A8"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Regional colleagues will be actively invited to participate in the Centre's work, and collaboration is planned with other sectors, such as the TSB and other BDT thematic areas.</w:t>
      </w:r>
    </w:p>
    <w:tbl>
      <w:tblPr>
        <w:tblStyle w:val="TableGrid"/>
        <w:tblW w:w="0" w:type="auto"/>
        <w:tblLook w:val="04A0" w:firstRow="1" w:lastRow="0" w:firstColumn="1" w:lastColumn="0" w:noHBand="0" w:noVBand="1"/>
      </w:tblPr>
      <w:tblGrid>
        <w:gridCol w:w="9629"/>
      </w:tblGrid>
      <w:tr w:rsidR="00E03A36" w14:paraId="77955E51" w14:textId="77777777" w:rsidTr="00E03A36">
        <w:tc>
          <w:tcPr>
            <w:tcW w:w="9629" w:type="dxa"/>
          </w:tcPr>
          <w:p w14:paraId="590A34B8" w14:textId="3ECA9F1D" w:rsidR="00E03A36" w:rsidRDefault="00E03A36" w:rsidP="00E03A36">
            <w:pPr>
              <w:widowControl w:val="0"/>
              <w:tabs>
                <w:tab w:val="clear" w:pos="794"/>
                <w:tab w:val="clear" w:pos="1191"/>
                <w:tab w:val="clear" w:pos="1588"/>
                <w:tab w:val="clear" w:pos="1985"/>
                <w:tab w:val="left" w:pos="1701"/>
              </w:tabs>
              <w:spacing w:after="120"/>
              <w:rPr>
                <w:rFonts w:cstheme="minorHAnsi"/>
                <w:szCs w:val="24"/>
                <w:lang w:val="en-US"/>
              </w:rPr>
            </w:pPr>
            <w:r w:rsidRPr="00E03A36">
              <w:rPr>
                <w:rFonts w:cstheme="minorHAnsi"/>
                <w:szCs w:val="24"/>
                <w:lang w:val="en-US"/>
              </w:rPr>
              <w:t xml:space="preserve">TDAG noted with appreciation the report on the initiative which showed continued </w:t>
            </w:r>
            <w:proofErr w:type="gramStart"/>
            <w:r w:rsidRPr="00E03A36">
              <w:rPr>
                <w:rFonts w:cstheme="minorHAnsi"/>
                <w:szCs w:val="24"/>
                <w:lang w:val="en-US"/>
              </w:rPr>
              <w:t>progress, and</w:t>
            </w:r>
            <w:proofErr w:type="gramEnd"/>
            <w:r w:rsidRPr="00E03A36">
              <w:rPr>
                <w:rFonts w:cstheme="minorHAnsi"/>
                <w:szCs w:val="24"/>
                <w:lang w:val="en-US"/>
              </w:rPr>
              <w:t xml:space="preserve"> recommended broad collaboration to engage the entire BDT in the work of the Alliance and its </w:t>
            </w:r>
            <w:proofErr w:type="spellStart"/>
            <w:r w:rsidRPr="00E03A36">
              <w:rPr>
                <w:rFonts w:cstheme="minorHAnsi"/>
                <w:szCs w:val="24"/>
                <w:lang w:val="en-US"/>
              </w:rPr>
              <w:t>centres</w:t>
            </w:r>
            <w:proofErr w:type="spellEnd"/>
            <w:r w:rsidRPr="00E03A36">
              <w:rPr>
                <w:rFonts w:cstheme="minorHAnsi"/>
                <w:szCs w:val="24"/>
                <w:lang w:val="en-US"/>
              </w:rPr>
              <w:t>.</w:t>
            </w:r>
          </w:p>
        </w:tc>
      </w:tr>
    </w:tbl>
    <w:p w14:paraId="4985B8A3" w14:textId="05B54D83" w:rsidR="000E3A47" w:rsidRPr="00457383" w:rsidRDefault="0065137C"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457383">
        <w:rPr>
          <w:rFonts w:cstheme="minorHAnsi"/>
          <w:b/>
          <w:szCs w:val="24"/>
          <w:lang w:val="en-US"/>
        </w:rPr>
        <w:t xml:space="preserve">Document </w:t>
      </w:r>
      <w:hyperlink r:id="rId53">
        <w:r w:rsidRPr="00457383">
          <w:rPr>
            <w:rStyle w:val="Hyperlink"/>
            <w:rFonts w:cstheme="minorHAnsi"/>
            <w:b/>
            <w:szCs w:val="24"/>
            <w:lang w:val="en-US" w:eastAsia="zh-CN"/>
          </w:rPr>
          <w:t>17</w:t>
        </w:r>
      </w:hyperlink>
      <w:r w:rsidR="00E95663" w:rsidRPr="00457383">
        <w:rPr>
          <w:rStyle w:val="Hyperlink"/>
          <w:rFonts w:cstheme="minorHAnsi"/>
          <w:b/>
          <w:color w:val="auto"/>
          <w:szCs w:val="24"/>
          <w:u w:val="none"/>
          <w:lang w:val="en-US"/>
        </w:rPr>
        <w:t xml:space="preserve"> </w:t>
      </w:r>
      <w:r w:rsidR="00CA6A8E" w:rsidRPr="00457383">
        <w:rPr>
          <w:rStyle w:val="Hyperlink"/>
          <w:rFonts w:cstheme="minorHAnsi"/>
          <w:b/>
          <w:color w:val="auto"/>
          <w:szCs w:val="24"/>
          <w:u w:val="none"/>
          <w:lang w:val="en-US"/>
        </w:rPr>
        <w:t>(Director, BDT)</w:t>
      </w:r>
      <w:r w:rsidR="00457383" w:rsidRPr="00457383">
        <w:rPr>
          <w:rStyle w:val="Hyperlink"/>
          <w:rFonts w:cstheme="minorHAnsi"/>
          <w:b/>
          <w:bCs/>
          <w:color w:val="auto"/>
          <w:szCs w:val="24"/>
          <w:u w:val="none"/>
          <w:lang w:val="en-US"/>
        </w:rPr>
        <w:t xml:space="preserve"> - </w:t>
      </w:r>
      <w:r w:rsidR="00351E93" w:rsidRPr="00351E93">
        <w:rPr>
          <w:rStyle w:val="Hyperlink"/>
          <w:rFonts w:cstheme="minorHAnsi"/>
          <w:b/>
          <w:bCs/>
          <w:color w:val="auto"/>
          <w:szCs w:val="24"/>
          <w:u w:val="none"/>
          <w:lang w:val="en-US"/>
        </w:rPr>
        <w:t>Organization of an ITU Accessible World - ICT for ALL- Global Summit</w:t>
      </w:r>
    </w:p>
    <w:p w14:paraId="0B7C9637" w14:textId="739E28A4" w:rsidR="0056648A" w:rsidRPr="00215AF0" w:rsidRDefault="00663E80"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TDAG</w:t>
      </w:r>
      <w:r w:rsidR="0056648A" w:rsidRPr="00215AF0">
        <w:rPr>
          <w:rFonts w:cstheme="minorHAnsi"/>
          <w:szCs w:val="24"/>
        </w:rPr>
        <w:t xml:space="preserve"> reiterated the importance of the topic and the need to share the good practices, expertise and knowledge among the regions (who have different levels of implementation). </w:t>
      </w:r>
      <w:r w:rsidR="000B771A" w:rsidRPr="00215AF0">
        <w:rPr>
          <w:rFonts w:cstheme="minorHAnsi"/>
          <w:szCs w:val="24"/>
        </w:rPr>
        <w:t>T</w:t>
      </w:r>
      <w:r w:rsidR="000B771A">
        <w:rPr>
          <w:rFonts w:cstheme="minorHAnsi"/>
          <w:szCs w:val="24"/>
        </w:rPr>
        <w:t xml:space="preserve">DAG recognized </w:t>
      </w:r>
      <w:r w:rsidR="00D15F3B">
        <w:rPr>
          <w:rFonts w:cstheme="minorHAnsi"/>
          <w:szCs w:val="24"/>
        </w:rPr>
        <w:t>tha</w:t>
      </w:r>
      <w:r w:rsidR="00BA345C">
        <w:rPr>
          <w:rFonts w:cstheme="minorHAnsi"/>
          <w:szCs w:val="24"/>
        </w:rPr>
        <w:t>t</w:t>
      </w:r>
      <w:r w:rsidR="000B771A">
        <w:rPr>
          <w:rFonts w:cstheme="minorHAnsi"/>
          <w:szCs w:val="24"/>
        </w:rPr>
        <w:t xml:space="preserve"> t</w:t>
      </w:r>
      <w:r w:rsidR="000B771A" w:rsidRPr="00215AF0">
        <w:rPr>
          <w:rFonts w:cstheme="minorHAnsi"/>
          <w:szCs w:val="24"/>
        </w:rPr>
        <w:t xml:space="preserve">he ITU mandate on the topic, </w:t>
      </w:r>
      <w:r w:rsidR="000B771A">
        <w:rPr>
          <w:rFonts w:cstheme="minorHAnsi"/>
          <w:szCs w:val="24"/>
        </w:rPr>
        <w:t xml:space="preserve">in tandem </w:t>
      </w:r>
      <w:r w:rsidR="000B771A" w:rsidRPr="00215AF0">
        <w:rPr>
          <w:rFonts w:cstheme="minorHAnsi"/>
          <w:szCs w:val="24"/>
        </w:rPr>
        <w:t xml:space="preserve">with the experience of </w:t>
      </w:r>
      <w:r w:rsidR="000B771A" w:rsidRPr="00C60118">
        <w:rPr>
          <w:rFonts w:cstheme="minorHAnsi"/>
          <w:szCs w:val="24"/>
        </w:rPr>
        <w:t xml:space="preserve">ITU-D Study Group Question </w:t>
      </w:r>
      <w:r w:rsidR="000B771A" w:rsidRPr="001D5AD3">
        <w:rPr>
          <w:rFonts w:cstheme="minorHAnsi"/>
          <w:szCs w:val="24"/>
        </w:rPr>
        <w:t>7/</w:t>
      </w:r>
      <w:r w:rsidR="000B771A" w:rsidRPr="00C60118">
        <w:rPr>
          <w:rFonts w:cstheme="minorHAnsi"/>
          <w:szCs w:val="24"/>
        </w:rPr>
        <w:t>1, BDT</w:t>
      </w:r>
      <w:r w:rsidR="000B771A" w:rsidRPr="00215AF0">
        <w:rPr>
          <w:rFonts w:cstheme="minorHAnsi"/>
          <w:szCs w:val="24"/>
        </w:rPr>
        <w:t xml:space="preserve"> expertise on the topic and </w:t>
      </w:r>
      <w:r w:rsidR="000B771A">
        <w:rPr>
          <w:rFonts w:cstheme="minorHAnsi"/>
          <w:szCs w:val="24"/>
        </w:rPr>
        <w:t xml:space="preserve">its </w:t>
      </w:r>
      <w:r w:rsidR="000B771A" w:rsidRPr="00215AF0">
        <w:rPr>
          <w:rFonts w:cstheme="minorHAnsi"/>
          <w:szCs w:val="24"/>
        </w:rPr>
        <w:t xml:space="preserve">experience in leading </w:t>
      </w:r>
      <w:r w:rsidR="000B771A">
        <w:rPr>
          <w:rFonts w:cstheme="minorHAnsi"/>
          <w:szCs w:val="24"/>
        </w:rPr>
        <w:t xml:space="preserve">such events </w:t>
      </w:r>
      <w:r w:rsidR="000B771A" w:rsidRPr="00215AF0">
        <w:rPr>
          <w:rFonts w:cstheme="minorHAnsi"/>
          <w:szCs w:val="24"/>
        </w:rPr>
        <w:t xml:space="preserve">for the last 10 years such events were recognized assets by TDAG. </w:t>
      </w:r>
      <w:r w:rsidR="001B6A9C">
        <w:rPr>
          <w:rFonts w:cstheme="minorHAnsi"/>
          <w:szCs w:val="24"/>
        </w:rPr>
        <w:t xml:space="preserve">TDAG was reminded that the </w:t>
      </w:r>
      <w:r w:rsidR="002144C3" w:rsidRPr="00215AF0">
        <w:rPr>
          <w:rFonts w:cstheme="minorHAnsi"/>
          <w:szCs w:val="24"/>
        </w:rPr>
        <w:t>BDT is organiz</w:t>
      </w:r>
      <w:r w:rsidR="00202B17">
        <w:rPr>
          <w:rFonts w:cstheme="minorHAnsi"/>
          <w:szCs w:val="24"/>
        </w:rPr>
        <w:t>es</w:t>
      </w:r>
      <w:r w:rsidR="002144C3" w:rsidRPr="00215AF0">
        <w:rPr>
          <w:rFonts w:cstheme="minorHAnsi"/>
          <w:szCs w:val="24"/>
        </w:rPr>
        <w:t xml:space="preserve"> </w:t>
      </w:r>
      <w:r w:rsidR="00202B17">
        <w:rPr>
          <w:rFonts w:cstheme="minorHAnsi"/>
          <w:szCs w:val="24"/>
        </w:rPr>
        <w:t xml:space="preserve">annual </w:t>
      </w:r>
      <w:r w:rsidR="002144C3" w:rsidRPr="00215AF0">
        <w:rPr>
          <w:rFonts w:cstheme="minorHAnsi"/>
          <w:szCs w:val="24"/>
        </w:rPr>
        <w:t>Regional Accessible – ICT for ALL events a</w:t>
      </w:r>
      <w:r w:rsidR="00146B86">
        <w:rPr>
          <w:rFonts w:cstheme="minorHAnsi"/>
          <w:szCs w:val="24"/>
        </w:rPr>
        <w:t>mong other</w:t>
      </w:r>
      <w:r w:rsidR="002144C3" w:rsidRPr="00215AF0">
        <w:rPr>
          <w:rFonts w:cstheme="minorHAnsi"/>
          <w:szCs w:val="24"/>
        </w:rPr>
        <w:t xml:space="preserve"> activities. Therefore, the </w:t>
      </w:r>
      <w:r w:rsidR="00F1657A">
        <w:rPr>
          <w:rFonts w:cstheme="minorHAnsi"/>
          <w:szCs w:val="24"/>
        </w:rPr>
        <w:t>proposal would be to organize a</w:t>
      </w:r>
      <w:r w:rsidR="00411216">
        <w:rPr>
          <w:rFonts w:cstheme="minorHAnsi"/>
          <w:szCs w:val="24"/>
        </w:rPr>
        <w:t xml:space="preserve"> global </w:t>
      </w:r>
      <w:r w:rsidR="002144C3" w:rsidRPr="00215AF0">
        <w:rPr>
          <w:rFonts w:cstheme="minorHAnsi"/>
          <w:szCs w:val="24"/>
        </w:rPr>
        <w:t>Accessible World – ICT for ALL, to be implemented every 4 years (for the first time in 2026) to replace these regional events and activities.</w:t>
      </w:r>
    </w:p>
    <w:p w14:paraId="43CD7284" w14:textId="5708F6D1" w:rsidR="009F4172" w:rsidRDefault="00663E80"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 xml:space="preserve">TDAG </w:t>
      </w:r>
      <w:r w:rsidR="0056648A" w:rsidRPr="00215AF0">
        <w:rPr>
          <w:rFonts w:cstheme="minorHAnsi"/>
          <w:szCs w:val="24"/>
        </w:rPr>
        <w:t xml:space="preserve">received clarification on the fact that </w:t>
      </w:r>
      <w:r w:rsidR="00B4760E">
        <w:rPr>
          <w:rFonts w:cstheme="minorHAnsi"/>
          <w:szCs w:val="24"/>
        </w:rPr>
        <w:t>while</w:t>
      </w:r>
      <w:r w:rsidR="0056648A" w:rsidRPr="00215AF0">
        <w:rPr>
          <w:rFonts w:cstheme="minorHAnsi"/>
          <w:szCs w:val="24"/>
        </w:rPr>
        <w:t xml:space="preserve"> Accessible Regional Events have been held mainly in </w:t>
      </w:r>
      <w:r w:rsidR="00B4760E">
        <w:rPr>
          <w:rFonts w:cstheme="minorHAnsi"/>
          <w:szCs w:val="24"/>
        </w:rPr>
        <w:t xml:space="preserve">the </w:t>
      </w:r>
      <w:r w:rsidR="0056648A" w:rsidRPr="00215AF0">
        <w:rPr>
          <w:rFonts w:cstheme="minorHAnsi"/>
          <w:szCs w:val="24"/>
        </w:rPr>
        <w:t>Americas, Europe</w:t>
      </w:r>
      <w:r w:rsidR="00B4760E">
        <w:rPr>
          <w:rFonts w:cstheme="minorHAnsi"/>
          <w:szCs w:val="24"/>
        </w:rPr>
        <w:t>,</w:t>
      </w:r>
      <w:r w:rsidR="0056648A" w:rsidRPr="00215AF0">
        <w:rPr>
          <w:rFonts w:cstheme="minorHAnsi"/>
          <w:szCs w:val="24"/>
        </w:rPr>
        <w:t xml:space="preserve"> and Arab Region</w:t>
      </w:r>
      <w:r w:rsidR="00B4760E">
        <w:rPr>
          <w:rFonts w:cstheme="minorHAnsi"/>
          <w:szCs w:val="24"/>
        </w:rPr>
        <w:t>s,</w:t>
      </w:r>
      <w:r w:rsidR="0056648A" w:rsidRPr="00215AF0">
        <w:rPr>
          <w:rFonts w:cstheme="minorHAnsi"/>
          <w:szCs w:val="24"/>
        </w:rPr>
        <w:t xml:space="preserve"> activities and actions on ICT/accessibility have been implemented in all ITU regions. </w:t>
      </w:r>
      <w:r w:rsidR="008923F6" w:rsidRPr="00215AF0">
        <w:rPr>
          <w:rFonts w:cstheme="minorHAnsi"/>
          <w:szCs w:val="24"/>
        </w:rPr>
        <w:t>TDAG</w:t>
      </w:r>
      <w:r w:rsidR="0056648A" w:rsidRPr="00215AF0">
        <w:rPr>
          <w:rFonts w:cstheme="minorHAnsi"/>
          <w:szCs w:val="24"/>
        </w:rPr>
        <w:t xml:space="preserve"> also received clarification on the human and financial implications. The BDT reiterate</w:t>
      </w:r>
      <w:r w:rsidR="006F6EB1">
        <w:rPr>
          <w:rFonts w:cstheme="minorHAnsi"/>
          <w:szCs w:val="24"/>
        </w:rPr>
        <w:t>d</w:t>
      </w:r>
      <w:r w:rsidR="0056648A" w:rsidRPr="00215AF0">
        <w:rPr>
          <w:rFonts w:cstheme="minorHAnsi"/>
          <w:szCs w:val="24"/>
        </w:rPr>
        <w:t xml:space="preserve"> the call to Member States interested in championing the topic to manifest interest to support/host this very first event.</w:t>
      </w:r>
    </w:p>
    <w:tbl>
      <w:tblPr>
        <w:tblStyle w:val="TableGrid"/>
        <w:tblW w:w="0" w:type="auto"/>
        <w:tblLook w:val="04A0" w:firstRow="1" w:lastRow="0" w:firstColumn="1" w:lastColumn="0" w:noHBand="0" w:noVBand="1"/>
      </w:tblPr>
      <w:tblGrid>
        <w:gridCol w:w="9629"/>
      </w:tblGrid>
      <w:tr w:rsidR="00E03A36" w14:paraId="274A505E" w14:textId="77777777" w:rsidTr="00E03A36">
        <w:tc>
          <w:tcPr>
            <w:tcW w:w="9629" w:type="dxa"/>
          </w:tcPr>
          <w:p w14:paraId="394343AD" w14:textId="533E4DC0" w:rsidR="00E03A36" w:rsidRPr="00E03A36" w:rsidRDefault="009F4172" w:rsidP="00E03A36">
            <w:pPr>
              <w:widowControl w:val="0"/>
              <w:tabs>
                <w:tab w:val="clear" w:pos="794"/>
                <w:tab w:val="clear" w:pos="1191"/>
                <w:tab w:val="clear" w:pos="1588"/>
                <w:tab w:val="clear" w:pos="1985"/>
                <w:tab w:val="left" w:pos="1701"/>
              </w:tabs>
              <w:spacing w:after="120"/>
              <w:rPr>
                <w:rFonts w:cstheme="minorHAnsi"/>
                <w:szCs w:val="24"/>
              </w:rPr>
            </w:pPr>
            <w:r>
              <w:rPr>
                <w:rStyle w:val="ui-provider"/>
              </w:rPr>
              <w:lastRenderedPageBreak/>
              <w:t xml:space="preserve">The Dominican Republic expressed interest in the project and requested further information from the BDT, </w:t>
            </w:r>
            <w:r w:rsidR="00643F1E">
              <w:rPr>
                <w:rStyle w:val="ui-provider"/>
              </w:rPr>
              <w:t xml:space="preserve">to </w:t>
            </w:r>
            <w:r>
              <w:rPr>
                <w:rStyle w:val="ui-provider"/>
              </w:rPr>
              <w:t>explor</w:t>
            </w:r>
            <w:r w:rsidR="00643F1E">
              <w:rPr>
                <w:rStyle w:val="ui-provider"/>
              </w:rPr>
              <w:t>e</w:t>
            </w:r>
            <w:r>
              <w:rPr>
                <w:rStyle w:val="ui-provider"/>
              </w:rPr>
              <w:t xml:space="preserve"> the possibility of hosting the event in the Dominican Republic.</w:t>
            </w:r>
            <w:r w:rsidR="0056648A" w:rsidRPr="00215AF0">
              <w:rPr>
                <w:rFonts w:cstheme="minorHAnsi"/>
                <w:szCs w:val="24"/>
              </w:rPr>
              <w:br/>
            </w:r>
            <w:r w:rsidR="00E03A36" w:rsidRPr="00E03A36">
              <w:rPr>
                <w:rFonts w:cstheme="minorHAnsi"/>
                <w:szCs w:val="24"/>
              </w:rPr>
              <w:t xml:space="preserve">TDAG took note of the document which proposed to organize an ICT for ALL Global Summit in 2026 which would complement annual events taking place on the same theme in the regions. The BDT committed to providing further information on the practical, financial, and logistical requirements. </w:t>
            </w:r>
          </w:p>
          <w:p w14:paraId="585746F7" w14:textId="64881298" w:rsidR="00E03A36" w:rsidRDefault="00E03A36" w:rsidP="00E03A36">
            <w:pPr>
              <w:widowControl w:val="0"/>
              <w:tabs>
                <w:tab w:val="clear" w:pos="794"/>
                <w:tab w:val="clear" w:pos="1191"/>
                <w:tab w:val="clear" w:pos="1588"/>
                <w:tab w:val="clear" w:pos="1985"/>
                <w:tab w:val="left" w:pos="1701"/>
              </w:tabs>
              <w:spacing w:after="120"/>
              <w:rPr>
                <w:rFonts w:cstheme="minorHAnsi"/>
                <w:szCs w:val="24"/>
              </w:rPr>
            </w:pPr>
            <w:r w:rsidRPr="00E03A36">
              <w:rPr>
                <w:rFonts w:cstheme="minorHAnsi"/>
                <w:szCs w:val="24"/>
              </w:rPr>
              <w:t>TDAG took note of the Dominican Republic’s interest to host the Global Summit.</w:t>
            </w:r>
          </w:p>
        </w:tc>
      </w:tr>
    </w:tbl>
    <w:p w14:paraId="24944CB6" w14:textId="5151D821" w:rsidR="009A52C5" w:rsidRPr="00351E93" w:rsidRDefault="009A52C5"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eastAsia="zh-CN"/>
        </w:rPr>
      </w:pPr>
      <w:r w:rsidRPr="00351E93">
        <w:rPr>
          <w:rFonts w:cstheme="minorHAnsi"/>
          <w:b/>
          <w:szCs w:val="24"/>
        </w:rPr>
        <w:t xml:space="preserve">Document </w:t>
      </w:r>
      <w:hyperlink r:id="rId54">
        <w:r w:rsidRPr="00351E93">
          <w:rPr>
            <w:rStyle w:val="Hyperlink"/>
            <w:rFonts w:cstheme="minorHAnsi"/>
            <w:b/>
            <w:szCs w:val="24"/>
            <w:lang w:eastAsia="zh-CN"/>
          </w:rPr>
          <w:t>38</w:t>
        </w:r>
      </w:hyperlink>
      <w:r w:rsidRPr="00351E93">
        <w:rPr>
          <w:rStyle w:val="Hyperlink"/>
          <w:rFonts w:cstheme="minorHAnsi"/>
          <w:b/>
          <w:color w:val="auto"/>
          <w:szCs w:val="24"/>
          <w:u w:val="none"/>
        </w:rPr>
        <w:t xml:space="preserve"> (</w:t>
      </w:r>
      <w:r w:rsidR="00E938C4" w:rsidRPr="00351E93">
        <w:rPr>
          <w:rStyle w:val="Hyperlink"/>
          <w:rFonts w:cstheme="minorHAnsi"/>
          <w:b/>
          <w:color w:val="auto"/>
          <w:szCs w:val="24"/>
          <w:u w:val="none"/>
        </w:rPr>
        <w:t>China (People’s Republic of)</w:t>
      </w:r>
      <w:r w:rsidRPr="00351E93">
        <w:rPr>
          <w:rStyle w:val="Hyperlink"/>
          <w:rFonts w:cstheme="minorHAnsi"/>
          <w:b/>
          <w:color w:val="auto"/>
          <w:szCs w:val="24"/>
          <w:u w:val="none"/>
        </w:rPr>
        <w:t>)</w:t>
      </w:r>
      <w:r w:rsidR="00244218" w:rsidRPr="00351E93">
        <w:rPr>
          <w:rStyle w:val="Hyperlink"/>
          <w:rFonts w:cstheme="minorHAnsi"/>
          <w:b/>
          <w:color w:val="auto"/>
          <w:szCs w:val="24"/>
          <w:u w:val="none"/>
        </w:rPr>
        <w:t xml:space="preserve"> - </w:t>
      </w:r>
      <w:r w:rsidR="00C44406" w:rsidRPr="00C44406">
        <w:rPr>
          <w:rFonts w:cstheme="minorHAnsi"/>
          <w:b/>
          <w:szCs w:val="24"/>
        </w:rPr>
        <w:t>Proposals to further strengthen the role of acceleration centres under the ITU initiative of Innovation and Entrepreneurship Alliance for Digital Development</w:t>
      </w:r>
    </w:p>
    <w:p w14:paraId="034BC00F" w14:textId="2E0F4873" w:rsidR="00ED2C8A" w:rsidRPr="00ED2C8A" w:rsidRDefault="00ED2C8A" w:rsidP="00E03A36">
      <w:pPr>
        <w:pStyle w:val="CEONormal"/>
        <w:rPr>
          <w:rFonts w:asciiTheme="minorHAnsi" w:hAnsiTheme="minorHAnsi" w:cstheme="minorHAnsi"/>
          <w:bCs/>
          <w:sz w:val="24"/>
          <w:szCs w:val="24"/>
        </w:rPr>
      </w:pPr>
      <w:r w:rsidRPr="00ED2C8A">
        <w:rPr>
          <w:rFonts w:asciiTheme="minorHAnsi" w:hAnsiTheme="minorHAnsi" w:cstheme="minorHAnsi"/>
          <w:bCs/>
          <w:sz w:val="24"/>
          <w:szCs w:val="24"/>
        </w:rPr>
        <w:t xml:space="preserve">China presented Document 38 proposing </w:t>
      </w:r>
      <w:r w:rsidR="002D53EC">
        <w:rPr>
          <w:rFonts w:asciiTheme="minorHAnsi" w:hAnsiTheme="minorHAnsi" w:cstheme="minorHAnsi"/>
          <w:bCs/>
          <w:sz w:val="24"/>
          <w:szCs w:val="24"/>
        </w:rPr>
        <w:t xml:space="preserve">ways </w:t>
      </w:r>
      <w:r w:rsidRPr="00ED2C8A">
        <w:rPr>
          <w:rFonts w:asciiTheme="minorHAnsi" w:hAnsiTheme="minorHAnsi" w:cstheme="minorHAnsi"/>
          <w:bCs/>
          <w:sz w:val="24"/>
          <w:szCs w:val="24"/>
        </w:rPr>
        <w:t>to strengthen the role of Acceleration Centres under the ITU's Innovation and Entrepreneurship Alliance for Digital Development. The proposal include</w:t>
      </w:r>
      <w:r w:rsidR="007F2A80">
        <w:rPr>
          <w:rFonts w:asciiTheme="minorHAnsi" w:hAnsiTheme="minorHAnsi" w:cstheme="minorHAnsi"/>
          <w:bCs/>
          <w:sz w:val="24"/>
          <w:szCs w:val="24"/>
        </w:rPr>
        <w:t>d</w:t>
      </w:r>
      <w:r w:rsidRPr="00ED2C8A">
        <w:rPr>
          <w:rFonts w:asciiTheme="minorHAnsi" w:hAnsiTheme="minorHAnsi" w:cstheme="minorHAnsi"/>
          <w:bCs/>
          <w:sz w:val="24"/>
          <w:szCs w:val="24"/>
        </w:rPr>
        <w:t xml:space="preserve">: </w:t>
      </w:r>
    </w:p>
    <w:p w14:paraId="683D3CDE" w14:textId="77777777" w:rsidR="00ED2C8A" w:rsidRPr="00ED2C8A" w:rsidRDefault="00ED2C8A" w:rsidP="00756B97">
      <w:pPr>
        <w:pStyle w:val="CEONormal"/>
        <w:numPr>
          <w:ilvl w:val="0"/>
          <w:numId w:val="7"/>
        </w:numPr>
        <w:spacing w:before="60" w:after="60"/>
        <w:ind w:left="714" w:hanging="357"/>
        <w:rPr>
          <w:rFonts w:asciiTheme="minorHAnsi" w:hAnsiTheme="minorHAnsi" w:cstheme="minorHAnsi"/>
          <w:bCs/>
          <w:sz w:val="24"/>
          <w:szCs w:val="24"/>
        </w:rPr>
      </w:pPr>
      <w:r w:rsidRPr="00ED2C8A">
        <w:rPr>
          <w:rFonts w:asciiTheme="minorHAnsi" w:hAnsiTheme="minorHAnsi" w:cstheme="minorHAnsi"/>
          <w:bCs/>
          <w:sz w:val="24"/>
          <w:szCs w:val="24"/>
        </w:rPr>
        <w:t xml:space="preserve">Ensuring Acceleration Centres align with ITU's strategic objectives and regional initiatives to support digital transformation. </w:t>
      </w:r>
    </w:p>
    <w:p w14:paraId="290F80E5" w14:textId="77777777" w:rsidR="00ED2C8A" w:rsidRPr="00ED2C8A" w:rsidRDefault="00ED2C8A" w:rsidP="00756B97">
      <w:pPr>
        <w:pStyle w:val="CEONormal"/>
        <w:numPr>
          <w:ilvl w:val="0"/>
          <w:numId w:val="7"/>
        </w:numPr>
        <w:spacing w:before="60" w:after="60"/>
        <w:ind w:left="714" w:hanging="357"/>
        <w:rPr>
          <w:rFonts w:asciiTheme="minorHAnsi" w:hAnsiTheme="minorHAnsi" w:cstheme="minorHAnsi"/>
          <w:bCs/>
          <w:sz w:val="24"/>
          <w:szCs w:val="24"/>
        </w:rPr>
      </w:pPr>
      <w:r w:rsidRPr="00ED2C8A">
        <w:rPr>
          <w:rFonts w:asciiTheme="minorHAnsi" w:hAnsiTheme="minorHAnsi" w:cstheme="minorHAnsi"/>
          <w:bCs/>
          <w:sz w:val="24"/>
          <w:szCs w:val="24"/>
        </w:rPr>
        <w:t xml:space="preserve">Enhancing coordination with regional offices and engaging in capacity building, forward-looking research, ICT development seminars, and regional projects. </w:t>
      </w:r>
    </w:p>
    <w:p w14:paraId="25F414FC" w14:textId="77777777" w:rsidR="00ED2C8A" w:rsidRPr="00ED2C8A" w:rsidRDefault="00ED2C8A" w:rsidP="00756B97">
      <w:pPr>
        <w:pStyle w:val="CEONormal"/>
        <w:numPr>
          <w:ilvl w:val="0"/>
          <w:numId w:val="7"/>
        </w:numPr>
        <w:spacing w:before="60" w:after="60"/>
        <w:ind w:left="714" w:hanging="357"/>
        <w:rPr>
          <w:rFonts w:asciiTheme="minorHAnsi" w:hAnsiTheme="minorHAnsi" w:cstheme="minorHAnsi"/>
          <w:bCs/>
          <w:sz w:val="24"/>
          <w:szCs w:val="24"/>
        </w:rPr>
      </w:pPr>
      <w:r w:rsidRPr="00ED2C8A">
        <w:rPr>
          <w:rFonts w:asciiTheme="minorHAnsi" w:hAnsiTheme="minorHAnsi" w:cstheme="minorHAnsi"/>
          <w:bCs/>
          <w:sz w:val="24"/>
          <w:szCs w:val="24"/>
        </w:rPr>
        <w:t xml:space="preserve">Focusing on the digital development needs of LDCs, LLDCs, and SIDS to provide better services to these regions. </w:t>
      </w:r>
    </w:p>
    <w:p w14:paraId="6597254C" w14:textId="77777777" w:rsidR="00ED2C8A" w:rsidRPr="00ED2C8A" w:rsidRDefault="00ED2C8A" w:rsidP="00E03A36">
      <w:pPr>
        <w:pStyle w:val="CEONormal"/>
        <w:rPr>
          <w:rFonts w:asciiTheme="minorHAnsi" w:hAnsiTheme="minorHAnsi" w:cstheme="minorHAnsi"/>
          <w:bCs/>
          <w:sz w:val="24"/>
          <w:szCs w:val="24"/>
        </w:rPr>
      </w:pPr>
      <w:r w:rsidRPr="00ED2C8A">
        <w:rPr>
          <w:rFonts w:asciiTheme="minorHAnsi" w:hAnsiTheme="minorHAnsi" w:cstheme="minorHAnsi"/>
          <w:bCs/>
          <w:sz w:val="24"/>
          <w:szCs w:val="24"/>
        </w:rPr>
        <w:t xml:space="preserve">The proposal received widespread support, aiming to streamline and expand collaboration between Acceleration Centres and other BDT activities, including study groups, thematic areas, and broader ITU cross-collaboration. The Secretariat provided clarification on the complementarities between Acceleration Centres and other ITU capacity-building activities. </w:t>
      </w:r>
    </w:p>
    <w:p w14:paraId="08045932" w14:textId="29E5F3E0" w:rsidR="000A55F2" w:rsidRDefault="00ED2C8A" w:rsidP="00E03A36">
      <w:pPr>
        <w:pStyle w:val="CEONormal"/>
        <w:rPr>
          <w:rFonts w:asciiTheme="minorHAnsi" w:hAnsiTheme="minorHAnsi" w:cstheme="minorHAnsi"/>
          <w:bCs/>
          <w:sz w:val="24"/>
          <w:szCs w:val="24"/>
        </w:rPr>
      </w:pPr>
      <w:r w:rsidRPr="00ED2C8A">
        <w:rPr>
          <w:rFonts w:asciiTheme="minorHAnsi" w:hAnsiTheme="minorHAnsi" w:cstheme="minorHAnsi"/>
          <w:bCs/>
          <w:sz w:val="24"/>
          <w:szCs w:val="24"/>
        </w:rPr>
        <w:t>Furthermore, a clear link was made that this work will deliver on WTDC-22 resolution 17 to support the implementation of the regional initiatives, in addition to PP-22 resolution 205, which is clearly in line with the objective for socio-economic development.</w:t>
      </w:r>
      <w:r w:rsidR="00B45BFF">
        <w:rPr>
          <w:rFonts w:asciiTheme="minorHAnsi" w:hAnsiTheme="minorHAnsi" w:cstheme="minorHAnsi"/>
          <w:bCs/>
          <w:sz w:val="24"/>
          <w:szCs w:val="24"/>
        </w:rPr>
        <w:t xml:space="preserve"> </w:t>
      </w:r>
    </w:p>
    <w:tbl>
      <w:tblPr>
        <w:tblStyle w:val="TableGrid"/>
        <w:tblW w:w="0" w:type="auto"/>
        <w:tblLook w:val="04A0" w:firstRow="1" w:lastRow="0" w:firstColumn="1" w:lastColumn="0" w:noHBand="0" w:noVBand="1"/>
      </w:tblPr>
      <w:tblGrid>
        <w:gridCol w:w="9629"/>
      </w:tblGrid>
      <w:tr w:rsidR="00E03A36" w14:paraId="102F1B74" w14:textId="77777777" w:rsidTr="00E03A36">
        <w:tc>
          <w:tcPr>
            <w:tcW w:w="9629" w:type="dxa"/>
          </w:tcPr>
          <w:p w14:paraId="25A6EF17" w14:textId="5D85DF97" w:rsidR="00E03A36" w:rsidRDefault="00E03A36" w:rsidP="00E03A36">
            <w:pPr>
              <w:pStyle w:val="CEONormal"/>
              <w:rPr>
                <w:rFonts w:asciiTheme="minorHAnsi" w:hAnsiTheme="minorHAnsi" w:cstheme="minorHAnsi"/>
                <w:bCs/>
                <w:sz w:val="24"/>
                <w:szCs w:val="24"/>
              </w:rPr>
            </w:pPr>
            <w:r w:rsidRPr="00E03A36">
              <w:rPr>
                <w:rFonts w:asciiTheme="minorHAnsi" w:hAnsiTheme="minorHAnsi" w:cstheme="minorHAnsi"/>
                <w:bCs/>
                <w:sz w:val="24"/>
                <w:szCs w:val="24"/>
              </w:rPr>
              <w:t xml:space="preserve">TDAG expressed widespread support for the suggestions in this contribution to enhance the role of the acceleration centres, e.g. take account of ITU strategic objectives, ITU-D priorities, strengthening coordination with RTOs, and focus on digital development needs of members, particularly LDCs, LLDCs, and SIDs. Going forward, BDT agreed to provide updates on coordination with other BDT Capacity Building efforts and the ITU Academy, having provided such clarification during the meeting as well as the </w:t>
            </w:r>
            <w:hyperlink r:id="rId55" w:history="1">
              <w:r w:rsidRPr="00E03A36">
                <w:rPr>
                  <w:rStyle w:val="Hyperlink"/>
                  <w:rFonts w:asciiTheme="minorHAnsi" w:hAnsiTheme="minorHAnsi" w:cstheme="minorHAnsi"/>
                  <w:bCs/>
                  <w:sz w:val="24"/>
                  <w:szCs w:val="24"/>
                </w:rPr>
                <w:t>Terms of Reference of the Digital Innovation Board</w:t>
              </w:r>
            </w:hyperlink>
            <w:r w:rsidRPr="00E03A36">
              <w:rPr>
                <w:rFonts w:asciiTheme="minorHAnsi" w:hAnsiTheme="minorHAnsi" w:cstheme="minorHAnsi"/>
                <w:bCs/>
                <w:sz w:val="24"/>
                <w:szCs w:val="24"/>
              </w:rPr>
              <w:t xml:space="preserve"> of the Innovation and Entrepreneurship Alliance for Digital Development.</w:t>
            </w:r>
          </w:p>
        </w:tc>
      </w:tr>
    </w:tbl>
    <w:p w14:paraId="39E8B35B" w14:textId="77777777" w:rsidR="000E6B85" w:rsidRPr="000E6B85" w:rsidRDefault="0075136D" w:rsidP="00E03A36">
      <w:pPr>
        <w:widowControl w:val="0"/>
        <w:tabs>
          <w:tab w:val="left" w:pos="567"/>
          <w:tab w:val="left" w:pos="1701"/>
        </w:tabs>
        <w:spacing w:after="120"/>
        <w:textAlignment w:val="auto"/>
        <w:rPr>
          <w:rStyle w:val="Hyperlink"/>
          <w:rFonts w:cstheme="minorHAnsi"/>
          <w:b/>
          <w:bCs/>
          <w:color w:val="auto"/>
          <w:szCs w:val="24"/>
          <w:u w:val="none"/>
          <w:lang w:val="en-US"/>
        </w:rPr>
      </w:pPr>
      <w:r w:rsidRPr="00351E93">
        <w:rPr>
          <w:rFonts w:cstheme="minorHAnsi"/>
          <w:b/>
          <w:szCs w:val="24"/>
          <w:lang w:val="en-US"/>
        </w:rPr>
        <w:t xml:space="preserve">Document </w:t>
      </w:r>
      <w:hyperlink r:id="rId56">
        <w:r w:rsidRPr="00351E93">
          <w:rPr>
            <w:rStyle w:val="Hyperlink"/>
            <w:rFonts w:cstheme="minorHAnsi"/>
            <w:b/>
            <w:szCs w:val="24"/>
            <w:lang w:val="en-US"/>
          </w:rPr>
          <w:t>4(Rev.1)</w:t>
        </w:r>
      </w:hyperlink>
      <w:r w:rsidRPr="00351E93">
        <w:rPr>
          <w:rStyle w:val="Hyperlink"/>
          <w:rFonts w:cstheme="minorHAnsi"/>
          <w:b/>
          <w:bCs/>
          <w:color w:val="auto"/>
          <w:szCs w:val="24"/>
          <w:u w:val="none"/>
          <w:lang w:val="en-US"/>
        </w:rPr>
        <w:t xml:space="preserve"> (Director, BDT)</w:t>
      </w:r>
      <w:r w:rsidR="000E6B85">
        <w:rPr>
          <w:rStyle w:val="Hyperlink"/>
          <w:rFonts w:cstheme="minorHAnsi"/>
          <w:b/>
          <w:bCs/>
          <w:color w:val="auto"/>
          <w:szCs w:val="24"/>
          <w:u w:val="none"/>
          <w:lang w:val="en-US"/>
        </w:rPr>
        <w:t xml:space="preserve"> - </w:t>
      </w:r>
      <w:r w:rsidR="000E6B85" w:rsidRPr="000E6B85">
        <w:rPr>
          <w:rStyle w:val="Hyperlink"/>
          <w:rFonts w:cstheme="minorHAnsi"/>
          <w:b/>
          <w:bCs/>
          <w:color w:val="auto"/>
          <w:szCs w:val="24"/>
          <w:u w:val="none"/>
          <w:lang w:val="en-US"/>
        </w:rPr>
        <w:t>ITU-D partnerships and resource mobilization</w:t>
      </w:r>
    </w:p>
    <w:p w14:paraId="23DC2760" w14:textId="77777777" w:rsidR="0075136D" w:rsidRDefault="0075136D" w:rsidP="00E03A36">
      <w:pPr>
        <w:widowControl w:val="0"/>
        <w:tabs>
          <w:tab w:val="left" w:pos="567"/>
          <w:tab w:val="left" w:pos="851"/>
          <w:tab w:val="left" w:pos="1418"/>
        </w:tabs>
        <w:spacing w:after="120"/>
        <w:rPr>
          <w:rFonts w:cstheme="minorHAnsi"/>
          <w:szCs w:val="24"/>
        </w:rPr>
      </w:pPr>
      <w:r w:rsidRPr="00215AF0">
        <w:rPr>
          <w:rFonts w:cstheme="minorHAnsi"/>
          <w:szCs w:val="24"/>
        </w:rPr>
        <w:t>This document provided a report on partnerships and resource mobilization activities undertaken in 2023, providing information on the period between January 2023 to April 2024. Information on the type of partners, distribution of agreements per region and ITU-D priorities and comparison with previous years, highlighting 2023 as a fruitful year in terms of resources mobilized, was also provided. The three strategic actions were also presented: cultivating relationship with existing partners, outreaching to new potential partners and collaborating with UN agencies.</w:t>
      </w:r>
    </w:p>
    <w:tbl>
      <w:tblPr>
        <w:tblStyle w:val="TableGrid"/>
        <w:tblW w:w="0" w:type="auto"/>
        <w:tblLook w:val="04A0" w:firstRow="1" w:lastRow="0" w:firstColumn="1" w:lastColumn="0" w:noHBand="0" w:noVBand="1"/>
      </w:tblPr>
      <w:tblGrid>
        <w:gridCol w:w="9629"/>
      </w:tblGrid>
      <w:tr w:rsidR="00E03A36" w14:paraId="66ADE8E5" w14:textId="77777777" w:rsidTr="00E03A36">
        <w:tc>
          <w:tcPr>
            <w:tcW w:w="9629" w:type="dxa"/>
          </w:tcPr>
          <w:p w14:paraId="4ECE9819" w14:textId="4D2C1C4F" w:rsidR="00E03A36" w:rsidRDefault="00E03A36" w:rsidP="00612E72">
            <w:pPr>
              <w:keepNext/>
              <w:keepLines/>
              <w:widowControl w:val="0"/>
              <w:tabs>
                <w:tab w:val="left" w:pos="567"/>
                <w:tab w:val="left" w:pos="851"/>
                <w:tab w:val="left" w:pos="1418"/>
              </w:tabs>
              <w:spacing w:after="120"/>
              <w:rPr>
                <w:rFonts w:cstheme="minorHAnsi"/>
                <w:szCs w:val="24"/>
              </w:rPr>
            </w:pPr>
            <w:r w:rsidRPr="00E03A36">
              <w:rPr>
                <w:rFonts w:cstheme="minorHAnsi"/>
                <w:szCs w:val="24"/>
              </w:rPr>
              <w:lastRenderedPageBreak/>
              <w:t>TDAG noted with appreciation this contribution, which explained that a total of 117 Agreements have been signed by BDT with various partners from developed and developing countries for a total amount of 27.8 million USD.</w:t>
            </w:r>
          </w:p>
        </w:tc>
      </w:tr>
    </w:tbl>
    <w:p w14:paraId="0DC8F784" w14:textId="77777777" w:rsidR="000E6B85" w:rsidRDefault="00734F47" w:rsidP="00E03A36">
      <w:pPr>
        <w:widowControl w:val="0"/>
        <w:tabs>
          <w:tab w:val="left" w:pos="567"/>
          <w:tab w:val="left" w:pos="1701"/>
        </w:tabs>
        <w:spacing w:after="120"/>
        <w:textAlignment w:val="auto"/>
        <w:rPr>
          <w:rStyle w:val="Hyperlink"/>
          <w:rFonts w:cstheme="minorHAnsi"/>
          <w:b/>
          <w:bCs/>
          <w:color w:val="auto"/>
          <w:szCs w:val="24"/>
          <w:u w:val="none"/>
          <w:lang w:val="en-US"/>
        </w:rPr>
      </w:pPr>
      <w:r w:rsidRPr="000E6B85">
        <w:rPr>
          <w:rFonts w:cstheme="minorHAnsi"/>
          <w:b/>
          <w:szCs w:val="24"/>
          <w:lang w:val="en-US"/>
        </w:rPr>
        <w:t xml:space="preserve">Document </w:t>
      </w:r>
      <w:hyperlink r:id="rId57" w:history="1">
        <w:r w:rsidRPr="000E6B85">
          <w:rPr>
            <w:rStyle w:val="Hyperlink"/>
            <w:rFonts w:cstheme="minorHAnsi"/>
            <w:b/>
            <w:szCs w:val="24"/>
            <w:lang w:val="en-US"/>
          </w:rPr>
          <w:t>8</w:t>
        </w:r>
      </w:hyperlink>
      <w:r w:rsidR="00D70D05" w:rsidRPr="000E6B85">
        <w:rPr>
          <w:rStyle w:val="Hyperlink"/>
          <w:rFonts w:cstheme="minorHAnsi"/>
          <w:b/>
          <w:bCs/>
          <w:color w:val="auto"/>
          <w:szCs w:val="24"/>
          <w:u w:val="none"/>
          <w:lang w:val="en-US"/>
        </w:rPr>
        <w:t xml:space="preserve"> (Chair, GCBI)</w:t>
      </w:r>
      <w:r w:rsidR="000E6B85" w:rsidRPr="000E6B85">
        <w:rPr>
          <w:rStyle w:val="Hyperlink"/>
          <w:rFonts w:cstheme="minorHAnsi"/>
          <w:b/>
          <w:bCs/>
          <w:color w:val="auto"/>
          <w:szCs w:val="24"/>
          <w:u w:val="none"/>
          <w:lang w:val="en-US"/>
        </w:rPr>
        <w:t xml:space="preserve"> - ITU-D Sector Members, Associates and Academia</w:t>
      </w:r>
    </w:p>
    <w:p w14:paraId="2E033EC5" w14:textId="489585A0" w:rsidR="00E21323" w:rsidRPr="00215AF0" w:rsidRDefault="00E21323" w:rsidP="00E03A36">
      <w:pPr>
        <w:pStyle w:val="CEONormal"/>
        <w:widowControl w:val="0"/>
        <w:rPr>
          <w:rFonts w:asciiTheme="minorHAnsi" w:hAnsiTheme="minorHAnsi" w:cstheme="minorHAnsi"/>
          <w:bCs/>
          <w:sz w:val="24"/>
          <w:szCs w:val="24"/>
          <w:lang w:val="en-US"/>
        </w:rPr>
      </w:pPr>
      <w:r w:rsidRPr="00215AF0">
        <w:rPr>
          <w:rFonts w:asciiTheme="minorHAnsi" w:hAnsiTheme="minorHAnsi" w:cstheme="minorHAnsi"/>
          <w:bCs/>
          <w:sz w:val="24"/>
          <w:szCs w:val="24"/>
        </w:rPr>
        <w:t xml:space="preserve">This document presented an overview of the ITU-D membership evolution </w:t>
      </w:r>
      <w:r w:rsidR="00C41919">
        <w:rPr>
          <w:rFonts w:asciiTheme="minorHAnsi" w:hAnsiTheme="minorHAnsi" w:cstheme="minorHAnsi"/>
          <w:bCs/>
          <w:sz w:val="24"/>
          <w:szCs w:val="24"/>
        </w:rPr>
        <w:t xml:space="preserve">for </w:t>
      </w:r>
      <w:r w:rsidRPr="00215AF0">
        <w:rPr>
          <w:rFonts w:asciiTheme="minorHAnsi" w:hAnsiTheme="minorHAnsi" w:cstheme="minorHAnsi"/>
          <w:bCs/>
          <w:sz w:val="24"/>
          <w:szCs w:val="24"/>
        </w:rPr>
        <w:t>2022</w:t>
      </w:r>
      <w:r w:rsidR="00BE0CE8">
        <w:rPr>
          <w:rFonts w:asciiTheme="minorHAnsi" w:hAnsiTheme="minorHAnsi" w:cstheme="minorHAnsi"/>
          <w:bCs/>
          <w:sz w:val="24"/>
          <w:szCs w:val="24"/>
        </w:rPr>
        <w:t>,</w:t>
      </w:r>
      <w:r w:rsidRPr="00215AF0" w:rsidDel="00BE0CE8">
        <w:rPr>
          <w:rFonts w:asciiTheme="minorHAnsi" w:hAnsiTheme="minorHAnsi" w:cstheme="minorHAnsi"/>
          <w:bCs/>
          <w:sz w:val="24"/>
          <w:szCs w:val="24"/>
        </w:rPr>
        <w:t xml:space="preserve"> </w:t>
      </w:r>
      <w:r w:rsidRPr="00215AF0">
        <w:rPr>
          <w:rFonts w:asciiTheme="minorHAnsi" w:hAnsiTheme="minorHAnsi" w:cstheme="minorHAnsi"/>
          <w:bCs/>
          <w:sz w:val="24"/>
          <w:szCs w:val="24"/>
        </w:rPr>
        <w:t>2023</w:t>
      </w:r>
      <w:r w:rsidR="00BE0CE8">
        <w:rPr>
          <w:rFonts w:asciiTheme="minorHAnsi" w:hAnsiTheme="minorHAnsi" w:cstheme="minorHAnsi"/>
          <w:bCs/>
          <w:sz w:val="24"/>
          <w:szCs w:val="24"/>
        </w:rPr>
        <w:t>,</w:t>
      </w:r>
      <w:r w:rsidRPr="00215AF0">
        <w:rPr>
          <w:rFonts w:asciiTheme="minorHAnsi" w:hAnsiTheme="minorHAnsi" w:cstheme="minorHAnsi"/>
          <w:bCs/>
          <w:sz w:val="24"/>
          <w:szCs w:val="24"/>
        </w:rPr>
        <w:t xml:space="preserve"> and projected figures for the first half of 2024 </w:t>
      </w:r>
      <w:proofErr w:type="gramStart"/>
      <w:r w:rsidRPr="00215AF0">
        <w:rPr>
          <w:rFonts w:asciiTheme="minorHAnsi" w:hAnsiTheme="minorHAnsi" w:cstheme="minorHAnsi"/>
          <w:bCs/>
          <w:sz w:val="24"/>
          <w:szCs w:val="24"/>
        </w:rPr>
        <w:t>as a result of</w:t>
      </w:r>
      <w:proofErr w:type="gramEnd"/>
      <w:r w:rsidRPr="00215AF0">
        <w:rPr>
          <w:rFonts w:asciiTheme="minorHAnsi" w:hAnsiTheme="minorHAnsi" w:cstheme="minorHAnsi"/>
          <w:bCs/>
          <w:sz w:val="24"/>
          <w:szCs w:val="24"/>
        </w:rPr>
        <w:t xml:space="preserve"> strategic actions </w:t>
      </w:r>
      <w:proofErr w:type="spellStart"/>
      <w:r w:rsidRPr="00215AF0">
        <w:rPr>
          <w:rFonts w:asciiTheme="minorHAnsi" w:hAnsiTheme="minorHAnsi" w:cstheme="minorHAnsi"/>
          <w:bCs/>
          <w:sz w:val="24"/>
          <w:szCs w:val="24"/>
        </w:rPr>
        <w:t>underta</w:t>
      </w:r>
      <w:proofErr w:type="spellEnd"/>
      <w:r w:rsidRPr="00215AF0">
        <w:rPr>
          <w:rFonts w:asciiTheme="minorHAnsi" w:hAnsiTheme="minorHAnsi" w:cstheme="minorHAnsi"/>
          <w:bCs/>
          <w:sz w:val="24"/>
          <w:szCs w:val="24"/>
          <w:lang w:val="en-US"/>
        </w:rPr>
        <w:t>ken to attract, retain</w:t>
      </w:r>
      <w:r w:rsidR="00DE04FD">
        <w:rPr>
          <w:rFonts w:asciiTheme="minorHAnsi" w:hAnsiTheme="minorHAnsi" w:cstheme="minorHAnsi"/>
          <w:bCs/>
          <w:sz w:val="24"/>
          <w:szCs w:val="24"/>
          <w:lang w:val="en-US"/>
        </w:rPr>
        <w:t>,</w:t>
      </w:r>
      <w:r w:rsidRPr="00215AF0">
        <w:rPr>
          <w:rFonts w:asciiTheme="minorHAnsi" w:hAnsiTheme="minorHAnsi" w:cstheme="minorHAnsi"/>
          <w:bCs/>
          <w:sz w:val="24"/>
          <w:szCs w:val="24"/>
          <w:lang w:val="en-US"/>
        </w:rPr>
        <w:t xml:space="preserve"> and engage membership. </w:t>
      </w:r>
    </w:p>
    <w:p w14:paraId="4D8BE3E8" w14:textId="77777777" w:rsidR="00E21323" w:rsidRDefault="00E21323" w:rsidP="00E03A36">
      <w:pPr>
        <w:widowControl w:val="0"/>
        <w:spacing w:after="120"/>
        <w:rPr>
          <w:rFonts w:eastAsia="SimSun" w:cstheme="minorHAnsi"/>
          <w:bCs/>
          <w:szCs w:val="24"/>
        </w:rPr>
      </w:pPr>
      <w:r w:rsidRPr="00E527E9">
        <w:rPr>
          <w:rFonts w:eastAsia="SimSun" w:cstheme="minorHAnsi"/>
          <w:bCs/>
          <w:szCs w:val="24"/>
        </w:rPr>
        <w:t>From a total of 317 Sector Members and Associates by end 2022, the document showed the increase to 332 by end 2023. The Secretariat also indicated that by May 2024 ITU-D has a total of 343 Sector Members and Associates</w:t>
      </w:r>
      <w:r w:rsidRPr="00215AF0">
        <w:rPr>
          <w:rFonts w:eastAsia="SimSun" w:cstheme="minorHAnsi"/>
          <w:bCs/>
          <w:szCs w:val="24"/>
        </w:rPr>
        <w:t xml:space="preserve"> hitting the projection shown in the document. </w:t>
      </w:r>
    </w:p>
    <w:tbl>
      <w:tblPr>
        <w:tblStyle w:val="TableGrid"/>
        <w:tblW w:w="0" w:type="auto"/>
        <w:tblLook w:val="04A0" w:firstRow="1" w:lastRow="0" w:firstColumn="1" w:lastColumn="0" w:noHBand="0" w:noVBand="1"/>
      </w:tblPr>
      <w:tblGrid>
        <w:gridCol w:w="9629"/>
      </w:tblGrid>
      <w:tr w:rsidR="00E03A36" w14:paraId="5BCD4E44" w14:textId="77777777" w:rsidTr="00E03A36">
        <w:tc>
          <w:tcPr>
            <w:tcW w:w="9629" w:type="dxa"/>
          </w:tcPr>
          <w:p w14:paraId="23DFCD22" w14:textId="1A0FB563" w:rsidR="00E03A36" w:rsidRDefault="00E03A36" w:rsidP="00E03A36">
            <w:pPr>
              <w:widowControl w:val="0"/>
              <w:spacing w:after="120"/>
              <w:rPr>
                <w:rFonts w:eastAsia="SimSun" w:cstheme="minorHAnsi"/>
                <w:bCs/>
                <w:szCs w:val="24"/>
                <w:lang w:val="en-US"/>
              </w:rPr>
            </w:pPr>
            <w:r w:rsidRPr="00E03A36">
              <w:rPr>
                <w:rFonts w:eastAsia="SimSun" w:cstheme="minorHAnsi"/>
                <w:bCs/>
                <w:szCs w:val="24"/>
                <w:lang w:val="en-US"/>
              </w:rPr>
              <w:t>TDAG noted with appreciation this contribution which described an increase in ITU-D Sector membership for the period January 2023 to June 2024 during which ITU-D attracted 63 new Sector Members, Associates and Academia. TDAG recognized the value of the industry and private sector and expressed appreciation for the significant work of the BDT in increasing the number of ITU-D Sector Members and Associates.</w:t>
            </w:r>
          </w:p>
        </w:tc>
      </w:tr>
    </w:tbl>
    <w:p w14:paraId="318BE48F" w14:textId="6413066C" w:rsidR="00FB04E2" w:rsidRPr="003F093D" w:rsidRDefault="00FB04E2" w:rsidP="00E03A36">
      <w:pPr>
        <w:widowControl w:val="0"/>
        <w:tabs>
          <w:tab w:val="left" w:pos="567"/>
          <w:tab w:val="left" w:pos="1701"/>
        </w:tabs>
        <w:spacing w:after="120"/>
        <w:textAlignment w:val="auto"/>
        <w:rPr>
          <w:rFonts w:cstheme="minorHAnsi"/>
          <w:b/>
          <w:szCs w:val="24"/>
          <w:lang w:val="en-US"/>
        </w:rPr>
      </w:pPr>
      <w:r w:rsidRPr="000E6B85">
        <w:rPr>
          <w:rFonts w:cstheme="minorHAnsi"/>
          <w:b/>
          <w:szCs w:val="24"/>
          <w:lang w:val="en-US"/>
        </w:rPr>
        <w:t xml:space="preserve">Document </w:t>
      </w:r>
      <w:hyperlink r:id="rId58" w:history="1">
        <w:r w:rsidRPr="000E6B85">
          <w:rPr>
            <w:rStyle w:val="Hyperlink"/>
            <w:rFonts w:cstheme="minorHAnsi"/>
            <w:b/>
            <w:szCs w:val="24"/>
            <w:lang w:val="en-US"/>
          </w:rPr>
          <w:t>8(Ann.1)</w:t>
        </w:r>
      </w:hyperlink>
      <w:r w:rsidRPr="000E6B85">
        <w:rPr>
          <w:rStyle w:val="Hyperlink"/>
          <w:rFonts w:cstheme="minorHAnsi"/>
          <w:b/>
          <w:color w:val="auto"/>
          <w:szCs w:val="24"/>
          <w:u w:val="none"/>
          <w:lang w:val="en-US"/>
        </w:rPr>
        <w:t xml:space="preserve"> (Chair, GCBI)</w:t>
      </w:r>
      <w:r w:rsidR="000E6B85" w:rsidRPr="000E6B85">
        <w:rPr>
          <w:rStyle w:val="Hyperlink"/>
          <w:rFonts w:cstheme="minorHAnsi"/>
          <w:b/>
          <w:bCs/>
          <w:color w:val="auto"/>
          <w:szCs w:val="24"/>
          <w:u w:val="none"/>
          <w:lang w:val="en-US"/>
        </w:rPr>
        <w:t xml:space="preserve"> </w:t>
      </w:r>
      <w:r w:rsidR="000E6B85">
        <w:rPr>
          <w:rStyle w:val="Hyperlink"/>
          <w:rFonts w:cstheme="minorHAnsi"/>
          <w:b/>
          <w:bCs/>
          <w:color w:val="auto"/>
          <w:szCs w:val="24"/>
          <w:u w:val="none"/>
          <w:lang w:val="en-US"/>
        </w:rPr>
        <w:t xml:space="preserve">- </w:t>
      </w:r>
      <w:r w:rsidR="000E6B85" w:rsidRPr="000E6B85">
        <w:rPr>
          <w:rStyle w:val="Hyperlink"/>
          <w:rFonts w:cstheme="minorHAnsi"/>
          <w:b/>
          <w:bCs/>
          <w:color w:val="auto"/>
          <w:szCs w:val="24"/>
          <w:u w:val="none"/>
          <w:lang w:val="en-US"/>
        </w:rPr>
        <w:t>Academia engagement opportunities in the work of the ITU Telecommunication Development Sector (ITU-D)</w:t>
      </w:r>
    </w:p>
    <w:p w14:paraId="7113C1BF" w14:textId="6676D871" w:rsidR="004A1996" w:rsidRPr="00215AF0" w:rsidRDefault="004A1996" w:rsidP="00E03A36">
      <w:pPr>
        <w:widowControl w:val="0"/>
        <w:spacing w:after="120"/>
        <w:rPr>
          <w:rFonts w:eastAsia="SimSun" w:cstheme="minorHAnsi"/>
          <w:bCs/>
          <w:szCs w:val="24"/>
        </w:rPr>
      </w:pPr>
      <w:r w:rsidRPr="00215AF0">
        <w:rPr>
          <w:rFonts w:eastAsia="SimSun" w:cstheme="minorHAnsi"/>
          <w:bCs/>
          <w:szCs w:val="24"/>
        </w:rPr>
        <w:t xml:space="preserve">As for Academia membership, </w:t>
      </w:r>
      <w:r w:rsidR="006C47DF">
        <w:rPr>
          <w:rFonts w:eastAsia="SimSun" w:cstheme="minorHAnsi"/>
          <w:bCs/>
          <w:szCs w:val="24"/>
        </w:rPr>
        <w:t xml:space="preserve">the </w:t>
      </w:r>
      <w:r w:rsidRPr="00215AF0">
        <w:rPr>
          <w:rFonts w:eastAsia="SimSun" w:cstheme="minorHAnsi"/>
          <w:bCs/>
          <w:szCs w:val="24"/>
        </w:rPr>
        <w:t>BDT Secretariat emphasized that it has taken into consideration the recommendations from the membership during the last TDAG and has conducted a mapping of recent</w:t>
      </w:r>
      <w:r w:rsidR="000408B7">
        <w:rPr>
          <w:rFonts w:eastAsia="SimSun" w:cstheme="minorHAnsi"/>
          <w:bCs/>
          <w:szCs w:val="24"/>
        </w:rPr>
        <w:t>,</w:t>
      </w:r>
      <w:r w:rsidRPr="00215AF0">
        <w:rPr>
          <w:rFonts w:eastAsia="SimSun" w:cstheme="minorHAnsi"/>
          <w:bCs/>
          <w:szCs w:val="24"/>
        </w:rPr>
        <w:t xml:space="preserve"> past</w:t>
      </w:r>
      <w:r w:rsidR="000408B7">
        <w:rPr>
          <w:rFonts w:eastAsia="SimSun" w:cstheme="minorHAnsi"/>
          <w:bCs/>
          <w:szCs w:val="24"/>
        </w:rPr>
        <w:t>,</w:t>
      </w:r>
      <w:r w:rsidRPr="00215AF0">
        <w:rPr>
          <w:rFonts w:eastAsia="SimSun" w:cstheme="minorHAnsi"/>
          <w:bCs/>
          <w:szCs w:val="24"/>
        </w:rPr>
        <w:t xml:space="preserve"> and ongoing engagement</w:t>
      </w:r>
      <w:r w:rsidRPr="00215AF0">
        <w:rPr>
          <w:rFonts w:eastAsia="SimSun" w:cstheme="minorHAnsi"/>
          <w:b/>
          <w:szCs w:val="24"/>
        </w:rPr>
        <w:t xml:space="preserve"> </w:t>
      </w:r>
      <w:r w:rsidRPr="00215AF0">
        <w:rPr>
          <w:rFonts w:eastAsia="SimSun" w:cstheme="minorHAnsi"/>
          <w:bCs/>
          <w:szCs w:val="24"/>
        </w:rPr>
        <w:t>with Academia</w:t>
      </w:r>
      <w:r w:rsidR="000019B8">
        <w:rPr>
          <w:rFonts w:eastAsia="SimSun" w:cstheme="minorHAnsi"/>
          <w:bCs/>
          <w:szCs w:val="24"/>
        </w:rPr>
        <w:t>,</w:t>
      </w:r>
      <w:r w:rsidRPr="00215AF0">
        <w:rPr>
          <w:rFonts w:eastAsia="SimSun" w:cstheme="minorHAnsi"/>
          <w:bCs/>
          <w:szCs w:val="24"/>
        </w:rPr>
        <w:t xml:space="preserve"> and potential future areas of collaboration as </w:t>
      </w:r>
      <w:r w:rsidR="000408B7">
        <w:rPr>
          <w:rFonts w:eastAsia="SimSun" w:cstheme="minorHAnsi"/>
          <w:bCs/>
          <w:szCs w:val="24"/>
        </w:rPr>
        <w:t xml:space="preserve">shown </w:t>
      </w:r>
      <w:r w:rsidRPr="00215AF0">
        <w:rPr>
          <w:rFonts w:eastAsia="SimSun" w:cstheme="minorHAnsi"/>
          <w:bCs/>
          <w:szCs w:val="24"/>
        </w:rPr>
        <w:t xml:space="preserve">in Annex 1 to Document 8. </w:t>
      </w:r>
    </w:p>
    <w:p w14:paraId="1DFC9ED8" w14:textId="53AC4E54" w:rsidR="004A1996" w:rsidRPr="00215AF0" w:rsidRDefault="004A1996" w:rsidP="00E03A36">
      <w:pPr>
        <w:pStyle w:val="CEONormal"/>
        <w:widowControl w:val="0"/>
        <w:rPr>
          <w:rFonts w:asciiTheme="minorHAnsi" w:hAnsiTheme="minorHAnsi" w:cstheme="minorHAnsi"/>
          <w:bCs/>
          <w:sz w:val="24"/>
          <w:szCs w:val="24"/>
        </w:rPr>
      </w:pPr>
      <w:r w:rsidRPr="00215AF0">
        <w:rPr>
          <w:rFonts w:asciiTheme="minorHAnsi" w:hAnsiTheme="minorHAnsi" w:cstheme="minorHAnsi"/>
          <w:bCs/>
          <w:sz w:val="24"/>
          <w:szCs w:val="24"/>
          <w:lang w:val="en-US"/>
        </w:rPr>
        <w:t>The</w:t>
      </w:r>
      <w:r w:rsidRPr="00215AF0">
        <w:rPr>
          <w:rFonts w:asciiTheme="minorHAnsi" w:hAnsiTheme="minorHAnsi" w:cstheme="minorHAnsi"/>
          <w:bCs/>
          <w:sz w:val="24"/>
          <w:szCs w:val="24"/>
        </w:rPr>
        <w:t xml:space="preserve"> Chairman of the Industry Advisory Group for Development Issues and the Private Sector Chief Regulatory Officers (IAGD-CRO) established under Resolution 71 (Rev. Kigali, 2022) appreciated the work of the BDT Director and the BDT Secretariat </w:t>
      </w:r>
      <w:r w:rsidR="00840B9A">
        <w:rPr>
          <w:rFonts w:asciiTheme="minorHAnsi" w:hAnsiTheme="minorHAnsi" w:cstheme="minorHAnsi"/>
          <w:bCs/>
          <w:sz w:val="24"/>
          <w:szCs w:val="24"/>
        </w:rPr>
        <w:t xml:space="preserve">to </w:t>
      </w:r>
      <w:r w:rsidRPr="00215AF0">
        <w:rPr>
          <w:rFonts w:asciiTheme="minorHAnsi" w:hAnsiTheme="minorHAnsi" w:cstheme="minorHAnsi"/>
          <w:bCs/>
          <w:sz w:val="24"/>
          <w:szCs w:val="24"/>
        </w:rPr>
        <w:t xml:space="preserve">work closely with industry and private sector as key stakeholders </w:t>
      </w:r>
      <w:r w:rsidR="001807A7">
        <w:rPr>
          <w:rFonts w:asciiTheme="minorHAnsi" w:hAnsiTheme="minorHAnsi" w:cstheme="minorHAnsi"/>
          <w:bCs/>
          <w:sz w:val="24"/>
          <w:szCs w:val="24"/>
        </w:rPr>
        <w:t>in</w:t>
      </w:r>
      <w:r w:rsidRPr="00215AF0">
        <w:rPr>
          <w:rFonts w:asciiTheme="minorHAnsi" w:hAnsiTheme="minorHAnsi" w:cstheme="minorHAnsi"/>
          <w:bCs/>
          <w:sz w:val="24"/>
          <w:szCs w:val="24"/>
        </w:rPr>
        <w:t xml:space="preserve"> ITU-D’s work.</w:t>
      </w:r>
    </w:p>
    <w:p w14:paraId="2B9FEE76" w14:textId="37C85292" w:rsidR="00FB04E2" w:rsidRDefault="008F0607"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215AF0">
        <w:rPr>
          <w:rFonts w:cstheme="minorHAnsi"/>
          <w:szCs w:val="24"/>
        </w:rPr>
        <w:t>TDAG</w:t>
      </w:r>
      <w:r w:rsidR="004A1996" w:rsidRPr="00215AF0">
        <w:rPr>
          <w:rFonts w:cstheme="minorHAnsi"/>
          <w:szCs w:val="24"/>
        </w:rPr>
        <w:t xml:space="preserve"> appreciated the significant work </w:t>
      </w:r>
      <w:r w:rsidR="00D45A58">
        <w:rPr>
          <w:rFonts w:cstheme="minorHAnsi"/>
          <w:szCs w:val="24"/>
        </w:rPr>
        <w:t xml:space="preserve">undertaken by </w:t>
      </w:r>
      <w:r w:rsidR="004A1996" w:rsidRPr="00215AF0">
        <w:rPr>
          <w:rFonts w:cstheme="minorHAnsi"/>
          <w:szCs w:val="24"/>
        </w:rPr>
        <w:t xml:space="preserve">the BDT </w:t>
      </w:r>
      <w:r w:rsidR="00D45A58">
        <w:rPr>
          <w:rFonts w:cstheme="minorHAnsi"/>
          <w:szCs w:val="24"/>
        </w:rPr>
        <w:t xml:space="preserve">to increase </w:t>
      </w:r>
      <w:r w:rsidR="004A1996" w:rsidRPr="00215AF0">
        <w:rPr>
          <w:rFonts w:cstheme="minorHAnsi"/>
          <w:szCs w:val="24"/>
        </w:rPr>
        <w:t>the number of members, indicating their interest to promote</w:t>
      </w:r>
      <w:proofErr w:type="gramStart"/>
      <w:r w:rsidR="004A1996" w:rsidRPr="00215AF0">
        <w:rPr>
          <w:rFonts w:cstheme="minorHAnsi"/>
          <w:szCs w:val="24"/>
        </w:rPr>
        <w:t>, in particular, Academia</w:t>
      </w:r>
      <w:proofErr w:type="gramEnd"/>
      <w:r w:rsidR="004A1996" w:rsidRPr="00215AF0">
        <w:rPr>
          <w:rFonts w:cstheme="minorHAnsi"/>
          <w:szCs w:val="24"/>
        </w:rPr>
        <w:t xml:space="preserve"> membership, and encouraged the BDT Secretariat to continue to disseminate information on the membership value proposition.</w:t>
      </w:r>
    </w:p>
    <w:tbl>
      <w:tblPr>
        <w:tblStyle w:val="TableGrid"/>
        <w:tblW w:w="0" w:type="auto"/>
        <w:tblLook w:val="04A0" w:firstRow="1" w:lastRow="0" w:firstColumn="1" w:lastColumn="0" w:noHBand="0" w:noVBand="1"/>
      </w:tblPr>
      <w:tblGrid>
        <w:gridCol w:w="9629"/>
      </w:tblGrid>
      <w:tr w:rsidR="00E03A36" w14:paraId="6199A8C2" w14:textId="77777777" w:rsidTr="00E03A36">
        <w:tc>
          <w:tcPr>
            <w:tcW w:w="9629" w:type="dxa"/>
          </w:tcPr>
          <w:p w14:paraId="7219C4A3" w14:textId="01070B5F" w:rsidR="00E03A36" w:rsidRDefault="00E03A36"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03A36">
              <w:rPr>
                <w:rFonts w:cstheme="minorHAnsi"/>
                <w:szCs w:val="24"/>
              </w:rPr>
              <w:t>TDAG took note of the document showing the mapping engagement with the ITU Academia members. TDAG recommended that BDT continue promoting the membership value proposition to attract more Academia to the work of the ITU-D.</w:t>
            </w:r>
          </w:p>
        </w:tc>
      </w:tr>
    </w:tbl>
    <w:p w14:paraId="637996D3" w14:textId="1370A44B" w:rsidR="0041421F" w:rsidRPr="00B95345" w:rsidRDefault="000F3073" w:rsidP="00756B97">
      <w:pPr>
        <w:pStyle w:val="ListParagraph"/>
        <w:widowControl w:val="0"/>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B95345">
        <w:rPr>
          <w:rFonts w:cstheme="minorHAnsi"/>
          <w:b/>
          <w:szCs w:val="24"/>
        </w:rPr>
        <w:t>Report by the Chairman of the Group on Capacity Building Initiatives (GCBI)</w:t>
      </w:r>
    </w:p>
    <w:p w14:paraId="4EBC1852" w14:textId="45E346DD" w:rsidR="00BC00F5" w:rsidRPr="00A668C0" w:rsidRDefault="00BC00F5"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b/>
          <w:szCs w:val="24"/>
          <w:lang w:val="en-US"/>
        </w:rPr>
      </w:pPr>
      <w:r w:rsidRPr="00A668C0">
        <w:rPr>
          <w:rFonts w:cstheme="minorHAnsi"/>
          <w:b/>
          <w:szCs w:val="24"/>
          <w:lang w:val="en-US"/>
        </w:rPr>
        <w:t xml:space="preserve">Document </w:t>
      </w:r>
      <w:hyperlink r:id="rId59" w:history="1">
        <w:r w:rsidRPr="00A668C0">
          <w:rPr>
            <w:rStyle w:val="Hyperlink"/>
            <w:rFonts w:cstheme="minorHAnsi"/>
            <w:b/>
            <w:szCs w:val="24"/>
            <w:lang w:val="en-US"/>
          </w:rPr>
          <w:t>10(Rev.1)</w:t>
        </w:r>
      </w:hyperlink>
      <w:r w:rsidR="00401AAA" w:rsidRPr="00A668C0">
        <w:rPr>
          <w:rStyle w:val="Hyperlink"/>
          <w:rFonts w:cstheme="minorHAnsi"/>
          <w:b/>
          <w:color w:val="auto"/>
          <w:szCs w:val="24"/>
          <w:u w:val="none"/>
          <w:lang w:val="en-US"/>
        </w:rPr>
        <w:t xml:space="preserve"> </w:t>
      </w:r>
      <w:r w:rsidR="006A2771" w:rsidRPr="00A668C0">
        <w:rPr>
          <w:rStyle w:val="Hyperlink"/>
          <w:rFonts w:cstheme="minorHAnsi"/>
          <w:b/>
          <w:color w:val="auto"/>
          <w:szCs w:val="24"/>
          <w:u w:val="none"/>
          <w:lang w:val="en-US"/>
        </w:rPr>
        <w:t>(Chair, GCBI)</w:t>
      </w:r>
      <w:r w:rsidR="00194C97">
        <w:rPr>
          <w:rStyle w:val="Hyperlink"/>
          <w:rFonts w:cstheme="minorHAnsi"/>
          <w:b/>
          <w:bCs/>
          <w:color w:val="auto"/>
          <w:szCs w:val="24"/>
          <w:u w:val="none"/>
          <w:lang w:val="en-US"/>
        </w:rPr>
        <w:t xml:space="preserve"> - </w:t>
      </w:r>
      <w:r w:rsidR="00194C97" w:rsidRPr="00194C97">
        <w:rPr>
          <w:rStyle w:val="Hyperlink"/>
          <w:rFonts w:cstheme="minorHAnsi"/>
          <w:b/>
          <w:bCs/>
          <w:color w:val="auto"/>
          <w:szCs w:val="24"/>
          <w:u w:val="none"/>
          <w:lang w:val="en-US"/>
        </w:rPr>
        <w:t>Report on the work of the Group on Capacity Building Initiatives (GCBI) to TDAG</w:t>
      </w:r>
    </w:p>
    <w:p w14:paraId="3B898551" w14:textId="17B70E32" w:rsidR="0029774D" w:rsidRPr="00B95345" w:rsidRDefault="0029774D" w:rsidP="00E03A36">
      <w:pPr>
        <w:pStyle w:val="CEONormal"/>
        <w:widowControl w:val="0"/>
        <w:rPr>
          <w:rFonts w:asciiTheme="minorHAnsi" w:hAnsiTheme="minorHAnsi" w:cstheme="minorHAnsi"/>
          <w:sz w:val="24"/>
          <w:szCs w:val="24"/>
          <w:lang w:val="en-US"/>
        </w:rPr>
      </w:pPr>
      <w:r w:rsidRPr="00B95345">
        <w:rPr>
          <w:rFonts w:asciiTheme="minorHAnsi" w:hAnsiTheme="minorHAnsi" w:cstheme="minorHAnsi"/>
          <w:sz w:val="24"/>
          <w:szCs w:val="24"/>
          <w:lang w:val="en-US"/>
        </w:rPr>
        <w:t xml:space="preserve">The Chair of GCBI presented the document. He first introduced himself as the new Chair of the Group, following the start of a new cycle (2023-2026), which also includes new members. The GCBI’s main role is to provide advice to the BDT Director concerning capacity development activities, with the objective of achieving the goals of the Kigali Action Plan. Two meetings were held over the past year, one virtual and one physical meeting in Geneva. During those meetings, GCBI members established a work plan for the ongoing cycle, including building a common understanding of ITU capacity development work amongst members as the basis for providing </w:t>
      </w:r>
      <w:r w:rsidRPr="00B95345">
        <w:rPr>
          <w:rFonts w:asciiTheme="minorHAnsi" w:hAnsiTheme="minorHAnsi" w:cstheme="minorHAnsi"/>
          <w:sz w:val="24"/>
          <w:szCs w:val="24"/>
          <w:lang w:val="en-US"/>
        </w:rPr>
        <w:lastRenderedPageBreak/>
        <w:t xml:space="preserve">fruitful advice, and identifying a few key strategic interventions that have the potential to impact the work of the BDT in capacity development. Among the latter, the Group identified AI as a core topic to further expand BDT’s training portfolio and support Member States </w:t>
      </w:r>
      <w:r w:rsidR="00EE58C2">
        <w:rPr>
          <w:rFonts w:asciiTheme="minorHAnsi" w:hAnsiTheme="minorHAnsi" w:cstheme="minorHAnsi"/>
          <w:sz w:val="24"/>
          <w:szCs w:val="24"/>
          <w:lang w:val="en-US"/>
        </w:rPr>
        <w:t xml:space="preserve">as they endeavor </w:t>
      </w:r>
      <w:r w:rsidRPr="00B95345">
        <w:rPr>
          <w:rFonts w:asciiTheme="minorHAnsi" w:hAnsiTheme="minorHAnsi" w:cstheme="minorHAnsi"/>
          <w:sz w:val="24"/>
          <w:szCs w:val="24"/>
          <w:lang w:val="en-US"/>
        </w:rPr>
        <w:t xml:space="preserve">to understand the type of AI they could </w:t>
      </w:r>
      <w:r w:rsidR="008E51A1">
        <w:rPr>
          <w:rFonts w:asciiTheme="minorHAnsi" w:hAnsiTheme="minorHAnsi" w:cstheme="minorHAnsi"/>
          <w:sz w:val="24"/>
          <w:szCs w:val="24"/>
          <w:lang w:val="en-US"/>
        </w:rPr>
        <w:t>employ</w:t>
      </w:r>
      <w:r w:rsidRPr="00B95345">
        <w:rPr>
          <w:rFonts w:asciiTheme="minorHAnsi" w:hAnsiTheme="minorHAnsi" w:cstheme="minorHAnsi"/>
          <w:sz w:val="24"/>
          <w:szCs w:val="24"/>
          <w:lang w:val="en-US"/>
        </w:rPr>
        <w:t xml:space="preserve"> and </w:t>
      </w:r>
      <w:r w:rsidR="009A6FD1">
        <w:rPr>
          <w:rFonts w:asciiTheme="minorHAnsi" w:hAnsiTheme="minorHAnsi" w:cstheme="minorHAnsi"/>
          <w:sz w:val="24"/>
          <w:szCs w:val="24"/>
          <w:lang w:val="en-US"/>
        </w:rPr>
        <w:t xml:space="preserve">to gain </w:t>
      </w:r>
      <w:r w:rsidRPr="00B95345">
        <w:rPr>
          <w:rFonts w:asciiTheme="minorHAnsi" w:hAnsiTheme="minorHAnsi" w:cstheme="minorHAnsi"/>
          <w:sz w:val="24"/>
          <w:szCs w:val="24"/>
          <w:lang w:val="en-US"/>
        </w:rPr>
        <w:t>a better appreciation of the potential and threats of AI.</w:t>
      </w:r>
    </w:p>
    <w:p w14:paraId="47E4E9E2" w14:textId="6341025C" w:rsidR="00BC00F5" w:rsidRDefault="0029774D" w:rsidP="00E03A36">
      <w:pPr>
        <w:pStyle w:val="CEONormal"/>
        <w:widowControl w:val="0"/>
        <w:rPr>
          <w:rFonts w:asciiTheme="minorHAnsi" w:hAnsiTheme="minorHAnsi" w:cstheme="minorHAnsi"/>
          <w:sz w:val="24"/>
          <w:szCs w:val="24"/>
          <w:lang w:val="en-US"/>
        </w:rPr>
      </w:pPr>
      <w:r w:rsidRPr="00B95345">
        <w:rPr>
          <w:rFonts w:asciiTheme="minorHAnsi" w:hAnsiTheme="minorHAnsi" w:cstheme="minorHAnsi"/>
          <w:sz w:val="24"/>
          <w:szCs w:val="24"/>
          <w:lang w:val="en-US"/>
        </w:rPr>
        <w:t xml:space="preserve">TDAG congratulated the Chair in </w:t>
      </w:r>
      <w:r w:rsidR="009A6FD1">
        <w:rPr>
          <w:rFonts w:asciiTheme="minorHAnsi" w:hAnsiTheme="minorHAnsi" w:cstheme="minorHAnsi"/>
          <w:sz w:val="24"/>
          <w:szCs w:val="24"/>
          <w:lang w:val="en-US"/>
        </w:rPr>
        <w:t>his</w:t>
      </w:r>
      <w:r w:rsidRPr="00B95345">
        <w:rPr>
          <w:rFonts w:asciiTheme="minorHAnsi" w:hAnsiTheme="minorHAnsi" w:cstheme="minorHAnsi"/>
          <w:sz w:val="24"/>
          <w:szCs w:val="24"/>
          <w:lang w:val="en-US"/>
        </w:rPr>
        <w:t xml:space="preserve"> new role and appreciated the work of GCB</w:t>
      </w:r>
      <w:r w:rsidR="002A73FD" w:rsidRPr="00B95345">
        <w:rPr>
          <w:rFonts w:asciiTheme="minorHAnsi" w:hAnsiTheme="minorHAnsi" w:cstheme="minorHAnsi"/>
          <w:sz w:val="24"/>
          <w:szCs w:val="24"/>
          <w:lang w:val="en-US"/>
        </w:rPr>
        <w:t>, stressing</w:t>
      </w:r>
      <w:r w:rsidR="00B45BFF">
        <w:rPr>
          <w:rFonts w:asciiTheme="minorHAnsi" w:hAnsiTheme="minorHAnsi" w:cstheme="minorHAnsi"/>
          <w:sz w:val="24"/>
          <w:szCs w:val="24"/>
          <w:lang w:val="en-US"/>
        </w:rPr>
        <w:t xml:space="preserve"> </w:t>
      </w:r>
      <w:r w:rsidR="002A73FD" w:rsidRPr="00B95345">
        <w:rPr>
          <w:rFonts w:asciiTheme="minorHAnsi" w:hAnsiTheme="minorHAnsi" w:cstheme="minorHAnsi"/>
          <w:sz w:val="24"/>
          <w:szCs w:val="24"/>
          <w:lang w:val="en-US"/>
        </w:rPr>
        <w:t>the</w:t>
      </w:r>
      <w:r w:rsidRPr="00B95345">
        <w:rPr>
          <w:rFonts w:asciiTheme="minorHAnsi" w:hAnsiTheme="minorHAnsi" w:cstheme="minorHAnsi"/>
          <w:sz w:val="24"/>
          <w:szCs w:val="24"/>
          <w:lang w:val="en-US"/>
        </w:rPr>
        <w:t xml:space="preserve"> importance to also collaborate with the other ITU sectors in the field of capacity development as they are also implementing work that </w:t>
      </w:r>
      <w:r w:rsidR="002A4474">
        <w:rPr>
          <w:rFonts w:asciiTheme="minorHAnsi" w:hAnsiTheme="minorHAnsi" w:cstheme="minorHAnsi"/>
          <w:sz w:val="24"/>
          <w:szCs w:val="24"/>
          <w:lang w:val="en-US"/>
        </w:rPr>
        <w:t>helps</w:t>
      </w:r>
      <w:r w:rsidR="00B45BFF">
        <w:rPr>
          <w:rFonts w:asciiTheme="minorHAnsi" w:hAnsiTheme="minorHAnsi" w:cstheme="minorHAnsi"/>
          <w:sz w:val="24"/>
          <w:szCs w:val="24"/>
          <w:lang w:val="en-US"/>
        </w:rPr>
        <w:t xml:space="preserve"> </w:t>
      </w:r>
      <w:r w:rsidRPr="00B95345">
        <w:rPr>
          <w:rFonts w:asciiTheme="minorHAnsi" w:hAnsiTheme="minorHAnsi" w:cstheme="minorHAnsi"/>
          <w:sz w:val="24"/>
          <w:szCs w:val="24"/>
          <w:lang w:val="en-US"/>
        </w:rPr>
        <w:t xml:space="preserve">address the digital skills gap. </w:t>
      </w:r>
    </w:p>
    <w:tbl>
      <w:tblPr>
        <w:tblStyle w:val="TableGrid"/>
        <w:tblW w:w="0" w:type="auto"/>
        <w:tblLook w:val="04A0" w:firstRow="1" w:lastRow="0" w:firstColumn="1" w:lastColumn="0" w:noHBand="0" w:noVBand="1"/>
      </w:tblPr>
      <w:tblGrid>
        <w:gridCol w:w="9629"/>
      </w:tblGrid>
      <w:tr w:rsidR="00E03A36" w14:paraId="32DD8BD1" w14:textId="77777777" w:rsidTr="00E03A36">
        <w:tc>
          <w:tcPr>
            <w:tcW w:w="9629" w:type="dxa"/>
          </w:tcPr>
          <w:p w14:paraId="10E81796" w14:textId="3AD41580" w:rsidR="00E03A36" w:rsidRDefault="00E03A36" w:rsidP="00E03A36">
            <w:pPr>
              <w:pStyle w:val="CEONormal"/>
              <w:widowControl w:val="0"/>
              <w:rPr>
                <w:rFonts w:asciiTheme="minorHAnsi" w:hAnsiTheme="minorHAnsi" w:cstheme="minorHAnsi"/>
                <w:sz w:val="24"/>
                <w:szCs w:val="24"/>
                <w:lang w:val="en-US"/>
              </w:rPr>
            </w:pPr>
            <w:r w:rsidRPr="00E03A36">
              <w:rPr>
                <w:rFonts w:asciiTheme="minorHAnsi" w:hAnsiTheme="minorHAnsi" w:cstheme="minorHAnsi"/>
                <w:sz w:val="24"/>
                <w:szCs w:val="24"/>
                <w:lang w:val="en-US"/>
              </w:rPr>
              <w:t>TDAG thanked the GCBI for its continued work and took note of the document which included results of the GCBI's first virtual meeting on 29 November 2023 and its annual meeting on 16-18 April 2024. The work focused on enhancing the effectiveness of capacity development initiatives, scaling successful programs, and emphasizing the importance of digital skills and AI training.</w:t>
            </w:r>
          </w:p>
        </w:tc>
      </w:tr>
    </w:tbl>
    <w:p w14:paraId="09E1A4A5" w14:textId="50C293A1" w:rsidR="000C0CD5" w:rsidRPr="00B95345" w:rsidRDefault="000C0CD5" w:rsidP="00756B97">
      <w:pPr>
        <w:pStyle w:val="ListParagraph"/>
        <w:widowControl w:val="0"/>
        <w:numPr>
          <w:ilvl w:val="0"/>
          <w:numId w:val="1"/>
        </w:numPr>
        <w:tabs>
          <w:tab w:val="clear" w:pos="1871"/>
          <w:tab w:val="left" w:pos="567"/>
          <w:tab w:val="left" w:pos="1701"/>
        </w:tabs>
        <w:spacing w:after="120"/>
        <w:ind w:left="567" w:hanging="567"/>
        <w:contextualSpacing w:val="0"/>
        <w:textAlignment w:val="auto"/>
        <w:rPr>
          <w:rFonts w:cstheme="minorHAnsi"/>
          <w:b/>
          <w:bCs/>
          <w:szCs w:val="24"/>
        </w:rPr>
      </w:pPr>
      <w:r w:rsidRPr="00B95345">
        <w:rPr>
          <w:rFonts w:cstheme="minorHAnsi"/>
          <w:b/>
          <w:szCs w:val="24"/>
        </w:rPr>
        <w:t>Preparations for WTDC-25</w:t>
      </w:r>
    </w:p>
    <w:p w14:paraId="618D2223" w14:textId="5A3F6739" w:rsidR="006637C0" w:rsidRPr="00E062E1" w:rsidRDefault="006637C0" w:rsidP="00E03A36">
      <w:pPr>
        <w:widowControl w:val="0"/>
        <w:spacing w:after="120"/>
        <w:rPr>
          <w:rStyle w:val="Hyperlink"/>
          <w:rFonts w:cstheme="minorHAnsi"/>
          <w:b/>
          <w:color w:val="auto"/>
          <w:szCs w:val="24"/>
          <w:u w:val="none"/>
          <w:lang w:val="en-US"/>
        </w:rPr>
      </w:pPr>
      <w:r w:rsidRPr="00CF1889">
        <w:rPr>
          <w:rFonts w:cstheme="minorHAnsi"/>
          <w:b/>
          <w:szCs w:val="24"/>
          <w:lang w:val="en-US"/>
        </w:rPr>
        <w:t xml:space="preserve">Document </w:t>
      </w:r>
      <w:hyperlink r:id="rId60" w:history="1">
        <w:r w:rsidRPr="00CF1889">
          <w:rPr>
            <w:rStyle w:val="Hyperlink"/>
            <w:rFonts w:cstheme="minorHAnsi"/>
            <w:b/>
            <w:szCs w:val="24"/>
            <w:lang w:val="en-US"/>
          </w:rPr>
          <w:t>23(Rev.1)</w:t>
        </w:r>
      </w:hyperlink>
      <w:r w:rsidRPr="00CF1889">
        <w:rPr>
          <w:rStyle w:val="Hyperlink"/>
          <w:rFonts w:cstheme="minorHAnsi"/>
          <w:b/>
          <w:color w:val="auto"/>
          <w:szCs w:val="24"/>
          <w:u w:val="none"/>
          <w:lang w:val="en-US"/>
        </w:rPr>
        <w:t xml:space="preserve"> (Director, BDT)</w:t>
      </w:r>
      <w:r w:rsidR="00194C97" w:rsidRPr="00CF1889">
        <w:rPr>
          <w:rStyle w:val="Hyperlink"/>
          <w:rFonts w:cstheme="minorHAnsi"/>
          <w:b/>
          <w:color w:val="auto"/>
          <w:szCs w:val="24"/>
          <w:u w:val="none"/>
          <w:lang w:val="en-US"/>
        </w:rPr>
        <w:t xml:space="preserve"> - </w:t>
      </w:r>
      <w:r w:rsidR="00CF1889" w:rsidRPr="00CF1889">
        <w:rPr>
          <w:rStyle w:val="Hyperlink"/>
          <w:rFonts w:cstheme="minorHAnsi"/>
          <w:b/>
          <w:bCs/>
          <w:color w:val="auto"/>
          <w:szCs w:val="24"/>
          <w:u w:val="none"/>
          <w:lang w:val="en-US"/>
        </w:rPr>
        <w:t>Preparations for the 2025 World Telecommunication Development Conference (WTDC-25)</w:t>
      </w:r>
    </w:p>
    <w:p w14:paraId="6E50BE81" w14:textId="32DE2384" w:rsidR="00745CFC" w:rsidRPr="00B95345" w:rsidRDefault="00745CFC" w:rsidP="00E03A36">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This document contains a summary of the preparations</w:t>
      </w:r>
      <w:r w:rsidR="0084386B">
        <w:rPr>
          <w:rStyle w:val="Hyperlink"/>
          <w:rFonts w:cstheme="minorHAnsi"/>
          <w:color w:val="auto"/>
          <w:szCs w:val="24"/>
          <w:u w:val="none"/>
          <w:lang w:val="en-US"/>
        </w:rPr>
        <w:t xml:space="preserve"> to date </w:t>
      </w:r>
      <w:r w:rsidRPr="00B95345">
        <w:rPr>
          <w:rStyle w:val="Hyperlink"/>
          <w:rFonts w:cstheme="minorHAnsi"/>
          <w:color w:val="auto"/>
          <w:szCs w:val="24"/>
          <w:u w:val="none"/>
          <w:lang w:val="en-US"/>
        </w:rPr>
        <w:t>for WTDC-25.</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It includes</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 xml:space="preserve">contacts with potential host countries, </w:t>
      </w:r>
      <w:proofErr w:type="gramStart"/>
      <w:r w:rsidRPr="00B95345">
        <w:rPr>
          <w:rStyle w:val="Hyperlink"/>
          <w:rFonts w:cstheme="minorHAnsi"/>
          <w:color w:val="auto"/>
          <w:szCs w:val="24"/>
          <w:u w:val="none"/>
          <w:lang w:val="en-US"/>
        </w:rPr>
        <w:t>in particular</w:t>
      </w:r>
      <w:proofErr w:type="gramEnd"/>
      <w:r w:rsidRPr="00B95345">
        <w:rPr>
          <w:rStyle w:val="Hyperlink"/>
          <w:rFonts w:cstheme="minorHAnsi"/>
          <w:color w:val="auto"/>
          <w:szCs w:val="24"/>
          <w:u w:val="none"/>
          <w:lang w:val="en-US"/>
        </w:rPr>
        <w:t xml:space="preserve"> the candidature by Azerbaijan, who proposes to hold the conference in Baku, from 17-28 November 2025.</w:t>
      </w:r>
    </w:p>
    <w:p w14:paraId="4B40064D" w14:textId="7F566282" w:rsidR="00745CFC" w:rsidRPr="00B95345" w:rsidRDefault="00745CFC" w:rsidP="00E03A36">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The document also </w:t>
      </w:r>
      <w:r w:rsidR="00D7696B" w:rsidRPr="00B95345">
        <w:rPr>
          <w:rStyle w:val="Hyperlink"/>
          <w:rFonts w:cstheme="minorHAnsi"/>
          <w:color w:val="auto"/>
          <w:szCs w:val="24"/>
          <w:u w:val="none"/>
          <w:lang w:val="en-US"/>
        </w:rPr>
        <w:t xml:space="preserve">summarized </w:t>
      </w:r>
      <w:r w:rsidRPr="00B95345">
        <w:rPr>
          <w:rStyle w:val="Hyperlink"/>
          <w:rFonts w:cstheme="minorHAnsi"/>
          <w:color w:val="auto"/>
          <w:szCs w:val="24"/>
          <w:u w:val="none"/>
          <w:lang w:val="en-US"/>
        </w:rPr>
        <w:t>the dates retained for the Regional Preparatory Meetings (RPMs) in each of the regions, for the RPM Coordination Meeting and for the Inter-regional Meetings.</w:t>
      </w:r>
    </w:p>
    <w:p w14:paraId="1C7453A2" w14:textId="2A4C42DC" w:rsidR="0023642D" w:rsidRPr="00B95345" w:rsidRDefault="00DB737F" w:rsidP="00E03A36">
      <w:pPr>
        <w:widowControl w:val="0"/>
        <w:spacing w:after="120"/>
        <w:rPr>
          <w:rStyle w:val="Hyperlink"/>
          <w:rFonts w:cstheme="minorHAnsi"/>
          <w:color w:val="auto"/>
          <w:szCs w:val="24"/>
          <w:u w:val="none"/>
          <w:lang w:val="en-US"/>
        </w:rPr>
      </w:pPr>
      <w:r>
        <w:rPr>
          <w:rStyle w:val="Hyperlink"/>
          <w:rFonts w:cstheme="minorHAnsi"/>
          <w:color w:val="auto"/>
          <w:szCs w:val="24"/>
          <w:u w:val="none"/>
          <w:lang w:val="en-US"/>
        </w:rPr>
        <w:t xml:space="preserve">Its contents are the same as presented in Council </w:t>
      </w:r>
      <w:r w:rsidR="008362C5" w:rsidRPr="00B95345">
        <w:rPr>
          <w:rStyle w:val="Hyperlink"/>
          <w:rFonts w:cstheme="minorHAnsi"/>
          <w:color w:val="auto"/>
          <w:szCs w:val="24"/>
          <w:u w:val="none"/>
          <w:lang w:val="en-US"/>
        </w:rPr>
        <w:t>D</w:t>
      </w:r>
      <w:r w:rsidR="00FB5C7E" w:rsidRPr="00B95345">
        <w:rPr>
          <w:rStyle w:val="Hyperlink"/>
          <w:rFonts w:cstheme="minorHAnsi"/>
          <w:color w:val="auto"/>
          <w:szCs w:val="24"/>
          <w:u w:val="none"/>
          <w:lang w:val="en-US"/>
        </w:rPr>
        <w:t>ocument C</w:t>
      </w:r>
      <w:r w:rsidR="008362C5" w:rsidRPr="00B95345">
        <w:rPr>
          <w:rStyle w:val="Hyperlink"/>
          <w:rFonts w:cstheme="minorHAnsi"/>
          <w:color w:val="auto"/>
          <w:szCs w:val="24"/>
          <w:u w:val="none"/>
          <w:lang w:val="en-US"/>
        </w:rPr>
        <w:t>-</w:t>
      </w:r>
      <w:r w:rsidR="00FB5C7E" w:rsidRPr="00B95345">
        <w:rPr>
          <w:rStyle w:val="Hyperlink"/>
          <w:rFonts w:cstheme="minorHAnsi"/>
          <w:color w:val="auto"/>
          <w:szCs w:val="24"/>
          <w:u w:val="none"/>
          <w:lang w:val="en-US"/>
        </w:rPr>
        <w:t xml:space="preserve">24/30 </w:t>
      </w:r>
      <w:r w:rsidR="00370515">
        <w:rPr>
          <w:rStyle w:val="Hyperlink"/>
          <w:rFonts w:cstheme="minorHAnsi"/>
          <w:color w:val="auto"/>
          <w:szCs w:val="24"/>
          <w:u w:val="none"/>
          <w:lang w:val="en-US"/>
        </w:rPr>
        <w:t xml:space="preserve">which </w:t>
      </w:r>
      <w:r w:rsidR="00FB5C7E" w:rsidRPr="00B95345">
        <w:rPr>
          <w:rStyle w:val="Hyperlink"/>
          <w:rFonts w:cstheme="minorHAnsi"/>
          <w:color w:val="auto"/>
          <w:szCs w:val="24"/>
          <w:u w:val="none"/>
          <w:lang w:val="en-US"/>
        </w:rPr>
        <w:t xml:space="preserve">seeks Council approval for the place and date </w:t>
      </w:r>
      <w:r w:rsidR="008362C5" w:rsidRPr="00B95345">
        <w:rPr>
          <w:rStyle w:val="Hyperlink"/>
          <w:rFonts w:cstheme="minorHAnsi"/>
          <w:color w:val="auto"/>
          <w:szCs w:val="24"/>
          <w:u w:val="none"/>
          <w:lang w:val="en-US"/>
        </w:rPr>
        <w:t>of WTDC-25</w:t>
      </w:r>
      <w:r w:rsidR="00FB5C7E" w:rsidRPr="00B95345">
        <w:rPr>
          <w:rStyle w:val="Hyperlink"/>
          <w:rFonts w:cstheme="minorHAnsi"/>
          <w:color w:val="auto"/>
          <w:szCs w:val="24"/>
          <w:u w:val="none"/>
          <w:lang w:val="en-US"/>
        </w:rPr>
        <w:t xml:space="preserve">. </w:t>
      </w:r>
    </w:p>
    <w:p w14:paraId="0C00DA46" w14:textId="4F5F7766" w:rsidR="00EC44C5" w:rsidRPr="00B95345" w:rsidRDefault="00F06D01" w:rsidP="00E03A36">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Azerbaijan </w:t>
      </w:r>
      <w:r w:rsidR="00F90AF4" w:rsidRPr="00B95345">
        <w:rPr>
          <w:rStyle w:val="Hyperlink"/>
          <w:rFonts w:cstheme="minorHAnsi"/>
          <w:color w:val="auto"/>
          <w:szCs w:val="24"/>
          <w:u w:val="none"/>
          <w:lang w:val="en-US"/>
        </w:rPr>
        <w:t>reiterate</w:t>
      </w:r>
      <w:r w:rsidR="008E295C" w:rsidRPr="00B95345">
        <w:rPr>
          <w:rStyle w:val="Hyperlink"/>
          <w:rFonts w:cstheme="minorHAnsi"/>
          <w:color w:val="auto"/>
          <w:szCs w:val="24"/>
          <w:u w:val="none"/>
          <w:lang w:val="en-US"/>
        </w:rPr>
        <w:t>d</w:t>
      </w:r>
      <w:r w:rsidR="00F90AF4" w:rsidRPr="00B95345">
        <w:rPr>
          <w:rStyle w:val="Hyperlink"/>
          <w:rFonts w:cstheme="minorHAnsi"/>
          <w:color w:val="auto"/>
          <w:szCs w:val="24"/>
          <w:u w:val="none"/>
          <w:lang w:val="en-US"/>
        </w:rPr>
        <w:t xml:space="preserve"> their </w:t>
      </w:r>
      <w:r w:rsidR="00715D49" w:rsidRPr="00B95345">
        <w:rPr>
          <w:rStyle w:val="Hyperlink"/>
          <w:rFonts w:cstheme="minorHAnsi"/>
          <w:color w:val="auto"/>
          <w:szCs w:val="24"/>
          <w:u w:val="none"/>
          <w:lang w:val="en-US"/>
        </w:rPr>
        <w:t xml:space="preserve">commitment to hosting WTDC-25 in Baku, </w:t>
      </w:r>
      <w:r w:rsidR="00027D1B" w:rsidRPr="00B95345">
        <w:rPr>
          <w:rStyle w:val="Hyperlink"/>
          <w:rFonts w:cstheme="minorHAnsi"/>
          <w:color w:val="auto"/>
          <w:szCs w:val="24"/>
          <w:u w:val="none"/>
          <w:lang w:val="en-US"/>
        </w:rPr>
        <w:t xml:space="preserve">extending a warm </w:t>
      </w:r>
      <w:r w:rsidR="00715D49" w:rsidRPr="00B95345">
        <w:rPr>
          <w:rStyle w:val="Hyperlink"/>
          <w:rFonts w:cstheme="minorHAnsi"/>
          <w:color w:val="auto"/>
          <w:szCs w:val="24"/>
          <w:u w:val="none"/>
          <w:lang w:val="en-US"/>
        </w:rPr>
        <w:t>invit</w:t>
      </w:r>
      <w:r w:rsidR="00027D1B" w:rsidRPr="00B95345">
        <w:rPr>
          <w:rStyle w:val="Hyperlink"/>
          <w:rFonts w:cstheme="minorHAnsi"/>
          <w:color w:val="auto"/>
          <w:szCs w:val="24"/>
          <w:u w:val="none"/>
          <w:lang w:val="en-US"/>
        </w:rPr>
        <w:t xml:space="preserve">ation to </w:t>
      </w:r>
      <w:r w:rsidR="00715D49" w:rsidRPr="00B95345">
        <w:rPr>
          <w:rStyle w:val="Hyperlink"/>
          <w:rFonts w:cstheme="minorHAnsi"/>
          <w:color w:val="auto"/>
          <w:szCs w:val="24"/>
          <w:u w:val="none"/>
          <w:lang w:val="en-US"/>
        </w:rPr>
        <w:t xml:space="preserve">all TDAG participants to Azerbaijan. </w:t>
      </w:r>
    </w:p>
    <w:p w14:paraId="55661CA8" w14:textId="0E608BFF" w:rsidR="006D3CAE" w:rsidRPr="00B95345" w:rsidRDefault="006D3CAE" w:rsidP="00E03A36">
      <w:pPr>
        <w:widowControl w:val="0"/>
        <w:tabs>
          <w:tab w:val="clear" w:pos="794"/>
          <w:tab w:val="clear" w:pos="1191"/>
          <w:tab w:val="clear" w:pos="1588"/>
          <w:tab w:val="clear" w:pos="1985"/>
          <w:tab w:val="left" w:pos="567"/>
          <w:tab w:val="left" w:pos="1134"/>
          <w:tab w:val="left" w:pos="1701"/>
          <w:tab w:val="left" w:pos="2268"/>
        </w:tabs>
        <w:spacing w:after="120"/>
        <w:rPr>
          <w:rFonts w:cstheme="minorHAnsi"/>
          <w:szCs w:val="24"/>
          <w:lang w:val="en-US"/>
        </w:rPr>
      </w:pPr>
      <w:r w:rsidRPr="00B95345">
        <w:rPr>
          <w:rFonts w:cstheme="minorHAnsi"/>
          <w:szCs w:val="24"/>
          <w:lang w:val="en-US"/>
        </w:rPr>
        <w:t>At its 202</w:t>
      </w:r>
      <w:r w:rsidR="005E3658">
        <w:rPr>
          <w:rFonts w:cstheme="minorHAnsi"/>
          <w:szCs w:val="24"/>
          <w:lang w:val="en-US"/>
        </w:rPr>
        <w:t>4</w:t>
      </w:r>
      <w:r w:rsidRPr="00B95345">
        <w:rPr>
          <w:rFonts w:cstheme="minorHAnsi"/>
          <w:szCs w:val="24"/>
          <w:lang w:val="en-US"/>
        </w:rPr>
        <w:t xml:space="preserve"> meeting, TDAG created two working groups to start the preparations for WTDC-25:</w:t>
      </w:r>
    </w:p>
    <w:p w14:paraId="0BB2B52E" w14:textId="6CD41493" w:rsidR="007F2E82" w:rsidRPr="00B95345" w:rsidRDefault="007F2E82" w:rsidP="00E03A36">
      <w:pPr>
        <w:widowControl w:val="0"/>
        <w:spacing w:after="120"/>
        <w:ind w:left="359"/>
        <w:rPr>
          <w:rFonts w:cstheme="minorHAnsi"/>
          <w:szCs w:val="24"/>
        </w:rPr>
      </w:pPr>
      <w:r w:rsidRPr="00B95345">
        <w:rPr>
          <w:rFonts w:cstheme="minorHAnsi"/>
          <w:bCs/>
          <w:szCs w:val="24"/>
        </w:rPr>
        <w:t>Working Group on the Declaration (TDAG-WG-DEC)</w:t>
      </w:r>
      <w:r w:rsidRPr="00B95345">
        <w:rPr>
          <w:rFonts w:cstheme="minorHAnsi"/>
          <w:b/>
          <w:szCs w:val="24"/>
        </w:rPr>
        <w:br/>
      </w:r>
      <w:r w:rsidRPr="00B95345">
        <w:rPr>
          <w:rFonts w:cstheme="minorHAnsi"/>
          <w:szCs w:val="24"/>
        </w:rPr>
        <w:t xml:space="preserve">Chair: Abdulkarim Oloyede (Nigeria) </w:t>
      </w:r>
      <w:r w:rsidRPr="00B95345">
        <w:rPr>
          <w:rFonts w:cstheme="minorHAnsi"/>
          <w:szCs w:val="24"/>
        </w:rPr>
        <w:br/>
        <w:t>Secretary: Sofie Maddens</w:t>
      </w:r>
    </w:p>
    <w:p w14:paraId="61DD6878" w14:textId="0E64AD4B" w:rsidR="007F2E82" w:rsidRPr="00B95345" w:rsidRDefault="007F2E82" w:rsidP="00E03A36">
      <w:pPr>
        <w:widowControl w:val="0"/>
        <w:spacing w:after="120"/>
        <w:ind w:left="359"/>
        <w:rPr>
          <w:rFonts w:cstheme="minorHAnsi"/>
          <w:szCs w:val="24"/>
        </w:rPr>
      </w:pPr>
      <w:r w:rsidRPr="00B95345">
        <w:rPr>
          <w:rFonts w:cstheme="minorHAnsi"/>
          <w:bCs/>
          <w:szCs w:val="24"/>
        </w:rPr>
        <w:t>Working Group on ITU-D Priorities (including the Strategic Plan</w:t>
      </w:r>
      <w:r w:rsidR="004D0087" w:rsidRPr="00B95345">
        <w:rPr>
          <w:rFonts w:cstheme="minorHAnsi"/>
          <w:bCs/>
          <w:szCs w:val="24"/>
        </w:rPr>
        <w:t>)</w:t>
      </w:r>
      <w:r w:rsidRPr="00B95345">
        <w:rPr>
          <w:rFonts w:cstheme="minorHAnsi"/>
          <w:bCs/>
          <w:szCs w:val="24"/>
        </w:rPr>
        <w:t> (TDAG-WG-ITUDP)</w:t>
      </w:r>
      <w:r w:rsidRPr="00B95345">
        <w:rPr>
          <w:rFonts w:cstheme="minorHAnsi"/>
          <w:szCs w:val="24"/>
        </w:rPr>
        <w:t xml:space="preserve"> </w:t>
      </w:r>
      <w:r w:rsidRPr="00B95345">
        <w:rPr>
          <w:rFonts w:cstheme="minorHAnsi"/>
          <w:szCs w:val="24"/>
        </w:rPr>
        <w:br/>
        <w:t>Chair: Christopher Kemei</w:t>
      </w:r>
      <w:r w:rsidR="004D0087" w:rsidRPr="00B95345">
        <w:rPr>
          <w:rFonts w:cstheme="minorHAnsi"/>
          <w:szCs w:val="24"/>
        </w:rPr>
        <w:t xml:space="preserve"> (Kenya)</w:t>
      </w:r>
      <w:r w:rsidRPr="00B95345">
        <w:rPr>
          <w:rFonts w:cstheme="minorHAnsi"/>
          <w:szCs w:val="24"/>
        </w:rPr>
        <w:br/>
        <w:t>Secretary: Marco Obiso</w:t>
      </w:r>
    </w:p>
    <w:p w14:paraId="73592AB9" w14:textId="5735F91A" w:rsidR="007C398A" w:rsidRDefault="001F3882" w:rsidP="00E03A36">
      <w:pPr>
        <w:widowControl w:val="0"/>
        <w:spacing w:after="120"/>
        <w:rPr>
          <w:rFonts w:cstheme="minorHAnsi"/>
          <w:szCs w:val="24"/>
        </w:rPr>
      </w:pPr>
      <w:r w:rsidRPr="00B95345">
        <w:rPr>
          <w:rFonts w:cstheme="minorHAnsi"/>
          <w:szCs w:val="24"/>
        </w:rPr>
        <w:t>The terms of reference f</w:t>
      </w:r>
      <w:r w:rsidR="007F2E82" w:rsidRPr="00B95345">
        <w:rPr>
          <w:rFonts w:cstheme="minorHAnsi"/>
          <w:szCs w:val="24"/>
        </w:rPr>
        <w:t xml:space="preserve">or the two groups </w:t>
      </w:r>
      <w:r w:rsidRPr="00B95345">
        <w:rPr>
          <w:rFonts w:cstheme="minorHAnsi"/>
          <w:szCs w:val="24"/>
        </w:rPr>
        <w:t xml:space="preserve">are presented </w:t>
      </w:r>
      <w:r w:rsidR="007F2E82" w:rsidRPr="00B95345">
        <w:rPr>
          <w:rFonts w:cstheme="minorHAnsi"/>
          <w:szCs w:val="24"/>
        </w:rPr>
        <w:t>for approval</w:t>
      </w:r>
      <w:r w:rsidRPr="00B95345">
        <w:rPr>
          <w:rFonts w:cstheme="minorHAnsi"/>
          <w:szCs w:val="24"/>
        </w:rPr>
        <w:t xml:space="preserve"> in documents </w:t>
      </w:r>
      <w:hyperlink r:id="rId61" w:history="1">
        <w:r w:rsidR="009E0503" w:rsidRPr="00B95345">
          <w:rPr>
            <w:rStyle w:val="Hyperlink"/>
            <w:rFonts w:cstheme="minorHAnsi"/>
            <w:szCs w:val="24"/>
          </w:rPr>
          <w:t>DT/4</w:t>
        </w:r>
      </w:hyperlink>
      <w:r w:rsidR="007818B4">
        <w:rPr>
          <w:rStyle w:val="Hyperlink"/>
          <w:rFonts w:cstheme="minorHAnsi"/>
          <w:szCs w:val="24"/>
        </w:rPr>
        <w:t xml:space="preserve"> </w:t>
      </w:r>
      <w:r w:rsidR="009E0503" w:rsidRPr="00B95345">
        <w:rPr>
          <w:rFonts w:cstheme="minorHAnsi"/>
          <w:szCs w:val="24"/>
        </w:rPr>
        <w:t xml:space="preserve">(Chair, </w:t>
      </w:r>
      <w:r w:rsidR="009E0503" w:rsidRPr="00B95345">
        <w:rPr>
          <w:rFonts w:eastAsia="Verdana" w:cstheme="minorHAnsi"/>
          <w:szCs w:val="24"/>
        </w:rPr>
        <w:t>TDAG-WG-DEC</w:t>
      </w:r>
      <w:r w:rsidR="009E0503" w:rsidRPr="00B95345">
        <w:rPr>
          <w:rFonts w:cstheme="minorHAnsi"/>
          <w:szCs w:val="24"/>
        </w:rPr>
        <w:t>)</w:t>
      </w:r>
      <w:r w:rsidRPr="00B95345">
        <w:rPr>
          <w:rFonts w:cstheme="minorHAnsi"/>
          <w:szCs w:val="24"/>
        </w:rPr>
        <w:t xml:space="preserve"> and </w:t>
      </w:r>
      <w:hyperlink r:id="rId62">
        <w:r w:rsidR="00B219B3" w:rsidRPr="00B95345">
          <w:rPr>
            <w:rStyle w:val="Hyperlink"/>
            <w:rFonts w:cstheme="minorHAnsi"/>
            <w:szCs w:val="24"/>
          </w:rPr>
          <w:t>DT/5(Rev.2)</w:t>
        </w:r>
        <w:r w:rsidR="009E0503" w:rsidRPr="00B95345">
          <w:rPr>
            <w:rStyle w:val="Hyperlink"/>
            <w:rFonts w:cstheme="minorHAnsi"/>
            <w:szCs w:val="24"/>
          </w:rPr>
          <w:t xml:space="preserve"> </w:t>
        </w:r>
      </w:hyperlink>
      <w:r w:rsidR="00B219B3" w:rsidRPr="00B95345">
        <w:rPr>
          <w:rFonts w:cstheme="minorHAnsi"/>
          <w:szCs w:val="24"/>
        </w:rPr>
        <w:t xml:space="preserve">(Chair, </w:t>
      </w:r>
      <w:r w:rsidR="00B219B3" w:rsidRPr="00B95345">
        <w:rPr>
          <w:rFonts w:eastAsia="Verdana" w:cstheme="minorHAnsi"/>
          <w:szCs w:val="24"/>
        </w:rPr>
        <w:t>TDAG-WG-ITUDP</w:t>
      </w:r>
      <w:r w:rsidR="00B219B3" w:rsidRPr="00B95345">
        <w:rPr>
          <w:rFonts w:cstheme="minorHAnsi"/>
          <w:szCs w:val="24"/>
        </w:rPr>
        <w:t>)</w:t>
      </w:r>
      <w:r w:rsidRPr="00B95345">
        <w:rPr>
          <w:rFonts w:cstheme="minorHAnsi"/>
          <w:szCs w:val="24"/>
        </w:rPr>
        <w:t>, respectively</w:t>
      </w:r>
      <w:r w:rsidR="007F2E82" w:rsidRPr="00B95345">
        <w:rPr>
          <w:rFonts w:cstheme="minorHAnsi"/>
          <w:szCs w:val="24"/>
        </w:rPr>
        <w:t>.</w:t>
      </w:r>
    </w:p>
    <w:tbl>
      <w:tblPr>
        <w:tblStyle w:val="TableGrid"/>
        <w:tblW w:w="0" w:type="auto"/>
        <w:tblLook w:val="04A0" w:firstRow="1" w:lastRow="0" w:firstColumn="1" w:lastColumn="0" w:noHBand="0" w:noVBand="1"/>
      </w:tblPr>
      <w:tblGrid>
        <w:gridCol w:w="9629"/>
      </w:tblGrid>
      <w:tr w:rsidR="00E03A36" w14:paraId="79162ECF" w14:textId="77777777" w:rsidTr="00E03A36">
        <w:tc>
          <w:tcPr>
            <w:tcW w:w="9629" w:type="dxa"/>
          </w:tcPr>
          <w:p w14:paraId="6B25A8C0" w14:textId="77777777" w:rsidR="00E03A36" w:rsidRPr="00E03A36" w:rsidRDefault="00E03A36" w:rsidP="00E03A36">
            <w:pPr>
              <w:widowControl w:val="0"/>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noted the document summarizing the WTDC-25 preparations and the proposal to host the conference in Baku, Azerbaijan from 18 to 27 November 2025, subject to the approval of the 2024 session of the ITU Council. Azerbaijan reiterated their commitment to hosting WTDC-25 in Baku, extending a warm invitation to ITU membership to attend the conference. TDAG thanked Azerbaijan for their generous offer to host WTDC-25.</w:t>
            </w:r>
          </w:p>
          <w:p w14:paraId="6A91DE9D" w14:textId="0A3FC387" w:rsidR="00E03A36" w:rsidRDefault="00E03A36" w:rsidP="00E03A36">
            <w:pPr>
              <w:widowControl w:val="0"/>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also noted the dates retained for the Regional Preparatory Meetings (RPMs),</w:t>
            </w:r>
            <w:r w:rsidR="00F75AA7">
              <w:rPr>
                <w:rStyle w:val="Hyperlink"/>
                <w:rFonts w:cstheme="minorHAnsi"/>
                <w:color w:val="auto"/>
                <w:szCs w:val="24"/>
                <w:u w:val="none"/>
                <w:lang w:val="en-US"/>
              </w:rPr>
              <w:t xml:space="preserve"> </w:t>
            </w:r>
            <w:r w:rsidRPr="00E03A36">
              <w:rPr>
                <w:rStyle w:val="Hyperlink"/>
                <w:rFonts w:cstheme="minorHAnsi"/>
                <w:color w:val="auto"/>
                <w:szCs w:val="24"/>
                <w:u w:val="none"/>
                <w:lang w:val="en-US"/>
              </w:rPr>
              <w:t>the RPM Coordination Meeting and the Inter-regional Meetings.</w:t>
            </w:r>
          </w:p>
        </w:tc>
      </w:tr>
    </w:tbl>
    <w:p w14:paraId="4D501423" w14:textId="139410D3" w:rsidR="00C9103B" w:rsidRPr="00CF1889" w:rsidRDefault="00C9103B" w:rsidP="00ED7C2E">
      <w:pPr>
        <w:keepNext/>
        <w:keepLines/>
        <w:widowControl w:val="0"/>
        <w:spacing w:after="120"/>
        <w:rPr>
          <w:rStyle w:val="Hyperlink"/>
          <w:rFonts w:cstheme="minorHAnsi"/>
          <w:b/>
          <w:color w:val="auto"/>
          <w:szCs w:val="24"/>
          <w:u w:val="none"/>
          <w:lang w:val="en-US"/>
        </w:rPr>
      </w:pPr>
      <w:r w:rsidRPr="00CF1889">
        <w:rPr>
          <w:rFonts w:cstheme="minorHAnsi"/>
          <w:b/>
          <w:szCs w:val="24"/>
          <w:lang w:val="en-US"/>
        </w:rPr>
        <w:lastRenderedPageBreak/>
        <w:t xml:space="preserve">Document </w:t>
      </w:r>
      <w:hyperlink r:id="rId63" w:history="1">
        <w:r w:rsidRPr="00CF1889">
          <w:rPr>
            <w:rStyle w:val="Hyperlink"/>
            <w:rFonts w:cstheme="minorHAnsi"/>
            <w:b/>
            <w:szCs w:val="24"/>
            <w:lang w:val="en-US"/>
          </w:rPr>
          <w:t>24</w:t>
        </w:r>
      </w:hyperlink>
      <w:r w:rsidR="00957319" w:rsidRPr="00CF1889">
        <w:rPr>
          <w:rStyle w:val="Hyperlink"/>
          <w:rFonts w:cstheme="minorHAnsi"/>
          <w:b/>
          <w:color w:val="auto"/>
          <w:szCs w:val="24"/>
          <w:u w:val="none"/>
          <w:lang w:val="en-US"/>
        </w:rPr>
        <w:t xml:space="preserve"> </w:t>
      </w:r>
      <w:r w:rsidR="00BD06C2" w:rsidRPr="00CF1889">
        <w:rPr>
          <w:rStyle w:val="Hyperlink"/>
          <w:rFonts w:cstheme="minorHAnsi"/>
          <w:b/>
          <w:color w:val="auto"/>
          <w:szCs w:val="24"/>
          <w:u w:val="none"/>
          <w:lang w:val="en-US"/>
        </w:rPr>
        <w:t>(Director, BDT)</w:t>
      </w:r>
      <w:r w:rsidR="00CF1889">
        <w:rPr>
          <w:rStyle w:val="Hyperlink"/>
          <w:rFonts w:cstheme="minorHAnsi"/>
          <w:b/>
          <w:bCs/>
          <w:color w:val="auto"/>
          <w:szCs w:val="24"/>
          <w:u w:val="none"/>
          <w:lang w:val="en-US"/>
        </w:rPr>
        <w:t xml:space="preserve"> - </w:t>
      </w:r>
      <w:r w:rsidR="008D2BEE" w:rsidRPr="008D2BEE">
        <w:rPr>
          <w:rStyle w:val="Hyperlink"/>
          <w:rFonts w:cstheme="minorHAnsi"/>
          <w:b/>
          <w:bCs/>
          <w:color w:val="auto"/>
          <w:szCs w:val="24"/>
          <w:u w:val="none"/>
          <w:lang w:val="en-US"/>
        </w:rPr>
        <w:t xml:space="preserve">Draft </w:t>
      </w:r>
      <w:r w:rsidR="00733A10">
        <w:rPr>
          <w:rStyle w:val="Hyperlink"/>
          <w:rFonts w:cstheme="minorHAnsi"/>
          <w:b/>
          <w:bCs/>
          <w:color w:val="auto"/>
          <w:szCs w:val="24"/>
          <w:u w:val="none"/>
          <w:lang w:val="en-US"/>
        </w:rPr>
        <w:t>A</w:t>
      </w:r>
      <w:r w:rsidR="008D2BEE" w:rsidRPr="008D2BEE">
        <w:rPr>
          <w:rStyle w:val="Hyperlink"/>
          <w:rFonts w:cstheme="minorHAnsi"/>
          <w:b/>
          <w:bCs/>
          <w:color w:val="auto"/>
          <w:szCs w:val="24"/>
          <w:u w:val="none"/>
          <w:lang w:val="en-US"/>
        </w:rPr>
        <w:t>genda of the 2025 World Telecommunication Development Conference (WTDC-25)</w:t>
      </w:r>
    </w:p>
    <w:p w14:paraId="0D426F70" w14:textId="6E841FAC" w:rsidR="007A367B" w:rsidRPr="00B95345" w:rsidRDefault="007A367B" w:rsidP="00ED7C2E">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This document presented by the BDT Secretariat contained a draft agenda for WTDC-25.</w:t>
      </w:r>
      <w:r w:rsidR="00B45BFF">
        <w:rPr>
          <w:rStyle w:val="Hyperlink"/>
          <w:rFonts w:cstheme="minorHAnsi"/>
          <w:color w:val="auto"/>
          <w:szCs w:val="24"/>
          <w:u w:val="none"/>
          <w:lang w:val="en-US"/>
        </w:rPr>
        <w:t xml:space="preserve"> </w:t>
      </w:r>
    </w:p>
    <w:p w14:paraId="42149179" w14:textId="22C73BBA" w:rsidR="00047BAF" w:rsidRPr="00B95345" w:rsidRDefault="00047BAF" w:rsidP="00ED7C2E">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The Chair asked </w:t>
      </w:r>
      <w:r w:rsidR="002528A4" w:rsidRPr="00B95345">
        <w:rPr>
          <w:rStyle w:val="Hyperlink"/>
          <w:rFonts w:cstheme="minorHAnsi"/>
          <w:color w:val="auto"/>
          <w:szCs w:val="24"/>
          <w:u w:val="none"/>
          <w:lang w:val="en-US"/>
        </w:rPr>
        <w:t>TDAG</w:t>
      </w:r>
      <w:r w:rsidRPr="00B95345">
        <w:rPr>
          <w:rStyle w:val="Hyperlink"/>
          <w:rFonts w:cstheme="minorHAnsi"/>
          <w:color w:val="auto"/>
          <w:szCs w:val="24"/>
          <w:u w:val="none"/>
          <w:lang w:val="en-US"/>
        </w:rPr>
        <w:t xml:space="preserve"> to deliberate on the recommendation it wants to make concerning remote participation at WTDC-25.</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The secretariat will need to discuss internally what the technical issues are and the budgetary input of providing remote participation.</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In addition to this, the legal issues will be discussed during Council.</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There are three options:</w:t>
      </w:r>
    </w:p>
    <w:p w14:paraId="2A1DB982" w14:textId="4D629B93" w:rsidR="00047BAF" w:rsidRPr="00B95345" w:rsidRDefault="00047BAF" w:rsidP="00756B97">
      <w:pPr>
        <w:pStyle w:val="CEONormal"/>
        <w:numPr>
          <w:ilvl w:val="1"/>
          <w:numId w:val="8"/>
        </w:numPr>
        <w:spacing w:before="60" w:after="60"/>
        <w:ind w:left="714" w:hanging="357"/>
        <w:rPr>
          <w:rFonts w:asciiTheme="minorHAnsi" w:hAnsiTheme="minorHAnsi" w:cstheme="minorHAnsi"/>
          <w:sz w:val="24"/>
          <w:szCs w:val="24"/>
        </w:rPr>
      </w:pPr>
      <w:r w:rsidRPr="00B95345">
        <w:rPr>
          <w:rFonts w:asciiTheme="minorHAnsi" w:hAnsiTheme="minorHAnsi" w:cstheme="minorHAnsi"/>
          <w:sz w:val="24"/>
          <w:szCs w:val="24"/>
        </w:rPr>
        <w:t xml:space="preserve">No remote </w:t>
      </w:r>
      <w:proofErr w:type="gramStart"/>
      <w:r w:rsidRPr="00B95345">
        <w:rPr>
          <w:rFonts w:asciiTheme="minorHAnsi" w:hAnsiTheme="minorHAnsi" w:cstheme="minorHAnsi"/>
          <w:sz w:val="24"/>
          <w:szCs w:val="24"/>
        </w:rPr>
        <w:t>participation</w:t>
      </w:r>
      <w:r w:rsidR="006D1B91">
        <w:rPr>
          <w:rFonts w:asciiTheme="minorHAnsi" w:hAnsiTheme="minorHAnsi" w:cstheme="minorHAnsi"/>
          <w:sz w:val="24"/>
          <w:szCs w:val="24"/>
        </w:rPr>
        <w:t>;</w:t>
      </w:r>
      <w:proofErr w:type="gramEnd"/>
    </w:p>
    <w:p w14:paraId="51626EF1" w14:textId="6BD0730B" w:rsidR="00047BAF" w:rsidRPr="00B95345" w:rsidRDefault="00047BAF" w:rsidP="00756B97">
      <w:pPr>
        <w:pStyle w:val="CEONormal"/>
        <w:numPr>
          <w:ilvl w:val="1"/>
          <w:numId w:val="8"/>
        </w:numPr>
        <w:spacing w:before="60" w:after="60"/>
        <w:ind w:left="714" w:hanging="357"/>
        <w:rPr>
          <w:rFonts w:asciiTheme="minorHAnsi" w:hAnsiTheme="minorHAnsi" w:cstheme="minorHAnsi"/>
          <w:sz w:val="24"/>
          <w:szCs w:val="24"/>
        </w:rPr>
      </w:pPr>
      <w:r w:rsidRPr="00B95345">
        <w:rPr>
          <w:rFonts w:asciiTheme="minorHAnsi" w:hAnsiTheme="minorHAnsi" w:cstheme="minorHAnsi"/>
          <w:sz w:val="24"/>
          <w:szCs w:val="24"/>
        </w:rPr>
        <w:t>Passive remote participation: in real time, with registration, on zoom.</w:t>
      </w:r>
      <w:r w:rsidR="00B45BFF">
        <w:rPr>
          <w:rFonts w:asciiTheme="minorHAnsi" w:hAnsiTheme="minorHAnsi" w:cstheme="minorHAnsi"/>
          <w:sz w:val="24"/>
          <w:szCs w:val="24"/>
        </w:rPr>
        <w:t xml:space="preserve"> </w:t>
      </w:r>
      <w:r w:rsidRPr="00B95345">
        <w:rPr>
          <w:rFonts w:asciiTheme="minorHAnsi" w:hAnsiTheme="minorHAnsi" w:cstheme="minorHAnsi"/>
          <w:sz w:val="24"/>
          <w:szCs w:val="24"/>
        </w:rPr>
        <w:t xml:space="preserve">Any input in the meeting is to be through participants physically in the </w:t>
      </w:r>
      <w:proofErr w:type="gramStart"/>
      <w:r w:rsidRPr="00B95345">
        <w:rPr>
          <w:rFonts w:asciiTheme="minorHAnsi" w:hAnsiTheme="minorHAnsi" w:cstheme="minorHAnsi"/>
          <w:sz w:val="24"/>
          <w:szCs w:val="24"/>
        </w:rPr>
        <w:t>room;</w:t>
      </w:r>
      <w:proofErr w:type="gramEnd"/>
    </w:p>
    <w:p w14:paraId="4846EEAA" w14:textId="77777777" w:rsidR="00047BAF" w:rsidRPr="00B95345" w:rsidRDefault="00047BAF" w:rsidP="00756B97">
      <w:pPr>
        <w:pStyle w:val="CEONormal"/>
        <w:numPr>
          <w:ilvl w:val="1"/>
          <w:numId w:val="8"/>
        </w:numPr>
        <w:spacing w:before="60" w:after="60"/>
        <w:ind w:left="714" w:hanging="357"/>
        <w:rPr>
          <w:rFonts w:asciiTheme="minorHAnsi" w:hAnsiTheme="minorHAnsi" w:cstheme="minorHAnsi"/>
          <w:sz w:val="24"/>
          <w:szCs w:val="24"/>
        </w:rPr>
      </w:pPr>
      <w:r w:rsidRPr="00B95345">
        <w:rPr>
          <w:rFonts w:asciiTheme="minorHAnsi" w:hAnsiTheme="minorHAnsi" w:cstheme="minorHAnsi"/>
          <w:sz w:val="24"/>
          <w:szCs w:val="24"/>
        </w:rPr>
        <w:t>Interactive remote participation: as for TDAG-24.</w:t>
      </w:r>
    </w:p>
    <w:p w14:paraId="767E2BBA" w14:textId="08FAD366" w:rsidR="00706306" w:rsidRDefault="00047BAF" w:rsidP="00ED7C2E">
      <w:pPr>
        <w:spacing w:after="120"/>
        <w:rPr>
          <w:rFonts w:cstheme="minorHAnsi"/>
          <w:szCs w:val="24"/>
        </w:rPr>
      </w:pPr>
      <w:r w:rsidRPr="00B95345">
        <w:rPr>
          <w:rFonts w:cstheme="minorHAnsi"/>
          <w:szCs w:val="24"/>
        </w:rPr>
        <w:t xml:space="preserve">TDAG </w:t>
      </w:r>
      <w:r w:rsidR="002453C2">
        <w:rPr>
          <w:rFonts w:cstheme="minorHAnsi"/>
          <w:szCs w:val="24"/>
        </w:rPr>
        <w:t xml:space="preserve">determined </w:t>
      </w:r>
      <w:r w:rsidRPr="00B95345">
        <w:rPr>
          <w:rFonts w:cstheme="minorHAnsi"/>
          <w:szCs w:val="24"/>
        </w:rPr>
        <w:t xml:space="preserve">that </w:t>
      </w:r>
      <w:r w:rsidR="002453C2">
        <w:rPr>
          <w:rFonts w:cstheme="minorHAnsi"/>
          <w:szCs w:val="24"/>
        </w:rPr>
        <w:t xml:space="preserve">as a development conference, </w:t>
      </w:r>
      <w:r w:rsidRPr="00B95345">
        <w:rPr>
          <w:rFonts w:cstheme="minorHAnsi"/>
          <w:szCs w:val="24"/>
        </w:rPr>
        <w:t>WTDC should be as inclusive as possible.</w:t>
      </w:r>
      <w:r w:rsidR="00B45BFF">
        <w:rPr>
          <w:rFonts w:cstheme="minorHAnsi"/>
          <w:szCs w:val="24"/>
        </w:rPr>
        <w:t xml:space="preserve"> </w:t>
      </w:r>
      <w:r w:rsidRPr="00B95345">
        <w:rPr>
          <w:rFonts w:cstheme="minorHAnsi"/>
          <w:szCs w:val="24"/>
        </w:rPr>
        <w:t xml:space="preserve">Also, </w:t>
      </w:r>
      <w:proofErr w:type="gramStart"/>
      <w:r w:rsidRPr="00B95345">
        <w:rPr>
          <w:rFonts w:cstheme="minorHAnsi"/>
          <w:szCs w:val="24"/>
        </w:rPr>
        <w:t>in regard to</w:t>
      </w:r>
      <w:proofErr w:type="gramEnd"/>
      <w:r w:rsidRPr="00B95345">
        <w:rPr>
          <w:rFonts w:cstheme="minorHAnsi"/>
          <w:szCs w:val="24"/>
        </w:rPr>
        <w:t xml:space="preserve"> legal issues, a di</w:t>
      </w:r>
      <w:r w:rsidR="00810A53">
        <w:rPr>
          <w:rFonts w:cstheme="minorHAnsi"/>
          <w:szCs w:val="24"/>
        </w:rPr>
        <w:t xml:space="preserve">stinction should be made </w:t>
      </w:r>
      <w:r w:rsidRPr="00B95345">
        <w:rPr>
          <w:rFonts w:cstheme="minorHAnsi"/>
          <w:szCs w:val="24"/>
        </w:rPr>
        <w:t>between remote participation and remote decision making.</w:t>
      </w:r>
      <w:r w:rsidR="00B45BFF">
        <w:rPr>
          <w:rFonts w:cstheme="minorHAnsi"/>
          <w:szCs w:val="24"/>
        </w:rPr>
        <w:t xml:space="preserve"> </w:t>
      </w:r>
      <w:r w:rsidRPr="00B95345">
        <w:rPr>
          <w:rFonts w:cstheme="minorHAnsi"/>
          <w:szCs w:val="24"/>
        </w:rPr>
        <w:t>Remote participants would need to coordinate closely with participants who will be physically at the Conference.</w:t>
      </w:r>
    </w:p>
    <w:tbl>
      <w:tblPr>
        <w:tblStyle w:val="TableGrid"/>
        <w:tblW w:w="0" w:type="auto"/>
        <w:tblLook w:val="04A0" w:firstRow="1" w:lastRow="0" w:firstColumn="1" w:lastColumn="0" w:noHBand="0" w:noVBand="1"/>
      </w:tblPr>
      <w:tblGrid>
        <w:gridCol w:w="9629"/>
      </w:tblGrid>
      <w:tr w:rsidR="00E03A36" w14:paraId="788C7E7F" w14:textId="77777777" w:rsidTr="00E03A36">
        <w:tc>
          <w:tcPr>
            <w:tcW w:w="9629" w:type="dxa"/>
          </w:tcPr>
          <w:p w14:paraId="32FFF2EF" w14:textId="77777777" w:rsidR="00E03A36" w:rsidRPr="00E03A36" w:rsidRDefault="00E03A36" w:rsidP="00ED7C2E">
            <w:pPr>
              <w:spacing w:after="120"/>
              <w:rPr>
                <w:rStyle w:val="Hyperlink"/>
                <w:rFonts w:cstheme="minorHAnsi"/>
                <w:color w:val="auto"/>
                <w:szCs w:val="24"/>
                <w:u w:val="none"/>
              </w:rPr>
            </w:pPr>
            <w:r w:rsidRPr="00E03A36">
              <w:rPr>
                <w:rStyle w:val="Hyperlink"/>
                <w:rFonts w:cstheme="minorHAnsi"/>
                <w:color w:val="auto"/>
                <w:szCs w:val="24"/>
                <w:u w:val="none"/>
              </w:rPr>
              <w:t>TDAG reviewed the WTDC-25 draft agenda and endorsed its contents with the addition of a specific reference to “regional initiatives” under item 9 for submission to the 2024 session of the ITU Council.</w:t>
            </w:r>
          </w:p>
          <w:p w14:paraId="6543E3F1" w14:textId="201783BB" w:rsidR="00E03A36" w:rsidRDefault="00E03A36" w:rsidP="00ED7C2E">
            <w:pPr>
              <w:spacing w:after="120"/>
              <w:rPr>
                <w:rStyle w:val="Hyperlink"/>
                <w:rFonts w:cstheme="minorHAnsi"/>
                <w:color w:val="auto"/>
                <w:szCs w:val="24"/>
                <w:u w:val="none"/>
              </w:rPr>
            </w:pPr>
            <w:r w:rsidRPr="00E03A36">
              <w:rPr>
                <w:rStyle w:val="Hyperlink"/>
                <w:rFonts w:cstheme="minorHAnsi"/>
                <w:color w:val="auto"/>
                <w:szCs w:val="24"/>
                <w:u w:val="none"/>
              </w:rPr>
              <w:t>TDAG expressed strong support for remote participation at WTDC-25 and requested that the BDT examine the operational and legal implications of various remote participation modalities as well as their impact on the conference success and inclusiveness.</w:t>
            </w:r>
          </w:p>
        </w:tc>
      </w:tr>
    </w:tbl>
    <w:p w14:paraId="56A9B6B1" w14:textId="03A43532" w:rsidR="00C9103B" w:rsidRPr="00AB410B" w:rsidRDefault="00C9103B" w:rsidP="00ED7C2E">
      <w:pPr>
        <w:spacing w:after="120"/>
        <w:rPr>
          <w:rStyle w:val="Hyperlink"/>
          <w:rFonts w:cstheme="minorHAnsi"/>
          <w:b/>
          <w:color w:val="auto"/>
          <w:szCs w:val="24"/>
          <w:u w:val="none"/>
          <w:lang w:val="en-US"/>
        </w:rPr>
      </w:pPr>
      <w:r w:rsidRPr="00F102F6">
        <w:rPr>
          <w:rFonts w:cstheme="minorHAnsi"/>
          <w:b/>
          <w:szCs w:val="24"/>
          <w:lang w:val="en-US"/>
        </w:rPr>
        <w:t xml:space="preserve">Document </w:t>
      </w:r>
      <w:hyperlink r:id="rId64" w:history="1">
        <w:r w:rsidRPr="00F102F6">
          <w:rPr>
            <w:rStyle w:val="Hyperlink"/>
            <w:rFonts w:cstheme="minorHAnsi"/>
            <w:b/>
            <w:szCs w:val="24"/>
            <w:lang w:val="en-US"/>
          </w:rPr>
          <w:t>25</w:t>
        </w:r>
      </w:hyperlink>
      <w:r w:rsidR="00957319" w:rsidRPr="00F102F6">
        <w:rPr>
          <w:rStyle w:val="Hyperlink"/>
          <w:rFonts w:cstheme="minorHAnsi"/>
          <w:b/>
          <w:color w:val="auto"/>
          <w:szCs w:val="24"/>
          <w:u w:val="none"/>
          <w:lang w:val="en-US"/>
        </w:rPr>
        <w:t xml:space="preserve"> </w:t>
      </w:r>
      <w:r w:rsidR="008B3D7B" w:rsidRPr="00F102F6">
        <w:rPr>
          <w:rStyle w:val="Hyperlink"/>
          <w:rFonts w:cstheme="minorHAnsi"/>
          <w:b/>
          <w:color w:val="auto"/>
          <w:szCs w:val="24"/>
          <w:u w:val="none"/>
          <w:lang w:val="en-US"/>
        </w:rPr>
        <w:t>(</w:t>
      </w:r>
      <w:r w:rsidR="008929D3" w:rsidRPr="00F102F6">
        <w:rPr>
          <w:rStyle w:val="Hyperlink"/>
          <w:rFonts w:cstheme="minorHAnsi"/>
          <w:b/>
          <w:color w:val="auto"/>
          <w:szCs w:val="24"/>
          <w:u w:val="none"/>
          <w:lang w:val="en-US"/>
        </w:rPr>
        <w:t>Chair, TDAG-WG-future SGQ</w:t>
      </w:r>
      <w:r w:rsidR="008B3D7B" w:rsidRPr="00F102F6">
        <w:rPr>
          <w:rStyle w:val="Hyperlink"/>
          <w:rFonts w:cstheme="minorHAnsi"/>
          <w:b/>
          <w:color w:val="auto"/>
          <w:szCs w:val="24"/>
          <w:u w:val="none"/>
          <w:lang w:val="en-US"/>
        </w:rPr>
        <w:t>)</w:t>
      </w:r>
      <w:r w:rsidR="008D2BEE" w:rsidRPr="00F102F6">
        <w:rPr>
          <w:rStyle w:val="Hyperlink"/>
          <w:rFonts w:cstheme="minorHAnsi"/>
          <w:b/>
          <w:color w:val="auto"/>
          <w:szCs w:val="24"/>
          <w:u w:val="none"/>
          <w:lang w:val="en-US"/>
        </w:rPr>
        <w:t xml:space="preserve"> - </w:t>
      </w:r>
      <w:r w:rsidR="00F102F6" w:rsidRPr="00F102F6">
        <w:rPr>
          <w:rStyle w:val="Hyperlink"/>
          <w:rFonts w:cstheme="minorHAnsi"/>
          <w:b/>
          <w:bCs/>
          <w:color w:val="auto"/>
          <w:szCs w:val="24"/>
          <w:u w:val="none"/>
          <w:lang w:val="en-US"/>
        </w:rPr>
        <w:t>Progress report on the work of the TDAG-WG-future SGQ, including terms of reference</w:t>
      </w:r>
    </w:p>
    <w:p w14:paraId="1612FEE7" w14:textId="56B7FB11" w:rsidR="00303B92" w:rsidRPr="00B95345" w:rsidRDefault="00ED4C05" w:rsidP="00ED7C2E">
      <w:pPr>
        <w:spacing w:after="120"/>
        <w:rPr>
          <w:rStyle w:val="Hyperlink"/>
          <w:rFonts w:cstheme="minorHAnsi"/>
          <w:color w:val="auto"/>
          <w:szCs w:val="24"/>
          <w:u w:val="none"/>
        </w:rPr>
      </w:pPr>
      <w:r w:rsidRPr="00ED2398">
        <w:rPr>
          <w:rStyle w:val="Hyperlink"/>
          <w:rFonts w:cstheme="minorHAnsi"/>
          <w:color w:val="auto"/>
          <w:szCs w:val="24"/>
          <w:u w:val="none"/>
        </w:rPr>
        <w:t>The Chair</w:t>
      </w:r>
      <w:r w:rsidR="000406C2" w:rsidRPr="00ED2398">
        <w:rPr>
          <w:rStyle w:val="Hyperlink"/>
          <w:rFonts w:cstheme="minorHAnsi"/>
          <w:color w:val="auto"/>
          <w:szCs w:val="24"/>
          <w:u w:val="none"/>
        </w:rPr>
        <w:t xml:space="preserve"> of the Working Group, </w:t>
      </w:r>
      <w:r w:rsidR="00B91220" w:rsidRPr="00ED2398">
        <w:rPr>
          <w:rStyle w:val="Hyperlink"/>
          <w:rFonts w:cstheme="minorHAnsi"/>
          <w:color w:val="auto"/>
          <w:szCs w:val="24"/>
          <w:u w:val="none"/>
        </w:rPr>
        <w:t>Dr Shara</w:t>
      </w:r>
      <w:r w:rsidR="00FB2060" w:rsidRPr="00ED2398">
        <w:rPr>
          <w:rStyle w:val="Hyperlink"/>
          <w:rFonts w:cstheme="minorHAnsi"/>
          <w:color w:val="auto"/>
          <w:szCs w:val="24"/>
          <w:u w:val="none"/>
        </w:rPr>
        <w:t>fa</w:t>
      </w:r>
      <w:r w:rsidR="00B91220" w:rsidRPr="00ED2398">
        <w:rPr>
          <w:rStyle w:val="Hyperlink"/>
          <w:rFonts w:cstheme="minorHAnsi"/>
          <w:color w:val="auto"/>
          <w:szCs w:val="24"/>
          <w:u w:val="none"/>
        </w:rPr>
        <w:t>t</w:t>
      </w:r>
      <w:r w:rsidR="000406C2" w:rsidRPr="00ED2398">
        <w:rPr>
          <w:rStyle w:val="Hyperlink"/>
          <w:rFonts w:cstheme="minorHAnsi"/>
          <w:color w:val="auto"/>
          <w:szCs w:val="24"/>
          <w:u w:val="none"/>
        </w:rPr>
        <w:t>,</w:t>
      </w:r>
      <w:r w:rsidR="00B91220" w:rsidRPr="00B95345">
        <w:rPr>
          <w:rStyle w:val="Hyperlink"/>
          <w:rFonts w:cstheme="minorHAnsi"/>
          <w:color w:val="auto"/>
          <w:szCs w:val="24"/>
          <w:u w:val="none"/>
        </w:rPr>
        <w:t xml:space="preserve"> presented the report on the activities of the TDAG Working Group on the future of Study Group Questions (TDAG-WG-future SGQ). He focused on the terms of reference and a proposed composition of TDAG-WG-future</w:t>
      </w:r>
      <w:r w:rsidR="006E0D31" w:rsidRPr="00B95345">
        <w:rPr>
          <w:rStyle w:val="Hyperlink"/>
          <w:rFonts w:cstheme="minorHAnsi"/>
          <w:color w:val="auto"/>
          <w:szCs w:val="24"/>
          <w:u w:val="none"/>
        </w:rPr>
        <w:t xml:space="preserve"> </w:t>
      </w:r>
      <w:r w:rsidR="00B91220" w:rsidRPr="00B95345">
        <w:rPr>
          <w:rStyle w:val="Hyperlink"/>
          <w:rFonts w:cstheme="minorHAnsi"/>
          <w:color w:val="auto"/>
          <w:szCs w:val="24"/>
          <w:u w:val="none"/>
        </w:rPr>
        <w:t xml:space="preserve">SGQ, agreed in the virtual WG meeting held on 4 March 2024, and requested TDAG for approval of </w:t>
      </w:r>
      <w:r w:rsidR="006E0D31" w:rsidRPr="00B95345">
        <w:rPr>
          <w:rStyle w:val="Hyperlink"/>
          <w:rFonts w:cstheme="minorHAnsi"/>
          <w:color w:val="auto"/>
          <w:szCs w:val="24"/>
          <w:u w:val="none"/>
        </w:rPr>
        <w:t xml:space="preserve">the </w:t>
      </w:r>
      <w:r w:rsidR="00B91220" w:rsidRPr="00B95345">
        <w:rPr>
          <w:rStyle w:val="Hyperlink"/>
          <w:rFonts w:cstheme="minorHAnsi"/>
          <w:color w:val="auto"/>
          <w:szCs w:val="24"/>
          <w:u w:val="none"/>
        </w:rPr>
        <w:t xml:space="preserve">same. </w:t>
      </w:r>
      <w:r w:rsidR="00303B92">
        <w:rPr>
          <w:rStyle w:val="Hyperlink"/>
          <w:rFonts w:cstheme="minorHAnsi"/>
          <w:color w:val="auto"/>
          <w:szCs w:val="24"/>
          <w:u w:val="none"/>
        </w:rPr>
        <w:t>Accordingly</w:t>
      </w:r>
      <w:r w:rsidR="00E252C5">
        <w:rPr>
          <w:rStyle w:val="Hyperlink"/>
          <w:rFonts w:cstheme="minorHAnsi"/>
          <w:color w:val="auto"/>
          <w:szCs w:val="24"/>
          <w:u w:val="none"/>
        </w:rPr>
        <w:t xml:space="preserve">, </w:t>
      </w:r>
      <w:r w:rsidR="00E252C5" w:rsidRPr="003F1F57">
        <w:rPr>
          <w:rStyle w:val="Hyperlink"/>
          <w:rFonts w:cstheme="minorHAnsi"/>
          <w:color w:val="auto"/>
          <w:szCs w:val="24"/>
          <w:u w:val="none"/>
        </w:rPr>
        <w:t>t</w:t>
      </w:r>
      <w:r w:rsidR="00303B92" w:rsidRPr="003F1F57">
        <w:rPr>
          <w:rStyle w:val="ui-provider"/>
          <w:rFonts w:cstheme="minorHAnsi"/>
          <w:szCs w:val="24"/>
        </w:rPr>
        <w:t xml:space="preserve">he </w:t>
      </w:r>
      <w:r w:rsidR="00303B92" w:rsidRPr="00914A83">
        <w:rPr>
          <w:rStyle w:val="ui-provider"/>
          <w:rFonts w:cstheme="minorHAnsi"/>
          <w:szCs w:val="24"/>
        </w:rPr>
        <w:t xml:space="preserve">vice-chairs for the </w:t>
      </w:r>
      <w:r w:rsidR="00303B92" w:rsidRPr="00914A83">
        <w:rPr>
          <w:rStyle w:val="Hyperlink"/>
          <w:rFonts w:cstheme="minorHAnsi"/>
          <w:color w:val="auto"/>
          <w:szCs w:val="24"/>
          <w:u w:val="none"/>
          <w:lang w:val="en-US"/>
        </w:rPr>
        <w:t>TDAG-WG-future SGQ</w:t>
      </w:r>
      <w:r w:rsidR="00303B92" w:rsidRPr="00914A83">
        <w:rPr>
          <w:rStyle w:val="ui-provider"/>
          <w:rFonts w:cstheme="minorHAnsi"/>
          <w:szCs w:val="24"/>
        </w:rPr>
        <w:t xml:space="preserve"> </w:t>
      </w:r>
      <w:proofErr w:type="gramStart"/>
      <w:r w:rsidR="00303B92" w:rsidRPr="00914A83">
        <w:rPr>
          <w:rStyle w:val="ui-provider"/>
          <w:rFonts w:cstheme="minorHAnsi"/>
          <w:szCs w:val="24"/>
        </w:rPr>
        <w:t>are:</w:t>
      </w:r>
      <w:proofErr w:type="gramEnd"/>
      <w:r w:rsidR="00303B92" w:rsidRPr="00914A83">
        <w:rPr>
          <w:rStyle w:val="ui-provider"/>
          <w:rFonts w:cstheme="minorHAnsi"/>
          <w:szCs w:val="24"/>
        </w:rPr>
        <w:t xml:space="preserve"> Mrs Regina Fleur Assoumou </w:t>
      </w:r>
      <w:proofErr w:type="spellStart"/>
      <w:r w:rsidR="00303B92" w:rsidRPr="00914A83">
        <w:rPr>
          <w:rStyle w:val="ui-provider"/>
          <w:rFonts w:cstheme="minorHAnsi"/>
          <w:szCs w:val="24"/>
        </w:rPr>
        <w:t>Bessou</w:t>
      </w:r>
      <w:proofErr w:type="spellEnd"/>
      <w:r w:rsidR="00303B92" w:rsidRPr="00914A83">
        <w:rPr>
          <w:rStyle w:val="ui-provider"/>
          <w:rFonts w:cstheme="minorHAnsi"/>
          <w:szCs w:val="24"/>
        </w:rPr>
        <w:t xml:space="preserve"> (C</w:t>
      </w:r>
      <w:r w:rsidR="006D1B91">
        <w:rPr>
          <w:rStyle w:val="ui-provider"/>
          <w:rFonts w:cstheme="minorHAnsi"/>
          <w:szCs w:val="24"/>
        </w:rPr>
        <w:t>ô</w:t>
      </w:r>
      <w:r w:rsidR="00303B92" w:rsidRPr="00914A83">
        <w:rPr>
          <w:rStyle w:val="ui-provider"/>
          <w:rFonts w:cstheme="minorHAnsi"/>
          <w:szCs w:val="24"/>
        </w:rPr>
        <w:t xml:space="preserve">te d’Ivoire, also SG1 Chair) and Mr Fadel </w:t>
      </w:r>
      <w:proofErr w:type="spellStart"/>
      <w:r w:rsidR="00303B92" w:rsidRPr="00914A83">
        <w:rPr>
          <w:rStyle w:val="ui-provider"/>
          <w:rFonts w:cstheme="minorHAnsi"/>
          <w:szCs w:val="24"/>
        </w:rPr>
        <w:t>Digham</w:t>
      </w:r>
      <w:proofErr w:type="spellEnd"/>
      <w:r w:rsidR="00303B92" w:rsidRPr="00914A83">
        <w:rPr>
          <w:rStyle w:val="ui-provider"/>
          <w:rFonts w:cstheme="minorHAnsi"/>
          <w:szCs w:val="24"/>
        </w:rPr>
        <w:t xml:space="preserve"> (Egypt, also SG2 Chair).</w:t>
      </w:r>
    </w:p>
    <w:p w14:paraId="51F1D1A3" w14:textId="7CDA1EEB" w:rsidR="00B91220" w:rsidRPr="00B95345" w:rsidRDefault="00B91220" w:rsidP="00ED7C2E">
      <w:pPr>
        <w:spacing w:after="120"/>
        <w:rPr>
          <w:rStyle w:val="Hyperlink"/>
          <w:rFonts w:cstheme="minorHAnsi"/>
          <w:color w:val="auto"/>
          <w:szCs w:val="24"/>
          <w:u w:val="none"/>
        </w:rPr>
      </w:pPr>
      <w:r w:rsidRPr="00B95345">
        <w:rPr>
          <w:rStyle w:val="Hyperlink"/>
          <w:rFonts w:cstheme="minorHAnsi"/>
          <w:color w:val="auto"/>
          <w:szCs w:val="24"/>
          <w:u w:val="none"/>
        </w:rPr>
        <w:t xml:space="preserve">He further indicated the background paper on possible guiding principles to develop future study </w:t>
      </w:r>
      <w:r w:rsidR="0033413C">
        <w:rPr>
          <w:rStyle w:val="Hyperlink"/>
          <w:rFonts w:cstheme="minorHAnsi"/>
          <w:color w:val="auto"/>
          <w:szCs w:val="24"/>
          <w:u w:val="none"/>
        </w:rPr>
        <w:t>q</w:t>
      </w:r>
      <w:r w:rsidRPr="00B95345">
        <w:rPr>
          <w:rStyle w:val="Hyperlink"/>
          <w:rFonts w:cstheme="minorHAnsi"/>
          <w:color w:val="auto"/>
          <w:szCs w:val="24"/>
          <w:u w:val="none"/>
        </w:rPr>
        <w:t xml:space="preserve">uestions as well as the dates of the next (virtual) meetings. He invited all to submit contributions to the next meeting of 3 September 2024 and shared that an MS Teams has been set up to engage in discussions prior to the meetings for more productive work. </w:t>
      </w:r>
    </w:p>
    <w:p w14:paraId="686A49B4" w14:textId="10A20E13" w:rsidR="003E74F3" w:rsidRPr="00B95345" w:rsidRDefault="00B91220" w:rsidP="00ED7C2E">
      <w:pPr>
        <w:spacing w:after="120"/>
        <w:rPr>
          <w:rStyle w:val="Hyperlink"/>
          <w:rFonts w:cstheme="minorHAnsi"/>
          <w:color w:val="auto"/>
          <w:szCs w:val="24"/>
          <w:u w:val="none"/>
        </w:rPr>
      </w:pPr>
      <w:r w:rsidRPr="00B95345">
        <w:rPr>
          <w:rStyle w:val="Hyperlink"/>
          <w:rFonts w:cstheme="minorHAnsi"/>
          <w:color w:val="auto"/>
          <w:szCs w:val="24"/>
          <w:u w:val="none"/>
        </w:rPr>
        <w:t>T</w:t>
      </w:r>
      <w:r w:rsidR="00C91F51" w:rsidRPr="00B95345">
        <w:rPr>
          <w:rStyle w:val="Hyperlink"/>
          <w:rFonts w:cstheme="minorHAnsi"/>
          <w:color w:val="auto"/>
          <w:szCs w:val="24"/>
          <w:u w:val="none"/>
        </w:rPr>
        <w:t xml:space="preserve">he </w:t>
      </w:r>
      <w:r w:rsidRPr="00B95345">
        <w:rPr>
          <w:rStyle w:val="Hyperlink"/>
          <w:rFonts w:cstheme="minorHAnsi"/>
          <w:color w:val="auto"/>
          <w:szCs w:val="24"/>
          <w:u w:val="none"/>
        </w:rPr>
        <w:t>Chair called for the contribution of members with fresh ideas on study Questions while also considering the judicious use of limited resources including translations costs. She indicated that the output document of this WG will apprise membership of the overall thinking as a team on future of study Questions.</w:t>
      </w:r>
    </w:p>
    <w:p w14:paraId="7D7BC3CD" w14:textId="6029A8C5" w:rsidR="004D243C" w:rsidRDefault="004D243C" w:rsidP="00ED7C2E">
      <w:pPr>
        <w:spacing w:after="120"/>
        <w:rPr>
          <w:rFonts w:cstheme="minorHAnsi"/>
          <w:szCs w:val="24"/>
        </w:rPr>
      </w:pPr>
      <w:r w:rsidRPr="00B95345">
        <w:rPr>
          <w:rFonts w:cstheme="minorHAnsi"/>
          <w:szCs w:val="24"/>
        </w:rPr>
        <w:t xml:space="preserve">The TDAG chair clarified that </w:t>
      </w:r>
      <w:r w:rsidR="005E18DC">
        <w:rPr>
          <w:rFonts w:cstheme="minorHAnsi"/>
          <w:szCs w:val="24"/>
        </w:rPr>
        <w:t xml:space="preserve">while </w:t>
      </w:r>
      <w:r w:rsidRPr="00B95345">
        <w:rPr>
          <w:rFonts w:cstheme="minorHAnsi"/>
          <w:szCs w:val="24"/>
        </w:rPr>
        <w:t xml:space="preserve">the </w:t>
      </w:r>
      <w:r w:rsidR="00F61812" w:rsidRPr="00B95345">
        <w:rPr>
          <w:rFonts w:cstheme="minorHAnsi"/>
          <w:szCs w:val="24"/>
        </w:rPr>
        <w:t>Working Group</w:t>
      </w:r>
      <w:r w:rsidRPr="00B95345">
        <w:rPr>
          <w:rFonts w:cstheme="minorHAnsi"/>
          <w:szCs w:val="24"/>
        </w:rPr>
        <w:t xml:space="preserve"> is a single platform and contributions on revised </w:t>
      </w:r>
      <w:r w:rsidR="00F61812" w:rsidRPr="00B95345">
        <w:rPr>
          <w:rStyle w:val="Hyperlink"/>
          <w:rFonts w:cstheme="minorHAnsi"/>
          <w:color w:val="auto"/>
          <w:szCs w:val="24"/>
          <w:u w:val="none"/>
        </w:rPr>
        <w:t xml:space="preserve">Study Group </w:t>
      </w:r>
      <w:r w:rsidR="005B0B70" w:rsidRPr="00B95345">
        <w:rPr>
          <w:rFonts w:cstheme="minorHAnsi"/>
          <w:szCs w:val="24"/>
        </w:rPr>
        <w:t>terms of reference</w:t>
      </w:r>
      <w:r w:rsidRPr="00B95345">
        <w:rPr>
          <w:rFonts w:cstheme="minorHAnsi"/>
          <w:szCs w:val="24"/>
        </w:rPr>
        <w:t xml:space="preserve"> will be channelled to th</w:t>
      </w:r>
      <w:r w:rsidR="00FC74DA">
        <w:rPr>
          <w:rFonts w:cstheme="minorHAnsi"/>
          <w:szCs w:val="24"/>
        </w:rPr>
        <w:t>is</w:t>
      </w:r>
      <w:r w:rsidRPr="00B95345">
        <w:rPr>
          <w:rFonts w:cstheme="minorHAnsi"/>
          <w:szCs w:val="24"/>
        </w:rPr>
        <w:t xml:space="preserve"> </w:t>
      </w:r>
      <w:r w:rsidR="00FC74DA">
        <w:rPr>
          <w:rFonts w:cstheme="minorHAnsi"/>
          <w:szCs w:val="24"/>
        </w:rPr>
        <w:t>group,</w:t>
      </w:r>
      <w:r w:rsidRPr="00B95345">
        <w:rPr>
          <w:rFonts w:cstheme="minorHAnsi"/>
          <w:szCs w:val="24"/>
        </w:rPr>
        <w:t xml:space="preserve"> </w:t>
      </w:r>
      <w:r w:rsidRPr="00CC4695">
        <w:rPr>
          <w:rFonts w:cstheme="minorHAnsi"/>
          <w:szCs w:val="24"/>
        </w:rPr>
        <w:t xml:space="preserve">membership may also wish to discuss within Study Group meetings prior to sharing with the </w:t>
      </w:r>
      <w:r w:rsidR="00F61812" w:rsidRPr="00CC4695">
        <w:rPr>
          <w:rFonts w:cstheme="minorHAnsi"/>
          <w:szCs w:val="24"/>
        </w:rPr>
        <w:t>Working Group</w:t>
      </w:r>
      <w:r w:rsidR="005B0B70" w:rsidRPr="00B95345">
        <w:rPr>
          <w:rFonts w:cstheme="minorHAnsi"/>
          <w:szCs w:val="24"/>
        </w:rPr>
        <w:t xml:space="preserve"> meeting</w:t>
      </w:r>
      <w:r w:rsidRPr="00B95345">
        <w:rPr>
          <w:rFonts w:cstheme="minorHAnsi"/>
          <w:szCs w:val="24"/>
        </w:rPr>
        <w:t xml:space="preserve">. Dr Sharafat </w:t>
      </w:r>
      <w:r w:rsidR="000B6EE4">
        <w:rPr>
          <w:rFonts w:cstheme="minorHAnsi"/>
          <w:szCs w:val="24"/>
        </w:rPr>
        <w:t xml:space="preserve">noted </w:t>
      </w:r>
      <w:r w:rsidRPr="00B95345">
        <w:rPr>
          <w:rFonts w:cstheme="minorHAnsi"/>
          <w:szCs w:val="24"/>
        </w:rPr>
        <w:t xml:space="preserve">that the order of </w:t>
      </w:r>
      <w:r w:rsidR="000B6EE4">
        <w:rPr>
          <w:rFonts w:cstheme="minorHAnsi"/>
          <w:szCs w:val="24"/>
        </w:rPr>
        <w:t xml:space="preserve">the </w:t>
      </w:r>
      <w:r w:rsidR="00D17F00" w:rsidRPr="00B95345">
        <w:rPr>
          <w:rFonts w:cstheme="minorHAnsi"/>
          <w:szCs w:val="24"/>
        </w:rPr>
        <w:t>terms of reference</w:t>
      </w:r>
      <w:r w:rsidRPr="00B95345">
        <w:rPr>
          <w:rFonts w:cstheme="minorHAnsi"/>
          <w:szCs w:val="24"/>
        </w:rPr>
        <w:t xml:space="preserve"> </w:t>
      </w:r>
      <w:r w:rsidR="009A2BC5">
        <w:rPr>
          <w:rFonts w:cstheme="minorHAnsi"/>
          <w:szCs w:val="24"/>
        </w:rPr>
        <w:t xml:space="preserve">(noted below) </w:t>
      </w:r>
      <w:r w:rsidRPr="00B95345">
        <w:rPr>
          <w:rFonts w:cstheme="minorHAnsi"/>
          <w:szCs w:val="24"/>
        </w:rPr>
        <w:t xml:space="preserve">is not chronological, and work is already </w:t>
      </w:r>
      <w:r w:rsidR="00B23D46">
        <w:rPr>
          <w:rFonts w:cstheme="minorHAnsi"/>
          <w:szCs w:val="24"/>
        </w:rPr>
        <w:t xml:space="preserve">underway. </w:t>
      </w:r>
    </w:p>
    <w:tbl>
      <w:tblPr>
        <w:tblStyle w:val="TableGrid"/>
        <w:tblW w:w="0" w:type="auto"/>
        <w:tblLook w:val="04A0" w:firstRow="1" w:lastRow="0" w:firstColumn="1" w:lastColumn="0" w:noHBand="0" w:noVBand="1"/>
      </w:tblPr>
      <w:tblGrid>
        <w:gridCol w:w="9629"/>
      </w:tblGrid>
      <w:tr w:rsidR="00ED7C2E" w14:paraId="7A5A3671" w14:textId="77777777" w:rsidTr="00ED7C2E">
        <w:tc>
          <w:tcPr>
            <w:tcW w:w="9629" w:type="dxa"/>
          </w:tcPr>
          <w:p w14:paraId="5A1E2685" w14:textId="77777777" w:rsidR="00ED7C2E" w:rsidRPr="00ED7C2E" w:rsidRDefault="00ED7C2E" w:rsidP="00ED7C2E">
            <w:pPr>
              <w:spacing w:after="120"/>
              <w:rPr>
                <w:rFonts w:cstheme="minorHAnsi"/>
                <w:szCs w:val="24"/>
              </w:rPr>
            </w:pPr>
            <w:r w:rsidRPr="00ED7C2E">
              <w:rPr>
                <w:rFonts w:cstheme="minorHAnsi"/>
                <w:szCs w:val="24"/>
              </w:rPr>
              <w:lastRenderedPageBreak/>
              <w:t xml:space="preserve">TDAG noted with appreciation the report on activities of the TDAG Working Group on Future Study Group Questions and endorsed the updated terms of reference, which include: providing a platform for discussions on future ITU-D study Questions; assisting in preparing for the next WTDC by proposing changes to Resolution 2; aligning study questions with BDT priorities, regional initiatives, and the 2030 Sustainable Development Goals; gathering ITU membership views; liaising with ITU-D study groups through appointed coordinators; and, submitting regular updates to TDAG. </w:t>
            </w:r>
          </w:p>
          <w:p w14:paraId="51B8A2D1" w14:textId="77777777" w:rsidR="00ED7C2E" w:rsidRPr="00ED7C2E" w:rsidRDefault="00ED7C2E" w:rsidP="00ED7C2E">
            <w:pPr>
              <w:spacing w:after="120"/>
              <w:rPr>
                <w:rFonts w:cstheme="minorHAnsi"/>
                <w:szCs w:val="24"/>
              </w:rPr>
            </w:pPr>
            <w:r w:rsidRPr="00ED7C2E">
              <w:rPr>
                <w:rFonts w:cstheme="minorHAnsi"/>
                <w:szCs w:val="24"/>
              </w:rPr>
              <w:t xml:space="preserve">TDAG also noted that the short three-year study cycle emphasizes the need for focused discussions and collaboration. </w:t>
            </w:r>
          </w:p>
          <w:p w14:paraId="6F3C60CB" w14:textId="334B1859" w:rsidR="00ED7C2E" w:rsidRDefault="00ED7C2E" w:rsidP="00ED7C2E">
            <w:pPr>
              <w:spacing w:after="120"/>
              <w:jc w:val="both"/>
              <w:rPr>
                <w:rFonts w:cstheme="minorHAnsi"/>
                <w:szCs w:val="24"/>
              </w:rPr>
            </w:pPr>
            <w:r w:rsidRPr="00ED7C2E">
              <w:rPr>
                <w:rFonts w:cstheme="minorHAnsi"/>
                <w:szCs w:val="24"/>
              </w:rPr>
              <w:t>Finally, TDAG noted Vietnam’s proposal to include the topic of the digital infrastructure for studying in the next cycle.</w:t>
            </w:r>
          </w:p>
        </w:tc>
      </w:tr>
    </w:tbl>
    <w:p w14:paraId="01C2F76B" w14:textId="5E7CE7E2" w:rsidR="00C9103B" w:rsidRPr="00F102F6" w:rsidRDefault="00C9103B" w:rsidP="00ED7C2E">
      <w:pPr>
        <w:spacing w:after="120"/>
        <w:rPr>
          <w:rStyle w:val="Hyperlink"/>
          <w:rFonts w:cstheme="minorHAnsi"/>
          <w:b/>
          <w:color w:val="auto"/>
          <w:szCs w:val="24"/>
          <w:u w:val="none"/>
          <w:lang w:val="en-US"/>
        </w:rPr>
      </w:pPr>
      <w:r w:rsidRPr="00F102F6">
        <w:rPr>
          <w:rFonts w:cstheme="minorHAnsi"/>
          <w:b/>
          <w:szCs w:val="24"/>
          <w:lang w:val="en-US"/>
        </w:rPr>
        <w:t xml:space="preserve">Document </w:t>
      </w:r>
      <w:hyperlink r:id="rId65" w:history="1">
        <w:r w:rsidRPr="00F102F6">
          <w:rPr>
            <w:rStyle w:val="Hyperlink"/>
            <w:rFonts w:cstheme="minorHAnsi"/>
            <w:b/>
            <w:szCs w:val="24"/>
            <w:lang w:val="en-US"/>
          </w:rPr>
          <w:t>30</w:t>
        </w:r>
      </w:hyperlink>
      <w:r w:rsidR="00957319" w:rsidRPr="00F102F6">
        <w:rPr>
          <w:rStyle w:val="Hyperlink"/>
          <w:rFonts w:cstheme="minorHAnsi"/>
          <w:b/>
          <w:color w:val="auto"/>
          <w:szCs w:val="24"/>
          <w:u w:val="none"/>
          <w:lang w:val="en-US"/>
        </w:rPr>
        <w:t xml:space="preserve"> </w:t>
      </w:r>
      <w:r w:rsidR="008B3D7B" w:rsidRPr="00F102F6">
        <w:rPr>
          <w:rStyle w:val="Hyperlink"/>
          <w:rFonts w:cstheme="minorHAnsi"/>
          <w:b/>
          <w:color w:val="auto"/>
          <w:szCs w:val="24"/>
          <w:u w:val="none"/>
          <w:lang w:val="en-US"/>
        </w:rPr>
        <w:t>(Director, BDT)</w:t>
      </w:r>
      <w:r w:rsidR="00F102F6">
        <w:rPr>
          <w:rStyle w:val="Hyperlink"/>
          <w:rFonts w:cstheme="minorHAnsi"/>
          <w:b/>
          <w:bCs/>
          <w:color w:val="auto"/>
          <w:szCs w:val="24"/>
          <w:u w:val="none"/>
          <w:lang w:val="en-US"/>
        </w:rPr>
        <w:t xml:space="preserve"> - </w:t>
      </w:r>
      <w:r w:rsidR="004F4EE3" w:rsidRPr="004F4EE3">
        <w:rPr>
          <w:rStyle w:val="Hyperlink"/>
          <w:rFonts w:cstheme="minorHAnsi"/>
          <w:b/>
          <w:bCs/>
          <w:color w:val="auto"/>
          <w:szCs w:val="24"/>
          <w:u w:val="none"/>
          <w:lang w:val="en-US"/>
        </w:rPr>
        <w:t>Youth Celebration in shaping the future of Digital Development: Hearing Voices of Tomorrow in the lead to the World Development Conference 2025 (WTDC-25)</w:t>
      </w:r>
    </w:p>
    <w:p w14:paraId="332B3827" w14:textId="7BF2FB33" w:rsidR="00466ABC" w:rsidRPr="00B95345" w:rsidRDefault="000B4149"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BDT Secretariat presented Document 30, titled “Youth Celebration in Shaping the Future of Digital Development: Hearing Voices of Tomorrow in the Lead of the WTDC</w:t>
      </w:r>
      <w:r w:rsidR="00244B3F">
        <w:rPr>
          <w:rStyle w:val="Hyperlink"/>
          <w:rFonts w:cstheme="minorHAnsi"/>
          <w:color w:val="auto"/>
          <w:szCs w:val="24"/>
          <w:u w:val="none"/>
          <w:lang w:val="en-US"/>
        </w:rPr>
        <w:t>-</w:t>
      </w:r>
      <w:r w:rsidRPr="00B95345">
        <w:rPr>
          <w:rStyle w:val="Hyperlink"/>
          <w:rFonts w:cstheme="minorHAnsi"/>
          <w:color w:val="auto"/>
          <w:szCs w:val="24"/>
          <w:u w:val="none"/>
          <w:lang w:val="en-US"/>
        </w:rPr>
        <w:t>25.” The presentation focused on the importance of youth inclusion and empowerment in digital development</w:t>
      </w:r>
      <w:r w:rsidR="006E23F9">
        <w:rPr>
          <w:rStyle w:val="Hyperlink"/>
          <w:rFonts w:cstheme="minorHAnsi"/>
          <w:color w:val="auto"/>
          <w:szCs w:val="24"/>
          <w:u w:val="none"/>
          <w:lang w:val="en-US"/>
        </w:rPr>
        <w:t xml:space="preserve"> agenda</w:t>
      </w:r>
      <w:r w:rsidRPr="00B95345">
        <w:rPr>
          <w:rStyle w:val="Hyperlink"/>
          <w:rFonts w:cstheme="minorHAnsi"/>
          <w:color w:val="auto"/>
          <w:szCs w:val="24"/>
          <w:u w:val="none"/>
          <w:lang w:val="en-US"/>
        </w:rPr>
        <w:t xml:space="preserve">. </w:t>
      </w:r>
    </w:p>
    <w:p w14:paraId="37EFB06D" w14:textId="483AE746" w:rsidR="000B4149" w:rsidRPr="00B95345" w:rsidRDefault="000B4149"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The presentation highlighted the critical role of youth in digital transformation, emphasizing the need to include young people’s perspectives in ITU’s work.</w:t>
      </w:r>
      <w:r w:rsidR="00466ABC" w:rsidRPr="00B95345">
        <w:rPr>
          <w:rStyle w:val="Hyperlink"/>
          <w:rFonts w:cstheme="minorHAnsi"/>
          <w:color w:val="auto"/>
          <w:szCs w:val="24"/>
          <w:u w:val="none"/>
          <w:lang w:val="en-US"/>
        </w:rPr>
        <w:t xml:space="preserve"> </w:t>
      </w:r>
      <w:r w:rsidRPr="00B95345">
        <w:rPr>
          <w:rStyle w:val="Hyperlink"/>
          <w:rFonts w:cstheme="minorHAnsi"/>
          <w:color w:val="auto"/>
          <w:szCs w:val="24"/>
          <w:u w:val="none"/>
          <w:lang w:val="en-US"/>
        </w:rPr>
        <w:t>Reflecting on past events, the presentation noted the enthusiasm and energy brought by young participants, which has driven significant discussions and initiatives.</w:t>
      </w:r>
    </w:p>
    <w:p w14:paraId="36F47699" w14:textId="63C2859B" w:rsidR="00B8124A" w:rsidRPr="00B95345" w:rsidRDefault="000B4149"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The proposal include</w:t>
      </w:r>
      <w:r w:rsidR="002A6DFB" w:rsidRPr="00B95345">
        <w:rPr>
          <w:rStyle w:val="Hyperlink"/>
          <w:rFonts w:cstheme="minorHAnsi"/>
          <w:color w:val="auto"/>
          <w:szCs w:val="24"/>
          <w:u w:val="none"/>
          <w:lang w:val="en-US"/>
        </w:rPr>
        <w:t>d</w:t>
      </w:r>
      <w:r w:rsidRPr="00B95345">
        <w:rPr>
          <w:rStyle w:val="Hyperlink"/>
          <w:rFonts w:cstheme="minorHAnsi"/>
          <w:color w:val="auto"/>
          <w:szCs w:val="24"/>
          <w:u w:val="none"/>
          <w:lang w:val="en-US"/>
        </w:rPr>
        <w:t xml:space="preserve"> a </w:t>
      </w:r>
      <w:r w:rsidR="00092341">
        <w:rPr>
          <w:rStyle w:val="Hyperlink"/>
          <w:rFonts w:cstheme="minorHAnsi"/>
          <w:color w:val="auto"/>
          <w:szCs w:val="24"/>
          <w:u w:val="none"/>
          <w:lang w:val="en-US"/>
        </w:rPr>
        <w:t xml:space="preserve">two-day </w:t>
      </w:r>
      <w:r w:rsidRPr="00B95345">
        <w:rPr>
          <w:rStyle w:val="Hyperlink"/>
          <w:rFonts w:cstheme="minorHAnsi"/>
          <w:color w:val="auto"/>
          <w:szCs w:val="24"/>
          <w:u w:val="none"/>
          <w:lang w:val="en-US"/>
        </w:rPr>
        <w:t xml:space="preserve">Youth Celebration event held </w:t>
      </w:r>
      <w:r w:rsidR="000D7DFE">
        <w:rPr>
          <w:rStyle w:val="Hyperlink"/>
          <w:rFonts w:cstheme="minorHAnsi"/>
          <w:color w:val="auto"/>
          <w:szCs w:val="24"/>
          <w:u w:val="none"/>
          <w:lang w:val="en-US"/>
        </w:rPr>
        <w:t>in the days preceding the</w:t>
      </w:r>
      <w:r w:rsidRPr="00B95345">
        <w:rPr>
          <w:rStyle w:val="Hyperlink"/>
          <w:rFonts w:cstheme="minorHAnsi"/>
          <w:color w:val="auto"/>
          <w:szCs w:val="24"/>
          <w:u w:val="none"/>
          <w:lang w:val="en-US"/>
        </w:rPr>
        <w:t xml:space="preserve"> WTDC</w:t>
      </w:r>
      <w:r w:rsidR="00244B3F">
        <w:rPr>
          <w:rStyle w:val="Hyperlink"/>
          <w:rFonts w:cstheme="minorHAnsi"/>
          <w:color w:val="auto"/>
          <w:szCs w:val="24"/>
          <w:u w:val="none"/>
          <w:lang w:val="en-US"/>
        </w:rPr>
        <w:t>-</w:t>
      </w:r>
      <w:r w:rsidRPr="00B95345">
        <w:rPr>
          <w:rStyle w:val="Hyperlink"/>
          <w:rFonts w:cstheme="minorHAnsi"/>
          <w:color w:val="auto"/>
          <w:szCs w:val="24"/>
          <w:u w:val="none"/>
          <w:lang w:val="en-US"/>
        </w:rPr>
        <w:t>25</w:t>
      </w:r>
      <w:r w:rsidR="007727D3">
        <w:rPr>
          <w:rStyle w:val="Hyperlink"/>
          <w:rFonts w:cstheme="minorHAnsi"/>
          <w:color w:val="auto"/>
          <w:szCs w:val="24"/>
          <w:u w:val="none"/>
          <w:lang w:val="en-US"/>
        </w:rPr>
        <w:t>.</w:t>
      </w:r>
      <w:r w:rsidR="0090044E">
        <w:rPr>
          <w:rStyle w:val="Hyperlink"/>
          <w:rFonts w:cstheme="minorHAnsi"/>
          <w:color w:val="auto"/>
          <w:szCs w:val="24"/>
          <w:u w:val="none"/>
          <w:lang w:val="en-US"/>
        </w:rPr>
        <w:t xml:space="preserve"> </w:t>
      </w:r>
      <w:r w:rsidR="00B8124A" w:rsidRPr="00B95345">
        <w:rPr>
          <w:rStyle w:val="Hyperlink"/>
          <w:rFonts w:cstheme="minorHAnsi"/>
          <w:color w:val="auto"/>
          <w:szCs w:val="24"/>
          <w:u w:val="none"/>
          <w:lang w:val="en-US"/>
        </w:rPr>
        <w:t xml:space="preserve">The BDT Director clarified that the main difference </w:t>
      </w:r>
      <w:r w:rsidR="003B18DF">
        <w:rPr>
          <w:rStyle w:val="Hyperlink"/>
          <w:rFonts w:cstheme="minorHAnsi"/>
          <w:color w:val="auto"/>
          <w:szCs w:val="24"/>
          <w:u w:val="none"/>
          <w:lang w:val="en-US"/>
        </w:rPr>
        <w:t xml:space="preserve">between the Global Youth Summit and the Youth Celebration prior to WTDC-25 </w:t>
      </w:r>
      <w:r w:rsidR="00B8124A" w:rsidRPr="00B95345">
        <w:rPr>
          <w:rStyle w:val="Hyperlink"/>
          <w:rFonts w:cstheme="minorHAnsi"/>
          <w:color w:val="auto"/>
          <w:szCs w:val="24"/>
          <w:u w:val="none"/>
          <w:lang w:val="en-US"/>
        </w:rPr>
        <w:t>i</w:t>
      </w:r>
      <w:r w:rsidR="00B8124A">
        <w:rPr>
          <w:rStyle w:val="Hyperlink"/>
          <w:rFonts w:cstheme="minorHAnsi"/>
          <w:color w:val="auto"/>
          <w:szCs w:val="24"/>
          <w:u w:val="none"/>
          <w:lang w:val="en-US"/>
        </w:rPr>
        <w:t>s</w:t>
      </w:r>
      <w:r w:rsidR="00B8124A" w:rsidRPr="00B95345">
        <w:rPr>
          <w:rStyle w:val="Hyperlink"/>
          <w:rFonts w:cstheme="minorHAnsi"/>
          <w:color w:val="auto"/>
          <w:szCs w:val="24"/>
          <w:u w:val="none"/>
          <w:lang w:val="en-US"/>
        </w:rPr>
        <w:t xml:space="preserve"> that the Celebration would not produce a report but will provide </w:t>
      </w:r>
      <w:r w:rsidR="00B8124A">
        <w:rPr>
          <w:rStyle w:val="Hyperlink"/>
          <w:rFonts w:cstheme="minorHAnsi"/>
          <w:color w:val="auto"/>
          <w:szCs w:val="24"/>
          <w:u w:val="none"/>
          <w:lang w:val="en-US"/>
        </w:rPr>
        <w:t>an</w:t>
      </w:r>
      <w:r w:rsidR="00B8124A" w:rsidRPr="00B95345">
        <w:rPr>
          <w:rStyle w:val="Hyperlink"/>
          <w:rFonts w:cstheme="minorHAnsi"/>
          <w:color w:val="auto"/>
          <w:szCs w:val="24"/>
          <w:u w:val="none"/>
          <w:lang w:val="en-US"/>
        </w:rPr>
        <w:t xml:space="preserve"> opportunity </w:t>
      </w:r>
      <w:r w:rsidR="00B8124A">
        <w:rPr>
          <w:rStyle w:val="Hyperlink"/>
          <w:rFonts w:cstheme="minorHAnsi"/>
          <w:color w:val="auto"/>
          <w:szCs w:val="24"/>
          <w:u w:val="none"/>
          <w:lang w:val="en-US"/>
        </w:rPr>
        <w:t>for</w:t>
      </w:r>
      <w:r w:rsidR="00B8124A" w:rsidRPr="00B95345">
        <w:rPr>
          <w:rStyle w:val="Hyperlink"/>
          <w:rFonts w:cstheme="minorHAnsi"/>
          <w:color w:val="auto"/>
          <w:szCs w:val="24"/>
          <w:u w:val="none"/>
          <w:lang w:val="en-US"/>
        </w:rPr>
        <w:t xml:space="preserve"> both youth and ITU members</w:t>
      </w:r>
      <w:r w:rsidR="00B8124A">
        <w:rPr>
          <w:rStyle w:val="Hyperlink"/>
          <w:rFonts w:cstheme="minorHAnsi"/>
          <w:color w:val="auto"/>
          <w:szCs w:val="24"/>
          <w:u w:val="none"/>
          <w:lang w:val="en-US"/>
        </w:rPr>
        <w:t xml:space="preserve">hip </w:t>
      </w:r>
      <w:r w:rsidR="00B8124A" w:rsidRPr="00B95345">
        <w:rPr>
          <w:rStyle w:val="Hyperlink"/>
          <w:rFonts w:cstheme="minorHAnsi"/>
          <w:color w:val="auto"/>
          <w:szCs w:val="24"/>
          <w:u w:val="none"/>
          <w:lang w:val="en-US"/>
        </w:rPr>
        <w:t>participa</w:t>
      </w:r>
      <w:r w:rsidR="00B8124A">
        <w:rPr>
          <w:rStyle w:val="Hyperlink"/>
          <w:rFonts w:cstheme="minorHAnsi"/>
          <w:color w:val="auto"/>
          <w:szCs w:val="24"/>
          <w:u w:val="none"/>
          <w:lang w:val="en-US"/>
        </w:rPr>
        <w:t>ting</w:t>
      </w:r>
      <w:r w:rsidR="00B8124A" w:rsidRPr="00B95345">
        <w:rPr>
          <w:rStyle w:val="Hyperlink"/>
          <w:rFonts w:cstheme="minorHAnsi"/>
          <w:color w:val="auto"/>
          <w:szCs w:val="24"/>
          <w:u w:val="none"/>
          <w:lang w:val="en-US"/>
        </w:rPr>
        <w:t xml:space="preserve"> to WTDC</w:t>
      </w:r>
      <w:r w:rsidR="00B8124A">
        <w:rPr>
          <w:rStyle w:val="Hyperlink"/>
          <w:rFonts w:cstheme="minorHAnsi"/>
          <w:color w:val="auto"/>
          <w:szCs w:val="24"/>
          <w:u w:val="none"/>
          <w:lang w:val="en-US"/>
        </w:rPr>
        <w:t>-</w:t>
      </w:r>
      <w:r w:rsidR="00B8124A" w:rsidRPr="00B95345">
        <w:rPr>
          <w:rStyle w:val="Hyperlink"/>
          <w:rFonts w:cstheme="minorHAnsi"/>
          <w:color w:val="auto"/>
          <w:szCs w:val="24"/>
          <w:u w:val="none"/>
          <w:lang w:val="en-US"/>
        </w:rPr>
        <w:t>25 to interact through intergenerational dialogue on topic</w:t>
      </w:r>
      <w:r w:rsidR="00B8124A">
        <w:rPr>
          <w:rStyle w:val="Hyperlink"/>
          <w:rFonts w:cstheme="minorHAnsi"/>
          <w:color w:val="auto"/>
          <w:szCs w:val="24"/>
          <w:u w:val="none"/>
          <w:lang w:val="en-US"/>
        </w:rPr>
        <w:t>s</w:t>
      </w:r>
      <w:r w:rsidR="00B8124A" w:rsidRPr="00B95345">
        <w:rPr>
          <w:rStyle w:val="Hyperlink"/>
          <w:rFonts w:cstheme="minorHAnsi"/>
          <w:color w:val="auto"/>
          <w:szCs w:val="24"/>
          <w:u w:val="none"/>
          <w:lang w:val="en-US"/>
        </w:rPr>
        <w:t xml:space="preserve"> of interest </w:t>
      </w:r>
      <w:r w:rsidR="00B8124A">
        <w:rPr>
          <w:rStyle w:val="Hyperlink"/>
          <w:rFonts w:cstheme="minorHAnsi"/>
          <w:color w:val="auto"/>
          <w:szCs w:val="24"/>
          <w:u w:val="none"/>
          <w:lang w:val="en-US"/>
        </w:rPr>
        <w:t>to</w:t>
      </w:r>
      <w:r w:rsidR="00B8124A" w:rsidRPr="00B95345">
        <w:rPr>
          <w:rStyle w:val="Hyperlink"/>
          <w:rFonts w:cstheme="minorHAnsi"/>
          <w:color w:val="auto"/>
          <w:szCs w:val="24"/>
          <w:u w:val="none"/>
          <w:lang w:val="en-US"/>
        </w:rPr>
        <w:t xml:space="preserve"> youth </w:t>
      </w:r>
      <w:proofErr w:type="gramStart"/>
      <w:r w:rsidR="00B8124A">
        <w:rPr>
          <w:rStyle w:val="Hyperlink"/>
          <w:rFonts w:cstheme="minorHAnsi"/>
          <w:color w:val="auto"/>
          <w:szCs w:val="24"/>
          <w:u w:val="none"/>
          <w:lang w:val="en-US"/>
        </w:rPr>
        <w:t>and also</w:t>
      </w:r>
      <w:proofErr w:type="gramEnd"/>
      <w:r w:rsidR="00B8124A">
        <w:rPr>
          <w:rStyle w:val="Hyperlink"/>
          <w:rFonts w:cstheme="minorHAnsi"/>
          <w:color w:val="auto"/>
          <w:szCs w:val="24"/>
          <w:u w:val="none"/>
          <w:lang w:val="en-US"/>
        </w:rPr>
        <w:t xml:space="preserve"> offer</w:t>
      </w:r>
      <w:r w:rsidR="00B8124A" w:rsidRPr="00B95345">
        <w:rPr>
          <w:rStyle w:val="Hyperlink"/>
          <w:rFonts w:cstheme="minorHAnsi"/>
          <w:color w:val="auto"/>
          <w:szCs w:val="24"/>
          <w:u w:val="none"/>
          <w:lang w:val="en-US"/>
        </w:rPr>
        <w:t xml:space="preserve"> networking opportunities. </w:t>
      </w:r>
    </w:p>
    <w:p w14:paraId="1C2E0C54" w14:textId="51641527" w:rsidR="00EA2900" w:rsidRPr="00B95345" w:rsidRDefault="003E12E8" w:rsidP="00ED7C2E">
      <w:pPr>
        <w:spacing w:after="120"/>
        <w:rPr>
          <w:rStyle w:val="Hyperlink"/>
          <w:rFonts w:cstheme="minorHAnsi"/>
          <w:color w:val="auto"/>
          <w:szCs w:val="24"/>
          <w:u w:val="none"/>
          <w:lang w:val="en-US"/>
        </w:rPr>
      </w:pPr>
      <w:r>
        <w:rPr>
          <w:rStyle w:val="Hyperlink"/>
          <w:rFonts w:cstheme="minorHAnsi"/>
          <w:color w:val="auto"/>
          <w:szCs w:val="24"/>
          <w:u w:val="none"/>
          <w:lang w:val="en-US"/>
        </w:rPr>
        <w:t>The</w:t>
      </w:r>
      <w:r w:rsidR="00EA2900" w:rsidRPr="00B95345">
        <w:rPr>
          <w:rStyle w:val="Hyperlink"/>
          <w:rFonts w:cstheme="minorHAnsi"/>
          <w:color w:val="auto"/>
          <w:szCs w:val="24"/>
          <w:u w:val="none"/>
          <w:lang w:val="en-US"/>
        </w:rPr>
        <w:t xml:space="preserve"> Informal Coordination Group </w:t>
      </w:r>
      <w:r>
        <w:rPr>
          <w:rStyle w:val="Hyperlink"/>
          <w:rFonts w:cstheme="minorHAnsi"/>
          <w:color w:val="auto"/>
          <w:szCs w:val="24"/>
          <w:u w:val="none"/>
          <w:lang w:val="en-US"/>
        </w:rPr>
        <w:t>will also provide advice to t</w:t>
      </w:r>
      <w:r w:rsidR="0067261E">
        <w:rPr>
          <w:rStyle w:val="Hyperlink"/>
          <w:rFonts w:cstheme="minorHAnsi"/>
          <w:color w:val="auto"/>
          <w:szCs w:val="24"/>
          <w:u w:val="none"/>
          <w:lang w:val="en-US"/>
        </w:rPr>
        <w:t xml:space="preserve">he BDT Director for his consideration on this event. </w:t>
      </w:r>
      <w:r w:rsidR="00EA2900" w:rsidRPr="00B95345">
        <w:rPr>
          <w:rStyle w:val="Hyperlink"/>
          <w:rFonts w:cstheme="minorHAnsi"/>
          <w:color w:val="auto"/>
          <w:szCs w:val="24"/>
          <w:u w:val="none"/>
          <w:lang w:val="en-US"/>
        </w:rPr>
        <w:t xml:space="preserve">The word “possible” was included </w:t>
      </w:r>
      <w:r w:rsidR="00012A33">
        <w:rPr>
          <w:rStyle w:val="Hyperlink"/>
          <w:rFonts w:cstheme="minorHAnsi"/>
          <w:color w:val="auto"/>
          <w:szCs w:val="24"/>
          <w:u w:val="none"/>
          <w:lang w:val="en-US"/>
        </w:rPr>
        <w:t xml:space="preserve">to the </w:t>
      </w:r>
      <w:proofErr w:type="spellStart"/>
      <w:r w:rsidR="00012A33">
        <w:rPr>
          <w:rStyle w:val="Hyperlink"/>
          <w:rFonts w:cstheme="minorHAnsi"/>
          <w:color w:val="auto"/>
          <w:szCs w:val="24"/>
          <w:u w:val="none"/>
          <w:lang w:val="en-US"/>
        </w:rPr>
        <w:t>ToR</w:t>
      </w:r>
      <w:proofErr w:type="spellEnd"/>
      <w:r w:rsidR="00012A33">
        <w:rPr>
          <w:rStyle w:val="Hyperlink"/>
          <w:rFonts w:cstheme="minorHAnsi"/>
          <w:color w:val="auto"/>
          <w:szCs w:val="24"/>
          <w:u w:val="none"/>
          <w:lang w:val="en-US"/>
        </w:rPr>
        <w:t xml:space="preserve"> of this group </w:t>
      </w:r>
      <w:r w:rsidR="00C95E1D">
        <w:rPr>
          <w:rStyle w:val="Hyperlink"/>
          <w:rFonts w:cstheme="minorHAnsi"/>
          <w:color w:val="auto"/>
          <w:szCs w:val="24"/>
          <w:u w:val="none"/>
          <w:lang w:val="en-US"/>
        </w:rPr>
        <w:t xml:space="preserve">because </w:t>
      </w:r>
      <w:r w:rsidR="00EA2900" w:rsidRPr="00B95345">
        <w:rPr>
          <w:rStyle w:val="Hyperlink"/>
          <w:rFonts w:cstheme="minorHAnsi"/>
          <w:color w:val="auto"/>
          <w:szCs w:val="24"/>
          <w:u w:val="none"/>
          <w:lang w:val="en-US"/>
        </w:rPr>
        <w:t>as</w:t>
      </w:r>
      <w:r w:rsidR="00581774">
        <w:rPr>
          <w:rStyle w:val="Hyperlink"/>
          <w:rFonts w:cstheme="minorHAnsi"/>
          <w:color w:val="auto"/>
          <w:szCs w:val="24"/>
          <w:u w:val="none"/>
          <w:lang w:val="en-US"/>
        </w:rPr>
        <w:t xml:space="preserve"> </w:t>
      </w:r>
      <w:r w:rsidR="00C95E1D">
        <w:rPr>
          <w:rStyle w:val="Hyperlink"/>
          <w:rFonts w:cstheme="minorHAnsi"/>
          <w:color w:val="auto"/>
          <w:szCs w:val="24"/>
          <w:u w:val="none"/>
          <w:lang w:val="en-US"/>
        </w:rPr>
        <w:t xml:space="preserve">of the TDAG 2024 meeting, </w:t>
      </w:r>
      <w:r w:rsidR="00794E94" w:rsidRPr="00B95345">
        <w:rPr>
          <w:rStyle w:val="Hyperlink"/>
          <w:rFonts w:cstheme="minorHAnsi"/>
          <w:color w:val="auto"/>
          <w:szCs w:val="24"/>
          <w:u w:val="none"/>
          <w:lang w:val="en-US"/>
        </w:rPr>
        <w:t>there</w:t>
      </w:r>
      <w:r w:rsidR="00EA2900" w:rsidRPr="00B95345">
        <w:rPr>
          <w:rStyle w:val="Hyperlink"/>
          <w:rFonts w:cstheme="minorHAnsi"/>
          <w:color w:val="auto"/>
          <w:szCs w:val="24"/>
          <w:u w:val="none"/>
          <w:lang w:val="en-US"/>
        </w:rPr>
        <w:t xml:space="preserve"> </w:t>
      </w:r>
      <w:r w:rsidR="00DB4DAA" w:rsidRPr="00B95345">
        <w:rPr>
          <w:rStyle w:val="Hyperlink"/>
          <w:rFonts w:cstheme="minorHAnsi"/>
          <w:color w:val="auto"/>
          <w:szCs w:val="24"/>
          <w:u w:val="none"/>
          <w:lang w:val="en-US"/>
        </w:rPr>
        <w:t>ha</w:t>
      </w:r>
      <w:r w:rsidR="00E332D4">
        <w:rPr>
          <w:rStyle w:val="Hyperlink"/>
          <w:rFonts w:cstheme="minorHAnsi"/>
          <w:color w:val="auto"/>
          <w:szCs w:val="24"/>
          <w:u w:val="none"/>
          <w:lang w:val="en-US"/>
        </w:rPr>
        <w:t>d</w:t>
      </w:r>
      <w:r w:rsidR="00EA2900" w:rsidRPr="00B95345">
        <w:rPr>
          <w:rStyle w:val="Hyperlink"/>
          <w:rFonts w:cstheme="minorHAnsi"/>
          <w:color w:val="auto"/>
          <w:szCs w:val="24"/>
          <w:u w:val="none"/>
          <w:lang w:val="en-US"/>
        </w:rPr>
        <w:t xml:space="preserve"> not yet </w:t>
      </w:r>
      <w:r w:rsidR="00DB4DAA" w:rsidRPr="00B95345">
        <w:rPr>
          <w:rStyle w:val="Hyperlink"/>
          <w:rFonts w:cstheme="minorHAnsi"/>
          <w:color w:val="auto"/>
          <w:szCs w:val="24"/>
          <w:u w:val="none"/>
          <w:lang w:val="en-US"/>
        </w:rPr>
        <w:t xml:space="preserve">been </w:t>
      </w:r>
      <w:r w:rsidR="00EA2900" w:rsidRPr="00B95345">
        <w:rPr>
          <w:rStyle w:val="Hyperlink"/>
          <w:rFonts w:cstheme="minorHAnsi"/>
          <w:color w:val="auto"/>
          <w:szCs w:val="24"/>
          <w:u w:val="none"/>
          <w:lang w:val="en-US"/>
        </w:rPr>
        <w:t xml:space="preserve">confirmation with the host country </w:t>
      </w:r>
      <w:r w:rsidR="00DB4DAA" w:rsidRPr="00B95345">
        <w:rPr>
          <w:rStyle w:val="Hyperlink"/>
          <w:rFonts w:cstheme="minorHAnsi"/>
          <w:color w:val="auto"/>
          <w:szCs w:val="24"/>
          <w:u w:val="none"/>
          <w:lang w:val="en-US"/>
        </w:rPr>
        <w:t>of the WTDC</w:t>
      </w:r>
      <w:r w:rsidR="00105244" w:rsidRPr="00B95345">
        <w:rPr>
          <w:rStyle w:val="Hyperlink"/>
          <w:rFonts w:cstheme="minorHAnsi"/>
          <w:color w:val="auto"/>
          <w:szCs w:val="24"/>
          <w:u w:val="none"/>
          <w:lang w:val="en-US"/>
        </w:rPr>
        <w:t xml:space="preserve">-25 </w:t>
      </w:r>
      <w:r w:rsidR="00E332D4">
        <w:rPr>
          <w:rStyle w:val="Hyperlink"/>
          <w:rFonts w:cstheme="minorHAnsi"/>
          <w:color w:val="auto"/>
          <w:szCs w:val="24"/>
          <w:u w:val="none"/>
          <w:lang w:val="en-US"/>
        </w:rPr>
        <w:t xml:space="preserve">that they would hold </w:t>
      </w:r>
      <w:r w:rsidR="00EA2900" w:rsidRPr="00B95345">
        <w:rPr>
          <w:rStyle w:val="Hyperlink"/>
          <w:rFonts w:cstheme="minorHAnsi"/>
          <w:color w:val="auto"/>
          <w:szCs w:val="24"/>
          <w:u w:val="none"/>
          <w:lang w:val="en-US"/>
        </w:rPr>
        <w:t xml:space="preserve">this event. </w:t>
      </w:r>
    </w:p>
    <w:p w14:paraId="28F8169F" w14:textId="1CEA014A" w:rsidR="00C15C69" w:rsidRDefault="00EA2900"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The </w:t>
      </w:r>
      <w:r w:rsidR="003023CA" w:rsidRPr="00B95345">
        <w:rPr>
          <w:rStyle w:val="Hyperlink"/>
          <w:rFonts w:cstheme="minorHAnsi"/>
          <w:color w:val="auto"/>
          <w:szCs w:val="24"/>
          <w:u w:val="none"/>
          <w:lang w:val="en-US"/>
        </w:rPr>
        <w:t>Informal Coordination Group</w:t>
      </w:r>
      <w:r w:rsidRPr="00B95345">
        <w:rPr>
          <w:rStyle w:val="Hyperlink"/>
          <w:rFonts w:cstheme="minorHAnsi"/>
          <w:color w:val="auto"/>
          <w:szCs w:val="24"/>
          <w:u w:val="none"/>
          <w:lang w:val="en-US"/>
        </w:rPr>
        <w:t xml:space="preserve"> is open to all ITU-D membership (preferably youth representatives). The Group will be coordinated </w:t>
      </w:r>
      <w:r w:rsidRPr="00491EE6">
        <w:rPr>
          <w:rStyle w:val="Hyperlink"/>
          <w:rFonts w:cstheme="minorHAnsi"/>
          <w:color w:val="auto"/>
          <w:szCs w:val="24"/>
          <w:u w:val="none"/>
          <w:lang w:val="en-US"/>
        </w:rPr>
        <w:t>by Ms. Agustina BRIZIO (Argentina), Ms. Ke WANG (China), Mr. Abdoulkarim OLOYEDE (Nigeria) and Ms. Shahad ALBALAWI (Saudi Arabia).</w:t>
      </w:r>
    </w:p>
    <w:tbl>
      <w:tblPr>
        <w:tblStyle w:val="TableGrid"/>
        <w:tblW w:w="0" w:type="auto"/>
        <w:tblLook w:val="04A0" w:firstRow="1" w:lastRow="0" w:firstColumn="1" w:lastColumn="0" w:noHBand="0" w:noVBand="1"/>
      </w:tblPr>
      <w:tblGrid>
        <w:gridCol w:w="9629"/>
      </w:tblGrid>
      <w:tr w:rsidR="00ED7C2E" w14:paraId="249F107C" w14:textId="77777777" w:rsidTr="00ED7C2E">
        <w:tc>
          <w:tcPr>
            <w:tcW w:w="9629" w:type="dxa"/>
          </w:tcPr>
          <w:p w14:paraId="2A4B44E7" w14:textId="40C685E6" w:rsidR="00ED7C2E" w:rsidRDefault="00ED7C2E"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TDAG noted with appreciation the contribution which proposed to organize a two-day event prior to WTDC-25 to celebrate youth in shaping the future of Digital Development: “Hearing Voices of Tomorrow.”</w:t>
            </w:r>
          </w:p>
        </w:tc>
      </w:tr>
    </w:tbl>
    <w:p w14:paraId="3BBE7ABC" w14:textId="263536E2" w:rsidR="00C9103B" w:rsidRPr="00FF6222" w:rsidRDefault="00C9103B" w:rsidP="00ED7C2E">
      <w:pPr>
        <w:spacing w:after="120"/>
        <w:rPr>
          <w:rStyle w:val="Hyperlink"/>
          <w:rFonts w:cstheme="minorHAnsi"/>
          <w:b/>
          <w:color w:val="auto"/>
          <w:szCs w:val="24"/>
          <w:u w:val="none"/>
          <w:lang w:val="en-US"/>
        </w:rPr>
      </w:pPr>
      <w:r w:rsidRPr="00FF6222">
        <w:rPr>
          <w:rFonts w:cstheme="minorHAnsi"/>
          <w:b/>
          <w:szCs w:val="24"/>
          <w:lang w:val="en-US"/>
        </w:rPr>
        <w:t xml:space="preserve">Document </w:t>
      </w:r>
      <w:hyperlink r:id="rId66" w:history="1">
        <w:r w:rsidRPr="00FF6222">
          <w:rPr>
            <w:rStyle w:val="Hyperlink"/>
            <w:rFonts w:cstheme="minorHAnsi"/>
            <w:b/>
            <w:szCs w:val="24"/>
            <w:lang w:val="en-US"/>
          </w:rPr>
          <w:t>31 + Annex 1</w:t>
        </w:r>
      </w:hyperlink>
      <w:r w:rsidR="008929D3" w:rsidRPr="00FF6222">
        <w:rPr>
          <w:rStyle w:val="Hyperlink"/>
          <w:rFonts w:cstheme="minorHAnsi"/>
          <w:b/>
          <w:color w:val="auto"/>
          <w:szCs w:val="24"/>
          <w:u w:val="none"/>
          <w:lang w:val="en-US"/>
        </w:rPr>
        <w:t xml:space="preserve"> </w:t>
      </w:r>
      <w:r w:rsidR="008B3D7B" w:rsidRPr="00FF6222">
        <w:rPr>
          <w:rStyle w:val="Hyperlink"/>
          <w:rFonts w:cstheme="minorHAnsi"/>
          <w:b/>
          <w:color w:val="auto"/>
          <w:szCs w:val="24"/>
          <w:u w:val="none"/>
          <w:lang w:val="en-US"/>
        </w:rPr>
        <w:t>(Director, BDT)</w:t>
      </w:r>
      <w:r w:rsidR="00FF6222" w:rsidRPr="00FF6222">
        <w:rPr>
          <w:rStyle w:val="Hyperlink"/>
          <w:rFonts w:cstheme="minorHAnsi"/>
          <w:b/>
          <w:bCs/>
          <w:color w:val="auto"/>
          <w:szCs w:val="24"/>
          <w:u w:val="none"/>
          <w:lang w:val="en-US"/>
        </w:rPr>
        <w:t xml:space="preserve"> - </w:t>
      </w:r>
      <w:r w:rsidR="00530690" w:rsidRPr="00530690">
        <w:rPr>
          <w:rStyle w:val="Hyperlink"/>
          <w:rFonts w:cstheme="minorHAnsi"/>
          <w:b/>
          <w:bCs/>
          <w:color w:val="auto"/>
          <w:szCs w:val="24"/>
          <w:u w:val="none"/>
          <w:lang w:val="en-US"/>
        </w:rPr>
        <w:t>Report on the 2024 ITU- Generation Connect Youth Envoys</w:t>
      </w:r>
    </w:p>
    <w:p w14:paraId="4E61C48D" w14:textId="29E38ACE" w:rsidR="00ED4C05" w:rsidRPr="00B95345" w:rsidRDefault="00ED4C05" w:rsidP="00ED7C2E">
      <w:pPr>
        <w:pStyle w:val="CEONormal"/>
        <w:rPr>
          <w:rFonts w:asciiTheme="minorHAnsi" w:eastAsia="Times New Roman" w:hAnsiTheme="minorHAnsi" w:cstheme="minorHAnsi"/>
          <w:sz w:val="24"/>
          <w:szCs w:val="24"/>
        </w:rPr>
      </w:pPr>
      <w:r w:rsidRPr="00B95345">
        <w:rPr>
          <w:rFonts w:asciiTheme="minorHAnsi" w:eastAsia="Times New Roman" w:hAnsiTheme="minorHAnsi" w:cstheme="minorHAnsi"/>
          <w:sz w:val="24"/>
          <w:szCs w:val="24"/>
        </w:rPr>
        <w:t>The document presented the results of the selection process for the 2024 Generation Connect Youth Envoys (GCYE)</w:t>
      </w:r>
      <w:r w:rsidR="00D7428D">
        <w:rPr>
          <w:rFonts w:asciiTheme="minorHAnsi" w:eastAsia="Times New Roman" w:hAnsiTheme="minorHAnsi" w:cstheme="minorHAnsi"/>
          <w:sz w:val="24"/>
          <w:szCs w:val="24"/>
        </w:rPr>
        <w:t xml:space="preserve"> as well as details </w:t>
      </w:r>
      <w:r w:rsidR="00A266A9">
        <w:rPr>
          <w:rFonts w:asciiTheme="minorHAnsi" w:eastAsia="Times New Roman" w:hAnsiTheme="minorHAnsi" w:cstheme="minorHAnsi"/>
          <w:sz w:val="24"/>
          <w:szCs w:val="24"/>
        </w:rPr>
        <w:t xml:space="preserve">on the region, countries and number of youth envoys that formed the new </w:t>
      </w:r>
      <w:r w:rsidR="003A21FF">
        <w:rPr>
          <w:rFonts w:asciiTheme="minorHAnsi" w:eastAsia="Times New Roman" w:hAnsiTheme="minorHAnsi" w:cstheme="minorHAnsi"/>
          <w:sz w:val="24"/>
          <w:szCs w:val="24"/>
        </w:rPr>
        <w:t>cohort</w:t>
      </w:r>
      <w:r w:rsidR="00A266A9">
        <w:rPr>
          <w:rFonts w:asciiTheme="minorHAnsi" w:eastAsia="Times New Roman" w:hAnsiTheme="minorHAnsi" w:cstheme="minorHAnsi"/>
          <w:sz w:val="24"/>
          <w:szCs w:val="24"/>
        </w:rPr>
        <w:t xml:space="preserve"> of 184 </w:t>
      </w:r>
      <w:r w:rsidR="00960172">
        <w:rPr>
          <w:rFonts w:asciiTheme="minorHAnsi" w:eastAsia="Times New Roman" w:hAnsiTheme="minorHAnsi" w:cstheme="minorHAnsi"/>
          <w:sz w:val="24"/>
          <w:szCs w:val="24"/>
        </w:rPr>
        <w:t xml:space="preserve">generation connect youth envoys from 64 countries around the world. </w:t>
      </w:r>
    </w:p>
    <w:p w14:paraId="4B0639AC" w14:textId="3B2A8956" w:rsidR="00F16E35" w:rsidRDefault="001F6C57" w:rsidP="00ED7C2E">
      <w:pPr>
        <w:pStyle w:val="CEONormal"/>
        <w:rPr>
          <w:rFonts w:ascii="Calibri" w:hAnsi="Calibri"/>
          <w:sz w:val="24"/>
          <w:szCs w:val="24"/>
          <w:lang w:val="en-US"/>
        </w:rPr>
      </w:pPr>
      <w:r>
        <w:rPr>
          <w:rFonts w:ascii="Calibri" w:hAnsi="Calibri"/>
          <w:sz w:val="24"/>
          <w:szCs w:val="24"/>
          <w:lang w:val="en-US"/>
        </w:rPr>
        <w:lastRenderedPageBreak/>
        <w:t xml:space="preserve">To accommodate </w:t>
      </w:r>
      <w:r w:rsidR="002B2502">
        <w:rPr>
          <w:rFonts w:ascii="Calibri" w:hAnsi="Calibri"/>
          <w:sz w:val="24"/>
          <w:szCs w:val="24"/>
          <w:lang w:val="en-US"/>
        </w:rPr>
        <w:t xml:space="preserve">the discussion </w:t>
      </w:r>
      <w:r w:rsidR="00DE0547">
        <w:rPr>
          <w:rFonts w:ascii="Calibri" w:hAnsi="Calibri"/>
          <w:sz w:val="24"/>
          <w:szCs w:val="24"/>
          <w:lang w:val="en-US"/>
        </w:rPr>
        <w:t>on the Global Youth Summit discussion which were not further relevant to this document, the BDT Director complement</w:t>
      </w:r>
      <w:r w:rsidR="00611724">
        <w:rPr>
          <w:rFonts w:ascii="Calibri" w:hAnsi="Calibri"/>
          <w:sz w:val="24"/>
          <w:szCs w:val="24"/>
          <w:lang w:val="en-US"/>
        </w:rPr>
        <w:t>ed</w:t>
      </w:r>
      <w:r w:rsidR="00DE0547">
        <w:rPr>
          <w:rFonts w:ascii="Calibri" w:hAnsi="Calibri"/>
          <w:sz w:val="24"/>
          <w:szCs w:val="24"/>
          <w:lang w:val="en-US"/>
        </w:rPr>
        <w:t xml:space="preserve"> with information available </w:t>
      </w:r>
      <w:r w:rsidR="00DE0547" w:rsidRPr="0031058F">
        <w:rPr>
          <w:rFonts w:ascii="Calibri" w:hAnsi="Calibri"/>
          <w:sz w:val="24"/>
          <w:szCs w:val="24"/>
          <w:lang w:val="en-US"/>
        </w:rPr>
        <w:t>in document 13</w:t>
      </w:r>
      <w:r w:rsidR="00151256" w:rsidRPr="0031058F">
        <w:rPr>
          <w:rFonts w:ascii="Calibri" w:hAnsi="Calibri"/>
          <w:sz w:val="24"/>
          <w:szCs w:val="24"/>
          <w:lang w:val="en-US"/>
        </w:rPr>
        <w:t>,</w:t>
      </w:r>
      <w:r w:rsidR="00151256">
        <w:rPr>
          <w:rFonts w:ascii="Calibri" w:hAnsi="Calibri"/>
          <w:sz w:val="24"/>
          <w:szCs w:val="24"/>
          <w:lang w:val="en-US"/>
        </w:rPr>
        <w:t xml:space="preserve"> </w:t>
      </w:r>
      <w:r w:rsidR="00E559B0">
        <w:rPr>
          <w:rFonts w:ascii="Calibri" w:hAnsi="Calibri"/>
          <w:sz w:val="24"/>
          <w:szCs w:val="24"/>
          <w:lang w:val="en-US"/>
        </w:rPr>
        <w:t xml:space="preserve">(Report on </w:t>
      </w:r>
      <w:r w:rsidR="00D86222">
        <w:rPr>
          <w:rFonts w:ascii="Calibri" w:hAnsi="Calibri"/>
          <w:sz w:val="24"/>
          <w:szCs w:val="24"/>
          <w:lang w:val="en-US"/>
        </w:rPr>
        <w:t xml:space="preserve">Organizing an ITU </w:t>
      </w:r>
      <w:r w:rsidR="00E559B0">
        <w:rPr>
          <w:rFonts w:ascii="Calibri" w:hAnsi="Calibri"/>
          <w:sz w:val="24"/>
          <w:szCs w:val="24"/>
          <w:lang w:val="en-US"/>
        </w:rPr>
        <w:t xml:space="preserve">2024 Global Youth Summit) </w:t>
      </w:r>
      <w:r w:rsidR="00151256">
        <w:rPr>
          <w:rFonts w:ascii="Calibri" w:hAnsi="Calibri"/>
          <w:sz w:val="24"/>
          <w:szCs w:val="24"/>
          <w:lang w:val="en-US"/>
        </w:rPr>
        <w:t xml:space="preserve">incentivizing ITU membership to support </w:t>
      </w:r>
      <w:r w:rsidR="005D0112">
        <w:rPr>
          <w:rFonts w:ascii="Calibri" w:hAnsi="Calibri"/>
          <w:sz w:val="24"/>
          <w:szCs w:val="24"/>
          <w:lang w:val="en-US"/>
        </w:rPr>
        <w:t>their national</w:t>
      </w:r>
      <w:r w:rsidR="00895215">
        <w:rPr>
          <w:rFonts w:ascii="Calibri" w:hAnsi="Calibri"/>
          <w:sz w:val="24"/>
          <w:szCs w:val="24"/>
          <w:lang w:val="en-US"/>
        </w:rPr>
        <w:t xml:space="preserve"> GCYE</w:t>
      </w:r>
      <w:r w:rsidR="000E123F">
        <w:rPr>
          <w:rFonts w:ascii="Calibri" w:hAnsi="Calibri"/>
          <w:sz w:val="24"/>
          <w:szCs w:val="24"/>
          <w:lang w:val="en-US"/>
        </w:rPr>
        <w:t>’</w:t>
      </w:r>
      <w:r w:rsidR="00895215">
        <w:rPr>
          <w:rFonts w:ascii="Calibri" w:hAnsi="Calibri"/>
          <w:sz w:val="24"/>
          <w:szCs w:val="24"/>
          <w:lang w:val="en-US"/>
        </w:rPr>
        <w:t xml:space="preserve">s </w:t>
      </w:r>
      <w:r w:rsidR="00151256">
        <w:rPr>
          <w:rFonts w:ascii="Calibri" w:hAnsi="Calibri"/>
          <w:sz w:val="24"/>
          <w:szCs w:val="24"/>
          <w:lang w:val="en-US"/>
        </w:rPr>
        <w:t>participation in the Global Youth Summit and Youth Celebration prior to WTDC-2025</w:t>
      </w:r>
      <w:r w:rsidR="00DE0547">
        <w:rPr>
          <w:rFonts w:ascii="Calibri" w:hAnsi="Calibri"/>
          <w:sz w:val="24"/>
          <w:szCs w:val="24"/>
          <w:lang w:val="en-US"/>
        </w:rPr>
        <w:t>.</w:t>
      </w:r>
      <w:r w:rsidR="00B45BFF">
        <w:rPr>
          <w:rFonts w:ascii="Calibri" w:hAnsi="Calibri"/>
          <w:sz w:val="24"/>
          <w:szCs w:val="24"/>
          <w:lang w:val="en-US"/>
        </w:rPr>
        <w:t xml:space="preserve"> </w:t>
      </w:r>
    </w:p>
    <w:tbl>
      <w:tblPr>
        <w:tblStyle w:val="TableGrid"/>
        <w:tblW w:w="0" w:type="auto"/>
        <w:tblLook w:val="04A0" w:firstRow="1" w:lastRow="0" w:firstColumn="1" w:lastColumn="0" w:noHBand="0" w:noVBand="1"/>
      </w:tblPr>
      <w:tblGrid>
        <w:gridCol w:w="9629"/>
      </w:tblGrid>
      <w:tr w:rsidR="00ED7C2E" w14:paraId="5AD96D28" w14:textId="77777777" w:rsidTr="00ED7C2E">
        <w:tc>
          <w:tcPr>
            <w:tcW w:w="9629" w:type="dxa"/>
          </w:tcPr>
          <w:p w14:paraId="42448CC6" w14:textId="5A270443" w:rsidR="00ED7C2E" w:rsidRDefault="00ED7C2E" w:rsidP="00ED7C2E">
            <w:pPr>
              <w:pStyle w:val="CEONormal"/>
              <w:rPr>
                <w:rFonts w:asciiTheme="minorHAnsi" w:hAnsiTheme="minorHAnsi" w:cstheme="minorHAnsi"/>
                <w:sz w:val="24"/>
                <w:szCs w:val="24"/>
              </w:rPr>
            </w:pPr>
            <w:r w:rsidRPr="00ED7C2E">
              <w:rPr>
                <w:rFonts w:asciiTheme="minorHAnsi" w:hAnsiTheme="minorHAnsi" w:cstheme="minorHAnsi"/>
                <w:sz w:val="24"/>
                <w:szCs w:val="24"/>
              </w:rPr>
              <w:t>TDAG noted this contribution with appreciation, including its annex that provided an update on the 2024 ITU Generation Connect Youth Envoys Initiative.</w:t>
            </w:r>
          </w:p>
        </w:tc>
      </w:tr>
    </w:tbl>
    <w:p w14:paraId="1BF96336" w14:textId="6657907A" w:rsidR="006637C0" w:rsidRPr="00530690" w:rsidRDefault="006637C0" w:rsidP="00ED7C2E">
      <w:pPr>
        <w:spacing w:after="120"/>
        <w:rPr>
          <w:rStyle w:val="Hyperlink"/>
          <w:rFonts w:cstheme="minorHAnsi"/>
          <w:b/>
          <w:color w:val="auto"/>
          <w:szCs w:val="24"/>
          <w:u w:val="none"/>
          <w:lang w:val="en-US"/>
        </w:rPr>
      </w:pPr>
      <w:r w:rsidRPr="00530690">
        <w:rPr>
          <w:rFonts w:cstheme="minorHAnsi"/>
          <w:b/>
          <w:szCs w:val="24"/>
        </w:rPr>
        <w:t xml:space="preserve">Document </w:t>
      </w:r>
      <w:hyperlink r:id="rId67" w:history="1">
        <w:r w:rsidRPr="00530690">
          <w:rPr>
            <w:rStyle w:val="Hyperlink"/>
            <w:rFonts w:cstheme="minorHAnsi"/>
            <w:b/>
            <w:szCs w:val="24"/>
            <w:lang w:eastAsia="zh-CN"/>
          </w:rPr>
          <w:t>1</w:t>
        </w:r>
        <w:r w:rsidR="00165408" w:rsidRPr="00530690">
          <w:rPr>
            <w:rStyle w:val="Hyperlink"/>
            <w:rFonts w:cstheme="minorHAnsi"/>
            <w:b/>
            <w:szCs w:val="24"/>
            <w:lang w:eastAsia="zh-CN"/>
          </w:rPr>
          <w:t>9(Rev.1)</w:t>
        </w:r>
      </w:hyperlink>
      <w:r w:rsidRPr="00530690">
        <w:rPr>
          <w:rFonts w:cstheme="minorHAnsi"/>
          <w:b/>
          <w:szCs w:val="24"/>
        </w:rPr>
        <w:t xml:space="preserve"> </w:t>
      </w:r>
      <w:r w:rsidRPr="00530690">
        <w:rPr>
          <w:rStyle w:val="Hyperlink"/>
          <w:rFonts w:cstheme="minorHAnsi"/>
          <w:b/>
          <w:color w:val="auto"/>
          <w:szCs w:val="24"/>
          <w:u w:val="none"/>
          <w:lang w:val="en-US"/>
        </w:rPr>
        <w:t>(Chair, TDAG-WG-</w:t>
      </w:r>
      <w:proofErr w:type="spellStart"/>
      <w:r w:rsidRPr="00530690">
        <w:rPr>
          <w:rStyle w:val="Hyperlink"/>
          <w:rFonts w:cstheme="minorHAnsi"/>
          <w:b/>
          <w:color w:val="auto"/>
          <w:szCs w:val="24"/>
          <w:u w:val="none"/>
          <w:lang w:val="en-US"/>
        </w:rPr>
        <w:t>StreamRes</w:t>
      </w:r>
      <w:proofErr w:type="spellEnd"/>
      <w:r w:rsidRPr="00530690">
        <w:rPr>
          <w:rStyle w:val="Hyperlink"/>
          <w:rFonts w:cstheme="minorHAnsi"/>
          <w:b/>
          <w:color w:val="auto"/>
          <w:szCs w:val="24"/>
          <w:u w:val="none"/>
          <w:lang w:val="en-US"/>
        </w:rPr>
        <w:t>)</w:t>
      </w:r>
      <w:r w:rsidR="00530690" w:rsidRPr="00530690">
        <w:rPr>
          <w:rStyle w:val="Hyperlink"/>
          <w:rFonts w:cstheme="minorHAnsi"/>
          <w:b/>
          <w:bCs/>
          <w:color w:val="auto"/>
          <w:szCs w:val="24"/>
          <w:u w:val="none"/>
          <w:lang w:val="en-US"/>
        </w:rPr>
        <w:t xml:space="preserve"> - </w:t>
      </w:r>
      <w:r w:rsidR="00370D3B" w:rsidRPr="00370D3B">
        <w:rPr>
          <w:rStyle w:val="Hyperlink"/>
          <w:rFonts w:cstheme="minorHAnsi"/>
          <w:b/>
          <w:bCs/>
          <w:color w:val="auto"/>
          <w:szCs w:val="24"/>
          <w:u w:val="none"/>
          <w:lang w:val="en-US"/>
        </w:rPr>
        <w:t>Progress report on the work of the TDAG-WG-</w:t>
      </w:r>
      <w:proofErr w:type="spellStart"/>
      <w:r w:rsidR="00370D3B" w:rsidRPr="00370D3B">
        <w:rPr>
          <w:rStyle w:val="Hyperlink"/>
          <w:rFonts w:cstheme="minorHAnsi"/>
          <w:b/>
          <w:bCs/>
          <w:color w:val="auto"/>
          <w:szCs w:val="24"/>
          <w:u w:val="none"/>
          <w:lang w:val="en-US"/>
        </w:rPr>
        <w:t>StreamRes</w:t>
      </w:r>
      <w:proofErr w:type="spellEnd"/>
    </w:p>
    <w:p w14:paraId="6EA4227A" w14:textId="77777777" w:rsidR="0067178F" w:rsidRPr="00B95345" w:rsidRDefault="0067178F" w:rsidP="00ED7C2E">
      <w:pPr>
        <w:spacing w:after="120"/>
        <w:rPr>
          <w:rFonts w:cstheme="minorHAnsi"/>
          <w:szCs w:val="24"/>
          <w:lang w:val="en-US"/>
        </w:rPr>
      </w:pPr>
      <w:r w:rsidRPr="00B95345">
        <w:rPr>
          <w:rFonts w:cstheme="minorHAnsi"/>
          <w:szCs w:val="24"/>
        </w:rPr>
        <w:t>The Chair of the TDAG Working Group on Streamlining Resolutions presented the progress and key results achieved so far:</w:t>
      </w:r>
    </w:p>
    <w:p w14:paraId="29CB8561" w14:textId="4AEB377C"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95345">
        <w:rPr>
          <w:rFonts w:cstheme="minorHAnsi"/>
          <w:szCs w:val="24"/>
        </w:rPr>
        <w:t>The first meeting of the Working Group was held on 18 April 2024 (virtual) and the second meeting on 21 May 2024 (physical and virtual).</w:t>
      </w:r>
    </w:p>
    <w:p w14:paraId="54290D45" w14:textId="0086D39C" w:rsidR="0067178F" w:rsidRPr="009F071A"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val="en-US" w:eastAsia="ko-KR"/>
        </w:rPr>
      </w:pPr>
      <w:r w:rsidRPr="009F071A">
        <w:rPr>
          <w:rFonts w:eastAsia="Malgun Gothic" w:cstheme="minorHAnsi"/>
          <w:szCs w:val="24"/>
          <w:lang w:eastAsia="ko-KR"/>
        </w:rPr>
        <w:t xml:space="preserve">Two Vice-Chairs </w:t>
      </w:r>
      <w:r w:rsidR="008959B2" w:rsidRPr="009F071A">
        <w:rPr>
          <w:rFonts w:eastAsia="Malgun Gothic" w:cstheme="minorHAnsi"/>
          <w:szCs w:val="24"/>
          <w:lang w:eastAsia="ko-KR"/>
        </w:rPr>
        <w:t>were</w:t>
      </w:r>
      <w:r w:rsidRPr="009F071A">
        <w:rPr>
          <w:rFonts w:eastAsia="Malgun Gothic" w:cstheme="minorHAnsi"/>
          <w:szCs w:val="24"/>
          <w:lang w:eastAsia="ko-KR"/>
        </w:rPr>
        <w:t xml:space="preserve"> proposed and agreed by the Working Group:</w:t>
      </w:r>
      <w:r w:rsidR="001B4A20" w:rsidRPr="009F071A">
        <w:rPr>
          <w:rFonts w:eastAsia="Malgun Gothic" w:cstheme="minorHAnsi"/>
          <w:szCs w:val="24"/>
          <w:lang w:eastAsia="ko-KR"/>
        </w:rPr>
        <w:t xml:space="preserve"> </w:t>
      </w:r>
      <w:r w:rsidRPr="009F071A">
        <w:rPr>
          <w:rFonts w:eastAsia="Malgun Gothic" w:cstheme="minorHAnsi"/>
          <w:szCs w:val="24"/>
          <w:lang w:val="en-US" w:eastAsia="ko-KR"/>
        </w:rPr>
        <w:t>Ms. Blanca Gonzalez (Spain)</w:t>
      </w:r>
      <w:r w:rsidR="001B4A20" w:rsidRPr="009F071A">
        <w:rPr>
          <w:rFonts w:eastAsia="Malgun Gothic" w:cstheme="minorHAnsi"/>
          <w:szCs w:val="24"/>
          <w:lang w:val="en-US" w:eastAsia="ko-KR"/>
        </w:rPr>
        <w:t xml:space="preserve"> and </w:t>
      </w:r>
      <w:r w:rsidRPr="009F071A">
        <w:rPr>
          <w:rFonts w:eastAsia="Malgun Gothic" w:cstheme="minorHAnsi"/>
          <w:szCs w:val="24"/>
          <w:lang w:val="en-US" w:eastAsia="ko-KR"/>
        </w:rPr>
        <w:t>Ms. Agustina Brizo (Argentina)</w:t>
      </w:r>
      <w:r w:rsidR="00F418FE">
        <w:rPr>
          <w:rFonts w:eastAsia="Malgun Gothic" w:cstheme="minorHAnsi"/>
          <w:szCs w:val="24"/>
          <w:lang w:val="en-US" w:eastAsia="ko-KR"/>
        </w:rPr>
        <w:t>.</w:t>
      </w:r>
    </w:p>
    <w:p w14:paraId="45EF05B4" w14:textId="77777777"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SimHei" w:cstheme="minorHAnsi"/>
          <w:szCs w:val="24"/>
          <w:lang w:eastAsia="zh-CN"/>
        </w:rPr>
      </w:pPr>
      <w:r w:rsidRPr="009F071A">
        <w:rPr>
          <w:rFonts w:cstheme="minorHAnsi"/>
          <w:szCs w:val="24"/>
        </w:rPr>
        <w:t>A tentative calendar of future meetings will</w:t>
      </w:r>
      <w:r w:rsidRPr="00B95345">
        <w:rPr>
          <w:rFonts w:cstheme="minorHAnsi"/>
          <w:szCs w:val="24"/>
        </w:rPr>
        <w:t xml:space="preserve"> be proposed and posted on the </w:t>
      </w:r>
      <w:hyperlink r:id="rId68" w:history="1">
        <w:r w:rsidRPr="00B95345">
          <w:rPr>
            <w:rStyle w:val="Hyperlink"/>
            <w:rFonts w:cstheme="minorHAnsi"/>
            <w:szCs w:val="24"/>
          </w:rPr>
          <w:t>TDAG Working Group on Streamlining Resolutions website</w:t>
        </w:r>
      </w:hyperlink>
      <w:r w:rsidRPr="00B95345">
        <w:rPr>
          <w:rFonts w:cstheme="minorHAnsi"/>
          <w:szCs w:val="24"/>
        </w:rPr>
        <w:t>.</w:t>
      </w:r>
    </w:p>
    <w:p w14:paraId="7DBAAAF8" w14:textId="77777777"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eastAsia="ko-KR"/>
        </w:rPr>
      </w:pPr>
      <w:r w:rsidRPr="00B95345">
        <w:rPr>
          <w:rFonts w:cstheme="minorHAnsi"/>
          <w:szCs w:val="24"/>
        </w:rPr>
        <w:t>A Microsoft Teams collaborative workspace has been setup.</w:t>
      </w:r>
    </w:p>
    <w:p w14:paraId="7D3DF176" w14:textId="73AA685B"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eastAsia="ko-KR"/>
        </w:rPr>
      </w:pPr>
      <w:r w:rsidRPr="00B95345">
        <w:rPr>
          <w:rFonts w:cstheme="minorHAnsi"/>
          <w:szCs w:val="24"/>
        </w:rPr>
        <w:t xml:space="preserve">Document </w:t>
      </w:r>
      <w:hyperlink r:id="rId69" w:history="1">
        <w:r w:rsidRPr="00B95345">
          <w:rPr>
            <w:rStyle w:val="Hyperlink"/>
            <w:rFonts w:cstheme="minorHAnsi"/>
            <w:szCs w:val="24"/>
          </w:rPr>
          <w:t>37</w:t>
        </w:r>
      </w:hyperlink>
      <w:r w:rsidRPr="00B95345">
        <w:rPr>
          <w:rFonts w:cstheme="minorHAnsi"/>
          <w:szCs w:val="24"/>
        </w:rPr>
        <w:t xml:space="preserve"> from ATDI (France) had been considered as a contribution at the second meeting of the Working Group.</w:t>
      </w:r>
    </w:p>
    <w:p w14:paraId="4C65485B" w14:textId="29E9BFA7"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eastAsia="ko-KR"/>
        </w:rPr>
      </w:pPr>
      <w:r w:rsidRPr="00B95345">
        <w:rPr>
          <w:rFonts w:eastAsia="Malgun Gothic" w:cstheme="minorHAnsi"/>
          <w:szCs w:val="24"/>
          <w:lang w:eastAsia="ko-KR"/>
        </w:rPr>
        <w:t>The Terms of Reference were agreed at the second meeting of the Working Group and presented for TDAG's endorsement</w:t>
      </w:r>
      <w:r w:rsidRPr="00B95345">
        <w:rPr>
          <w:rFonts w:cstheme="minorHAnsi"/>
          <w:szCs w:val="24"/>
        </w:rPr>
        <w:t xml:space="preserve"> in document </w:t>
      </w:r>
      <w:hyperlink r:id="rId70" w:history="1">
        <w:r w:rsidRPr="00B95345">
          <w:rPr>
            <w:rStyle w:val="Hyperlink"/>
            <w:rFonts w:eastAsia="Malgun Gothic" w:cstheme="minorHAnsi"/>
            <w:szCs w:val="24"/>
            <w:lang w:eastAsia="ko-KR"/>
          </w:rPr>
          <w:t>DT/3</w:t>
        </w:r>
        <w:r w:rsidRPr="00F418FE">
          <w:rPr>
            <w:rStyle w:val="Hyperlink"/>
            <w:rFonts w:eastAsia="Malgun Gothic" w:cstheme="minorHAnsi"/>
            <w:color w:val="auto"/>
            <w:szCs w:val="24"/>
            <w:u w:val="none"/>
            <w:lang w:eastAsia="ko-KR"/>
          </w:rPr>
          <w:t>.</w:t>
        </w:r>
      </w:hyperlink>
    </w:p>
    <w:p w14:paraId="4923865F" w14:textId="4F5E5365" w:rsidR="0067178F" w:rsidRDefault="0067178F" w:rsidP="00ED7C2E">
      <w:pPr>
        <w:spacing w:after="120"/>
        <w:rPr>
          <w:rFonts w:cstheme="minorHAnsi"/>
          <w:szCs w:val="24"/>
        </w:rPr>
      </w:pPr>
      <w:r w:rsidRPr="00B95345">
        <w:rPr>
          <w:rFonts w:eastAsia="Malgun Gothic" w:cstheme="minorHAnsi"/>
          <w:szCs w:val="24"/>
          <w:lang w:eastAsia="ko-KR"/>
        </w:rPr>
        <w:t>Following discussions on potentially expanding the scope of the Working Group to include the revision of</w:t>
      </w:r>
      <w:r w:rsidR="00DB3065" w:rsidRPr="00B95345">
        <w:rPr>
          <w:rFonts w:eastAsia="Malgun Gothic" w:cstheme="minorHAnsi"/>
          <w:szCs w:val="24"/>
          <w:lang w:eastAsia="ko-KR"/>
        </w:rPr>
        <w:t xml:space="preserve"> the</w:t>
      </w:r>
      <w:r w:rsidRPr="00B95345">
        <w:rPr>
          <w:rFonts w:eastAsia="Malgun Gothic" w:cstheme="minorHAnsi"/>
          <w:szCs w:val="24"/>
          <w:lang w:eastAsia="ko-KR"/>
        </w:rPr>
        <w:t xml:space="preserve"> text </w:t>
      </w:r>
      <w:r w:rsidR="00DB3065" w:rsidRPr="00B95345">
        <w:rPr>
          <w:rFonts w:eastAsia="Malgun Gothic" w:cstheme="minorHAnsi"/>
          <w:szCs w:val="24"/>
          <w:lang w:eastAsia="ko-KR"/>
        </w:rPr>
        <w:t xml:space="preserve">contained </w:t>
      </w:r>
      <w:r w:rsidRPr="00B95345">
        <w:rPr>
          <w:rFonts w:eastAsia="Malgun Gothic" w:cstheme="minorHAnsi"/>
          <w:szCs w:val="24"/>
          <w:lang w:eastAsia="ko-KR"/>
        </w:rPr>
        <w:t xml:space="preserve">in resolutions, </w:t>
      </w:r>
      <w:r w:rsidR="00DB3065" w:rsidRPr="00B95345">
        <w:rPr>
          <w:rFonts w:eastAsia="Malgun Gothic" w:cstheme="minorHAnsi"/>
          <w:szCs w:val="24"/>
          <w:lang w:eastAsia="ko-KR"/>
        </w:rPr>
        <w:t>TDAG</w:t>
      </w:r>
      <w:r w:rsidRPr="00B95345">
        <w:rPr>
          <w:rFonts w:eastAsia="Malgun Gothic" w:cstheme="minorHAnsi"/>
          <w:szCs w:val="24"/>
          <w:lang w:eastAsia="ko-KR"/>
        </w:rPr>
        <w:t xml:space="preserve"> suggested </w:t>
      </w:r>
      <w:r w:rsidR="0069252D">
        <w:rPr>
          <w:rFonts w:eastAsia="Malgun Gothic" w:cstheme="minorHAnsi"/>
          <w:szCs w:val="24"/>
          <w:lang w:eastAsia="ko-KR"/>
        </w:rPr>
        <w:t xml:space="preserve">forming </w:t>
      </w:r>
      <w:r w:rsidRPr="00B95345">
        <w:rPr>
          <w:rFonts w:eastAsia="Malgun Gothic" w:cstheme="minorHAnsi"/>
          <w:szCs w:val="24"/>
          <w:lang w:eastAsia="ko-KR"/>
        </w:rPr>
        <w:t>additional working group(s) to</w:t>
      </w:r>
      <w:r w:rsidRPr="00B95345">
        <w:rPr>
          <w:rFonts w:cstheme="minorHAnsi"/>
          <w:szCs w:val="24"/>
        </w:rPr>
        <w:t xml:space="preserve"> </w:t>
      </w:r>
      <w:r w:rsidR="00AB4AE6">
        <w:rPr>
          <w:rFonts w:cstheme="minorHAnsi"/>
          <w:szCs w:val="24"/>
        </w:rPr>
        <w:t>handle other outputs for WTDC,</w:t>
      </w:r>
      <w:r w:rsidR="00B45BFF">
        <w:rPr>
          <w:rFonts w:cstheme="minorHAnsi"/>
          <w:szCs w:val="24"/>
        </w:rPr>
        <w:t xml:space="preserve"> </w:t>
      </w:r>
      <w:r w:rsidRPr="00B95345">
        <w:rPr>
          <w:rFonts w:cstheme="minorHAnsi"/>
          <w:szCs w:val="24"/>
        </w:rPr>
        <w:t xml:space="preserve">while noting that revisions on resolutions could only be submitted to the </w:t>
      </w:r>
      <w:r w:rsidR="00DB3065" w:rsidRPr="00B95345">
        <w:rPr>
          <w:rFonts w:cstheme="minorHAnsi"/>
          <w:szCs w:val="24"/>
        </w:rPr>
        <w:t>conference</w:t>
      </w:r>
      <w:r w:rsidRPr="00B95345">
        <w:rPr>
          <w:rFonts w:cstheme="minorHAnsi"/>
          <w:szCs w:val="24"/>
        </w:rPr>
        <w:t xml:space="preserve"> by </w:t>
      </w:r>
      <w:r w:rsidR="00DB3065" w:rsidRPr="00B95345">
        <w:rPr>
          <w:rFonts w:cstheme="minorHAnsi"/>
          <w:szCs w:val="24"/>
        </w:rPr>
        <w:t xml:space="preserve">the </w:t>
      </w:r>
      <w:r w:rsidRPr="00B95345">
        <w:rPr>
          <w:rFonts w:cstheme="minorHAnsi"/>
          <w:szCs w:val="24"/>
        </w:rPr>
        <w:t xml:space="preserve">membership. </w:t>
      </w:r>
      <w:r w:rsidR="00DB3065" w:rsidRPr="00B95345">
        <w:rPr>
          <w:rFonts w:cstheme="minorHAnsi"/>
          <w:szCs w:val="24"/>
        </w:rPr>
        <w:t xml:space="preserve">TDAG also </w:t>
      </w:r>
      <w:r w:rsidR="00A00ED8">
        <w:rPr>
          <w:rFonts w:cstheme="minorHAnsi"/>
          <w:szCs w:val="24"/>
        </w:rPr>
        <w:t>noted</w:t>
      </w:r>
      <w:r w:rsidR="00DB3065" w:rsidRPr="00B95345">
        <w:rPr>
          <w:rFonts w:cstheme="minorHAnsi"/>
          <w:szCs w:val="24"/>
        </w:rPr>
        <w:t xml:space="preserve"> </w:t>
      </w:r>
      <w:r w:rsidRPr="00B95345">
        <w:rPr>
          <w:rFonts w:cstheme="minorHAnsi"/>
          <w:szCs w:val="24"/>
        </w:rPr>
        <w:t>that the scope o</w:t>
      </w:r>
      <w:r w:rsidR="000B0C63">
        <w:rPr>
          <w:rFonts w:cstheme="minorHAnsi"/>
          <w:szCs w:val="24"/>
        </w:rPr>
        <w:t>f</w:t>
      </w:r>
      <w:r w:rsidRPr="00B95345">
        <w:rPr>
          <w:rFonts w:cstheme="minorHAnsi"/>
          <w:szCs w:val="24"/>
        </w:rPr>
        <w:t xml:space="preserve"> the Working Group on Streamlining Resolutions had been previously discussed at TDAG-23, which </w:t>
      </w:r>
      <w:r w:rsidR="000B0C63">
        <w:rPr>
          <w:rFonts w:cstheme="minorHAnsi"/>
          <w:szCs w:val="24"/>
        </w:rPr>
        <w:t xml:space="preserve">helped </w:t>
      </w:r>
      <w:r w:rsidRPr="00B95345">
        <w:rPr>
          <w:rFonts w:cstheme="minorHAnsi"/>
          <w:szCs w:val="24"/>
        </w:rPr>
        <w:t>form the basis for the Terms of Reference.</w:t>
      </w:r>
    </w:p>
    <w:tbl>
      <w:tblPr>
        <w:tblStyle w:val="TableGrid"/>
        <w:tblW w:w="0" w:type="auto"/>
        <w:tblLook w:val="04A0" w:firstRow="1" w:lastRow="0" w:firstColumn="1" w:lastColumn="0" w:noHBand="0" w:noVBand="1"/>
      </w:tblPr>
      <w:tblGrid>
        <w:gridCol w:w="9629"/>
      </w:tblGrid>
      <w:tr w:rsidR="00ED7C2E" w14:paraId="5F9C511C" w14:textId="77777777" w:rsidTr="00ED7C2E">
        <w:tc>
          <w:tcPr>
            <w:tcW w:w="9629" w:type="dxa"/>
          </w:tcPr>
          <w:p w14:paraId="298B49D6" w14:textId="6ABAB4F7" w:rsidR="00ED7C2E" w:rsidRDefault="00ED7C2E" w:rsidP="00ED7C2E">
            <w:pPr>
              <w:spacing w:after="120"/>
              <w:rPr>
                <w:rFonts w:cstheme="minorHAnsi"/>
                <w:szCs w:val="24"/>
              </w:rPr>
            </w:pPr>
            <w:r w:rsidRPr="00ED7C2E">
              <w:rPr>
                <w:rFonts w:cstheme="minorHAnsi"/>
                <w:szCs w:val="24"/>
              </w:rPr>
              <w:t>The TDAG thanked the Chair of the TDAG Working Group on Streamlining Resolutions and endorsed the appointment of the two Vice-Chairs: Ms. Blanca Gonzalez (Spain) and Ms. Agustina Brizo (Argentina).</w:t>
            </w:r>
          </w:p>
        </w:tc>
      </w:tr>
    </w:tbl>
    <w:p w14:paraId="0BC5F2ED" w14:textId="3FE6461E" w:rsidR="00FC2CB7" w:rsidRDefault="00FC2CB7" w:rsidP="00E03A36">
      <w:pPr>
        <w:spacing w:after="120"/>
        <w:jc w:val="both"/>
        <w:rPr>
          <w:rStyle w:val="Hyperlink"/>
          <w:rFonts w:cstheme="minorHAnsi"/>
          <w:b/>
          <w:bCs/>
          <w:color w:val="auto"/>
          <w:szCs w:val="24"/>
          <w:u w:val="none"/>
          <w:lang w:val="en-US"/>
        </w:rPr>
      </w:pPr>
      <w:r w:rsidRPr="002A2EE8">
        <w:rPr>
          <w:rFonts w:cstheme="minorHAnsi"/>
          <w:b/>
          <w:szCs w:val="24"/>
          <w:lang w:val="en-US"/>
        </w:rPr>
        <w:t xml:space="preserve">Document </w:t>
      </w:r>
      <w:hyperlink r:id="rId71" w:history="1">
        <w:r w:rsidRPr="002A2EE8">
          <w:rPr>
            <w:rStyle w:val="Hyperlink"/>
            <w:rFonts w:cstheme="minorHAnsi"/>
            <w:b/>
            <w:color w:val="0000FF"/>
            <w:szCs w:val="24"/>
            <w:lang w:val="en-US"/>
          </w:rPr>
          <w:t>DT/3</w:t>
        </w:r>
      </w:hyperlink>
      <w:r w:rsidRPr="002A2EE8">
        <w:rPr>
          <w:rStyle w:val="Hyperlink"/>
          <w:rFonts w:cstheme="minorHAnsi"/>
          <w:b/>
          <w:color w:val="0000FF"/>
          <w:szCs w:val="24"/>
          <w:lang w:val="en-US"/>
        </w:rPr>
        <w:t xml:space="preserve"> </w:t>
      </w:r>
      <w:r w:rsidRPr="002A2EE8">
        <w:rPr>
          <w:rStyle w:val="Hyperlink"/>
          <w:rFonts w:cstheme="minorHAnsi"/>
          <w:b/>
          <w:color w:val="auto"/>
          <w:szCs w:val="24"/>
          <w:u w:val="none"/>
          <w:lang w:val="en-US"/>
        </w:rPr>
        <w:t>(Chair, TDAG-WG-</w:t>
      </w:r>
      <w:proofErr w:type="spellStart"/>
      <w:r w:rsidRPr="002A2EE8">
        <w:rPr>
          <w:rStyle w:val="Hyperlink"/>
          <w:rFonts w:cstheme="minorHAnsi"/>
          <w:b/>
          <w:color w:val="auto"/>
          <w:szCs w:val="24"/>
          <w:u w:val="none"/>
          <w:lang w:val="en-US"/>
        </w:rPr>
        <w:t>StreamRes</w:t>
      </w:r>
      <w:proofErr w:type="spellEnd"/>
      <w:r w:rsidRPr="002A2EE8">
        <w:rPr>
          <w:rStyle w:val="Hyperlink"/>
          <w:rFonts w:cstheme="minorHAnsi"/>
          <w:b/>
          <w:color w:val="auto"/>
          <w:szCs w:val="24"/>
          <w:u w:val="none"/>
          <w:lang w:val="en-US"/>
        </w:rPr>
        <w:t>)</w:t>
      </w:r>
      <w:r w:rsidR="00370D3B" w:rsidRPr="002A2EE8">
        <w:rPr>
          <w:rStyle w:val="Hyperlink"/>
          <w:rFonts w:cstheme="minorHAnsi"/>
          <w:b/>
          <w:color w:val="auto"/>
          <w:szCs w:val="24"/>
          <w:u w:val="none"/>
          <w:lang w:val="en-US"/>
        </w:rPr>
        <w:t xml:space="preserve"> - </w:t>
      </w:r>
      <w:r w:rsidR="002A2EE8" w:rsidRPr="002A2EE8">
        <w:rPr>
          <w:rStyle w:val="Hyperlink"/>
          <w:rFonts w:cstheme="minorHAnsi"/>
          <w:b/>
          <w:bCs/>
          <w:color w:val="auto"/>
          <w:szCs w:val="24"/>
          <w:u w:val="none"/>
          <w:lang w:val="en-US"/>
        </w:rPr>
        <w:t>Draft Terms of Reference</w:t>
      </w:r>
    </w:p>
    <w:tbl>
      <w:tblPr>
        <w:tblStyle w:val="TableGrid"/>
        <w:tblW w:w="0" w:type="auto"/>
        <w:tblLook w:val="04A0" w:firstRow="1" w:lastRow="0" w:firstColumn="1" w:lastColumn="0" w:noHBand="0" w:noVBand="1"/>
      </w:tblPr>
      <w:tblGrid>
        <w:gridCol w:w="9629"/>
      </w:tblGrid>
      <w:tr w:rsidR="00ED7C2E" w14:paraId="603C45B5" w14:textId="77777777" w:rsidTr="00B309EA">
        <w:tc>
          <w:tcPr>
            <w:tcW w:w="9629" w:type="dxa"/>
          </w:tcPr>
          <w:p w14:paraId="76922903" w14:textId="0B8B3257" w:rsidR="00ED7C2E" w:rsidRDefault="00ED7C2E" w:rsidP="00B309EA">
            <w:pPr>
              <w:spacing w:after="120"/>
              <w:rPr>
                <w:rFonts w:cstheme="minorHAnsi"/>
                <w:szCs w:val="24"/>
              </w:rPr>
            </w:pPr>
            <w:r w:rsidRPr="00ED7C2E">
              <w:rPr>
                <w:rFonts w:cstheme="minorHAnsi"/>
                <w:szCs w:val="24"/>
              </w:rPr>
              <w:t>TDAG approved the Terms of Reference of the Working Group on Streamlining Resolutions as presented in document DT/3.</w:t>
            </w:r>
          </w:p>
        </w:tc>
      </w:tr>
    </w:tbl>
    <w:p w14:paraId="0F6567BF" w14:textId="25923132" w:rsidR="00C9103B" w:rsidRPr="00ED7C2E" w:rsidRDefault="00C9103B" w:rsidP="00ED7C2E">
      <w:pPr>
        <w:spacing w:after="120"/>
        <w:rPr>
          <w:rStyle w:val="Hyperlink"/>
          <w:rFonts w:cstheme="minorHAnsi"/>
          <w:b/>
          <w:color w:val="auto"/>
          <w:szCs w:val="24"/>
          <w:u w:val="none"/>
        </w:rPr>
      </w:pPr>
      <w:r w:rsidRPr="00ED7C2E">
        <w:rPr>
          <w:rFonts w:cstheme="minorHAnsi"/>
          <w:b/>
          <w:szCs w:val="24"/>
        </w:rPr>
        <w:t xml:space="preserve">Document </w:t>
      </w:r>
      <w:hyperlink r:id="rId72" w:history="1">
        <w:r w:rsidRPr="00ED7C2E">
          <w:rPr>
            <w:rStyle w:val="Hyperlink"/>
            <w:rFonts w:cstheme="minorHAnsi"/>
            <w:b/>
            <w:szCs w:val="24"/>
          </w:rPr>
          <w:t>34</w:t>
        </w:r>
      </w:hyperlink>
      <w:r w:rsidR="008929D3" w:rsidRPr="00ED7C2E">
        <w:rPr>
          <w:rStyle w:val="Hyperlink"/>
          <w:rFonts w:cstheme="minorHAnsi"/>
          <w:b/>
          <w:color w:val="auto"/>
          <w:szCs w:val="24"/>
          <w:u w:val="none"/>
        </w:rPr>
        <w:t xml:space="preserve"> (</w:t>
      </w:r>
      <w:r w:rsidR="00A31DB2" w:rsidRPr="00ED7C2E">
        <w:rPr>
          <w:rStyle w:val="Hyperlink"/>
          <w:rFonts w:cstheme="minorHAnsi"/>
          <w:b/>
          <w:color w:val="auto"/>
          <w:szCs w:val="24"/>
          <w:u w:val="none"/>
        </w:rPr>
        <w:t>Russian Federation</w:t>
      </w:r>
      <w:r w:rsidR="008929D3" w:rsidRPr="00ED7C2E">
        <w:rPr>
          <w:rStyle w:val="Hyperlink"/>
          <w:rFonts w:cstheme="minorHAnsi"/>
          <w:b/>
          <w:color w:val="auto"/>
          <w:szCs w:val="24"/>
          <w:u w:val="none"/>
        </w:rPr>
        <w:t>)</w:t>
      </w:r>
      <w:r w:rsidR="002A2EE8" w:rsidRPr="00ED7C2E">
        <w:rPr>
          <w:rStyle w:val="Hyperlink"/>
          <w:rFonts w:cstheme="minorHAnsi"/>
          <w:b/>
          <w:bCs/>
          <w:color w:val="auto"/>
          <w:szCs w:val="24"/>
          <w:u w:val="none"/>
        </w:rPr>
        <w:t xml:space="preserve"> - </w:t>
      </w:r>
      <w:r w:rsidR="00C929A7" w:rsidRPr="00ED7C2E">
        <w:rPr>
          <w:rStyle w:val="Hyperlink"/>
          <w:rFonts w:cstheme="minorHAnsi"/>
          <w:b/>
          <w:bCs/>
          <w:color w:val="auto"/>
          <w:szCs w:val="24"/>
          <w:u w:val="none"/>
        </w:rPr>
        <w:t>Publication of WTDC Resolutions</w:t>
      </w:r>
    </w:p>
    <w:p w14:paraId="428EDCD0" w14:textId="244608EF" w:rsidR="00DC7312" w:rsidRDefault="006D4D12" w:rsidP="00ED7C2E">
      <w:pPr>
        <w:spacing w:after="120"/>
        <w:rPr>
          <w:rStyle w:val="Hyperlink"/>
          <w:rFonts w:cstheme="minorHAnsi"/>
          <w:color w:val="auto"/>
          <w:szCs w:val="24"/>
          <w:u w:val="none"/>
        </w:rPr>
      </w:pPr>
      <w:r w:rsidRPr="00ED7C2E">
        <w:rPr>
          <w:rStyle w:val="Hyperlink"/>
          <w:rFonts w:cstheme="minorHAnsi"/>
          <w:color w:val="auto"/>
          <w:szCs w:val="24"/>
          <w:u w:val="none"/>
        </w:rPr>
        <w:t>This contribution proposed improvements to the ITU-D website containing the WTDC-22 Resolutions and Recommendations</w:t>
      </w:r>
      <w:r w:rsidR="00642FA5" w:rsidRPr="00ED7C2E">
        <w:rPr>
          <w:rStyle w:val="Hyperlink"/>
          <w:rFonts w:cstheme="minorHAnsi"/>
          <w:color w:val="auto"/>
          <w:szCs w:val="24"/>
          <w:u w:val="none"/>
        </w:rPr>
        <w:t>, noting f</w:t>
      </w:r>
      <w:r w:rsidRPr="00ED7C2E">
        <w:rPr>
          <w:rStyle w:val="Hyperlink"/>
          <w:rFonts w:cstheme="minorHAnsi"/>
          <w:color w:val="auto"/>
          <w:szCs w:val="24"/>
          <w:u w:val="none"/>
        </w:rPr>
        <w:t>or instance, t</w:t>
      </w:r>
      <w:r w:rsidR="00F44723" w:rsidRPr="00ED7C2E">
        <w:rPr>
          <w:rStyle w:val="Hyperlink"/>
          <w:rFonts w:cstheme="minorHAnsi"/>
          <w:color w:val="auto"/>
          <w:szCs w:val="24"/>
          <w:u w:val="none"/>
        </w:rPr>
        <w:t xml:space="preserve">hat the </w:t>
      </w:r>
      <w:r w:rsidRPr="00ED7C2E">
        <w:rPr>
          <w:rStyle w:val="Hyperlink"/>
          <w:rFonts w:cstheme="minorHAnsi"/>
          <w:color w:val="auto"/>
          <w:szCs w:val="24"/>
          <w:u w:val="none"/>
        </w:rPr>
        <w:t xml:space="preserve">list of WTDC Resolutions displayed on the website includes Resolutions no longer in force, without any indication, which may cause confusion. The </w:t>
      </w:r>
      <w:r w:rsidR="00F44723" w:rsidRPr="00ED7C2E">
        <w:rPr>
          <w:rStyle w:val="Hyperlink"/>
          <w:rFonts w:cstheme="minorHAnsi"/>
          <w:color w:val="auto"/>
          <w:szCs w:val="24"/>
          <w:u w:val="none"/>
        </w:rPr>
        <w:t xml:space="preserve">contribution also suggested that the </w:t>
      </w:r>
      <w:r w:rsidRPr="00ED7C2E">
        <w:rPr>
          <w:rStyle w:val="Hyperlink"/>
          <w:rFonts w:cstheme="minorHAnsi"/>
          <w:color w:val="auto"/>
          <w:szCs w:val="24"/>
          <w:u w:val="none"/>
        </w:rPr>
        <w:t xml:space="preserve">section of the ITU website related to the WTDC Resolutions should allow access to suppressed resolutions </w:t>
      </w:r>
      <w:r w:rsidR="00F137E4" w:rsidRPr="00ED7C2E">
        <w:rPr>
          <w:rStyle w:val="Hyperlink"/>
          <w:rFonts w:cstheme="minorHAnsi"/>
          <w:color w:val="auto"/>
          <w:szCs w:val="24"/>
          <w:u w:val="none"/>
        </w:rPr>
        <w:t xml:space="preserve">as well as previous </w:t>
      </w:r>
      <w:r w:rsidRPr="00ED7C2E">
        <w:rPr>
          <w:rStyle w:val="Hyperlink"/>
          <w:rFonts w:cstheme="minorHAnsi"/>
          <w:color w:val="auto"/>
          <w:szCs w:val="24"/>
          <w:u w:val="none"/>
        </w:rPr>
        <w:t xml:space="preserve">versions of revised </w:t>
      </w:r>
      <w:r w:rsidR="00F137E4" w:rsidRPr="00ED7C2E">
        <w:rPr>
          <w:rStyle w:val="Hyperlink"/>
          <w:rFonts w:cstheme="minorHAnsi"/>
          <w:color w:val="auto"/>
          <w:szCs w:val="24"/>
          <w:u w:val="none"/>
        </w:rPr>
        <w:t>Resolutions</w:t>
      </w:r>
      <w:r w:rsidRPr="00ED7C2E">
        <w:rPr>
          <w:rStyle w:val="Hyperlink"/>
          <w:rFonts w:cstheme="minorHAnsi"/>
          <w:color w:val="auto"/>
          <w:szCs w:val="24"/>
          <w:u w:val="none"/>
        </w:rPr>
        <w:t>.</w:t>
      </w:r>
    </w:p>
    <w:tbl>
      <w:tblPr>
        <w:tblStyle w:val="TableGrid"/>
        <w:tblW w:w="0" w:type="auto"/>
        <w:tblLook w:val="04A0" w:firstRow="1" w:lastRow="0" w:firstColumn="1" w:lastColumn="0" w:noHBand="0" w:noVBand="1"/>
      </w:tblPr>
      <w:tblGrid>
        <w:gridCol w:w="9629"/>
      </w:tblGrid>
      <w:tr w:rsidR="00ED7C2E" w14:paraId="5FBD59DB" w14:textId="77777777" w:rsidTr="00ED7C2E">
        <w:tc>
          <w:tcPr>
            <w:tcW w:w="9629" w:type="dxa"/>
          </w:tcPr>
          <w:p w14:paraId="18F3E5A3" w14:textId="7B2A2B06" w:rsidR="00ED7C2E" w:rsidRDefault="00ED7C2E" w:rsidP="00ED7C2E">
            <w:pPr>
              <w:spacing w:after="120"/>
              <w:rPr>
                <w:rStyle w:val="Hyperlink"/>
                <w:rFonts w:cstheme="minorHAnsi"/>
                <w:color w:val="auto"/>
                <w:szCs w:val="24"/>
                <w:u w:val="none"/>
              </w:rPr>
            </w:pPr>
            <w:r w:rsidRPr="00ED7C2E">
              <w:rPr>
                <w:rStyle w:val="Hyperlink"/>
                <w:rFonts w:cstheme="minorHAnsi"/>
                <w:color w:val="auto"/>
                <w:szCs w:val="24"/>
                <w:u w:val="none"/>
              </w:rPr>
              <w:lastRenderedPageBreak/>
              <w:t>This contribution proposed improvements to the ITU-D website containing the WTDC-22 Resolutions and Recommendations. TDAG thanked the BDT Secretariat for its quick action to highlight the resolutions superseded by WTDC-22, and supported further improvements to make previous versions of ITU-D resolutions easily available for download as proposed in the contribution.</w:t>
            </w:r>
          </w:p>
        </w:tc>
      </w:tr>
    </w:tbl>
    <w:p w14:paraId="76837054" w14:textId="0397E8FB" w:rsidR="00212362" w:rsidRPr="00ED7C2E" w:rsidRDefault="00212362" w:rsidP="00ED7C2E">
      <w:pPr>
        <w:spacing w:after="120"/>
        <w:rPr>
          <w:rStyle w:val="Hyperlink"/>
          <w:rFonts w:cstheme="minorHAnsi"/>
          <w:b/>
          <w:color w:val="auto"/>
          <w:szCs w:val="24"/>
          <w:u w:val="none"/>
        </w:rPr>
      </w:pPr>
      <w:r w:rsidRPr="00ED7C2E">
        <w:rPr>
          <w:rFonts w:cstheme="minorHAnsi"/>
          <w:b/>
          <w:szCs w:val="24"/>
        </w:rPr>
        <w:t xml:space="preserve">Document </w:t>
      </w:r>
      <w:hyperlink r:id="rId73" w:history="1">
        <w:r w:rsidRPr="00ED7C2E">
          <w:rPr>
            <w:rStyle w:val="Hyperlink"/>
            <w:rFonts w:cstheme="minorHAnsi"/>
            <w:b/>
            <w:szCs w:val="24"/>
          </w:rPr>
          <w:t>37</w:t>
        </w:r>
      </w:hyperlink>
      <w:r w:rsidRPr="00ED7C2E">
        <w:rPr>
          <w:rStyle w:val="Hyperlink"/>
          <w:rFonts w:cstheme="minorHAnsi"/>
          <w:b/>
          <w:color w:val="auto"/>
          <w:szCs w:val="24"/>
          <w:u w:val="none"/>
        </w:rPr>
        <w:t xml:space="preserve"> (ATDI)</w:t>
      </w:r>
      <w:r w:rsidR="00C929A7" w:rsidRPr="00ED7C2E">
        <w:rPr>
          <w:rStyle w:val="Hyperlink"/>
          <w:rFonts w:cstheme="minorHAnsi"/>
          <w:b/>
          <w:bCs/>
          <w:color w:val="auto"/>
          <w:szCs w:val="24"/>
          <w:u w:val="none"/>
        </w:rPr>
        <w:t xml:space="preserve"> - </w:t>
      </w:r>
      <w:r w:rsidR="00E706DF" w:rsidRPr="00ED7C2E">
        <w:rPr>
          <w:rStyle w:val="Hyperlink"/>
          <w:rFonts w:cstheme="minorHAnsi"/>
          <w:b/>
          <w:bCs/>
          <w:color w:val="auto"/>
          <w:szCs w:val="24"/>
          <w:u w:val="none"/>
        </w:rPr>
        <w:t>Streamlining WTDC Resolutions: Revision of Terms of Reference</w:t>
      </w:r>
    </w:p>
    <w:p w14:paraId="69B4CD54" w14:textId="7DBF01ED" w:rsidR="0025169D" w:rsidRPr="00ED7C2E" w:rsidRDefault="007052DC" w:rsidP="00ED7C2E">
      <w:pPr>
        <w:spacing w:after="120"/>
        <w:rPr>
          <w:rStyle w:val="Hyperlink"/>
          <w:rFonts w:cstheme="minorHAnsi"/>
          <w:color w:val="auto"/>
          <w:szCs w:val="24"/>
          <w:u w:val="none"/>
        </w:rPr>
      </w:pPr>
      <w:r w:rsidRPr="00ED7C2E">
        <w:rPr>
          <w:rStyle w:val="Hyperlink"/>
          <w:rFonts w:cstheme="minorHAnsi"/>
          <w:color w:val="auto"/>
          <w:szCs w:val="24"/>
          <w:u w:val="none"/>
        </w:rPr>
        <w:t>The background paper</w:t>
      </w:r>
      <w:r w:rsidR="00623AB8" w:rsidRPr="00ED7C2E">
        <w:rPr>
          <w:rStyle w:val="Hyperlink"/>
          <w:rFonts w:cstheme="minorHAnsi"/>
          <w:color w:val="auto"/>
          <w:szCs w:val="24"/>
          <w:u w:val="none"/>
        </w:rPr>
        <w:t>,</w:t>
      </w:r>
      <w:r w:rsidRPr="00ED7C2E">
        <w:rPr>
          <w:rStyle w:val="Hyperlink"/>
          <w:rFonts w:cstheme="minorHAnsi"/>
          <w:color w:val="auto"/>
          <w:szCs w:val="24"/>
          <w:u w:val="none"/>
        </w:rPr>
        <w:t xml:space="preserve"> </w:t>
      </w:r>
      <w:r w:rsidR="00344836" w:rsidRPr="00ED7C2E">
        <w:rPr>
          <w:rStyle w:val="Hyperlink"/>
          <w:rFonts w:cstheme="minorHAnsi"/>
          <w:color w:val="auto"/>
          <w:szCs w:val="24"/>
          <w:u w:val="none"/>
        </w:rPr>
        <w:t>Document TDAG-WG-SR/3</w:t>
      </w:r>
      <w:r w:rsidR="00623AB8" w:rsidRPr="00ED7C2E">
        <w:rPr>
          <w:rStyle w:val="Hyperlink"/>
          <w:rFonts w:cstheme="minorHAnsi"/>
          <w:color w:val="auto"/>
          <w:szCs w:val="24"/>
          <w:u w:val="none"/>
        </w:rPr>
        <w:t>,</w:t>
      </w:r>
      <w:r w:rsidR="00344836" w:rsidRPr="00ED7C2E">
        <w:rPr>
          <w:rStyle w:val="Hyperlink"/>
          <w:rFonts w:cstheme="minorHAnsi"/>
          <w:color w:val="auto"/>
          <w:szCs w:val="24"/>
          <w:u w:val="none"/>
        </w:rPr>
        <w:t xml:space="preserve"> specifie</w:t>
      </w:r>
      <w:r w:rsidR="0025169D" w:rsidRPr="00ED7C2E">
        <w:rPr>
          <w:rStyle w:val="Hyperlink"/>
          <w:rFonts w:cstheme="minorHAnsi"/>
          <w:color w:val="auto"/>
          <w:szCs w:val="24"/>
          <w:u w:val="none"/>
        </w:rPr>
        <w:t>s</w:t>
      </w:r>
      <w:r w:rsidR="00344836" w:rsidRPr="00ED7C2E">
        <w:rPr>
          <w:rStyle w:val="Hyperlink"/>
          <w:rFonts w:cstheme="minorHAnsi"/>
          <w:color w:val="auto"/>
          <w:szCs w:val="24"/>
          <w:u w:val="none"/>
        </w:rPr>
        <w:t xml:space="preserve"> the </w:t>
      </w:r>
      <w:r w:rsidR="00913D39" w:rsidRPr="00ED7C2E">
        <w:rPr>
          <w:rStyle w:val="Hyperlink"/>
          <w:rFonts w:cstheme="minorHAnsi"/>
          <w:color w:val="auto"/>
          <w:szCs w:val="24"/>
          <w:u w:val="none"/>
        </w:rPr>
        <w:t xml:space="preserve">Terms of Reference </w:t>
      </w:r>
      <w:r w:rsidR="00344836" w:rsidRPr="00ED7C2E">
        <w:rPr>
          <w:rStyle w:val="Hyperlink"/>
          <w:rFonts w:cstheme="minorHAnsi"/>
          <w:color w:val="auto"/>
          <w:szCs w:val="24"/>
          <w:u w:val="none"/>
        </w:rPr>
        <w:t xml:space="preserve">of the </w:t>
      </w:r>
      <w:r w:rsidRPr="00ED7C2E">
        <w:rPr>
          <w:rStyle w:val="Hyperlink"/>
          <w:rFonts w:cstheme="minorHAnsi"/>
          <w:color w:val="auto"/>
          <w:szCs w:val="24"/>
          <w:u w:val="none"/>
        </w:rPr>
        <w:t>TDAG Working Group on Streamlining Resolutions (</w:t>
      </w:r>
      <w:r w:rsidR="00344836" w:rsidRPr="00ED7C2E">
        <w:rPr>
          <w:rStyle w:val="Hyperlink"/>
          <w:rFonts w:cstheme="minorHAnsi"/>
          <w:color w:val="auto"/>
          <w:szCs w:val="24"/>
          <w:u w:val="none"/>
        </w:rPr>
        <w:t>TDAG-WG-SR</w:t>
      </w:r>
      <w:r w:rsidRPr="00ED7C2E">
        <w:rPr>
          <w:rStyle w:val="Hyperlink"/>
          <w:rFonts w:cstheme="minorHAnsi"/>
          <w:color w:val="auto"/>
          <w:szCs w:val="24"/>
          <w:u w:val="none"/>
        </w:rPr>
        <w:t>)</w:t>
      </w:r>
      <w:r w:rsidR="00EA0BF3" w:rsidRPr="00ED7C2E">
        <w:rPr>
          <w:rStyle w:val="Hyperlink"/>
          <w:rFonts w:cstheme="minorHAnsi"/>
          <w:color w:val="auto"/>
          <w:szCs w:val="24"/>
          <w:u w:val="none"/>
        </w:rPr>
        <w:t>.</w:t>
      </w:r>
      <w:r w:rsidR="00B45BFF" w:rsidRPr="00ED7C2E">
        <w:rPr>
          <w:rStyle w:val="Hyperlink"/>
          <w:rFonts w:cstheme="minorHAnsi"/>
          <w:color w:val="auto"/>
          <w:szCs w:val="24"/>
          <w:u w:val="none"/>
        </w:rPr>
        <w:t xml:space="preserve"> </w:t>
      </w:r>
      <w:r w:rsidR="00EA0BF3" w:rsidRPr="00ED7C2E">
        <w:rPr>
          <w:rStyle w:val="Hyperlink"/>
          <w:rFonts w:cstheme="minorHAnsi"/>
          <w:color w:val="auto"/>
          <w:szCs w:val="24"/>
          <w:u w:val="none"/>
        </w:rPr>
        <w:t xml:space="preserve">It </w:t>
      </w:r>
      <w:r w:rsidR="00344836" w:rsidRPr="00ED7C2E">
        <w:rPr>
          <w:rStyle w:val="Hyperlink"/>
          <w:rFonts w:cstheme="minorHAnsi"/>
          <w:color w:val="auto"/>
          <w:szCs w:val="24"/>
          <w:u w:val="none"/>
        </w:rPr>
        <w:t>assess</w:t>
      </w:r>
      <w:r w:rsidR="00EA0BF3" w:rsidRPr="00ED7C2E">
        <w:rPr>
          <w:rStyle w:val="Hyperlink"/>
          <w:rFonts w:cstheme="minorHAnsi"/>
          <w:color w:val="auto"/>
          <w:szCs w:val="24"/>
          <w:u w:val="none"/>
        </w:rPr>
        <w:t>ed</w:t>
      </w:r>
      <w:r w:rsidR="00344836" w:rsidRPr="00ED7C2E">
        <w:rPr>
          <w:rStyle w:val="Hyperlink"/>
          <w:rFonts w:cstheme="minorHAnsi"/>
          <w:color w:val="auto"/>
          <w:szCs w:val="24"/>
          <w:u w:val="none"/>
        </w:rPr>
        <w:t xml:space="preserve"> the Plenipotentiary Conference Resolutions to avoid duplication of efforts and treatment of the same subject to focus on efficiency and resource optimization. It also consider</w:t>
      </w:r>
      <w:r w:rsidR="00EA0BF3" w:rsidRPr="00ED7C2E">
        <w:rPr>
          <w:rStyle w:val="Hyperlink"/>
          <w:rFonts w:cstheme="minorHAnsi"/>
          <w:color w:val="auto"/>
          <w:szCs w:val="24"/>
          <w:u w:val="none"/>
        </w:rPr>
        <w:t>ed</w:t>
      </w:r>
      <w:r w:rsidR="00344836" w:rsidRPr="00ED7C2E">
        <w:rPr>
          <w:rStyle w:val="Hyperlink"/>
          <w:rFonts w:cstheme="minorHAnsi"/>
          <w:color w:val="auto"/>
          <w:szCs w:val="24"/>
          <w:u w:val="none"/>
        </w:rPr>
        <w:t xml:space="preserve"> the reduction of Resolutions</w:t>
      </w:r>
      <w:r w:rsidR="00EA0BF3" w:rsidRPr="00ED7C2E">
        <w:rPr>
          <w:rStyle w:val="Hyperlink"/>
          <w:rFonts w:cstheme="minorHAnsi"/>
          <w:color w:val="auto"/>
          <w:szCs w:val="24"/>
          <w:u w:val="none"/>
        </w:rPr>
        <w:t xml:space="preserve"> at the next WTDC</w:t>
      </w:r>
      <w:r w:rsidR="00344836" w:rsidRPr="00ED7C2E">
        <w:rPr>
          <w:rStyle w:val="Hyperlink"/>
          <w:rFonts w:cstheme="minorHAnsi"/>
          <w:color w:val="auto"/>
          <w:szCs w:val="24"/>
          <w:u w:val="none"/>
        </w:rPr>
        <w:t xml:space="preserve">. </w:t>
      </w:r>
    </w:p>
    <w:p w14:paraId="364B32EE" w14:textId="1E3B72EE" w:rsidR="00344836" w:rsidRDefault="00913D39" w:rsidP="00ED7C2E">
      <w:pPr>
        <w:spacing w:after="120"/>
        <w:rPr>
          <w:rStyle w:val="Hyperlink"/>
          <w:rFonts w:cstheme="minorHAnsi"/>
          <w:color w:val="auto"/>
          <w:szCs w:val="24"/>
          <w:u w:val="none"/>
        </w:rPr>
      </w:pPr>
      <w:r w:rsidRPr="00ED7C2E">
        <w:rPr>
          <w:rStyle w:val="Hyperlink"/>
          <w:rFonts w:cstheme="minorHAnsi"/>
          <w:color w:val="auto"/>
          <w:szCs w:val="24"/>
          <w:u w:val="none"/>
        </w:rPr>
        <w:t xml:space="preserve">In this contribution, </w:t>
      </w:r>
      <w:r w:rsidR="00344836" w:rsidRPr="00ED7C2E">
        <w:rPr>
          <w:rStyle w:val="Hyperlink"/>
          <w:rFonts w:cstheme="minorHAnsi"/>
          <w:color w:val="auto"/>
          <w:szCs w:val="24"/>
          <w:u w:val="none"/>
        </w:rPr>
        <w:t>ATDI propose</w:t>
      </w:r>
      <w:r w:rsidRPr="00ED7C2E">
        <w:rPr>
          <w:rStyle w:val="Hyperlink"/>
          <w:rFonts w:cstheme="minorHAnsi"/>
          <w:color w:val="auto"/>
          <w:szCs w:val="24"/>
          <w:u w:val="none"/>
        </w:rPr>
        <w:t>d</w:t>
      </w:r>
      <w:r w:rsidR="00344836" w:rsidRPr="00ED7C2E">
        <w:rPr>
          <w:rStyle w:val="Hyperlink"/>
          <w:rFonts w:cstheme="minorHAnsi"/>
          <w:color w:val="auto"/>
          <w:szCs w:val="24"/>
          <w:u w:val="none"/>
        </w:rPr>
        <w:t xml:space="preserve"> to revise the Terms of Reference of the TDAG-WG-SR.</w:t>
      </w:r>
    </w:p>
    <w:tbl>
      <w:tblPr>
        <w:tblStyle w:val="TableGrid"/>
        <w:tblW w:w="0" w:type="auto"/>
        <w:tblLook w:val="04A0" w:firstRow="1" w:lastRow="0" w:firstColumn="1" w:lastColumn="0" w:noHBand="0" w:noVBand="1"/>
      </w:tblPr>
      <w:tblGrid>
        <w:gridCol w:w="9629"/>
      </w:tblGrid>
      <w:tr w:rsidR="00ED7C2E" w14:paraId="5684794F" w14:textId="77777777" w:rsidTr="00ED7C2E">
        <w:tc>
          <w:tcPr>
            <w:tcW w:w="9629" w:type="dxa"/>
          </w:tcPr>
          <w:p w14:paraId="54F1ACF1" w14:textId="22E8F566" w:rsidR="00ED7C2E" w:rsidRDefault="00ED7C2E" w:rsidP="00ED7C2E">
            <w:pPr>
              <w:spacing w:after="120"/>
              <w:rPr>
                <w:rStyle w:val="Hyperlink"/>
                <w:rFonts w:cstheme="minorHAnsi"/>
                <w:color w:val="auto"/>
                <w:szCs w:val="24"/>
                <w:u w:val="none"/>
              </w:rPr>
            </w:pPr>
            <w:r w:rsidRPr="00ED7C2E">
              <w:rPr>
                <w:rStyle w:val="Hyperlink"/>
                <w:rFonts w:cstheme="minorHAnsi"/>
                <w:color w:val="auto"/>
                <w:szCs w:val="24"/>
                <w:u w:val="none"/>
              </w:rPr>
              <w:t>TDAG acknowledged that the content of this contribution was considered and incorporated by the Working Group on Streamlining of the Resolutions in their terms of reference found in document DT/3.</w:t>
            </w:r>
          </w:p>
        </w:tc>
      </w:tr>
    </w:tbl>
    <w:p w14:paraId="71781B64" w14:textId="1DDF608C" w:rsidR="006B21B2" w:rsidRPr="00ED7C2E" w:rsidRDefault="006B21B2" w:rsidP="00ED7C2E">
      <w:pPr>
        <w:spacing w:after="120"/>
        <w:rPr>
          <w:rStyle w:val="Hyperlink"/>
          <w:rFonts w:cstheme="minorHAnsi"/>
          <w:b/>
          <w:color w:val="auto"/>
          <w:szCs w:val="24"/>
          <w:u w:val="none"/>
        </w:rPr>
      </w:pPr>
      <w:r w:rsidRPr="00ED7C2E">
        <w:rPr>
          <w:rFonts w:cstheme="minorHAnsi"/>
          <w:b/>
          <w:szCs w:val="24"/>
        </w:rPr>
        <w:t xml:space="preserve">Document </w:t>
      </w:r>
      <w:hyperlink r:id="rId74" w:history="1">
        <w:r w:rsidRPr="00ED7C2E">
          <w:rPr>
            <w:rStyle w:val="Hyperlink"/>
            <w:rFonts w:cstheme="minorHAnsi"/>
            <w:b/>
            <w:szCs w:val="24"/>
          </w:rPr>
          <w:t>39</w:t>
        </w:r>
      </w:hyperlink>
      <w:r w:rsidRPr="00ED7C2E">
        <w:rPr>
          <w:rStyle w:val="Hyperlink"/>
          <w:rFonts w:cstheme="minorHAnsi"/>
          <w:b/>
          <w:color w:val="auto"/>
          <w:szCs w:val="24"/>
          <w:u w:val="none"/>
        </w:rPr>
        <w:t xml:space="preserve"> (Russian Federation)</w:t>
      </w:r>
      <w:r w:rsidR="00E706DF" w:rsidRPr="00ED7C2E">
        <w:rPr>
          <w:rStyle w:val="Hyperlink"/>
          <w:rFonts w:cstheme="minorHAnsi"/>
          <w:b/>
          <w:color w:val="auto"/>
          <w:szCs w:val="24"/>
          <w:u w:val="none"/>
        </w:rPr>
        <w:t xml:space="preserve"> -</w:t>
      </w:r>
      <w:r w:rsidR="00A27CA7" w:rsidRPr="00ED7C2E">
        <w:rPr>
          <w:rFonts w:cstheme="minorHAnsi"/>
          <w:b/>
          <w:bCs/>
          <w:szCs w:val="24"/>
        </w:rPr>
        <w:t xml:space="preserve"> </w:t>
      </w:r>
      <w:r w:rsidR="00A27CA7" w:rsidRPr="00ED7C2E">
        <w:rPr>
          <w:rStyle w:val="Hyperlink"/>
          <w:rFonts w:cstheme="minorHAnsi"/>
          <w:b/>
          <w:bCs/>
          <w:color w:val="auto"/>
          <w:szCs w:val="24"/>
          <w:u w:val="none"/>
        </w:rPr>
        <w:t>Submission of the report of the BDT Director</w:t>
      </w:r>
    </w:p>
    <w:p w14:paraId="4624E333" w14:textId="2E4CC9FA" w:rsidR="008A582B" w:rsidRDefault="00FD042D" w:rsidP="00ED7C2E">
      <w:pPr>
        <w:pStyle w:val="CEONormal"/>
        <w:rPr>
          <w:rFonts w:asciiTheme="minorHAnsi" w:hAnsiTheme="minorHAnsi" w:cstheme="minorHAnsi"/>
          <w:sz w:val="24"/>
          <w:szCs w:val="24"/>
          <w:lang w:val="en-US"/>
        </w:rPr>
      </w:pPr>
      <w:r w:rsidRPr="00ED7C2E">
        <w:rPr>
          <w:rFonts w:asciiTheme="minorHAnsi" w:hAnsiTheme="minorHAnsi" w:cstheme="minorHAnsi"/>
          <w:sz w:val="24"/>
          <w:szCs w:val="24"/>
          <w:lang w:val="en-US"/>
        </w:rPr>
        <w:t>This document invited TDAG to consider establishing a deadline of at least 30 days for publishing secretariat’s documents, particularly those requiring a decision</w:t>
      </w:r>
      <w:r w:rsidR="00F64B86" w:rsidRPr="00ED7C2E">
        <w:rPr>
          <w:rFonts w:asciiTheme="minorHAnsi" w:hAnsiTheme="minorHAnsi" w:cstheme="minorHAnsi"/>
          <w:sz w:val="24"/>
          <w:szCs w:val="24"/>
          <w:lang w:val="en-US"/>
        </w:rPr>
        <w:t>.</w:t>
      </w:r>
      <w:r w:rsidR="00B45BFF" w:rsidRPr="00ED7C2E">
        <w:rPr>
          <w:rFonts w:asciiTheme="minorHAnsi" w:hAnsiTheme="minorHAnsi" w:cstheme="minorHAnsi"/>
          <w:sz w:val="24"/>
          <w:szCs w:val="24"/>
          <w:lang w:val="en-US"/>
        </w:rPr>
        <w:t xml:space="preserve"> </w:t>
      </w:r>
      <w:r w:rsidR="00F64B86" w:rsidRPr="00ED7C2E">
        <w:rPr>
          <w:rFonts w:asciiTheme="minorHAnsi" w:hAnsiTheme="minorHAnsi" w:cstheme="minorHAnsi"/>
          <w:sz w:val="24"/>
          <w:szCs w:val="24"/>
          <w:lang w:val="en-US"/>
        </w:rPr>
        <w:t>This would</w:t>
      </w:r>
      <w:r w:rsidRPr="00ED7C2E">
        <w:rPr>
          <w:rFonts w:asciiTheme="minorHAnsi" w:hAnsiTheme="minorHAnsi" w:cstheme="minorHAnsi"/>
          <w:sz w:val="24"/>
          <w:szCs w:val="24"/>
          <w:lang w:val="en-US"/>
        </w:rPr>
        <w:t xml:space="preserve"> ensure thorough review of the documents </w:t>
      </w:r>
      <w:r w:rsidR="008C04CC" w:rsidRPr="00ED7C2E">
        <w:rPr>
          <w:rFonts w:asciiTheme="minorHAnsi" w:hAnsiTheme="minorHAnsi" w:cstheme="minorHAnsi"/>
          <w:sz w:val="24"/>
          <w:szCs w:val="24"/>
          <w:lang w:val="en-US"/>
        </w:rPr>
        <w:t>by the membership</w:t>
      </w:r>
      <w:r w:rsidRPr="00ED7C2E">
        <w:rPr>
          <w:rFonts w:asciiTheme="minorHAnsi" w:hAnsiTheme="minorHAnsi" w:cstheme="minorHAnsi"/>
          <w:sz w:val="24"/>
          <w:szCs w:val="24"/>
          <w:lang w:val="en-US"/>
        </w:rPr>
        <w:t xml:space="preserve"> </w:t>
      </w:r>
      <w:r w:rsidR="00895085" w:rsidRPr="00ED7C2E">
        <w:rPr>
          <w:rFonts w:asciiTheme="minorHAnsi" w:hAnsiTheme="minorHAnsi" w:cstheme="minorHAnsi"/>
          <w:sz w:val="24"/>
          <w:szCs w:val="24"/>
          <w:lang w:val="en-US"/>
        </w:rPr>
        <w:t xml:space="preserve">and </w:t>
      </w:r>
      <w:r w:rsidR="00F64B86" w:rsidRPr="00ED7C2E">
        <w:rPr>
          <w:rFonts w:asciiTheme="minorHAnsi" w:hAnsiTheme="minorHAnsi" w:cstheme="minorHAnsi"/>
          <w:sz w:val="24"/>
          <w:szCs w:val="24"/>
          <w:lang w:val="en-US"/>
        </w:rPr>
        <w:t xml:space="preserve">give them enough time to </w:t>
      </w:r>
      <w:r w:rsidRPr="00ED7C2E">
        <w:rPr>
          <w:rFonts w:asciiTheme="minorHAnsi" w:hAnsiTheme="minorHAnsi" w:cstheme="minorHAnsi"/>
          <w:sz w:val="24"/>
          <w:szCs w:val="24"/>
          <w:lang w:val="en-US"/>
        </w:rPr>
        <w:t>prepar</w:t>
      </w:r>
      <w:r w:rsidR="00F64B86" w:rsidRPr="00ED7C2E">
        <w:rPr>
          <w:rFonts w:asciiTheme="minorHAnsi" w:hAnsiTheme="minorHAnsi" w:cstheme="minorHAnsi"/>
          <w:sz w:val="24"/>
          <w:szCs w:val="24"/>
          <w:lang w:val="en-US"/>
        </w:rPr>
        <w:t xml:space="preserve">e </w:t>
      </w:r>
      <w:r w:rsidR="00895085" w:rsidRPr="00ED7C2E">
        <w:rPr>
          <w:rFonts w:asciiTheme="minorHAnsi" w:hAnsiTheme="minorHAnsi" w:cstheme="minorHAnsi"/>
          <w:sz w:val="24"/>
          <w:szCs w:val="24"/>
          <w:lang w:val="en-US"/>
        </w:rPr>
        <w:t xml:space="preserve">and submit </w:t>
      </w:r>
      <w:r w:rsidRPr="00ED7C2E">
        <w:rPr>
          <w:rFonts w:asciiTheme="minorHAnsi" w:hAnsiTheme="minorHAnsi" w:cstheme="minorHAnsi"/>
          <w:sz w:val="24"/>
          <w:szCs w:val="24"/>
          <w:lang w:val="en-US"/>
        </w:rPr>
        <w:t>related contributions</w:t>
      </w:r>
      <w:r w:rsidR="00895085" w:rsidRPr="00ED7C2E">
        <w:rPr>
          <w:rFonts w:asciiTheme="minorHAnsi" w:hAnsiTheme="minorHAnsi" w:cstheme="minorHAnsi"/>
          <w:sz w:val="24"/>
          <w:szCs w:val="24"/>
          <w:lang w:val="en-US"/>
        </w:rPr>
        <w:t xml:space="preserve"> before the deadline</w:t>
      </w:r>
      <w:r w:rsidRPr="00ED7C2E">
        <w:rPr>
          <w:rFonts w:asciiTheme="minorHAnsi" w:hAnsiTheme="minorHAnsi" w:cstheme="minorHAnsi"/>
          <w:sz w:val="24"/>
          <w:szCs w:val="24"/>
          <w:lang w:val="en-US"/>
        </w:rPr>
        <w:t xml:space="preserve">. </w:t>
      </w:r>
    </w:p>
    <w:tbl>
      <w:tblPr>
        <w:tblStyle w:val="TableGrid"/>
        <w:tblW w:w="0" w:type="auto"/>
        <w:tblLook w:val="04A0" w:firstRow="1" w:lastRow="0" w:firstColumn="1" w:lastColumn="0" w:noHBand="0" w:noVBand="1"/>
      </w:tblPr>
      <w:tblGrid>
        <w:gridCol w:w="9629"/>
      </w:tblGrid>
      <w:tr w:rsidR="00ED7C2E" w14:paraId="51C1F8A7" w14:textId="77777777" w:rsidTr="00ED7C2E">
        <w:tc>
          <w:tcPr>
            <w:tcW w:w="9629" w:type="dxa"/>
          </w:tcPr>
          <w:p w14:paraId="67520CCD" w14:textId="74A30701" w:rsidR="00ED7C2E" w:rsidRDefault="00ED7C2E" w:rsidP="00ED7C2E">
            <w:pPr>
              <w:pStyle w:val="CEONormal"/>
              <w:rPr>
                <w:rStyle w:val="Hyperlink"/>
                <w:rFonts w:asciiTheme="minorHAnsi" w:hAnsiTheme="minorHAnsi" w:cstheme="minorHAnsi"/>
                <w:color w:val="auto"/>
                <w:sz w:val="24"/>
                <w:szCs w:val="24"/>
                <w:u w:val="none"/>
                <w:lang w:val="en-US"/>
              </w:rPr>
            </w:pPr>
            <w:r w:rsidRPr="00ED7C2E">
              <w:rPr>
                <w:rStyle w:val="Hyperlink"/>
                <w:rFonts w:asciiTheme="minorHAnsi" w:hAnsiTheme="minorHAnsi" w:cstheme="minorHAnsi"/>
                <w:color w:val="auto"/>
                <w:sz w:val="24"/>
                <w:szCs w:val="24"/>
                <w:u w:val="none"/>
                <w:lang w:val="en-US"/>
              </w:rPr>
              <w:t>TDAG acknowledged the recommendation from the Russian Federation regarding the timely submission of reports by the secretariat before meetings. The BDT took note of the request acknowledging that while there is no current requirement to submit documents earlier, the deadline for contributions should be adjusted accordingly.</w:t>
            </w:r>
          </w:p>
        </w:tc>
      </w:tr>
    </w:tbl>
    <w:p w14:paraId="2F4EE336" w14:textId="0D9DFEA1" w:rsidR="009B5525" w:rsidRDefault="00B0002C" w:rsidP="00ED7C2E">
      <w:pPr>
        <w:spacing w:after="120"/>
        <w:rPr>
          <w:rFonts w:cstheme="minorHAnsi"/>
          <w:b/>
          <w:bCs/>
          <w:szCs w:val="24"/>
          <w:lang w:val="en-US"/>
        </w:rPr>
      </w:pPr>
      <w:r w:rsidRPr="00ED7C2E">
        <w:rPr>
          <w:rFonts w:cstheme="minorHAnsi"/>
          <w:b/>
          <w:szCs w:val="24"/>
          <w:lang w:val="en-US"/>
        </w:rPr>
        <w:t>Document</w:t>
      </w:r>
      <w:r w:rsidR="00481150" w:rsidRPr="00ED7C2E">
        <w:rPr>
          <w:rFonts w:cstheme="minorHAnsi"/>
          <w:b/>
          <w:szCs w:val="24"/>
          <w:lang w:val="en-US"/>
        </w:rPr>
        <w:t xml:space="preserve"> </w:t>
      </w:r>
      <w:hyperlink r:id="rId75" w:history="1">
        <w:r w:rsidR="00481150" w:rsidRPr="00ED7C2E">
          <w:rPr>
            <w:rStyle w:val="Hyperlink"/>
            <w:rFonts w:cstheme="minorHAnsi"/>
            <w:b/>
            <w:szCs w:val="24"/>
            <w:lang w:val="en-US"/>
          </w:rPr>
          <w:t>DT/4</w:t>
        </w:r>
      </w:hyperlink>
      <w:r w:rsidRPr="00ED7C2E">
        <w:rPr>
          <w:rFonts w:cstheme="minorHAnsi"/>
          <w:b/>
          <w:szCs w:val="24"/>
          <w:lang w:val="en-US"/>
        </w:rPr>
        <w:t xml:space="preserve"> (Chair, </w:t>
      </w:r>
      <w:r w:rsidRPr="00ED7C2E">
        <w:rPr>
          <w:rFonts w:eastAsia="Verdana" w:cstheme="minorHAnsi"/>
          <w:b/>
          <w:szCs w:val="24"/>
          <w:lang w:val="en-US"/>
        </w:rPr>
        <w:t>TDAG-WG-DEC</w:t>
      </w:r>
      <w:r w:rsidRPr="00ED7C2E">
        <w:rPr>
          <w:rFonts w:cstheme="minorHAnsi"/>
          <w:b/>
          <w:szCs w:val="24"/>
          <w:lang w:val="en-US"/>
        </w:rPr>
        <w:t>)</w:t>
      </w:r>
      <w:r w:rsidR="00481150" w:rsidRPr="00ED7C2E">
        <w:rPr>
          <w:rFonts w:cstheme="minorHAnsi"/>
          <w:b/>
          <w:szCs w:val="24"/>
          <w:lang w:val="en-US"/>
        </w:rPr>
        <w:t xml:space="preserve"> - </w:t>
      </w:r>
      <w:r w:rsidR="006757DF" w:rsidRPr="00ED7C2E">
        <w:rPr>
          <w:rFonts w:cstheme="minorHAnsi"/>
          <w:b/>
          <w:bCs/>
          <w:szCs w:val="24"/>
          <w:lang w:val="en-US"/>
        </w:rPr>
        <w:t>Chairmanship and terms of reference</w:t>
      </w:r>
    </w:p>
    <w:tbl>
      <w:tblPr>
        <w:tblStyle w:val="TableGrid"/>
        <w:tblW w:w="0" w:type="auto"/>
        <w:tblLook w:val="04A0" w:firstRow="1" w:lastRow="0" w:firstColumn="1" w:lastColumn="0" w:noHBand="0" w:noVBand="1"/>
      </w:tblPr>
      <w:tblGrid>
        <w:gridCol w:w="9629"/>
      </w:tblGrid>
      <w:tr w:rsidR="00ED7C2E" w14:paraId="607BFA7D" w14:textId="77777777" w:rsidTr="00ED7C2E">
        <w:tc>
          <w:tcPr>
            <w:tcW w:w="9629" w:type="dxa"/>
          </w:tcPr>
          <w:p w14:paraId="569D02A9" w14:textId="753D4087" w:rsidR="00ED7C2E" w:rsidRPr="00ED7C2E" w:rsidRDefault="00ED7C2E" w:rsidP="00ED7C2E">
            <w:pPr>
              <w:spacing w:after="120"/>
              <w:rPr>
                <w:rFonts w:cstheme="minorHAnsi"/>
                <w:bCs/>
                <w:szCs w:val="24"/>
                <w:lang w:val="en-US"/>
              </w:rPr>
            </w:pPr>
            <w:r w:rsidRPr="00ED7C2E">
              <w:rPr>
                <w:rFonts w:cstheme="minorHAnsi"/>
                <w:bCs/>
                <w:szCs w:val="24"/>
                <w:lang w:val="en-US"/>
              </w:rPr>
              <w:t>TDAG approved the creation of a working group on WTDC Declaration, to be led by Mr. Abdulkarim Oloyede (Nigeria). The terms of reference are contained in document DT/4.</w:t>
            </w:r>
          </w:p>
        </w:tc>
      </w:tr>
    </w:tbl>
    <w:p w14:paraId="1C36A3F9" w14:textId="3B9DF4D2" w:rsidR="00B0002C" w:rsidRDefault="00B44A24" w:rsidP="00ED7C2E">
      <w:pPr>
        <w:spacing w:after="120"/>
        <w:rPr>
          <w:rFonts w:cstheme="minorHAnsi"/>
          <w:b/>
          <w:bCs/>
          <w:szCs w:val="24"/>
        </w:rPr>
      </w:pPr>
      <w:r w:rsidRPr="00ED7C2E">
        <w:rPr>
          <w:rFonts w:cstheme="minorHAnsi"/>
          <w:b/>
          <w:szCs w:val="24"/>
          <w:lang w:val="en-US"/>
        </w:rPr>
        <w:t xml:space="preserve">Document </w:t>
      </w:r>
      <w:hyperlink r:id="rId76">
        <w:r w:rsidRPr="00ED7C2E">
          <w:rPr>
            <w:rStyle w:val="Hyperlink"/>
            <w:rFonts w:cstheme="minorHAnsi"/>
            <w:b/>
            <w:szCs w:val="24"/>
            <w:lang w:val="en-US"/>
          </w:rPr>
          <w:t xml:space="preserve">DT/5(Rev.2) </w:t>
        </w:r>
      </w:hyperlink>
      <w:r w:rsidRPr="00ED7C2E">
        <w:rPr>
          <w:rFonts w:cstheme="minorHAnsi"/>
          <w:b/>
          <w:szCs w:val="24"/>
          <w:lang w:val="en-US"/>
        </w:rPr>
        <w:t xml:space="preserve">(Chair, </w:t>
      </w:r>
      <w:r w:rsidRPr="00ED7C2E">
        <w:rPr>
          <w:rFonts w:eastAsia="Verdana" w:cstheme="minorHAnsi"/>
          <w:b/>
          <w:szCs w:val="24"/>
          <w:lang w:val="en-US"/>
        </w:rPr>
        <w:t>TDAG-WG-ITUDP</w:t>
      </w:r>
      <w:r w:rsidRPr="00ED7C2E">
        <w:rPr>
          <w:rFonts w:cstheme="minorHAnsi"/>
          <w:b/>
          <w:szCs w:val="24"/>
          <w:lang w:val="en-US"/>
        </w:rPr>
        <w:t>)</w:t>
      </w:r>
      <w:r w:rsidR="006757DF" w:rsidRPr="00ED7C2E">
        <w:rPr>
          <w:rFonts w:cstheme="minorHAnsi"/>
          <w:b/>
          <w:szCs w:val="24"/>
          <w:lang w:val="en-US"/>
        </w:rPr>
        <w:t xml:space="preserve"> - </w:t>
      </w:r>
      <w:r w:rsidR="00886BFD" w:rsidRPr="00ED7C2E">
        <w:rPr>
          <w:rFonts w:cstheme="minorHAnsi"/>
          <w:b/>
          <w:bCs/>
          <w:szCs w:val="24"/>
        </w:rPr>
        <w:t>Chairmanship and terms of reference for TDAG-WG-ITUDP</w:t>
      </w:r>
      <w:r w:rsidR="006757DF" w:rsidRPr="00ED7C2E">
        <w:rPr>
          <w:rFonts w:cstheme="minorHAnsi"/>
          <w:b/>
          <w:bCs/>
          <w:szCs w:val="24"/>
        </w:rPr>
        <w:t xml:space="preserve"> </w:t>
      </w:r>
    </w:p>
    <w:tbl>
      <w:tblPr>
        <w:tblStyle w:val="TableGrid"/>
        <w:tblW w:w="0" w:type="auto"/>
        <w:tblLook w:val="04A0" w:firstRow="1" w:lastRow="0" w:firstColumn="1" w:lastColumn="0" w:noHBand="0" w:noVBand="1"/>
      </w:tblPr>
      <w:tblGrid>
        <w:gridCol w:w="9629"/>
      </w:tblGrid>
      <w:tr w:rsidR="00ED7C2E" w:rsidRPr="00ED7C2E" w14:paraId="0E6FB5C1" w14:textId="77777777" w:rsidTr="00ED7C2E">
        <w:tc>
          <w:tcPr>
            <w:tcW w:w="9629" w:type="dxa"/>
          </w:tcPr>
          <w:p w14:paraId="41199B83" w14:textId="7A2811E0" w:rsidR="00ED7C2E" w:rsidRPr="00ED7C2E" w:rsidRDefault="00ED7C2E" w:rsidP="00ED7C2E">
            <w:pPr>
              <w:spacing w:after="120"/>
              <w:rPr>
                <w:rFonts w:cstheme="minorHAnsi"/>
                <w:bCs/>
                <w:szCs w:val="24"/>
                <w:lang w:val="en-US"/>
              </w:rPr>
            </w:pPr>
            <w:r w:rsidRPr="00ED7C2E">
              <w:rPr>
                <w:rFonts w:cstheme="minorHAnsi"/>
                <w:bCs/>
                <w:szCs w:val="24"/>
                <w:lang w:val="en-US"/>
              </w:rPr>
              <w:t>TDAG approved the creation of a working group on ITU-D Priorities (TDAG-WG-ITUDP) to be led by Mr. Christopher Kemei (Kenya), with assistance from Blanca Gonzalez (Spain) and Dr Ahmad Sharafat (Iran). The terms of reference are contained in document DT/5 (Rev. 2).</w:t>
            </w:r>
          </w:p>
        </w:tc>
      </w:tr>
    </w:tbl>
    <w:p w14:paraId="4F52E54B" w14:textId="7C9A8EF5" w:rsidR="00E70806" w:rsidRPr="00ED7C2E" w:rsidRDefault="00D83D14" w:rsidP="00756B97">
      <w:pPr>
        <w:pStyle w:val="ListParagraph"/>
        <w:keepNext/>
        <w:numPr>
          <w:ilvl w:val="0"/>
          <w:numId w:val="1"/>
        </w:numPr>
        <w:tabs>
          <w:tab w:val="clear" w:pos="1871"/>
          <w:tab w:val="left" w:pos="567"/>
          <w:tab w:val="left" w:pos="1701"/>
        </w:tabs>
        <w:spacing w:after="120"/>
        <w:ind w:left="567" w:hanging="567"/>
        <w:contextualSpacing w:val="0"/>
        <w:textAlignment w:val="auto"/>
        <w:rPr>
          <w:rFonts w:cstheme="minorHAnsi"/>
          <w:b/>
          <w:bCs/>
          <w:szCs w:val="24"/>
        </w:rPr>
      </w:pPr>
      <w:r w:rsidRPr="00ED7C2E">
        <w:rPr>
          <w:rFonts w:cstheme="minorHAnsi"/>
          <w:b/>
          <w:szCs w:val="24"/>
        </w:rPr>
        <w:t>Global Youth Summit</w:t>
      </w:r>
    </w:p>
    <w:p w14:paraId="5990C966" w14:textId="77777777" w:rsidR="008D285F" w:rsidRPr="00ED7C2E" w:rsidRDefault="00EF10F9" w:rsidP="00ED7C2E">
      <w:pPr>
        <w:spacing w:after="120"/>
        <w:rPr>
          <w:rStyle w:val="Hyperlink"/>
          <w:rFonts w:cstheme="minorHAnsi"/>
          <w:b/>
          <w:bCs/>
          <w:color w:val="auto"/>
          <w:szCs w:val="24"/>
          <w:u w:val="none"/>
          <w:lang w:val="en-US"/>
        </w:rPr>
      </w:pPr>
      <w:r w:rsidRPr="00ED7C2E">
        <w:rPr>
          <w:rFonts w:cstheme="minorHAnsi"/>
          <w:b/>
          <w:szCs w:val="24"/>
          <w:lang w:val="en-US"/>
        </w:rPr>
        <w:t xml:space="preserve">Document </w:t>
      </w:r>
      <w:hyperlink r:id="rId77" w:history="1">
        <w:r w:rsidRPr="00ED7C2E">
          <w:rPr>
            <w:rStyle w:val="Hyperlink"/>
            <w:rFonts w:cstheme="minorHAnsi"/>
            <w:b/>
            <w:szCs w:val="24"/>
            <w:lang w:val="en-US"/>
          </w:rPr>
          <w:t>13</w:t>
        </w:r>
      </w:hyperlink>
      <w:r w:rsidR="00433DA8" w:rsidRPr="00ED7C2E">
        <w:rPr>
          <w:rStyle w:val="Hyperlink"/>
          <w:rFonts w:cstheme="minorHAnsi"/>
          <w:b/>
          <w:bCs/>
          <w:color w:val="auto"/>
          <w:szCs w:val="24"/>
          <w:u w:val="none"/>
          <w:lang w:val="en-US"/>
        </w:rPr>
        <w:t xml:space="preserve"> (Director, BDT)</w:t>
      </w:r>
      <w:r w:rsidR="008D285F" w:rsidRPr="00ED7C2E">
        <w:rPr>
          <w:rStyle w:val="Hyperlink"/>
          <w:rFonts w:cstheme="minorHAnsi"/>
          <w:b/>
          <w:bCs/>
          <w:color w:val="auto"/>
          <w:szCs w:val="24"/>
          <w:u w:val="none"/>
          <w:lang w:val="en-US"/>
        </w:rPr>
        <w:t xml:space="preserve"> - Report on the organization of an ITU Global Youth Summit in 2024 (GYS-24), in the lead to the World Development Conference 2025 (WTDC-25)</w:t>
      </w:r>
    </w:p>
    <w:p w14:paraId="6E1505DD" w14:textId="44022693" w:rsidR="00974991" w:rsidRPr="00ED7C2E" w:rsidRDefault="0048319D"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w:t>
      </w:r>
      <w:r w:rsidR="00974991" w:rsidRPr="00ED7C2E">
        <w:rPr>
          <w:rStyle w:val="Hyperlink"/>
          <w:rFonts w:cstheme="minorHAnsi"/>
          <w:color w:val="auto"/>
          <w:szCs w:val="24"/>
          <w:u w:val="none"/>
          <w:lang w:val="en-US"/>
        </w:rPr>
        <w:t xml:space="preserve">BDT Secretariat presented Document 13 and its annex proposing to host a Global Youth Summit prior to WTDC-25. </w:t>
      </w:r>
    </w:p>
    <w:p w14:paraId="3B2B8DC3" w14:textId="0BD68884" w:rsidR="00F30003" w:rsidRPr="00ED7C2E" w:rsidRDefault="00674BC3"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summit aims to ensure that the report from the Global Youth Summit report is available well in advance of WTDC-25 to </w:t>
      </w:r>
      <w:r w:rsidR="00430F94" w:rsidRPr="00ED7C2E">
        <w:rPr>
          <w:rStyle w:val="Hyperlink"/>
          <w:rFonts w:cstheme="minorHAnsi"/>
          <w:color w:val="auto"/>
          <w:szCs w:val="24"/>
          <w:u w:val="none"/>
          <w:lang w:val="en-US"/>
        </w:rPr>
        <w:t>inform</w:t>
      </w:r>
      <w:r w:rsidRPr="00ED7C2E">
        <w:rPr>
          <w:rStyle w:val="Hyperlink"/>
          <w:rFonts w:cstheme="minorHAnsi"/>
          <w:color w:val="auto"/>
          <w:szCs w:val="24"/>
          <w:u w:val="none"/>
          <w:lang w:val="en-US"/>
        </w:rPr>
        <w:t xml:space="preserve"> membership </w:t>
      </w:r>
      <w:r w:rsidR="00430F94" w:rsidRPr="00ED7C2E">
        <w:rPr>
          <w:rStyle w:val="Hyperlink"/>
          <w:rFonts w:cstheme="minorHAnsi"/>
          <w:color w:val="auto"/>
          <w:szCs w:val="24"/>
          <w:u w:val="none"/>
          <w:lang w:val="en-US"/>
        </w:rPr>
        <w:t>on</w:t>
      </w:r>
      <w:r w:rsidRPr="00ED7C2E">
        <w:rPr>
          <w:rStyle w:val="Hyperlink"/>
          <w:rFonts w:cstheme="minorHAnsi"/>
          <w:color w:val="auto"/>
          <w:szCs w:val="24"/>
          <w:u w:val="none"/>
          <w:lang w:val="en-US"/>
        </w:rPr>
        <w:t xml:space="preserve"> youth perspectives.</w:t>
      </w:r>
      <w:r w:rsidR="00942839" w:rsidRPr="00ED7C2E">
        <w:rPr>
          <w:rStyle w:val="Hyperlink"/>
          <w:rFonts w:cstheme="minorHAnsi"/>
          <w:color w:val="auto"/>
          <w:szCs w:val="24"/>
          <w:u w:val="none"/>
          <w:lang w:val="en-US"/>
        </w:rPr>
        <w:t xml:space="preserve"> It </w:t>
      </w:r>
      <w:r w:rsidR="00BE3F31" w:rsidRPr="00ED7C2E">
        <w:rPr>
          <w:rStyle w:val="Hyperlink"/>
          <w:rFonts w:cstheme="minorHAnsi"/>
          <w:color w:val="auto"/>
          <w:szCs w:val="24"/>
          <w:u w:val="none"/>
          <w:lang w:val="en-US"/>
        </w:rPr>
        <w:t xml:space="preserve">will focus on empowering </w:t>
      </w:r>
      <w:r w:rsidR="00BE3F31" w:rsidRPr="00ED7C2E">
        <w:rPr>
          <w:rStyle w:val="Hyperlink"/>
          <w:rFonts w:cstheme="minorHAnsi"/>
          <w:color w:val="auto"/>
          <w:szCs w:val="24"/>
          <w:u w:val="none"/>
          <w:lang w:val="en-US"/>
        </w:rPr>
        <w:lastRenderedPageBreak/>
        <w:t>young people to contribute actively to the digital society, addressing their socio-economic and educational development needs</w:t>
      </w:r>
      <w:r w:rsidR="008C0E5F" w:rsidRPr="00ED7C2E">
        <w:rPr>
          <w:rStyle w:val="Hyperlink"/>
          <w:rFonts w:cstheme="minorHAnsi"/>
          <w:color w:val="auto"/>
          <w:szCs w:val="24"/>
          <w:u w:val="none"/>
          <w:lang w:val="en-US"/>
        </w:rPr>
        <w:t xml:space="preserve"> related to ICTs</w:t>
      </w:r>
      <w:r w:rsidR="00BE3F31" w:rsidRPr="00ED7C2E">
        <w:rPr>
          <w:rStyle w:val="Hyperlink"/>
          <w:rFonts w:cstheme="minorHAnsi"/>
          <w:color w:val="auto"/>
          <w:szCs w:val="24"/>
          <w:u w:val="none"/>
          <w:lang w:val="en-US"/>
        </w:rPr>
        <w:t xml:space="preserve">. </w:t>
      </w:r>
      <w:r w:rsidR="00C51AE0" w:rsidRPr="00ED7C2E">
        <w:rPr>
          <w:rStyle w:val="Hyperlink"/>
          <w:rFonts w:cstheme="minorHAnsi"/>
          <w:color w:val="auto"/>
          <w:szCs w:val="24"/>
          <w:u w:val="none"/>
          <w:lang w:val="en-US"/>
        </w:rPr>
        <w:t xml:space="preserve">The Summit </w:t>
      </w:r>
      <w:r w:rsidR="00C572D0" w:rsidRPr="00ED7C2E">
        <w:rPr>
          <w:rStyle w:val="Hyperlink"/>
          <w:rFonts w:cstheme="minorHAnsi"/>
          <w:color w:val="auto"/>
          <w:szCs w:val="24"/>
          <w:u w:val="none"/>
          <w:lang w:val="en-US"/>
        </w:rPr>
        <w:t xml:space="preserve">intends to identify </w:t>
      </w:r>
      <w:r w:rsidR="0015420E" w:rsidRPr="00ED7C2E">
        <w:rPr>
          <w:rStyle w:val="Hyperlink"/>
          <w:rFonts w:cstheme="minorHAnsi"/>
          <w:color w:val="auto"/>
          <w:szCs w:val="24"/>
          <w:u w:val="none"/>
          <w:lang w:val="en-US"/>
        </w:rPr>
        <w:t>the needs of all youth</w:t>
      </w:r>
      <w:r w:rsidR="004C251B" w:rsidRPr="00ED7C2E">
        <w:rPr>
          <w:rStyle w:val="Hyperlink"/>
          <w:rFonts w:cstheme="minorHAnsi"/>
          <w:color w:val="auto"/>
          <w:szCs w:val="24"/>
          <w:u w:val="none"/>
          <w:lang w:val="en-US"/>
        </w:rPr>
        <w:t>,</w:t>
      </w:r>
      <w:r w:rsidR="0015420E" w:rsidRPr="00ED7C2E">
        <w:rPr>
          <w:rStyle w:val="Hyperlink"/>
          <w:rFonts w:cstheme="minorHAnsi"/>
          <w:color w:val="auto"/>
          <w:szCs w:val="24"/>
          <w:u w:val="none"/>
          <w:lang w:val="en-US"/>
        </w:rPr>
        <w:t xml:space="preserve"> including those in vulnerable situation</w:t>
      </w:r>
      <w:r w:rsidR="00D54C23" w:rsidRPr="00ED7C2E">
        <w:rPr>
          <w:rStyle w:val="Hyperlink"/>
          <w:rFonts w:cstheme="minorHAnsi"/>
          <w:color w:val="auto"/>
          <w:szCs w:val="24"/>
          <w:u w:val="none"/>
          <w:lang w:val="en-US"/>
        </w:rPr>
        <w:t>s</w:t>
      </w:r>
      <w:r w:rsidR="0015420E" w:rsidRPr="00ED7C2E">
        <w:rPr>
          <w:rStyle w:val="Hyperlink"/>
          <w:rFonts w:cstheme="minorHAnsi"/>
          <w:color w:val="auto"/>
          <w:szCs w:val="24"/>
          <w:u w:val="none"/>
          <w:lang w:val="en-US"/>
        </w:rPr>
        <w:t xml:space="preserve"> such as </w:t>
      </w:r>
      <w:r w:rsidR="00D54C23" w:rsidRPr="00ED7C2E">
        <w:rPr>
          <w:rStyle w:val="Hyperlink"/>
          <w:rFonts w:cstheme="minorHAnsi"/>
          <w:color w:val="auto"/>
          <w:szCs w:val="24"/>
          <w:u w:val="none"/>
          <w:lang w:val="en-US"/>
        </w:rPr>
        <w:t xml:space="preserve">those </w:t>
      </w:r>
      <w:r w:rsidR="00BE3F31" w:rsidRPr="00ED7C2E">
        <w:rPr>
          <w:rStyle w:val="Hyperlink"/>
          <w:rFonts w:cstheme="minorHAnsi"/>
          <w:color w:val="auto"/>
          <w:szCs w:val="24"/>
          <w:u w:val="none"/>
          <w:lang w:val="en-US"/>
        </w:rPr>
        <w:t>with disabilities migrants</w:t>
      </w:r>
      <w:r w:rsidR="00EB5F2E" w:rsidRPr="00ED7C2E">
        <w:rPr>
          <w:rStyle w:val="Hyperlink"/>
          <w:rFonts w:cstheme="minorHAnsi"/>
          <w:color w:val="auto"/>
          <w:szCs w:val="24"/>
          <w:u w:val="none"/>
          <w:lang w:val="en-US"/>
        </w:rPr>
        <w:t>,</w:t>
      </w:r>
      <w:r w:rsidR="00BE3F31" w:rsidRPr="00ED7C2E">
        <w:rPr>
          <w:rStyle w:val="Hyperlink"/>
          <w:rFonts w:cstheme="minorHAnsi"/>
          <w:color w:val="auto"/>
          <w:szCs w:val="24"/>
          <w:u w:val="none"/>
          <w:lang w:val="en-US"/>
        </w:rPr>
        <w:t xml:space="preserve"> and </w:t>
      </w:r>
      <w:r w:rsidR="0015420E" w:rsidRPr="00ED7C2E">
        <w:rPr>
          <w:rStyle w:val="Hyperlink"/>
          <w:rFonts w:cstheme="minorHAnsi"/>
          <w:color w:val="auto"/>
          <w:szCs w:val="24"/>
          <w:u w:val="none"/>
          <w:lang w:val="en-US"/>
        </w:rPr>
        <w:t>youth from rural and indigenous communities</w:t>
      </w:r>
      <w:r w:rsidR="00C572D0" w:rsidRPr="00ED7C2E">
        <w:rPr>
          <w:rStyle w:val="Hyperlink"/>
          <w:rFonts w:cstheme="minorHAnsi"/>
          <w:color w:val="auto"/>
          <w:szCs w:val="24"/>
          <w:u w:val="none"/>
          <w:lang w:val="en-US"/>
        </w:rPr>
        <w:t xml:space="preserve">, </w:t>
      </w:r>
      <w:r w:rsidR="00F1703C" w:rsidRPr="00ED7C2E">
        <w:rPr>
          <w:rStyle w:val="Hyperlink"/>
          <w:rFonts w:cstheme="minorHAnsi"/>
          <w:color w:val="auto"/>
          <w:szCs w:val="24"/>
          <w:u w:val="none"/>
          <w:lang w:val="en-US"/>
        </w:rPr>
        <w:t xml:space="preserve">to enable them </w:t>
      </w:r>
      <w:r w:rsidR="009663D9" w:rsidRPr="00ED7C2E">
        <w:rPr>
          <w:rStyle w:val="Hyperlink"/>
          <w:rFonts w:cstheme="minorHAnsi"/>
          <w:color w:val="auto"/>
          <w:szCs w:val="24"/>
          <w:u w:val="none"/>
          <w:lang w:val="en-US"/>
        </w:rPr>
        <w:t xml:space="preserve">to </w:t>
      </w:r>
      <w:r w:rsidR="00C36F51" w:rsidRPr="00ED7C2E">
        <w:rPr>
          <w:rStyle w:val="Hyperlink"/>
          <w:rFonts w:cstheme="minorHAnsi"/>
          <w:color w:val="auto"/>
          <w:szCs w:val="24"/>
          <w:u w:val="none"/>
          <w:lang w:val="en-US"/>
        </w:rPr>
        <w:t xml:space="preserve">participate </w:t>
      </w:r>
      <w:r w:rsidR="00F1703C" w:rsidRPr="00ED7C2E">
        <w:rPr>
          <w:rStyle w:val="Hyperlink"/>
          <w:rFonts w:cstheme="minorHAnsi"/>
          <w:color w:val="auto"/>
          <w:szCs w:val="24"/>
          <w:u w:val="none"/>
          <w:lang w:val="en-US"/>
        </w:rPr>
        <w:t>equally and equitably</w:t>
      </w:r>
      <w:r w:rsidR="00F1703C" w:rsidRPr="00ED7C2E" w:rsidDel="00C36F51">
        <w:rPr>
          <w:rStyle w:val="Hyperlink"/>
          <w:rFonts w:cstheme="minorHAnsi"/>
          <w:color w:val="auto"/>
          <w:szCs w:val="24"/>
          <w:u w:val="none"/>
          <w:lang w:val="en-US"/>
        </w:rPr>
        <w:t xml:space="preserve"> </w:t>
      </w:r>
      <w:r w:rsidR="000761A5" w:rsidRPr="00ED7C2E">
        <w:rPr>
          <w:rStyle w:val="Hyperlink"/>
          <w:rFonts w:cstheme="minorHAnsi"/>
          <w:color w:val="auto"/>
          <w:szCs w:val="24"/>
          <w:u w:val="none"/>
          <w:lang w:val="en-US"/>
        </w:rPr>
        <w:t>in the</w:t>
      </w:r>
      <w:r w:rsidR="00143976" w:rsidRPr="00ED7C2E" w:rsidDel="000761A5">
        <w:rPr>
          <w:rStyle w:val="Hyperlink"/>
          <w:rFonts w:cstheme="minorHAnsi"/>
          <w:color w:val="auto"/>
          <w:szCs w:val="24"/>
          <w:u w:val="none"/>
          <w:lang w:val="en-US"/>
        </w:rPr>
        <w:t xml:space="preserve"> </w:t>
      </w:r>
      <w:r w:rsidR="00143976" w:rsidRPr="00ED7C2E">
        <w:rPr>
          <w:rStyle w:val="Hyperlink"/>
          <w:rFonts w:cstheme="minorHAnsi"/>
          <w:color w:val="auto"/>
          <w:szCs w:val="24"/>
          <w:u w:val="none"/>
          <w:lang w:val="en-US"/>
        </w:rPr>
        <w:t>digital society,</w:t>
      </w:r>
      <w:r w:rsidR="004C251B" w:rsidRPr="00ED7C2E">
        <w:rPr>
          <w:rStyle w:val="Hyperlink"/>
          <w:rFonts w:cstheme="minorHAnsi"/>
          <w:color w:val="auto"/>
          <w:szCs w:val="24"/>
          <w:u w:val="none"/>
          <w:lang w:val="en-US"/>
        </w:rPr>
        <w:t xml:space="preserve"> </w:t>
      </w:r>
      <w:r w:rsidR="00143976" w:rsidRPr="00ED7C2E">
        <w:rPr>
          <w:rStyle w:val="Hyperlink"/>
          <w:rFonts w:cstheme="minorHAnsi"/>
          <w:color w:val="auto"/>
          <w:szCs w:val="24"/>
          <w:u w:val="none"/>
          <w:lang w:val="en-US"/>
        </w:rPr>
        <w:t>economy and environment</w:t>
      </w:r>
      <w:r w:rsidR="0015420E" w:rsidRPr="00ED7C2E">
        <w:rPr>
          <w:rStyle w:val="Hyperlink"/>
          <w:rFonts w:cstheme="minorHAnsi"/>
          <w:color w:val="auto"/>
          <w:szCs w:val="24"/>
          <w:u w:val="none"/>
          <w:lang w:val="en-US"/>
        </w:rPr>
        <w:t xml:space="preserve">. </w:t>
      </w:r>
    </w:p>
    <w:p w14:paraId="6AA57696" w14:textId="3EA5337F" w:rsidR="00BE3F31" w:rsidRPr="00ED7C2E" w:rsidRDefault="00BE3F31"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Negotiations are ongoing with potential hosts</w:t>
      </w:r>
      <w:r w:rsidR="007D7E3C" w:rsidRPr="00ED7C2E">
        <w:rPr>
          <w:rStyle w:val="Hyperlink"/>
          <w:rFonts w:cstheme="minorHAnsi"/>
          <w:color w:val="auto"/>
          <w:szCs w:val="24"/>
          <w:u w:val="none"/>
          <w:lang w:val="en-US"/>
        </w:rPr>
        <w:t xml:space="preserve"> for th</w:t>
      </w:r>
      <w:r w:rsidR="00A650A4" w:rsidRPr="00ED7C2E">
        <w:rPr>
          <w:rStyle w:val="Hyperlink"/>
          <w:rFonts w:cstheme="minorHAnsi"/>
          <w:color w:val="auto"/>
          <w:szCs w:val="24"/>
          <w:u w:val="none"/>
          <w:lang w:val="en-US"/>
        </w:rPr>
        <w:t>is</w:t>
      </w:r>
      <w:r w:rsidR="007D7E3C" w:rsidRPr="00ED7C2E">
        <w:rPr>
          <w:rStyle w:val="Hyperlink"/>
          <w:rFonts w:cstheme="minorHAnsi"/>
          <w:color w:val="auto"/>
          <w:szCs w:val="24"/>
          <w:u w:val="none"/>
          <w:lang w:val="en-US"/>
        </w:rPr>
        <w:t xml:space="preserve"> Summit</w:t>
      </w:r>
      <w:r w:rsidR="0038703B" w:rsidRPr="00ED7C2E">
        <w:rPr>
          <w:rStyle w:val="Hyperlink"/>
          <w:rFonts w:cstheme="minorHAnsi"/>
          <w:color w:val="auto"/>
          <w:szCs w:val="24"/>
          <w:u w:val="none"/>
          <w:lang w:val="en-US"/>
        </w:rPr>
        <w:t xml:space="preserve"> to </w:t>
      </w:r>
      <w:r w:rsidR="00AD14A0" w:rsidRPr="00ED7C2E">
        <w:rPr>
          <w:rStyle w:val="Hyperlink"/>
          <w:rFonts w:cstheme="minorHAnsi"/>
          <w:color w:val="auto"/>
          <w:szCs w:val="24"/>
          <w:u w:val="none"/>
          <w:lang w:val="en-US"/>
        </w:rPr>
        <w:t>confirm</w:t>
      </w:r>
      <w:r w:rsidR="0038703B" w:rsidRPr="00ED7C2E">
        <w:rPr>
          <w:rStyle w:val="Hyperlink"/>
          <w:rFonts w:cstheme="minorHAnsi"/>
          <w:color w:val="auto"/>
          <w:szCs w:val="24"/>
          <w:u w:val="none"/>
          <w:lang w:val="en-US"/>
        </w:rPr>
        <w:t xml:space="preserve"> the location and dates</w:t>
      </w:r>
      <w:r w:rsidR="00540EC4" w:rsidRPr="00ED7C2E">
        <w:rPr>
          <w:rStyle w:val="Hyperlink"/>
          <w:rFonts w:cstheme="minorHAnsi"/>
          <w:color w:val="auto"/>
          <w:szCs w:val="24"/>
          <w:u w:val="none"/>
          <w:lang w:val="en-US"/>
        </w:rPr>
        <w:t>.</w:t>
      </w:r>
      <w:r w:rsidR="00F30003" w:rsidRPr="00ED7C2E">
        <w:rPr>
          <w:rStyle w:val="Hyperlink"/>
          <w:rFonts w:cstheme="minorHAnsi"/>
          <w:color w:val="auto"/>
          <w:szCs w:val="24"/>
          <w:u w:val="none"/>
          <w:lang w:val="en-US"/>
        </w:rPr>
        <w:t xml:space="preserve"> </w:t>
      </w:r>
    </w:p>
    <w:p w14:paraId="5B429034" w14:textId="0CDE9718" w:rsidR="001417D2" w:rsidRPr="00ED7C2E" w:rsidRDefault="004E6391"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Delegates</w:t>
      </w:r>
      <w:r w:rsidR="001417D2" w:rsidRPr="00ED7C2E">
        <w:rPr>
          <w:rStyle w:val="Hyperlink"/>
          <w:rFonts w:cstheme="minorHAnsi"/>
          <w:color w:val="auto"/>
          <w:szCs w:val="24"/>
          <w:u w:val="none"/>
          <w:lang w:val="en-US"/>
        </w:rPr>
        <w:t xml:space="preserve"> expressed support for the Global Youth Summit</w:t>
      </w:r>
      <w:r w:rsidR="003E229F" w:rsidRPr="00ED7C2E">
        <w:rPr>
          <w:rStyle w:val="Hyperlink"/>
          <w:rFonts w:cstheme="minorHAnsi"/>
          <w:color w:val="auto"/>
          <w:szCs w:val="24"/>
          <w:u w:val="none"/>
          <w:lang w:val="en-US"/>
        </w:rPr>
        <w:t xml:space="preserve"> and </w:t>
      </w:r>
      <w:r w:rsidR="00BE3F31" w:rsidRPr="00ED7C2E">
        <w:rPr>
          <w:rStyle w:val="Hyperlink"/>
          <w:rFonts w:cstheme="minorHAnsi"/>
          <w:color w:val="auto"/>
          <w:szCs w:val="24"/>
          <w:u w:val="none"/>
          <w:lang w:val="en-US"/>
        </w:rPr>
        <w:t>recogniz</w:t>
      </w:r>
      <w:r w:rsidR="003E229F" w:rsidRPr="00ED7C2E">
        <w:rPr>
          <w:rStyle w:val="Hyperlink"/>
          <w:rFonts w:cstheme="minorHAnsi"/>
          <w:color w:val="auto"/>
          <w:szCs w:val="24"/>
          <w:u w:val="none"/>
          <w:lang w:val="en-US"/>
        </w:rPr>
        <w:t>ed</w:t>
      </w:r>
      <w:r w:rsidR="00BE3F31" w:rsidRPr="00ED7C2E">
        <w:rPr>
          <w:rStyle w:val="Hyperlink"/>
          <w:rFonts w:cstheme="minorHAnsi"/>
          <w:color w:val="auto"/>
          <w:szCs w:val="24"/>
          <w:u w:val="none"/>
          <w:lang w:val="en-US"/>
        </w:rPr>
        <w:t xml:space="preserve"> </w:t>
      </w:r>
      <w:r w:rsidR="00715214" w:rsidRPr="00ED7C2E">
        <w:rPr>
          <w:rStyle w:val="Hyperlink"/>
          <w:rFonts w:cstheme="minorHAnsi"/>
          <w:color w:val="auto"/>
          <w:szCs w:val="24"/>
          <w:u w:val="none"/>
          <w:lang w:val="en-US"/>
        </w:rPr>
        <w:t>the value</w:t>
      </w:r>
      <w:r w:rsidR="001417D2" w:rsidRPr="00ED7C2E">
        <w:rPr>
          <w:rStyle w:val="Hyperlink"/>
          <w:rFonts w:cstheme="minorHAnsi"/>
          <w:color w:val="auto"/>
          <w:szCs w:val="24"/>
          <w:u w:val="none"/>
          <w:lang w:val="en-US"/>
        </w:rPr>
        <w:t xml:space="preserve"> in engaging youth in </w:t>
      </w:r>
      <w:r w:rsidR="002D19C5" w:rsidRPr="00ED7C2E">
        <w:rPr>
          <w:rStyle w:val="Hyperlink"/>
          <w:rFonts w:cstheme="minorHAnsi"/>
          <w:color w:val="auto"/>
          <w:szCs w:val="24"/>
          <w:u w:val="none"/>
          <w:lang w:val="en-US"/>
        </w:rPr>
        <w:t xml:space="preserve">the </w:t>
      </w:r>
      <w:r w:rsidR="001417D2" w:rsidRPr="00ED7C2E">
        <w:rPr>
          <w:rStyle w:val="Hyperlink"/>
          <w:rFonts w:cstheme="minorHAnsi"/>
          <w:color w:val="auto"/>
          <w:szCs w:val="24"/>
          <w:u w:val="none"/>
          <w:lang w:val="en-US"/>
        </w:rPr>
        <w:t xml:space="preserve">digital transformation </w:t>
      </w:r>
      <w:r w:rsidR="00196DFD" w:rsidRPr="00ED7C2E">
        <w:rPr>
          <w:rStyle w:val="Hyperlink"/>
          <w:rFonts w:cstheme="minorHAnsi"/>
          <w:color w:val="auto"/>
          <w:szCs w:val="24"/>
          <w:u w:val="none"/>
          <w:lang w:val="en-US"/>
        </w:rPr>
        <w:t>agenda</w:t>
      </w:r>
      <w:r w:rsidR="001417D2" w:rsidRPr="00ED7C2E">
        <w:rPr>
          <w:rStyle w:val="Hyperlink"/>
          <w:rFonts w:cstheme="minorHAnsi"/>
          <w:color w:val="auto"/>
          <w:szCs w:val="24"/>
          <w:u w:val="none"/>
          <w:lang w:val="en-US"/>
        </w:rPr>
        <w:t>.</w:t>
      </w:r>
    </w:p>
    <w:p w14:paraId="3D48BEF8" w14:textId="146676EE" w:rsidR="001417D2" w:rsidRDefault="001417D2"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Delegates from various countries expressed their willingness to sponsor youth participants.</w:t>
      </w:r>
    </w:p>
    <w:tbl>
      <w:tblPr>
        <w:tblStyle w:val="TableGrid"/>
        <w:tblW w:w="0" w:type="auto"/>
        <w:tblLook w:val="04A0" w:firstRow="1" w:lastRow="0" w:firstColumn="1" w:lastColumn="0" w:noHBand="0" w:noVBand="1"/>
      </w:tblPr>
      <w:tblGrid>
        <w:gridCol w:w="9629"/>
      </w:tblGrid>
      <w:tr w:rsidR="00ED7C2E" w14:paraId="0F3433E3" w14:textId="77777777" w:rsidTr="00ED7C2E">
        <w:tc>
          <w:tcPr>
            <w:tcW w:w="9629" w:type="dxa"/>
          </w:tcPr>
          <w:p w14:paraId="4725C646" w14:textId="6AC7F6A8" w:rsidR="00ED7C2E" w:rsidRDefault="00ED7C2E"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TDAG noted the proposal to host a Global Youth Summit (GYS-24) before WTDC-25 (tentatively scheduled in December 2024).</w:t>
            </w:r>
          </w:p>
        </w:tc>
      </w:tr>
    </w:tbl>
    <w:p w14:paraId="6770917C" w14:textId="7996A5FA" w:rsidR="001354DE" w:rsidRPr="00ED7C2E" w:rsidRDefault="008069A6" w:rsidP="00ED7C2E">
      <w:pPr>
        <w:spacing w:after="120"/>
        <w:rPr>
          <w:rStyle w:val="Hyperlink"/>
          <w:rFonts w:cstheme="minorHAnsi"/>
          <w:b/>
          <w:bCs/>
          <w:color w:val="auto"/>
          <w:szCs w:val="24"/>
          <w:u w:val="none"/>
          <w:lang w:val="en-US"/>
        </w:rPr>
      </w:pPr>
      <w:r w:rsidRPr="00ED7C2E">
        <w:rPr>
          <w:rFonts w:cstheme="minorHAnsi"/>
          <w:b/>
          <w:szCs w:val="24"/>
          <w:lang w:val="en-US"/>
        </w:rPr>
        <w:t xml:space="preserve">Document </w:t>
      </w:r>
      <w:hyperlink r:id="rId78" w:history="1">
        <w:r w:rsidRPr="00ED7C2E">
          <w:rPr>
            <w:rStyle w:val="Hyperlink"/>
            <w:rFonts w:cstheme="minorHAnsi"/>
            <w:b/>
            <w:szCs w:val="24"/>
            <w:lang w:val="en-US"/>
          </w:rPr>
          <w:t>13(Annex 1</w:t>
        </w:r>
      </w:hyperlink>
      <w:r w:rsidRPr="00ED7C2E">
        <w:rPr>
          <w:rStyle w:val="Hyperlink"/>
          <w:rFonts w:cstheme="minorHAnsi"/>
          <w:b/>
          <w:szCs w:val="24"/>
          <w:lang w:val="en-US"/>
        </w:rPr>
        <w:t>)</w:t>
      </w:r>
      <w:r w:rsidRPr="00ED7C2E">
        <w:rPr>
          <w:rStyle w:val="Hyperlink"/>
          <w:rFonts w:cstheme="minorHAnsi"/>
          <w:b/>
          <w:bCs/>
          <w:color w:val="auto"/>
          <w:szCs w:val="24"/>
          <w:u w:val="none"/>
          <w:lang w:val="en-US"/>
        </w:rPr>
        <w:t xml:space="preserve"> (Director, BDT) - Draft agenda and draft program for the GYS24 - ITU Global Youth Summit 11th to 13th December 2024</w:t>
      </w:r>
    </w:p>
    <w:p w14:paraId="4D4BC87E" w14:textId="4643AAC3" w:rsidR="00685820" w:rsidRDefault="00685820"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annex provided a zero draft agenda </w:t>
      </w:r>
      <w:r w:rsidR="00B01FAE" w:rsidRPr="00ED7C2E">
        <w:rPr>
          <w:rStyle w:val="Hyperlink"/>
          <w:rFonts w:cstheme="minorHAnsi"/>
          <w:color w:val="auto"/>
          <w:szCs w:val="24"/>
          <w:u w:val="none"/>
          <w:lang w:val="en-US"/>
        </w:rPr>
        <w:t xml:space="preserve">and </w:t>
      </w:r>
      <w:proofErr w:type="spellStart"/>
      <w:r w:rsidR="00B01FAE" w:rsidRPr="00ED7C2E">
        <w:rPr>
          <w:rStyle w:val="Hyperlink"/>
          <w:rFonts w:cstheme="minorHAnsi"/>
          <w:color w:val="auto"/>
          <w:szCs w:val="24"/>
          <w:u w:val="none"/>
          <w:lang w:val="en-US"/>
        </w:rPr>
        <w:t>programme</w:t>
      </w:r>
      <w:proofErr w:type="spellEnd"/>
      <w:r w:rsidR="00B01FAE" w:rsidRPr="00ED7C2E">
        <w:rPr>
          <w:rStyle w:val="Hyperlink"/>
          <w:rFonts w:cstheme="minorHAnsi"/>
          <w:color w:val="auto"/>
          <w:szCs w:val="24"/>
          <w:u w:val="none"/>
          <w:lang w:val="en-US"/>
        </w:rPr>
        <w:t xml:space="preserve"> </w:t>
      </w:r>
      <w:r w:rsidR="00C90298" w:rsidRPr="00ED7C2E">
        <w:rPr>
          <w:rStyle w:val="Hyperlink"/>
          <w:rFonts w:cstheme="minorHAnsi"/>
          <w:color w:val="auto"/>
          <w:szCs w:val="24"/>
          <w:u w:val="none"/>
          <w:lang w:val="en-US"/>
        </w:rPr>
        <w:t>to</w:t>
      </w:r>
      <w:r w:rsidR="00B01FAE" w:rsidRPr="00ED7C2E">
        <w:rPr>
          <w:rStyle w:val="Hyperlink"/>
          <w:rFonts w:cstheme="minorHAnsi"/>
          <w:color w:val="auto"/>
          <w:szCs w:val="24"/>
          <w:u w:val="none"/>
          <w:lang w:val="en-US"/>
        </w:rPr>
        <w:t xml:space="preserve"> be finalized</w:t>
      </w:r>
      <w:r w:rsidR="00082232" w:rsidRPr="00ED7C2E">
        <w:rPr>
          <w:rStyle w:val="Hyperlink"/>
          <w:rFonts w:cstheme="minorHAnsi"/>
          <w:color w:val="auto"/>
          <w:szCs w:val="24"/>
          <w:u w:val="none"/>
          <w:lang w:val="en-US"/>
        </w:rPr>
        <w:t xml:space="preserve"> with the support </w:t>
      </w:r>
      <w:r w:rsidR="000B7602" w:rsidRPr="00ED7C2E">
        <w:rPr>
          <w:rStyle w:val="Hyperlink"/>
          <w:rFonts w:cstheme="minorHAnsi"/>
          <w:color w:val="auto"/>
          <w:szCs w:val="24"/>
          <w:u w:val="none"/>
          <w:lang w:val="en-US"/>
        </w:rPr>
        <w:t xml:space="preserve">of </w:t>
      </w:r>
      <w:r w:rsidRPr="00ED7C2E">
        <w:rPr>
          <w:rStyle w:val="Hyperlink"/>
          <w:rFonts w:cstheme="minorHAnsi"/>
          <w:color w:val="auto"/>
          <w:szCs w:val="24"/>
          <w:u w:val="none"/>
          <w:lang w:val="en-US"/>
        </w:rPr>
        <w:t>an Informal Coordination Group</w:t>
      </w:r>
      <w:r w:rsidR="00C94A94" w:rsidRPr="00ED7C2E">
        <w:rPr>
          <w:rStyle w:val="Hyperlink"/>
          <w:rFonts w:cstheme="minorHAnsi"/>
          <w:color w:val="auto"/>
          <w:szCs w:val="24"/>
          <w:u w:val="none"/>
          <w:lang w:val="en-US"/>
        </w:rPr>
        <w:t xml:space="preserve"> who will</w:t>
      </w:r>
      <w:r w:rsidRPr="00ED7C2E">
        <w:rPr>
          <w:rStyle w:val="Hyperlink"/>
          <w:rFonts w:cstheme="minorHAnsi"/>
          <w:color w:val="auto"/>
          <w:szCs w:val="24"/>
          <w:u w:val="none"/>
          <w:lang w:val="en-US"/>
        </w:rPr>
        <w:t xml:space="preserve"> provide advice to the </w:t>
      </w:r>
      <w:r w:rsidR="004B5F3A" w:rsidRPr="00ED7C2E">
        <w:rPr>
          <w:rStyle w:val="Hyperlink"/>
          <w:rFonts w:cstheme="minorHAnsi"/>
          <w:color w:val="auto"/>
          <w:szCs w:val="24"/>
          <w:u w:val="none"/>
          <w:lang w:val="en-US"/>
        </w:rPr>
        <w:t>BDT D</w:t>
      </w:r>
      <w:r w:rsidRPr="00ED7C2E">
        <w:rPr>
          <w:rStyle w:val="Hyperlink"/>
          <w:rFonts w:cstheme="minorHAnsi"/>
          <w:color w:val="auto"/>
          <w:szCs w:val="24"/>
          <w:u w:val="none"/>
          <w:lang w:val="en-US"/>
        </w:rPr>
        <w:t>irector</w:t>
      </w:r>
      <w:r w:rsidR="002D1828" w:rsidRPr="00ED7C2E">
        <w:rPr>
          <w:rStyle w:val="Hyperlink"/>
          <w:rFonts w:cstheme="minorHAnsi"/>
          <w:color w:val="auto"/>
          <w:szCs w:val="24"/>
          <w:u w:val="none"/>
          <w:lang w:val="en-US"/>
        </w:rPr>
        <w:t xml:space="preserve"> for consideration</w:t>
      </w:r>
      <w:r w:rsidRPr="00ED7C2E">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ED7C2E" w14:paraId="275CE909" w14:textId="77777777" w:rsidTr="00ED7C2E">
        <w:tc>
          <w:tcPr>
            <w:tcW w:w="9629" w:type="dxa"/>
          </w:tcPr>
          <w:p w14:paraId="412AF099" w14:textId="577B0009" w:rsidR="00ED7C2E" w:rsidRDefault="00ED7C2E"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TDAG noted the document containing a zero draft agenda and draft program for the GYS-24.</w:t>
            </w:r>
          </w:p>
        </w:tc>
      </w:tr>
    </w:tbl>
    <w:p w14:paraId="3FB4599E" w14:textId="5202ABD1" w:rsidR="00D83D14" w:rsidRPr="00ED7C2E" w:rsidRDefault="00EF10F9" w:rsidP="00ED7C2E">
      <w:pPr>
        <w:spacing w:after="120"/>
        <w:rPr>
          <w:rStyle w:val="Hyperlink"/>
          <w:rFonts w:cstheme="minorHAnsi"/>
          <w:b/>
          <w:bCs/>
          <w:color w:val="auto"/>
          <w:szCs w:val="24"/>
          <w:u w:val="none"/>
        </w:rPr>
      </w:pPr>
      <w:r w:rsidRPr="00ED7C2E">
        <w:rPr>
          <w:rFonts w:cstheme="minorHAnsi"/>
          <w:b/>
          <w:bCs/>
          <w:szCs w:val="24"/>
        </w:rPr>
        <w:t xml:space="preserve">Document </w:t>
      </w:r>
      <w:hyperlink r:id="rId79" w:history="1">
        <w:r w:rsidRPr="00ED7C2E">
          <w:rPr>
            <w:rStyle w:val="Hyperlink"/>
            <w:rFonts w:cstheme="minorHAnsi"/>
            <w:b/>
            <w:bCs/>
            <w:szCs w:val="24"/>
          </w:rPr>
          <w:t>3</w:t>
        </w:r>
        <w:r w:rsidR="003C6857" w:rsidRPr="00ED7C2E">
          <w:rPr>
            <w:rStyle w:val="Hyperlink"/>
            <w:rFonts w:cstheme="minorHAnsi"/>
            <w:b/>
            <w:bCs/>
            <w:szCs w:val="24"/>
          </w:rPr>
          <w:t>2(Rev.1)</w:t>
        </w:r>
      </w:hyperlink>
      <w:r w:rsidR="00433DA8" w:rsidRPr="00ED7C2E">
        <w:rPr>
          <w:rStyle w:val="Hyperlink"/>
          <w:rFonts w:cstheme="minorHAnsi"/>
          <w:b/>
          <w:bCs/>
          <w:color w:val="auto"/>
          <w:szCs w:val="24"/>
          <w:u w:val="none"/>
        </w:rPr>
        <w:t xml:space="preserve"> (</w:t>
      </w:r>
      <w:r w:rsidR="003C6857" w:rsidRPr="00ED7C2E">
        <w:rPr>
          <w:rStyle w:val="Hyperlink"/>
          <w:rFonts w:cstheme="minorHAnsi"/>
          <w:b/>
          <w:bCs/>
          <w:color w:val="auto"/>
          <w:szCs w:val="24"/>
          <w:u w:val="none"/>
        </w:rPr>
        <w:t xml:space="preserve">Armenia, Belarus, </w:t>
      </w:r>
      <w:r w:rsidR="00433DA8" w:rsidRPr="00ED7C2E">
        <w:rPr>
          <w:rStyle w:val="Hyperlink"/>
          <w:rFonts w:cstheme="minorHAnsi"/>
          <w:b/>
          <w:bCs/>
          <w:color w:val="auto"/>
          <w:szCs w:val="24"/>
          <w:u w:val="none"/>
        </w:rPr>
        <w:t>Russian Federation)</w:t>
      </w:r>
      <w:r w:rsidR="0018709C" w:rsidRPr="00ED7C2E">
        <w:rPr>
          <w:rStyle w:val="Hyperlink"/>
          <w:rFonts w:cstheme="minorHAnsi"/>
          <w:b/>
          <w:bCs/>
          <w:color w:val="auto"/>
          <w:szCs w:val="24"/>
          <w:u w:val="none"/>
        </w:rPr>
        <w:t xml:space="preserve"> - Proposals for the ITU Generation Connect Global Youth Summit 2024</w:t>
      </w:r>
    </w:p>
    <w:p w14:paraId="25908022" w14:textId="4A791135" w:rsidR="0020692B" w:rsidRPr="00ED7C2E" w:rsidRDefault="00F021FB" w:rsidP="00ED7C2E">
      <w:pPr>
        <w:spacing w:after="120"/>
        <w:rPr>
          <w:rStyle w:val="Hyperlink"/>
          <w:rFonts w:cstheme="minorHAnsi"/>
          <w:color w:val="auto"/>
          <w:szCs w:val="24"/>
          <w:u w:val="none"/>
        </w:rPr>
      </w:pPr>
      <w:r w:rsidRPr="00ED7C2E">
        <w:rPr>
          <w:rStyle w:val="Hyperlink"/>
          <w:rFonts w:cstheme="minorHAnsi"/>
          <w:color w:val="auto"/>
          <w:szCs w:val="24"/>
          <w:u w:val="none"/>
        </w:rPr>
        <w:t>The representative from the Russian Federation presented Document 32</w:t>
      </w:r>
      <w:r w:rsidR="006F1513" w:rsidRPr="00ED7C2E">
        <w:rPr>
          <w:rStyle w:val="Hyperlink"/>
          <w:rFonts w:cstheme="minorHAnsi"/>
          <w:color w:val="auto"/>
          <w:szCs w:val="24"/>
          <w:u w:val="none"/>
        </w:rPr>
        <w:t xml:space="preserve"> which</w:t>
      </w:r>
      <w:r w:rsidRPr="00ED7C2E">
        <w:rPr>
          <w:rStyle w:val="Hyperlink"/>
          <w:rFonts w:cstheme="minorHAnsi"/>
          <w:color w:val="auto"/>
          <w:szCs w:val="24"/>
          <w:u w:val="none"/>
        </w:rPr>
        <w:t xml:space="preserve"> outline</w:t>
      </w:r>
      <w:r w:rsidR="0020692B" w:rsidRPr="00ED7C2E">
        <w:rPr>
          <w:rStyle w:val="Hyperlink"/>
          <w:rFonts w:cstheme="minorHAnsi"/>
          <w:color w:val="auto"/>
          <w:szCs w:val="24"/>
          <w:u w:val="none"/>
        </w:rPr>
        <w:t>d</w:t>
      </w:r>
      <w:r w:rsidRPr="00ED7C2E">
        <w:rPr>
          <w:rStyle w:val="Hyperlink"/>
          <w:rFonts w:cstheme="minorHAnsi"/>
          <w:color w:val="auto"/>
          <w:szCs w:val="24"/>
          <w:u w:val="none"/>
        </w:rPr>
        <w:t xml:space="preserve"> proposals to enhance the organization and effectiveness of the Global Youth Summit</w:t>
      </w:r>
      <w:r w:rsidR="002C7C31" w:rsidRPr="00ED7C2E">
        <w:rPr>
          <w:rStyle w:val="Hyperlink"/>
          <w:rFonts w:cstheme="minorHAnsi"/>
          <w:color w:val="auto"/>
          <w:szCs w:val="24"/>
          <w:u w:val="none"/>
        </w:rPr>
        <w:t xml:space="preserve"> to ensure it meets its objectives and aligns with ITU’s strategic goals</w:t>
      </w:r>
      <w:r w:rsidRPr="00ED7C2E">
        <w:rPr>
          <w:rStyle w:val="Hyperlink"/>
          <w:rFonts w:cstheme="minorHAnsi"/>
          <w:color w:val="auto"/>
          <w:szCs w:val="24"/>
          <w:u w:val="none"/>
        </w:rPr>
        <w:t>.</w:t>
      </w:r>
      <w:r w:rsidR="00845C2D" w:rsidRPr="00ED7C2E">
        <w:rPr>
          <w:rStyle w:val="Hyperlink"/>
          <w:rFonts w:cstheme="minorHAnsi"/>
          <w:color w:val="auto"/>
          <w:szCs w:val="24"/>
          <w:u w:val="none"/>
        </w:rPr>
        <w:t xml:space="preserve"> </w:t>
      </w:r>
      <w:r w:rsidR="0020692B" w:rsidRPr="00ED7C2E">
        <w:rPr>
          <w:rStyle w:val="Hyperlink"/>
          <w:rFonts w:cstheme="minorHAnsi"/>
          <w:color w:val="auto"/>
          <w:szCs w:val="24"/>
          <w:u w:val="none"/>
        </w:rPr>
        <w:t xml:space="preserve">The proposal recommended creating a TDAG working group </w:t>
      </w:r>
      <w:r w:rsidR="00E6068C" w:rsidRPr="00ED7C2E">
        <w:rPr>
          <w:rStyle w:val="Hyperlink"/>
          <w:rFonts w:cstheme="minorHAnsi"/>
          <w:color w:val="auto"/>
          <w:szCs w:val="24"/>
          <w:u w:val="none"/>
        </w:rPr>
        <w:t xml:space="preserve">to </w:t>
      </w:r>
      <w:r w:rsidR="002F606A" w:rsidRPr="00ED7C2E">
        <w:rPr>
          <w:rStyle w:val="Hyperlink"/>
          <w:rFonts w:cstheme="minorHAnsi"/>
          <w:color w:val="auto"/>
          <w:szCs w:val="24"/>
          <w:u w:val="none"/>
        </w:rPr>
        <w:t>provide advice</w:t>
      </w:r>
      <w:r w:rsidR="002E78EE" w:rsidRPr="00ED7C2E">
        <w:rPr>
          <w:rStyle w:val="Hyperlink"/>
          <w:rFonts w:cstheme="minorHAnsi"/>
          <w:color w:val="auto"/>
          <w:szCs w:val="24"/>
          <w:u w:val="none"/>
        </w:rPr>
        <w:t xml:space="preserve"> on</w:t>
      </w:r>
      <w:r w:rsidR="0020692B" w:rsidRPr="00ED7C2E">
        <w:rPr>
          <w:rStyle w:val="Hyperlink"/>
          <w:rFonts w:cstheme="minorHAnsi"/>
          <w:color w:val="auto"/>
          <w:szCs w:val="24"/>
          <w:u w:val="none"/>
        </w:rPr>
        <w:t xml:space="preserve"> the Global Youth Summit.</w:t>
      </w:r>
    </w:p>
    <w:p w14:paraId="7684E220" w14:textId="134A13B4" w:rsidR="00F021FB" w:rsidRDefault="00854230" w:rsidP="00ED7C2E">
      <w:pPr>
        <w:spacing w:after="120"/>
        <w:rPr>
          <w:rFonts w:cstheme="minorHAnsi"/>
          <w:szCs w:val="24"/>
        </w:rPr>
      </w:pPr>
      <w:r w:rsidRPr="00ED7C2E">
        <w:rPr>
          <w:rFonts w:cstheme="minorHAnsi"/>
          <w:szCs w:val="24"/>
        </w:rPr>
        <w:t xml:space="preserve">The presentation </w:t>
      </w:r>
      <w:r w:rsidR="00035D36" w:rsidRPr="00ED7C2E">
        <w:rPr>
          <w:rFonts w:cstheme="minorHAnsi"/>
          <w:szCs w:val="24"/>
        </w:rPr>
        <w:t xml:space="preserve">of the document </w:t>
      </w:r>
      <w:r w:rsidRPr="00ED7C2E">
        <w:rPr>
          <w:rFonts w:cstheme="minorHAnsi"/>
          <w:szCs w:val="24"/>
        </w:rPr>
        <w:t>and subsequent discussion</w:t>
      </w:r>
      <w:r w:rsidR="00BD75C1" w:rsidRPr="00ED7C2E">
        <w:rPr>
          <w:rFonts w:cstheme="minorHAnsi"/>
          <w:szCs w:val="24"/>
        </w:rPr>
        <w:t xml:space="preserve"> </w:t>
      </w:r>
      <w:r w:rsidR="003064FA" w:rsidRPr="00ED7C2E">
        <w:rPr>
          <w:rFonts w:cstheme="minorHAnsi"/>
          <w:szCs w:val="24"/>
        </w:rPr>
        <w:t>led to the adoption document DT/7(Rev.2)</w:t>
      </w:r>
      <w:r w:rsidRPr="00ED7C2E">
        <w:rPr>
          <w:rFonts w:cstheme="minorHAnsi"/>
          <w:szCs w:val="24"/>
        </w:rPr>
        <w:t>.</w:t>
      </w:r>
    </w:p>
    <w:tbl>
      <w:tblPr>
        <w:tblStyle w:val="TableGrid"/>
        <w:tblW w:w="0" w:type="auto"/>
        <w:tblLook w:val="04A0" w:firstRow="1" w:lastRow="0" w:firstColumn="1" w:lastColumn="0" w:noHBand="0" w:noVBand="1"/>
      </w:tblPr>
      <w:tblGrid>
        <w:gridCol w:w="9629"/>
      </w:tblGrid>
      <w:tr w:rsidR="00ED7C2E" w14:paraId="6A8D4A0D" w14:textId="77777777" w:rsidTr="00ED7C2E">
        <w:tc>
          <w:tcPr>
            <w:tcW w:w="9629" w:type="dxa"/>
          </w:tcPr>
          <w:p w14:paraId="6B0CF12D" w14:textId="41331023" w:rsidR="00ED7C2E" w:rsidRDefault="00ED7C2E" w:rsidP="00ED7C2E">
            <w:pPr>
              <w:spacing w:after="120"/>
              <w:rPr>
                <w:rFonts w:cstheme="minorHAnsi"/>
                <w:szCs w:val="24"/>
              </w:rPr>
            </w:pPr>
            <w:r w:rsidRPr="00ED7C2E">
              <w:rPr>
                <w:rFonts w:cstheme="minorHAnsi"/>
                <w:szCs w:val="24"/>
              </w:rPr>
              <w:t>TDAG took note of this contribution containing a proposal that the BDT hold formal consultations with Member States on the organization of the Global Youth Summit in 2024.</w:t>
            </w:r>
          </w:p>
        </w:tc>
      </w:tr>
    </w:tbl>
    <w:p w14:paraId="007F139C" w14:textId="076A33ED" w:rsidR="00CA314B" w:rsidRDefault="00D25433" w:rsidP="00ED7C2E">
      <w:pPr>
        <w:pStyle w:val="Default"/>
        <w:spacing w:before="120" w:after="120"/>
        <w:rPr>
          <w:rFonts w:asciiTheme="minorHAnsi" w:hAnsiTheme="minorHAnsi" w:cstheme="minorHAnsi"/>
          <w:b/>
          <w:bCs/>
        </w:rPr>
      </w:pPr>
      <w:r w:rsidRPr="00ED7C2E">
        <w:rPr>
          <w:rFonts w:asciiTheme="minorHAnsi" w:hAnsiTheme="minorHAnsi" w:cstheme="minorHAnsi"/>
          <w:b/>
        </w:rPr>
        <w:t xml:space="preserve">Document </w:t>
      </w:r>
      <w:hyperlink r:id="rId80" w:history="1">
        <w:r w:rsidR="007A13FE" w:rsidRPr="00ED7C2E">
          <w:rPr>
            <w:rStyle w:val="Hyperlink"/>
            <w:rFonts w:asciiTheme="minorHAnsi" w:hAnsiTheme="minorHAnsi" w:cstheme="minorHAnsi"/>
            <w:b/>
          </w:rPr>
          <w:t>DT/7</w:t>
        </w:r>
      </w:hyperlink>
      <w:r w:rsidR="007A13FE" w:rsidRPr="00ED7C2E">
        <w:rPr>
          <w:rStyle w:val="Hyperlink"/>
          <w:rFonts w:asciiTheme="minorHAnsi" w:hAnsiTheme="minorHAnsi" w:cstheme="minorHAnsi"/>
          <w:b/>
        </w:rPr>
        <w:t>(Rev.2)</w:t>
      </w:r>
      <w:r w:rsidR="004306AA" w:rsidRPr="00ED7C2E">
        <w:rPr>
          <w:rFonts w:asciiTheme="minorHAnsi" w:hAnsiTheme="minorHAnsi" w:cstheme="minorHAnsi"/>
          <w:b/>
        </w:rPr>
        <w:t xml:space="preserve"> </w:t>
      </w:r>
      <w:r w:rsidR="007A13FE" w:rsidRPr="00ED7C2E">
        <w:rPr>
          <w:rFonts w:asciiTheme="minorHAnsi" w:hAnsiTheme="minorHAnsi" w:cstheme="minorHAnsi"/>
          <w:b/>
        </w:rPr>
        <w:t>(TDAG-WG-ICG-GYS)</w:t>
      </w:r>
      <w:r w:rsidR="00251F21" w:rsidRPr="00ED7C2E">
        <w:rPr>
          <w:rFonts w:asciiTheme="minorHAnsi" w:hAnsiTheme="minorHAnsi" w:cstheme="minorHAnsi"/>
          <w:b/>
          <w:bCs/>
        </w:rPr>
        <w:t xml:space="preserve"> - </w:t>
      </w:r>
      <w:r w:rsidR="006E283E" w:rsidRPr="00ED7C2E">
        <w:rPr>
          <w:rFonts w:asciiTheme="minorHAnsi" w:hAnsiTheme="minorHAnsi" w:cstheme="minorHAnsi"/>
          <w:b/>
          <w:bCs/>
        </w:rPr>
        <w:t>TDAG Informal Coordination Group on the Youth Summit and the Global Celebration (TDAG-ICG-GYS)</w:t>
      </w:r>
    </w:p>
    <w:tbl>
      <w:tblPr>
        <w:tblStyle w:val="TableGrid"/>
        <w:tblW w:w="0" w:type="auto"/>
        <w:tblLook w:val="04A0" w:firstRow="1" w:lastRow="0" w:firstColumn="1" w:lastColumn="0" w:noHBand="0" w:noVBand="1"/>
      </w:tblPr>
      <w:tblGrid>
        <w:gridCol w:w="9629"/>
      </w:tblGrid>
      <w:tr w:rsidR="00ED7C2E" w:rsidRPr="00ED7C2E" w14:paraId="5FFCC0AA" w14:textId="77777777" w:rsidTr="00ED7C2E">
        <w:tc>
          <w:tcPr>
            <w:tcW w:w="9629" w:type="dxa"/>
          </w:tcPr>
          <w:p w14:paraId="3A3A0C75" w14:textId="53AA58EE" w:rsidR="00ED7C2E" w:rsidRPr="00ED7C2E" w:rsidRDefault="00ED7C2E" w:rsidP="00ED7C2E">
            <w:pPr>
              <w:pStyle w:val="Default"/>
              <w:spacing w:before="120" w:after="120"/>
              <w:rPr>
                <w:rFonts w:asciiTheme="minorHAnsi" w:hAnsiTheme="minorHAnsi" w:cstheme="minorHAnsi"/>
                <w:bCs/>
              </w:rPr>
            </w:pPr>
            <w:r w:rsidRPr="00ED7C2E">
              <w:rPr>
                <w:rFonts w:asciiTheme="minorHAnsi" w:hAnsiTheme="minorHAnsi" w:cstheme="minorHAnsi"/>
                <w:bCs/>
              </w:rPr>
              <w:t>TDAG approved the terms of reference of the informal coordination group, which is open to all ITU-D membership (preferably youth representatives). The Group will be coordinated by Ms. Agustina BRIZIO (Argentina), Ms. Ke WANG (China), Mr. Abdoulkarim OLOYEDE (Nigeria), and Ms. Shahad ALBALAWI (Saudi Arabia).</w:t>
            </w:r>
          </w:p>
        </w:tc>
      </w:tr>
    </w:tbl>
    <w:p w14:paraId="2A8AD80E" w14:textId="59375FD8" w:rsidR="00E70806" w:rsidRPr="00ED7C2E" w:rsidRDefault="00F3537B"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szCs w:val="24"/>
        </w:rPr>
      </w:pPr>
      <w:r w:rsidRPr="00ED7C2E">
        <w:rPr>
          <w:rFonts w:cstheme="minorHAnsi"/>
          <w:b/>
          <w:szCs w:val="24"/>
        </w:rPr>
        <w:t>Collaboration with the other Sector</w:t>
      </w:r>
      <w:r w:rsidR="001A43B2" w:rsidRPr="00ED7C2E">
        <w:rPr>
          <w:rFonts w:cstheme="minorHAnsi"/>
          <w:b/>
          <w:szCs w:val="24"/>
        </w:rPr>
        <w:t>s</w:t>
      </w:r>
    </w:p>
    <w:p w14:paraId="5EF04CD5" w14:textId="6F497203" w:rsidR="007D15A6" w:rsidRPr="00ED7C2E" w:rsidRDefault="007D15A6" w:rsidP="00ED7C2E">
      <w:pPr>
        <w:keepNext/>
        <w:tabs>
          <w:tab w:val="left" w:pos="567"/>
          <w:tab w:val="left" w:pos="1701"/>
        </w:tabs>
        <w:spacing w:after="120"/>
        <w:textAlignment w:val="auto"/>
        <w:rPr>
          <w:rStyle w:val="Hyperlink"/>
          <w:rFonts w:cstheme="minorHAnsi"/>
          <w:b/>
          <w:bCs/>
          <w:color w:val="auto"/>
          <w:szCs w:val="24"/>
          <w:u w:val="none"/>
          <w:lang w:val="en-US"/>
        </w:rPr>
      </w:pPr>
      <w:r w:rsidRPr="00ED7C2E">
        <w:rPr>
          <w:rFonts w:cstheme="minorHAnsi"/>
          <w:b/>
          <w:bCs/>
          <w:szCs w:val="24"/>
        </w:rPr>
        <w:t xml:space="preserve">Document </w:t>
      </w:r>
      <w:hyperlink r:id="rId81" w:history="1">
        <w:r w:rsidRPr="00ED7C2E">
          <w:rPr>
            <w:rStyle w:val="Hyperlink"/>
            <w:rFonts w:cstheme="minorHAnsi"/>
            <w:b/>
            <w:bCs/>
            <w:szCs w:val="24"/>
          </w:rPr>
          <w:t>9</w:t>
        </w:r>
      </w:hyperlink>
      <w:r w:rsidR="00433DA8" w:rsidRPr="00ED7C2E">
        <w:rPr>
          <w:rStyle w:val="Hyperlink"/>
          <w:rFonts w:cstheme="minorHAnsi"/>
          <w:b/>
          <w:color w:val="auto"/>
          <w:szCs w:val="24"/>
          <w:u w:val="none"/>
          <w:lang w:val="en-US"/>
        </w:rPr>
        <w:t xml:space="preserve"> (Chair, ISCG)</w:t>
      </w:r>
      <w:r w:rsidR="00CB6AE2" w:rsidRPr="00ED7C2E">
        <w:rPr>
          <w:rStyle w:val="Hyperlink"/>
          <w:rFonts w:cstheme="minorHAnsi"/>
          <w:b/>
          <w:color w:val="auto"/>
          <w:szCs w:val="24"/>
          <w:u w:val="none"/>
          <w:lang w:val="en-US"/>
        </w:rPr>
        <w:t xml:space="preserve"> - </w:t>
      </w:r>
      <w:r w:rsidR="00BA5D68" w:rsidRPr="00ED7C2E">
        <w:rPr>
          <w:rStyle w:val="Hyperlink"/>
          <w:rFonts w:cstheme="minorHAnsi"/>
          <w:b/>
          <w:color w:val="auto"/>
          <w:szCs w:val="24"/>
          <w:u w:val="none"/>
          <w:lang w:val="en-US"/>
        </w:rPr>
        <w:t>Report of the Inter-Sector Coordination Group (ISCG) on issues of mutual interest</w:t>
      </w:r>
    </w:p>
    <w:p w14:paraId="6533E2B8" w14:textId="72716EBF" w:rsidR="00E01440" w:rsidRPr="00ED7C2E"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This document presented by the Chair, </w:t>
      </w:r>
      <w:r w:rsidR="007C426D" w:rsidRPr="00ED7C2E">
        <w:rPr>
          <w:rFonts w:cstheme="minorHAnsi"/>
          <w:szCs w:val="24"/>
        </w:rPr>
        <w:t xml:space="preserve">Inter-Sector Coordination Group (ISCG), Mr Fabio Bigi (Italy) </w:t>
      </w:r>
      <w:r w:rsidRPr="00ED7C2E">
        <w:rPr>
          <w:rFonts w:cstheme="minorHAnsi"/>
          <w:szCs w:val="24"/>
        </w:rPr>
        <w:t>report</w:t>
      </w:r>
      <w:r w:rsidR="007C426D" w:rsidRPr="00ED7C2E">
        <w:rPr>
          <w:rFonts w:cstheme="minorHAnsi"/>
          <w:szCs w:val="24"/>
        </w:rPr>
        <w:t>ed on</w:t>
      </w:r>
      <w:r w:rsidRPr="00ED7C2E">
        <w:rPr>
          <w:rFonts w:cstheme="minorHAnsi"/>
          <w:szCs w:val="24"/>
        </w:rPr>
        <w:t xml:space="preserve"> the work of the ISCG on issues of mutual interest, highlighting the conclusions from the meeting held on 24 January 2024</w:t>
      </w:r>
      <w:r w:rsidR="002F51D3" w:rsidRPr="00ED7C2E">
        <w:rPr>
          <w:rFonts w:cstheme="minorHAnsi"/>
          <w:szCs w:val="24"/>
        </w:rPr>
        <w:t>, which he chaired</w:t>
      </w:r>
      <w:r w:rsidR="007554E5" w:rsidRPr="00ED7C2E">
        <w:rPr>
          <w:rFonts w:cstheme="minorHAnsi"/>
          <w:szCs w:val="24"/>
        </w:rPr>
        <w:t xml:space="preserve"> </w:t>
      </w:r>
      <w:r w:rsidR="00435BE5" w:rsidRPr="00ED7C2E">
        <w:rPr>
          <w:rFonts w:cstheme="minorHAnsi"/>
          <w:szCs w:val="24"/>
        </w:rPr>
        <w:t>i</w:t>
      </w:r>
      <w:r w:rsidRPr="00ED7C2E">
        <w:rPr>
          <w:rFonts w:cstheme="minorHAnsi"/>
          <w:szCs w:val="24"/>
        </w:rPr>
        <w:t>n conjunction with the Telecommunications Standardization Advisory Group (TSAG)</w:t>
      </w:r>
      <w:r w:rsidR="00435BE5" w:rsidRPr="00ED7C2E">
        <w:rPr>
          <w:rFonts w:cstheme="minorHAnsi"/>
          <w:szCs w:val="24"/>
        </w:rPr>
        <w:t>. T</w:t>
      </w:r>
      <w:r w:rsidRPr="00ED7C2E">
        <w:rPr>
          <w:rFonts w:cstheme="minorHAnsi"/>
          <w:szCs w:val="24"/>
        </w:rPr>
        <w:t xml:space="preserve">he meeting counted the presence </w:t>
      </w:r>
      <w:r w:rsidRPr="00ED7C2E">
        <w:rPr>
          <w:rFonts w:cstheme="minorHAnsi"/>
          <w:szCs w:val="24"/>
        </w:rPr>
        <w:lastRenderedPageBreak/>
        <w:t>of the three Sector</w:t>
      </w:r>
      <w:r w:rsidR="00BB0289" w:rsidRPr="00ED7C2E">
        <w:rPr>
          <w:rFonts w:cstheme="minorHAnsi"/>
          <w:szCs w:val="24"/>
        </w:rPr>
        <w:t>’</w:t>
      </w:r>
      <w:r w:rsidRPr="00ED7C2E">
        <w:rPr>
          <w:rFonts w:cstheme="minorHAnsi"/>
          <w:szCs w:val="24"/>
        </w:rPr>
        <w:t>s advisory groups, as well as the appointed representatives, and the Deputy Secretary-General of ITU. The report includes updates on the implementation of Resolution 191 (Rev. Bucharest, 2022), and of specific themes such as Accessibility, Climate change, Virtual meetings and the ITU Website, as identified of main interest by the ISCG members.</w:t>
      </w:r>
    </w:p>
    <w:p w14:paraId="128D93F3" w14:textId="0E0CF2D7" w:rsidR="00E01440" w:rsidRPr="00ED7C2E"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The ISCG chair mentioned the importance of the mapping tables prepared by the Sectors’ Focal Points, and the mapping of resolutions presented by the ISCG secretariat to be considered for the streamlining exercises the Sectors carry out in preparations for their world conferences/assemblies, </w:t>
      </w:r>
      <w:proofErr w:type="gramStart"/>
      <w:r w:rsidRPr="00ED7C2E">
        <w:rPr>
          <w:rFonts w:cstheme="minorHAnsi"/>
          <w:szCs w:val="24"/>
        </w:rPr>
        <w:t>in order to</w:t>
      </w:r>
      <w:proofErr w:type="gramEnd"/>
      <w:r w:rsidRPr="00ED7C2E">
        <w:rPr>
          <w:rFonts w:cstheme="minorHAnsi"/>
          <w:szCs w:val="24"/>
        </w:rPr>
        <w:t xml:space="preserve"> avoid the duplication of efforts. The report also presents updates from the Sectors’ advisory groups work and highlights the new ITU-</w:t>
      </w:r>
      <w:r w:rsidR="00CE232D" w:rsidRPr="00ED7C2E">
        <w:rPr>
          <w:rFonts w:cstheme="minorHAnsi"/>
          <w:szCs w:val="24"/>
        </w:rPr>
        <w:t xml:space="preserve">R </w:t>
      </w:r>
      <w:r w:rsidRPr="00ED7C2E" w:rsidDel="00CE232D">
        <w:rPr>
          <w:rFonts w:cstheme="minorHAnsi"/>
          <w:szCs w:val="24"/>
        </w:rPr>
        <w:t>R</w:t>
      </w:r>
      <w:r w:rsidRPr="00ED7C2E">
        <w:rPr>
          <w:rFonts w:cstheme="minorHAnsi"/>
          <w:szCs w:val="24"/>
        </w:rPr>
        <w:t>esolution 75</w:t>
      </w:r>
      <w:r w:rsidR="003415D1" w:rsidRPr="00ED7C2E">
        <w:rPr>
          <w:rFonts w:cstheme="minorHAnsi"/>
          <w:szCs w:val="24"/>
        </w:rPr>
        <w:t xml:space="preserve"> on strengthening cooperation </w:t>
      </w:r>
      <w:r w:rsidR="00BA46DC" w:rsidRPr="00ED7C2E">
        <w:rPr>
          <w:rFonts w:cstheme="minorHAnsi"/>
          <w:szCs w:val="24"/>
        </w:rPr>
        <w:t>among</w:t>
      </w:r>
      <w:r w:rsidR="003415D1" w:rsidRPr="00ED7C2E">
        <w:rPr>
          <w:rFonts w:cstheme="minorHAnsi"/>
          <w:szCs w:val="24"/>
        </w:rPr>
        <w:t xml:space="preserve"> the three </w:t>
      </w:r>
      <w:r w:rsidR="00CE232D" w:rsidRPr="00ED7C2E">
        <w:rPr>
          <w:rFonts w:cstheme="minorHAnsi"/>
          <w:szCs w:val="24"/>
        </w:rPr>
        <w:t>ITU Sectors</w:t>
      </w:r>
      <w:r w:rsidRPr="00ED7C2E">
        <w:rPr>
          <w:rFonts w:cstheme="minorHAnsi"/>
          <w:szCs w:val="24"/>
        </w:rPr>
        <w:t xml:space="preserve"> (available on the ISCG website) and the launch of the Network of Women for ITU-T. </w:t>
      </w:r>
    </w:p>
    <w:p w14:paraId="5C71825B" w14:textId="77777777" w:rsidR="00E01440" w:rsidRPr="00ED7C2E"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The ISCG Chair also presented the outcomes of the meeting held on 21</w:t>
      </w:r>
      <w:r w:rsidRPr="00ED7C2E">
        <w:rPr>
          <w:rFonts w:cstheme="minorHAnsi"/>
          <w:szCs w:val="24"/>
          <w:vertAlign w:val="superscript"/>
        </w:rPr>
        <w:t xml:space="preserve"> </w:t>
      </w:r>
      <w:r w:rsidRPr="00ED7C2E">
        <w:rPr>
          <w:rFonts w:cstheme="minorHAnsi"/>
          <w:szCs w:val="24"/>
        </w:rPr>
        <w:t xml:space="preserve">May 2024, in conjunction with TDAG. The meeting agreed on Sustainable Digital Transformation as a theme of mutual interest, so TDAG Chair was requested to present the TDAG representatives for that specific theme. Other possible themes suggested </w:t>
      </w:r>
      <w:proofErr w:type="gramStart"/>
      <w:r w:rsidRPr="00ED7C2E">
        <w:rPr>
          <w:rFonts w:cstheme="minorHAnsi"/>
          <w:szCs w:val="24"/>
        </w:rPr>
        <w:t>were:</w:t>
      </w:r>
      <w:proofErr w:type="gramEnd"/>
      <w:r w:rsidRPr="00ED7C2E">
        <w:rPr>
          <w:rFonts w:cstheme="minorHAnsi"/>
          <w:szCs w:val="24"/>
        </w:rPr>
        <w:t xml:space="preserve"> capacity building activities, innovation and entrepreneurships, and industry engagement. TSAG presented the Draft analysis of operational parts of WTSA/PP/WTDC/Council/ITU-R Resolutions that affect TSAG and ITU-T SGs, and a liaison statement will be sent to TDAG for information and possible common approach in preparations for WTDC-25.</w:t>
      </w:r>
    </w:p>
    <w:p w14:paraId="09A2B5ED" w14:textId="77777777" w:rsidR="00E01440"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The next meeting of the ISCG was agreed for November 2024. The ISCG Chair invited TDAG members to visit the </w:t>
      </w:r>
      <w:hyperlink r:id="rId82" w:history="1">
        <w:r w:rsidRPr="00ED7C2E">
          <w:rPr>
            <w:rStyle w:val="Hyperlink"/>
            <w:rFonts w:cstheme="minorHAnsi"/>
            <w:szCs w:val="24"/>
          </w:rPr>
          <w:t>ISCG website</w:t>
        </w:r>
      </w:hyperlink>
      <w:r w:rsidRPr="00ED7C2E">
        <w:rPr>
          <w:rFonts w:cstheme="minorHAnsi"/>
          <w:szCs w:val="24"/>
        </w:rPr>
        <w:t xml:space="preserve"> for more information.</w:t>
      </w:r>
    </w:p>
    <w:tbl>
      <w:tblPr>
        <w:tblStyle w:val="TableGrid"/>
        <w:tblW w:w="0" w:type="auto"/>
        <w:tblLook w:val="04A0" w:firstRow="1" w:lastRow="0" w:firstColumn="1" w:lastColumn="0" w:noHBand="0" w:noVBand="1"/>
      </w:tblPr>
      <w:tblGrid>
        <w:gridCol w:w="9629"/>
      </w:tblGrid>
      <w:tr w:rsidR="00ED7C2E" w14:paraId="7875BFA2" w14:textId="77777777" w:rsidTr="00ED7C2E">
        <w:tc>
          <w:tcPr>
            <w:tcW w:w="9629" w:type="dxa"/>
          </w:tcPr>
          <w:p w14:paraId="034F0DD7" w14:textId="77777777" w:rsidR="00ED7C2E" w:rsidRPr="00ED7C2E" w:rsidRDefault="00ED7C2E"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TDAG noted with appreciation the report by the Chair of the Inter-Sector Coordination Group (ISCG) on issues of mutual interest. ISCG meet in January 2024 and focused on implementing Resolution 191 (Rev. Bucharest, 2022).</w:t>
            </w:r>
          </w:p>
          <w:p w14:paraId="34DC09EE" w14:textId="0AD290CE" w:rsidR="00ED7C2E" w:rsidRDefault="00ED7C2E"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TDAG endorsed Ms. Blanca Gonzalez (Spain) and Ms. Shahad </w:t>
            </w:r>
            <w:proofErr w:type="spellStart"/>
            <w:r w:rsidRPr="00ED7C2E">
              <w:rPr>
                <w:rFonts w:cstheme="minorHAnsi"/>
                <w:szCs w:val="24"/>
              </w:rPr>
              <w:t>Albalawi</w:t>
            </w:r>
            <w:proofErr w:type="spellEnd"/>
            <w:r w:rsidRPr="00ED7C2E">
              <w:rPr>
                <w:rFonts w:cstheme="minorHAnsi"/>
                <w:szCs w:val="24"/>
              </w:rPr>
              <w:t xml:space="preserve"> (Saudi Arabia) as coordinators from ITU-D to the ISCG on the topic of digital transformation.</w:t>
            </w:r>
          </w:p>
        </w:tc>
      </w:tr>
    </w:tbl>
    <w:p w14:paraId="32ED5CC6" w14:textId="378C44F3" w:rsidR="007D15A6" w:rsidRPr="00ED7C2E" w:rsidRDefault="007D15A6"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ED7C2E">
        <w:rPr>
          <w:rFonts w:cstheme="minorHAnsi"/>
          <w:b/>
          <w:bCs/>
          <w:szCs w:val="24"/>
        </w:rPr>
        <w:t xml:space="preserve">Document </w:t>
      </w:r>
      <w:hyperlink r:id="rId83" w:history="1">
        <w:r w:rsidRPr="00ED7C2E">
          <w:rPr>
            <w:rStyle w:val="Hyperlink"/>
            <w:rFonts w:cstheme="minorHAnsi"/>
            <w:b/>
            <w:bCs/>
            <w:szCs w:val="24"/>
          </w:rPr>
          <w:t>18</w:t>
        </w:r>
      </w:hyperlink>
      <w:r w:rsidR="00433DA8" w:rsidRPr="00ED7C2E">
        <w:rPr>
          <w:rStyle w:val="Hyperlink"/>
          <w:rFonts w:cstheme="minorHAnsi"/>
          <w:b/>
          <w:bCs/>
          <w:color w:val="auto"/>
          <w:szCs w:val="24"/>
          <w:u w:val="none"/>
          <w:lang w:val="en-US"/>
        </w:rPr>
        <w:t xml:space="preserve"> (Director, BDT)</w:t>
      </w:r>
      <w:r w:rsidR="00BA5D68" w:rsidRPr="00ED7C2E">
        <w:rPr>
          <w:rStyle w:val="Hyperlink"/>
          <w:rFonts w:cstheme="minorHAnsi"/>
          <w:b/>
          <w:color w:val="auto"/>
          <w:szCs w:val="24"/>
          <w:u w:val="none"/>
          <w:lang w:val="en-US"/>
        </w:rPr>
        <w:t xml:space="preserve"> - </w:t>
      </w:r>
      <w:r w:rsidR="00D93F6D" w:rsidRPr="00ED7C2E">
        <w:rPr>
          <w:rStyle w:val="Hyperlink"/>
          <w:rFonts w:cstheme="minorHAnsi"/>
          <w:b/>
          <w:color w:val="auto"/>
          <w:szCs w:val="24"/>
          <w:u w:val="none"/>
          <w:lang w:val="en-US"/>
        </w:rPr>
        <w:t>Strengthening the Regional Presence - Criteria for Establishing Future Regional and Area Offices</w:t>
      </w:r>
    </w:p>
    <w:p w14:paraId="04AFAA3C" w14:textId="767944E5" w:rsidR="003659BD" w:rsidRPr="00ED7C2E" w:rsidRDefault="006643BB"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BDT Secretariat presented </w:t>
      </w:r>
      <w:r w:rsidR="0048319D" w:rsidRPr="00ED7C2E">
        <w:rPr>
          <w:rStyle w:val="Hyperlink"/>
          <w:rFonts w:cstheme="minorHAnsi"/>
          <w:color w:val="auto"/>
          <w:szCs w:val="24"/>
          <w:u w:val="none"/>
          <w:lang w:val="en-US"/>
        </w:rPr>
        <w:t>this document</w:t>
      </w:r>
      <w:r w:rsidRPr="00ED7C2E">
        <w:rPr>
          <w:rStyle w:val="Hyperlink"/>
          <w:rFonts w:cstheme="minorHAnsi"/>
          <w:color w:val="auto"/>
          <w:szCs w:val="24"/>
          <w:u w:val="none"/>
          <w:lang w:val="en-US"/>
        </w:rPr>
        <w:t xml:space="preserve"> which addresses the criteria for establishing future regional and area offices. This document summarizes the contributions and discussions from various member states and provides a framework for establishing new offices to enhance ITU’s regional presence. The document stem</w:t>
      </w:r>
      <w:r w:rsidR="003659BD" w:rsidRPr="00ED7C2E">
        <w:rPr>
          <w:rStyle w:val="Hyperlink"/>
          <w:rFonts w:cstheme="minorHAnsi"/>
          <w:color w:val="auto"/>
          <w:szCs w:val="24"/>
          <w:u w:val="none"/>
          <w:lang w:val="en-US"/>
        </w:rPr>
        <w:t>med</w:t>
      </w:r>
      <w:r w:rsidRPr="00ED7C2E">
        <w:rPr>
          <w:rStyle w:val="Hyperlink"/>
          <w:rFonts w:cstheme="minorHAnsi"/>
          <w:color w:val="auto"/>
          <w:szCs w:val="24"/>
          <w:u w:val="none"/>
          <w:lang w:val="en-US"/>
        </w:rPr>
        <w:t xml:space="preserve"> from the need for strategic placement of regional and area offices to support ITU’s objectives effectively.</w:t>
      </w:r>
      <w:r w:rsidR="003659BD" w:rsidRPr="00ED7C2E">
        <w:rPr>
          <w:rStyle w:val="Hyperlink"/>
          <w:rFonts w:cstheme="minorHAnsi"/>
          <w:color w:val="auto"/>
          <w:szCs w:val="24"/>
          <w:u w:val="none"/>
          <w:lang w:val="en-US"/>
        </w:rPr>
        <w:t xml:space="preserve"> </w:t>
      </w:r>
    </w:p>
    <w:p w14:paraId="1E13BD6B" w14:textId="551814B5" w:rsidR="006643BB" w:rsidRPr="00ED7C2E" w:rsidRDefault="003B4594"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contribution</w:t>
      </w:r>
      <w:r w:rsidR="006643BB" w:rsidRPr="00ED7C2E">
        <w:rPr>
          <w:rStyle w:val="Hyperlink"/>
          <w:rFonts w:cstheme="minorHAnsi"/>
          <w:color w:val="auto"/>
          <w:szCs w:val="24"/>
          <w:u w:val="none"/>
          <w:lang w:val="en-US"/>
        </w:rPr>
        <w:t xml:space="preserve"> outline</w:t>
      </w:r>
      <w:r w:rsidR="003659BD" w:rsidRPr="00ED7C2E">
        <w:rPr>
          <w:rStyle w:val="Hyperlink"/>
          <w:rFonts w:cstheme="minorHAnsi"/>
          <w:color w:val="auto"/>
          <w:szCs w:val="24"/>
          <w:u w:val="none"/>
          <w:lang w:val="en-US"/>
        </w:rPr>
        <w:t>d</w:t>
      </w:r>
      <w:r w:rsidR="006643BB" w:rsidRPr="00ED7C2E">
        <w:rPr>
          <w:rStyle w:val="Hyperlink"/>
          <w:rFonts w:cstheme="minorHAnsi"/>
          <w:color w:val="auto"/>
          <w:szCs w:val="24"/>
          <w:u w:val="none"/>
          <w:lang w:val="en-US"/>
        </w:rPr>
        <w:t xml:space="preserve"> the criteria developed through consultations, including factors such as regional needs, cost efficiency, and potential for impact.</w:t>
      </w:r>
      <w:r w:rsidR="003659BD" w:rsidRPr="00ED7C2E">
        <w:rPr>
          <w:rStyle w:val="Hyperlink"/>
          <w:rFonts w:cstheme="minorHAnsi"/>
          <w:color w:val="auto"/>
          <w:szCs w:val="24"/>
          <w:u w:val="none"/>
          <w:lang w:val="en-US"/>
        </w:rPr>
        <w:t xml:space="preserve"> </w:t>
      </w:r>
      <w:r w:rsidR="006643BB" w:rsidRPr="00ED7C2E">
        <w:rPr>
          <w:rStyle w:val="Hyperlink"/>
          <w:rFonts w:cstheme="minorHAnsi"/>
          <w:color w:val="auto"/>
          <w:szCs w:val="24"/>
          <w:u w:val="none"/>
          <w:lang w:val="en-US"/>
        </w:rPr>
        <w:t>The document reference</w:t>
      </w:r>
      <w:r w:rsidR="003659BD" w:rsidRPr="00ED7C2E">
        <w:rPr>
          <w:rStyle w:val="Hyperlink"/>
          <w:rFonts w:cstheme="minorHAnsi"/>
          <w:color w:val="auto"/>
          <w:szCs w:val="24"/>
          <w:u w:val="none"/>
          <w:lang w:val="en-US"/>
        </w:rPr>
        <w:t>d</w:t>
      </w:r>
      <w:r w:rsidR="006643BB" w:rsidRPr="00ED7C2E">
        <w:rPr>
          <w:rStyle w:val="Hyperlink"/>
          <w:rFonts w:cstheme="minorHAnsi"/>
          <w:color w:val="auto"/>
          <w:szCs w:val="24"/>
          <w:u w:val="none"/>
          <w:lang w:val="en-US"/>
        </w:rPr>
        <w:t xml:space="preserve"> discussions within the Council Working Group on Finance and Human Resources (FHR) and includes contributions from member states </w:t>
      </w:r>
      <w:r w:rsidR="005A6B40" w:rsidRPr="00ED7C2E">
        <w:rPr>
          <w:rStyle w:val="Hyperlink"/>
          <w:rFonts w:cstheme="minorHAnsi"/>
          <w:color w:val="auto"/>
          <w:szCs w:val="24"/>
          <w:u w:val="none"/>
          <w:lang w:val="en-US"/>
        </w:rPr>
        <w:t>including</w:t>
      </w:r>
      <w:r w:rsidR="006643BB" w:rsidRPr="00ED7C2E">
        <w:rPr>
          <w:rStyle w:val="Hyperlink"/>
          <w:rFonts w:cstheme="minorHAnsi"/>
          <w:color w:val="auto"/>
          <w:szCs w:val="24"/>
          <w:u w:val="none"/>
          <w:lang w:val="en-US"/>
        </w:rPr>
        <w:t xml:space="preserve"> Algeria, China, Cuba, the Russian Federation, and South Africa.</w:t>
      </w:r>
      <w:r w:rsidR="000C66A3" w:rsidRPr="00ED7C2E">
        <w:rPr>
          <w:rStyle w:val="Hyperlink"/>
          <w:rFonts w:cstheme="minorHAnsi"/>
          <w:color w:val="auto"/>
          <w:szCs w:val="24"/>
          <w:u w:val="none"/>
          <w:lang w:val="en-US"/>
        </w:rPr>
        <w:t xml:space="preserve"> </w:t>
      </w:r>
      <w:r w:rsidR="006643BB" w:rsidRPr="00ED7C2E">
        <w:rPr>
          <w:rStyle w:val="Hyperlink"/>
          <w:rFonts w:cstheme="minorHAnsi"/>
          <w:color w:val="auto"/>
          <w:szCs w:val="24"/>
          <w:u w:val="none"/>
          <w:lang w:val="en-US"/>
        </w:rPr>
        <w:t>A liaison statement was sent to TDAG and the Intersectoral Coordination Group for further input, which will be discussed in the next Council session.</w:t>
      </w:r>
    </w:p>
    <w:p w14:paraId="6D261C0F" w14:textId="40940FAB" w:rsidR="000C76ED" w:rsidRDefault="00C368F5"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lastRenderedPageBreak/>
        <w:t xml:space="preserve">This document was discussed in conjunction with </w:t>
      </w:r>
      <w:r w:rsidR="00F67A8B" w:rsidRPr="00ED7C2E">
        <w:rPr>
          <w:rStyle w:val="Hyperlink"/>
          <w:rFonts w:cstheme="minorHAnsi"/>
          <w:color w:val="auto"/>
          <w:szCs w:val="24"/>
          <w:u w:val="none"/>
          <w:lang w:val="en-US"/>
        </w:rPr>
        <w:t>d</w:t>
      </w:r>
      <w:r w:rsidR="000C76ED" w:rsidRPr="00ED7C2E">
        <w:rPr>
          <w:rStyle w:val="Hyperlink"/>
          <w:rFonts w:cstheme="minorHAnsi"/>
          <w:color w:val="auto"/>
          <w:szCs w:val="24"/>
          <w:u w:val="none"/>
          <w:lang w:val="en-US"/>
        </w:rPr>
        <w:t>ocument</w:t>
      </w:r>
      <w:r w:rsidR="006D4E47" w:rsidRPr="00ED7C2E">
        <w:rPr>
          <w:rStyle w:val="Hyperlink"/>
          <w:rFonts w:cstheme="minorHAnsi"/>
          <w:color w:val="auto"/>
          <w:szCs w:val="24"/>
          <w:u w:val="none"/>
          <w:lang w:val="en-US"/>
        </w:rPr>
        <w:t>s</w:t>
      </w:r>
      <w:r w:rsidR="000C76ED" w:rsidRPr="00ED7C2E">
        <w:rPr>
          <w:rStyle w:val="Hyperlink"/>
          <w:rFonts w:cstheme="minorHAnsi"/>
          <w:color w:val="auto"/>
          <w:szCs w:val="24"/>
          <w:u w:val="none"/>
          <w:lang w:val="en-US"/>
        </w:rPr>
        <w:t xml:space="preserve"> </w:t>
      </w:r>
      <w:r w:rsidR="00F67A8B" w:rsidRPr="00ED7C2E">
        <w:rPr>
          <w:rStyle w:val="Hyperlink"/>
          <w:rFonts w:cstheme="minorHAnsi"/>
          <w:color w:val="auto"/>
          <w:szCs w:val="24"/>
          <w:u w:val="none"/>
          <w:lang w:val="en-US"/>
        </w:rPr>
        <w:t>21</w:t>
      </w:r>
      <w:r w:rsidR="00DA2955" w:rsidRPr="00ED7C2E">
        <w:rPr>
          <w:rStyle w:val="Hyperlink"/>
          <w:rFonts w:cstheme="minorHAnsi"/>
          <w:color w:val="auto"/>
          <w:szCs w:val="24"/>
          <w:u w:val="none"/>
          <w:lang w:val="en-US"/>
        </w:rPr>
        <w:t>(Rev.1)</w:t>
      </w:r>
      <w:r w:rsidR="001D726C" w:rsidRPr="00ED7C2E">
        <w:rPr>
          <w:rStyle w:val="Hyperlink"/>
          <w:rFonts w:cstheme="minorHAnsi"/>
          <w:color w:val="auto"/>
          <w:szCs w:val="24"/>
          <w:u w:val="none"/>
          <w:lang w:val="en-US"/>
        </w:rPr>
        <w:t xml:space="preserve"> and</w:t>
      </w:r>
      <w:r w:rsidR="00F67A8B" w:rsidRPr="00ED7C2E">
        <w:rPr>
          <w:rStyle w:val="Hyperlink"/>
          <w:rFonts w:cstheme="minorHAnsi"/>
          <w:color w:val="auto"/>
          <w:szCs w:val="24"/>
          <w:u w:val="none"/>
          <w:lang w:val="en-US"/>
        </w:rPr>
        <w:t xml:space="preserve"> </w:t>
      </w:r>
      <w:r w:rsidR="00DA2955" w:rsidRPr="00ED7C2E">
        <w:rPr>
          <w:rStyle w:val="Hyperlink"/>
          <w:rFonts w:cstheme="minorHAnsi"/>
          <w:color w:val="auto"/>
          <w:szCs w:val="24"/>
          <w:u w:val="none"/>
          <w:lang w:val="en-US"/>
        </w:rPr>
        <w:t>41(Rev.1) (see</w:t>
      </w:r>
      <w:r w:rsidR="00F67A8B" w:rsidRPr="00ED7C2E">
        <w:rPr>
          <w:rStyle w:val="Hyperlink"/>
          <w:rFonts w:cstheme="minorHAnsi"/>
          <w:color w:val="auto"/>
          <w:szCs w:val="24"/>
          <w:u w:val="none"/>
          <w:lang w:val="en-US"/>
        </w:rPr>
        <w:t xml:space="preserve"> </w:t>
      </w:r>
      <w:r w:rsidR="000C76ED" w:rsidRPr="00ED7C2E">
        <w:rPr>
          <w:rStyle w:val="Hyperlink"/>
          <w:rFonts w:cstheme="minorHAnsi"/>
          <w:color w:val="auto"/>
          <w:szCs w:val="24"/>
          <w:u w:val="none"/>
          <w:lang w:val="en-US"/>
        </w:rPr>
        <w:t>below</w:t>
      </w:r>
      <w:r w:rsidR="00DA2955" w:rsidRPr="00ED7C2E">
        <w:rPr>
          <w:rStyle w:val="Hyperlink"/>
          <w:rFonts w:cstheme="minorHAnsi"/>
          <w:color w:val="auto"/>
          <w:szCs w:val="24"/>
          <w:u w:val="none"/>
          <w:lang w:val="en-US"/>
        </w:rPr>
        <w:t>)</w:t>
      </w:r>
      <w:r w:rsidR="000C76ED" w:rsidRPr="00ED7C2E">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ED7C2E" w14:paraId="468FA046" w14:textId="77777777" w:rsidTr="00ED7C2E">
        <w:tc>
          <w:tcPr>
            <w:tcW w:w="9629" w:type="dxa"/>
          </w:tcPr>
          <w:p w14:paraId="7C077E92" w14:textId="6DE739E1" w:rsidR="00ED7C2E" w:rsidRDefault="00ED7C2E"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document which summarized the criteria for establishing regional and area offices. Initially presented to the Council Working Group on Finance and Human Resources last year, the document was reviewed again in January 2024, leading to a decision to send a liaison statement to the TDAG and the Inter-Sectoral Coordination Group for further input before reporting back to the 2024 session of the ITU Council.</w:t>
            </w:r>
          </w:p>
        </w:tc>
      </w:tr>
    </w:tbl>
    <w:p w14:paraId="363ABB44" w14:textId="7777777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ED7C2E">
        <w:rPr>
          <w:rFonts w:cstheme="minorHAnsi"/>
          <w:b/>
          <w:bCs/>
          <w:szCs w:val="24"/>
          <w:lang w:val="en-US"/>
        </w:rPr>
        <w:t xml:space="preserve">Document </w:t>
      </w:r>
      <w:hyperlink r:id="rId84" w:history="1">
        <w:r w:rsidRPr="00ED7C2E">
          <w:rPr>
            <w:rStyle w:val="Hyperlink"/>
            <w:rFonts w:cstheme="minorHAnsi"/>
            <w:b/>
            <w:bCs/>
            <w:szCs w:val="24"/>
            <w:lang w:val="en-US"/>
          </w:rPr>
          <w:t>29</w:t>
        </w:r>
      </w:hyperlink>
      <w:r w:rsidRPr="00ED7C2E">
        <w:rPr>
          <w:rStyle w:val="Hyperlink"/>
          <w:rFonts w:cstheme="minorHAnsi"/>
          <w:b/>
          <w:bCs/>
          <w:color w:val="auto"/>
          <w:szCs w:val="24"/>
          <w:u w:val="none"/>
          <w:lang w:val="en-US"/>
        </w:rPr>
        <w:t xml:space="preserve"> (ISCG) - Incoming LS - Liaison Statement on Mapping Table 3 - Mapping of ITU-D SG1 and SG2 Questions to ITU-T Questions</w:t>
      </w:r>
    </w:p>
    <w:p w14:paraId="062EF640" w14:textId="7777777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Mr. Arseny </w:t>
      </w:r>
      <w:proofErr w:type="spellStart"/>
      <w:r w:rsidRPr="00ED7C2E">
        <w:rPr>
          <w:rFonts w:cstheme="minorHAnsi"/>
          <w:szCs w:val="24"/>
        </w:rPr>
        <w:t>Plossky</w:t>
      </w:r>
      <w:proofErr w:type="spellEnd"/>
      <w:r w:rsidRPr="00ED7C2E">
        <w:rPr>
          <w:rFonts w:cstheme="minorHAnsi"/>
          <w:szCs w:val="24"/>
        </w:rPr>
        <w:t xml:space="preserve"> presented Document 29, which outlines the activities and progress of the TDAG Working Group on Streamlining Resolutions. This document reports on the group’s efforts to streamline and enhance the efficiency of resolutions within the ITU framework. The liaison statement was received from the Inter-Sector Coordination Group (ISCG), which provided an updated mapping of ITU-D SG1 and SG2 Questions to ITU-T Questions (see </w:t>
      </w:r>
      <w:hyperlink r:id="rId85" w:history="1">
        <w:r w:rsidRPr="00ED7C2E">
          <w:rPr>
            <w:rStyle w:val="Hyperlink"/>
            <w:rFonts w:cstheme="minorHAnsi"/>
            <w:szCs w:val="24"/>
          </w:rPr>
          <w:t>Mapping Table 3</w:t>
        </w:r>
      </w:hyperlink>
      <w:r w:rsidRPr="00ED7C2E">
        <w:rPr>
          <w:rFonts w:cstheme="minorHAnsi"/>
          <w:szCs w:val="24"/>
        </w:rPr>
        <w:t>). The mapping consists of two parts: a table that maps ITU-D Questions to ITU-T Questions, and a list that provides more information on topics of mutual interest between the mapped Questions.</w:t>
      </w:r>
    </w:p>
    <w:p w14:paraId="52A9A0DC" w14:textId="6C90E47A" w:rsidR="00F24892"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The discussions highlighted the significant progress made by the TDAG Working Group on Streamlining Resolutions. TDAG appreciated the detailed report and the inclusive approach taken in the group’s activities. The emphasis on coordination, feedback, and regional diversity was noted as critical for the success of the streamlining efforts. The revised terms of reference and the proposed calendar for future meetings were well-received, and ongoing participation and input from member states were encouraged to ensure the continuous improvement of the resolutions process.</w:t>
      </w:r>
    </w:p>
    <w:tbl>
      <w:tblPr>
        <w:tblStyle w:val="TableGrid"/>
        <w:tblW w:w="0" w:type="auto"/>
        <w:tblLook w:val="04A0" w:firstRow="1" w:lastRow="0" w:firstColumn="1" w:lastColumn="0" w:noHBand="0" w:noVBand="1"/>
      </w:tblPr>
      <w:tblGrid>
        <w:gridCol w:w="9629"/>
      </w:tblGrid>
      <w:tr w:rsidR="00ED7C2E" w14:paraId="17887614" w14:textId="77777777" w:rsidTr="00ED7C2E">
        <w:tc>
          <w:tcPr>
            <w:tcW w:w="9629" w:type="dxa"/>
          </w:tcPr>
          <w:p w14:paraId="73F4F5D9" w14:textId="591163C8" w:rsidR="00ED7C2E" w:rsidRDefault="00ED7C2E"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contribution and of the incoming liaison statement and invited ITU-D Members to review the mapping as they consider future work with the ITU-T Sector.</w:t>
            </w:r>
          </w:p>
        </w:tc>
      </w:tr>
    </w:tbl>
    <w:p w14:paraId="4F65157B" w14:textId="0692730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ED7C2E">
        <w:rPr>
          <w:rFonts w:cstheme="minorHAnsi"/>
          <w:b/>
          <w:bCs/>
          <w:szCs w:val="24"/>
        </w:rPr>
        <w:t xml:space="preserve">Document </w:t>
      </w:r>
      <w:hyperlink r:id="rId86" w:history="1">
        <w:r w:rsidRPr="00ED7C2E">
          <w:rPr>
            <w:rStyle w:val="Hyperlink"/>
            <w:rFonts w:cstheme="minorHAnsi"/>
            <w:b/>
            <w:bCs/>
            <w:szCs w:val="24"/>
          </w:rPr>
          <w:t>40(Rev.1)</w:t>
        </w:r>
      </w:hyperlink>
      <w:r w:rsidRPr="00ED7C2E">
        <w:rPr>
          <w:rStyle w:val="Hyperlink"/>
          <w:rFonts w:cstheme="minorHAnsi"/>
          <w:b/>
          <w:bCs/>
          <w:color w:val="auto"/>
          <w:szCs w:val="24"/>
          <w:u w:val="none"/>
        </w:rPr>
        <w:t xml:space="preserve"> (Russian Federation)</w:t>
      </w:r>
      <w:r w:rsidR="00E06705" w:rsidRPr="00ED7C2E">
        <w:rPr>
          <w:rStyle w:val="Hyperlink"/>
          <w:rFonts w:cstheme="minorHAnsi"/>
          <w:b/>
          <w:bCs/>
          <w:color w:val="auto"/>
          <w:szCs w:val="24"/>
          <w:u w:val="none"/>
        </w:rPr>
        <w:t xml:space="preserve"> - Use of all the official languages on an equal footing in ITU-D</w:t>
      </w:r>
    </w:p>
    <w:p w14:paraId="73F5E82C" w14:textId="7777777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Fonts w:cstheme="minorHAnsi"/>
          <w:szCs w:val="24"/>
        </w:rPr>
        <w:t xml:space="preserve">This contribution noted the need to use all official languages of the Union on an equal basis in ITU-D publications and websites in line with Resolution 154 (Rev. Bucharest, 2022) of the Plenipotentiary Conference. This contribution also recommended that the BDT </w:t>
      </w:r>
      <w:r w:rsidRPr="00ED7C2E">
        <w:rPr>
          <w:rStyle w:val="Hyperlink"/>
          <w:rFonts w:cstheme="minorHAnsi"/>
          <w:color w:val="auto"/>
          <w:szCs w:val="24"/>
          <w:u w:val="none"/>
          <w:lang w:val="en-US"/>
        </w:rPr>
        <w:t>provide TDAG with status updates on the use of the six official languages of the Union on an equal basis in ITU-D publications and websites and intensify the efforts to use the six languages on an equitable basis. It also recommended to intensify efforts to harmonize ITU-D websites with other Sectors and the General Secretariat to ensure visibility, ease of navigation and the implementation of the image of “One ITU”.</w:t>
      </w:r>
    </w:p>
    <w:p w14:paraId="3BD8CDAE" w14:textId="77777777" w:rsidR="00F24892"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discussed coordination required with the Council Working Group on the use of the six official languages of the Union and the costs of translation for the Union. </w:t>
      </w:r>
    </w:p>
    <w:tbl>
      <w:tblPr>
        <w:tblStyle w:val="TableGrid"/>
        <w:tblW w:w="0" w:type="auto"/>
        <w:tblLook w:val="04A0" w:firstRow="1" w:lastRow="0" w:firstColumn="1" w:lastColumn="0" w:noHBand="0" w:noVBand="1"/>
      </w:tblPr>
      <w:tblGrid>
        <w:gridCol w:w="9629"/>
      </w:tblGrid>
      <w:tr w:rsidR="00ED7C2E" w14:paraId="7E5952FC" w14:textId="77777777" w:rsidTr="00ED7C2E">
        <w:tc>
          <w:tcPr>
            <w:tcW w:w="9629" w:type="dxa"/>
          </w:tcPr>
          <w:p w14:paraId="7D81F9CE" w14:textId="2FEA5BB2" w:rsidR="00ED7C2E" w:rsidRDefault="00ED7C2E" w:rsidP="00ED7C2E">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contribution. The BDT took note of the recommendations under item 2.2 of the contribution.</w:t>
            </w:r>
          </w:p>
        </w:tc>
      </w:tr>
    </w:tbl>
    <w:p w14:paraId="1FAC276A" w14:textId="7D4813B4" w:rsidR="006643BB" w:rsidRPr="00ED7C2E" w:rsidRDefault="0035378D" w:rsidP="00ED7C2E">
      <w:pPr>
        <w:keepNext/>
        <w:keepLines/>
        <w:widowControl w:val="0"/>
        <w:tabs>
          <w:tab w:val="clear" w:pos="794"/>
          <w:tab w:val="clear" w:pos="1191"/>
          <w:tab w:val="clear" w:pos="1588"/>
          <w:tab w:val="clear" w:pos="1985"/>
        </w:tabs>
        <w:overflowPunct/>
        <w:autoSpaceDE/>
        <w:autoSpaceDN/>
        <w:adjustRightInd/>
        <w:spacing w:after="120"/>
        <w:textAlignment w:val="auto"/>
        <w:rPr>
          <w:rStyle w:val="Hyperlink"/>
          <w:rFonts w:cstheme="minorHAnsi"/>
          <w:b/>
          <w:color w:val="auto"/>
          <w:szCs w:val="24"/>
          <w:u w:val="none"/>
          <w:lang w:val="en-US" w:eastAsia="en-GB"/>
        </w:rPr>
      </w:pPr>
      <w:r w:rsidRPr="00ED7C2E">
        <w:rPr>
          <w:rFonts w:cstheme="minorHAnsi"/>
          <w:b/>
          <w:szCs w:val="24"/>
          <w:lang w:val="en-US"/>
        </w:rPr>
        <w:lastRenderedPageBreak/>
        <w:t xml:space="preserve">Document </w:t>
      </w:r>
      <w:hyperlink r:id="rId87" w:history="1">
        <w:r w:rsidRPr="00ED7C2E">
          <w:rPr>
            <w:rStyle w:val="Hyperlink"/>
            <w:rFonts w:cstheme="minorHAnsi"/>
            <w:b/>
            <w:szCs w:val="24"/>
            <w:lang w:val="en-US"/>
          </w:rPr>
          <w:t>41(Rev.1)</w:t>
        </w:r>
      </w:hyperlink>
      <w:r w:rsidRPr="00ED7C2E">
        <w:rPr>
          <w:rFonts w:cstheme="minorHAnsi"/>
          <w:b/>
          <w:szCs w:val="24"/>
          <w:lang w:val="en-US"/>
        </w:rPr>
        <w:t xml:space="preserve"> (Australia, Canada, Fiji, Kiribati, Papua New Guinea, Samoa, Vanuatu)</w:t>
      </w:r>
      <w:r w:rsidR="00D93F6D" w:rsidRPr="00ED7C2E">
        <w:rPr>
          <w:rFonts w:cstheme="minorHAnsi"/>
          <w:b/>
          <w:szCs w:val="24"/>
          <w:lang w:val="en-US"/>
        </w:rPr>
        <w:t xml:space="preserve"> - </w:t>
      </w:r>
      <w:r w:rsidR="0080334D" w:rsidRPr="00ED7C2E">
        <w:rPr>
          <w:rFonts w:cstheme="minorHAnsi"/>
          <w:b/>
          <w:bCs/>
          <w:szCs w:val="24"/>
          <w:lang w:val="en-US"/>
        </w:rPr>
        <w:t>Proposed response to the to the CWG FHR's Liaison Statement on the criteria for establishing future area offices</w:t>
      </w:r>
    </w:p>
    <w:p w14:paraId="4423C426" w14:textId="20FB9AF0" w:rsidR="006643BB" w:rsidRPr="00ED7C2E" w:rsidRDefault="001C5AA9" w:rsidP="00ED7C2E">
      <w:pPr>
        <w:keepNext/>
        <w:keepLines/>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representative of Australia</w:t>
      </w:r>
      <w:r w:rsidR="006643BB" w:rsidRPr="00ED7C2E">
        <w:rPr>
          <w:rStyle w:val="Hyperlink"/>
          <w:rFonts w:cstheme="minorHAnsi"/>
          <w:color w:val="auto"/>
          <w:szCs w:val="24"/>
          <w:u w:val="none"/>
          <w:lang w:val="en-US"/>
        </w:rPr>
        <w:t xml:space="preserve"> presented Document 41, which include</w:t>
      </w:r>
      <w:r w:rsidRPr="00ED7C2E">
        <w:rPr>
          <w:rStyle w:val="Hyperlink"/>
          <w:rFonts w:cstheme="minorHAnsi"/>
          <w:color w:val="auto"/>
          <w:szCs w:val="24"/>
          <w:u w:val="none"/>
          <w:lang w:val="en-US"/>
        </w:rPr>
        <w:t>d</w:t>
      </w:r>
      <w:r w:rsidR="006643BB" w:rsidRPr="00ED7C2E">
        <w:rPr>
          <w:rStyle w:val="Hyperlink"/>
          <w:rFonts w:cstheme="minorHAnsi"/>
          <w:color w:val="auto"/>
          <w:szCs w:val="24"/>
          <w:u w:val="none"/>
          <w:lang w:val="en-US"/>
        </w:rPr>
        <w:t xml:space="preserve"> a multi-country proposal in response to the criteria for establishing future area offices. </w:t>
      </w:r>
    </w:p>
    <w:p w14:paraId="2DDDD855" w14:textId="343BA3FB" w:rsidR="00A0561D" w:rsidRPr="00ED7C2E" w:rsidRDefault="006643BB"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document builds on Document 18 criteria and suggests enhancements to ensure the effective establishment and operation of regional offices.</w:t>
      </w:r>
      <w:r w:rsidR="00840FCE" w:rsidRPr="00ED7C2E">
        <w:rPr>
          <w:rStyle w:val="Hyperlink"/>
          <w:rFonts w:cstheme="minorHAnsi"/>
          <w:color w:val="auto"/>
          <w:szCs w:val="24"/>
          <w:u w:val="none"/>
          <w:lang w:val="en-US"/>
        </w:rPr>
        <w:t xml:space="preserve"> It e</w:t>
      </w:r>
      <w:r w:rsidRPr="00ED7C2E">
        <w:rPr>
          <w:rStyle w:val="Hyperlink"/>
          <w:rFonts w:cstheme="minorHAnsi"/>
          <w:color w:val="auto"/>
          <w:szCs w:val="24"/>
          <w:u w:val="none"/>
          <w:lang w:val="en-US"/>
        </w:rPr>
        <w:t>mphasize</w:t>
      </w:r>
      <w:r w:rsidR="00840FCE" w:rsidRPr="00ED7C2E">
        <w:rPr>
          <w:rStyle w:val="Hyperlink"/>
          <w:rFonts w:cstheme="minorHAnsi"/>
          <w:color w:val="auto"/>
          <w:szCs w:val="24"/>
          <w:u w:val="none"/>
          <w:lang w:val="en-US"/>
        </w:rPr>
        <w:t>d</w:t>
      </w:r>
      <w:r w:rsidRPr="00ED7C2E">
        <w:rPr>
          <w:rStyle w:val="Hyperlink"/>
          <w:rFonts w:cstheme="minorHAnsi"/>
          <w:color w:val="auto"/>
          <w:szCs w:val="24"/>
          <w:u w:val="none"/>
          <w:lang w:val="en-US"/>
        </w:rPr>
        <w:t xml:space="preserve"> the importance of collaboration between ITU, host countries, and member states to ensure offices meet regional needs.</w:t>
      </w:r>
      <w:r w:rsidR="00256A3D" w:rsidRPr="00ED7C2E">
        <w:rPr>
          <w:rStyle w:val="Hyperlink"/>
          <w:rFonts w:cstheme="minorHAnsi"/>
          <w:color w:val="auto"/>
          <w:szCs w:val="24"/>
          <w:u w:val="none"/>
          <w:lang w:val="en-US"/>
        </w:rPr>
        <w:t xml:space="preserve"> </w:t>
      </w:r>
    </w:p>
    <w:p w14:paraId="4C764D24" w14:textId="5713CE4A" w:rsidR="006643BB" w:rsidRPr="00ED7C2E" w:rsidRDefault="00256A3D"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contribu</w:t>
      </w:r>
      <w:r w:rsidR="003B64B8" w:rsidRPr="00ED7C2E">
        <w:rPr>
          <w:rStyle w:val="Hyperlink"/>
          <w:rFonts w:cstheme="minorHAnsi"/>
          <w:color w:val="auto"/>
          <w:szCs w:val="24"/>
          <w:u w:val="none"/>
          <w:lang w:val="en-US"/>
        </w:rPr>
        <w:t xml:space="preserve">tion </w:t>
      </w:r>
      <w:r w:rsidR="0002775F" w:rsidRPr="00ED7C2E">
        <w:rPr>
          <w:rStyle w:val="Hyperlink"/>
          <w:rFonts w:cstheme="minorHAnsi"/>
          <w:color w:val="auto"/>
          <w:szCs w:val="24"/>
          <w:u w:val="none"/>
          <w:lang w:val="en-US"/>
        </w:rPr>
        <w:t>sought</w:t>
      </w:r>
      <w:r w:rsidR="006643BB" w:rsidRPr="00ED7C2E">
        <w:rPr>
          <w:rStyle w:val="Hyperlink"/>
          <w:rFonts w:cstheme="minorHAnsi"/>
          <w:color w:val="auto"/>
          <w:szCs w:val="24"/>
          <w:u w:val="none"/>
          <w:lang w:val="en-US"/>
        </w:rPr>
        <w:t xml:space="preserve"> feedback from TDAG members to refine the criteria and ensure alignment with ITU’s strategic goals.</w:t>
      </w:r>
    </w:p>
    <w:p w14:paraId="6D4E202A" w14:textId="124B2373" w:rsidR="006643BB" w:rsidRPr="00ED7C2E" w:rsidRDefault="006176D3"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w:t>
      </w:r>
      <w:r w:rsidR="006643BB" w:rsidRPr="00ED7C2E">
        <w:rPr>
          <w:rStyle w:val="Hyperlink"/>
          <w:rFonts w:cstheme="minorHAnsi"/>
          <w:color w:val="auto"/>
          <w:szCs w:val="24"/>
          <w:u w:val="none"/>
          <w:lang w:val="en-US"/>
        </w:rPr>
        <w:t xml:space="preserve"> provided feedback and raised questions regarding Documents 18 and 41</w:t>
      </w:r>
      <w:r w:rsidR="00162978" w:rsidRPr="00ED7C2E">
        <w:rPr>
          <w:rStyle w:val="Hyperlink"/>
          <w:rFonts w:cstheme="minorHAnsi"/>
          <w:color w:val="auto"/>
          <w:szCs w:val="24"/>
          <w:u w:val="none"/>
          <w:lang w:val="en-US"/>
        </w:rPr>
        <w:t>(Rev.1)</w:t>
      </w:r>
      <w:r w:rsidR="006643BB" w:rsidRPr="00ED7C2E">
        <w:rPr>
          <w:rStyle w:val="Hyperlink"/>
          <w:rFonts w:cstheme="minorHAnsi"/>
          <w:color w:val="auto"/>
          <w:szCs w:val="24"/>
          <w:u w:val="none"/>
          <w:lang w:val="en-US"/>
        </w:rPr>
        <w:t>:</w:t>
      </w:r>
    </w:p>
    <w:p w14:paraId="2DBE451A" w14:textId="679BB7DC" w:rsidR="006643BB" w:rsidRPr="00ED7C2E" w:rsidRDefault="006176D3"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TDAG</w:t>
      </w:r>
      <w:r w:rsidR="006643BB" w:rsidRPr="00ED7C2E">
        <w:rPr>
          <w:rStyle w:val="Hyperlink"/>
          <w:rFonts w:cstheme="minorHAnsi"/>
          <w:color w:val="auto"/>
          <w:szCs w:val="24"/>
          <w:u w:val="none"/>
          <w:lang w:val="en-US"/>
        </w:rPr>
        <w:t xml:space="preserve"> broadly supported the proposed criteria for establishing regional and area offices, recognizing the need for strategic placement to maximize impact.</w:t>
      </w:r>
    </w:p>
    <w:p w14:paraId="776DC138" w14:textId="398CB20D"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 xml:space="preserve">Some delegates sought clarification on specific criteria such as the cost-benefit analysis and potential regional impact. </w:t>
      </w:r>
      <w:r w:rsidR="007246DF" w:rsidRPr="00ED7C2E">
        <w:rPr>
          <w:rStyle w:val="Hyperlink"/>
          <w:rFonts w:cstheme="minorHAnsi"/>
          <w:color w:val="auto"/>
          <w:szCs w:val="24"/>
          <w:u w:val="none"/>
          <w:lang w:val="en-US"/>
        </w:rPr>
        <w:t xml:space="preserve">The Secretariat </w:t>
      </w:r>
      <w:r w:rsidRPr="00ED7C2E">
        <w:rPr>
          <w:rStyle w:val="Hyperlink"/>
          <w:rFonts w:cstheme="minorHAnsi"/>
          <w:color w:val="auto"/>
          <w:szCs w:val="24"/>
          <w:u w:val="none"/>
          <w:lang w:val="en-US"/>
        </w:rPr>
        <w:t>provided detailed explanations, emphasizing the importance of aligning new offices with ITU’s strategic objectives.</w:t>
      </w:r>
    </w:p>
    <w:p w14:paraId="489A8C30" w14:textId="21B435D3"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Emphasis was placed on ensuring that the criteria reflect the diverse needs of different regions, particularly those of developing countries, least developed countries (LDCs), and small island developing states (SIDS).</w:t>
      </w:r>
    </w:p>
    <w:p w14:paraId="6C00D73D" w14:textId="2204B6BB"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Questions were raised about how new offices would coordinate with existing ITU regional and area offices. It was clarified that the new offices would complement existing ones, ensuring a coherent and efficient network.</w:t>
      </w:r>
    </w:p>
    <w:p w14:paraId="774E3C23" w14:textId="5BE95EE4"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 xml:space="preserve">Concerns about the financial and logistical feasibility of establishing new offices were discussed. </w:t>
      </w:r>
      <w:r w:rsidR="00AB679D" w:rsidRPr="00ED7C2E">
        <w:rPr>
          <w:rStyle w:val="Hyperlink"/>
          <w:rFonts w:cstheme="minorHAnsi"/>
          <w:color w:val="auto"/>
          <w:szCs w:val="24"/>
          <w:u w:val="none"/>
          <w:lang w:val="en-US"/>
        </w:rPr>
        <w:t xml:space="preserve">TDAG </w:t>
      </w:r>
      <w:r w:rsidRPr="00ED7C2E">
        <w:rPr>
          <w:rStyle w:val="Hyperlink"/>
          <w:rFonts w:cstheme="minorHAnsi"/>
          <w:color w:val="auto"/>
          <w:szCs w:val="24"/>
          <w:u w:val="none"/>
          <w:lang w:val="en-US"/>
        </w:rPr>
        <w:t>suggested that detailed cost assessments and sustainable funding models be developed.</w:t>
      </w:r>
    </w:p>
    <w:p w14:paraId="0F660A05" w14:textId="22EA4738"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importance of continuous feedback from member states was highlighted to ensure the criteria remain relevant and effective. </w:t>
      </w:r>
      <w:r w:rsidR="00AB679D" w:rsidRPr="00ED7C2E">
        <w:rPr>
          <w:rStyle w:val="Hyperlink"/>
          <w:rFonts w:cstheme="minorHAnsi"/>
          <w:color w:val="auto"/>
          <w:szCs w:val="24"/>
          <w:u w:val="none"/>
          <w:lang w:val="en-US"/>
        </w:rPr>
        <w:t>TDAG</w:t>
      </w:r>
      <w:r w:rsidRPr="00ED7C2E">
        <w:rPr>
          <w:rStyle w:val="Hyperlink"/>
          <w:rFonts w:cstheme="minorHAnsi"/>
          <w:color w:val="auto"/>
          <w:szCs w:val="24"/>
          <w:u w:val="none"/>
          <w:lang w:val="en-US"/>
        </w:rPr>
        <w:t xml:space="preserve"> proposed regular reviews and updates to the criteria based on member state experiences and evolving regional needs.</w:t>
      </w:r>
    </w:p>
    <w:p w14:paraId="589B2CAB" w14:textId="6674BF3E"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There was a call for clear mechanisms to measure the impact of the new offices on regional development goals. It was suggested that KPIs be established to track the performance and contributions of these offices.</w:t>
      </w:r>
    </w:p>
    <w:p w14:paraId="6F870F9E" w14:textId="10BAE286" w:rsidR="00AA6C30" w:rsidRDefault="006643BB" w:rsidP="00ED7C2E">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The presentations and subsequent discussions highlighted the importance of strategic criteria for establishing regional and area offices to enhance ITU’s effectiveness. </w:t>
      </w:r>
      <w:r w:rsidR="00AB679D" w:rsidRPr="00ED7C2E">
        <w:rPr>
          <w:rStyle w:val="Hyperlink"/>
          <w:rFonts w:cstheme="minorHAnsi"/>
          <w:color w:val="auto"/>
          <w:szCs w:val="24"/>
          <w:u w:val="none"/>
          <w:lang w:val="en-US"/>
        </w:rPr>
        <w:t>TDAG</w:t>
      </w:r>
      <w:r w:rsidRPr="00ED7C2E">
        <w:rPr>
          <w:rStyle w:val="Hyperlink"/>
          <w:rFonts w:cstheme="minorHAnsi"/>
          <w:color w:val="auto"/>
          <w:szCs w:val="24"/>
          <w:u w:val="none"/>
          <w:lang w:val="en-US"/>
        </w:rPr>
        <w:t xml:space="preserve"> appreciated the comprehensive proposals in Documents 18 and 41</w:t>
      </w:r>
      <w:r w:rsidR="00217475" w:rsidRPr="00ED7C2E">
        <w:rPr>
          <w:rStyle w:val="Hyperlink"/>
          <w:rFonts w:cstheme="minorHAnsi"/>
          <w:color w:val="auto"/>
          <w:szCs w:val="24"/>
          <w:u w:val="none"/>
          <w:lang w:val="en-US"/>
        </w:rPr>
        <w:t>(Rev.1)</w:t>
      </w:r>
      <w:r w:rsidRPr="00ED7C2E">
        <w:rPr>
          <w:rStyle w:val="Hyperlink"/>
          <w:rFonts w:cstheme="minorHAnsi"/>
          <w:color w:val="auto"/>
          <w:szCs w:val="24"/>
          <w:u w:val="none"/>
          <w:lang w:val="en-US"/>
        </w:rPr>
        <w:t xml:space="preserve"> and provided constructive feedback to refine the criteria. The focus on inclusivity, coordination, financial feasibility, and impact measurement was emphasized as critical for the success of these initiatives. The feedback and recommendations will be incorporated into the final criteria to be discussed in the next Council session.</w:t>
      </w:r>
    </w:p>
    <w:tbl>
      <w:tblPr>
        <w:tblStyle w:val="TableGrid"/>
        <w:tblW w:w="0" w:type="auto"/>
        <w:tblLook w:val="04A0" w:firstRow="1" w:lastRow="0" w:firstColumn="1" w:lastColumn="0" w:noHBand="0" w:noVBand="1"/>
      </w:tblPr>
      <w:tblGrid>
        <w:gridCol w:w="9629"/>
      </w:tblGrid>
      <w:tr w:rsidR="00ED7C2E" w14:paraId="10811453" w14:textId="77777777" w:rsidTr="00ED7C2E">
        <w:tc>
          <w:tcPr>
            <w:tcW w:w="9629" w:type="dxa"/>
          </w:tcPr>
          <w:p w14:paraId="3E0CEA30" w14:textId="6AEDF8AC" w:rsidR="00ED7C2E" w:rsidRDefault="00ED7C2E" w:rsidP="00ED7C2E">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contribution that addresses the criteria for establishing future area offices and provides a draft response from TDAG to CWG-FHR’s Liaison Statement. It acknowledged the valuable discussions held at CWG-FHR meetings in 2023 and 2024, highlighting the importance of strengthening ITU regional presence to better serve Member States in need, particularly least-developed countries, landlocked developing countries, and small island developing states.</w:t>
            </w:r>
          </w:p>
        </w:tc>
      </w:tr>
    </w:tbl>
    <w:p w14:paraId="5DF4319A" w14:textId="77777777" w:rsidR="00F24892" w:rsidRPr="00ED7C2E" w:rsidRDefault="00F24892" w:rsidP="00ED7C2E">
      <w:pPr>
        <w:keepNext/>
        <w:tabs>
          <w:tab w:val="left" w:pos="567"/>
          <w:tab w:val="left" w:pos="1701"/>
        </w:tabs>
        <w:spacing w:after="120"/>
        <w:textAlignment w:val="auto"/>
        <w:rPr>
          <w:rStyle w:val="Hyperlink"/>
          <w:rFonts w:cstheme="minorHAnsi"/>
          <w:b/>
          <w:color w:val="auto"/>
          <w:szCs w:val="24"/>
          <w:u w:val="none"/>
          <w:lang w:val="en-US"/>
        </w:rPr>
      </w:pPr>
      <w:r w:rsidRPr="00ED7C2E">
        <w:rPr>
          <w:rFonts w:cstheme="minorHAnsi"/>
          <w:b/>
          <w:szCs w:val="24"/>
          <w:lang w:val="en-US"/>
        </w:rPr>
        <w:lastRenderedPageBreak/>
        <w:t xml:space="preserve">Document </w:t>
      </w:r>
      <w:hyperlink r:id="rId88" w:history="1">
        <w:r w:rsidRPr="00ED7C2E">
          <w:rPr>
            <w:rStyle w:val="Hyperlink"/>
            <w:rFonts w:cstheme="minorHAnsi"/>
            <w:b/>
            <w:szCs w:val="24"/>
            <w:lang w:val="en-US"/>
          </w:rPr>
          <w:t>21(Rev.1)</w:t>
        </w:r>
      </w:hyperlink>
      <w:r w:rsidRPr="00ED7C2E">
        <w:rPr>
          <w:rStyle w:val="Hyperlink"/>
          <w:rFonts w:cstheme="minorHAnsi"/>
          <w:b/>
          <w:color w:val="auto"/>
          <w:szCs w:val="24"/>
          <w:u w:val="none"/>
          <w:lang w:val="en-US"/>
        </w:rPr>
        <w:t xml:space="preserve"> (Chair, CWG-FHR) - Incoming LS - Liaison Statement to TDAG and ISCG on the criteria for establishing future area offices</w:t>
      </w:r>
    </w:p>
    <w:p w14:paraId="7C1FD7EE" w14:textId="258CA578" w:rsidR="00F24892" w:rsidRDefault="00F24892" w:rsidP="00ED7C2E">
      <w:pPr>
        <w:keepNext/>
        <w:tabs>
          <w:tab w:val="left" w:pos="567"/>
          <w:tab w:val="left" w:pos="1701"/>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Secretariat presented Document 21 which provided a liaison statement from the Council Working Group on Finance and Human Resources (CWG-FHR) regarding the criteria for establishing future regional and area offices. The document follows discussions from the October 2023 CWG-FHR meeting</w:t>
      </w:r>
      <w:r w:rsidR="0007363B" w:rsidRPr="00ED7C2E">
        <w:rPr>
          <w:rStyle w:val="Hyperlink"/>
          <w:rFonts w:cstheme="minorHAnsi"/>
          <w:color w:val="auto"/>
          <w:szCs w:val="24"/>
          <w:u w:val="none"/>
          <w:lang w:val="en-US"/>
        </w:rPr>
        <w:t xml:space="preserve"> and seeks the views of TDAG on its contents</w:t>
      </w:r>
      <w:r w:rsidRPr="00ED7C2E">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ED7C2E" w14:paraId="13FD8B30" w14:textId="77777777" w:rsidTr="00ED7C2E">
        <w:tc>
          <w:tcPr>
            <w:tcW w:w="9629" w:type="dxa"/>
          </w:tcPr>
          <w:p w14:paraId="6BFAEA5B" w14:textId="18265BA3" w:rsidR="00ED7C2E" w:rsidRDefault="00ED7C2E" w:rsidP="00ED7C2E">
            <w:pPr>
              <w:keepNext/>
              <w:tabs>
                <w:tab w:val="left" w:pos="567"/>
                <w:tab w:val="left" w:pos="1701"/>
              </w:tabs>
              <w:spacing w:after="120"/>
              <w:textAlignment w:val="auto"/>
              <w:rPr>
                <w:rFonts w:cstheme="minorHAnsi"/>
                <w:szCs w:val="24"/>
                <w:lang w:val="en-US"/>
              </w:rPr>
            </w:pPr>
            <w:r w:rsidRPr="00ED7C2E">
              <w:rPr>
                <w:rFonts w:cstheme="minorHAnsi"/>
                <w:szCs w:val="24"/>
                <w:lang w:val="en-US"/>
              </w:rPr>
              <w:t>TDAG took note of the incoming Liaison Statement on the criteria for establishing future area offices.</w:t>
            </w:r>
          </w:p>
        </w:tc>
      </w:tr>
    </w:tbl>
    <w:p w14:paraId="576F11BF" w14:textId="5E438032" w:rsidR="00F24892" w:rsidRDefault="00A754D2" w:rsidP="00ED7C2E">
      <w:pPr>
        <w:tabs>
          <w:tab w:val="clear" w:pos="1191"/>
          <w:tab w:val="clear" w:pos="1588"/>
          <w:tab w:val="clear" w:pos="1985"/>
          <w:tab w:val="left" w:pos="567"/>
          <w:tab w:val="left" w:pos="2233"/>
        </w:tabs>
        <w:spacing w:after="120"/>
        <w:ind w:left="-57" w:right="-57"/>
        <w:rPr>
          <w:rFonts w:cstheme="minorHAnsi"/>
          <w:b/>
          <w:szCs w:val="24"/>
          <w:lang w:val="en-US"/>
        </w:rPr>
      </w:pPr>
      <w:r w:rsidRPr="00ED7C2E">
        <w:rPr>
          <w:rFonts w:cstheme="minorHAnsi"/>
          <w:b/>
          <w:szCs w:val="24"/>
          <w:lang w:val="en-US"/>
        </w:rPr>
        <w:t>Document</w:t>
      </w:r>
      <w:r w:rsidRPr="00ED7C2E">
        <w:rPr>
          <w:rFonts w:cstheme="minorHAnsi"/>
          <w:szCs w:val="24"/>
        </w:rPr>
        <w:t xml:space="preserve"> </w:t>
      </w:r>
      <w:hyperlink r:id="rId89" w:history="1">
        <w:r w:rsidR="00F24892" w:rsidRPr="00ED7C2E">
          <w:rPr>
            <w:rStyle w:val="Hyperlink"/>
            <w:rFonts w:cstheme="minorHAnsi"/>
            <w:b/>
            <w:szCs w:val="24"/>
            <w:lang w:val="en-US"/>
          </w:rPr>
          <w:t>DT/8</w:t>
        </w:r>
      </w:hyperlink>
      <w:r w:rsidR="00F24892" w:rsidRPr="00ED7C2E">
        <w:rPr>
          <w:rStyle w:val="Hyperlink"/>
          <w:rFonts w:cstheme="minorHAnsi"/>
          <w:b/>
          <w:szCs w:val="24"/>
          <w:lang w:val="en-US"/>
        </w:rPr>
        <w:t xml:space="preserve">(Rev.1) </w:t>
      </w:r>
      <w:r w:rsidR="00F24892" w:rsidRPr="00ED7C2E">
        <w:rPr>
          <w:rFonts w:cstheme="minorHAnsi"/>
          <w:b/>
          <w:szCs w:val="24"/>
          <w:lang w:val="en-US"/>
        </w:rPr>
        <w:t>(Chair, TDAG) - Reply Liaison statement to CWG-FHR: Criteria for establishing future regional and area offices</w:t>
      </w:r>
    </w:p>
    <w:tbl>
      <w:tblPr>
        <w:tblStyle w:val="TableGrid"/>
        <w:tblW w:w="0" w:type="auto"/>
        <w:tblInd w:w="-57" w:type="dxa"/>
        <w:tblLook w:val="04A0" w:firstRow="1" w:lastRow="0" w:firstColumn="1" w:lastColumn="0" w:noHBand="0" w:noVBand="1"/>
      </w:tblPr>
      <w:tblGrid>
        <w:gridCol w:w="9629"/>
      </w:tblGrid>
      <w:tr w:rsidR="00ED7C2E" w:rsidRPr="00ED7C2E" w14:paraId="49E431AD" w14:textId="77777777" w:rsidTr="00ED7C2E">
        <w:tc>
          <w:tcPr>
            <w:tcW w:w="9629" w:type="dxa"/>
          </w:tcPr>
          <w:p w14:paraId="6C1ABDF0" w14:textId="77777777" w:rsidR="00ED7C2E" w:rsidRPr="00ED7C2E" w:rsidRDefault="00ED7C2E" w:rsidP="00ED7C2E">
            <w:pPr>
              <w:tabs>
                <w:tab w:val="clear" w:pos="1191"/>
                <w:tab w:val="clear" w:pos="1588"/>
                <w:tab w:val="clear" w:pos="1985"/>
                <w:tab w:val="left" w:pos="567"/>
                <w:tab w:val="left" w:pos="2233"/>
              </w:tabs>
              <w:spacing w:after="120"/>
              <w:ind w:right="-57"/>
              <w:rPr>
                <w:rFonts w:cstheme="minorHAnsi"/>
                <w:bCs/>
                <w:szCs w:val="24"/>
                <w:lang w:val="en-US"/>
              </w:rPr>
            </w:pPr>
            <w:r w:rsidRPr="00ED7C2E">
              <w:rPr>
                <w:rFonts w:cstheme="minorHAnsi"/>
                <w:bCs/>
                <w:szCs w:val="24"/>
                <w:lang w:val="en-US"/>
              </w:rPr>
              <w:t>TDAG approved document DT/8 (Rev.1), which in Annex 1 includes TDAG’s comments in tracked changes on the criteria for establishing future area and regional offices found in CWG-FHR/10.</w:t>
            </w:r>
          </w:p>
          <w:p w14:paraId="139EB075" w14:textId="58F595E6" w:rsidR="00ED7C2E" w:rsidRPr="00ED7C2E" w:rsidRDefault="00ED7C2E" w:rsidP="00ED7C2E">
            <w:pPr>
              <w:tabs>
                <w:tab w:val="clear" w:pos="1191"/>
                <w:tab w:val="clear" w:pos="1588"/>
                <w:tab w:val="clear" w:pos="1985"/>
                <w:tab w:val="left" w:pos="567"/>
                <w:tab w:val="left" w:pos="2233"/>
              </w:tabs>
              <w:spacing w:after="120"/>
              <w:ind w:right="-57"/>
              <w:rPr>
                <w:rFonts w:cstheme="minorHAnsi"/>
                <w:bCs/>
                <w:szCs w:val="24"/>
                <w:lang w:val="en-US"/>
              </w:rPr>
            </w:pPr>
            <w:r w:rsidRPr="00ED7C2E">
              <w:rPr>
                <w:rFonts w:cstheme="minorHAnsi"/>
                <w:bCs/>
                <w:szCs w:val="24"/>
                <w:lang w:val="en-US"/>
              </w:rPr>
              <w:t>TDAG welcomed, in principle, the Council's efforts to define criteria and regularize the establishment of future area and regional offices.</w:t>
            </w:r>
          </w:p>
        </w:tc>
      </w:tr>
    </w:tbl>
    <w:p w14:paraId="35C0C449" w14:textId="55936E84" w:rsidR="00E70806" w:rsidRPr="00ED7C2E" w:rsidRDefault="00ED68A9"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Outcomes of RA-23 and WRC-23 relevant to the work of ITU-D</w:t>
      </w:r>
    </w:p>
    <w:p w14:paraId="69C90E12" w14:textId="1CD5AB80" w:rsidR="00ED68A9" w:rsidRPr="00ED7C2E" w:rsidRDefault="00ED68A9"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b/>
          <w:szCs w:val="24"/>
          <w:lang w:val="en-US"/>
        </w:rPr>
      </w:pPr>
      <w:r w:rsidRPr="00ED7C2E">
        <w:rPr>
          <w:rFonts w:cstheme="minorHAnsi"/>
          <w:b/>
          <w:szCs w:val="24"/>
          <w:lang w:val="en-US"/>
        </w:rPr>
        <w:t xml:space="preserve">Document </w:t>
      </w:r>
      <w:hyperlink r:id="rId90" w:history="1">
        <w:r w:rsidRPr="00ED7C2E">
          <w:rPr>
            <w:rStyle w:val="Hyperlink"/>
            <w:rFonts w:cstheme="minorHAnsi"/>
            <w:b/>
            <w:szCs w:val="24"/>
            <w:lang w:val="en-US"/>
          </w:rPr>
          <w:t>11 + Annexes 1-2</w:t>
        </w:r>
      </w:hyperlink>
      <w:r w:rsidR="00433DA8" w:rsidRPr="00ED7C2E">
        <w:rPr>
          <w:rStyle w:val="Hyperlink"/>
          <w:rFonts w:cstheme="minorHAnsi"/>
          <w:b/>
          <w:color w:val="auto"/>
          <w:szCs w:val="24"/>
          <w:u w:val="none"/>
          <w:lang w:val="en-US"/>
        </w:rPr>
        <w:t xml:space="preserve"> (Director, BDT)</w:t>
      </w:r>
      <w:r w:rsidR="005B76F7" w:rsidRPr="00ED7C2E">
        <w:rPr>
          <w:rStyle w:val="Hyperlink"/>
          <w:rFonts w:cstheme="minorHAnsi"/>
          <w:b/>
          <w:bCs/>
          <w:color w:val="auto"/>
          <w:szCs w:val="24"/>
          <w:u w:val="none"/>
          <w:lang w:val="en-US"/>
        </w:rPr>
        <w:t xml:space="preserve"> - </w:t>
      </w:r>
      <w:r w:rsidR="00404C43" w:rsidRPr="00ED7C2E">
        <w:rPr>
          <w:rStyle w:val="Hyperlink"/>
          <w:rFonts w:cstheme="minorHAnsi"/>
          <w:b/>
          <w:bCs/>
          <w:color w:val="auto"/>
          <w:szCs w:val="24"/>
          <w:u w:val="none"/>
          <w:lang w:val="en-US"/>
        </w:rPr>
        <w:t>Outcomes of RA-23/WRC-23 relevant to ITU-D</w:t>
      </w:r>
    </w:p>
    <w:p w14:paraId="56E361A5" w14:textId="123FC367" w:rsidR="006C201C" w:rsidRPr="00ED7C2E" w:rsidRDefault="006C201C"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This document reported on the outcomes of the 2023 Radiocommunication Assembly (RA-23) and the 2023 World Radiocommunication Conference (WRC-23).</w:t>
      </w:r>
    </w:p>
    <w:p w14:paraId="1F189A6B" w14:textId="544C8CFD" w:rsidR="00217828" w:rsidRPr="00ED7C2E" w:rsidRDefault="00217828"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RA-23 held in Dubai, UAE from 13</w:t>
      </w:r>
      <w:r w:rsidR="00CE73EC" w:rsidRPr="00ED7C2E">
        <w:rPr>
          <w:rFonts w:cstheme="minorHAnsi"/>
          <w:szCs w:val="24"/>
          <w:lang w:val="en-US"/>
        </w:rPr>
        <w:t xml:space="preserve"> to </w:t>
      </w:r>
      <w:r w:rsidRPr="00ED7C2E">
        <w:rPr>
          <w:rFonts w:cstheme="minorHAnsi"/>
          <w:szCs w:val="24"/>
          <w:lang w:val="en-US"/>
        </w:rPr>
        <w:t>17 November 2023 was attended by over 1,300 delegates from 128 ITU Member States</w:t>
      </w:r>
      <w:r w:rsidR="001E2677" w:rsidRPr="00ED7C2E">
        <w:rPr>
          <w:rFonts w:cstheme="minorHAnsi"/>
          <w:szCs w:val="24"/>
          <w:lang w:val="en-US"/>
        </w:rPr>
        <w:t xml:space="preserve">. The conference </w:t>
      </w:r>
      <w:r w:rsidRPr="00ED7C2E">
        <w:rPr>
          <w:rFonts w:cstheme="minorHAnsi"/>
          <w:szCs w:val="24"/>
          <w:lang w:val="en-US"/>
        </w:rPr>
        <w:t xml:space="preserve">was chaired by Mrs. Carol Wilson (Australia), the first woman to chair an ITU Radiocommunication Assembly. Key discussions at RA-23 included the adoption of IMT-2030 as the technical reference for 6G mobile systems and a new resolution on space sustainability for long-term use of the radio frequency spectrum and satellite orbit resources. </w:t>
      </w:r>
    </w:p>
    <w:p w14:paraId="026B8403" w14:textId="2FAB9BC6" w:rsidR="00172970" w:rsidRPr="00ED7C2E" w:rsidRDefault="00217828"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 xml:space="preserve">WRC-23 held from 20 November to 15 December 2023 also in Dubai, UAE </w:t>
      </w:r>
      <w:r w:rsidR="00CE73EC" w:rsidRPr="00ED7C2E">
        <w:rPr>
          <w:rFonts w:cstheme="minorHAnsi"/>
          <w:szCs w:val="24"/>
          <w:lang w:val="en-US"/>
        </w:rPr>
        <w:t>was</w:t>
      </w:r>
      <w:r w:rsidRPr="00ED7C2E">
        <w:rPr>
          <w:rFonts w:cstheme="minorHAnsi"/>
          <w:szCs w:val="24"/>
          <w:lang w:val="en-US"/>
        </w:rPr>
        <w:t xml:space="preserve"> attended by over 3,900 delegates from 163 Member States, with 22% female participation which represented an increase from the previous years. WRC-23 approved 43 new resolutions, revised 56 existing ones, and suppressed resolutions.</w:t>
      </w:r>
    </w:p>
    <w:p w14:paraId="19094388" w14:textId="0AD19A69" w:rsidR="00172970" w:rsidRPr="00ED7C2E" w:rsidRDefault="00965E5B" w:rsidP="00ED7C2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 xml:space="preserve">TDAG </w:t>
      </w:r>
      <w:r w:rsidR="005D25FA" w:rsidRPr="00ED7C2E">
        <w:rPr>
          <w:rFonts w:cstheme="minorHAnsi"/>
          <w:szCs w:val="24"/>
          <w:lang w:val="en-US"/>
        </w:rPr>
        <w:t>acknowledged</w:t>
      </w:r>
      <w:r w:rsidR="00172970" w:rsidRPr="00ED7C2E">
        <w:rPr>
          <w:rFonts w:cstheme="minorHAnsi"/>
          <w:szCs w:val="24"/>
          <w:lang w:val="en-US"/>
        </w:rPr>
        <w:t xml:space="preserve"> the Space 2030 Agenda </w:t>
      </w:r>
      <w:r w:rsidRPr="00ED7C2E">
        <w:rPr>
          <w:rFonts w:cstheme="minorHAnsi"/>
          <w:szCs w:val="24"/>
          <w:lang w:val="en-US"/>
        </w:rPr>
        <w:t xml:space="preserve">and </w:t>
      </w:r>
      <w:r w:rsidR="000966FA" w:rsidRPr="00ED7C2E">
        <w:rPr>
          <w:rFonts w:cstheme="minorHAnsi"/>
          <w:szCs w:val="24"/>
          <w:lang w:val="en-US"/>
        </w:rPr>
        <w:t>t</w:t>
      </w:r>
      <w:r w:rsidR="00172970" w:rsidRPr="00ED7C2E">
        <w:rPr>
          <w:rFonts w:cstheme="minorHAnsi"/>
          <w:szCs w:val="24"/>
          <w:lang w:val="en-US"/>
        </w:rPr>
        <w:t xml:space="preserve">he </w:t>
      </w:r>
      <w:r w:rsidR="00DF6068" w:rsidRPr="00ED7C2E">
        <w:rPr>
          <w:rFonts w:cstheme="minorHAnsi"/>
          <w:szCs w:val="24"/>
          <w:lang w:val="en-US"/>
        </w:rPr>
        <w:t xml:space="preserve">report by </w:t>
      </w:r>
      <w:r w:rsidR="00172970" w:rsidRPr="00ED7C2E">
        <w:rPr>
          <w:rFonts w:cstheme="minorHAnsi"/>
          <w:szCs w:val="24"/>
          <w:lang w:val="en-US"/>
        </w:rPr>
        <w:t>Secretary-General on this matter</w:t>
      </w:r>
      <w:r w:rsidR="00DF6068" w:rsidRPr="00ED7C2E">
        <w:rPr>
          <w:rFonts w:cstheme="minorHAnsi"/>
          <w:szCs w:val="24"/>
          <w:lang w:val="en-US"/>
        </w:rPr>
        <w:t xml:space="preserve"> </w:t>
      </w:r>
      <w:r w:rsidR="000966FA" w:rsidRPr="00ED7C2E">
        <w:rPr>
          <w:rFonts w:cstheme="minorHAnsi"/>
          <w:szCs w:val="24"/>
          <w:lang w:val="en-US"/>
        </w:rPr>
        <w:t xml:space="preserve">contained in document </w:t>
      </w:r>
      <w:hyperlink r:id="rId91" w:history="1">
        <w:r w:rsidR="000966FA" w:rsidRPr="00ED7C2E">
          <w:rPr>
            <w:rStyle w:val="Hyperlink"/>
            <w:rFonts w:cstheme="minorHAnsi"/>
            <w:szCs w:val="24"/>
            <w:lang w:val="en-US"/>
          </w:rPr>
          <w:t>C-24/38</w:t>
        </w:r>
      </w:hyperlink>
      <w:r w:rsidR="000966FA" w:rsidRPr="00ED7C2E">
        <w:rPr>
          <w:rFonts w:cstheme="minorHAnsi"/>
          <w:szCs w:val="24"/>
          <w:lang w:val="en-US"/>
        </w:rPr>
        <w:t xml:space="preserve"> </w:t>
      </w:r>
      <w:r w:rsidR="000966FA" w:rsidRPr="00ED7C2E">
        <w:rPr>
          <w:rFonts w:cstheme="minorHAnsi"/>
          <w:i/>
          <w:iCs/>
          <w:szCs w:val="24"/>
          <w:lang w:val="en-US"/>
        </w:rPr>
        <w:t>ITU's role in the implementation of the space 2030 agenda: space as a driver of sustainable development</w:t>
      </w:r>
      <w:r w:rsidR="001E2677" w:rsidRPr="00ED7C2E">
        <w:rPr>
          <w:rFonts w:cstheme="minorHAnsi"/>
          <w:szCs w:val="24"/>
          <w:lang w:val="en-US"/>
        </w:rPr>
        <w:t xml:space="preserve"> </w:t>
      </w:r>
      <w:r w:rsidR="00DC3AE6" w:rsidRPr="00ED7C2E">
        <w:rPr>
          <w:rFonts w:cstheme="minorHAnsi"/>
          <w:szCs w:val="24"/>
          <w:lang w:val="en-US"/>
        </w:rPr>
        <w:t>f</w:t>
      </w:r>
      <w:r w:rsidR="00DF6068" w:rsidRPr="00ED7C2E">
        <w:rPr>
          <w:rFonts w:cstheme="minorHAnsi"/>
          <w:szCs w:val="24"/>
          <w:lang w:val="en-US"/>
        </w:rPr>
        <w:t>or consideration at the upcoming session of the ITU Council</w:t>
      </w:r>
      <w:r w:rsidR="00172970" w:rsidRPr="00ED7C2E">
        <w:rPr>
          <w:rFonts w:cstheme="minorHAnsi"/>
          <w:szCs w:val="24"/>
          <w:lang w:val="en-US"/>
        </w:rPr>
        <w:t>.</w:t>
      </w:r>
    </w:p>
    <w:p w14:paraId="497C09A2" w14:textId="78BC72F8" w:rsidR="00803BAB" w:rsidRDefault="00310ECF" w:rsidP="00ED7C2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lang w:val="en-US"/>
        </w:rPr>
        <w:t xml:space="preserve">TDAG discussed duration of the appointment of the chair, vice-chairs and rapporteurs </w:t>
      </w:r>
      <w:r w:rsidR="00803BAB" w:rsidRPr="00ED7C2E">
        <w:rPr>
          <w:rFonts w:cstheme="minorHAnsi"/>
          <w:szCs w:val="24"/>
        </w:rPr>
        <w:t xml:space="preserve">of </w:t>
      </w:r>
      <w:r w:rsidRPr="00ED7C2E">
        <w:rPr>
          <w:rFonts w:cstheme="minorHAnsi"/>
          <w:szCs w:val="24"/>
        </w:rPr>
        <w:t xml:space="preserve">the </w:t>
      </w:r>
      <w:r w:rsidR="00803BAB" w:rsidRPr="00ED7C2E">
        <w:rPr>
          <w:rFonts w:cstheme="minorHAnsi"/>
          <w:szCs w:val="24"/>
        </w:rPr>
        <w:t>study groups.</w:t>
      </w:r>
    </w:p>
    <w:tbl>
      <w:tblPr>
        <w:tblStyle w:val="TableGrid"/>
        <w:tblW w:w="0" w:type="auto"/>
        <w:tblLook w:val="04A0" w:firstRow="1" w:lastRow="0" w:firstColumn="1" w:lastColumn="0" w:noHBand="0" w:noVBand="1"/>
      </w:tblPr>
      <w:tblGrid>
        <w:gridCol w:w="9629"/>
      </w:tblGrid>
      <w:tr w:rsidR="00ED7C2E" w14:paraId="37A8EA2A" w14:textId="77777777" w:rsidTr="00ED7C2E">
        <w:tc>
          <w:tcPr>
            <w:tcW w:w="9629" w:type="dxa"/>
          </w:tcPr>
          <w:p w14:paraId="79C93952" w14:textId="51BC0AE0" w:rsidR="00ED7C2E" w:rsidRDefault="00ED7C2E" w:rsidP="00ED7C2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TDAG took note of the document that outlined the outcomes of the Radiocommunication Assembly 2023 (RA-23) and the World Radiocommunication Conference 2023 (WRC-23) and their relevance to the work of ITU-D.</w:t>
            </w:r>
          </w:p>
        </w:tc>
      </w:tr>
    </w:tbl>
    <w:p w14:paraId="4063F89F" w14:textId="33C21B17" w:rsidR="00AB1A6B" w:rsidRPr="00ED7C2E" w:rsidRDefault="00AB1A6B"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lastRenderedPageBreak/>
        <w:t>Preparations for WTSA-24</w:t>
      </w:r>
    </w:p>
    <w:p w14:paraId="51503A97" w14:textId="6E47D1E1" w:rsidR="00AB1A6B" w:rsidRPr="00ED7C2E" w:rsidRDefault="00AB1A6B" w:rsidP="00ED7C2E">
      <w:pPr>
        <w:keepNext/>
        <w:tabs>
          <w:tab w:val="left" w:pos="567"/>
          <w:tab w:val="left" w:pos="1701"/>
        </w:tabs>
        <w:spacing w:after="120"/>
        <w:textAlignment w:val="auto"/>
        <w:rPr>
          <w:rFonts w:cstheme="minorHAnsi"/>
          <w:b/>
          <w:szCs w:val="24"/>
        </w:rPr>
      </w:pPr>
      <w:r w:rsidRPr="00ED7C2E">
        <w:rPr>
          <w:rFonts w:cstheme="minorHAnsi"/>
          <w:b/>
          <w:szCs w:val="24"/>
        </w:rPr>
        <w:t xml:space="preserve">Document </w:t>
      </w:r>
      <w:hyperlink r:id="rId92" w:history="1">
        <w:r w:rsidRPr="00ED7C2E">
          <w:rPr>
            <w:rStyle w:val="Hyperlink"/>
            <w:rFonts w:cstheme="minorHAnsi"/>
            <w:b/>
            <w:szCs w:val="24"/>
          </w:rPr>
          <w:t>1</w:t>
        </w:r>
        <w:r w:rsidR="00B769A5" w:rsidRPr="00ED7C2E">
          <w:rPr>
            <w:rStyle w:val="Hyperlink"/>
            <w:rFonts w:cstheme="minorHAnsi"/>
            <w:b/>
            <w:szCs w:val="24"/>
          </w:rPr>
          <w:t>5</w:t>
        </w:r>
      </w:hyperlink>
      <w:r w:rsidR="00433DA8" w:rsidRPr="00ED7C2E">
        <w:rPr>
          <w:rStyle w:val="Hyperlink"/>
          <w:rFonts w:cstheme="minorHAnsi"/>
          <w:b/>
          <w:color w:val="auto"/>
          <w:szCs w:val="24"/>
          <w:u w:val="none"/>
          <w:lang w:val="en-US"/>
        </w:rPr>
        <w:t xml:space="preserve"> (Director, </w:t>
      </w:r>
      <w:r w:rsidR="00C448AE" w:rsidRPr="00ED7C2E">
        <w:rPr>
          <w:rStyle w:val="Hyperlink"/>
          <w:rFonts w:cstheme="minorHAnsi"/>
          <w:b/>
          <w:color w:val="auto"/>
          <w:szCs w:val="24"/>
          <w:u w:val="none"/>
          <w:lang w:val="en-US"/>
        </w:rPr>
        <w:t>TSB</w:t>
      </w:r>
      <w:r w:rsidR="00433DA8" w:rsidRPr="00ED7C2E">
        <w:rPr>
          <w:rStyle w:val="Hyperlink"/>
          <w:rFonts w:cstheme="minorHAnsi"/>
          <w:b/>
          <w:color w:val="auto"/>
          <w:szCs w:val="24"/>
          <w:u w:val="none"/>
          <w:lang w:val="en-US"/>
        </w:rPr>
        <w:t>)</w:t>
      </w:r>
      <w:r w:rsidR="00461141" w:rsidRPr="00ED7C2E">
        <w:rPr>
          <w:rStyle w:val="Hyperlink"/>
          <w:rFonts w:cstheme="minorHAnsi"/>
          <w:b/>
          <w:color w:val="auto"/>
          <w:szCs w:val="24"/>
          <w:u w:val="none"/>
          <w:lang w:val="en-US"/>
        </w:rPr>
        <w:t xml:space="preserve"> - </w:t>
      </w:r>
      <w:r w:rsidR="005F793C" w:rsidRPr="00ED7C2E">
        <w:rPr>
          <w:rStyle w:val="Hyperlink"/>
          <w:rFonts w:cstheme="minorHAnsi"/>
          <w:b/>
          <w:bCs/>
          <w:color w:val="auto"/>
          <w:szCs w:val="24"/>
          <w:u w:val="none"/>
          <w:lang w:val="en-US"/>
        </w:rPr>
        <w:t>Preparations for the World Telecommunication Standardization Assembly (WTSA-24)</w:t>
      </w:r>
    </w:p>
    <w:p w14:paraId="6459C329" w14:textId="61765DF7" w:rsidR="00BF302D" w:rsidRPr="00ED7C2E" w:rsidRDefault="00817CB1" w:rsidP="00ED7C2E">
      <w:pPr>
        <w:spacing w:after="120"/>
        <w:rPr>
          <w:rFonts w:cstheme="minorHAnsi"/>
          <w:szCs w:val="24"/>
        </w:rPr>
      </w:pPr>
      <w:r w:rsidRPr="00ED7C2E">
        <w:rPr>
          <w:rFonts w:cstheme="minorHAnsi"/>
          <w:szCs w:val="24"/>
        </w:rPr>
        <w:t xml:space="preserve">The </w:t>
      </w:r>
      <w:r w:rsidR="00BF302D" w:rsidRPr="00ED7C2E">
        <w:rPr>
          <w:rFonts w:cstheme="minorHAnsi"/>
          <w:szCs w:val="24"/>
        </w:rPr>
        <w:t xml:space="preserve">TSB Secretariat presented Document 15, which reported on the preparations for the World Telecommunication Standardization Assembly (WTSA) scheduled from </w:t>
      </w:r>
      <w:r w:rsidR="00615980" w:rsidRPr="00ED7C2E">
        <w:rPr>
          <w:rFonts w:cstheme="minorHAnsi"/>
          <w:szCs w:val="24"/>
        </w:rPr>
        <w:t xml:space="preserve">15 to 24 </w:t>
      </w:r>
      <w:r w:rsidR="00BF302D" w:rsidRPr="00ED7C2E">
        <w:rPr>
          <w:rFonts w:cstheme="minorHAnsi"/>
          <w:szCs w:val="24"/>
        </w:rPr>
        <w:t xml:space="preserve">October 2024, in New Delhi, India. The WTSA will be preceded by the Global Standards Symposium on </w:t>
      </w:r>
      <w:r w:rsidR="00615980" w:rsidRPr="00ED7C2E">
        <w:rPr>
          <w:rFonts w:cstheme="minorHAnsi"/>
          <w:szCs w:val="24"/>
        </w:rPr>
        <w:t xml:space="preserve">14 </w:t>
      </w:r>
      <w:r w:rsidR="00BF302D" w:rsidRPr="00ED7C2E">
        <w:rPr>
          <w:rFonts w:cstheme="minorHAnsi"/>
          <w:szCs w:val="24"/>
        </w:rPr>
        <w:t xml:space="preserve">October 2024. </w:t>
      </w:r>
    </w:p>
    <w:p w14:paraId="3C37134B" w14:textId="09119104" w:rsidR="00BF302D" w:rsidRPr="00ED7C2E" w:rsidRDefault="00BF302D" w:rsidP="00ED7C2E">
      <w:pPr>
        <w:spacing w:after="120"/>
        <w:rPr>
          <w:rFonts w:cstheme="minorHAnsi"/>
          <w:szCs w:val="24"/>
        </w:rPr>
      </w:pPr>
      <w:r w:rsidRPr="00ED7C2E">
        <w:rPr>
          <w:rFonts w:cstheme="minorHAnsi"/>
          <w:szCs w:val="24"/>
        </w:rPr>
        <w:t>The document list</w:t>
      </w:r>
      <w:r w:rsidR="00654D7D" w:rsidRPr="00ED7C2E">
        <w:rPr>
          <w:rFonts w:cstheme="minorHAnsi"/>
          <w:szCs w:val="24"/>
        </w:rPr>
        <w:t>ed</w:t>
      </w:r>
      <w:r w:rsidRPr="00ED7C2E">
        <w:rPr>
          <w:rFonts w:cstheme="minorHAnsi"/>
          <w:szCs w:val="24"/>
        </w:rPr>
        <w:t xml:space="preserve"> a series of key circulars sent to ITU membership regarding the logistics and side events planned over the two weeks of the </w:t>
      </w:r>
      <w:r w:rsidR="00615980" w:rsidRPr="00ED7C2E">
        <w:rPr>
          <w:rFonts w:cstheme="minorHAnsi"/>
          <w:szCs w:val="24"/>
        </w:rPr>
        <w:t>assembly</w:t>
      </w:r>
      <w:r w:rsidR="00C11C48" w:rsidRPr="00ED7C2E">
        <w:rPr>
          <w:rFonts w:cstheme="minorHAnsi"/>
          <w:szCs w:val="24"/>
        </w:rPr>
        <w:t xml:space="preserve"> a</w:t>
      </w:r>
      <w:r w:rsidR="00BA1007" w:rsidRPr="00ED7C2E">
        <w:rPr>
          <w:rFonts w:cstheme="minorHAnsi"/>
          <w:szCs w:val="24"/>
        </w:rPr>
        <w:t>nd a</w:t>
      </w:r>
      <w:r w:rsidR="00C11C48" w:rsidRPr="00ED7C2E">
        <w:rPr>
          <w:rFonts w:cstheme="minorHAnsi"/>
          <w:szCs w:val="24"/>
        </w:rPr>
        <w:t xml:space="preserve"> </w:t>
      </w:r>
      <w:r w:rsidRPr="00ED7C2E">
        <w:rPr>
          <w:rFonts w:cstheme="minorHAnsi"/>
          <w:szCs w:val="24"/>
        </w:rPr>
        <w:t>call for candidates for key ITU-T leadership positions.</w:t>
      </w:r>
      <w:r w:rsidR="00654D7D" w:rsidRPr="00ED7C2E">
        <w:rPr>
          <w:rFonts w:cstheme="minorHAnsi"/>
          <w:szCs w:val="24"/>
        </w:rPr>
        <w:t xml:space="preserve"> </w:t>
      </w:r>
      <w:r w:rsidRPr="00ED7C2E">
        <w:rPr>
          <w:rFonts w:cstheme="minorHAnsi"/>
          <w:szCs w:val="24"/>
        </w:rPr>
        <w:t xml:space="preserve">A series of regional preparatory meetings have been set up in the run-up to the WTSA, including two upcoming interregional preparatory meetings scheduled for </w:t>
      </w:r>
      <w:r w:rsidR="005638C0" w:rsidRPr="00ED7C2E">
        <w:rPr>
          <w:rFonts w:cstheme="minorHAnsi"/>
          <w:szCs w:val="24"/>
        </w:rPr>
        <w:t xml:space="preserve">25 </w:t>
      </w:r>
      <w:r w:rsidRPr="00ED7C2E">
        <w:rPr>
          <w:rFonts w:cstheme="minorHAnsi"/>
          <w:szCs w:val="24"/>
        </w:rPr>
        <w:t xml:space="preserve">July and </w:t>
      </w:r>
      <w:r w:rsidR="005638C0" w:rsidRPr="00ED7C2E">
        <w:rPr>
          <w:rFonts w:cstheme="minorHAnsi"/>
          <w:szCs w:val="24"/>
        </w:rPr>
        <w:t xml:space="preserve">9 </w:t>
      </w:r>
      <w:r w:rsidRPr="00ED7C2E">
        <w:rPr>
          <w:rFonts w:cstheme="minorHAnsi"/>
          <w:szCs w:val="24"/>
        </w:rPr>
        <w:t>September 2024.</w:t>
      </w:r>
    </w:p>
    <w:p w14:paraId="714DA274" w14:textId="4001FAB2" w:rsidR="00AB1A6B" w:rsidRDefault="00BF302D" w:rsidP="00ED7C2E">
      <w:pPr>
        <w:spacing w:after="120"/>
        <w:rPr>
          <w:rFonts w:cstheme="minorHAnsi"/>
          <w:szCs w:val="24"/>
        </w:rPr>
      </w:pPr>
      <w:r w:rsidRPr="00ED7C2E">
        <w:rPr>
          <w:rFonts w:cstheme="minorHAnsi"/>
          <w:szCs w:val="24"/>
        </w:rPr>
        <w:t xml:space="preserve">Preparations with the host country </w:t>
      </w:r>
      <w:r w:rsidR="00615980" w:rsidRPr="00ED7C2E">
        <w:rPr>
          <w:rFonts w:cstheme="minorHAnsi"/>
          <w:szCs w:val="24"/>
        </w:rPr>
        <w:t>are</w:t>
      </w:r>
      <w:r w:rsidRPr="00ED7C2E">
        <w:rPr>
          <w:rFonts w:cstheme="minorHAnsi"/>
          <w:szCs w:val="24"/>
        </w:rPr>
        <w:t xml:space="preserve"> well underway, with close collaboration to implement the provisions outlined in the Host Country Agreement (HCA) and plan for the logistics of various side events.</w:t>
      </w:r>
    </w:p>
    <w:tbl>
      <w:tblPr>
        <w:tblStyle w:val="TableGrid"/>
        <w:tblW w:w="0" w:type="auto"/>
        <w:tblLook w:val="04A0" w:firstRow="1" w:lastRow="0" w:firstColumn="1" w:lastColumn="0" w:noHBand="0" w:noVBand="1"/>
      </w:tblPr>
      <w:tblGrid>
        <w:gridCol w:w="9629"/>
      </w:tblGrid>
      <w:tr w:rsidR="00756B97" w14:paraId="4D85A9EC" w14:textId="77777777" w:rsidTr="00756B97">
        <w:tc>
          <w:tcPr>
            <w:tcW w:w="9629" w:type="dxa"/>
          </w:tcPr>
          <w:p w14:paraId="019508F7" w14:textId="276351C2" w:rsidR="00756B97" w:rsidRDefault="00756B97" w:rsidP="00ED7C2E">
            <w:pPr>
              <w:spacing w:after="120"/>
              <w:rPr>
                <w:rFonts w:cstheme="minorHAnsi"/>
                <w:szCs w:val="24"/>
              </w:rPr>
            </w:pPr>
            <w:r w:rsidRPr="00756B97">
              <w:rPr>
                <w:rFonts w:cstheme="minorHAnsi"/>
                <w:szCs w:val="24"/>
              </w:rPr>
              <w:t>TDAG took note of the report of the TSB Director on the status of the preparations for WTSA. WTSA is scheduled from 15 to 24 October 2024. It will be preceded by the Global Standards Symposium on 14 October. Both events are kindly hosted by the Government of India, in New Delhi. The document listed a series of key circulars that have been sent to our membership pertaining to the logistics and the side events planned over the two weeks of the conference.</w:t>
            </w:r>
          </w:p>
        </w:tc>
      </w:tr>
    </w:tbl>
    <w:p w14:paraId="7CA2AE5B" w14:textId="5651AB6F" w:rsidR="00085F41" w:rsidRPr="00ED7C2E" w:rsidRDefault="001D7BB4"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Contribution to the work of the Expert Group on the International Telecommunication Regulations (EG-ITR)</w:t>
      </w:r>
    </w:p>
    <w:p w14:paraId="321F6177" w14:textId="7938E329" w:rsidR="0046005E" w:rsidRPr="00ED7C2E" w:rsidRDefault="0046005E" w:rsidP="00ED7C2E">
      <w:pPr>
        <w:keepNext/>
        <w:tabs>
          <w:tab w:val="left" w:pos="567"/>
          <w:tab w:val="left" w:pos="1701"/>
        </w:tabs>
        <w:spacing w:after="120"/>
        <w:textAlignment w:val="auto"/>
        <w:rPr>
          <w:rFonts w:cstheme="minorHAnsi"/>
          <w:b/>
          <w:szCs w:val="24"/>
        </w:rPr>
      </w:pPr>
      <w:r w:rsidRPr="00ED7C2E">
        <w:rPr>
          <w:rFonts w:cstheme="minorHAnsi"/>
          <w:b/>
          <w:szCs w:val="24"/>
        </w:rPr>
        <w:t xml:space="preserve">Document </w:t>
      </w:r>
      <w:hyperlink r:id="rId93" w:history="1">
        <w:r w:rsidR="00F722F8" w:rsidRPr="00ED7C2E">
          <w:rPr>
            <w:rStyle w:val="Hyperlink"/>
            <w:rFonts w:cstheme="minorHAnsi"/>
            <w:b/>
            <w:szCs w:val="24"/>
          </w:rPr>
          <w:t>3</w:t>
        </w:r>
      </w:hyperlink>
      <w:r w:rsidR="00433DA8" w:rsidRPr="00ED7C2E">
        <w:rPr>
          <w:rStyle w:val="Hyperlink"/>
          <w:rFonts w:cstheme="minorHAnsi"/>
          <w:b/>
          <w:color w:val="auto"/>
          <w:szCs w:val="24"/>
          <w:u w:val="none"/>
        </w:rPr>
        <w:t xml:space="preserve"> (Director, BDT)</w:t>
      </w:r>
      <w:r w:rsidR="00D65698" w:rsidRPr="00ED7C2E">
        <w:rPr>
          <w:rStyle w:val="Hyperlink"/>
          <w:rFonts w:cstheme="minorHAnsi"/>
          <w:b/>
          <w:bCs/>
          <w:color w:val="auto"/>
          <w:szCs w:val="24"/>
          <w:u w:val="none"/>
        </w:rPr>
        <w:t xml:space="preserve"> - </w:t>
      </w:r>
      <w:r w:rsidR="00BA55E3" w:rsidRPr="00ED7C2E">
        <w:rPr>
          <w:rStyle w:val="Hyperlink"/>
          <w:rFonts w:cstheme="minorHAnsi"/>
          <w:b/>
          <w:bCs/>
          <w:color w:val="auto"/>
          <w:szCs w:val="24"/>
          <w:u w:val="none"/>
        </w:rPr>
        <w:t>Report on the work of the Expert Group on International Telecommunication Regulations (EG-ITRs) to TDA</w:t>
      </w:r>
    </w:p>
    <w:p w14:paraId="7861D396" w14:textId="6D47AD03" w:rsidR="00F05AE7" w:rsidRPr="00ED7C2E" w:rsidRDefault="00F05AE7"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The BDT </w:t>
      </w:r>
      <w:r w:rsidR="00927BE9" w:rsidRPr="00ED7C2E">
        <w:rPr>
          <w:rFonts w:cstheme="minorHAnsi"/>
          <w:szCs w:val="24"/>
        </w:rPr>
        <w:t>S</w:t>
      </w:r>
      <w:r w:rsidRPr="00ED7C2E">
        <w:rPr>
          <w:rFonts w:cstheme="minorHAnsi"/>
          <w:szCs w:val="24"/>
        </w:rPr>
        <w:t xml:space="preserve">ecretariat presented </w:t>
      </w:r>
      <w:r w:rsidR="00927BE9" w:rsidRPr="00ED7C2E">
        <w:rPr>
          <w:rFonts w:cstheme="minorHAnsi"/>
          <w:szCs w:val="24"/>
        </w:rPr>
        <w:t xml:space="preserve">this </w:t>
      </w:r>
      <w:r w:rsidRPr="00ED7C2E">
        <w:rPr>
          <w:rFonts w:cstheme="minorHAnsi"/>
          <w:szCs w:val="24"/>
        </w:rPr>
        <w:t xml:space="preserve">document </w:t>
      </w:r>
      <w:r w:rsidR="001B6A08" w:rsidRPr="00ED7C2E">
        <w:rPr>
          <w:rFonts w:cstheme="minorHAnsi"/>
          <w:szCs w:val="24"/>
        </w:rPr>
        <w:t>which provided a</w:t>
      </w:r>
      <w:r w:rsidRPr="00ED7C2E">
        <w:rPr>
          <w:rFonts w:cstheme="minorHAnsi"/>
          <w:szCs w:val="24"/>
        </w:rPr>
        <w:t xml:space="preserve"> progress report o</w:t>
      </w:r>
      <w:r w:rsidR="00573E93" w:rsidRPr="00ED7C2E">
        <w:rPr>
          <w:rFonts w:cstheme="minorHAnsi"/>
          <w:szCs w:val="24"/>
        </w:rPr>
        <w:t>n</w:t>
      </w:r>
      <w:r w:rsidRPr="00ED7C2E">
        <w:rPr>
          <w:rFonts w:cstheme="minorHAnsi"/>
          <w:szCs w:val="24"/>
        </w:rPr>
        <w:t xml:space="preserve"> the work of the EG-ITRs focusing on the main results of the first and second meetings of the group (16 October 2023 and 29-30 January 2024) and next steps</w:t>
      </w:r>
      <w:r w:rsidR="001B6A08" w:rsidRPr="00ED7C2E">
        <w:rPr>
          <w:rFonts w:cstheme="minorHAnsi"/>
          <w:szCs w:val="24"/>
        </w:rPr>
        <w:t xml:space="preserve"> going forward</w:t>
      </w:r>
      <w:r w:rsidRPr="00ED7C2E">
        <w:rPr>
          <w:rFonts w:cstheme="minorHAnsi"/>
          <w:szCs w:val="24"/>
        </w:rPr>
        <w:t xml:space="preserve">. </w:t>
      </w:r>
    </w:p>
    <w:p w14:paraId="78BFC34A" w14:textId="27969CB7" w:rsidR="001D7BB4" w:rsidRDefault="00F05AE7"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It was noted that considering the working agenda and contributions received for these EG-ITRs meetings, there were no specific issues requiring BDT intervention.</w:t>
      </w:r>
      <w:r w:rsidR="00B45BFF" w:rsidRPr="00ED7C2E">
        <w:rPr>
          <w:rFonts w:cstheme="minorHAnsi"/>
          <w:szCs w:val="24"/>
        </w:rPr>
        <w:t xml:space="preserve"> </w:t>
      </w:r>
      <w:r w:rsidRPr="00ED7C2E">
        <w:rPr>
          <w:rFonts w:cstheme="minorHAnsi"/>
          <w:szCs w:val="24"/>
        </w:rPr>
        <w:t>BDT secretariat continues following the works of the EG-ITR.</w:t>
      </w:r>
    </w:p>
    <w:tbl>
      <w:tblPr>
        <w:tblStyle w:val="TableGrid"/>
        <w:tblW w:w="0" w:type="auto"/>
        <w:tblLook w:val="04A0" w:firstRow="1" w:lastRow="0" w:firstColumn="1" w:lastColumn="0" w:noHBand="0" w:noVBand="1"/>
      </w:tblPr>
      <w:tblGrid>
        <w:gridCol w:w="9629"/>
      </w:tblGrid>
      <w:tr w:rsidR="00756B97" w14:paraId="6B4F68FE" w14:textId="77777777" w:rsidTr="00756B97">
        <w:tc>
          <w:tcPr>
            <w:tcW w:w="9629" w:type="dxa"/>
          </w:tcPr>
          <w:p w14:paraId="1C47031E" w14:textId="50EDD9C9" w:rsidR="00756B97" w:rsidRDefault="00756B97"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Recalling the reference to Resolution 1379 and the importance that calls upon the Directors of the Bureau, each within their field of competence, to provide input to the ITRs with advice from the relevant advisory group, TDAG took note of the progress of the work of the Expert Group on International Telecommunication Regulations (EG-ITRs).</w:t>
            </w:r>
          </w:p>
        </w:tc>
      </w:tr>
    </w:tbl>
    <w:p w14:paraId="5B1D793C" w14:textId="2AAFAB4B" w:rsidR="00085F41" w:rsidRPr="00ED7C2E" w:rsidRDefault="00232A52" w:rsidP="00756B97">
      <w:pPr>
        <w:pStyle w:val="ListParagraph"/>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Calendar of ITU-D events</w:t>
      </w:r>
    </w:p>
    <w:p w14:paraId="1D3873A6" w14:textId="75B6A78C" w:rsidR="00AE3DFC" w:rsidRPr="00ED7C2E" w:rsidRDefault="00AE3DFC"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b/>
          <w:szCs w:val="24"/>
          <w:lang w:val="en-US"/>
        </w:rPr>
      </w:pPr>
      <w:r w:rsidRPr="00ED7C2E">
        <w:rPr>
          <w:rFonts w:cstheme="minorHAnsi"/>
          <w:b/>
          <w:szCs w:val="24"/>
        </w:rPr>
        <w:t>Document</w:t>
      </w:r>
      <w:r w:rsidRPr="00ED7C2E">
        <w:rPr>
          <w:rFonts w:cstheme="minorHAnsi"/>
          <w:b/>
          <w:szCs w:val="24"/>
          <w:lang w:val="en-US"/>
        </w:rPr>
        <w:t xml:space="preserve"> </w:t>
      </w:r>
      <w:hyperlink r:id="rId94">
        <w:r w:rsidRPr="00ED7C2E">
          <w:rPr>
            <w:rStyle w:val="Hyperlink"/>
            <w:rFonts w:cstheme="minorHAnsi"/>
            <w:b/>
            <w:szCs w:val="24"/>
            <w:lang w:val="en-US"/>
          </w:rPr>
          <w:t>14(Rev.1)</w:t>
        </w:r>
      </w:hyperlink>
      <w:r w:rsidRPr="00ED7C2E">
        <w:rPr>
          <w:rStyle w:val="Hyperlink"/>
          <w:rFonts w:cstheme="minorHAnsi"/>
          <w:b/>
          <w:color w:val="auto"/>
          <w:szCs w:val="24"/>
          <w:u w:val="none"/>
          <w:lang w:val="en-US"/>
        </w:rPr>
        <w:t xml:space="preserve"> (Director, BDT)</w:t>
      </w:r>
      <w:r w:rsidR="003403B3" w:rsidRPr="00ED7C2E">
        <w:rPr>
          <w:rStyle w:val="Hyperlink"/>
          <w:rFonts w:cstheme="minorHAnsi"/>
          <w:b/>
          <w:bCs/>
          <w:color w:val="auto"/>
          <w:szCs w:val="24"/>
          <w:u w:val="none"/>
          <w:lang w:val="en-US"/>
        </w:rPr>
        <w:t xml:space="preserve"> - ITU-D calendar of events</w:t>
      </w:r>
    </w:p>
    <w:p w14:paraId="3AA2D968" w14:textId="19D95003" w:rsidR="008C7CED" w:rsidRPr="00ED7C2E" w:rsidRDefault="00AE3DFC"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rPr>
        <w:t>This document contained the draft calendar for the main ITU-D events over the next four years (2024-2027), including some of the main ITU events, indicated as reference.</w:t>
      </w:r>
      <w:r w:rsidR="009303D7" w:rsidRPr="00ED7C2E">
        <w:rPr>
          <w:rFonts w:cstheme="minorHAnsi"/>
          <w:szCs w:val="24"/>
        </w:rPr>
        <w:t xml:space="preserve"> </w:t>
      </w:r>
      <w:r w:rsidR="008C7CED" w:rsidRPr="00ED7C2E">
        <w:rPr>
          <w:rFonts w:cstheme="minorHAnsi"/>
          <w:szCs w:val="24"/>
          <w:lang w:val="en-US"/>
        </w:rPr>
        <w:t xml:space="preserve">The proposed dates for the next cycle of RPMs in early 2025 </w:t>
      </w:r>
      <w:r w:rsidR="009303D7" w:rsidRPr="00ED7C2E">
        <w:rPr>
          <w:rFonts w:cstheme="minorHAnsi"/>
          <w:szCs w:val="24"/>
          <w:lang w:val="en-US"/>
        </w:rPr>
        <w:t>we</w:t>
      </w:r>
      <w:r w:rsidR="008C7CED" w:rsidRPr="00ED7C2E">
        <w:rPr>
          <w:rFonts w:cstheme="minorHAnsi"/>
          <w:szCs w:val="24"/>
          <w:lang w:val="en-US"/>
        </w:rPr>
        <w:t>re also included.</w:t>
      </w:r>
      <w:r w:rsidR="00B45BFF" w:rsidRPr="00ED7C2E">
        <w:rPr>
          <w:rFonts w:cstheme="minorHAnsi"/>
          <w:szCs w:val="24"/>
          <w:lang w:val="en-US"/>
        </w:rPr>
        <w:t xml:space="preserve"> </w:t>
      </w:r>
    </w:p>
    <w:p w14:paraId="37AFEE7D" w14:textId="5022F47E" w:rsidR="009A28CD" w:rsidRPr="00ED7C2E" w:rsidRDefault="003B6FD2"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On behalf of the Government of Uganda, </w:t>
      </w:r>
      <w:r w:rsidR="00C62931" w:rsidRPr="00ED7C2E">
        <w:rPr>
          <w:rFonts w:cstheme="minorHAnsi"/>
          <w:szCs w:val="24"/>
        </w:rPr>
        <w:t>Ms.</w:t>
      </w:r>
      <w:r w:rsidR="00B45BFF" w:rsidRPr="00ED7C2E">
        <w:rPr>
          <w:rFonts w:cstheme="minorHAnsi"/>
          <w:szCs w:val="24"/>
        </w:rPr>
        <w:t xml:space="preserve"> </w:t>
      </w:r>
      <w:r w:rsidR="00C62931" w:rsidRPr="00ED7C2E">
        <w:rPr>
          <w:rFonts w:cstheme="minorHAnsi"/>
          <w:szCs w:val="24"/>
        </w:rPr>
        <w:t xml:space="preserve">Rebecca Mukite </w:t>
      </w:r>
      <w:r w:rsidRPr="00ED7C2E">
        <w:rPr>
          <w:rFonts w:cstheme="minorHAnsi"/>
          <w:szCs w:val="24"/>
        </w:rPr>
        <w:t>extend</w:t>
      </w:r>
      <w:r w:rsidR="00FB62E9" w:rsidRPr="00ED7C2E">
        <w:rPr>
          <w:rFonts w:cstheme="minorHAnsi"/>
          <w:szCs w:val="24"/>
        </w:rPr>
        <w:t>ed</w:t>
      </w:r>
      <w:r w:rsidRPr="00ED7C2E">
        <w:rPr>
          <w:rFonts w:cstheme="minorHAnsi"/>
          <w:szCs w:val="24"/>
        </w:rPr>
        <w:t xml:space="preserve"> a</w:t>
      </w:r>
      <w:r w:rsidR="0031564B" w:rsidRPr="00ED7C2E">
        <w:rPr>
          <w:rFonts w:cstheme="minorHAnsi"/>
          <w:szCs w:val="24"/>
        </w:rPr>
        <w:t>n</w:t>
      </w:r>
      <w:r w:rsidRPr="00ED7C2E">
        <w:rPr>
          <w:rFonts w:cstheme="minorHAnsi"/>
          <w:szCs w:val="24"/>
        </w:rPr>
        <w:t xml:space="preserve"> invitation to </w:t>
      </w:r>
      <w:r w:rsidR="009F7645" w:rsidRPr="00ED7C2E">
        <w:rPr>
          <w:rFonts w:cstheme="minorHAnsi"/>
          <w:szCs w:val="24"/>
        </w:rPr>
        <w:t xml:space="preserve">all </w:t>
      </w:r>
      <w:r w:rsidR="00FB62E9" w:rsidRPr="00ED7C2E">
        <w:rPr>
          <w:rFonts w:cstheme="minorHAnsi"/>
          <w:szCs w:val="24"/>
        </w:rPr>
        <w:t xml:space="preserve">TDAG participants </w:t>
      </w:r>
      <w:r w:rsidRPr="00ED7C2E">
        <w:rPr>
          <w:rFonts w:cstheme="minorHAnsi"/>
          <w:szCs w:val="24"/>
        </w:rPr>
        <w:t xml:space="preserve">to attend the </w:t>
      </w:r>
      <w:r w:rsidR="00446E9C" w:rsidRPr="00ED7C2E">
        <w:rPr>
          <w:rFonts w:cstheme="minorHAnsi"/>
          <w:szCs w:val="24"/>
        </w:rPr>
        <w:t xml:space="preserve">2024 </w:t>
      </w:r>
      <w:r w:rsidRPr="00ED7C2E">
        <w:rPr>
          <w:rFonts w:cstheme="minorHAnsi"/>
          <w:szCs w:val="24"/>
        </w:rPr>
        <w:t>Global Symposium for Regulators</w:t>
      </w:r>
      <w:r w:rsidR="00446E9C" w:rsidRPr="00ED7C2E">
        <w:rPr>
          <w:rFonts w:cstheme="minorHAnsi"/>
          <w:szCs w:val="24"/>
        </w:rPr>
        <w:t xml:space="preserve"> (</w:t>
      </w:r>
      <w:hyperlink r:id="rId95" w:history="1">
        <w:r w:rsidR="00446E9C" w:rsidRPr="00ED7C2E">
          <w:rPr>
            <w:rStyle w:val="Hyperlink"/>
            <w:rFonts w:cstheme="minorHAnsi"/>
            <w:szCs w:val="24"/>
          </w:rPr>
          <w:t>GSR-24</w:t>
        </w:r>
      </w:hyperlink>
      <w:r w:rsidR="00446E9C" w:rsidRPr="00ED7C2E">
        <w:rPr>
          <w:rFonts w:cstheme="minorHAnsi"/>
          <w:szCs w:val="24"/>
        </w:rPr>
        <w:t>)</w:t>
      </w:r>
      <w:r w:rsidR="0080486F" w:rsidRPr="00ED7C2E">
        <w:rPr>
          <w:rFonts w:cstheme="minorHAnsi"/>
          <w:szCs w:val="24"/>
        </w:rPr>
        <w:t>.</w:t>
      </w:r>
      <w:r w:rsidR="00646A52" w:rsidRPr="00ED7C2E">
        <w:rPr>
          <w:rFonts w:cstheme="minorHAnsi"/>
          <w:szCs w:val="24"/>
        </w:rPr>
        <w:t xml:space="preserve"> Also see: </w:t>
      </w:r>
      <w:hyperlink r:id="rId96">
        <w:r w:rsidR="009A28CD" w:rsidRPr="00ED7C2E">
          <w:rPr>
            <w:rStyle w:val="Hyperlink"/>
            <w:rFonts w:cstheme="minorHAnsi"/>
            <w:szCs w:val="24"/>
          </w:rPr>
          <w:t>Global Symposium for Regulators 2024 video</w:t>
        </w:r>
      </w:hyperlink>
      <w:r w:rsidR="0080486F" w:rsidRPr="00ED7C2E">
        <w:rPr>
          <w:rStyle w:val="Hyperlink"/>
          <w:rFonts w:cstheme="minorHAnsi"/>
          <w:szCs w:val="24"/>
        </w:rPr>
        <w:t>.</w:t>
      </w:r>
    </w:p>
    <w:p w14:paraId="335ABFE0" w14:textId="704D7A79" w:rsidR="00DB5F51" w:rsidRDefault="009F7645"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lastRenderedPageBreak/>
        <w:t>On behalf of the Government of Malta</w:t>
      </w:r>
      <w:r w:rsidR="00314BCC" w:rsidRPr="00ED7C2E">
        <w:rPr>
          <w:rFonts w:cstheme="minorHAnsi"/>
          <w:szCs w:val="24"/>
        </w:rPr>
        <w:t>, Mr.</w:t>
      </w:r>
      <w:r w:rsidRPr="00ED7C2E">
        <w:rPr>
          <w:rFonts w:cstheme="minorHAnsi"/>
          <w:szCs w:val="24"/>
        </w:rPr>
        <w:t xml:space="preserve"> </w:t>
      </w:r>
      <w:r w:rsidR="00314BCC" w:rsidRPr="00ED7C2E">
        <w:rPr>
          <w:rFonts w:cstheme="minorHAnsi"/>
          <w:szCs w:val="24"/>
        </w:rPr>
        <w:t xml:space="preserve">Kenneth Brincat, CEO of the Malta Digital Innovation Authority </w:t>
      </w:r>
      <w:r w:rsidRPr="00ED7C2E">
        <w:rPr>
          <w:rFonts w:cstheme="minorHAnsi"/>
          <w:szCs w:val="24"/>
        </w:rPr>
        <w:t>extended a</w:t>
      </w:r>
      <w:r w:rsidR="0031564B" w:rsidRPr="00ED7C2E">
        <w:rPr>
          <w:rFonts w:cstheme="minorHAnsi"/>
          <w:szCs w:val="24"/>
        </w:rPr>
        <w:t>n</w:t>
      </w:r>
      <w:r w:rsidRPr="00ED7C2E">
        <w:rPr>
          <w:rFonts w:cstheme="minorHAnsi"/>
          <w:szCs w:val="24"/>
        </w:rPr>
        <w:t xml:space="preserve"> invitation to all TDAG participants to attend the upcoming </w:t>
      </w:r>
      <w:r w:rsidR="004070F7" w:rsidRPr="00ED7C2E">
        <w:rPr>
          <w:rFonts w:cstheme="minorHAnsi"/>
          <w:szCs w:val="24"/>
        </w:rPr>
        <w:t xml:space="preserve">ITU </w:t>
      </w:r>
      <w:r w:rsidR="001546A7" w:rsidRPr="00ED7C2E">
        <w:rPr>
          <w:rFonts w:cstheme="minorHAnsi"/>
          <w:szCs w:val="24"/>
        </w:rPr>
        <w:t>Global Innovation Forum (GIF) in Malta</w:t>
      </w:r>
      <w:r w:rsidR="004070F7" w:rsidRPr="00ED7C2E">
        <w:rPr>
          <w:rFonts w:cstheme="minorHAnsi"/>
          <w:szCs w:val="24"/>
        </w:rPr>
        <w:t xml:space="preserve">. </w:t>
      </w:r>
    </w:p>
    <w:tbl>
      <w:tblPr>
        <w:tblStyle w:val="TableGrid"/>
        <w:tblW w:w="0" w:type="auto"/>
        <w:tblLook w:val="04A0" w:firstRow="1" w:lastRow="0" w:firstColumn="1" w:lastColumn="0" w:noHBand="0" w:noVBand="1"/>
      </w:tblPr>
      <w:tblGrid>
        <w:gridCol w:w="9629"/>
      </w:tblGrid>
      <w:tr w:rsidR="00756B97" w14:paraId="016EECC2" w14:textId="77777777" w:rsidTr="00756B97">
        <w:tc>
          <w:tcPr>
            <w:tcW w:w="9629" w:type="dxa"/>
          </w:tcPr>
          <w:p w14:paraId="1249B72F" w14:textId="77777777" w:rsidR="00756B97" w:rsidRP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TDAG welcomed the warm invitation made by Uganda to attend the Global Symposium for Regulators (GSR-24) from 1 to 4 July 2024 in Kampala under the theme "Regulating for Impact."</w:t>
            </w:r>
          </w:p>
          <w:p w14:paraId="3105453D" w14:textId="77777777" w:rsidR="00756B97" w:rsidRP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 xml:space="preserve">The Digital Innovation Authority of Malta announced that Malta will be hosting the ITU Global Innovation Forum (GIF-24) in Valletta, Malta, in October 2024 and extended a warm invitation to TDAG participants to attend the event. </w:t>
            </w:r>
          </w:p>
          <w:p w14:paraId="323E13B9" w14:textId="77777777" w:rsidR="00756B97" w:rsidRP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 xml:space="preserve">TDAG thanked Uganda and Malta for their generous offer to host these upcoming ITU-D events. </w:t>
            </w:r>
          </w:p>
          <w:p w14:paraId="6605A3EF" w14:textId="12875C87" w:rsid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TDAG noted the document and the announcements on the upcoming events and expressed its pleasure at the interesting and relevant content they will feature.</w:t>
            </w:r>
          </w:p>
        </w:tc>
      </w:tr>
    </w:tbl>
    <w:p w14:paraId="2BA9A385" w14:textId="1333F707" w:rsidR="00BD15DE" w:rsidRPr="00ED7C2E" w:rsidRDefault="00A90F5F"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Any other business</w:t>
      </w:r>
    </w:p>
    <w:p w14:paraId="1BA72393" w14:textId="3F05FA2F" w:rsidR="0038532E" w:rsidRDefault="0038532E"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The results of the </w:t>
      </w:r>
      <w:proofErr w:type="spellStart"/>
      <w:r w:rsidRPr="00ED7C2E">
        <w:rPr>
          <w:rFonts w:cstheme="minorHAnsi"/>
          <w:szCs w:val="24"/>
        </w:rPr>
        <w:t>Menti</w:t>
      </w:r>
      <w:r w:rsidR="00F7447A" w:rsidRPr="00ED7C2E">
        <w:rPr>
          <w:rFonts w:cstheme="minorHAnsi"/>
          <w:szCs w:val="24"/>
        </w:rPr>
        <w:t>m</w:t>
      </w:r>
      <w:r w:rsidRPr="00ED7C2E">
        <w:rPr>
          <w:rFonts w:cstheme="minorHAnsi"/>
          <w:szCs w:val="24"/>
        </w:rPr>
        <w:t>eter</w:t>
      </w:r>
      <w:proofErr w:type="spellEnd"/>
      <w:r w:rsidRPr="00ED7C2E">
        <w:rPr>
          <w:rFonts w:cstheme="minorHAnsi"/>
          <w:szCs w:val="24"/>
        </w:rPr>
        <w:t xml:space="preserve"> survey on “What should be the theme of a WTDC song?” are provided </w:t>
      </w:r>
      <w:r w:rsidR="00210469" w:rsidRPr="00ED7C2E">
        <w:rPr>
          <w:rFonts w:cstheme="minorHAnsi"/>
          <w:szCs w:val="24"/>
        </w:rPr>
        <w:t>in</w:t>
      </w:r>
      <w:r w:rsidRPr="00ED7C2E">
        <w:rPr>
          <w:rFonts w:cstheme="minorHAnsi"/>
          <w:szCs w:val="24"/>
        </w:rPr>
        <w:t xml:space="preserve"> Annex 2.</w:t>
      </w:r>
    </w:p>
    <w:tbl>
      <w:tblPr>
        <w:tblStyle w:val="TableGrid"/>
        <w:tblW w:w="0" w:type="auto"/>
        <w:tblLook w:val="04A0" w:firstRow="1" w:lastRow="0" w:firstColumn="1" w:lastColumn="0" w:noHBand="0" w:noVBand="1"/>
      </w:tblPr>
      <w:tblGrid>
        <w:gridCol w:w="9629"/>
      </w:tblGrid>
      <w:tr w:rsidR="00756B97" w14:paraId="0FE0644E" w14:textId="77777777" w:rsidTr="00756B97">
        <w:tc>
          <w:tcPr>
            <w:tcW w:w="9629" w:type="dxa"/>
          </w:tcPr>
          <w:p w14:paraId="3AA2BAAD" w14:textId="436B9CF1" w:rsidR="00756B97" w:rsidRDefault="00756B97"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TDAG invited all participants to join in the effort to create a “WTDC Song”.</w:t>
            </w:r>
          </w:p>
        </w:tc>
      </w:tr>
    </w:tbl>
    <w:p w14:paraId="6F7B0F8A" w14:textId="2BDE5BAE" w:rsidR="00040C10" w:rsidRPr="00ED7C2E" w:rsidRDefault="00040C1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b/>
          <w:szCs w:val="24"/>
        </w:rPr>
        <w:t>Closing remarks by the Director of the Telecommunication Development Bureau</w:t>
      </w:r>
      <w:r w:rsidRPr="00ED7C2E">
        <w:rPr>
          <w:rFonts w:cstheme="minorHAnsi"/>
          <w:szCs w:val="24"/>
        </w:rPr>
        <w:t xml:space="preserve"> </w:t>
      </w:r>
    </w:p>
    <w:p w14:paraId="66D8EFA5" w14:textId="7FD5FE86"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During the closure of the 31</w:t>
      </w:r>
      <w:r w:rsidRPr="00ED7C2E">
        <w:rPr>
          <w:rFonts w:cstheme="minorHAnsi"/>
          <w:szCs w:val="24"/>
          <w:vertAlign w:val="superscript"/>
        </w:rPr>
        <w:t>st</w:t>
      </w:r>
      <w:r w:rsidR="00D9374A" w:rsidRPr="00ED7C2E">
        <w:rPr>
          <w:rFonts w:cstheme="minorHAnsi"/>
          <w:szCs w:val="24"/>
        </w:rPr>
        <w:t xml:space="preserve"> </w:t>
      </w:r>
      <w:r w:rsidRPr="00ED7C2E">
        <w:rPr>
          <w:rFonts w:cstheme="minorHAnsi"/>
          <w:szCs w:val="24"/>
        </w:rPr>
        <w:t xml:space="preserve">meeting of the Telecommunication Development Advisory Group (TDAG) on 23 May 2024, </w:t>
      </w:r>
      <w:proofErr w:type="spellStart"/>
      <w:r w:rsidRPr="00ED7C2E">
        <w:rPr>
          <w:rFonts w:cstheme="minorHAnsi"/>
          <w:szCs w:val="24"/>
        </w:rPr>
        <w:t>Dr.</w:t>
      </w:r>
      <w:proofErr w:type="spellEnd"/>
      <w:r w:rsidRPr="00ED7C2E">
        <w:rPr>
          <w:rFonts w:cstheme="minorHAnsi"/>
          <w:szCs w:val="24"/>
        </w:rPr>
        <w:t xml:space="preserve"> Cosmas </w:t>
      </w:r>
      <w:proofErr w:type="spellStart"/>
      <w:r w:rsidRPr="00ED7C2E">
        <w:rPr>
          <w:rFonts w:cstheme="minorHAnsi"/>
          <w:szCs w:val="24"/>
        </w:rPr>
        <w:t>Luckyson</w:t>
      </w:r>
      <w:proofErr w:type="spellEnd"/>
      <w:r w:rsidRPr="00ED7C2E">
        <w:rPr>
          <w:rFonts w:cstheme="minorHAnsi"/>
          <w:szCs w:val="24"/>
        </w:rPr>
        <w:t xml:space="preserve"> Zavazava, Director of the Telecommunication Development Bureau, delivered the final remarks.</w:t>
      </w:r>
    </w:p>
    <w:p w14:paraId="2B6E771E" w14:textId="6408BB9C"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t>Dr.</w:t>
      </w:r>
      <w:proofErr w:type="spellEnd"/>
      <w:r w:rsidRPr="00ED7C2E">
        <w:rPr>
          <w:rFonts w:cstheme="minorHAnsi"/>
          <w:szCs w:val="24"/>
        </w:rPr>
        <w:t xml:space="preserve"> Zavazava expressed his gratitude to all participants, emphasizing the efficient and productive week achieved through active participation and contribution. The meeting saw </w:t>
      </w:r>
      <w:r w:rsidR="259BC480" w:rsidRPr="00ED7C2E">
        <w:rPr>
          <w:rFonts w:cstheme="minorHAnsi"/>
          <w:szCs w:val="24"/>
        </w:rPr>
        <w:t xml:space="preserve">more than </w:t>
      </w:r>
      <w:r w:rsidRPr="00ED7C2E">
        <w:rPr>
          <w:rFonts w:cstheme="minorHAnsi"/>
          <w:szCs w:val="24"/>
        </w:rPr>
        <w:t>16</w:t>
      </w:r>
      <w:r w:rsidR="56945DAB" w:rsidRPr="00ED7C2E">
        <w:rPr>
          <w:rFonts w:cstheme="minorHAnsi"/>
          <w:szCs w:val="24"/>
        </w:rPr>
        <w:t>0</w:t>
      </w:r>
      <w:r w:rsidRPr="00ED7C2E">
        <w:rPr>
          <w:rFonts w:cstheme="minorHAnsi"/>
          <w:szCs w:val="24"/>
        </w:rPr>
        <w:t xml:space="preserve"> delegates from Member States, Sector Members, Academia, and a Regional Telecommunication Organization. A total of 49 documents were reviewed, including 19 membership contributions, 20 Secretariat documents, and submissions from various group chairs and liaison statements.</w:t>
      </w:r>
    </w:p>
    <w:p w14:paraId="47DC7C23" w14:textId="77777777"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t>Dr.</w:t>
      </w:r>
      <w:proofErr w:type="spellEnd"/>
      <w:r w:rsidRPr="00ED7C2E">
        <w:rPr>
          <w:rFonts w:cstheme="minorHAnsi"/>
          <w:szCs w:val="24"/>
        </w:rPr>
        <w:t xml:space="preserve"> Zavazava highlighted the strong collaboration with partners, study groups, ITU-D members, and Member States, reinforcing a member-driven, results-oriented, and development-focused approach. Coordination with the other ITU sectors was emphasized to avoid duplication of efforts and resources. Specific collaborations were noted with the BR Director on space spectrum management activities and with TSB on bridging the standardization gap and innovation in standards. Close cooperation with the General Secretariat ensured efficient and responsive systems in finance, human resources, and information systems, with efforts to strengthen work within the UN-wide system.</w:t>
      </w:r>
    </w:p>
    <w:p w14:paraId="70931411" w14:textId="77777777"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As TDAG prepares for a new Action Plan, </w:t>
      </w:r>
      <w:proofErr w:type="spellStart"/>
      <w:r w:rsidRPr="00ED7C2E">
        <w:rPr>
          <w:rFonts w:cstheme="minorHAnsi"/>
          <w:szCs w:val="24"/>
        </w:rPr>
        <w:t>Dr.</w:t>
      </w:r>
      <w:proofErr w:type="spellEnd"/>
      <w:r w:rsidRPr="00ED7C2E">
        <w:rPr>
          <w:rFonts w:cstheme="minorHAnsi"/>
          <w:szCs w:val="24"/>
        </w:rPr>
        <w:t xml:space="preserve"> Zavazava congratulated the group for advancing member-driven processes through the Working Groups. He announced that Regional Development Forums (RDFs) will be held back-to-back with Regional Preparatory Meetings (RPMs) to establish synergies, with RDFs generating ideas for the RPMs. The Secretariat is committed to ensuring efficient processes for WTDC-25, including registration, document control, and support for committee work.</w:t>
      </w:r>
    </w:p>
    <w:p w14:paraId="5575C9B5" w14:textId="77777777"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t>Dr.</w:t>
      </w:r>
      <w:proofErr w:type="spellEnd"/>
      <w:r w:rsidRPr="00ED7C2E">
        <w:rPr>
          <w:rFonts w:cstheme="minorHAnsi"/>
          <w:szCs w:val="24"/>
        </w:rPr>
        <w:t xml:space="preserve"> Zavazava thanked the BDT team both in the field and at Headquarters, acknowledging their hard work. He emphasized the unique role of TDAG in accelerating meaningful and affordable connectivity and the deployment of digital solutions to achieve the Sustainable Development Goals (SDGs).</w:t>
      </w:r>
    </w:p>
    <w:p w14:paraId="51B8BDD6" w14:textId="7F84BF0D"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lastRenderedPageBreak/>
        <w:t>Dr.</w:t>
      </w:r>
      <w:proofErr w:type="spellEnd"/>
      <w:r w:rsidRPr="00ED7C2E">
        <w:rPr>
          <w:rFonts w:cstheme="minorHAnsi"/>
          <w:szCs w:val="24"/>
        </w:rPr>
        <w:t xml:space="preserve"> Zavazava wished all participants a safe journey home. The closing session included a highlights video to commemorate the week’s events.</w:t>
      </w:r>
    </w:p>
    <w:p w14:paraId="1F9345C5" w14:textId="0D541376" w:rsidR="00FB29BB" w:rsidRDefault="00FB29BB"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The BDT Di</w:t>
      </w:r>
      <w:r>
        <w:rPr>
          <w:rFonts w:cstheme="minorHAnsi"/>
          <w:szCs w:val="24"/>
        </w:rPr>
        <w:t xml:space="preserve">rector’s full closing remarks are available on the </w:t>
      </w:r>
      <w:hyperlink r:id="rId97" w:history="1">
        <w:r w:rsidRPr="00AC1C3E">
          <w:rPr>
            <w:rStyle w:val="Hyperlink"/>
            <w:rFonts w:cstheme="minorHAnsi"/>
            <w:szCs w:val="24"/>
          </w:rPr>
          <w:t>Director’s corner</w:t>
        </w:r>
      </w:hyperlink>
      <w:r>
        <w:rPr>
          <w:rFonts w:cstheme="minorHAnsi"/>
          <w:szCs w:val="24"/>
        </w:rPr>
        <w:t xml:space="preserve"> of the BDT website.</w:t>
      </w:r>
    </w:p>
    <w:p w14:paraId="25009BA0" w14:textId="4186612D" w:rsidR="00CA1216" w:rsidRDefault="00CA1216" w:rsidP="00E03A36">
      <w:pPr>
        <w:tabs>
          <w:tab w:val="clear" w:pos="794"/>
          <w:tab w:val="clear" w:pos="1191"/>
          <w:tab w:val="clear" w:pos="1588"/>
          <w:tab w:val="clear" w:pos="1985"/>
          <w:tab w:val="left" w:pos="567"/>
          <w:tab w:val="left" w:pos="1134"/>
          <w:tab w:val="left" w:pos="1701"/>
          <w:tab w:val="left" w:pos="2268"/>
        </w:tabs>
        <w:spacing w:after="120"/>
        <w:jc w:val="both"/>
        <w:rPr>
          <w:rFonts w:cstheme="minorHAnsi"/>
          <w:szCs w:val="24"/>
        </w:rPr>
      </w:pPr>
    </w:p>
    <w:p w14:paraId="581F79E2" w14:textId="29B6D552" w:rsidR="00454F1A" w:rsidRPr="00B95345" w:rsidRDefault="00454F1A" w:rsidP="00E03A36">
      <w:pPr>
        <w:pBdr>
          <w:top w:val="single" w:sz="4" w:space="1" w:color="auto"/>
          <w:left w:val="single" w:sz="4" w:space="4" w:color="auto"/>
          <w:bottom w:val="single" w:sz="4" w:space="1" w:color="auto"/>
          <w:right w:val="single" w:sz="4" w:space="4" w:color="auto"/>
        </w:pBdr>
        <w:spacing w:after="120"/>
        <w:jc w:val="both"/>
        <w:rPr>
          <w:rFonts w:eastAsia="Arial" w:cstheme="minorHAnsi"/>
          <w:szCs w:val="24"/>
        </w:rPr>
      </w:pPr>
      <w:r w:rsidRPr="00B95345">
        <w:rPr>
          <w:rFonts w:cstheme="minorHAnsi"/>
          <w:szCs w:val="24"/>
        </w:rPr>
        <w:br w:type="page"/>
      </w:r>
    </w:p>
    <w:p w14:paraId="0FF72BA6" w14:textId="77777777" w:rsidR="00756B97" w:rsidRDefault="00E25ECD" w:rsidP="00756B97">
      <w:pPr>
        <w:pStyle w:val="BodyText"/>
        <w:spacing w:before="120" w:after="120"/>
        <w:jc w:val="center"/>
        <w:rPr>
          <w:rFonts w:asciiTheme="minorHAnsi" w:hAnsiTheme="minorHAnsi" w:cstheme="minorHAnsi"/>
          <w:b/>
          <w:bCs/>
          <w:sz w:val="24"/>
          <w:szCs w:val="24"/>
          <w:lang w:val="en-GB"/>
        </w:rPr>
      </w:pPr>
      <w:r w:rsidRPr="00756B97">
        <w:rPr>
          <w:rFonts w:asciiTheme="minorHAnsi" w:hAnsiTheme="minorHAnsi" w:cstheme="minorHAnsi"/>
          <w:b/>
          <w:bCs/>
          <w:sz w:val="24"/>
          <w:szCs w:val="24"/>
          <w:lang w:val="en-GB"/>
        </w:rPr>
        <w:lastRenderedPageBreak/>
        <w:t>ANNEX 1</w:t>
      </w:r>
    </w:p>
    <w:p w14:paraId="1633C354" w14:textId="656C8A01" w:rsidR="00E25ECD" w:rsidRDefault="00E25ECD" w:rsidP="00756B97">
      <w:pPr>
        <w:pStyle w:val="BodyText"/>
        <w:spacing w:before="120" w:after="120"/>
        <w:jc w:val="center"/>
        <w:rPr>
          <w:rFonts w:asciiTheme="minorHAnsi" w:hAnsiTheme="minorHAnsi" w:cstheme="minorHAnsi"/>
          <w:b/>
          <w:bCs/>
          <w:sz w:val="24"/>
          <w:szCs w:val="24"/>
          <w:lang w:val="en-GB"/>
        </w:rPr>
      </w:pPr>
      <w:r w:rsidRPr="00756B97">
        <w:rPr>
          <w:rFonts w:asciiTheme="minorHAnsi" w:hAnsiTheme="minorHAnsi" w:cstheme="minorHAnsi"/>
          <w:b/>
          <w:bCs/>
          <w:sz w:val="24"/>
          <w:szCs w:val="24"/>
          <w:lang w:val="en-GB"/>
        </w:rPr>
        <w:t>INTERACTIVE CONVERSATION BETWEEN THE BDT DIRECTOR</w:t>
      </w:r>
      <w:r w:rsidR="0048319D" w:rsidRPr="00756B97">
        <w:rPr>
          <w:rFonts w:asciiTheme="minorHAnsi" w:hAnsiTheme="minorHAnsi" w:cstheme="minorHAnsi"/>
          <w:b/>
          <w:bCs/>
          <w:sz w:val="24"/>
          <w:szCs w:val="24"/>
          <w:lang w:val="en-GB"/>
        </w:rPr>
        <w:t xml:space="preserve">, </w:t>
      </w:r>
      <w:r w:rsidR="0048319D" w:rsidRPr="00756B97">
        <w:rPr>
          <w:rFonts w:asciiTheme="minorHAnsi" w:hAnsiTheme="minorHAnsi" w:cstheme="minorHAnsi"/>
          <w:b/>
          <w:bCs/>
          <w:sz w:val="24"/>
          <w:szCs w:val="24"/>
          <w:lang w:val="en-GB"/>
        </w:rPr>
        <w:br/>
      </w:r>
      <w:r w:rsidRPr="00756B97">
        <w:rPr>
          <w:rFonts w:asciiTheme="minorHAnsi" w:hAnsiTheme="minorHAnsi" w:cstheme="minorHAnsi"/>
          <w:b/>
          <w:bCs/>
          <w:sz w:val="24"/>
          <w:szCs w:val="24"/>
          <w:lang w:val="en-GB"/>
        </w:rPr>
        <w:t>REGIONAL DIRECTORS AND CHIEFS OF DEPARTMENT</w:t>
      </w:r>
    </w:p>
    <w:p w14:paraId="26056239" w14:textId="77777777" w:rsidR="00756B97" w:rsidRPr="00756B97" w:rsidRDefault="00756B97" w:rsidP="00756B97">
      <w:pPr>
        <w:pStyle w:val="BodyText"/>
        <w:spacing w:before="120" w:after="120"/>
        <w:jc w:val="center"/>
        <w:rPr>
          <w:rFonts w:asciiTheme="minorHAnsi" w:hAnsiTheme="minorHAnsi" w:cstheme="minorHAnsi"/>
          <w:b/>
          <w:bCs/>
          <w:sz w:val="24"/>
          <w:szCs w:val="24"/>
          <w:lang w:val="en-GB"/>
        </w:rPr>
      </w:pPr>
    </w:p>
    <w:p w14:paraId="016EEA0B" w14:textId="469529AF" w:rsidR="00E25ECD" w:rsidRPr="00B95345" w:rsidRDefault="00E25ECD" w:rsidP="00756B97">
      <w:pPr>
        <w:spacing w:after="120"/>
        <w:rPr>
          <w:rFonts w:cstheme="minorHAnsi"/>
          <w:b/>
          <w:bCs/>
          <w:szCs w:val="24"/>
          <w:lang w:val="en-US"/>
        </w:rPr>
      </w:pPr>
      <w:r w:rsidRPr="00B95345">
        <w:rPr>
          <w:rFonts w:cstheme="minorHAnsi"/>
          <w:b/>
          <w:bCs/>
          <w:szCs w:val="24"/>
          <w:lang w:val="en-US"/>
        </w:rPr>
        <w:t>Natalia Mochu</w:t>
      </w:r>
      <w:r w:rsidR="001965E8" w:rsidRPr="00B95345">
        <w:rPr>
          <w:rFonts w:cstheme="minorHAnsi"/>
          <w:b/>
          <w:bCs/>
          <w:szCs w:val="24"/>
          <w:lang w:val="en-US"/>
        </w:rPr>
        <w:t>, Regional Director, ITU Regional Office for CIS</w:t>
      </w:r>
      <w:r w:rsidRPr="00B95345">
        <w:rPr>
          <w:rFonts w:cstheme="minorHAnsi"/>
          <w:b/>
          <w:bCs/>
          <w:szCs w:val="24"/>
          <w:lang w:val="en-US"/>
        </w:rPr>
        <w:t>:</w:t>
      </w:r>
    </w:p>
    <w:p w14:paraId="17155CAC" w14:textId="586122F3" w:rsidR="00E25ECD" w:rsidRPr="00B95345" w:rsidRDefault="00E25ECD" w:rsidP="00756B97">
      <w:pPr>
        <w:spacing w:after="120"/>
        <w:rPr>
          <w:rFonts w:cstheme="minorHAnsi"/>
          <w:szCs w:val="24"/>
        </w:rPr>
      </w:pPr>
      <w:r w:rsidRPr="00B95345">
        <w:rPr>
          <w:rFonts w:cstheme="minorHAnsi"/>
          <w:szCs w:val="24"/>
        </w:rPr>
        <w:t>In programming the activities in the region, close consideration is given to the needs and demands of the countries. An approach that shows its efficiency is rolling out activities at the regional level followed by country assistance, tailored to the specific requirements of the countries (the example of trainings o</w:t>
      </w:r>
      <w:r w:rsidR="00332BD2">
        <w:rPr>
          <w:rFonts w:cstheme="minorHAnsi"/>
          <w:szCs w:val="24"/>
        </w:rPr>
        <w:t>n</w:t>
      </w:r>
      <w:r w:rsidRPr="00B95345">
        <w:rPr>
          <w:rFonts w:cstheme="minorHAnsi"/>
          <w:szCs w:val="24"/>
        </w:rPr>
        <w:t xml:space="preserve"> 5G). Another approach is planning continuous engagement, not a one-time activity. A</w:t>
      </w:r>
      <w:r w:rsidR="005D1A60">
        <w:rPr>
          <w:rFonts w:cstheme="minorHAnsi"/>
          <w:szCs w:val="24"/>
        </w:rPr>
        <w:t>n</w:t>
      </w:r>
      <w:r w:rsidRPr="00B95345">
        <w:rPr>
          <w:rFonts w:cstheme="minorHAnsi"/>
          <w:szCs w:val="24"/>
        </w:rPr>
        <w:t xml:space="preserve"> example is the Girls in ICT events in Kyrgyzstan that is being organized several years in a row, with multiplying effect. In 2024 it also resulted in request for new Academia member. ICT data and statistics remains an area of high interest and focus </w:t>
      </w:r>
      <w:proofErr w:type="gramStart"/>
      <w:r w:rsidR="00B712AE">
        <w:rPr>
          <w:rFonts w:cstheme="minorHAnsi"/>
          <w:szCs w:val="24"/>
        </w:rPr>
        <w:t>i</w:t>
      </w:r>
      <w:r w:rsidR="004A6190" w:rsidRPr="00B95345">
        <w:rPr>
          <w:rFonts w:cstheme="minorHAnsi"/>
          <w:szCs w:val="24"/>
        </w:rPr>
        <w:t>n</w:t>
      </w:r>
      <w:proofErr w:type="gramEnd"/>
      <w:r w:rsidRPr="00B95345">
        <w:rPr>
          <w:rFonts w:cstheme="minorHAnsi"/>
          <w:szCs w:val="24"/>
        </w:rPr>
        <w:t xml:space="preserve"> the region. </w:t>
      </w:r>
    </w:p>
    <w:p w14:paraId="29910090" w14:textId="06ABA5A5" w:rsidR="00E25ECD" w:rsidRPr="00B95345" w:rsidRDefault="00614011" w:rsidP="00756B97">
      <w:pPr>
        <w:spacing w:after="120"/>
        <w:rPr>
          <w:rFonts w:cstheme="minorHAnsi"/>
          <w:szCs w:val="24"/>
        </w:rPr>
      </w:pPr>
      <w:r w:rsidRPr="00B95345">
        <w:rPr>
          <w:rFonts w:cstheme="minorHAnsi"/>
          <w:szCs w:val="24"/>
        </w:rPr>
        <w:t>T</w:t>
      </w:r>
      <w:r w:rsidR="00E25ECD" w:rsidRPr="00B95345">
        <w:rPr>
          <w:rFonts w:cstheme="minorHAnsi"/>
          <w:szCs w:val="24"/>
        </w:rPr>
        <w:t xml:space="preserve">he </w:t>
      </w:r>
      <w:r w:rsidRPr="00B95345">
        <w:rPr>
          <w:rFonts w:cstheme="minorHAnsi"/>
          <w:szCs w:val="24"/>
        </w:rPr>
        <w:t xml:space="preserve">BDT </w:t>
      </w:r>
      <w:r w:rsidR="00E25ECD" w:rsidRPr="00B95345">
        <w:rPr>
          <w:rFonts w:cstheme="minorHAnsi"/>
          <w:szCs w:val="24"/>
        </w:rPr>
        <w:t>Director added that in the CIS region 7 countries are land-locked, and two are double land-locked, which imposes certain challenges on the counties.</w:t>
      </w:r>
    </w:p>
    <w:p w14:paraId="4047CC5B" w14:textId="5E4C8288" w:rsidR="00E25ECD" w:rsidRPr="00B95345" w:rsidRDefault="00E25ECD" w:rsidP="00756B97">
      <w:pPr>
        <w:spacing w:after="120"/>
        <w:rPr>
          <w:rFonts w:cstheme="minorHAnsi"/>
          <w:b/>
          <w:bCs/>
          <w:szCs w:val="24"/>
        </w:rPr>
      </w:pPr>
      <w:r w:rsidRPr="00B95345">
        <w:rPr>
          <w:rFonts w:cstheme="minorHAnsi"/>
          <w:b/>
          <w:bCs/>
          <w:szCs w:val="24"/>
        </w:rPr>
        <w:t>Atsuko Okuda</w:t>
      </w:r>
      <w:r w:rsidR="001965E8" w:rsidRPr="00B95345">
        <w:rPr>
          <w:rFonts w:cstheme="minorHAnsi"/>
          <w:b/>
          <w:bCs/>
          <w:szCs w:val="24"/>
        </w:rPr>
        <w:t xml:space="preserve">, </w:t>
      </w:r>
      <w:r w:rsidR="001965E8" w:rsidRPr="00B95345">
        <w:rPr>
          <w:rFonts w:cstheme="minorHAnsi"/>
          <w:b/>
          <w:bCs/>
          <w:szCs w:val="24"/>
          <w:lang w:val="en-US"/>
        </w:rPr>
        <w:t xml:space="preserve">Regional Director, ITU Regional Office for </w:t>
      </w:r>
      <w:r w:rsidR="0088147B" w:rsidRPr="00B95345">
        <w:rPr>
          <w:rFonts w:cstheme="minorHAnsi"/>
          <w:b/>
          <w:bCs/>
          <w:szCs w:val="24"/>
          <w:lang w:val="en-US"/>
        </w:rPr>
        <w:t>Asia and the Pacific</w:t>
      </w:r>
      <w:r w:rsidR="001965E8" w:rsidRPr="00B95345">
        <w:rPr>
          <w:rFonts w:cstheme="minorHAnsi"/>
          <w:b/>
          <w:bCs/>
          <w:szCs w:val="24"/>
          <w:lang w:val="en-US"/>
        </w:rPr>
        <w:t>:</w:t>
      </w:r>
    </w:p>
    <w:p w14:paraId="1D779F92" w14:textId="7B345CCB" w:rsidR="00E25ECD" w:rsidRPr="00B95345" w:rsidRDefault="00E25ECD" w:rsidP="00756B97">
      <w:pPr>
        <w:spacing w:after="120"/>
        <w:rPr>
          <w:rFonts w:cstheme="minorHAnsi"/>
          <w:szCs w:val="24"/>
        </w:rPr>
      </w:pPr>
      <w:r w:rsidRPr="00B95345">
        <w:rPr>
          <w:rFonts w:cstheme="minorHAnsi"/>
          <w:szCs w:val="24"/>
        </w:rPr>
        <w:t xml:space="preserve">Taking into consideration the diversity of the </w:t>
      </w:r>
      <w:r w:rsidR="00126C1A" w:rsidRPr="00126C1A">
        <w:rPr>
          <w:rFonts w:cstheme="minorHAnsi"/>
          <w:szCs w:val="24"/>
        </w:rPr>
        <w:t>Asia and the Pacific</w:t>
      </w:r>
      <w:r w:rsidRPr="00B95345">
        <w:rPr>
          <w:rFonts w:cstheme="minorHAnsi"/>
          <w:szCs w:val="24"/>
        </w:rPr>
        <w:t xml:space="preserve"> region, </w:t>
      </w:r>
      <w:r w:rsidR="00126C1A">
        <w:rPr>
          <w:rFonts w:cstheme="minorHAnsi"/>
          <w:szCs w:val="24"/>
        </w:rPr>
        <w:t xml:space="preserve">the </w:t>
      </w:r>
      <w:r w:rsidRPr="00B95345">
        <w:rPr>
          <w:rFonts w:cstheme="minorHAnsi"/>
          <w:szCs w:val="24"/>
        </w:rPr>
        <w:t>RO-ASP has developed targeted and tailored technical assistance initiatives and projects specific to the needs of countries, such as the Smart Villages and Smart Islands, which have expanded connectivity and access to digital literacy training and digital services, such as education, health, agriculture, commerce and disaster preparedness, among unconnected and under-served groups and communities in collaboration with ITU academia and industry members and UN agencies.</w:t>
      </w:r>
    </w:p>
    <w:p w14:paraId="2CB237BB" w14:textId="5A90B5BC" w:rsidR="00E25ECD" w:rsidRPr="00B95345" w:rsidRDefault="00E25ECD" w:rsidP="00756B97">
      <w:pPr>
        <w:spacing w:after="120"/>
        <w:rPr>
          <w:rFonts w:cstheme="minorHAnsi"/>
          <w:b/>
          <w:bCs/>
          <w:szCs w:val="24"/>
        </w:rPr>
      </w:pPr>
      <w:r w:rsidRPr="00B95345">
        <w:rPr>
          <w:rFonts w:cstheme="minorHAnsi"/>
          <w:b/>
          <w:bCs/>
          <w:szCs w:val="24"/>
        </w:rPr>
        <w:t>Jaroslav Ponder</w:t>
      </w:r>
      <w:r w:rsidR="0088147B" w:rsidRPr="00B95345">
        <w:rPr>
          <w:rFonts w:cstheme="minorHAnsi"/>
          <w:b/>
          <w:bCs/>
          <w:szCs w:val="24"/>
        </w:rPr>
        <w:t>,</w:t>
      </w:r>
      <w:r w:rsidR="00614011" w:rsidRPr="00B95345">
        <w:rPr>
          <w:rFonts w:cstheme="minorHAnsi"/>
          <w:b/>
          <w:bCs/>
          <w:szCs w:val="24"/>
        </w:rPr>
        <w:t xml:space="preserve"> </w:t>
      </w:r>
      <w:r w:rsidR="0088147B" w:rsidRPr="00B95345">
        <w:rPr>
          <w:rFonts w:cstheme="minorHAnsi"/>
          <w:b/>
          <w:bCs/>
          <w:szCs w:val="24"/>
          <w:lang w:val="en-US"/>
        </w:rPr>
        <w:t>Regional Director, ITU Regional Office for Europe</w:t>
      </w:r>
      <w:r w:rsidRPr="00B95345">
        <w:rPr>
          <w:rFonts w:cstheme="minorHAnsi"/>
          <w:b/>
          <w:bCs/>
          <w:szCs w:val="24"/>
        </w:rPr>
        <w:t>:</w:t>
      </w:r>
    </w:p>
    <w:p w14:paraId="4C10CA23" w14:textId="7DBA7625" w:rsidR="00E25ECD" w:rsidRPr="00B95345" w:rsidRDefault="00E25ECD" w:rsidP="00756B97">
      <w:pPr>
        <w:spacing w:after="120"/>
        <w:rPr>
          <w:rFonts w:cstheme="minorHAnsi"/>
          <w:szCs w:val="24"/>
        </w:rPr>
      </w:pPr>
      <w:r w:rsidRPr="00B95345">
        <w:rPr>
          <w:rFonts w:cstheme="minorHAnsi"/>
          <w:szCs w:val="24"/>
        </w:rPr>
        <w:t xml:space="preserve">Europe, with its 46 member states, is the largest region, representing diversity in terms of digital development. This region comprises countries leading in digital innovation worldwide and those that are in the process of catching up. Europe Office supports all countries on their journey towards accelerated digital transformation, simultaneously building bridges with countries from other regions, enabling the transfer of know-how and experiences. For instance, In the run-up to the Global Symposium for Regulators and building upon the Digital Regional Network Initiative launched at GSR-23, the ITU Office for Europe has strengthened cooperation with </w:t>
      </w:r>
      <w:r w:rsidR="00753240">
        <w:rPr>
          <w:rFonts w:cstheme="minorHAnsi"/>
          <w:szCs w:val="24"/>
        </w:rPr>
        <w:t xml:space="preserve">the </w:t>
      </w:r>
      <w:r w:rsidR="00753240" w:rsidRPr="00753240">
        <w:rPr>
          <w:rFonts w:cstheme="minorHAnsi"/>
          <w:szCs w:val="24"/>
        </w:rPr>
        <w:t>Eastern Partnership Electronic Communications Regulators Network (</w:t>
      </w:r>
      <w:proofErr w:type="spellStart"/>
      <w:r w:rsidR="00753240" w:rsidRPr="00753240">
        <w:rPr>
          <w:rFonts w:cstheme="minorHAnsi"/>
          <w:szCs w:val="24"/>
        </w:rPr>
        <w:t>EaPeReg</w:t>
      </w:r>
      <w:proofErr w:type="spellEnd"/>
      <w:r w:rsidR="00753240" w:rsidRPr="00753240">
        <w:rPr>
          <w:rFonts w:cstheme="minorHAnsi"/>
          <w:szCs w:val="24"/>
        </w:rPr>
        <w:t>)</w:t>
      </w:r>
      <w:r w:rsidRPr="00B95345">
        <w:rPr>
          <w:rFonts w:cstheme="minorHAnsi"/>
          <w:szCs w:val="24"/>
        </w:rPr>
        <w:t xml:space="preserve"> and EMERG, developing an annual work plan resulting in several actions, such as special training on Regulation for Digital Transformation attended by over 180 stakeholders, or the elaboration of the Compendium of Experiences in the Implementation of Broadband Mapping Systems, leading towards country assistances in Bosnia and Herzegovina, and Moldova. Moreover, the Office for Europe strengthened the engagement of ITU in the UN Development System at the regional level, becoming a member of UN Country Teams and leading discussions on digital while exploring new financial mechanisms for digital for development projects, such as in Albania, Montenegro, Serbia. </w:t>
      </w:r>
    </w:p>
    <w:p w14:paraId="773EAC9B" w14:textId="4181FDA9" w:rsidR="00E25ECD" w:rsidRPr="00B95345" w:rsidRDefault="00E25ECD" w:rsidP="00756B97">
      <w:pPr>
        <w:spacing w:after="120"/>
        <w:rPr>
          <w:rFonts w:cstheme="minorHAnsi"/>
          <w:b/>
          <w:bCs/>
          <w:szCs w:val="24"/>
        </w:rPr>
      </w:pPr>
      <w:r w:rsidRPr="00B95345">
        <w:rPr>
          <w:rFonts w:cstheme="minorHAnsi"/>
          <w:b/>
          <w:bCs/>
          <w:szCs w:val="24"/>
        </w:rPr>
        <w:t>Adel Darwish</w:t>
      </w:r>
      <w:r w:rsidR="00614011" w:rsidRPr="00B95345">
        <w:rPr>
          <w:rFonts w:cstheme="minorHAnsi"/>
          <w:b/>
          <w:bCs/>
          <w:szCs w:val="24"/>
        </w:rPr>
        <w:t xml:space="preserve">, </w:t>
      </w:r>
      <w:r w:rsidR="00614011" w:rsidRPr="00B95345">
        <w:rPr>
          <w:rFonts w:cstheme="minorHAnsi"/>
          <w:b/>
          <w:bCs/>
          <w:szCs w:val="24"/>
          <w:lang w:val="en-US"/>
        </w:rPr>
        <w:t>Regional Director, ITU Regional Office for the Arab States</w:t>
      </w:r>
      <w:r w:rsidRPr="00B95345">
        <w:rPr>
          <w:rFonts w:cstheme="minorHAnsi"/>
          <w:b/>
          <w:bCs/>
          <w:szCs w:val="24"/>
        </w:rPr>
        <w:t>:</w:t>
      </w:r>
    </w:p>
    <w:p w14:paraId="3A70A474" w14:textId="29085B92" w:rsidR="00E25ECD" w:rsidRPr="00B95345" w:rsidRDefault="00614011" w:rsidP="00756B97">
      <w:pPr>
        <w:spacing w:after="120"/>
        <w:rPr>
          <w:rFonts w:cstheme="minorHAnsi"/>
          <w:szCs w:val="24"/>
        </w:rPr>
      </w:pPr>
      <w:r w:rsidRPr="00B95345">
        <w:rPr>
          <w:rFonts w:cstheme="minorHAnsi"/>
          <w:szCs w:val="24"/>
        </w:rPr>
        <w:t>The office is</w:t>
      </w:r>
      <w:r w:rsidR="00E25ECD" w:rsidRPr="00B95345">
        <w:rPr>
          <w:rFonts w:cstheme="minorHAnsi"/>
          <w:szCs w:val="24"/>
        </w:rPr>
        <w:t xml:space="preserve"> glad to serve the region </w:t>
      </w:r>
      <w:r w:rsidR="00511CBD">
        <w:rPr>
          <w:rFonts w:cstheme="minorHAnsi"/>
          <w:szCs w:val="24"/>
        </w:rPr>
        <w:t xml:space="preserve">which is very </w:t>
      </w:r>
      <w:r w:rsidR="00E25ECD" w:rsidRPr="00B95345">
        <w:rPr>
          <w:rFonts w:cstheme="minorHAnsi"/>
          <w:szCs w:val="24"/>
        </w:rPr>
        <w:t>diverse in terms of ICT needs</w:t>
      </w:r>
      <w:r w:rsidR="00097A60" w:rsidRPr="00B95345">
        <w:rPr>
          <w:rFonts w:cstheme="minorHAnsi"/>
          <w:szCs w:val="24"/>
        </w:rPr>
        <w:t>. The Director was</w:t>
      </w:r>
      <w:r w:rsidR="00E25ECD" w:rsidRPr="00B95345">
        <w:rPr>
          <w:rFonts w:cstheme="minorHAnsi"/>
          <w:szCs w:val="24"/>
        </w:rPr>
        <w:t xml:space="preserve"> </w:t>
      </w:r>
      <w:r w:rsidR="00097A60" w:rsidRPr="00B95345">
        <w:rPr>
          <w:rFonts w:cstheme="minorHAnsi"/>
          <w:szCs w:val="24"/>
        </w:rPr>
        <w:t>delighted</w:t>
      </w:r>
      <w:r w:rsidR="00E25ECD" w:rsidRPr="00B95345">
        <w:rPr>
          <w:rFonts w:cstheme="minorHAnsi"/>
          <w:szCs w:val="24"/>
        </w:rPr>
        <w:t xml:space="preserve"> to inform </w:t>
      </w:r>
      <w:r w:rsidR="00097A60" w:rsidRPr="00B95345">
        <w:rPr>
          <w:rFonts w:cstheme="minorHAnsi"/>
          <w:szCs w:val="24"/>
        </w:rPr>
        <w:t xml:space="preserve">TDAG </w:t>
      </w:r>
      <w:r w:rsidR="00E25ECD" w:rsidRPr="00B95345">
        <w:rPr>
          <w:rFonts w:cstheme="minorHAnsi"/>
          <w:szCs w:val="24"/>
        </w:rPr>
        <w:t xml:space="preserve">that </w:t>
      </w:r>
      <w:r w:rsidR="007570D3" w:rsidRPr="00B95345">
        <w:rPr>
          <w:rFonts w:cstheme="minorHAnsi"/>
          <w:szCs w:val="24"/>
        </w:rPr>
        <w:t>they</w:t>
      </w:r>
      <w:r w:rsidR="00E25ECD" w:rsidRPr="00B95345">
        <w:rPr>
          <w:rFonts w:cstheme="minorHAnsi"/>
          <w:szCs w:val="24"/>
        </w:rPr>
        <w:t xml:space="preserve"> have launched several EW4ALL initiative</w:t>
      </w:r>
      <w:r w:rsidR="00DD13D6">
        <w:rPr>
          <w:rFonts w:cstheme="minorHAnsi"/>
          <w:szCs w:val="24"/>
        </w:rPr>
        <w:t>s</w:t>
      </w:r>
      <w:r w:rsidR="00E25ECD" w:rsidRPr="00B95345">
        <w:rPr>
          <w:rFonts w:cstheme="minorHAnsi"/>
          <w:szCs w:val="24"/>
        </w:rPr>
        <w:t xml:space="preserve"> and conducted collaborative digital regulation reviews. </w:t>
      </w:r>
      <w:r w:rsidR="00631881">
        <w:rPr>
          <w:rFonts w:cstheme="minorHAnsi"/>
          <w:szCs w:val="24"/>
        </w:rPr>
        <w:t xml:space="preserve">The </w:t>
      </w:r>
      <w:r w:rsidR="007570D3" w:rsidRPr="00B95345">
        <w:rPr>
          <w:rFonts w:cstheme="minorHAnsi"/>
          <w:szCs w:val="24"/>
        </w:rPr>
        <w:t xml:space="preserve">ITU Regional Office for the Arab States is </w:t>
      </w:r>
      <w:r w:rsidR="00E25ECD" w:rsidRPr="00B95345">
        <w:rPr>
          <w:rFonts w:cstheme="minorHAnsi"/>
          <w:szCs w:val="24"/>
        </w:rPr>
        <w:t xml:space="preserve">committed to Accessible Arab and </w:t>
      </w:r>
      <w:r w:rsidR="00247EA8">
        <w:rPr>
          <w:rFonts w:cstheme="minorHAnsi"/>
          <w:szCs w:val="24"/>
        </w:rPr>
        <w:t xml:space="preserve">to </w:t>
      </w:r>
      <w:r w:rsidR="00E25ECD" w:rsidRPr="00B95345">
        <w:rPr>
          <w:rFonts w:cstheme="minorHAnsi"/>
          <w:szCs w:val="24"/>
        </w:rPr>
        <w:t>support</w:t>
      </w:r>
      <w:r w:rsidR="00E25ECD" w:rsidRPr="00B95345" w:rsidDel="00247EA8">
        <w:rPr>
          <w:rFonts w:cstheme="minorHAnsi"/>
          <w:szCs w:val="24"/>
        </w:rPr>
        <w:t xml:space="preserve"> </w:t>
      </w:r>
      <w:r w:rsidR="00E25ECD" w:rsidRPr="00B95345">
        <w:rPr>
          <w:rFonts w:cstheme="minorHAnsi"/>
          <w:szCs w:val="24"/>
        </w:rPr>
        <w:t xml:space="preserve">the Network of Women. Partnering with TDRA in the UAE, </w:t>
      </w:r>
      <w:r w:rsidR="006C67C7" w:rsidRPr="00B95345">
        <w:rPr>
          <w:rFonts w:cstheme="minorHAnsi"/>
          <w:szCs w:val="24"/>
        </w:rPr>
        <w:t xml:space="preserve">it can </w:t>
      </w:r>
      <w:r w:rsidR="00E25ECD" w:rsidRPr="00B95345">
        <w:rPr>
          <w:rFonts w:cstheme="minorHAnsi"/>
          <w:szCs w:val="24"/>
        </w:rPr>
        <w:t>leverag</w:t>
      </w:r>
      <w:r w:rsidR="006C67C7" w:rsidRPr="00B95345">
        <w:rPr>
          <w:rFonts w:cstheme="minorHAnsi"/>
          <w:szCs w:val="24"/>
        </w:rPr>
        <w:t>e</w:t>
      </w:r>
      <w:r w:rsidR="00E25ECD" w:rsidRPr="00B95345">
        <w:rPr>
          <w:rFonts w:cstheme="minorHAnsi"/>
          <w:szCs w:val="24"/>
        </w:rPr>
        <w:t xml:space="preserve"> </w:t>
      </w:r>
      <w:r w:rsidR="00EB5388">
        <w:rPr>
          <w:rFonts w:cstheme="minorHAnsi"/>
          <w:szCs w:val="24"/>
        </w:rPr>
        <w:t>I-</w:t>
      </w:r>
      <w:proofErr w:type="spellStart"/>
      <w:r w:rsidR="00EB5388">
        <w:rPr>
          <w:rFonts w:cstheme="minorHAnsi"/>
          <w:szCs w:val="24"/>
        </w:rPr>
        <w:t>CoDI</w:t>
      </w:r>
      <w:proofErr w:type="spellEnd"/>
      <w:r w:rsidR="00E25ECD" w:rsidRPr="00B95345">
        <w:rPr>
          <w:rFonts w:cstheme="minorHAnsi"/>
          <w:szCs w:val="24"/>
        </w:rPr>
        <w:t xml:space="preserve"> to support digital innovation across the Arab region. Additionally, </w:t>
      </w:r>
      <w:r w:rsidR="006C67C7" w:rsidRPr="00B95345">
        <w:rPr>
          <w:rFonts w:cstheme="minorHAnsi"/>
          <w:szCs w:val="24"/>
        </w:rPr>
        <w:t xml:space="preserve">the office </w:t>
      </w:r>
      <w:r w:rsidR="00E25ECD" w:rsidRPr="00B95345">
        <w:rPr>
          <w:rFonts w:cstheme="minorHAnsi"/>
          <w:szCs w:val="24"/>
        </w:rPr>
        <w:t>successful</w:t>
      </w:r>
      <w:r w:rsidR="002F3590">
        <w:rPr>
          <w:rFonts w:cstheme="minorHAnsi"/>
          <w:szCs w:val="24"/>
        </w:rPr>
        <w:t>ly</w:t>
      </w:r>
      <w:r w:rsidR="00E25ECD" w:rsidRPr="00B95345">
        <w:rPr>
          <w:rFonts w:cstheme="minorHAnsi"/>
          <w:szCs w:val="24"/>
        </w:rPr>
        <w:t xml:space="preserve"> partnered with the UAE Cybersecurity Council to implement and host global cyber drills.</w:t>
      </w:r>
    </w:p>
    <w:p w14:paraId="598BA0D2" w14:textId="074EA640" w:rsidR="00E25ECD" w:rsidRPr="00B95345" w:rsidRDefault="00E25ECD" w:rsidP="00756B97">
      <w:pPr>
        <w:keepNext/>
        <w:spacing w:after="120"/>
        <w:rPr>
          <w:rFonts w:cstheme="minorHAnsi"/>
          <w:szCs w:val="24"/>
        </w:rPr>
      </w:pPr>
      <w:r w:rsidRPr="00B95345">
        <w:rPr>
          <w:rFonts w:cstheme="minorHAnsi"/>
          <w:b/>
          <w:bCs/>
          <w:szCs w:val="24"/>
        </w:rPr>
        <w:lastRenderedPageBreak/>
        <w:t>Emmanuel C. Manasseh</w:t>
      </w:r>
      <w:r w:rsidR="00BC754A" w:rsidRPr="00B95345">
        <w:rPr>
          <w:rFonts w:cstheme="minorHAnsi"/>
          <w:b/>
          <w:bCs/>
          <w:szCs w:val="24"/>
        </w:rPr>
        <w:t xml:space="preserve">, </w:t>
      </w:r>
      <w:r w:rsidR="00E9077F" w:rsidRPr="00B95345">
        <w:rPr>
          <w:rFonts w:cstheme="minorHAnsi"/>
          <w:b/>
          <w:bCs/>
          <w:szCs w:val="24"/>
        </w:rPr>
        <w:t xml:space="preserve">Acting </w:t>
      </w:r>
      <w:r w:rsidR="00BC754A" w:rsidRPr="00B95345">
        <w:rPr>
          <w:rFonts w:cstheme="minorHAnsi"/>
          <w:b/>
          <w:bCs/>
          <w:szCs w:val="24"/>
          <w:lang w:val="en-US"/>
        </w:rPr>
        <w:t>Regional Director, ITU Regional Office for Africa</w:t>
      </w:r>
      <w:r w:rsidR="00BC754A" w:rsidRPr="00B95345">
        <w:rPr>
          <w:rFonts w:cstheme="minorHAnsi"/>
          <w:b/>
          <w:bCs/>
          <w:szCs w:val="24"/>
        </w:rPr>
        <w:t>:</w:t>
      </w:r>
    </w:p>
    <w:p w14:paraId="5CA57712" w14:textId="6F4281AD" w:rsidR="00E25ECD" w:rsidRPr="00B95345" w:rsidRDefault="00E25ECD" w:rsidP="00756B97">
      <w:pPr>
        <w:spacing w:after="120"/>
        <w:rPr>
          <w:rFonts w:cstheme="minorHAnsi"/>
          <w:szCs w:val="24"/>
        </w:rPr>
      </w:pPr>
      <w:r w:rsidRPr="00B95345">
        <w:rPr>
          <w:rFonts w:cstheme="minorHAnsi"/>
          <w:szCs w:val="24"/>
        </w:rPr>
        <w:t xml:space="preserve">The RO-AFR has 44 member States. Considering the diversity of our member states and their needs, RO-AFR in planning its operational activities </w:t>
      </w:r>
      <w:proofErr w:type="gramStart"/>
      <w:r w:rsidRPr="00B95345">
        <w:rPr>
          <w:rFonts w:cstheme="minorHAnsi"/>
          <w:szCs w:val="24"/>
        </w:rPr>
        <w:t>made reference</w:t>
      </w:r>
      <w:proofErr w:type="gramEnd"/>
      <w:r w:rsidRPr="00B95345">
        <w:rPr>
          <w:rFonts w:cstheme="minorHAnsi"/>
          <w:szCs w:val="24"/>
        </w:rPr>
        <w:t xml:space="preserve"> to the requests expressed by the Member States and in line with the Kigali Action Plan and Regional Initiatives. Once implemented, we invite other member states to scale up the results for other Member States to benefit and exchange experiences. Our operation activities </w:t>
      </w:r>
      <w:r w:rsidR="00054DA7">
        <w:rPr>
          <w:rFonts w:cstheme="minorHAnsi"/>
          <w:szCs w:val="24"/>
        </w:rPr>
        <w:t>prioritize</w:t>
      </w:r>
      <w:r w:rsidRPr="00B95345">
        <w:rPr>
          <w:rFonts w:cstheme="minorHAnsi"/>
          <w:szCs w:val="24"/>
        </w:rPr>
        <w:t xml:space="preserve"> capacity building, digital inclusion, digital connectivity, digital services and applications, emergency telecommunications, policy and regulation. Some of the undertaken operational activities include</w:t>
      </w:r>
      <w:r w:rsidR="00631699" w:rsidRPr="00B95345">
        <w:rPr>
          <w:rFonts w:cstheme="minorHAnsi"/>
          <w:szCs w:val="24"/>
        </w:rPr>
        <w:t xml:space="preserve"> </w:t>
      </w:r>
      <w:r w:rsidRPr="00B95345">
        <w:rPr>
          <w:rFonts w:cstheme="minorHAnsi"/>
          <w:szCs w:val="24"/>
        </w:rPr>
        <w:t>capacity building on cybersecurity, support on digital transformation strategies, implementation of gender related initiatives and youth for digital inclusion among others.</w:t>
      </w:r>
    </w:p>
    <w:p w14:paraId="0F71D9DF" w14:textId="6F05CA83" w:rsidR="00727A30" w:rsidRPr="00B95345" w:rsidRDefault="00E25ECD" w:rsidP="00756B97">
      <w:pPr>
        <w:spacing w:after="120"/>
        <w:rPr>
          <w:rFonts w:cstheme="minorHAnsi"/>
          <w:b/>
          <w:bCs/>
          <w:color w:val="000000"/>
          <w:szCs w:val="24"/>
        </w:rPr>
      </w:pPr>
      <w:r w:rsidRPr="00B95345">
        <w:rPr>
          <w:rFonts w:cstheme="minorHAnsi"/>
          <w:b/>
          <w:bCs/>
          <w:color w:val="000000"/>
          <w:szCs w:val="24"/>
        </w:rPr>
        <w:t>Sofie Maddens</w:t>
      </w:r>
      <w:r w:rsidR="00727A30" w:rsidRPr="00B95345">
        <w:rPr>
          <w:rFonts w:cstheme="minorHAnsi"/>
          <w:b/>
          <w:bCs/>
          <w:color w:val="000000"/>
          <w:szCs w:val="24"/>
        </w:rPr>
        <w:t xml:space="preserve">, Chief, Digital Knowledge Hub </w:t>
      </w:r>
      <w:r w:rsidR="008052C7" w:rsidRPr="00B95345">
        <w:rPr>
          <w:rFonts w:cstheme="minorHAnsi"/>
          <w:b/>
          <w:bCs/>
          <w:color w:val="000000"/>
          <w:szCs w:val="24"/>
        </w:rPr>
        <w:t xml:space="preserve">(DKH) </w:t>
      </w:r>
      <w:r w:rsidR="00727A30" w:rsidRPr="00B95345">
        <w:rPr>
          <w:rFonts w:cstheme="minorHAnsi"/>
          <w:b/>
          <w:bCs/>
          <w:color w:val="000000"/>
          <w:szCs w:val="24"/>
        </w:rPr>
        <w:t>Department</w:t>
      </w:r>
    </w:p>
    <w:p w14:paraId="72C3D291" w14:textId="700E86B2" w:rsidR="00E25ECD" w:rsidRPr="00B95345" w:rsidRDefault="00E25ECD" w:rsidP="00756B97">
      <w:pPr>
        <w:spacing w:after="120"/>
        <w:rPr>
          <w:rFonts w:cstheme="minorHAnsi"/>
          <w:color w:val="000000"/>
          <w:szCs w:val="24"/>
        </w:rPr>
      </w:pPr>
      <w:r w:rsidRPr="00B95345">
        <w:rPr>
          <w:rFonts w:cstheme="minorHAnsi"/>
          <w:color w:val="000000"/>
          <w:szCs w:val="24"/>
        </w:rPr>
        <w:t xml:space="preserve">DKH </w:t>
      </w:r>
      <w:r w:rsidR="00727A30" w:rsidRPr="00B95345">
        <w:rPr>
          <w:rFonts w:cstheme="minorHAnsi"/>
          <w:color w:val="000000"/>
          <w:szCs w:val="24"/>
        </w:rPr>
        <w:t>is</w:t>
      </w:r>
      <w:r w:rsidRPr="00B95345">
        <w:rPr>
          <w:rFonts w:cstheme="minorHAnsi"/>
          <w:color w:val="000000"/>
          <w:szCs w:val="24"/>
        </w:rPr>
        <w:t xml:space="preserve"> committed to listening to membership and working with regional colleagues so that we can synergize and adapt our products and services to meet the needs of membership and make impact. Our offerings include policy and regulation, capacity and skills development, ICT statistics, and study group reports and guidelines.</w:t>
      </w:r>
      <w:r w:rsidR="00B45BFF">
        <w:rPr>
          <w:rFonts w:cstheme="minorHAnsi"/>
          <w:color w:val="000000"/>
          <w:szCs w:val="24"/>
        </w:rPr>
        <w:t xml:space="preserve"> </w:t>
      </w:r>
      <w:r w:rsidRPr="00B95345">
        <w:rPr>
          <w:rFonts w:cstheme="minorHAnsi"/>
          <w:color w:val="000000"/>
          <w:szCs w:val="24"/>
        </w:rPr>
        <w:t>Our actions result in increased human and institutional capacity and access to data and tools for evidence-based decision making towards universal and meaningful connectivity and sustainable digital transformation.</w:t>
      </w:r>
    </w:p>
    <w:p w14:paraId="76694924" w14:textId="25635CBC" w:rsidR="00E25ECD" w:rsidRPr="00B95345" w:rsidRDefault="00E25ECD" w:rsidP="00756B97">
      <w:pPr>
        <w:spacing w:after="120"/>
        <w:rPr>
          <w:rFonts w:cstheme="minorHAnsi"/>
          <w:b/>
          <w:bCs/>
          <w:szCs w:val="24"/>
        </w:rPr>
      </w:pPr>
      <w:r w:rsidRPr="00B95345">
        <w:rPr>
          <w:rFonts w:cstheme="minorHAnsi"/>
          <w:b/>
          <w:bCs/>
          <w:szCs w:val="24"/>
        </w:rPr>
        <w:t>Marco Obiso</w:t>
      </w:r>
      <w:r w:rsidR="008052C7" w:rsidRPr="00B95345">
        <w:rPr>
          <w:rFonts w:cstheme="minorHAnsi"/>
          <w:b/>
          <w:bCs/>
          <w:szCs w:val="24"/>
        </w:rPr>
        <w:t xml:space="preserve">, Chief, </w:t>
      </w:r>
      <w:r w:rsidR="00823A8D" w:rsidRPr="00B95345">
        <w:rPr>
          <w:rFonts w:cstheme="minorHAnsi"/>
          <w:b/>
          <w:bCs/>
          <w:szCs w:val="24"/>
        </w:rPr>
        <w:t>Digital Networks &amp; Society Department (DNS)</w:t>
      </w:r>
      <w:r w:rsidR="00823A8D" w:rsidRPr="00B95345">
        <w:rPr>
          <w:rStyle w:val="cf01"/>
          <w:rFonts w:asciiTheme="minorHAnsi" w:hAnsiTheme="minorHAnsi" w:cstheme="minorHAnsi"/>
          <w:b/>
          <w:bCs/>
          <w:color w:val="auto"/>
          <w:sz w:val="24"/>
          <w:szCs w:val="24"/>
        </w:rPr>
        <w:t xml:space="preserve"> </w:t>
      </w:r>
      <w:r w:rsidR="008052C7" w:rsidRPr="00B95345">
        <w:rPr>
          <w:rFonts w:cstheme="minorHAnsi"/>
          <w:b/>
          <w:bCs/>
          <w:szCs w:val="24"/>
        </w:rPr>
        <w:t>Department</w:t>
      </w:r>
    </w:p>
    <w:p w14:paraId="4027D91F" w14:textId="3EC20254" w:rsidR="00E25ECD" w:rsidRPr="00B95345" w:rsidRDefault="00E25ECD" w:rsidP="00756B97">
      <w:pPr>
        <w:spacing w:after="120"/>
        <w:rPr>
          <w:rFonts w:cstheme="minorHAnsi"/>
          <w:szCs w:val="24"/>
        </w:rPr>
      </w:pPr>
      <w:r w:rsidRPr="00B95345">
        <w:rPr>
          <w:rFonts w:cstheme="minorHAnsi"/>
          <w:szCs w:val="24"/>
        </w:rPr>
        <w:t>As HQ is covering all M</w:t>
      </w:r>
      <w:r w:rsidR="00631699" w:rsidRPr="00B95345">
        <w:rPr>
          <w:rFonts w:cstheme="minorHAnsi"/>
          <w:szCs w:val="24"/>
        </w:rPr>
        <w:t>ember States</w:t>
      </w:r>
      <w:r w:rsidRPr="00B95345">
        <w:rPr>
          <w:rFonts w:cstheme="minorHAnsi"/>
          <w:szCs w:val="24"/>
        </w:rPr>
        <w:t xml:space="preserve"> and </w:t>
      </w:r>
      <w:r w:rsidR="00B129C0">
        <w:rPr>
          <w:rFonts w:cstheme="minorHAnsi"/>
          <w:szCs w:val="24"/>
        </w:rPr>
        <w:t xml:space="preserve">is </w:t>
      </w:r>
      <w:r w:rsidRPr="00B95345">
        <w:rPr>
          <w:rFonts w:cstheme="minorHAnsi"/>
          <w:szCs w:val="24"/>
        </w:rPr>
        <w:t xml:space="preserve">output oriented, </w:t>
      </w:r>
      <w:r w:rsidR="00865EB4">
        <w:rPr>
          <w:rFonts w:cstheme="minorHAnsi"/>
          <w:szCs w:val="24"/>
        </w:rPr>
        <w:t xml:space="preserve">the </w:t>
      </w:r>
      <w:r w:rsidRPr="00B95345">
        <w:rPr>
          <w:rFonts w:cstheme="minorHAnsi"/>
          <w:szCs w:val="24"/>
        </w:rPr>
        <w:t>HQ teams translate requirements expressed by the region</w:t>
      </w:r>
      <w:r w:rsidR="00B129C0">
        <w:rPr>
          <w:rFonts w:cstheme="minorHAnsi"/>
          <w:szCs w:val="24"/>
        </w:rPr>
        <w:t>s</w:t>
      </w:r>
      <w:r w:rsidRPr="00B95345">
        <w:rPr>
          <w:rFonts w:cstheme="minorHAnsi"/>
          <w:szCs w:val="24"/>
        </w:rPr>
        <w:t xml:space="preserve"> and the membership in offerings to be made available and implemented on the ground. DNS offerings span from infrastructure related products (mapping, network planning) to cyber (CIRT related) to digital innovation (alliance), youth, gender, emergency telco (AW4ALL), climate change related (e-waste monitor), among others.</w:t>
      </w:r>
    </w:p>
    <w:p w14:paraId="509C3ED4" w14:textId="77777777" w:rsidR="00E25ECD" w:rsidRPr="00B95345" w:rsidRDefault="00E25ECD" w:rsidP="00E03A36">
      <w:pPr>
        <w:pStyle w:val="BodyText"/>
        <w:spacing w:before="120" w:after="120"/>
        <w:jc w:val="both"/>
        <w:rPr>
          <w:rFonts w:asciiTheme="minorHAnsi" w:hAnsiTheme="minorHAnsi" w:cstheme="minorHAnsi"/>
          <w:sz w:val="24"/>
          <w:szCs w:val="24"/>
          <w:lang w:val="en-GB"/>
        </w:rPr>
      </w:pPr>
    </w:p>
    <w:p w14:paraId="3750B55B" w14:textId="77777777" w:rsidR="009956AB" w:rsidRDefault="009956AB" w:rsidP="00E03A36">
      <w:pPr>
        <w:pStyle w:val="BodyText"/>
        <w:spacing w:before="120" w:after="120"/>
        <w:jc w:val="both"/>
        <w:rPr>
          <w:rFonts w:asciiTheme="minorHAnsi" w:hAnsiTheme="minorHAnsi" w:cstheme="minorHAnsi"/>
          <w:sz w:val="24"/>
          <w:szCs w:val="24"/>
          <w:lang w:val="en-GB"/>
        </w:rPr>
        <w:sectPr w:rsidR="009956AB" w:rsidSect="00B45BFF">
          <w:headerReference w:type="default" r:id="rId98"/>
          <w:footerReference w:type="first" r:id="rId99"/>
          <w:pgSz w:w="11907" w:h="16834" w:code="9"/>
          <w:pgMar w:top="1418" w:right="1134" w:bottom="851" w:left="1134" w:header="720" w:footer="720" w:gutter="0"/>
          <w:paperSrc w:first="15" w:other="15"/>
          <w:cols w:space="720"/>
          <w:titlePg/>
          <w:docGrid w:linePitch="326"/>
        </w:sectPr>
      </w:pPr>
    </w:p>
    <w:p w14:paraId="2AD403A4" w14:textId="77777777" w:rsidR="00756B97" w:rsidRDefault="00AE2243" w:rsidP="00756B97">
      <w:pPr>
        <w:tabs>
          <w:tab w:val="clear" w:pos="794"/>
          <w:tab w:val="clear" w:pos="1191"/>
          <w:tab w:val="clear" w:pos="1588"/>
          <w:tab w:val="clear" w:pos="1985"/>
        </w:tabs>
        <w:overflowPunct/>
        <w:autoSpaceDE/>
        <w:autoSpaceDN/>
        <w:adjustRightInd/>
        <w:spacing w:after="120"/>
        <w:jc w:val="center"/>
        <w:textAlignment w:val="auto"/>
        <w:rPr>
          <w:b/>
          <w:bCs/>
        </w:rPr>
      </w:pPr>
      <w:r w:rsidRPr="00B45BFF">
        <w:rPr>
          <w:b/>
          <w:bCs/>
        </w:rPr>
        <w:lastRenderedPageBreak/>
        <w:t xml:space="preserve">ANNEX </w:t>
      </w:r>
      <w:r w:rsidR="00604400" w:rsidRPr="00B45BFF">
        <w:rPr>
          <w:b/>
          <w:bCs/>
        </w:rPr>
        <w:t>2</w:t>
      </w:r>
    </w:p>
    <w:p w14:paraId="5A71FA4F" w14:textId="100855E6" w:rsidR="00430139" w:rsidRPr="00B45BFF" w:rsidRDefault="00AE2243" w:rsidP="00756B97">
      <w:pPr>
        <w:tabs>
          <w:tab w:val="clear" w:pos="794"/>
          <w:tab w:val="clear" w:pos="1191"/>
          <w:tab w:val="clear" w:pos="1588"/>
          <w:tab w:val="clear" w:pos="1985"/>
        </w:tabs>
        <w:overflowPunct/>
        <w:autoSpaceDE/>
        <w:autoSpaceDN/>
        <w:adjustRightInd/>
        <w:spacing w:after="120"/>
        <w:jc w:val="center"/>
        <w:textAlignment w:val="auto"/>
        <w:rPr>
          <w:rFonts w:ascii="Times New Roman" w:hAnsi="Times New Roman"/>
          <w:b/>
          <w:bCs/>
          <w:noProof/>
          <w:szCs w:val="24"/>
        </w:rPr>
      </w:pPr>
      <w:r w:rsidRPr="00B45BFF">
        <w:rPr>
          <w:rFonts w:cstheme="minorHAnsi"/>
          <w:b/>
          <w:bCs/>
          <w:szCs w:val="24"/>
        </w:rPr>
        <w:t xml:space="preserve">RESULTS OF THE MENTIMETER SURVEY ON </w:t>
      </w:r>
      <w:r w:rsidRPr="00B45BFF">
        <w:rPr>
          <w:b/>
          <w:bCs/>
        </w:rPr>
        <w:t>“WHAT SHOULD BE THE THEME OF A WTDC SONG?”</w:t>
      </w:r>
    </w:p>
    <w:p w14:paraId="4EC3FD39" w14:textId="77777777" w:rsidR="00430139" w:rsidRPr="00430139" w:rsidRDefault="00430139" w:rsidP="00E03A36">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noProof/>
          <w:szCs w:val="24"/>
        </w:rPr>
      </w:pPr>
    </w:p>
    <w:p w14:paraId="625B8BB3" w14:textId="7E6F0017" w:rsidR="00215A08" w:rsidRPr="00215A08" w:rsidRDefault="00215A08" w:rsidP="00E03A36">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szCs w:val="24"/>
          <w:lang w:val="en-US"/>
        </w:rPr>
      </w:pPr>
      <w:r w:rsidRPr="00215A08">
        <w:rPr>
          <w:rFonts w:ascii="Times New Roman" w:hAnsi="Times New Roman"/>
          <w:noProof/>
          <w:szCs w:val="24"/>
          <w:lang w:val="en-US"/>
        </w:rPr>
        <w:drawing>
          <wp:inline distT="0" distB="0" distL="0" distR="0" wp14:anchorId="03C2C711" wp14:editId="72BF3293">
            <wp:extent cx="9272587" cy="5185819"/>
            <wp:effectExtent l="0" t="0" r="5080" b="0"/>
            <wp:docPr id="124209106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91063" name="Picture 2" descr="A screenshot of a computer&#10;&#10;Description automatically generated"/>
                    <pic:cNvPicPr>
                      <a:picLocks noChangeAspect="1" noChangeArrowheads="1"/>
                    </pic:cNvPicPr>
                  </pic:nvPicPr>
                  <pic:blipFill rotWithShape="1">
                    <a:blip r:embed="rId100">
                      <a:extLst>
                        <a:ext uri="{28A0092B-C50C-407E-A947-70E740481C1C}">
                          <a14:useLocalDpi xmlns:a14="http://schemas.microsoft.com/office/drawing/2010/main" val="0"/>
                        </a:ext>
                      </a:extLst>
                    </a:blip>
                    <a:srcRect r="15659" b="15588"/>
                    <a:stretch/>
                  </pic:blipFill>
                  <pic:spPr bwMode="auto">
                    <a:xfrm>
                      <a:off x="0" y="0"/>
                      <a:ext cx="9286356" cy="5193520"/>
                    </a:xfrm>
                    <a:prstGeom prst="rect">
                      <a:avLst/>
                    </a:prstGeom>
                    <a:noFill/>
                    <a:ln>
                      <a:noFill/>
                    </a:ln>
                    <a:extLst>
                      <a:ext uri="{53640926-AAD7-44D8-BBD7-CCE9431645EC}">
                        <a14:shadowObscured xmlns:a14="http://schemas.microsoft.com/office/drawing/2010/main"/>
                      </a:ext>
                    </a:extLst>
                  </pic:spPr>
                </pic:pic>
              </a:graphicData>
            </a:graphic>
          </wp:inline>
        </w:drawing>
      </w:r>
    </w:p>
    <w:p w14:paraId="05D82724" w14:textId="77777777" w:rsidR="00604400" w:rsidRDefault="00604400" w:rsidP="00E03A36">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szCs w:val="24"/>
          <w:lang w:val="en-US"/>
        </w:rPr>
        <w:sectPr w:rsidR="00604400" w:rsidSect="009956AB">
          <w:headerReference w:type="default" r:id="rId101"/>
          <w:headerReference w:type="first" r:id="rId102"/>
          <w:footerReference w:type="first" r:id="rId103"/>
          <w:pgSz w:w="16834" w:h="11907" w:orient="landscape" w:code="9"/>
          <w:pgMar w:top="1134" w:right="1418" w:bottom="1134" w:left="1418" w:header="720" w:footer="720" w:gutter="0"/>
          <w:paperSrc w:first="7" w:other="7"/>
          <w:cols w:space="720"/>
          <w:titlePg/>
          <w:docGrid w:linePitch="326"/>
        </w:sectPr>
      </w:pPr>
    </w:p>
    <w:p w14:paraId="506230F9" w14:textId="60FADACE" w:rsidR="00604400" w:rsidRPr="00B45BFF" w:rsidRDefault="00604400" w:rsidP="00E03A36">
      <w:pPr>
        <w:tabs>
          <w:tab w:val="clear" w:pos="794"/>
          <w:tab w:val="clear" w:pos="1191"/>
          <w:tab w:val="clear" w:pos="1588"/>
          <w:tab w:val="clear" w:pos="1985"/>
        </w:tabs>
        <w:overflowPunct/>
        <w:autoSpaceDE/>
        <w:autoSpaceDN/>
        <w:adjustRightInd/>
        <w:spacing w:after="120"/>
        <w:jc w:val="center"/>
        <w:textAlignment w:val="auto"/>
        <w:rPr>
          <w:b/>
          <w:bCs/>
        </w:rPr>
      </w:pPr>
      <w:r w:rsidRPr="00B45BFF">
        <w:rPr>
          <w:b/>
          <w:bCs/>
        </w:rPr>
        <w:lastRenderedPageBreak/>
        <w:t>ANNEX 3</w:t>
      </w:r>
    </w:p>
    <w:p w14:paraId="57DD49A1" w14:textId="05783A51" w:rsidR="001974C1" w:rsidRPr="00B45BFF" w:rsidRDefault="001974C1" w:rsidP="00E03A36">
      <w:pPr>
        <w:tabs>
          <w:tab w:val="clear" w:pos="794"/>
          <w:tab w:val="clear" w:pos="1191"/>
          <w:tab w:val="clear" w:pos="1588"/>
          <w:tab w:val="clear" w:pos="1985"/>
        </w:tabs>
        <w:overflowPunct/>
        <w:autoSpaceDE/>
        <w:autoSpaceDN/>
        <w:adjustRightInd/>
        <w:spacing w:after="120"/>
        <w:jc w:val="center"/>
        <w:textAlignment w:val="auto"/>
        <w:rPr>
          <w:rFonts w:ascii="Arial" w:hAnsi="Arial" w:cs="Arial"/>
          <w:b/>
          <w:bCs/>
          <w:sz w:val="22"/>
          <w:szCs w:val="22"/>
          <w:lang w:val="en-US" w:eastAsia="en-GB"/>
        </w:rPr>
      </w:pPr>
      <w:r w:rsidRPr="00B45BFF">
        <w:rPr>
          <w:rFonts w:cstheme="minorHAnsi"/>
          <w:b/>
          <w:bCs/>
          <w:szCs w:val="24"/>
        </w:rPr>
        <w:t>Special Session on Partnerships during TDAG-24</w:t>
      </w:r>
    </w:p>
    <w:p w14:paraId="5F5E870B" w14:textId="77777777" w:rsidR="001974C1" w:rsidRDefault="001974C1" w:rsidP="00E03A36">
      <w:pPr>
        <w:spacing w:after="120"/>
        <w:rPr>
          <w:rFonts w:ascii="Arial" w:hAnsi="Arial" w:cs="Arial"/>
          <w:b/>
          <w:bCs/>
          <w:sz w:val="22"/>
          <w:szCs w:val="22"/>
          <w:lang w:eastAsia="en-GB"/>
        </w:rPr>
      </w:pPr>
    </w:p>
    <w:p w14:paraId="486FA955" w14:textId="0ED8092D" w:rsidR="001974C1" w:rsidRPr="00B45BFF" w:rsidRDefault="001974C1" w:rsidP="00E03A36">
      <w:pPr>
        <w:spacing w:after="120"/>
        <w:rPr>
          <w:rFonts w:cstheme="minorHAnsi"/>
          <w:szCs w:val="24"/>
          <w:lang w:eastAsia="en-GB"/>
        </w:rPr>
      </w:pPr>
      <w:r w:rsidRPr="00B45BFF">
        <w:rPr>
          <w:rFonts w:cstheme="minorHAnsi"/>
          <w:szCs w:val="24"/>
          <w:lang w:eastAsia="en-GB"/>
        </w:rPr>
        <w:t>The session "Partnerships for Digital Development: Recognizing the Contributions from Sector Members, Partners and Beneficiaries for a BDT4Impact" took place on 21 May at 16:30 CET, during the 31</w:t>
      </w:r>
      <w:r w:rsidRPr="00B45BFF">
        <w:rPr>
          <w:rFonts w:cstheme="minorHAnsi"/>
          <w:szCs w:val="24"/>
          <w:vertAlign w:val="superscript"/>
          <w:lang w:eastAsia="en-GB"/>
        </w:rPr>
        <w:t>st</w:t>
      </w:r>
      <w:r w:rsidRPr="00B45BFF">
        <w:rPr>
          <w:rFonts w:cstheme="minorHAnsi"/>
          <w:szCs w:val="24"/>
          <w:lang w:eastAsia="en-GB"/>
        </w:rPr>
        <w:t xml:space="preserve"> meeting of the Telecommunication Development Advisory Group (TDAG). </w:t>
      </w:r>
    </w:p>
    <w:p w14:paraId="7EBFF0C6" w14:textId="3420AD7A" w:rsidR="001974C1" w:rsidRPr="00B45BFF" w:rsidRDefault="001974C1" w:rsidP="00E03A36">
      <w:pPr>
        <w:spacing w:after="120"/>
        <w:rPr>
          <w:rFonts w:cstheme="minorHAnsi"/>
          <w:szCs w:val="24"/>
          <w:lang w:eastAsia="en-GB"/>
        </w:rPr>
      </w:pPr>
      <w:r w:rsidRPr="00B45BFF">
        <w:rPr>
          <w:rFonts w:cstheme="minorHAnsi"/>
          <w:szCs w:val="24"/>
          <w:lang w:eastAsia="en-GB"/>
        </w:rPr>
        <w:t xml:space="preserve">The session acknowledged and celebrated the significant contributions of ITU-D members and highlighted </w:t>
      </w:r>
      <w:r w:rsidR="00007B64" w:rsidRPr="00B45BFF">
        <w:rPr>
          <w:rFonts w:cstheme="minorHAnsi"/>
          <w:szCs w:val="24"/>
          <w:lang w:eastAsia="en-GB"/>
        </w:rPr>
        <w:t>record-breaking</w:t>
      </w:r>
      <w:r w:rsidRPr="00B45BFF">
        <w:rPr>
          <w:rFonts w:cstheme="minorHAnsi"/>
          <w:szCs w:val="24"/>
          <w:lang w:eastAsia="en-GB"/>
        </w:rPr>
        <w:t xml:space="preserve"> numbers noting that, from January 2023 to April 2024, 63 new Sector Members, Associates and Academia joined ITU-D, and 117 agreements were signed valued 27.8 million USD, resulting in 36 projects aimed at digital development.</w:t>
      </w:r>
    </w:p>
    <w:p w14:paraId="2484E666" w14:textId="77777777" w:rsidR="001974C1" w:rsidRPr="001974C1" w:rsidRDefault="001974C1" w:rsidP="00E03A36">
      <w:pPr>
        <w:spacing w:after="120"/>
        <w:rPr>
          <w:rFonts w:cstheme="minorHAnsi"/>
          <w:szCs w:val="24"/>
          <w:lang w:eastAsia="en-GB"/>
        </w:rPr>
      </w:pPr>
      <w:r w:rsidRPr="001974C1">
        <w:rPr>
          <w:rFonts w:cstheme="minorHAnsi"/>
          <w:szCs w:val="24"/>
          <w:lang w:eastAsia="en-GB"/>
        </w:rPr>
        <w:t xml:space="preserve">The session included a panel with distinguished speakers from all regions sharing testimonies and success stories on how ITU-D partnerships and projects support digital transformation and deliver impact on the ground. The Panel was moderated by </w:t>
      </w:r>
      <w:bookmarkStart w:id="9" w:name="_Hlk171748502"/>
      <w:r w:rsidRPr="00007B64">
        <w:rPr>
          <w:rFonts w:cstheme="minorHAnsi"/>
          <w:b/>
          <w:bCs/>
          <w:szCs w:val="24"/>
          <w:lang w:eastAsia="en-GB"/>
        </w:rPr>
        <w:t>Mr. Bocar Ba</w:t>
      </w:r>
      <w:r w:rsidRPr="001974C1">
        <w:rPr>
          <w:rFonts w:cstheme="minorHAnsi"/>
          <w:szCs w:val="24"/>
          <w:lang w:eastAsia="en-GB"/>
        </w:rPr>
        <w:t>, CEO of the SAMENA Telecommunications Council and Chair of the Industry Advisory Group on Development Issues and Private Sector</w:t>
      </w:r>
      <w:bookmarkEnd w:id="9"/>
      <w:r w:rsidRPr="001974C1">
        <w:rPr>
          <w:rFonts w:cstheme="minorHAnsi"/>
          <w:szCs w:val="24"/>
          <w:lang w:eastAsia="en-GB"/>
        </w:rPr>
        <w:t xml:space="preserve"> Chief Regulatory Officers' meeting (IAGDI-CRO), featuring eight distinguished speakers:</w:t>
      </w:r>
    </w:p>
    <w:p w14:paraId="1987A44F"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H.E. Mr. Thomas Wagner</w:t>
      </w:r>
      <w:r w:rsidRPr="00B45BFF">
        <w:rPr>
          <w:rFonts w:cstheme="minorHAnsi"/>
          <w:szCs w:val="24"/>
          <w:lang w:eastAsia="en-GB"/>
        </w:rPr>
        <w:t>, Deputy Permanent Representative, European Union to the United Nations and other international organizations in Geneva</w:t>
      </w:r>
    </w:p>
    <w:p w14:paraId="03B72898"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 xml:space="preserve">H.E. Ms. Anna </w:t>
      </w:r>
      <w:proofErr w:type="spellStart"/>
      <w:r w:rsidRPr="00B45BFF">
        <w:rPr>
          <w:rFonts w:cstheme="minorHAnsi"/>
          <w:b/>
          <w:bCs/>
          <w:szCs w:val="24"/>
          <w:lang w:eastAsia="en-GB"/>
        </w:rPr>
        <w:t>Jardfelt</w:t>
      </w:r>
      <w:proofErr w:type="spellEnd"/>
      <w:r w:rsidRPr="00B45BFF">
        <w:rPr>
          <w:rFonts w:cstheme="minorHAnsi"/>
          <w:szCs w:val="24"/>
          <w:lang w:eastAsia="en-GB"/>
        </w:rPr>
        <w:t>, Ambassador of Sweden to the United Nations Office in Geneva</w:t>
      </w:r>
    </w:p>
    <w:p w14:paraId="249D040C"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Joseph Burton</w:t>
      </w:r>
      <w:r w:rsidRPr="00B45BFF">
        <w:rPr>
          <w:rFonts w:cstheme="minorHAnsi"/>
          <w:szCs w:val="24"/>
          <w:lang w:eastAsia="en-GB"/>
        </w:rPr>
        <w:t>, Senior Policy Advisor, Multilateral Affairs, Bureau of Cyberspace and Digital Policy, U.S. Department of State, United States</w:t>
      </w:r>
    </w:p>
    <w:p w14:paraId="36B0F602"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Christopher Kemei,</w:t>
      </w:r>
      <w:r w:rsidRPr="00B45BFF">
        <w:rPr>
          <w:rFonts w:cstheme="minorHAnsi"/>
          <w:szCs w:val="24"/>
          <w:lang w:eastAsia="en-GB"/>
        </w:rPr>
        <w:t xml:space="preserve"> Director, Licensing, Compliance and Standards, Communications Authority of Kenya (C.A.), Kenya</w:t>
      </w:r>
    </w:p>
    <w:p w14:paraId="3DDA86AA"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 xml:space="preserve">Ms. Shahad </w:t>
      </w:r>
      <w:proofErr w:type="spellStart"/>
      <w:r w:rsidRPr="00B45BFF">
        <w:rPr>
          <w:rFonts w:cstheme="minorHAnsi"/>
          <w:b/>
          <w:bCs/>
          <w:szCs w:val="24"/>
          <w:lang w:eastAsia="en-GB"/>
        </w:rPr>
        <w:t>Albalawi</w:t>
      </w:r>
      <w:proofErr w:type="spellEnd"/>
      <w:r w:rsidRPr="00B45BFF">
        <w:rPr>
          <w:rFonts w:cstheme="minorHAnsi"/>
          <w:szCs w:val="24"/>
          <w:lang w:eastAsia="en-GB"/>
        </w:rPr>
        <w:t>, International Representation Director at The Communications, Space and Technology Commission (CST), Saudi Arabia, Vice-chair of the Telecommunication Development Advisory Group (TDAG), and a member of the advisory board for the Network of Women (</w:t>
      </w:r>
      <w:proofErr w:type="spellStart"/>
      <w:r w:rsidRPr="00B45BFF">
        <w:rPr>
          <w:rFonts w:cstheme="minorHAnsi"/>
          <w:szCs w:val="24"/>
          <w:lang w:eastAsia="en-GB"/>
        </w:rPr>
        <w:t>NoW</w:t>
      </w:r>
      <w:proofErr w:type="spellEnd"/>
      <w:r w:rsidRPr="00B45BFF">
        <w:rPr>
          <w:rFonts w:cstheme="minorHAnsi"/>
          <w:szCs w:val="24"/>
          <w:lang w:eastAsia="en-GB"/>
        </w:rPr>
        <w:t>), Kingdom of Saudi Arabia</w:t>
      </w:r>
    </w:p>
    <w:p w14:paraId="036CFCBB"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Ce Zhao</w:t>
      </w:r>
      <w:r w:rsidRPr="00B45BFF">
        <w:rPr>
          <w:rFonts w:cstheme="minorHAnsi"/>
          <w:szCs w:val="24"/>
          <w:lang w:eastAsia="en-GB"/>
        </w:rPr>
        <w:t>, Deputy Director General, Ministry of Industry and Information Technology (MIIT), People's Republic of China</w:t>
      </w:r>
    </w:p>
    <w:p w14:paraId="072844AA"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 xml:space="preserve">Mr. </w:t>
      </w:r>
      <w:proofErr w:type="spellStart"/>
      <w:r w:rsidRPr="00B45BFF">
        <w:rPr>
          <w:rFonts w:cstheme="minorHAnsi"/>
          <w:b/>
          <w:bCs/>
          <w:szCs w:val="24"/>
          <w:lang w:eastAsia="en-GB"/>
        </w:rPr>
        <w:t>Tilek</w:t>
      </w:r>
      <w:proofErr w:type="spellEnd"/>
      <w:r w:rsidRPr="00B45BFF">
        <w:rPr>
          <w:rFonts w:cstheme="minorHAnsi"/>
          <w:b/>
          <w:bCs/>
          <w:szCs w:val="24"/>
          <w:lang w:eastAsia="en-GB"/>
        </w:rPr>
        <w:t xml:space="preserve"> </w:t>
      </w:r>
      <w:proofErr w:type="spellStart"/>
      <w:r w:rsidRPr="00B45BFF">
        <w:rPr>
          <w:rFonts w:cstheme="minorHAnsi"/>
          <w:b/>
          <w:bCs/>
          <w:szCs w:val="24"/>
          <w:lang w:eastAsia="en-GB"/>
        </w:rPr>
        <w:t>Taalaibekov</w:t>
      </w:r>
      <w:proofErr w:type="spellEnd"/>
      <w:r w:rsidRPr="00B45BFF">
        <w:rPr>
          <w:rFonts w:cstheme="minorHAnsi"/>
          <w:szCs w:val="24"/>
          <w:lang w:eastAsia="en-GB"/>
        </w:rPr>
        <w:t>, Head of Radio Monitoring Department, State Communications Agency under the Ministry of Digital Development, Kyrgyz Republic.</w:t>
      </w:r>
    </w:p>
    <w:p w14:paraId="2EDEE01C"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Ahmed Riad Ismail</w:t>
      </w:r>
      <w:r w:rsidRPr="00B45BFF">
        <w:rPr>
          <w:rFonts w:cstheme="minorHAnsi"/>
          <w:szCs w:val="24"/>
          <w:lang w:eastAsia="en-GB"/>
        </w:rPr>
        <w:t>, Senior Director – Strategy and Industry Development, Huawei Technologies</w:t>
      </w:r>
    </w:p>
    <w:p w14:paraId="37486E69" w14:textId="77777777" w:rsidR="001974C1" w:rsidRPr="001974C1" w:rsidRDefault="001974C1" w:rsidP="00E03A36">
      <w:pPr>
        <w:spacing w:after="120"/>
        <w:rPr>
          <w:rFonts w:cstheme="minorHAnsi"/>
          <w:szCs w:val="24"/>
          <w:lang w:eastAsia="en-GB"/>
        </w:rPr>
      </w:pPr>
      <w:r w:rsidRPr="001974C1">
        <w:rPr>
          <w:rFonts w:cstheme="minorHAnsi"/>
          <w:szCs w:val="24"/>
          <w:lang w:eastAsia="en-GB"/>
        </w:rPr>
        <w:t>The dialogue centred around sharing and discussing collaborative arrangements implemented by the BDT, such as:</w:t>
      </w:r>
    </w:p>
    <w:p w14:paraId="70C07C9F" w14:textId="0B24206F"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Digital Inclusion:</w:t>
      </w:r>
      <w:r w:rsidR="00B45BFF">
        <w:rPr>
          <w:rFonts w:cstheme="minorHAnsi"/>
          <w:szCs w:val="24"/>
          <w:lang w:eastAsia="en-GB"/>
        </w:rPr>
        <w:t xml:space="preserve"> </w:t>
      </w:r>
      <w:r w:rsidRPr="001974C1">
        <w:rPr>
          <w:rFonts w:cstheme="minorHAnsi"/>
          <w:szCs w:val="24"/>
          <w:lang w:eastAsia="en-GB"/>
        </w:rPr>
        <w:t xml:space="preserve">the need to bridge the digital divide, with 2.6 billion people still offline and the importance of multistakeholder collaboration for digital inclusion and highlighted the need to bridge digital skills and literacy gaps, particularly for women. </w:t>
      </w:r>
    </w:p>
    <w:p w14:paraId="2379CEBC" w14:textId="77777777"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Digital Transformation, Policy and Regulation:</w:t>
      </w:r>
      <w:r w:rsidRPr="001974C1">
        <w:rPr>
          <w:rFonts w:cstheme="minorHAnsi"/>
          <w:szCs w:val="24"/>
          <w:lang w:eastAsia="en-GB"/>
        </w:rPr>
        <w:t xml:space="preserve"> the importance of taking a comprehensive approach to digital transformation, involving the implementation of good governance, transparency, and sustainability, and using technologies such as AI and 5G. The importance of working together across multiple stakeholders and fostering inclusive partnerships to </w:t>
      </w:r>
      <w:r w:rsidRPr="001974C1">
        <w:rPr>
          <w:rFonts w:cstheme="minorHAnsi"/>
          <w:szCs w:val="24"/>
          <w:lang w:eastAsia="en-GB"/>
        </w:rPr>
        <w:lastRenderedPageBreak/>
        <w:t>address global digital challenges was underscored along with the ITU's role in coordinating these efforts.</w:t>
      </w:r>
    </w:p>
    <w:p w14:paraId="12FCB63A" w14:textId="77777777"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ICT and Digital Skills: </w:t>
      </w:r>
      <w:r w:rsidRPr="001974C1">
        <w:rPr>
          <w:rFonts w:cstheme="minorHAnsi"/>
          <w:szCs w:val="24"/>
          <w:lang w:eastAsia="en-GB"/>
        </w:rPr>
        <w:t>the vital role of ICT in sustainable development efforts, emphasizing capacity development and technical training to support local deployment of extensive infrastructure projects. Collaborative efforts in ICT development and governance were deemed essential to progress.</w:t>
      </w:r>
    </w:p>
    <w:p w14:paraId="03E77DD4" w14:textId="1CF26E2E"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Circular Economy and Sustainability:</w:t>
      </w:r>
      <w:r w:rsidR="00B45BFF">
        <w:rPr>
          <w:rFonts w:cstheme="minorHAnsi"/>
          <w:szCs w:val="24"/>
          <w:lang w:eastAsia="en-GB"/>
        </w:rPr>
        <w:t xml:space="preserve"> </w:t>
      </w:r>
      <w:r w:rsidRPr="001974C1">
        <w:rPr>
          <w:rFonts w:cstheme="minorHAnsi"/>
          <w:szCs w:val="24"/>
          <w:lang w:eastAsia="en-GB"/>
        </w:rPr>
        <w:t>the importance of merging digital solutions with environmental sustainability. Effective management of e-waste, enhancement of climate resilience, and promotion of a circular economy that integrates digital and green transformation aspects were key topics of discussion.</w:t>
      </w:r>
    </w:p>
    <w:p w14:paraId="62D2EEAD" w14:textId="77777777"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Emergency Telecommunications:</w:t>
      </w:r>
      <w:r w:rsidRPr="001974C1">
        <w:rPr>
          <w:rFonts w:cstheme="minorHAnsi"/>
          <w:szCs w:val="24"/>
          <w:lang w:eastAsia="en-GB"/>
        </w:rPr>
        <w:t> the role of emergency telecommunications in establishing and enhancing early warning systems to ensure timely alerts and effective management of natural disasters and importance to promote ITU's technical expertise in collaboration with other stakeholders.</w:t>
      </w:r>
    </w:p>
    <w:p w14:paraId="511B59AF" w14:textId="77777777" w:rsidR="001974C1" w:rsidRPr="001974C1" w:rsidRDefault="001974C1" w:rsidP="00E03A36">
      <w:pPr>
        <w:spacing w:after="120"/>
        <w:rPr>
          <w:rFonts w:cstheme="minorHAnsi"/>
          <w:szCs w:val="24"/>
          <w:lang w:eastAsia="en-GB"/>
        </w:rPr>
      </w:pPr>
      <w:r w:rsidRPr="001974C1">
        <w:rPr>
          <w:rFonts w:cstheme="minorHAnsi"/>
          <w:szCs w:val="24"/>
          <w:lang w:eastAsia="en-GB"/>
        </w:rPr>
        <w:t xml:space="preserve">The BDT Director concluded the session by expressing gratitude for the insightful contributions of the panellists. He highlighted the growth of the ITU-D membership and pointed out the expanding influence and reach of the ITU in the industry and private sectors. The BDT Director also emphasized the success of the partnership models, noting the financing of 36 new impactful projects, and expressed appreciation for all partners, especially the top contributors to ITU-D work in 2023 and up to April 2024. </w:t>
      </w:r>
    </w:p>
    <w:p w14:paraId="371D568F" w14:textId="1AB1ABA6" w:rsidR="00D81F65" w:rsidRPr="009B411C" w:rsidRDefault="000C2480" w:rsidP="000C2480">
      <w:pPr>
        <w:tabs>
          <w:tab w:val="clear" w:pos="794"/>
          <w:tab w:val="clear" w:pos="1191"/>
          <w:tab w:val="clear" w:pos="1588"/>
          <w:tab w:val="clear" w:pos="1985"/>
        </w:tabs>
        <w:overflowPunct/>
        <w:autoSpaceDE/>
        <w:autoSpaceDN/>
        <w:adjustRightInd/>
        <w:spacing w:after="120"/>
        <w:jc w:val="center"/>
        <w:textAlignment w:val="auto"/>
      </w:pPr>
      <w:r>
        <w:t>________________</w:t>
      </w:r>
    </w:p>
    <w:sectPr w:rsidR="00D81F65" w:rsidRPr="009B411C" w:rsidSect="00604400">
      <w:headerReference w:type="first" r:id="rId10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65B2" w14:textId="77777777" w:rsidR="00925703" w:rsidRDefault="00925703">
      <w:r>
        <w:separator/>
      </w:r>
    </w:p>
  </w:endnote>
  <w:endnote w:type="continuationSeparator" w:id="0">
    <w:p w14:paraId="48FE419C" w14:textId="77777777" w:rsidR="00925703" w:rsidRDefault="00925703">
      <w:r>
        <w:continuationSeparator/>
      </w:r>
    </w:p>
  </w:endnote>
  <w:endnote w:type="continuationNotice" w:id="1">
    <w:p w14:paraId="5A6166D5" w14:textId="77777777" w:rsidR="00925703" w:rsidRDefault="009257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Heavy Heap"/>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55" w:type="dxa"/>
      <w:tblLayout w:type="fixed"/>
      <w:tblLook w:val="04A0" w:firstRow="1" w:lastRow="0" w:firstColumn="1" w:lastColumn="0" w:noHBand="0" w:noVBand="1"/>
    </w:tblPr>
    <w:tblGrid>
      <w:gridCol w:w="1524"/>
      <w:gridCol w:w="2412"/>
      <w:gridCol w:w="5919"/>
    </w:tblGrid>
    <w:tr w:rsidR="00B45BFF" w:rsidRPr="0068563C" w14:paraId="6D841E84" w14:textId="77777777" w:rsidTr="00B309EA">
      <w:tc>
        <w:tcPr>
          <w:tcW w:w="1524" w:type="dxa"/>
          <w:tcBorders>
            <w:left w:val="nil"/>
            <w:bottom w:val="nil"/>
            <w:right w:val="nil"/>
          </w:tcBorders>
        </w:tcPr>
        <w:p w14:paraId="5DC31CF2" w14:textId="77777777" w:rsidR="00B45BFF" w:rsidRPr="0068563C" w:rsidRDefault="00B45BFF" w:rsidP="002655BA">
          <w:pPr>
            <w:pStyle w:val="FirstFooter"/>
            <w:tabs>
              <w:tab w:val="left" w:pos="1559"/>
              <w:tab w:val="left" w:pos="3828"/>
            </w:tabs>
            <w:rPr>
              <w:sz w:val="18"/>
              <w:szCs w:val="18"/>
              <w:lang w:val="en-GB"/>
            </w:rPr>
          </w:pPr>
          <w:r w:rsidRPr="0068563C">
            <w:rPr>
              <w:sz w:val="18"/>
              <w:szCs w:val="18"/>
              <w:lang w:val="en-GB"/>
            </w:rPr>
            <w:t>Contact:</w:t>
          </w:r>
        </w:p>
      </w:tc>
      <w:tc>
        <w:tcPr>
          <w:tcW w:w="2412" w:type="dxa"/>
          <w:tcBorders>
            <w:left w:val="nil"/>
            <w:bottom w:val="nil"/>
            <w:right w:val="nil"/>
          </w:tcBorders>
        </w:tcPr>
        <w:p w14:paraId="213A6A93" w14:textId="77777777" w:rsidR="00B45BFF" w:rsidRPr="0068563C" w:rsidRDefault="00B45BFF" w:rsidP="002655BA">
          <w:pPr>
            <w:pStyle w:val="FirstFooter"/>
            <w:tabs>
              <w:tab w:val="left" w:pos="2302"/>
            </w:tabs>
            <w:ind w:left="2302" w:hanging="2302"/>
            <w:rPr>
              <w:sz w:val="18"/>
              <w:szCs w:val="18"/>
              <w:lang w:val="en-GB"/>
            </w:rPr>
          </w:pPr>
          <w:r w:rsidRPr="0068563C">
            <w:rPr>
              <w:sz w:val="18"/>
              <w:szCs w:val="18"/>
              <w:lang w:val="en-GB"/>
            </w:rPr>
            <w:t>Name/Organization/Entity:</w:t>
          </w:r>
        </w:p>
      </w:tc>
      <w:tc>
        <w:tcPr>
          <w:tcW w:w="5919" w:type="dxa"/>
          <w:tcBorders>
            <w:left w:val="nil"/>
            <w:bottom w:val="nil"/>
            <w:right w:val="nil"/>
          </w:tcBorders>
        </w:tcPr>
        <w:p w14:paraId="59174A24" w14:textId="77777777" w:rsidR="00B45BFF" w:rsidRPr="0068563C" w:rsidRDefault="00B45BFF" w:rsidP="002655BA">
          <w:pPr>
            <w:pStyle w:val="FirstFooter"/>
            <w:rPr>
              <w:sz w:val="18"/>
              <w:szCs w:val="18"/>
              <w:lang w:val="en-GB"/>
            </w:rPr>
          </w:pPr>
          <w:proofErr w:type="spellStart"/>
          <w:r w:rsidRPr="0068563C">
            <w:rPr>
              <w:sz w:val="18"/>
              <w:szCs w:val="18"/>
              <w:lang w:val="en-US"/>
            </w:rPr>
            <w:t>Ms</w:t>
          </w:r>
          <w:proofErr w:type="spellEnd"/>
          <w:r w:rsidRPr="0068563C">
            <w:rPr>
              <w:sz w:val="18"/>
              <w:szCs w:val="18"/>
              <w:lang w:val="en-US"/>
            </w:rPr>
            <w:t xml:space="preserve"> Roxanne </w:t>
          </w:r>
          <w:proofErr w:type="spellStart"/>
          <w:r w:rsidRPr="0068563C">
            <w:rPr>
              <w:sz w:val="18"/>
              <w:szCs w:val="18"/>
              <w:lang w:val="en-US"/>
            </w:rPr>
            <w:t>McElvane</w:t>
          </w:r>
          <w:proofErr w:type="spellEnd"/>
          <w:r w:rsidRPr="0068563C">
            <w:rPr>
              <w:sz w:val="18"/>
              <w:szCs w:val="18"/>
              <w:lang w:val="en-US"/>
            </w:rPr>
            <w:t xml:space="preserve"> Webber, Chair, TDAG</w:t>
          </w:r>
        </w:p>
      </w:tc>
    </w:tr>
    <w:tr w:rsidR="00B45BFF" w:rsidRPr="0068563C" w14:paraId="55C3AEFD" w14:textId="77777777" w:rsidTr="00B309EA">
      <w:tc>
        <w:tcPr>
          <w:tcW w:w="1524" w:type="dxa"/>
          <w:tcBorders>
            <w:top w:val="nil"/>
            <w:left w:val="nil"/>
            <w:bottom w:val="nil"/>
            <w:right w:val="nil"/>
          </w:tcBorders>
        </w:tcPr>
        <w:p w14:paraId="0093AD30" w14:textId="77777777" w:rsidR="00B45BFF" w:rsidRPr="0068563C" w:rsidRDefault="00B45BFF" w:rsidP="002655BA">
          <w:pPr>
            <w:pStyle w:val="FirstFooter"/>
            <w:tabs>
              <w:tab w:val="left" w:pos="1559"/>
              <w:tab w:val="left" w:pos="3828"/>
            </w:tabs>
            <w:rPr>
              <w:sz w:val="18"/>
              <w:szCs w:val="18"/>
              <w:lang w:val="en-GB"/>
            </w:rPr>
          </w:pPr>
        </w:p>
      </w:tc>
      <w:tc>
        <w:tcPr>
          <w:tcW w:w="2412" w:type="dxa"/>
          <w:tcBorders>
            <w:top w:val="nil"/>
            <w:left w:val="nil"/>
            <w:bottom w:val="nil"/>
            <w:right w:val="nil"/>
          </w:tcBorders>
        </w:tcPr>
        <w:p w14:paraId="3C67A809" w14:textId="77777777" w:rsidR="00B45BFF" w:rsidRPr="0068563C" w:rsidRDefault="00B45BFF" w:rsidP="002655BA">
          <w:pPr>
            <w:pStyle w:val="FirstFooter"/>
            <w:tabs>
              <w:tab w:val="left" w:pos="2302"/>
            </w:tabs>
            <w:rPr>
              <w:sz w:val="18"/>
              <w:szCs w:val="18"/>
              <w:lang w:val="en-GB"/>
            </w:rPr>
          </w:pPr>
          <w:r w:rsidRPr="0068563C">
            <w:rPr>
              <w:sz w:val="18"/>
              <w:szCs w:val="18"/>
              <w:lang w:val="en-GB"/>
            </w:rPr>
            <w:t>Phone number:</w:t>
          </w:r>
        </w:p>
      </w:tc>
      <w:tc>
        <w:tcPr>
          <w:tcW w:w="5919" w:type="dxa"/>
          <w:tcBorders>
            <w:top w:val="nil"/>
            <w:left w:val="nil"/>
            <w:bottom w:val="nil"/>
            <w:right w:val="nil"/>
          </w:tcBorders>
        </w:tcPr>
        <w:p w14:paraId="6FA63171" w14:textId="77777777" w:rsidR="00B45BFF" w:rsidRPr="0068563C" w:rsidRDefault="00B45BFF" w:rsidP="002655BA">
          <w:pPr>
            <w:pStyle w:val="FirstFooter"/>
            <w:rPr>
              <w:sz w:val="18"/>
              <w:szCs w:val="18"/>
              <w:lang w:val="en-US"/>
            </w:rPr>
          </w:pPr>
          <w:r w:rsidRPr="0068563C">
            <w:rPr>
              <w:sz w:val="18"/>
              <w:szCs w:val="18"/>
              <w:lang w:val="en-US"/>
            </w:rPr>
            <w:t>+1 202 418 1489</w:t>
          </w:r>
        </w:p>
      </w:tc>
    </w:tr>
    <w:tr w:rsidR="00B45BFF" w:rsidRPr="0068563C" w14:paraId="17E2DEDC" w14:textId="77777777" w:rsidTr="00B309EA">
      <w:tc>
        <w:tcPr>
          <w:tcW w:w="1524" w:type="dxa"/>
          <w:tcBorders>
            <w:top w:val="nil"/>
            <w:left w:val="nil"/>
            <w:bottom w:val="nil"/>
            <w:right w:val="nil"/>
          </w:tcBorders>
        </w:tcPr>
        <w:p w14:paraId="4F1D1253" w14:textId="77777777" w:rsidR="00B45BFF" w:rsidRPr="0068563C" w:rsidRDefault="00B45BFF" w:rsidP="002655BA">
          <w:pPr>
            <w:pStyle w:val="FirstFooter"/>
            <w:tabs>
              <w:tab w:val="left" w:pos="1559"/>
              <w:tab w:val="left" w:pos="3828"/>
            </w:tabs>
            <w:rPr>
              <w:sz w:val="18"/>
              <w:szCs w:val="18"/>
              <w:lang w:val="en-GB"/>
            </w:rPr>
          </w:pPr>
        </w:p>
      </w:tc>
      <w:tc>
        <w:tcPr>
          <w:tcW w:w="2412" w:type="dxa"/>
          <w:tcBorders>
            <w:top w:val="nil"/>
            <w:left w:val="nil"/>
            <w:bottom w:val="nil"/>
            <w:right w:val="nil"/>
          </w:tcBorders>
        </w:tcPr>
        <w:p w14:paraId="2954E201" w14:textId="77777777" w:rsidR="00B45BFF" w:rsidRPr="0068563C" w:rsidRDefault="00B45BFF" w:rsidP="002655BA">
          <w:pPr>
            <w:pStyle w:val="FirstFooter"/>
            <w:tabs>
              <w:tab w:val="left" w:pos="2302"/>
            </w:tabs>
            <w:rPr>
              <w:sz w:val="18"/>
              <w:szCs w:val="18"/>
              <w:lang w:val="en-GB"/>
            </w:rPr>
          </w:pPr>
          <w:r w:rsidRPr="0068563C">
            <w:rPr>
              <w:sz w:val="18"/>
              <w:szCs w:val="18"/>
              <w:lang w:val="en-GB"/>
            </w:rPr>
            <w:t>E-mail:</w:t>
          </w:r>
        </w:p>
      </w:tc>
      <w:tc>
        <w:tcPr>
          <w:tcW w:w="5919" w:type="dxa"/>
          <w:tcBorders>
            <w:top w:val="nil"/>
            <w:left w:val="nil"/>
            <w:bottom w:val="nil"/>
            <w:right w:val="nil"/>
          </w:tcBorders>
        </w:tcPr>
        <w:p w14:paraId="386F10C3" w14:textId="77777777" w:rsidR="00B45BFF" w:rsidRPr="0068563C" w:rsidRDefault="00221FF9" w:rsidP="002655BA">
          <w:pPr>
            <w:pStyle w:val="FirstFooter"/>
            <w:rPr>
              <w:sz w:val="18"/>
              <w:szCs w:val="18"/>
              <w:lang w:val="en-GB"/>
            </w:rPr>
          </w:pPr>
          <w:hyperlink r:id="rId1" w:history="1">
            <w:r w:rsidR="00B45BFF" w:rsidRPr="0068563C">
              <w:rPr>
                <w:rStyle w:val="Hyperlink"/>
                <w:sz w:val="18"/>
                <w:szCs w:val="18"/>
                <w:lang w:val="en-US"/>
              </w:rPr>
              <w:t>Roxanne.Webber@fcc.gov</w:t>
            </w:r>
          </w:hyperlink>
        </w:p>
      </w:tc>
    </w:tr>
  </w:tbl>
  <w:p w14:paraId="78457FC2" w14:textId="77777777" w:rsidR="00B45BFF" w:rsidRPr="0068563C" w:rsidRDefault="00B45BFF">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1B" w14:textId="77777777" w:rsidR="0094394E" w:rsidRPr="000C165A" w:rsidRDefault="0094394E" w:rsidP="001E173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40B80" w14:textId="77777777" w:rsidR="00925703" w:rsidRDefault="00925703">
      <w:r>
        <w:t>____________________</w:t>
      </w:r>
    </w:p>
  </w:footnote>
  <w:footnote w:type="continuationSeparator" w:id="0">
    <w:p w14:paraId="64332D51" w14:textId="77777777" w:rsidR="00925703" w:rsidRDefault="00925703">
      <w:r>
        <w:continuationSeparator/>
      </w:r>
    </w:p>
  </w:footnote>
  <w:footnote w:type="continuationNotice" w:id="1">
    <w:p w14:paraId="319BAF4E" w14:textId="77777777" w:rsidR="00925703" w:rsidRDefault="00925703">
      <w:pPr>
        <w:spacing w:before="0"/>
      </w:pPr>
    </w:p>
  </w:footnote>
  <w:footnote w:id="2">
    <w:p w14:paraId="5C149FE2" w14:textId="2099F89B" w:rsidR="001E3648" w:rsidRPr="00B45BFF" w:rsidRDefault="001E3648">
      <w:pPr>
        <w:pStyle w:val="FootnoteText"/>
        <w:rPr>
          <w:sz w:val="20"/>
          <w:lang w:val="en-US"/>
        </w:rPr>
      </w:pPr>
      <w:r w:rsidRPr="00B45BFF">
        <w:rPr>
          <w:rStyle w:val="FootnoteReference"/>
          <w:sz w:val="20"/>
        </w:rPr>
        <w:footnoteRef/>
      </w:r>
      <w:r w:rsidRPr="00B45BFF">
        <w:rPr>
          <w:sz w:val="20"/>
        </w:rPr>
        <w:t xml:space="preserve"> </w:t>
      </w:r>
      <w:r w:rsidRPr="00B45BFF">
        <w:rPr>
          <w:sz w:val="20"/>
          <w:lang w:val="en-US"/>
        </w:rPr>
        <w:t>Sector Members, A</w:t>
      </w:r>
      <w:r w:rsidR="008C663B" w:rsidRPr="00B45BFF">
        <w:rPr>
          <w:sz w:val="20"/>
          <w:lang w:val="en-US"/>
        </w:rPr>
        <w:t>ss</w:t>
      </w:r>
      <w:r w:rsidRPr="00B45BFF">
        <w:rPr>
          <w:sz w:val="20"/>
          <w:lang w:val="en-US"/>
        </w:rPr>
        <w:t xml:space="preserve">ociates, </w:t>
      </w:r>
      <w:r w:rsidR="008C663B" w:rsidRPr="00B45BFF">
        <w:rPr>
          <w:sz w:val="20"/>
          <w:lang w:val="en-US"/>
        </w:rPr>
        <w:t xml:space="preserve">or </w:t>
      </w:r>
      <w:r w:rsidRPr="00B45BFF">
        <w:rPr>
          <w:sz w:val="20"/>
          <w:lang w:val="en-US"/>
        </w:rPr>
        <w:t>Academia</w:t>
      </w:r>
      <w:r w:rsidR="008C663B" w:rsidRPr="00B45BFF">
        <w:rPr>
          <w:sz w:val="20"/>
          <w:lang w:val="en-US"/>
        </w:rPr>
        <w:t>.</w:t>
      </w:r>
    </w:p>
  </w:footnote>
  <w:footnote w:id="3">
    <w:p w14:paraId="720B29A8" w14:textId="139A3E72" w:rsidR="00D74F7A" w:rsidRPr="00B45BFF" w:rsidRDefault="00D74F7A" w:rsidP="00D74F7A">
      <w:pPr>
        <w:pStyle w:val="FootnoteText"/>
        <w:rPr>
          <w:sz w:val="20"/>
        </w:rPr>
      </w:pPr>
      <w:r w:rsidRPr="00B45BFF">
        <w:rPr>
          <w:rStyle w:val="FootnoteReference"/>
          <w:sz w:val="20"/>
        </w:rPr>
        <w:footnoteRef/>
      </w:r>
      <w:r w:rsidRPr="00B45BFF">
        <w:rPr>
          <w:sz w:val="20"/>
        </w:rPr>
        <w:tab/>
      </w:r>
      <w:r w:rsidR="309CE0B4" w:rsidRPr="00B45BFF">
        <w:rPr>
          <w:sz w:val="20"/>
        </w:rPr>
        <w:t xml:space="preserve">Not present for the meeting: Vice-Chair for the Commonwealth of Independent States (CIS) </w:t>
      </w:r>
      <w:proofErr w:type="spellStart"/>
      <w:r w:rsidR="309CE0B4" w:rsidRPr="00B45BFF">
        <w:rPr>
          <w:sz w:val="20"/>
        </w:rPr>
        <w:t>Orozobek</w:t>
      </w:r>
      <w:proofErr w:type="spellEnd"/>
      <w:r w:rsidR="309CE0B4" w:rsidRPr="00B45BFF">
        <w:rPr>
          <w:sz w:val="20"/>
        </w:rPr>
        <w:t xml:space="preserve"> </w:t>
      </w:r>
      <w:proofErr w:type="spellStart"/>
      <w:r w:rsidR="309CE0B4" w:rsidRPr="00B45BFF">
        <w:rPr>
          <w:sz w:val="20"/>
        </w:rPr>
        <w:t>Zhazybaevick</w:t>
      </w:r>
      <w:proofErr w:type="spellEnd"/>
      <w:r w:rsidR="309CE0B4" w:rsidRPr="00B45BFF">
        <w:rPr>
          <w:sz w:val="20"/>
        </w:rPr>
        <w:t xml:space="preserve"> Kaiykov (Kyrgyz Republic) and Vice-Chair from Arab states Ahmed Abd El-Aziz GAD (Egypt).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172A1E5C" w:rsidR="007E35F3" w:rsidRPr="00A525CC" w:rsidRDefault="007E35F3" w:rsidP="007A2DD2">
    <w:pPr>
      <w:tabs>
        <w:tab w:val="clear" w:pos="794"/>
        <w:tab w:val="clear" w:pos="1191"/>
        <w:tab w:val="clear" w:pos="1588"/>
        <w:tab w:val="clear" w:pos="1985"/>
        <w:tab w:val="center" w:pos="4820"/>
        <w:tab w:val="right" w:pos="9639"/>
      </w:tabs>
      <w:spacing w:before="0"/>
      <w:rPr>
        <w:rStyle w:val="PageNumber"/>
      </w:rPr>
    </w:pPr>
    <w:r w:rsidRPr="00972BCD">
      <w:rPr>
        <w:sz w:val="22"/>
        <w:szCs w:val="22"/>
      </w:rPr>
      <w:tab/>
    </w:r>
    <w:r w:rsidRPr="003329E6">
      <w:rPr>
        <w:sz w:val="22"/>
        <w:szCs w:val="22"/>
        <w:lang w:val="de-CH"/>
      </w:rPr>
      <w:t>TDAG-2</w:t>
    </w:r>
    <w:r w:rsidR="00160B16" w:rsidRPr="003329E6">
      <w:rPr>
        <w:sz w:val="22"/>
        <w:szCs w:val="22"/>
        <w:lang w:val="de-CH"/>
      </w:rPr>
      <w:t>4</w:t>
    </w:r>
    <w:r w:rsidRPr="003329E6">
      <w:rPr>
        <w:sz w:val="22"/>
        <w:szCs w:val="22"/>
        <w:lang w:val="de-CH"/>
      </w:rPr>
      <w:t>/</w:t>
    </w:r>
    <w:r w:rsidR="003329E6" w:rsidRPr="003329E6">
      <w:rPr>
        <w:sz w:val="22"/>
        <w:szCs w:val="22"/>
        <w:lang w:val="de-CH"/>
      </w:rPr>
      <w:t>51</w:t>
    </w:r>
    <w:r w:rsidR="006E2B33">
      <w:rPr>
        <w:sz w:val="22"/>
        <w:szCs w:val="22"/>
        <w:lang w:val="de-CH"/>
      </w:rPr>
      <w:t>(Rev.1)</w:t>
    </w:r>
    <w:r w:rsidRPr="003329E6">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01F" w14:textId="64535178" w:rsidR="003329E6" w:rsidRPr="00A525CC" w:rsidRDefault="003329E6"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3329E6">
      <w:rPr>
        <w:sz w:val="22"/>
        <w:szCs w:val="22"/>
        <w:lang w:val="de-CH"/>
      </w:rPr>
      <w:t>TDAG-24/51</w:t>
    </w:r>
    <w:r w:rsidR="006E2B33">
      <w:rPr>
        <w:sz w:val="22"/>
        <w:szCs w:val="22"/>
        <w:lang w:val="de-CH"/>
      </w:rPr>
      <w:t>(Rev.1)</w:t>
    </w:r>
    <w:r w:rsidRPr="003329E6">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3C2B" w14:textId="0DFAE1CC" w:rsidR="00B45BFF" w:rsidRDefault="00B45BFF" w:rsidP="007A2DD2">
    <w:pPr>
      <w:tabs>
        <w:tab w:val="clear" w:pos="794"/>
        <w:tab w:val="clear" w:pos="1191"/>
        <w:tab w:val="clear" w:pos="1588"/>
        <w:tab w:val="clear" w:pos="1985"/>
        <w:tab w:val="center" w:pos="6946"/>
        <w:tab w:val="right" w:pos="13997"/>
      </w:tabs>
      <w:spacing w:before="0"/>
    </w:pPr>
    <w:r w:rsidRPr="00972BCD">
      <w:rPr>
        <w:sz w:val="22"/>
        <w:szCs w:val="22"/>
      </w:rPr>
      <w:tab/>
    </w:r>
    <w:r w:rsidRPr="003329E6">
      <w:rPr>
        <w:sz w:val="22"/>
        <w:szCs w:val="22"/>
        <w:lang w:val="de-CH"/>
      </w:rPr>
      <w:t>TDAG-24/51</w:t>
    </w:r>
    <w:r w:rsidR="006E2B33">
      <w:rPr>
        <w:sz w:val="22"/>
        <w:szCs w:val="22"/>
        <w:lang w:val="de-CH"/>
      </w:rPr>
      <w:t>(Rev.1)</w:t>
    </w:r>
    <w:r w:rsidRPr="003329E6">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36</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2E56" w14:textId="271CD242" w:rsidR="00B45BFF" w:rsidRPr="00B45BFF" w:rsidRDefault="00B45BFF" w:rsidP="007A2DD2">
    <w:pPr>
      <w:tabs>
        <w:tab w:val="clear" w:pos="794"/>
        <w:tab w:val="clear" w:pos="1191"/>
        <w:tab w:val="clear" w:pos="1588"/>
        <w:tab w:val="clear" w:pos="1985"/>
        <w:tab w:val="center" w:pos="4820"/>
        <w:tab w:val="right" w:pos="9639"/>
      </w:tabs>
      <w:spacing w:before="0"/>
    </w:pPr>
    <w:r w:rsidRPr="00972BCD">
      <w:rPr>
        <w:sz w:val="22"/>
        <w:szCs w:val="22"/>
      </w:rPr>
      <w:tab/>
    </w:r>
    <w:r w:rsidRPr="003329E6">
      <w:rPr>
        <w:sz w:val="22"/>
        <w:szCs w:val="22"/>
        <w:lang w:val="de-CH"/>
      </w:rPr>
      <w:t>TDAG-24/51</w:t>
    </w:r>
    <w:r w:rsidR="006E2B33">
      <w:rPr>
        <w:sz w:val="22"/>
        <w:szCs w:val="22"/>
        <w:lang w:val="de-CH"/>
      </w:rPr>
      <w:t>(Rev.1)</w:t>
    </w:r>
    <w:r w:rsidRPr="003329E6">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36</w:t>
    </w:r>
    <w:r w:rsidRPr="00972BCD">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2J0eFgfKOoXVp2" int2:id="nYytDpX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D52"/>
    <w:multiLevelType w:val="hybridMultilevel"/>
    <w:tmpl w:val="ACB8C0A0"/>
    <w:lvl w:ilvl="0" w:tplc="FFFFFFFF">
      <w:start w:val="1"/>
      <w:numFmt w:val="bullet"/>
      <w:lvlText w:val="-"/>
      <w:lvlJc w:val="left"/>
      <w:pPr>
        <w:ind w:left="720" w:hanging="360"/>
      </w:pPr>
      <w:rPr>
        <w:rFonts w:ascii="Calibri" w:eastAsia="Times New Roman" w:hAnsi="Calibri" w:cs="Times New Roman"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A33B4F"/>
    <w:multiLevelType w:val="hybridMultilevel"/>
    <w:tmpl w:val="7B26F7E2"/>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55C2413"/>
    <w:multiLevelType w:val="hybridMultilevel"/>
    <w:tmpl w:val="EAF8C5E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7300C"/>
    <w:multiLevelType w:val="hybridMultilevel"/>
    <w:tmpl w:val="EF0EB0D6"/>
    <w:lvl w:ilvl="0" w:tplc="D8AA70E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BA2677"/>
    <w:multiLevelType w:val="hybridMultilevel"/>
    <w:tmpl w:val="449A1F8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303D44"/>
    <w:multiLevelType w:val="hybridMultilevel"/>
    <w:tmpl w:val="E42ADB2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C427E5"/>
    <w:multiLevelType w:val="hybridMultilevel"/>
    <w:tmpl w:val="6C74258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601638"/>
    <w:multiLevelType w:val="hybridMultilevel"/>
    <w:tmpl w:val="E32C987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B87E1E"/>
    <w:multiLevelType w:val="hybridMultilevel"/>
    <w:tmpl w:val="07F82DFC"/>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3142934"/>
    <w:multiLevelType w:val="hybridMultilevel"/>
    <w:tmpl w:val="2CAC104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327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623018">
    <w:abstractNumId w:val="8"/>
  </w:num>
  <w:num w:numId="3" w16cid:durableId="729309628">
    <w:abstractNumId w:val="7"/>
  </w:num>
  <w:num w:numId="4" w16cid:durableId="1348632521">
    <w:abstractNumId w:val="5"/>
  </w:num>
  <w:num w:numId="5" w16cid:durableId="682171709">
    <w:abstractNumId w:val="6"/>
  </w:num>
  <w:num w:numId="6" w16cid:durableId="1783837746">
    <w:abstractNumId w:val="3"/>
  </w:num>
  <w:num w:numId="7" w16cid:durableId="692997808">
    <w:abstractNumId w:val="2"/>
  </w:num>
  <w:num w:numId="8" w16cid:durableId="1835607260">
    <w:abstractNumId w:val="0"/>
  </w:num>
  <w:num w:numId="9" w16cid:durableId="370963171">
    <w:abstractNumId w:val="1"/>
  </w:num>
  <w:num w:numId="10" w16cid:durableId="2076010132">
    <w:abstractNumId w:val="10"/>
  </w:num>
  <w:num w:numId="11" w16cid:durableId="4391806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5D8"/>
    <w:rsid w:val="00000A5D"/>
    <w:rsid w:val="0000134A"/>
    <w:rsid w:val="000014B0"/>
    <w:rsid w:val="00001620"/>
    <w:rsid w:val="000019B8"/>
    <w:rsid w:val="00002716"/>
    <w:rsid w:val="00002A17"/>
    <w:rsid w:val="00002B9A"/>
    <w:rsid w:val="00003038"/>
    <w:rsid w:val="00003B9D"/>
    <w:rsid w:val="00003C43"/>
    <w:rsid w:val="0000409D"/>
    <w:rsid w:val="000045C9"/>
    <w:rsid w:val="00004656"/>
    <w:rsid w:val="00004D5A"/>
    <w:rsid w:val="00005791"/>
    <w:rsid w:val="000058B0"/>
    <w:rsid w:val="00005A78"/>
    <w:rsid w:val="00005B94"/>
    <w:rsid w:val="00006294"/>
    <w:rsid w:val="00006BD4"/>
    <w:rsid w:val="00006DB0"/>
    <w:rsid w:val="00007852"/>
    <w:rsid w:val="000078EB"/>
    <w:rsid w:val="00007B64"/>
    <w:rsid w:val="00007BED"/>
    <w:rsid w:val="000100EB"/>
    <w:rsid w:val="00010827"/>
    <w:rsid w:val="00010DB7"/>
    <w:rsid w:val="00010E31"/>
    <w:rsid w:val="00012A33"/>
    <w:rsid w:val="00012A9C"/>
    <w:rsid w:val="00012C2A"/>
    <w:rsid w:val="00013022"/>
    <w:rsid w:val="00015089"/>
    <w:rsid w:val="00015BA7"/>
    <w:rsid w:val="000178BB"/>
    <w:rsid w:val="00017C2F"/>
    <w:rsid w:val="0002033B"/>
    <w:rsid w:val="00020F05"/>
    <w:rsid w:val="0002106B"/>
    <w:rsid w:val="000215B2"/>
    <w:rsid w:val="00021BB0"/>
    <w:rsid w:val="00021CA7"/>
    <w:rsid w:val="0002210C"/>
    <w:rsid w:val="00022329"/>
    <w:rsid w:val="000238A2"/>
    <w:rsid w:val="00024281"/>
    <w:rsid w:val="00024F8A"/>
    <w:rsid w:val="0002507C"/>
    <w:rsid w:val="000250B3"/>
    <w:rsid w:val="0002520B"/>
    <w:rsid w:val="00025306"/>
    <w:rsid w:val="000257B0"/>
    <w:rsid w:val="000262F6"/>
    <w:rsid w:val="00027195"/>
    <w:rsid w:val="00027284"/>
    <w:rsid w:val="0002775F"/>
    <w:rsid w:val="00027D1B"/>
    <w:rsid w:val="00030397"/>
    <w:rsid w:val="00030C9B"/>
    <w:rsid w:val="00030CA2"/>
    <w:rsid w:val="00030D2E"/>
    <w:rsid w:val="00030E6F"/>
    <w:rsid w:val="000311B5"/>
    <w:rsid w:val="00031245"/>
    <w:rsid w:val="0003150A"/>
    <w:rsid w:val="000325C4"/>
    <w:rsid w:val="00032823"/>
    <w:rsid w:val="00032FDB"/>
    <w:rsid w:val="00033945"/>
    <w:rsid w:val="00033A70"/>
    <w:rsid w:val="000340E2"/>
    <w:rsid w:val="000353FD"/>
    <w:rsid w:val="000356BE"/>
    <w:rsid w:val="00035D36"/>
    <w:rsid w:val="0003632C"/>
    <w:rsid w:val="00037A9E"/>
    <w:rsid w:val="00037F91"/>
    <w:rsid w:val="0004003B"/>
    <w:rsid w:val="00040137"/>
    <w:rsid w:val="000406C2"/>
    <w:rsid w:val="000408B7"/>
    <w:rsid w:val="00040C10"/>
    <w:rsid w:val="00041293"/>
    <w:rsid w:val="00041552"/>
    <w:rsid w:val="00041FBC"/>
    <w:rsid w:val="0004200B"/>
    <w:rsid w:val="000424B6"/>
    <w:rsid w:val="00042B9A"/>
    <w:rsid w:val="00043BDF"/>
    <w:rsid w:val="00045053"/>
    <w:rsid w:val="0004525B"/>
    <w:rsid w:val="000457F0"/>
    <w:rsid w:val="000460DF"/>
    <w:rsid w:val="00046126"/>
    <w:rsid w:val="00046CFA"/>
    <w:rsid w:val="00047A17"/>
    <w:rsid w:val="00047BAF"/>
    <w:rsid w:val="000504AF"/>
    <w:rsid w:val="00050611"/>
    <w:rsid w:val="000528B7"/>
    <w:rsid w:val="000534B0"/>
    <w:rsid w:val="000539F1"/>
    <w:rsid w:val="000544BA"/>
    <w:rsid w:val="00054747"/>
    <w:rsid w:val="00054DA7"/>
    <w:rsid w:val="00055A2A"/>
    <w:rsid w:val="00055BF1"/>
    <w:rsid w:val="00057A34"/>
    <w:rsid w:val="00057E8F"/>
    <w:rsid w:val="0006025D"/>
    <w:rsid w:val="00060754"/>
    <w:rsid w:val="00061549"/>
    <w:rsid w:val="000615C1"/>
    <w:rsid w:val="000615C2"/>
    <w:rsid w:val="00061675"/>
    <w:rsid w:val="00063558"/>
    <w:rsid w:val="00063B1F"/>
    <w:rsid w:val="00065099"/>
    <w:rsid w:val="000659C9"/>
    <w:rsid w:val="00065A66"/>
    <w:rsid w:val="00065D85"/>
    <w:rsid w:val="0006691A"/>
    <w:rsid w:val="00070532"/>
    <w:rsid w:val="00070563"/>
    <w:rsid w:val="00070BC6"/>
    <w:rsid w:val="000721B9"/>
    <w:rsid w:val="0007281D"/>
    <w:rsid w:val="00072B0C"/>
    <w:rsid w:val="0007363B"/>
    <w:rsid w:val="00073CBD"/>
    <w:rsid w:val="000743AA"/>
    <w:rsid w:val="000752D8"/>
    <w:rsid w:val="000761A5"/>
    <w:rsid w:val="00077453"/>
    <w:rsid w:val="000774AE"/>
    <w:rsid w:val="00077E0A"/>
    <w:rsid w:val="000800A6"/>
    <w:rsid w:val="000812A0"/>
    <w:rsid w:val="00082232"/>
    <w:rsid w:val="000822F0"/>
    <w:rsid w:val="000823B4"/>
    <w:rsid w:val="000826EA"/>
    <w:rsid w:val="00082E7D"/>
    <w:rsid w:val="0008339B"/>
    <w:rsid w:val="0008395D"/>
    <w:rsid w:val="000839FB"/>
    <w:rsid w:val="00083F65"/>
    <w:rsid w:val="000847DE"/>
    <w:rsid w:val="00084DDA"/>
    <w:rsid w:val="00085DDF"/>
    <w:rsid w:val="00085DEC"/>
    <w:rsid w:val="00085F41"/>
    <w:rsid w:val="000875F6"/>
    <w:rsid w:val="000878D7"/>
    <w:rsid w:val="00087936"/>
    <w:rsid w:val="000900D3"/>
    <w:rsid w:val="0009076F"/>
    <w:rsid w:val="00090806"/>
    <w:rsid w:val="00090967"/>
    <w:rsid w:val="00091278"/>
    <w:rsid w:val="000918F4"/>
    <w:rsid w:val="0009225C"/>
    <w:rsid w:val="00092341"/>
    <w:rsid w:val="00092446"/>
    <w:rsid w:val="00092776"/>
    <w:rsid w:val="00093C21"/>
    <w:rsid w:val="00094F5A"/>
    <w:rsid w:val="00095F15"/>
    <w:rsid w:val="000965E4"/>
    <w:rsid w:val="000966FA"/>
    <w:rsid w:val="00096B94"/>
    <w:rsid w:val="00097791"/>
    <w:rsid w:val="00097A60"/>
    <w:rsid w:val="000A0851"/>
    <w:rsid w:val="000A0CD7"/>
    <w:rsid w:val="000A109B"/>
    <w:rsid w:val="000A137D"/>
    <w:rsid w:val="000A17C4"/>
    <w:rsid w:val="000A1CA3"/>
    <w:rsid w:val="000A20F8"/>
    <w:rsid w:val="000A2AB6"/>
    <w:rsid w:val="000A325E"/>
    <w:rsid w:val="000A36A4"/>
    <w:rsid w:val="000A4B9D"/>
    <w:rsid w:val="000A55F2"/>
    <w:rsid w:val="000A574D"/>
    <w:rsid w:val="000A5990"/>
    <w:rsid w:val="000A6A00"/>
    <w:rsid w:val="000A6D11"/>
    <w:rsid w:val="000A733D"/>
    <w:rsid w:val="000A7961"/>
    <w:rsid w:val="000B0498"/>
    <w:rsid w:val="000B0C63"/>
    <w:rsid w:val="000B15D7"/>
    <w:rsid w:val="000B15F2"/>
    <w:rsid w:val="000B1B87"/>
    <w:rsid w:val="000B2352"/>
    <w:rsid w:val="000B2613"/>
    <w:rsid w:val="000B2C52"/>
    <w:rsid w:val="000B3CA6"/>
    <w:rsid w:val="000B4149"/>
    <w:rsid w:val="000B6005"/>
    <w:rsid w:val="000B6901"/>
    <w:rsid w:val="000B6EE4"/>
    <w:rsid w:val="000B7602"/>
    <w:rsid w:val="000B771A"/>
    <w:rsid w:val="000B7A32"/>
    <w:rsid w:val="000C034D"/>
    <w:rsid w:val="000C0CD5"/>
    <w:rsid w:val="000C165A"/>
    <w:rsid w:val="000C1896"/>
    <w:rsid w:val="000C1DE3"/>
    <w:rsid w:val="000C1FC2"/>
    <w:rsid w:val="000C2480"/>
    <w:rsid w:val="000C3026"/>
    <w:rsid w:val="000C3D86"/>
    <w:rsid w:val="000C3E8C"/>
    <w:rsid w:val="000C57EE"/>
    <w:rsid w:val="000C66A3"/>
    <w:rsid w:val="000C6C08"/>
    <w:rsid w:val="000C6C5D"/>
    <w:rsid w:val="000C6F6B"/>
    <w:rsid w:val="000C70D6"/>
    <w:rsid w:val="000C75A3"/>
    <w:rsid w:val="000C76ED"/>
    <w:rsid w:val="000C7B84"/>
    <w:rsid w:val="000D0FFB"/>
    <w:rsid w:val="000D1B91"/>
    <w:rsid w:val="000D1FD0"/>
    <w:rsid w:val="000D261B"/>
    <w:rsid w:val="000D28FD"/>
    <w:rsid w:val="000D2C15"/>
    <w:rsid w:val="000D2EDF"/>
    <w:rsid w:val="000D46BA"/>
    <w:rsid w:val="000D58A3"/>
    <w:rsid w:val="000D5996"/>
    <w:rsid w:val="000D5A89"/>
    <w:rsid w:val="000D5D02"/>
    <w:rsid w:val="000D70C5"/>
    <w:rsid w:val="000D76DF"/>
    <w:rsid w:val="000D7C0C"/>
    <w:rsid w:val="000D7DFE"/>
    <w:rsid w:val="000E0A0C"/>
    <w:rsid w:val="000E123F"/>
    <w:rsid w:val="000E1240"/>
    <w:rsid w:val="000E19DD"/>
    <w:rsid w:val="000E1B91"/>
    <w:rsid w:val="000E1FBD"/>
    <w:rsid w:val="000E35AD"/>
    <w:rsid w:val="000E3A47"/>
    <w:rsid w:val="000E3AA5"/>
    <w:rsid w:val="000E3ED4"/>
    <w:rsid w:val="000E3F9C"/>
    <w:rsid w:val="000E57BA"/>
    <w:rsid w:val="000E6B85"/>
    <w:rsid w:val="000E7657"/>
    <w:rsid w:val="000E7A5B"/>
    <w:rsid w:val="000E7B56"/>
    <w:rsid w:val="000E7FB4"/>
    <w:rsid w:val="000F01AA"/>
    <w:rsid w:val="000F1091"/>
    <w:rsid w:val="000F1550"/>
    <w:rsid w:val="000F1776"/>
    <w:rsid w:val="000F1B00"/>
    <w:rsid w:val="000F24A4"/>
    <w:rsid w:val="000F251B"/>
    <w:rsid w:val="000F3073"/>
    <w:rsid w:val="000F441E"/>
    <w:rsid w:val="000F462C"/>
    <w:rsid w:val="000F4E25"/>
    <w:rsid w:val="000F56C8"/>
    <w:rsid w:val="000F57F0"/>
    <w:rsid w:val="000F5FE8"/>
    <w:rsid w:val="000F62A6"/>
    <w:rsid w:val="000F6592"/>
    <w:rsid w:val="000F6644"/>
    <w:rsid w:val="000F6C20"/>
    <w:rsid w:val="000F7CF4"/>
    <w:rsid w:val="000F7FD1"/>
    <w:rsid w:val="0010018B"/>
    <w:rsid w:val="00100833"/>
    <w:rsid w:val="0010095F"/>
    <w:rsid w:val="00100DCC"/>
    <w:rsid w:val="001010A3"/>
    <w:rsid w:val="00101357"/>
    <w:rsid w:val="0010176B"/>
    <w:rsid w:val="00101A41"/>
    <w:rsid w:val="00101E8C"/>
    <w:rsid w:val="00102F72"/>
    <w:rsid w:val="00104B73"/>
    <w:rsid w:val="00105244"/>
    <w:rsid w:val="0010579B"/>
    <w:rsid w:val="001067DC"/>
    <w:rsid w:val="001068D9"/>
    <w:rsid w:val="00106A14"/>
    <w:rsid w:val="00106DD1"/>
    <w:rsid w:val="00107E85"/>
    <w:rsid w:val="00112128"/>
    <w:rsid w:val="001133FF"/>
    <w:rsid w:val="00113CBE"/>
    <w:rsid w:val="00113EE8"/>
    <w:rsid w:val="0011413F"/>
    <w:rsid w:val="0011455A"/>
    <w:rsid w:val="00114A65"/>
    <w:rsid w:val="00114EAF"/>
    <w:rsid w:val="00115409"/>
    <w:rsid w:val="00115E10"/>
    <w:rsid w:val="0011675A"/>
    <w:rsid w:val="00120C14"/>
    <w:rsid w:val="00120EE0"/>
    <w:rsid w:val="00121AF2"/>
    <w:rsid w:val="00122F05"/>
    <w:rsid w:val="00122FE1"/>
    <w:rsid w:val="00123190"/>
    <w:rsid w:val="00123578"/>
    <w:rsid w:val="00123F93"/>
    <w:rsid w:val="00124243"/>
    <w:rsid w:val="00125418"/>
    <w:rsid w:val="001259C1"/>
    <w:rsid w:val="00126C1A"/>
    <w:rsid w:val="001275CE"/>
    <w:rsid w:val="001276EE"/>
    <w:rsid w:val="00130801"/>
    <w:rsid w:val="00130E31"/>
    <w:rsid w:val="00130E8A"/>
    <w:rsid w:val="00131022"/>
    <w:rsid w:val="0013188A"/>
    <w:rsid w:val="00131990"/>
    <w:rsid w:val="00131B74"/>
    <w:rsid w:val="00132570"/>
    <w:rsid w:val="0013275B"/>
    <w:rsid w:val="00133061"/>
    <w:rsid w:val="00133375"/>
    <w:rsid w:val="00133E67"/>
    <w:rsid w:val="00134028"/>
    <w:rsid w:val="001354DE"/>
    <w:rsid w:val="00135EF4"/>
    <w:rsid w:val="00136BB5"/>
    <w:rsid w:val="00136D4D"/>
    <w:rsid w:val="00140BCF"/>
    <w:rsid w:val="00140F61"/>
    <w:rsid w:val="00141699"/>
    <w:rsid w:val="001417B3"/>
    <w:rsid w:val="001417D2"/>
    <w:rsid w:val="001426F7"/>
    <w:rsid w:val="0014271C"/>
    <w:rsid w:val="0014369D"/>
    <w:rsid w:val="00143890"/>
    <w:rsid w:val="00143976"/>
    <w:rsid w:val="00144435"/>
    <w:rsid w:val="001454D7"/>
    <w:rsid w:val="0014551F"/>
    <w:rsid w:val="00146988"/>
    <w:rsid w:val="00146B86"/>
    <w:rsid w:val="00146FED"/>
    <w:rsid w:val="00147000"/>
    <w:rsid w:val="00151256"/>
    <w:rsid w:val="00152090"/>
    <w:rsid w:val="00152255"/>
    <w:rsid w:val="00152A9E"/>
    <w:rsid w:val="0015420E"/>
    <w:rsid w:val="001546A7"/>
    <w:rsid w:val="001556D4"/>
    <w:rsid w:val="00156E37"/>
    <w:rsid w:val="00156E3B"/>
    <w:rsid w:val="001570EB"/>
    <w:rsid w:val="0015770B"/>
    <w:rsid w:val="00157741"/>
    <w:rsid w:val="0015775E"/>
    <w:rsid w:val="00157DFD"/>
    <w:rsid w:val="00160B16"/>
    <w:rsid w:val="001613C9"/>
    <w:rsid w:val="00161478"/>
    <w:rsid w:val="001622B9"/>
    <w:rsid w:val="00162356"/>
    <w:rsid w:val="00162978"/>
    <w:rsid w:val="00162AEA"/>
    <w:rsid w:val="00162B16"/>
    <w:rsid w:val="00163091"/>
    <w:rsid w:val="00163FD0"/>
    <w:rsid w:val="00164262"/>
    <w:rsid w:val="00164271"/>
    <w:rsid w:val="0016442D"/>
    <w:rsid w:val="001645CB"/>
    <w:rsid w:val="00164C23"/>
    <w:rsid w:val="00165408"/>
    <w:rsid w:val="00166305"/>
    <w:rsid w:val="00166DDD"/>
    <w:rsid w:val="00166EEB"/>
    <w:rsid w:val="00167545"/>
    <w:rsid w:val="001703C6"/>
    <w:rsid w:val="00171476"/>
    <w:rsid w:val="00171621"/>
    <w:rsid w:val="001723F3"/>
    <w:rsid w:val="00172970"/>
    <w:rsid w:val="00172A46"/>
    <w:rsid w:val="00172C4C"/>
    <w:rsid w:val="00173781"/>
    <w:rsid w:val="00173788"/>
    <w:rsid w:val="001739F0"/>
    <w:rsid w:val="00173E1B"/>
    <w:rsid w:val="00173E24"/>
    <w:rsid w:val="001744AB"/>
    <w:rsid w:val="00175ADF"/>
    <w:rsid w:val="00175CAE"/>
    <w:rsid w:val="001772B9"/>
    <w:rsid w:val="0017797E"/>
    <w:rsid w:val="001779D4"/>
    <w:rsid w:val="001807A7"/>
    <w:rsid w:val="00180DF8"/>
    <w:rsid w:val="00180F49"/>
    <w:rsid w:val="00181231"/>
    <w:rsid w:val="001815A2"/>
    <w:rsid w:val="00181A0B"/>
    <w:rsid w:val="00181A23"/>
    <w:rsid w:val="0018264F"/>
    <w:rsid w:val="001828DB"/>
    <w:rsid w:val="00184069"/>
    <w:rsid w:val="0018499B"/>
    <w:rsid w:val="001850FE"/>
    <w:rsid w:val="00185135"/>
    <w:rsid w:val="00185C55"/>
    <w:rsid w:val="00186733"/>
    <w:rsid w:val="0018709C"/>
    <w:rsid w:val="00187329"/>
    <w:rsid w:val="00187B2F"/>
    <w:rsid w:val="0019037C"/>
    <w:rsid w:val="001904E6"/>
    <w:rsid w:val="001905A9"/>
    <w:rsid w:val="00190630"/>
    <w:rsid w:val="00190644"/>
    <w:rsid w:val="00191273"/>
    <w:rsid w:val="00191373"/>
    <w:rsid w:val="001920D4"/>
    <w:rsid w:val="00192362"/>
    <w:rsid w:val="00192F00"/>
    <w:rsid w:val="00193481"/>
    <w:rsid w:val="00193936"/>
    <w:rsid w:val="00193F42"/>
    <w:rsid w:val="001942A7"/>
    <w:rsid w:val="0019465A"/>
    <w:rsid w:val="00194685"/>
    <w:rsid w:val="00194C97"/>
    <w:rsid w:val="00195794"/>
    <w:rsid w:val="0019587B"/>
    <w:rsid w:val="001962B7"/>
    <w:rsid w:val="00196471"/>
    <w:rsid w:val="001965E8"/>
    <w:rsid w:val="00196DFD"/>
    <w:rsid w:val="001974C1"/>
    <w:rsid w:val="001976BE"/>
    <w:rsid w:val="0019795B"/>
    <w:rsid w:val="001A0135"/>
    <w:rsid w:val="001A07BA"/>
    <w:rsid w:val="001A11BA"/>
    <w:rsid w:val="001A163D"/>
    <w:rsid w:val="001A19FC"/>
    <w:rsid w:val="001A273F"/>
    <w:rsid w:val="001A4243"/>
    <w:rsid w:val="001A4320"/>
    <w:rsid w:val="001A43B2"/>
    <w:rsid w:val="001A441E"/>
    <w:rsid w:val="001A4B08"/>
    <w:rsid w:val="001A5729"/>
    <w:rsid w:val="001A586D"/>
    <w:rsid w:val="001A5FDB"/>
    <w:rsid w:val="001A6733"/>
    <w:rsid w:val="001A6C54"/>
    <w:rsid w:val="001A6FEE"/>
    <w:rsid w:val="001A73DC"/>
    <w:rsid w:val="001A73FA"/>
    <w:rsid w:val="001B0CCB"/>
    <w:rsid w:val="001B23D5"/>
    <w:rsid w:val="001B2E0E"/>
    <w:rsid w:val="001B357F"/>
    <w:rsid w:val="001B36BC"/>
    <w:rsid w:val="001B37D4"/>
    <w:rsid w:val="001B4006"/>
    <w:rsid w:val="001B430E"/>
    <w:rsid w:val="001B4A20"/>
    <w:rsid w:val="001B6A08"/>
    <w:rsid w:val="001B6A9C"/>
    <w:rsid w:val="001B6C66"/>
    <w:rsid w:val="001B7478"/>
    <w:rsid w:val="001B7685"/>
    <w:rsid w:val="001C04D0"/>
    <w:rsid w:val="001C059E"/>
    <w:rsid w:val="001C22CF"/>
    <w:rsid w:val="001C28BB"/>
    <w:rsid w:val="001C2F2F"/>
    <w:rsid w:val="001C3444"/>
    <w:rsid w:val="001C3461"/>
    <w:rsid w:val="001C36F1"/>
    <w:rsid w:val="001C3702"/>
    <w:rsid w:val="001C4353"/>
    <w:rsid w:val="001C4656"/>
    <w:rsid w:val="001C46BC"/>
    <w:rsid w:val="001C4958"/>
    <w:rsid w:val="001C52F3"/>
    <w:rsid w:val="001C5930"/>
    <w:rsid w:val="001C5AA9"/>
    <w:rsid w:val="001C6E4A"/>
    <w:rsid w:val="001C6E90"/>
    <w:rsid w:val="001C6F5F"/>
    <w:rsid w:val="001C7BB4"/>
    <w:rsid w:val="001D0703"/>
    <w:rsid w:val="001D0A3F"/>
    <w:rsid w:val="001D1649"/>
    <w:rsid w:val="001D1E06"/>
    <w:rsid w:val="001D2FDB"/>
    <w:rsid w:val="001D31D7"/>
    <w:rsid w:val="001D394B"/>
    <w:rsid w:val="001D3FC1"/>
    <w:rsid w:val="001D4743"/>
    <w:rsid w:val="001D527C"/>
    <w:rsid w:val="001D5607"/>
    <w:rsid w:val="001D5E92"/>
    <w:rsid w:val="001D661F"/>
    <w:rsid w:val="001D726C"/>
    <w:rsid w:val="001D7482"/>
    <w:rsid w:val="001D74BB"/>
    <w:rsid w:val="001D7BB4"/>
    <w:rsid w:val="001E08D4"/>
    <w:rsid w:val="001E1728"/>
    <w:rsid w:val="001E173A"/>
    <w:rsid w:val="001E1D25"/>
    <w:rsid w:val="001E2677"/>
    <w:rsid w:val="001E3648"/>
    <w:rsid w:val="001E3E2A"/>
    <w:rsid w:val="001E469D"/>
    <w:rsid w:val="001E4950"/>
    <w:rsid w:val="001E5044"/>
    <w:rsid w:val="001E5A88"/>
    <w:rsid w:val="001E6575"/>
    <w:rsid w:val="001E7543"/>
    <w:rsid w:val="001E7916"/>
    <w:rsid w:val="001E7A58"/>
    <w:rsid w:val="001F02B0"/>
    <w:rsid w:val="001F0943"/>
    <w:rsid w:val="001F17DE"/>
    <w:rsid w:val="001F1F3E"/>
    <w:rsid w:val="001F23E6"/>
    <w:rsid w:val="001F37A7"/>
    <w:rsid w:val="001F3882"/>
    <w:rsid w:val="001F3B3D"/>
    <w:rsid w:val="001F3E43"/>
    <w:rsid w:val="001F4238"/>
    <w:rsid w:val="001F4963"/>
    <w:rsid w:val="001F4D76"/>
    <w:rsid w:val="001F4DD9"/>
    <w:rsid w:val="001F5A99"/>
    <w:rsid w:val="001F6C57"/>
    <w:rsid w:val="001F7839"/>
    <w:rsid w:val="00200A38"/>
    <w:rsid w:val="00200A46"/>
    <w:rsid w:val="00200BC9"/>
    <w:rsid w:val="002020CE"/>
    <w:rsid w:val="002025E1"/>
    <w:rsid w:val="00202760"/>
    <w:rsid w:val="00202B17"/>
    <w:rsid w:val="00203540"/>
    <w:rsid w:val="0020412F"/>
    <w:rsid w:val="002044A1"/>
    <w:rsid w:val="00204E2C"/>
    <w:rsid w:val="00205E6C"/>
    <w:rsid w:val="0020692B"/>
    <w:rsid w:val="00207286"/>
    <w:rsid w:val="0020783C"/>
    <w:rsid w:val="00207B5F"/>
    <w:rsid w:val="00210410"/>
    <w:rsid w:val="00210469"/>
    <w:rsid w:val="00211747"/>
    <w:rsid w:val="00211B6F"/>
    <w:rsid w:val="00212004"/>
    <w:rsid w:val="00212362"/>
    <w:rsid w:val="00212755"/>
    <w:rsid w:val="00213CBB"/>
    <w:rsid w:val="002144C3"/>
    <w:rsid w:val="00214815"/>
    <w:rsid w:val="00214B86"/>
    <w:rsid w:val="0021518A"/>
    <w:rsid w:val="00215A08"/>
    <w:rsid w:val="00215AF0"/>
    <w:rsid w:val="0021620A"/>
    <w:rsid w:val="00216E62"/>
    <w:rsid w:val="00217063"/>
    <w:rsid w:val="00217475"/>
    <w:rsid w:val="00217828"/>
    <w:rsid w:val="00217CC3"/>
    <w:rsid w:val="00220AB6"/>
    <w:rsid w:val="0022120F"/>
    <w:rsid w:val="002217F4"/>
    <w:rsid w:val="00221A32"/>
    <w:rsid w:val="00221FF9"/>
    <w:rsid w:val="0022224B"/>
    <w:rsid w:val="00222957"/>
    <w:rsid w:val="00222AB4"/>
    <w:rsid w:val="00223049"/>
    <w:rsid w:val="002233A1"/>
    <w:rsid w:val="0022392B"/>
    <w:rsid w:val="00223C52"/>
    <w:rsid w:val="00223D57"/>
    <w:rsid w:val="00223E7F"/>
    <w:rsid w:val="002263A9"/>
    <w:rsid w:val="002268B5"/>
    <w:rsid w:val="00226E47"/>
    <w:rsid w:val="0022754A"/>
    <w:rsid w:val="002278C8"/>
    <w:rsid w:val="00227DED"/>
    <w:rsid w:val="0023066C"/>
    <w:rsid w:val="00230C8D"/>
    <w:rsid w:val="0023122D"/>
    <w:rsid w:val="00231A56"/>
    <w:rsid w:val="00231B4B"/>
    <w:rsid w:val="00232A52"/>
    <w:rsid w:val="00232B9F"/>
    <w:rsid w:val="002332C5"/>
    <w:rsid w:val="00233D16"/>
    <w:rsid w:val="00235910"/>
    <w:rsid w:val="0023642D"/>
    <w:rsid w:val="00236560"/>
    <w:rsid w:val="0023662E"/>
    <w:rsid w:val="00236D7C"/>
    <w:rsid w:val="00241B6B"/>
    <w:rsid w:val="0024263E"/>
    <w:rsid w:val="00242C5C"/>
    <w:rsid w:val="00242F6A"/>
    <w:rsid w:val="00243253"/>
    <w:rsid w:val="00244218"/>
    <w:rsid w:val="002445E3"/>
    <w:rsid w:val="002447F4"/>
    <w:rsid w:val="00244B3F"/>
    <w:rsid w:val="00244D8D"/>
    <w:rsid w:val="002452DD"/>
    <w:rsid w:val="002453C2"/>
    <w:rsid w:val="00245ADF"/>
    <w:rsid w:val="00245D0F"/>
    <w:rsid w:val="00246BC9"/>
    <w:rsid w:val="0024758A"/>
    <w:rsid w:val="0024778D"/>
    <w:rsid w:val="002477AE"/>
    <w:rsid w:val="00247EA8"/>
    <w:rsid w:val="00247F56"/>
    <w:rsid w:val="00247FB1"/>
    <w:rsid w:val="002512A1"/>
    <w:rsid w:val="0025169D"/>
    <w:rsid w:val="00251F21"/>
    <w:rsid w:val="002521EF"/>
    <w:rsid w:val="002528A4"/>
    <w:rsid w:val="00253094"/>
    <w:rsid w:val="002548C3"/>
    <w:rsid w:val="002558E6"/>
    <w:rsid w:val="00255EA6"/>
    <w:rsid w:val="00256A3D"/>
    <w:rsid w:val="00256B9E"/>
    <w:rsid w:val="00256C77"/>
    <w:rsid w:val="00257ACD"/>
    <w:rsid w:val="00257CEC"/>
    <w:rsid w:val="00257E2E"/>
    <w:rsid w:val="00260CD8"/>
    <w:rsid w:val="00261173"/>
    <w:rsid w:val="002613CF"/>
    <w:rsid w:val="002620F2"/>
    <w:rsid w:val="002621AE"/>
    <w:rsid w:val="00262908"/>
    <w:rsid w:val="00262ED4"/>
    <w:rsid w:val="0026316B"/>
    <w:rsid w:val="00263DAE"/>
    <w:rsid w:val="002650F4"/>
    <w:rsid w:val="002652E3"/>
    <w:rsid w:val="002655BA"/>
    <w:rsid w:val="0026561D"/>
    <w:rsid w:val="00265A2E"/>
    <w:rsid w:val="00266059"/>
    <w:rsid w:val="0026743E"/>
    <w:rsid w:val="00267AC4"/>
    <w:rsid w:val="00270E37"/>
    <w:rsid w:val="002715FD"/>
    <w:rsid w:val="00271E51"/>
    <w:rsid w:val="00271E8F"/>
    <w:rsid w:val="00272B69"/>
    <w:rsid w:val="00273345"/>
    <w:rsid w:val="00273A97"/>
    <w:rsid w:val="00273DB9"/>
    <w:rsid w:val="002746AC"/>
    <w:rsid w:val="00274AA5"/>
    <w:rsid w:val="002769D8"/>
    <w:rsid w:val="00276B2F"/>
    <w:rsid w:val="00276CE5"/>
    <w:rsid w:val="002770B1"/>
    <w:rsid w:val="002771B9"/>
    <w:rsid w:val="00277BFE"/>
    <w:rsid w:val="00277DD9"/>
    <w:rsid w:val="00277EC3"/>
    <w:rsid w:val="00280685"/>
    <w:rsid w:val="00280D12"/>
    <w:rsid w:val="00281358"/>
    <w:rsid w:val="00281842"/>
    <w:rsid w:val="00283515"/>
    <w:rsid w:val="0028408A"/>
    <w:rsid w:val="002854AF"/>
    <w:rsid w:val="00285B33"/>
    <w:rsid w:val="00285FAC"/>
    <w:rsid w:val="00287A3C"/>
    <w:rsid w:val="00287C8B"/>
    <w:rsid w:val="0029031B"/>
    <w:rsid w:val="0029041D"/>
    <w:rsid w:val="00290BE5"/>
    <w:rsid w:val="00290F8E"/>
    <w:rsid w:val="00291660"/>
    <w:rsid w:val="00291E2C"/>
    <w:rsid w:val="00292440"/>
    <w:rsid w:val="00293B30"/>
    <w:rsid w:val="00293F62"/>
    <w:rsid w:val="0029480C"/>
    <w:rsid w:val="0029598E"/>
    <w:rsid w:val="00295AEB"/>
    <w:rsid w:val="00295DAD"/>
    <w:rsid w:val="00296060"/>
    <w:rsid w:val="0029630C"/>
    <w:rsid w:val="00296AE3"/>
    <w:rsid w:val="00297438"/>
    <w:rsid w:val="0029774D"/>
    <w:rsid w:val="00297DB0"/>
    <w:rsid w:val="002A10FE"/>
    <w:rsid w:val="002A2EE8"/>
    <w:rsid w:val="002A2FC6"/>
    <w:rsid w:val="002A3ABF"/>
    <w:rsid w:val="002A4474"/>
    <w:rsid w:val="002A4EE1"/>
    <w:rsid w:val="002A54C8"/>
    <w:rsid w:val="002A657A"/>
    <w:rsid w:val="002A6DFB"/>
    <w:rsid w:val="002A6F59"/>
    <w:rsid w:val="002A73FD"/>
    <w:rsid w:val="002A77DC"/>
    <w:rsid w:val="002B0182"/>
    <w:rsid w:val="002B04B6"/>
    <w:rsid w:val="002B057E"/>
    <w:rsid w:val="002B0A8D"/>
    <w:rsid w:val="002B1223"/>
    <w:rsid w:val="002B1D5E"/>
    <w:rsid w:val="002B2502"/>
    <w:rsid w:val="002B34E7"/>
    <w:rsid w:val="002B37A4"/>
    <w:rsid w:val="002B47EB"/>
    <w:rsid w:val="002B53A2"/>
    <w:rsid w:val="002B5880"/>
    <w:rsid w:val="002B6394"/>
    <w:rsid w:val="002B699B"/>
    <w:rsid w:val="002C0690"/>
    <w:rsid w:val="002C111B"/>
    <w:rsid w:val="002C1A52"/>
    <w:rsid w:val="002C1EC7"/>
    <w:rsid w:val="002C1FA2"/>
    <w:rsid w:val="002C3015"/>
    <w:rsid w:val="002C3173"/>
    <w:rsid w:val="002C31F9"/>
    <w:rsid w:val="002C3440"/>
    <w:rsid w:val="002C3C98"/>
    <w:rsid w:val="002C4342"/>
    <w:rsid w:val="002C43AE"/>
    <w:rsid w:val="002C4805"/>
    <w:rsid w:val="002C50D1"/>
    <w:rsid w:val="002C58E8"/>
    <w:rsid w:val="002C61DE"/>
    <w:rsid w:val="002C64DF"/>
    <w:rsid w:val="002C685F"/>
    <w:rsid w:val="002C78AD"/>
    <w:rsid w:val="002C7C31"/>
    <w:rsid w:val="002C7EA3"/>
    <w:rsid w:val="002D1228"/>
    <w:rsid w:val="002D1828"/>
    <w:rsid w:val="002D19C5"/>
    <w:rsid w:val="002D1CBA"/>
    <w:rsid w:val="002D1DD3"/>
    <w:rsid w:val="002D20AE"/>
    <w:rsid w:val="002D3030"/>
    <w:rsid w:val="002D40C9"/>
    <w:rsid w:val="002D4656"/>
    <w:rsid w:val="002D474A"/>
    <w:rsid w:val="002D4D1B"/>
    <w:rsid w:val="002D5336"/>
    <w:rsid w:val="002D53EC"/>
    <w:rsid w:val="002D5C21"/>
    <w:rsid w:val="002D6B80"/>
    <w:rsid w:val="002D6C61"/>
    <w:rsid w:val="002D6EAB"/>
    <w:rsid w:val="002D6FCB"/>
    <w:rsid w:val="002D7196"/>
    <w:rsid w:val="002D723B"/>
    <w:rsid w:val="002D7503"/>
    <w:rsid w:val="002E06FD"/>
    <w:rsid w:val="002E1D7F"/>
    <w:rsid w:val="002E2104"/>
    <w:rsid w:val="002E2CB5"/>
    <w:rsid w:val="002E2D5D"/>
    <w:rsid w:val="002E2DAC"/>
    <w:rsid w:val="002E3A65"/>
    <w:rsid w:val="002E4024"/>
    <w:rsid w:val="002E4934"/>
    <w:rsid w:val="002E4D4A"/>
    <w:rsid w:val="002E5045"/>
    <w:rsid w:val="002E50DC"/>
    <w:rsid w:val="002E5432"/>
    <w:rsid w:val="002E67E5"/>
    <w:rsid w:val="002E6963"/>
    <w:rsid w:val="002E6A08"/>
    <w:rsid w:val="002E6F8F"/>
    <w:rsid w:val="002E6FB2"/>
    <w:rsid w:val="002E73F0"/>
    <w:rsid w:val="002E7742"/>
    <w:rsid w:val="002E78EE"/>
    <w:rsid w:val="002E7B2C"/>
    <w:rsid w:val="002E7E9E"/>
    <w:rsid w:val="002E7EB5"/>
    <w:rsid w:val="002F0178"/>
    <w:rsid w:val="002F0233"/>
    <w:rsid w:val="002F05D8"/>
    <w:rsid w:val="002F0630"/>
    <w:rsid w:val="002F0963"/>
    <w:rsid w:val="002F13AF"/>
    <w:rsid w:val="002F1F1F"/>
    <w:rsid w:val="002F2DE0"/>
    <w:rsid w:val="002F3590"/>
    <w:rsid w:val="002F4010"/>
    <w:rsid w:val="002F4A13"/>
    <w:rsid w:val="002F51D3"/>
    <w:rsid w:val="002F5283"/>
    <w:rsid w:val="002F55BD"/>
    <w:rsid w:val="002F5E25"/>
    <w:rsid w:val="002F5F60"/>
    <w:rsid w:val="002F606A"/>
    <w:rsid w:val="002F647A"/>
    <w:rsid w:val="002F6829"/>
    <w:rsid w:val="002F7707"/>
    <w:rsid w:val="002F7864"/>
    <w:rsid w:val="00300BE6"/>
    <w:rsid w:val="00300CBC"/>
    <w:rsid w:val="00301C7D"/>
    <w:rsid w:val="00301F57"/>
    <w:rsid w:val="003023CA"/>
    <w:rsid w:val="00302CFE"/>
    <w:rsid w:val="0030353C"/>
    <w:rsid w:val="00303765"/>
    <w:rsid w:val="00303B92"/>
    <w:rsid w:val="00303BA0"/>
    <w:rsid w:val="00305C46"/>
    <w:rsid w:val="003064FA"/>
    <w:rsid w:val="0030673E"/>
    <w:rsid w:val="00307769"/>
    <w:rsid w:val="0031058F"/>
    <w:rsid w:val="00310ECF"/>
    <w:rsid w:val="003110FA"/>
    <w:rsid w:val="00311E25"/>
    <w:rsid w:val="00312527"/>
    <w:rsid w:val="003125C3"/>
    <w:rsid w:val="00312AAD"/>
    <w:rsid w:val="00312AE6"/>
    <w:rsid w:val="00314275"/>
    <w:rsid w:val="0031433C"/>
    <w:rsid w:val="00314462"/>
    <w:rsid w:val="00314BCC"/>
    <w:rsid w:val="0031564B"/>
    <w:rsid w:val="0031613E"/>
    <w:rsid w:val="00316208"/>
    <w:rsid w:val="0031742B"/>
    <w:rsid w:val="003174F5"/>
    <w:rsid w:val="003179F7"/>
    <w:rsid w:val="00317D1A"/>
    <w:rsid w:val="00317DD5"/>
    <w:rsid w:val="0032046A"/>
    <w:rsid w:val="003211FF"/>
    <w:rsid w:val="00322E59"/>
    <w:rsid w:val="003242AB"/>
    <w:rsid w:val="00324A12"/>
    <w:rsid w:val="003260B8"/>
    <w:rsid w:val="003262BB"/>
    <w:rsid w:val="00326375"/>
    <w:rsid w:val="00327247"/>
    <w:rsid w:val="00327A9D"/>
    <w:rsid w:val="00327D9F"/>
    <w:rsid w:val="00327E30"/>
    <w:rsid w:val="0033130E"/>
    <w:rsid w:val="003315CD"/>
    <w:rsid w:val="00331F1C"/>
    <w:rsid w:val="00331F85"/>
    <w:rsid w:val="003321C9"/>
    <w:rsid w:val="0033269C"/>
    <w:rsid w:val="003329E6"/>
    <w:rsid w:val="00332AFC"/>
    <w:rsid w:val="00332BD2"/>
    <w:rsid w:val="00332C6A"/>
    <w:rsid w:val="00333CFE"/>
    <w:rsid w:val="0033413C"/>
    <w:rsid w:val="00335DFB"/>
    <w:rsid w:val="003362DF"/>
    <w:rsid w:val="00336763"/>
    <w:rsid w:val="003368F5"/>
    <w:rsid w:val="00336959"/>
    <w:rsid w:val="00336BBE"/>
    <w:rsid w:val="00337456"/>
    <w:rsid w:val="00337D77"/>
    <w:rsid w:val="00340059"/>
    <w:rsid w:val="003400CA"/>
    <w:rsid w:val="00340321"/>
    <w:rsid w:val="003403AC"/>
    <w:rsid w:val="003403B3"/>
    <w:rsid w:val="00340B39"/>
    <w:rsid w:val="0034147C"/>
    <w:rsid w:val="003415D1"/>
    <w:rsid w:val="003425F4"/>
    <w:rsid w:val="00342762"/>
    <w:rsid w:val="00342B1F"/>
    <w:rsid w:val="00342CD2"/>
    <w:rsid w:val="00344836"/>
    <w:rsid w:val="003449F4"/>
    <w:rsid w:val="00344BD6"/>
    <w:rsid w:val="00345568"/>
    <w:rsid w:val="003456B4"/>
    <w:rsid w:val="00346CA0"/>
    <w:rsid w:val="00347539"/>
    <w:rsid w:val="00347771"/>
    <w:rsid w:val="003501A8"/>
    <w:rsid w:val="00350C47"/>
    <w:rsid w:val="00351018"/>
    <w:rsid w:val="003510BA"/>
    <w:rsid w:val="0035188A"/>
    <w:rsid w:val="00351AA3"/>
    <w:rsid w:val="00351B2D"/>
    <w:rsid w:val="00351C79"/>
    <w:rsid w:val="00351E93"/>
    <w:rsid w:val="00352335"/>
    <w:rsid w:val="00352810"/>
    <w:rsid w:val="00353022"/>
    <w:rsid w:val="0035378D"/>
    <w:rsid w:val="00353B0B"/>
    <w:rsid w:val="0035516C"/>
    <w:rsid w:val="00355A4C"/>
    <w:rsid w:val="00355F91"/>
    <w:rsid w:val="0035623C"/>
    <w:rsid w:val="003567E0"/>
    <w:rsid w:val="00357AAE"/>
    <w:rsid w:val="003604FB"/>
    <w:rsid w:val="00360891"/>
    <w:rsid w:val="003608AC"/>
    <w:rsid w:val="00360919"/>
    <w:rsid w:val="00360B73"/>
    <w:rsid w:val="00360FD8"/>
    <w:rsid w:val="00361039"/>
    <w:rsid w:val="00363AC0"/>
    <w:rsid w:val="00363B86"/>
    <w:rsid w:val="003641A3"/>
    <w:rsid w:val="003659BD"/>
    <w:rsid w:val="00365F03"/>
    <w:rsid w:val="003662F6"/>
    <w:rsid w:val="00366991"/>
    <w:rsid w:val="00366B2B"/>
    <w:rsid w:val="00370222"/>
    <w:rsid w:val="00370515"/>
    <w:rsid w:val="00370D3B"/>
    <w:rsid w:val="0037259B"/>
    <w:rsid w:val="003728DB"/>
    <w:rsid w:val="00375D8A"/>
    <w:rsid w:val="003767A8"/>
    <w:rsid w:val="00376C7C"/>
    <w:rsid w:val="0037793C"/>
    <w:rsid w:val="00380B71"/>
    <w:rsid w:val="00380D66"/>
    <w:rsid w:val="003814D3"/>
    <w:rsid w:val="00381526"/>
    <w:rsid w:val="00382184"/>
    <w:rsid w:val="003824E6"/>
    <w:rsid w:val="003825F4"/>
    <w:rsid w:val="00383211"/>
    <w:rsid w:val="0038365A"/>
    <w:rsid w:val="00383AF6"/>
    <w:rsid w:val="00384E9E"/>
    <w:rsid w:val="0038532E"/>
    <w:rsid w:val="00385351"/>
    <w:rsid w:val="00385866"/>
    <w:rsid w:val="00385913"/>
    <w:rsid w:val="0038637E"/>
    <w:rsid w:val="00386A89"/>
    <w:rsid w:val="00387014"/>
    <w:rsid w:val="0038703B"/>
    <w:rsid w:val="0038776F"/>
    <w:rsid w:val="00387998"/>
    <w:rsid w:val="00390425"/>
    <w:rsid w:val="00390A16"/>
    <w:rsid w:val="00390AEB"/>
    <w:rsid w:val="00390C94"/>
    <w:rsid w:val="00391154"/>
    <w:rsid w:val="00391565"/>
    <w:rsid w:val="0039172B"/>
    <w:rsid w:val="0039235F"/>
    <w:rsid w:val="003927DC"/>
    <w:rsid w:val="00393210"/>
    <w:rsid w:val="003947F4"/>
    <w:rsid w:val="00394AF5"/>
    <w:rsid w:val="00395465"/>
    <w:rsid w:val="003956B5"/>
    <w:rsid w:val="0039588B"/>
    <w:rsid w:val="0039648E"/>
    <w:rsid w:val="00396A19"/>
    <w:rsid w:val="003979DE"/>
    <w:rsid w:val="003A00D8"/>
    <w:rsid w:val="003A21FF"/>
    <w:rsid w:val="003A382E"/>
    <w:rsid w:val="003A5888"/>
    <w:rsid w:val="003A5AFE"/>
    <w:rsid w:val="003A5D5F"/>
    <w:rsid w:val="003A67AC"/>
    <w:rsid w:val="003A78A9"/>
    <w:rsid w:val="003A7A0D"/>
    <w:rsid w:val="003A7FFE"/>
    <w:rsid w:val="003B09E9"/>
    <w:rsid w:val="003B0A63"/>
    <w:rsid w:val="003B15A5"/>
    <w:rsid w:val="003B18AA"/>
    <w:rsid w:val="003B18DF"/>
    <w:rsid w:val="003B283A"/>
    <w:rsid w:val="003B29FF"/>
    <w:rsid w:val="003B2C6D"/>
    <w:rsid w:val="003B3060"/>
    <w:rsid w:val="003B39D8"/>
    <w:rsid w:val="003B3B5C"/>
    <w:rsid w:val="003B3C26"/>
    <w:rsid w:val="003B3C63"/>
    <w:rsid w:val="003B4594"/>
    <w:rsid w:val="003B4B05"/>
    <w:rsid w:val="003B50E1"/>
    <w:rsid w:val="003B5CEE"/>
    <w:rsid w:val="003B64B8"/>
    <w:rsid w:val="003B6941"/>
    <w:rsid w:val="003B6FD2"/>
    <w:rsid w:val="003B7267"/>
    <w:rsid w:val="003B7506"/>
    <w:rsid w:val="003C1746"/>
    <w:rsid w:val="003C178B"/>
    <w:rsid w:val="003C1F9D"/>
    <w:rsid w:val="003C2066"/>
    <w:rsid w:val="003C2AA9"/>
    <w:rsid w:val="003C352C"/>
    <w:rsid w:val="003C3A40"/>
    <w:rsid w:val="003C3E07"/>
    <w:rsid w:val="003C3E14"/>
    <w:rsid w:val="003C4914"/>
    <w:rsid w:val="003C54AF"/>
    <w:rsid w:val="003C5645"/>
    <w:rsid w:val="003C568A"/>
    <w:rsid w:val="003C58BF"/>
    <w:rsid w:val="003C63D2"/>
    <w:rsid w:val="003C6857"/>
    <w:rsid w:val="003C75C9"/>
    <w:rsid w:val="003C77FD"/>
    <w:rsid w:val="003C7A5A"/>
    <w:rsid w:val="003C7DCE"/>
    <w:rsid w:val="003D001D"/>
    <w:rsid w:val="003D0CB1"/>
    <w:rsid w:val="003D1B14"/>
    <w:rsid w:val="003D1C2F"/>
    <w:rsid w:val="003D1D19"/>
    <w:rsid w:val="003D1DF4"/>
    <w:rsid w:val="003D207F"/>
    <w:rsid w:val="003D29D2"/>
    <w:rsid w:val="003D2D23"/>
    <w:rsid w:val="003D38D1"/>
    <w:rsid w:val="003D3906"/>
    <w:rsid w:val="003D451D"/>
    <w:rsid w:val="003D481C"/>
    <w:rsid w:val="003D549B"/>
    <w:rsid w:val="003D5752"/>
    <w:rsid w:val="003D5842"/>
    <w:rsid w:val="003D7B01"/>
    <w:rsid w:val="003E0220"/>
    <w:rsid w:val="003E12E8"/>
    <w:rsid w:val="003E1483"/>
    <w:rsid w:val="003E1672"/>
    <w:rsid w:val="003E1E17"/>
    <w:rsid w:val="003E229F"/>
    <w:rsid w:val="003E26A4"/>
    <w:rsid w:val="003E2C5F"/>
    <w:rsid w:val="003E2C95"/>
    <w:rsid w:val="003E33C4"/>
    <w:rsid w:val="003E495D"/>
    <w:rsid w:val="003E4BDB"/>
    <w:rsid w:val="003E4E81"/>
    <w:rsid w:val="003E5B6A"/>
    <w:rsid w:val="003E74F3"/>
    <w:rsid w:val="003F093D"/>
    <w:rsid w:val="003F099A"/>
    <w:rsid w:val="003F11E6"/>
    <w:rsid w:val="003F1F57"/>
    <w:rsid w:val="003F23E5"/>
    <w:rsid w:val="003F2AC9"/>
    <w:rsid w:val="003F2DD8"/>
    <w:rsid w:val="003F2EE1"/>
    <w:rsid w:val="003F3123"/>
    <w:rsid w:val="003F33B1"/>
    <w:rsid w:val="003F35DC"/>
    <w:rsid w:val="003F373D"/>
    <w:rsid w:val="003F3ACE"/>
    <w:rsid w:val="003F3C7A"/>
    <w:rsid w:val="003F3F2D"/>
    <w:rsid w:val="003F4359"/>
    <w:rsid w:val="003F48E6"/>
    <w:rsid w:val="003F4CC6"/>
    <w:rsid w:val="003F50B2"/>
    <w:rsid w:val="003F6E2F"/>
    <w:rsid w:val="003F753B"/>
    <w:rsid w:val="003F75D6"/>
    <w:rsid w:val="003F7ED8"/>
    <w:rsid w:val="004005D6"/>
    <w:rsid w:val="00400CCF"/>
    <w:rsid w:val="004012CD"/>
    <w:rsid w:val="00401A67"/>
    <w:rsid w:val="00401AAA"/>
    <w:rsid w:val="00401BFF"/>
    <w:rsid w:val="00401C84"/>
    <w:rsid w:val="00403390"/>
    <w:rsid w:val="00403652"/>
    <w:rsid w:val="00403867"/>
    <w:rsid w:val="00404424"/>
    <w:rsid w:val="00404A57"/>
    <w:rsid w:val="00404C43"/>
    <w:rsid w:val="00405BF7"/>
    <w:rsid w:val="00405DAB"/>
    <w:rsid w:val="004070F7"/>
    <w:rsid w:val="00407B1E"/>
    <w:rsid w:val="00407E0D"/>
    <w:rsid w:val="004111C1"/>
    <w:rsid w:val="00411216"/>
    <w:rsid w:val="0041139C"/>
    <w:rsid w:val="0041156B"/>
    <w:rsid w:val="0041164C"/>
    <w:rsid w:val="004117FC"/>
    <w:rsid w:val="004122C5"/>
    <w:rsid w:val="004130C0"/>
    <w:rsid w:val="00413524"/>
    <w:rsid w:val="004135B0"/>
    <w:rsid w:val="00413612"/>
    <w:rsid w:val="00413B78"/>
    <w:rsid w:val="00413E56"/>
    <w:rsid w:val="0041421F"/>
    <w:rsid w:val="004146FD"/>
    <w:rsid w:val="00415989"/>
    <w:rsid w:val="00415F1B"/>
    <w:rsid w:val="004160DC"/>
    <w:rsid w:val="00416BBE"/>
    <w:rsid w:val="00416DDE"/>
    <w:rsid w:val="00417266"/>
    <w:rsid w:val="004179DD"/>
    <w:rsid w:val="00417C66"/>
    <w:rsid w:val="00421787"/>
    <w:rsid w:val="004227D7"/>
    <w:rsid w:val="00424283"/>
    <w:rsid w:val="0042484A"/>
    <w:rsid w:val="004248EF"/>
    <w:rsid w:val="00424A8F"/>
    <w:rsid w:val="004251F4"/>
    <w:rsid w:val="00425FB1"/>
    <w:rsid w:val="004260F2"/>
    <w:rsid w:val="004265DA"/>
    <w:rsid w:val="00426DEB"/>
    <w:rsid w:val="00426E92"/>
    <w:rsid w:val="0042751B"/>
    <w:rsid w:val="00430050"/>
    <w:rsid w:val="00430139"/>
    <w:rsid w:val="004306AA"/>
    <w:rsid w:val="00430F93"/>
    <w:rsid w:val="00430F94"/>
    <w:rsid w:val="00431053"/>
    <w:rsid w:val="00432A04"/>
    <w:rsid w:val="00432D7F"/>
    <w:rsid w:val="00433216"/>
    <w:rsid w:val="00433DA8"/>
    <w:rsid w:val="0043444F"/>
    <w:rsid w:val="0043468F"/>
    <w:rsid w:val="004358DB"/>
    <w:rsid w:val="004359A9"/>
    <w:rsid w:val="00435A56"/>
    <w:rsid w:val="00435BE5"/>
    <w:rsid w:val="00436F07"/>
    <w:rsid w:val="00437087"/>
    <w:rsid w:val="0043784F"/>
    <w:rsid w:val="004402ED"/>
    <w:rsid w:val="00440925"/>
    <w:rsid w:val="00440CBF"/>
    <w:rsid w:val="00441D1A"/>
    <w:rsid w:val="004421AA"/>
    <w:rsid w:val="004421F6"/>
    <w:rsid w:val="00442744"/>
    <w:rsid w:val="004427DD"/>
    <w:rsid w:val="0044411E"/>
    <w:rsid w:val="004457BD"/>
    <w:rsid w:val="00446E9C"/>
    <w:rsid w:val="00447078"/>
    <w:rsid w:val="00447A1C"/>
    <w:rsid w:val="00447AE6"/>
    <w:rsid w:val="00450021"/>
    <w:rsid w:val="0045059B"/>
    <w:rsid w:val="0045152E"/>
    <w:rsid w:val="00451F50"/>
    <w:rsid w:val="00453108"/>
    <w:rsid w:val="00453435"/>
    <w:rsid w:val="0045360B"/>
    <w:rsid w:val="00453AFB"/>
    <w:rsid w:val="00453BD9"/>
    <w:rsid w:val="00454F1A"/>
    <w:rsid w:val="004552DE"/>
    <w:rsid w:val="00456496"/>
    <w:rsid w:val="00456F3D"/>
    <w:rsid w:val="00457383"/>
    <w:rsid w:val="0046005E"/>
    <w:rsid w:val="00460089"/>
    <w:rsid w:val="00460EB4"/>
    <w:rsid w:val="0046113F"/>
    <w:rsid w:val="00461141"/>
    <w:rsid w:val="00461C3E"/>
    <w:rsid w:val="00462377"/>
    <w:rsid w:val="004623FF"/>
    <w:rsid w:val="00462F6A"/>
    <w:rsid w:val="004634C9"/>
    <w:rsid w:val="00463935"/>
    <w:rsid w:val="00464CB7"/>
    <w:rsid w:val="00465DA3"/>
    <w:rsid w:val="00466398"/>
    <w:rsid w:val="00466584"/>
    <w:rsid w:val="00466ABC"/>
    <w:rsid w:val="00466E1A"/>
    <w:rsid w:val="0046740E"/>
    <w:rsid w:val="0047093F"/>
    <w:rsid w:val="00470D20"/>
    <w:rsid w:val="00470E4A"/>
    <w:rsid w:val="00471258"/>
    <w:rsid w:val="00471D2B"/>
    <w:rsid w:val="00472A04"/>
    <w:rsid w:val="00472D95"/>
    <w:rsid w:val="00472E1B"/>
    <w:rsid w:val="0047306D"/>
    <w:rsid w:val="00473791"/>
    <w:rsid w:val="004742BF"/>
    <w:rsid w:val="00474308"/>
    <w:rsid w:val="004747A2"/>
    <w:rsid w:val="00474AAD"/>
    <w:rsid w:val="00475191"/>
    <w:rsid w:val="00475776"/>
    <w:rsid w:val="00475D00"/>
    <w:rsid w:val="00476126"/>
    <w:rsid w:val="00476195"/>
    <w:rsid w:val="00476336"/>
    <w:rsid w:val="00476E48"/>
    <w:rsid w:val="00480088"/>
    <w:rsid w:val="00480259"/>
    <w:rsid w:val="00480265"/>
    <w:rsid w:val="004805D4"/>
    <w:rsid w:val="00480F79"/>
    <w:rsid w:val="00481150"/>
    <w:rsid w:val="00481602"/>
    <w:rsid w:val="00481B4E"/>
    <w:rsid w:val="00481DE9"/>
    <w:rsid w:val="0048211F"/>
    <w:rsid w:val="0048256D"/>
    <w:rsid w:val="0048319D"/>
    <w:rsid w:val="00483589"/>
    <w:rsid w:val="0048389A"/>
    <w:rsid w:val="00483FB0"/>
    <w:rsid w:val="00484238"/>
    <w:rsid w:val="00484426"/>
    <w:rsid w:val="004847E1"/>
    <w:rsid w:val="00485B1E"/>
    <w:rsid w:val="00487D29"/>
    <w:rsid w:val="00490779"/>
    <w:rsid w:val="00490A7B"/>
    <w:rsid w:val="0049128B"/>
    <w:rsid w:val="00491540"/>
    <w:rsid w:val="00491EE6"/>
    <w:rsid w:val="00492526"/>
    <w:rsid w:val="0049330E"/>
    <w:rsid w:val="0049382B"/>
    <w:rsid w:val="00493B49"/>
    <w:rsid w:val="00493D6F"/>
    <w:rsid w:val="004947DF"/>
    <w:rsid w:val="004950F3"/>
    <w:rsid w:val="00495501"/>
    <w:rsid w:val="00495B30"/>
    <w:rsid w:val="00496DEF"/>
    <w:rsid w:val="00496F80"/>
    <w:rsid w:val="004A05F3"/>
    <w:rsid w:val="004A070A"/>
    <w:rsid w:val="004A1303"/>
    <w:rsid w:val="004A1996"/>
    <w:rsid w:val="004A243B"/>
    <w:rsid w:val="004A2627"/>
    <w:rsid w:val="004A2AB1"/>
    <w:rsid w:val="004A320E"/>
    <w:rsid w:val="004A369B"/>
    <w:rsid w:val="004A4348"/>
    <w:rsid w:val="004A4431"/>
    <w:rsid w:val="004A4656"/>
    <w:rsid w:val="004A4E9C"/>
    <w:rsid w:val="004A52B7"/>
    <w:rsid w:val="004A5B5B"/>
    <w:rsid w:val="004A5DFC"/>
    <w:rsid w:val="004A6190"/>
    <w:rsid w:val="004A6F24"/>
    <w:rsid w:val="004B1A3C"/>
    <w:rsid w:val="004B1F1B"/>
    <w:rsid w:val="004B2AB2"/>
    <w:rsid w:val="004B2C9B"/>
    <w:rsid w:val="004B2F99"/>
    <w:rsid w:val="004B3A47"/>
    <w:rsid w:val="004B5283"/>
    <w:rsid w:val="004B564E"/>
    <w:rsid w:val="004B5F3A"/>
    <w:rsid w:val="004B630D"/>
    <w:rsid w:val="004B6BC6"/>
    <w:rsid w:val="004B7803"/>
    <w:rsid w:val="004C01A8"/>
    <w:rsid w:val="004C03C1"/>
    <w:rsid w:val="004C0A6D"/>
    <w:rsid w:val="004C0A8D"/>
    <w:rsid w:val="004C0FC3"/>
    <w:rsid w:val="004C1118"/>
    <w:rsid w:val="004C1764"/>
    <w:rsid w:val="004C251B"/>
    <w:rsid w:val="004C281A"/>
    <w:rsid w:val="004C349C"/>
    <w:rsid w:val="004C3A25"/>
    <w:rsid w:val="004C5695"/>
    <w:rsid w:val="004C5E3D"/>
    <w:rsid w:val="004C6495"/>
    <w:rsid w:val="004C6A74"/>
    <w:rsid w:val="004C7060"/>
    <w:rsid w:val="004C77CC"/>
    <w:rsid w:val="004C7B49"/>
    <w:rsid w:val="004D0087"/>
    <w:rsid w:val="004D07F0"/>
    <w:rsid w:val="004D110D"/>
    <w:rsid w:val="004D1E35"/>
    <w:rsid w:val="004D243C"/>
    <w:rsid w:val="004D2CC3"/>
    <w:rsid w:val="004D35CB"/>
    <w:rsid w:val="004D39C4"/>
    <w:rsid w:val="004D452E"/>
    <w:rsid w:val="004D4BE4"/>
    <w:rsid w:val="004D4CE4"/>
    <w:rsid w:val="004D5E41"/>
    <w:rsid w:val="004D617A"/>
    <w:rsid w:val="004D6708"/>
    <w:rsid w:val="004D7293"/>
    <w:rsid w:val="004D7DAB"/>
    <w:rsid w:val="004E20D3"/>
    <w:rsid w:val="004E20E5"/>
    <w:rsid w:val="004E2D90"/>
    <w:rsid w:val="004E3B48"/>
    <w:rsid w:val="004E4535"/>
    <w:rsid w:val="004E4912"/>
    <w:rsid w:val="004E4BA0"/>
    <w:rsid w:val="004E5270"/>
    <w:rsid w:val="004E6391"/>
    <w:rsid w:val="004E64EA"/>
    <w:rsid w:val="004E66DC"/>
    <w:rsid w:val="004E6A87"/>
    <w:rsid w:val="004E738D"/>
    <w:rsid w:val="004E7828"/>
    <w:rsid w:val="004F0126"/>
    <w:rsid w:val="004F0702"/>
    <w:rsid w:val="004F1BBE"/>
    <w:rsid w:val="004F1C48"/>
    <w:rsid w:val="004F27DB"/>
    <w:rsid w:val="004F3D9F"/>
    <w:rsid w:val="004F46AA"/>
    <w:rsid w:val="004F4EE3"/>
    <w:rsid w:val="004F6A70"/>
    <w:rsid w:val="004F6BB0"/>
    <w:rsid w:val="004F76D5"/>
    <w:rsid w:val="005000B0"/>
    <w:rsid w:val="00500AD7"/>
    <w:rsid w:val="00502471"/>
    <w:rsid w:val="00502ABF"/>
    <w:rsid w:val="00503AF2"/>
    <w:rsid w:val="005043E7"/>
    <w:rsid w:val="00504DB0"/>
    <w:rsid w:val="005053A3"/>
    <w:rsid w:val="005056D5"/>
    <w:rsid w:val="0050656C"/>
    <w:rsid w:val="00507628"/>
    <w:rsid w:val="00507C35"/>
    <w:rsid w:val="00507FAF"/>
    <w:rsid w:val="0051057B"/>
    <w:rsid w:val="00510735"/>
    <w:rsid w:val="005107D4"/>
    <w:rsid w:val="0051105B"/>
    <w:rsid w:val="005118A1"/>
    <w:rsid w:val="00511CBD"/>
    <w:rsid w:val="00511D49"/>
    <w:rsid w:val="00512052"/>
    <w:rsid w:val="005121B0"/>
    <w:rsid w:val="00512D14"/>
    <w:rsid w:val="0051356D"/>
    <w:rsid w:val="00513668"/>
    <w:rsid w:val="00514D2F"/>
    <w:rsid w:val="00514F46"/>
    <w:rsid w:val="00515200"/>
    <w:rsid w:val="0051592A"/>
    <w:rsid w:val="00515DBE"/>
    <w:rsid w:val="00515E17"/>
    <w:rsid w:val="00516ECA"/>
    <w:rsid w:val="00517398"/>
    <w:rsid w:val="00517ED8"/>
    <w:rsid w:val="00517F8F"/>
    <w:rsid w:val="00520C4E"/>
    <w:rsid w:val="0052642E"/>
    <w:rsid w:val="005264A5"/>
    <w:rsid w:val="00526581"/>
    <w:rsid w:val="00527018"/>
    <w:rsid w:val="005303E8"/>
    <w:rsid w:val="00530690"/>
    <w:rsid w:val="00530B12"/>
    <w:rsid w:val="00531043"/>
    <w:rsid w:val="005317DD"/>
    <w:rsid w:val="00531913"/>
    <w:rsid w:val="00531F8E"/>
    <w:rsid w:val="00532277"/>
    <w:rsid w:val="005334B7"/>
    <w:rsid w:val="00533F93"/>
    <w:rsid w:val="00535735"/>
    <w:rsid w:val="00535E64"/>
    <w:rsid w:val="00537122"/>
    <w:rsid w:val="00537182"/>
    <w:rsid w:val="0053719D"/>
    <w:rsid w:val="00540536"/>
    <w:rsid w:val="00540DE2"/>
    <w:rsid w:val="00540EC4"/>
    <w:rsid w:val="00540ED7"/>
    <w:rsid w:val="0054135D"/>
    <w:rsid w:val="00541365"/>
    <w:rsid w:val="005420EB"/>
    <w:rsid w:val="0054309E"/>
    <w:rsid w:val="00543466"/>
    <w:rsid w:val="0054420E"/>
    <w:rsid w:val="005449F5"/>
    <w:rsid w:val="00544D1B"/>
    <w:rsid w:val="00545DC0"/>
    <w:rsid w:val="00545EAB"/>
    <w:rsid w:val="00545F6C"/>
    <w:rsid w:val="0054675D"/>
    <w:rsid w:val="005473AE"/>
    <w:rsid w:val="005477D9"/>
    <w:rsid w:val="00547C17"/>
    <w:rsid w:val="00550697"/>
    <w:rsid w:val="00550855"/>
    <w:rsid w:val="00550CAA"/>
    <w:rsid w:val="00550E34"/>
    <w:rsid w:val="005514A6"/>
    <w:rsid w:val="00551639"/>
    <w:rsid w:val="00552B3F"/>
    <w:rsid w:val="00553ED9"/>
    <w:rsid w:val="00554849"/>
    <w:rsid w:val="00554B98"/>
    <w:rsid w:val="00555BE6"/>
    <w:rsid w:val="00556918"/>
    <w:rsid w:val="0055720C"/>
    <w:rsid w:val="0055727E"/>
    <w:rsid w:val="00557571"/>
    <w:rsid w:val="00557B8F"/>
    <w:rsid w:val="0056021B"/>
    <w:rsid w:val="005603CC"/>
    <w:rsid w:val="005610D7"/>
    <w:rsid w:val="00561796"/>
    <w:rsid w:val="005632DD"/>
    <w:rsid w:val="005638C0"/>
    <w:rsid w:val="00563F9F"/>
    <w:rsid w:val="0056423B"/>
    <w:rsid w:val="00564516"/>
    <w:rsid w:val="005653A4"/>
    <w:rsid w:val="00565A0F"/>
    <w:rsid w:val="0056648A"/>
    <w:rsid w:val="00567694"/>
    <w:rsid w:val="00567756"/>
    <w:rsid w:val="005702B5"/>
    <w:rsid w:val="00570355"/>
    <w:rsid w:val="00570359"/>
    <w:rsid w:val="0057076A"/>
    <w:rsid w:val="00572039"/>
    <w:rsid w:val="00572818"/>
    <w:rsid w:val="00572A9C"/>
    <w:rsid w:val="00572D00"/>
    <w:rsid w:val="0057310C"/>
    <w:rsid w:val="0057319E"/>
    <w:rsid w:val="00573424"/>
    <w:rsid w:val="00573A97"/>
    <w:rsid w:val="00573E93"/>
    <w:rsid w:val="0057402F"/>
    <w:rsid w:val="00574E73"/>
    <w:rsid w:val="005751B7"/>
    <w:rsid w:val="005759F1"/>
    <w:rsid w:val="005760E6"/>
    <w:rsid w:val="0057612C"/>
    <w:rsid w:val="005761A3"/>
    <w:rsid w:val="00577221"/>
    <w:rsid w:val="005773BD"/>
    <w:rsid w:val="00577CAA"/>
    <w:rsid w:val="00577EBA"/>
    <w:rsid w:val="00580458"/>
    <w:rsid w:val="00580C51"/>
    <w:rsid w:val="005810C8"/>
    <w:rsid w:val="00581653"/>
    <w:rsid w:val="005816BD"/>
    <w:rsid w:val="00581774"/>
    <w:rsid w:val="00581948"/>
    <w:rsid w:val="00581E50"/>
    <w:rsid w:val="005823DE"/>
    <w:rsid w:val="00582C48"/>
    <w:rsid w:val="005837B8"/>
    <w:rsid w:val="005849D6"/>
    <w:rsid w:val="005850CE"/>
    <w:rsid w:val="00585367"/>
    <w:rsid w:val="00585835"/>
    <w:rsid w:val="005871A1"/>
    <w:rsid w:val="005871F9"/>
    <w:rsid w:val="0058737E"/>
    <w:rsid w:val="00587CA1"/>
    <w:rsid w:val="00590910"/>
    <w:rsid w:val="0059126A"/>
    <w:rsid w:val="00592056"/>
    <w:rsid w:val="00592518"/>
    <w:rsid w:val="00592E87"/>
    <w:rsid w:val="00593B68"/>
    <w:rsid w:val="0059420B"/>
    <w:rsid w:val="00594C4D"/>
    <w:rsid w:val="005950BB"/>
    <w:rsid w:val="005962CE"/>
    <w:rsid w:val="005962D3"/>
    <w:rsid w:val="00596C05"/>
    <w:rsid w:val="005A0482"/>
    <w:rsid w:val="005A0907"/>
    <w:rsid w:val="005A11A7"/>
    <w:rsid w:val="005A1321"/>
    <w:rsid w:val="005A1619"/>
    <w:rsid w:val="005A1725"/>
    <w:rsid w:val="005A2E5C"/>
    <w:rsid w:val="005A331E"/>
    <w:rsid w:val="005A33B0"/>
    <w:rsid w:val="005A3589"/>
    <w:rsid w:val="005A3708"/>
    <w:rsid w:val="005A4B27"/>
    <w:rsid w:val="005A5946"/>
    <w:rsid w:val="005A6B40"/>
    <w:rsid w:val="005A72F1"/>
    <w:rsid w:val="005A7354"/>
    <w:rsid w:val="005A73D1"/>
    <w:rsid w:val="005A74CE"/>
    <w:rsid w:val="005A767A"/>
    <w:rsid w:val="005A77A8"/>
    <w:rsid w:val="005B0B70"/>
    <w:rsid w:val="005B0F5F"/>
    <w:rsid w:val="005B1603"/>
    <w:rsid w:val="005B20E0"/>
    <w:rsid w:val="005B2196"/>
    <w:rsid w:val="005B25D6"/>
    <w:rsid w:val="005B2A52"/>
    <w:rsid w:val="005B31A1"/>
    <w:rsid w:val="005B31A2"/>
    <w:rsid w:val="005B34EE"/>
    <w:rsid w:val="005B38E2"/>
    <w:rsid w:val="005B4292"/>
    <w:rsid w:val="005B50A1"/>
    <w:rsid w:val="005B566A"/>
    <w:rsid w:val="005B6C86"/>
    <w:rsid w:val="005B76F7"/>
    <w:rsid w:val="005C006E"/>
    <w:rsid w:val="005C0ECF"/>
    <w:rsid w:val="005C1345"/>
    <w:rsid w:val="005C1B4C"/>
    <w:rsid w:val="005C1E12"/>
    <w:rsid w:val="005C2A31"/>
    <w:rsid w:val="005C2CBC"/>
    <w:rsid w:val="005C2D7F"/>
    <w:rsid w:val="005C2DC2"/>
    <w:rsid w:val="005C304A"/>
    <w:rsid w:val="005C3D69"/>
    <w:rsid w:val="005C4935"/>
    <w:rsid w:val="005C4AC8"/>
    <w:rsid w:val="005C4B9B"/>
    <w:rsid w:val="005C4D40"/>
    <w:rsid w:val="005C7242"/>
    <w:rsid w:val="005C798F"/>
    <w:rsid w:val="005C7C98"/>
    <w:rsid w:val="005D0112"/>
    <w:rsid w:val="005D0E5C"/>
    <w:rsid w:val="005D16CD"/>
    <w:rsid w:val="005D1A60"/>
    <w:rsid w:val="005D2520"/>
    <w:rsid w:val="005D25FA"/>
    <w:rsid w:val="005D2685"/>
    <w:rsid w:val="005D282E"/>
    <w:rsid w:val="005D2C3A"/>
    <w:rsid w:val="005D2F14"/>
    <w:rsid w:val="005D352C"/>
    <w:rsid w:val="005D3F80"/>
    <w:rsid w:val="005D4A10"/>
    <w:rsid w:val="005D55A4"/>
    <w:rsid w:val="005D57C8"/>
    <w:rsid w:val="005D5823"/>
    <w:rsid w:val="005D6AA1"/>
    <w:rsid w:val="005D72A3"/>
    <w:rsid w:val="005D7761"/>
    <w:rsid w:val="005E0278"/>
    <w:rsid w:val="005E090D"/>
    <w:rsid w:val="005E116B"/>
    <w:rsid w:val="005E1213"/>
    <w:rsid w:val="005E18DC"/>
    <w:rsid w:val="005E1DC0"/>
    <w:rsid w:val="005E1DF4"/>
    <w:rsid w:val="005E23BF"/>
    <w:rsid w:val="005E2826"/>
    <w:rsid w:val="005E31F3"/>
    <w:rsid w:val="005E3658"/>
    <w:rsid w:val="005E3CA0"/>
    <w:rsid w:val="005E44B1"/>
    <w:rsid w:val="005E4733"/>
    <w:rsid w:val="005E4989"/>
    <w:rsid w:val="005E5B4C"/>
    <w:rsid w:val="005E5EEA"/>
    <w:rsid w:val="005E5FCE"/>
    <w:rsid w:val="005E67B0"/>
    <w:rsid w:val="005E6C2D"/>
    <w:rsid w:val="005E7047"/>
    <w:rsid w:val="005E772F"/>
    <w:rsid w:val="005E777F"/>
    <w:rsid w:val="005E78EA"/>
    <w:rsid w:val="005F0357"/>
    <w:rsid w:val="005F14A8"/>
    <w:rsid w:val="005F1CA7"/>
    <w:rsid w:val="005F2221"/>
    <w:rsid w:val="005F22A8"/>
    <w:rsid w:val="005F31D5"/>
    <w:rsid w:val="005F3238"/>
    <w:rsid w:val="005F3AE8"/>
    <w:rsid w:val="005F3D1B"/>
    <w:rsid w:val="005F3F92"/>
    <w:rsid w:val="005F43DD"/>
    <w:rsid w:val="005F489D"/>
    <w:rsid w:val="005F4D01"/>
    <w:rsid w:val="005F51A9"/>
    <w:rsid w:val="005F52CF"/>
    <w:rsid w:val="005F550C"/>
    <w:rsid w:val="005F5573"/>
    <w:rsid w:val="005F562D"/>
    <w:rsid w:val="005F5B6D"/>
    <w:rsid w:val="005F6518"/>
    <w:rsid w:val="005F6782"/>
    <w:rsid w:val="005F6BE1"/>
    <w:rsid w:val="005F720A"/>
    <w:rsid w:val="005F7416"/>
    <w:rsid w:val="005F76DF"/>
    <w:rsid w:val="005F793C"/>
    <w:rsid w:val="005F7BCF"/>
    <w:rsid w:val="005F7F0A"/>
    <w:rsid w:val="005F7F28"/>
    <w:rsid w:val="00600C11"/>
    <w:rsid w:val="006010AE"/>
    <w:rsid w:val="00601866"/>
    <w:rsid w:val="00601F8D"/>
    <w:rsid w:val="00602491"/>
    <w:rsid w:val="0060376C"/>
    <w:rsid w:val="00603A34"/>
    <w:rsid w:val="00603AAF"/>
    <w:rsid w:val="00603E44"/>
    <w:rsid w:val="00604400"/>
    <w:rsid w:val="006044AD"/>
    <w:rsid w:val="00604C63"/>
    <w:rsid w:val="00605C36"/>
    <w:rsid w:val="00606B89"/>
    <w:rsid w:val="00606C97"/>
    <w:rsid w:val="0060707C"/>
    <w:rsid w:val="006070D2"/>
    <w:rsid w:val="00610579"/>
    <w:rsid w:val="006112E3"/>
    <w:rsid w:val="00611389"/>
    <w:rsid w:val="006116F3"/>
    <w:rsid w:val="00611724"/>
    <w:rsid w:val="00611EAF"/>
    <w:rsid w:val="006128B6"/>
    <w:rsid w:val="00612E72"/>
    <w:rsid w:val="00613294"/>
    <w:rsid w:val="00613E05"/>
    <w:rsid w:val="00613ECE"/>
    <w:rsid w:val="00613F90"/>
    <w:rsid w:val="00614011"/>
    <w:rsid w:val="00614D0B"/>
    <w:rsid w:val="00615980"/>
    <w:rsid w:val="00616972"/>
    <w:rsid w:val="00616F93"/>
    <w:rsid w:val="006176D3"/>
    <w:rsid w:val="00617857"/>
    <w:rsid w:val="006178AB"/>
    <w:rsid w:val="00617BC1"/>
    <w:rsid w:val="006200B0"/>
    <w:rsid w:val="006214BC"/>
    <w:rsid w:val="00621596"/>
    <w:rsid w:val="00621F69"/>
    <w:rsid w:val="00622FE6"/>
    <w:rsid w:val="00622FEC"/>
    <w:rsid w:val="0062302F"/>
    <w:rsid w:val="006230FB"/>
    <w:rsid w:val="00623836"/>
    <w:rsid w:val="00623AB8"/>
    <w:rsid w:val="00623F30"/>
    <w:rsid w:val="00624321"/>
    <w:rsid w:val="006251F8"/>
    <w:rsid w:val="00625FB8"/>
    <w:rsid w:val="00626025"/>
    <w:rsid w:val="006261BD"/>
    <w:rsid w:val="006264C5"/>
    <w:rsid w:val="00627DCC"/>
    <w:rsid w:val="00630D0E"/>
    <w:rsid w:val="006313F5"/>
    <w:rsid w:val="00631699"/>
    <w:rsid w:val="00631881"/>
    <w:rsid w:val="00631D09"/>
    <w:rsid w:val="00632009"/>
    <w:rsid w:val="006321BE"/>
    <w:rsid w:val="006321C4"/>
    <w:rsid w:val="00632633"/>
    <w:rsid w:val="00633836"/>
    <w:rsid w:val="00633B20"/>
    <w:rsid w:val="0063409E"/>
    <w:rsid w:val="0063441E"/>
    <w:rsid w:val="0063445C"/>
    <w:rsid w:val="006347DE"/>
    <w:rsid w:val="00635EDB"/>
    <w:rsid w:val="0063670F"/>
    <w:rsid w:val="00636826"/>
    <w:rsid w:val="00636A4E"/>
    <w:rsid w:val="00637BA1"/>
    <w:rsid w:val="00641417"/>
    <w:rsid w:val="00642165"/>
    <w:rsid w:val="00642337"/>
    <w:rsid w:val="00642946"/>
    <w:rsid w:val="00642FA5"/>
    <w:rsid w:val="00643F1E"/>
    <w:rsid w:val="0064465F"/>
    <w:rsid w:val="00644F9B"/>
    <w:rsid w:val="00644FC5"/>
    <w:rsid w:val="00646A52"/>
    <w:rsid w:val="00646B98"/>
    <w:rsid w:val="00646C43"/>
    <w:rsid w:val="00646D51"/>
    <w:rsid w:val="0064716C"/>
    <w:rsid w:val="0064734E"/>
    <w:rsid w:val="006477A6"/>
    <w:rsid w:val="006479F8"/>
    <w:rsid w:val="00650137"/>
    <w:rsid w:val="006509D7"/>
    <w:rsid w:val="0065137C"/>
    <w:rsid w:val="00651528"/>
    <w:rsid w:val="00651CE8"/>
    <w:rsid w:val="00653B18"/>
    <w:rsid w:val="00653D30"/>
    <w:rsid w:val="00653F0F"/>
    <w:rsid w:val="0065456D"/>
    <w:rsid w:val="00654D7D"/>
    <w:rsid w:val="0065521B"/>
    <w:rsid w:val="00656894"/>
    <w:rsid w:val="006569A9"/>
    <w:rsid w:val="00656B94"/>
    <w:rsid w:val="006579B8"/>
    <w:rsid w:val="00660079"/>
    <w:rsid w:val="00661261"/>
    <w:rsid w:val="00661C27"/>
    <w:rsid w:val="00663163"/>
    <w:rsid w:val="00663295"/>
    <w:rsid w:val="00663638"/>
    <w:rsid w:val="006637C0"/>
    <w:rsid w:val="00663992"/>
    <w:rsid w:val="00663E18"/>
    <w:rsid w:val="00663E80"/>
    <w:rsid w:val="00664112"/>
    <w:rsid w:val="006642CA"/>
    <w:rsid w:val="006643BB"/>
    <w:rsid w:val="00664516"/>
    <w:rsid w:val="0066502B"/>
    <w:rsid w:val="006667F1"/>
    <w:rsid w:val="00666A57"/>
    <w:rsid w:val="006708E1"/>
    <w:rsid w:val="00671436"/>
    <w:rsid w:val="0067178F"/>
    <w:rsid w:val="00671E2E"/>
    <w:rsid w:val="00671EF6"/>
    <w:rsid w:val="0067205B"/>
    <w:rsid w:val="0067261E"/>
    <w:rsid w:val="0067284C"/>
    <w:rsid w:val="00673E9B"/>
    <w:rsid w:val="006742C8"/>
    <w:rsid w:val="006748F8"/>
    <w:rsid w:val="00674AEF"/>
    <w:rsid w:val="00674BC3"/>
    <w:rsid w:val="006752D3"/>
    <w:rsid w:val="00675313"/>
    <w:rsid w:val="006757DF"/>
    <w:rsid w:val="00675FD1"/>
    <w:rsid w:val="006764A1"/>
    <w:rsid w:val="00676B5E"/>
    <w:rsid w:val="00677760"/>
    <w:rsid w:val="006778CC"/>
    <w:rsid w:val="00680489"/>
    <w:rsid w:val="006809A1"/>
    <w:rsid w:val="00681AB8"/>
    <w:rsid w:val="00683526"/>
    <w:rsid w:val="006835F6"/>
    <w:rsid w:val="0068380E"/>
    <w:rsid w:val="006838CC"/>
    <w:rsid w:val="00683C32"/>
    <w:rsid w:val="00684146"/>
    <w:rsid w:val="00684629"/>
    <w:rsid w:val="0068490F"/>
    <w:rsid w:val="0068496F"/>
    <w:rsid w:val="0068522A"/>
    <w:rsid w:val="0068563C"/>
    <w:rsid w:val="00685820"/>
    <w:rsid w:val="00685829"/>
    <w:rsid w:val="00685F33"/>
    <w:rsid w:val="006876AD"/>
    <w:rsid w:val="00690BB2"/>
    <w:rsid w:val="00690C6C"/>
    <w:rsid w:val="006912F3"/>
    <w:rsid w:val="0069148B"/>
    <w:rsid w:val="0069178A"/>
    <w:rsid w:val="00691C9A"/>
    <w:rsid w:val="00691DD2"/>
    <w:rsid w:val="006921AB"/>
    <w:rsid w:val="0069252D"/>
    <w:rsid w:val="0069275F"/>
    <w:rsid w:val="0069291E"/>
    <w:rsid w:val="00692CD6"/>
    <w:rsid w:val="00693316"/>
    <w:rsid w:val="00693714"/>
    <w:rsid w:val="00693D09"/>
    <w:rsid w:val="006965E2"/>
    <w:rsid w:val="006965EA"/>
    <w:rsid w:val="00696A46"/>
    <w:rsid w:val="0069713B"/>
    <w:rsid w:val="0069732C"/>
    <w:rsid w:val="00697DBE"/>
    <w:rsid w:val="006A023D"/>
    <w:rsid w:val="006A1D06"/>
    <w:rsid w:val="006A2277"/>
    <w:rsid w:val="006A2771"/>
    <w:rsid w:val="006A2811"/>
    <w:rsid w:val="006A49DC"/>
    <w:rsid w:val="006A4A3E"/>
    <w:rsid w:val="006A545E"/>
    <w:rsid w:val="006A6050"/>
    <w:rsid w:val="006A6549"/>
    <w:rsid w:val="006A6865"/>
    <w:rsid w:val="006A7710"/>
    <w:rsid w:val="006A7A61"/>
    <w:rsid w:val="006A7AE7"/>
    <w:rsid w:val="006B0512"/>
    <w:rsid w:val="006B13D0"/>
    <w:rsid w:val="006B1407"/>
    <w:rsid w:val="006B170F"/>
    <w:rsid w:val="006B1E59"/>
    <w:rsid w:val="006B21B2"/>
    <w:rsid w:val="006B2695"/>
    <w:rsid w:val="006B27E6"/>
    <w:rsid w:val="006B2FFB"/>
    <w:rsid w:val="006B4458"/>
    <w:rsid w:val="006B73DC"/>
    <w:rsid w:val="006C0CDC"/>
    <w:rsid w:val="006C10A2"/>
    <w:rsid w:val="006C1957"/>
    <w:rsid w:val="006C1F18"/>
    <w:rsid w:val="006C201C"/>
    <w:rsid w:val="006C23E9"/>
    <w:rsid w:val="006C2645"/>
    <w:rsid w:val="006C29B6"/>
    <w:rsid w:val="006C2ACC"/>
    <w:rsid w:val="006C2E71"/>
    <w:rsid w:val="006C3C65"/>
    <w:rsid w:val="006C3DCE"/>
    <w:rsid w:val="006C4759"/>
    <w:rsid w:val="006C47DF"/>
    <w:rsid w:val="006C512A"/>
    <w:rsid w:val="006C619B"/>
    <w:rsid w:val="006C67C7"/>
    <w:rsid w:val="006D16D9"/>
    <w:rsid w:val="006D1B91"/>
    <w:rsid w:val="006D2A8D"/>
    <w:rsid w:val="006D3CAE"/>
    <w:rsid w:val="006D3D52"/>
    <w:rsid w:val="006D40D5"/>
    <w:rsid w:val="006D4D12"/>
    <w:rsid w:val="006D4E47"/>
    <w:rsid w:val="006D54ED"/>
    <w:rsid w:val="006D68D3"/>
    <w:rsid w:val="006D702C"/>
    <w:rsid w:val="006D7F8F"/>
    <w:rsid w:val="006D81BD"/>
    <w:rsid w:val="006E003A"/>
    <w:rsid w:val="006E01F3"/>
    <w:rsid w:val="006E0D31"/>
    <w:rsid w:val="006E13B6"/>
    <w:rsid w:val="006E1E5B"/>
    <w:rsid w:val="006E2014"/>
    <w:rsid w:val="006E23F9"/>
    <w:rsid w:val="006E2663"/>
    <w:rsid w:val="006E283E"/>
    <w:rsid w:val="006E2B33"/>
    <w:rsid w:val="006E2B75"/>
    <w:rsid w:val="006E35A8"/>
    <w:rsid w:val="006E378C"/>
    <w:rsid w:val="006E441F"/>
    <w:rsid w:val="006E53B0"/>
    <w:rsid w:val="006E5DDC"/>
    <w:rsid w:val="006E6063"/>
    <w:rsid w:val="006E60F1"/>
    <w:rsid w:val="006E630A"/>
    <w:rsid w:val="006E6DE6"/>
    <w:rsid w:val="006E72B8"/>
    <w:rsid w:val="006E7725"/>
    <w:rsid w:val="006F0067"/>
    <w:rsid w:val="006F009A"/>
    <w:rsid w:val="006F02E2"/>
    <w:rsid w:val="006F1513"/>
    <w:rsid w:val="006F29E3"/>
    <w:rsid w:val="006F2EAD"/>
    <w:rsid w:val="006F3D93"/>
    <w:rsid w:val="006F4573"/>
    <w:rsid w:val="006F54FB"/>
    <w:rsid w:val="006F5D44"/>
    <w:rsid w:val="006F6EB1"/>
    <w:rsid w:val="006F6F19"/>
    <w:rsid w:val="006F732F"/>
    <w:rsid w:val="006F74C0"/>
    <w:rsid w:val="006F76FD"/>
    <w:rsid w:val="007005CF"/>
    <w:rsid w:val="007013AB"/>
    <w:rsid w:val="0070185D"/>
    <w:rsid w:val="007019B1"/>
    <w:rsid w:val="00702FAD"/>
    <w:rsid w:val="00704199"/>
    <w:rsid w:val="00704BA6"/>
    <w:rsid w:val="00704BFB"/>
    <w:rsid w:val="007052DC"/>
    <w:rsid w:val="00705367"/>
    <w:rsid w:val="00706306"/>
    <w:rsid w:val="00706998"/>
    <w:rsid w:val="00706BA7"/>
    <w:rsid w:val="007071DA"/>
    <w:rsid w:val="00707A47"/>
    <w:rsid w:val="00707BE2"/>
    <w:rsid w:val="00707D2B"/>
    <w:rsid w:val="00710256"/>
    <w:rsid w:val="00710FC2"/>
    <w:rsid w:val="00711097"/>
    <w:rsid w:val="007112E8"/>
    <w:rsid w:val="00711792"/>
    <w:rsid w:val="00711C8A"/>
    <w:rsid w:val="00711D7E"/>
    <w:rsid w:val="00712446"/>
    <w:rsid w:val="0071420D"/>
    <w:rsid w:val="00714B7A"/>
    <w:rsid w:val="00714D31"/>
    <w:rsid w:val="00715214"/>
    <w:rsid w:val="00715D49"/>
    <w:rsid w:val="00716496"/>
    <w:rsid w:val="00716A3A"/>
    <w:rsid w:val="00716D92"/>
    <w:rsid w:val="00717B3B"/>
    <w:rsid w:val="0072013C"/>
    <w:rsid w:val="007201C1"/>
    <w:rsid w:val="00720862"/>
    <w:rsid w:val="00720A45"/>
    <w:rsid w:val="00720AE5"/>
    <w:rsid w:val="00720D66"/>
    <w:rsid w:val="00721498"/>
    <w:rsid w:val="00721657"/>
    <w:rsid w:val="00721992"/>
    <w:rsid w:val="00722100"/>
    <w:rsid w:val="00722B80"/>
    <w:rsid w:val="007234F3"/>
    <w:rsid w:val="00723A25"/>
    <w:rsid w:val="007246C1"/>
    <w:rsid w:val="007246DF"/>
    <w:rsid w:val="0072505B"/>
    <w:rsid w:val="007259B5"/>
    <w:rsid w:val="00726675"/>
    <w:rsid w:val="00727087"/>
    <w:rsid w:val="007279A8"/>
    <w:rsid w:val="00727A30"/>
    <w:rsid w:val="00727B1A"/>
    <w:rsid w:val="00732730"/>
    <w:rsid w:val="00733A10"/>
    <w:rsid w:val="00733AC9"/>
    <w:rsid w:val="00733B81"/>
    <w:rsid w:val="00733C4E"/>
    <w:rsid w:val="00734821"/>
    <w:rsid w:val="00734F37"/>
    <w:rsid w:val="00734F47"/>
    <w:rsid w:val="0073582E"/>
    <w:rsid w:val="0073583F"/>
    <w:rsid w:val="007364E5"/>
    <w:rsid w:val="007367EE"/>
    <w:rsid w:val="0073691E"/>
    <w:rsid w:val="00736DAC"/>
    <w:rsid w:val="00736FDD"/>
    <w:rsid w:val="007370BF"/>
    <w:rsid w:val="00737A0F"/>
    <w:rsid w:val="00740ACD"/>
    <w:rsid w:val="00741337"/>
    <w:rsid w:val="00741CC8"/>
    <w:rsid w:val="00743782"/>
    <w:rsid w:val="007445CC"/>
    <w:rsid w:val="00744BD9"/>
    <w:rsid w:val="00744F09"/>
    <w:rsid w:val="00745165"/>
    <w:rsid w:val="00745CFC"/>
    <w:rsid w:val="00746AE0"/>
    <w:rsid w:val="007474E7"/>
    <w:rsid w:val="00747808"/>
    <w:rsid w:val="00747F34"/>
    <w:rsid w:val="0075024B"/>
    <w:rsid w:val="007505B4"/>
    <w:rsid w:val="00750FCF"/>
    <w:rsid w:val="00751071"/>
    <w:rsid w:val="0075136D"/>
    <w:rsid w:val="00751F65"/>
    <w:rsid w:val="007521E0"/>
    <w:rsid w:val="00752258"/>
    <w:rsid w:val="007523A5"/>
    <w:rsid w:val="007524DD"/>
    <w:rsid w:val="007529E1"/>
    <w:rsid w:val="00753240"/>
    <w:rsid w:val="00753655"/>
    <w:rsid w:val="0075385F"/>
    <w:rsid w:val="00754AF7"/>
    <w:rsid w:val="007550A7"/>
    <w:rsid w:val="0075520B"/>
    <w:rsid w:val="00755322"/>
    <w:rsid w:val="007554E5"/>
    <w:rsid w:val="00755C09"/>
    <w:rsid w:val="00756A8E"/>
    <w:rsid w:val="00756B97"/>
    <w:rsid w:val="007570D3"/>
    <w:rsid w:val="00757E02"/>
    <w:rsid w:val="0076095D"/>
    <w:rsid w:val="00760DC2"/>
    <w:rsid w:val="00761255"/>
    <w:rsid w:val="00761273"/>
    <w:rsid w:val="00762880"/>
    <w:rsid w:val="00762AD6"/>
    <w:rsid w:val="00762D5A"/>
    <w:rsid w:val="00762E02"/>
    <w:rsid w:val="00763527"/>
    <w:rsid w:val="00763F86"/>
    <w:rsid w:val="00764514"/>
    <w:rsid w:val="007648F3"/>
    <w:rsid w:val="007661E4"/>
    <w:rsid w:val="00766A84"/>
    <w:rsid w:val="00766B29"/>
    <w:rsid w:val="0076734F"/>
    <w:rsid w:val="00767C3A"/>
    <w:rsid w:val="007712DB"/>
    <w:rsid w:val="00772290"/>
    <w:rsid w:val="007724DA"/>
    <w:rsid w:val="007727D3"/>
    <w:rsid w:val="0077379D"/>
    <w:rsid w:val="00774E67"/>
    <w:rsid w:val="00774F04"/>
    <w:rsid w:val="00775263"/>
    <w:rsid w:val="00775DFD"/>
    <w:rsid w:val="00775E5F"/>
    <w:rsid w:val="00776FA5"/>
    <w:rsid w:val="00777265"/>
    <w:rsid w:val="007800F8"/>
    <w:rsid w:val="0078055F"/>
    <w:rsid w:val="007805E7"/>
    <w:rsid w:val="007814AD"/>
    <w:rsid w:val="007815C8"/>
    <w:rsid w:val="007818B4"/>
    <w:rsid w:val="00781A5D"/>
    <w:rsid w:val="0078222A"/>
    <w:rsid w:val="00783597"/>
    <w:rsid w:val="0078527B"/>
    <w:rsid w:val="007852CC"/>
    <w:rsid w:val="00785D2F"/>
    <w:rsid w:val="00785F8B"/>
    <w:rsid w:val="0078685E"/>
    <w:rsid w:val="00786B17"/>
    <w:rsid w:val="00787D48"/>
    <w:rsid w:val="00787F1E"/>
    <w:rsid w:val="00790774"/>
    <w:rsid w:val="0079082B"/>
    <w:rsid w:val="00790AD3"/>
    <w:rsid w:val="00791635"/>
    <w:rsid w:val="00791960"/>
    <w:rsid w:val="007925B8"/>
    <w:rsid w:val="007934B5"/>
    <w:rsid w:val="007938D6"/>
    <w:rsid w:val="00794BA5"/>
    <w:rsid w:val="00794E94"/>
    <w:rsid w:val="00795089"/>
    <w:rsid w:val="0079517C"/>
    <w:rsid w:val="00795294"/>
    <w:rsid w:val="007975E9"/>
    <w:rsid w:val="007A0924"/>
    <w:rsid w:val="007A0C87"/>
    <w:rsid w:val="007A1077"/>
    <w:rsid w:val="007A13FE"/>
    <w:rsid w:val="007A1D39"/>
    <w:rsid w:val="007A2DD2"/>
    <w:rsid w:val="007A367B"/>
    <w:rsid w:val="007A4E50"/>
    <w:rsid w:val="007A54E7"/>
    <w:rsid w:val="007A554A"/>
    <w:rsid w:val="007A5BB6"/>
    <w:rsid w:val="007A66AD"/>
    <w:rsid w:val="007B0154"/>
    <w:rsid w:val="007B03AC"/>
    <w:rsid w:val="007B0745"/>
    <w:rsid w:val="007B0D41"/>
    <w:rsid w:val="007B13A2"/>
    <w:rsid w:val="007B18A7"/>
    <w:rsid w:val="007B1A80"/>
    <w:rsid w:val="007B24D7"/>
    <w:rsid w:val="007B250E"/>
    <w:rsid w:val="007B2E39"/>
    <w:rsid w:val="007B3094"/>
    <w:rsid w:val="007B3A91"/>
    <w:rsid w:val="007B4763"/>
    <w:rsid w:val="007B48D7"/>
    <w:rsid w:val="007B4AF7"/>
    <w:rsid w:val="007B4D3D"/>
    <w:rsid w:val="007B50BC"/>
    <w:rsid w:val="007B5666"/>
    <w:rsid w:val="007B6523"/>
    <w:rsid w:val="007B6C36"/>
    <w:rsid w:val="007B6ED8"/>
    <w:rsid w:val="007C170F"/>
    <w:rsid w:val="007C1771"/>
    <w:rsid w:val="007C1E72"/>
    <w:rsid w:val="007C27FC"/>
    <w:rsid w:val="007C3276"/>
    <w:rsid w:val="007C398A"/>
    <w:rsid w:val="007C3B74"/>
    <w:rsid w:val="007C3F0C"/>
    <w:rsid w:val="007C426D"/>
    <w:rsid w:val="007C4550"/>
    <w:rsid w:val="007C4722"/>
    <w:rsid w:val="007C4DF1"/>
    <w:rsid w:val="007C51FF"/>
    <w:rsid w:val="007C553C"/>
    <w:rsid w:val="007C5EA0"/>
    <w:rsid w:val="007C643F"/>
    <w:rsid w:val="007C7155"/>
    <w:rsid w:val="007C72A9"/>
    <w:rsid w:val="007C756C"/>
    <w:rsid w:val="007C7C4C"/>
    <w:rsid w:val="007D0543"/>
    <w:rsid w:val="007D08D9"/>
    <w:rsid w:val="007D0B58"/>
    <w:rsid w:val="007D10B9"/>
    <w:rsid w:val="007D15A6"/>
    <w:rsid w:val="007D3708"/>
    <w:rsid w:val="007D50E4"/>
    <w:rsid w:val="007D605A"/>
    <w:rsid w:val="007D616C"/>
    <w:rsid w:val="007D6858"/>
    <w:rsid w:val="007D714B"/>
    <w:rsid w:val="007D77DA"/>
    <w:rsid w:val="007D7E3C"/>
    <w:rsid w:val="007E00A4"/>
    <w:rsid w:val="007E06A7"/>
    <w:rsid w:val="007E07E5"/>
    <w:rsid w:val="007E0EF6"/>
    <w:rsid w:val="007E10BA"/>
    <w:rsid w:val="007E19E2"/>
    <w:rsid w:val="007E1BD3"/>
    <w:rsid w:val="007E2492"/>
    <w:rsid w:val="007E29EE"/>
    <w:rsid w:val="007E2DC5"/>
    <w:rsid w:val="007E31ED"/>
    <w:rsid w:val="007E33DE"/>
    <w:rsid w:val="007E35F3"/>
    <w:rsid w:val="007E46FE"/>
    <w:rsid w:val="007E5CB2"/>
    <w:rsid w:val="007E66C5"/>
    <w:rsid w:val="007E67B8"/>
    <w:rsid w:val="007E6961"/>
    <w:rsid w:val="007E7A85"/>
    <w:rsid w:val="007F076D"/>
    <w:rsid w:val="007F0D6E"/>
    <w:rsid w:val="007F10B6"/>
    <w:rsid w:val="007F1CC7"/>
    <w:rsid w:val="007F28D4"/>
    <w:rsid w:val="007F290C"/>
    <w:rsid w:val="007F2A80"/>
    <w:rsid w:val="007F2ACB"/>
    <w:rsid w:val="007F2AE7"/>
    <w:rsid w:val="007F2BC0"/>
    <w:rsid w:val="007F2E82"/>
    <w:rsid w:val="007F3DB5"/>
    <w:rsid w:val="007F3ED6"/>
    <w:rsid w:val="007F3F46"/>
    <w:rsid w:val="007F4AE9"/>
    <w:rsid w:val="007F4B3A"/>
    <w:rsid w:val="007F4D6C"/>
    <w:rsid w:val="007F6BE8"/>
    <w:rsid w:val="007F74B1"/>
    <w:rsid w:val="007F76F2"/>
    <w:rsid w:val="007F770F"/>
    <w:rsid w:val="00800843"/>
    <w:rsid w:val="00800D71"/>
    <w:rsid w:val="00801B0B"/>
    <w:rsid w:val="00801F1E"/>
    <w:rsid w:val="008027AC"/>
    <w:rsid w:val="008028CE"/>
    <w:rsid w:val="00802988"/>
    <w:rsid w:val="008030D4"/>
    <w:rsid w:val="0080332E"/>
    <w:rsid w:val="0080334D"/>
    <w:rsid w:val="008035DC"/>
    <w:rsid w:val="00803BAB"/>
    <w:rsid w:val="00803E7E"/>
    <w:rsid w:val="0080486F"/>
    <w:rsid w:val="00804CFD"/>
    <w:rsid w:val="008052C7"/>
    <w:rsid w:val="00805B15"/>
    <w:rsid w:val="008068FC"/>
    <w:rsid w:val="008069A6"/>
    <w:rsid w:val="0080702D"/>
    <w:rsid w:val="0081076B"/>
    <w:rsid w:val="00810A53"/>
    <w:rsid w:val="00810C09"/>
    <w:rsid w:val="00810F09"/>
    <w:rsid w:val="00812687"/>
    <w:rsid w:val="008128F6"/>
    <w:rsid w:val="008132B2"/>
    <w:rsid w:val="00813D0A"/>
    <w:rsid w:val="00813FF6"/>
    <w:rsid w:val="008141E0"/>
    <w:rsid w:val="00816EE1"/>
    <w:rsid w:val="00816F88"/>
    <w:rsid w:val="008171F6"/>
    <w:rsid w:val="00817626"/>
    <w:rsid w:val="00817BE6"/>
    <w:rsid w:val="00817CB1"/>
    <w:rsid w:val="00820351"/>
    <w:rsid w:val="00820B1B"/>
    <w:rsid w:val="0082125E"/>
    <w:rsid w:val="008212B9"/>
    <w:rsid w:val="00821793"/>
    <w:rsid w:val="00821913"/>
    <w:rsid w:val="00821996"/>
    <w:rsid w:val="00821B89"/>
    <w:rsid w:val="008222C9"/>
    <w:rsid w:val="00822323"/>
    <w:rsid w:val="00822598"/>
    <w:rsid w:val="008228CB"/>
    <w:rsid w:val="0082293A"/>
    <w:rsid w:val="00822B1C"/>
    <w:rsid w:val="008230E8"/>
    <w:rsid w:val="0082364A"/>
    <w:rsid w:val="00823A8D"/>
    <w:rsid w:val="00823DE2"/>
    <w:rsid w:val="00824DC4"/>
    <w:rsid w:val="00824E2C"/>
    <w:rsid w:val="00825354"/>
    <w:rsid w:val="008254DA"/>
    <w:rsid w:val="00825776"/>
    <w:rsid w:val="008276EA"/>
    <w:rsid w:val="00827BC6"/>
    <w:rsid w:val="008300AD"/>
    <w:rsid w:val="00830291"/>
    <w:rsid w:val="008307C3"/>
    <w:rsid w:val="008314B4"/>
    <w:rsid w:val="00832C30"/>
    <w:rsid w:val="00832F8E"/>
    <w:rsid w:val="00833024"/>
    <w:rsid w:val="0083324D"/>
    <w:rsid w:val="008342E8"/>
    <w:rsid w:val="00834D2E"/>
    <w:rsid w:val="008358EF"/>
    <w:rsid w:val="00835AE6"/>
    <w:rsid w:val="008362C5"/>
    <w:rsid w:val="008372C6"/>
    <w:rsid w:val="0083770F"/>
    <w:rsid w:val="00840B9A"/>
    <w:rsid w:val="00840FCE"/>
    <w:rsid w:val="008410E5"/>
    <w:rsid w:val="00841622"/>
    <w:rsid w:val="008419B1"/>
    <w:rsid w:val="0084386B"/>
    <w:rsid w:val="008438DA"/>
    <w:rsid w:val="008439E3"/>
    <w:rsid w:val="0084434E"/>
    <w:rsid w:val="0084489C"/>
    <w:rsid w:val="00844A56"/>
    <w:rsid w:val="0084528A"/>
    <w:rsid w:val="00845B11"/>
    <w:rsid w:val="00845C2D"/>
    <w:rsid w:val="0084626D"/>
    <w:rsid w:val="008464F3"/>
    <w:rsid w:val="008469B9"/>
    <w:rsid w:val="00846DB8"/>
    <w:rsid w:val="008472C8"/>
    <w:rsid w:val="008472E2"/>
    <w:rsid w:val="008506E1"/>
    <w:rsid w:val="008509D3"/>
    <w:rsid w:val="00850E6E"/>
    <w:rsid w:val="0085167D"/>
    <w:rsid w:val="00852081"/>
    <w:rsid w:val="008524B4"/>
    <w:rsid w:val="00852B18"/>
    <w:rsid w:val="00853264"/>
    <w:rsid w:val="00853F61"/>
    <w:rsid w:val="00854230"/>
    <w:rsid w:val="0085449B"/>
    <w:rsid w:val="008554C7"/>
    <w:rsid w:val="00855874"/>
    <w:rsid w:val="00855CEF"/>
    <w:rsid w:val="00855E04"/>
    <w:rsid w:val="008600AA"/>
    <w:rsid w:val="00860690"/>
    <w:rsid w:val="00861BCC"/>
    <w:rsid w:val="008626CD"/>
    <w:rsid w:val="008626F3"/>
    <w:rsid w:val="00862847"/>
    <w:rsid w:val="0086399C"/>
    <w:rsid w:val="00864BDD"/>
    <w:rsid w:val="0086517B"/>
    <w:rsid w:val="00865EB4"/>
    <w:rsid w:val="00867118"/>
    <w:rsid w:val="0086799D"/>
    <w:rsid w:val="00870D86"/>
    <w:rsid w:val="008710B1"/>
    <w:rsid w:val="00871F6D"/>
    <w:rsid w:val="008720D8"/>
    <w:rsid w:val="00872727"/>
    <w:rsid w:val="00872B6E"/>
    <w:rsid w:val="00873358"/>
    <w:rsid w:val="008748BE"/>
    <w:rsid w:val="00874DFD"/>
    <w:rsid w:val="00875054"/>
    <w:rsid w:val="008766D7"/>
    <w:rsid w:val="00876C71"/>
    <w:rsid w:val="00876ED0"/>
    <w:rsid w:val="0087789E"/>
    <w:rsid w:val="008802F9"/>
    <w:rsid w:val="0088094B"/>
    <w:rsid w:val="00880B78"/>
    <w:rsid w:val="0088147B"/>
    <w:rsid w:val="0088176E"/>
    <w:rsid w:val="008817A9"/>
    <w:rsid w:val="00882104"/>
    <w:rsid w:val="0088216A"/>
    <w:rsid w:val="008821C7"/>
    <w:rsid w:val="00882DD4"/>
    <w:rsid w:val="00883086"/>
    <w:rsid w:val="00883AA1"/>
    <w:rsid w:val="00883F87"/>
    <w:rsid w:val="0088444D"/>
    <w:rsid w:val="008848B8"/>
    <w:rsid w:val="00885E2A"/>
    <w:rsid w:val="00885F34"/>
    <w:rsid w:val="00886BFD"/>
    <w:rsid w:val="008871E7"/>
    <w:rsid w:val="008873F7"/>
    <w:rsid w:val="0088771C"/>
    <w:rsid w:val="008879FD"/>
    <w:rsid w:val="00887A5E"/>
    <w:rsid w:val="00887BD1"/>
    <w:rsid w:val="00887DB1"/>
    <w:rsid w:val="00890156"/>
    <w:rsid w:val="0089019E"/>
    <w:rsid w:val="008907C7"/>
    <w:rsid w:val="008918FE"/>
    <w:rsid w:val="00891A1E"/>
    <w:rsid w:val="00891E07"/>
    <w:rsid w:val="008923F6"/>
    <w:rsid w:val="0089295A"/>
    <w:rsid w:val="0089296F"/>
    <w:rsid w:val="008929D3"/>
    <w:rsid w:val="00892A9F"/>
    <w:rsid w:val="00893174"/>
    <w:rsid w:val="00894855"/>
    <w:rsid w:val="00894C37"/>
    <w:rsid w:val="00894C90"/>
    <w:rsid w:val="00895085"/>
    <w:rsid w:val="00895215"/>
    <w:rsid w:val="00895540"/>
    <w:rsid w:val="008959B2"/>
    <w:rsid w:val="00895B92"/>
    <w:rsid w:val="00895F9D"/>
    <w:rsid w:val="00896BE9"/>
    <w:rsid w:val="00897987"/>
    <w:rsid w:val="00897D1D"/>
    <w:rsid w:val="00897D32"/>
    <w:rsid w:val="008A00EA"/>
    <w:rsid w:val="008A02F6"/>
    <w:rsid w:val="008A0966"/>
    <w:rsid w:val="008A1881"/>
    <w:rsid w:val="008A1E59"/>
    <w:rsid w:val="008A22AC"/>
    <w:rsid w:val="008A2A12"/>
    <w:rsid w:val="008A2D23"/>
    <w:rsid w:val="008A3213"/>
    <w:rsid w:val="008A3873"/>
    <w:rsid w:val="008A3C96"/>
    <w:rsid w:val="008A3F93"/>
    <w:rsid w:val="008A582B"/>
    <w:rsid w:val="008A6236"/>
    <w:rsid w:val="008A6E1C"/>
    <w:rsid w:val="008A72FD"/>
    <w:rsid w:val="008B088A"/>
    <w:rsid w:val="008B10EE"/>
    <w:rsid w:val="008B1430"/>
    <w:rsid w:val="008B2EDF"/>
    <w:rsid w:val="008B32D5"/>
    <w:rsid w:val="008B3C4C"/>
    <w:rsid w:val="008B3D7B"/>
    <w:rsid w:val="008B4368"/>
    <w:rsid w:val="008B47C7"/>
    <w:rsid w:val="008B4E35"/>
    <w:rsid w:val="008B54CB"/>
    <w:rsid w:val="008B5A3D"/>
    <w:rsid w:val="008B5C06"/>
    <w:rsid w:val="008B5C78"/>
    <w:rsid w:val="008B611F"/>
    <w:rsid w:val="008B6E9A"/>
    <w:rsid w:val="008B7599"/>
    <w:rsid w:val="008B7644"/>
    <w:rsid w:val="008B7D00"/>
    <w:rsid w:val="008C04CC"/>
    <w:rsid w:val="008C0716"/>
    <w:rsid w:val="008C0DB2"/>
    <w:rsid w:val="008C0E5F"/>
    <w:rsid w:val="008C1442"/>
    <w:rsid w:val="008C1A58"/>
    <w:rsid w:val="008C2CF3"/>
    <w:rsid w:val="008C2DEF"/>
    <w:rsid w:val="008C4000"/>
    <w:rsid w:val="008C4010"/>
    <w:rsid w:val="008C4DE1"/>
    <w:rsid w:val="008C4FDF"/>
    <w:rsid w:val="008C5576"/>
    <w:rsid w:val="008C663B"/>
    <w:rsid w:val="008C69F9"/>
    <w:rsid w:val="008C6B1F"/>
    <w:rsid w:val="008C75EF"/>
    <w:rsid w:val="008C7AD0"/>
    <w:rsid w:val="008C7CED"/>
    <w:rsid w:val="008D0144"/>
    <w:rsid w:val="008D030F"/>
    <w:rsid w:val="008D15F1"/>
    <w:rsid w:val="008D1CCA"/>
    <w:rsid w:val="008D2221"/>
    <w:rsid w:val="008D285F"/>
    <w:rsid w:val="008D2BEE"/>
    <w:rsid w:val="008D2D71"/>
    <w:rsid w:val="008D2E5D"/>
    <w:rsid w:val="008D4A25"/>
    <w:rsid w:val="008D5A95"/>
    <w:rsid w:val="008D5E2A"/>
    <w:rsid w:val="008D5E4F"/>
    <w:rsid w:val="008D6111"/>
    <w:rsid w:val="008D62A5"/>
    <w:rsid w:val="008D6481"/>
    <w:rsid w:val="008D6E9B"/>
    <w:rsid w:val="008D71C2"/>
    <w:rsid w:val="008D7398"/>
    <w:rsid w:val="008E0AF8"/>
    <w:rsid w:val="008E0E29"/>
    <w:rsid w:val="008E133B"/>
    <w:rsid w:val="008E14AB"/>
    <w:rsid w:val="008E295C"/>
    <w:rsid w:val="008E2B7F"/>
    <w:rsid w:val="008E3045"/>
    <w:rsid w:val="008E34F0"/>
    <w:rsid w:val="008E3C3C"/>
    <w:rsid w:val="008E401E"/>
    <w:rsid w:val="008E4048"/>
    <w:rsid w:val="008E4A71"/>
    <w:rsid w:val="008E51A1"/>
    <w:rsid w:val="008E5901"/>
    <w:rsid w:val="008E5A79"/>
    <w:rsid w:val="008E63DE"/>
    <w:rsid w:val="008E75A7"/>
    <w:rsid w:val="008E768F"/>
    <w:rsid w:val="008E773D"/>
    <w:rsid w:val="008F0084"/>
    <w:rsid w:val="008F0607"/>
    <w:rsid w:val="008F1242"/>
    <w:rsid w:val="008F138E"/>
    <w:rsid w:val="008F14F5"/>
    <w:rsid w:val="008F1AF6"/>
    <w:rsid w:val="008F1DFA"/>
    <w:rsid w:val="008F225A"/>
    <w:rsid w:val="008F247B"/>
    <w:rsid w:val="008F412B"/>
    <w:rsid w:val="008F65B1"/>
    <w:rsid w:val="008F705A"/>
    <w:rsid w:val="008F706A"/>
    <w:rsid w:val="008F71C1"/>
    <w:rsid w:val="008F7D31"/>
    <w:rsid w:val="0090044E"/>
    <w:rsid w:val="00900713"/>
    <w:rsid w:val="00900D19"/>
    <w:rsid w:val="00901950"/>
    <w:rsid w:val="00901ADB"/>
    <w:rsid w:val="00901E73"/>
    <w:rsid w:val="00902A57"/>
    <w:rsid w:val="00902D41"/>
    <w:rsid w:val="00902F49"/>
    <w:rsid w:val="0090360E"/>
    <w:rsid w:val="00904230"/>
    <w:rsid w:val="009042B0"/>
    <w:rsid w:val="00904767"/>
    <w:rsid w:val="00904D9D"/>
    <w:rsid w:val="00905C7E"/>
    <w:rsid w:val="00905D5D"/>
    <w:rsid w:val="00906377"/>
    <w:rsid w:val="00907DE3"/>
    <w:rsid w:val="00910ADE"/>
    <w:rsid w:val="0091104D"/>
    <w:rsid w:val="0091221C"/>
    <w:rsid w:val="00912336"/>
    <w:rsid w:val="00913099"/>
    <w:rsid w:val="00913D39"/>
    <w:rsid w:val="00913E17"/>
    <w:rsid w:val="00914004"/>
    <w:rsid w:val="009146AC"/>
    <w:rsid w:val="00914A83"/>
    <w:rsid w:val="00915326"/>
    <w:rsid w:val="0091593B"/>
    <w:rsid w:val="00915FD8"/>
    <w:rsid w:val="00916AE6"/>
    <w:rsid w:val="00916B1C"/>
    <w:rsid w:val="00916F13"/>
    <w:rsid w:val="00917454"/>
    <w:rsid w:val="00921721"/>
    <w:rsid w:val="00921D5E"/>
    <w:rsid w:val="009220BC"/>
    <w:rsid w:val="00922176"/>
    <w:rsid w:val="00922EC1"/>
    <w:rsid w:val="00923364"/>
    <w:rsid w:val="00923CF1"/>
    <w:rsid w:val="0092463F"/>
    <w:rsid w:val="00925703"/>
    <w:rsid w:val="00925882"/>
    <w:rsid w:val="0092608B"/>
    <w:rsid w:val="0092669A"/>
    <w:rsid w:val="00927774"/>
    <w:rsid w:val="00927BE9"/>
    <w:rsid w:val="009300E1"/>
    <w:rsid w:val="009301F1"/>
    <w:rsid w:val="009301FD"/>
    <w:rsid w:val="00930387"/>
    <w:rsid w:val="009303D7"/>
    <w:rsid w:val="009307DF"/>
    <w:rsid w:val="00930879"/>
    <w:rsid w:val="00931636"/>
    <w:rsid w:val="00931BE9"/>
    <w:rsid w:val="00931CDC"/>
    <w:rsid w:val="00932736"/>
    <w:rsid w:val="009327D7"/>
    <w:rsid w:val="0093321F"/>
    <w:rsid w:val="00934A7E"/>
    <w:rsid w:val="009351FE"/>
    <w:rsid w:val="009359B8"/>
    <w:rsid w:val="00935C74"/>
    <w:rsid w:val="00935CA3"/>
    <w:rsid w:val="00935FF0"/>
    <w:rsid w:val="009363C9"/>
    <w:rsid w:val="00936DCB"/>
    <w:rsid w:val="00936EA4"/>
    <w:rsid w:val="00937CF8"/>
    <w:rsid w:val="00941B0D"/>
    <w:rsid w:val="00941F91"/>
    <w:rsid w:val="00942839"/>
    <w:rsid w:val="009431F8"/>
    <w:rsid w:val="00943882"/>
    <w:rsid w:val="0094394E"/>
    <w:rsid w:val="00943B61"/>
    <w:rsid w:val="0094442A"/>
    <w:rsid w:val="0094489C"/>
    <w:rsid w:val="00944E99"/>
    <w:rsid w:val="0094519E"/>
    <w:rsid w:val="00945F18"/>
    <w:rsid w:val="00946112"/>
    <w:rsid w:val="00946C19"/>
    <w:rsid w:val="00947194"/>
    <w:rsid w:val="0094746E"/>
    <w:rsid w:val="00947A35"/>
    <w:rsid w:val="00947A4E"/>
    <w:rsid w:val="00951111"/>
    <w:rsid w:val="00951599"/>
    <w:rsid w:val="0095220D"/>
    <w:rsid w:val="00952667"/>
    <w:rsid w:val="00952922"/>
    <w:rsid w:val="00953013"/>
    <w:rsid w:val="00954167"/>
    <w:rsid w:val="009552BB"/>
    <w:rsid w:val="00955DCA"/>
    <w:rsid w:val="0095611D"/>
    <w:rsid w:val="0095647A"/>
    <w:rsid w:val="00957319"/>
    <w:rsid w:val="00960172"/>
    <w:rsid w:val="00961139"/>
    <w:rsid w:val="009612B1"/>
    <w:rsid w:val="00961EE9"/>
    <w:rsid w:val="00961F19"/>
    <w:rsid w:val="00961FE1"/>
    <w:rsid w:val="0096201B"/>
    <w:rsid w:val="00962081"/>
    <w:rsid w:val="009624D1"/>
    <w:rsid w:val="009632C7"/>
    <w:rsid w:val="00963486"/>
    <w:rsid w:val="00963B76"/>
    <w:rsid w:val="009640DE"/>
    <w:rsid w:val="00964258"/>
    <w:rsid w:val="0096486B"/>
    <w:rsid w:val="0096487C"/>
    <w:rsid w:val="00964A9C"/>
    <w:rsid w:val="00964BB7"/>
    <w:rsid w:val="00964DA0"/>
    <w:rsid w:val="00965E5B"/>
    <w:rsid w:val="009663D9"/>
    <w:rsid w:val="00966CB5"/>
    <w:rsid w:val="00967136"/>
    <w:rsid w:val="00967382"/>
    <w:rsid w:val="00967752"/>
    <w:rsid w:val="00970718"/>
    <w:rsid w:val="009712B8"/>
    <w:rsid w:val="0097248B"/>
    <w:rsid w:val="00973D97"/>
    <w:rsid w:val="0097446C"/>
    <w:rsid w:val="0097471C"/>
    <w:rsid w:val="00974991"/>
    <w:rsid w:val="00975690"/>
    <w:rsid w:val="00975719"/>
    <w:rsid w:val="00975786"/>
    <w:rsid w:val="009759AD"/>
    <w:rsid w:val="00976039"/>
    <w:rsid w:val="00976B66"/>
    <w:rsid w:val="00980387"/>
    <w:rsid w:val="00981163"/>
    <w:rsid w:val="00981728"/>
    <w:rsid w:val="00981CB7"/>
    <w:rsid w:val="00981D6D"/>
    <w:rsid w:val="00982090"/>
    <w:rsid w:val="009833BC"/>
    <w:rsid w:val="00983B36"/>
    <w:rsid w:val="00983E1F"/>
    <w:rsid w:val="00983F55"/>
    <w:rsid w:val="00984A92"/>
    <w:rsid w:val="009854A1"/>
    <w:rsid w:val="009856B3"/>
    <w:rsid w:val="009856B8"/>
    <w:rsid w:val="00985CB6"/>
    <w:rsid w:val="009864DA"/>
    <w:rsid w:val="00987868"/>
    <w:rsid w:val="00990ACE"/>
    <w:rsid w:val="00990E23"/>
    <w:rsid w:val="009910A7"/>
    <w:rsid w:val="00991C72"/>
    <w:rsid w:val="00992A83"/>
    <w:rsid w:val="00992EB8"/>
    <w:rsid w:val="00993F46"/>
    <w:rsid w:val="0099428C"/>
    <w:rsid w:val="009943FF"/>
    <w:rsid w:val="009956AB"/>
    <w:rsid w:val="00996F43"/>
    <w:rsid w:val="00997358"/>
    <w:rsid w:val="009A066C"/>
    <w:rsid w:val="009A1092"/>
    <w:rsid w:val="009A1210"/>
    <w:rsid w:val="009A15E8"/>
    <w:rsid w:val="009A1957"/>
    <w:rsid w:val="009A28CD"/>
    <w:rsid w:val="009A2BC5"/>
    <w:rsid w:val="009A30A9"/>
    <w:rsid w:val="009A4176"/>
    <w:rsid w:val="009A452B"/>
    <w:rsid w:val="009A4A81"/>
    <w:rsid w:val="009A52C5"/>
    <w:rsid w:val="009A52F3"/>
    <w:rsid w:val="009A5B5E"/>
    <w:rsid w:val="009A686A"/>
    <w:rsid w:val="009A6B3D"/>
    <w:rsid w:val="009A6FD1"/>
    <w:rsid w:val="009A7E97"/>
    <w:rsid w:val="009A7FEE"/>
    <w:rsid w:val="009B050C"/>
    <w:rsid w:val="009B074F"/>
    <w:rsid w:val="009B07BA"/>
    <w:rsid w:val="009B087F"/>
    <w:rsid w:val="009B1765"/>
    <w:rsid w:val="009B1B15"/>
    <w:rsid w:val="009B2AF4"/>
    <w:rsid w:val="009B2C51"/>
    <w:rsid w:val="009B3305"/>
    <w:rsid w:val="009B39FF"/>
    <w:rsid w:val="009B3CA0"/>
    <w:rsid w:val="009B3CE7"/>
    <w:rsid w:val="009B3F63"/>
    <w:rsid w:val="009B411C"/>
    <w:rsid w:val="009B43AD"/>
    <w:rsid w:val="009B47A1"/>
    <w:rsid w:val="009B504C"/>
    <w:rsid w:val="009B5525"/>
    <w:rsid w:val="009B5778"/>
    <w:rsid w:val="009B597F"/>
    <w:rsid w:val="009C110B"/>
    <w:rsid w:val="009C20C7"/>
    <w:rsid w:val="009C2DE3"/>
    <w:rsid w:val="009C2FD1"/>
    <w:rsid w:val="009C3F34"/>
    <w:rsid w:val="009C422D"/>
    <w:rsid w:val="009C42C4"/>
    <w:rsid w:val="009C4374"/>
    <w:rsid w:val="009C45EB"/>
    <w:rsid w:val="009C5441"/>
    <w:rsid w:val="009C64C3"/>
    <w:rsid w:val="009C6B4A"/>
    <w:rsid w:val="009C6DE8"/>
    <w:rsid w:val="009C742D"/>
    <w:rsid w:val="009C7597"/>
    <w:rsid w:val="009C769D"/>
    <w:rsid w:val="009D0161"/>
    <w:rsid w:val="009D0615"/>
    <w:rsid w:val="009D09ED"/>
    <w:rsid w:val="009D119F"/>
    <w:rsid w:val="009D2D57"/>
    <w:rsid w:val="009D30AD"/>
    <w:rsid w:val="009D38DC"/>
    <w:rsid w:val="009D3AD8"/>
    <w:rsid w:val="009D3B7F"/>
    <w:rsid w:val="009D49A2"/>
    <w:rsid w:val="009D4D49"/>
    <w:rsid w:val="009D4E6F"/>
    <w:rsid w:val="009D559A"/>
    <w:rsid w:val="009D5C31"/>
    <w:rsid w:val="009D5DF1"/>
    <w:rsid w:val="009D6021"/>
    <w:rsid w:val="009D63DF"/>
    <w:rsid w:val="009D658C"/>
    <w:rsid w:val="009D6C89"/>
    <w:rsid w:val="009D715E"/>
    <w:rsid w:val="009D71D8"/>
    <w:rsid w:val="009D7613"/>
    <w:rsid w:val="009D76EF"/>
    <w:rsid w:val="009D7C30"/>
    <w:rsid w:val="009D7C32"/>
    <w:rsid w:val="009E0503"/>
    <w:rsid w:val="009E064A"/>
    <w:rsid w:val="009E0CAD"/>
    <w:rsid w:val="009E1973"/>
    <w:rsid w:val="009E2384"/>
    <w:rsid w:val="009E3337"/>
    <w:rsid w:val="009E3E2C"/>
    <w:rsid w:val="009E41C6"/>
    <w:rsid w:val="009E4546"/>
    <w:rsid w:val="009E4604"/>
    <w:rsid w:val="009E53D7"/>
    <w:rsid w:val="009E5470"/>
    <w:rsid w:val="009E5CC2"/>
    <w:rsid w:val="009E5DC1"/>
    <w:rsid w:val="009E6169"/>
    <w:rsid w:val="009E69F3"/>
    <w:rsid w:val="009E726A"/>
    <w:rsid w:val="009E738C"/>
    <w:rsid w:val="009E78FD"/>
    <w:rsid w:val="009E7F8C"/>
    <w:rsid w:val="009F071A"/>
    <w:rsid w:val="009F087B"/>
    <w:rsid w:val="009F0A19"/>
    <w:rsid w:val="009F0E3D"/>
    <w:rsid w:val="009F11F8"/>
    <w:rsid w:val="009F1A43"/>
    <w:rsid w:val="009F2339"/>
    <w:rsid w:val="009F261C"/>
    <w:rsid w:val="009F26B1"/>
    <w:rsid w:val="009F297F"/>
    <w:rsid w:val="009F2FCD"/>
    <w:rsid w:val="009F3768"/>
    <w:rsid w:val="009F3940"/>
    <w:rsid w:val="009F3EB2"/>
    <w:rsid w:val="009F4172"/>
    <w:rsid w:val="009F6E96"/>
    <w:rsid w:val="009F6EB1"/>
    <w:rsid w:val="009F7209"/>
    <w:rsid w:val="009F7645"/>
    <w:rsid w:val="009F7936"/>
    <w:rsid w:val="009F7E0A"/>
    <w:rsid w:val="00A00B2C"/>
    <w:rsid w:val="00A00ED8"/>
    <w:rsid w:val="00A01B4B"/>
    <w:rsid w:val="00A01DCE"/>
    <w:rsid w:val="00A027F2"/>
    <w:rsid w:val="00A03675"/>
    <w:rsid w:val="00A0498F"/>
    <w:rsid w:val="00A04EED"/>
    <w:rsid w:val="00A0561D"/>
    <w:rsid w:val="00A05F91"/>
    <w:rsid w:val="00A066D0"/>
    <w:rsid w:val="00A077F6"/>
    <w:rsid w:val="00A07F02"/>
    <w:rsid w:val="00A101E2"/>
    <w:rsid w:val="00A10518"/>
    <w:rsid w:val="00A109A3"/>
    <w:rsid w:val="00A10E57"/>
    <w:rsid w:val="00A1178C"/>
    <w:rsid w:val="00A11D05"/>
    <w:rsid w:val="00A11EAF"/>
    <w:rsid w:val="00A11FD0"/>
    <w:rsid w:val="00A12637"/>
    <w:rsid w:val="00A129ED"/>
    <w:rsid w:val="00A12B7A"/>
    <w:rsid w:val="00A12BFF"/>
    <w:rsid w:val="00A12F3C"/>
    <w:rsid w:val="00A13162"/>
    <w:rsid w:val="00A13250"/>
    <w:rsid w:val="00A1369D"/>
    <w:rsid w:val="00A13FC9"/>
    <w:rsid w:val="00A14327"/>
    <w:rsid w:val="00A14AEF"/>
    <w:rsid w:val="00A15194"/>
    <w:rsid w:val="00A15412"/>
    <w:rsid w:val="00A20267"/>
    <w:rsid w:val="00A204AB"/>
    <w:rsid w:val="00A21451"/>
    <w:rsid w:val="00A21C08"/>
    <w:rsid w:val="00A22C4F"/>
    <w:rsid w:val="00A22F6E"/>
    <w:rsid w:val="00A23F25"/>
    <w:rsid w:val="00A2510F"/>
    <w:rsid w:val="00A252A2"/>
    <w:rsid w:val="00A252B8"/>
    <w:rsid w:val="00A256F4"/>
    <w:rsid w:val="00A266A9"/>
    <w:rsid w:val="00A26ADF"/>
    <w:rsid w:val="00A27A6B"/>
    <w:rsid w:val="00A27CA7"/>
    <w:rsid w:val="00A30065"/>
    <w:rsid w:val="00A30ABC"/>
    <w:rsid w:val="00A30BE3"/>
    <w:rsid w:val="00A30C2F"/>
    <w:rsid w:val="00A3158C"/>
    <w:rsid w:val="00A31DB2"/>
    <w:rsid w:val="00A32989"/>
    <w:rsid w:val="00A32A8A"/>
    <w:rsid w:val="00A32CFB"/>
    <w:rsid w:val="00A32DF3"/>
    <w:rsid w:val="00A333ED"/>
    <w:rsid w:val="00A334DD"/>
    <w:rsid w:val="00A33E32"/>
    <w:rsid w:val="00A34020"/>
    <w:rsid w:val="00A34AC0"/>
    <w:rsid w:val="00A3530E"/>
    <w:rsid w:val="00A35E20"/>
    <w:rsid w:val="00A36F6D"/>
    <w:rsid w:val="00A37080"/>
    <w:rsid w:val="00A37222"/>
    <w:rsid w:val="00A374F1"/>
    <w:rsid w:val="00A40F1E"/>
    <w:rsid w:val="00A412DD"/>
    <w:rsid w:val="00A42483"/>
    <w:rsid w:val="00A4344E"/>
    <w:rsid w:val="00A435AC"/>
    <w:rsid w:val="00A43652"/>
    <w:rsid w:val="00A43EE4"/>
    <w:rsid w:val="00A43F32"/>
    <w:rsid w:val="00A451F8"/>
    <w:rsid w:val="00A45A6C"/>
    <w:rsid w:val="00A47356"/>
    <w:rsid w:val="00A47825"/>
    <w:rsid w:val="00A504F0"/>
    <w:rsid w:val="00A50855"/>
    <w:rsid w:val="00A508D9"/>
    <w:rsid w:val="00A50CA0"/>
    <w:rsid w:val="00A525CC"/>
    <w:rsid w:val="00A52A7B"/>
    <w:rsid w:val="00A52B70"/>
    <w:rsid w:val="00A52CB6"/>
    <w:rsid w:val="00A53E7C"/>
    <w:rsid w:val="00A54E51"/>
    <w:rsid w:val="00A55255"/>
    <w:rsid w:val="00A55497"/>
    <w:rsid w:val="00A55706"/>
    <w:rsid w:val="00A56B41"/>
    <w:rsid w:val="00A56E3E"/>
    <w:rsid w:val="00A57918"/>
    <w:rsid w:val="00A57C9D"/>
    <w:rsid w:val="00A60087"/>
    <w:rsid w:val="00A60D76"/>
    <w:rsid w:val="00A628C1"/>
    <w:rsid w:val="00A62D28"/>
    <w:rsid w:val="00A64035"/>
    <w:rsid w:val="00A64297"/>
    <w:rsid w:val="00A650A4"/>
    <w:rsid w:val="00A6512C"/>
    <w:rsid w:val="00A656FF"/>
    <w:rsid w:val="00A657DF"/>
    <w:rsid w:val="00A65BCC"/>
    <w:rsid w:val="00A65EBE"/>
    <w:rsid w:val="00A668C0"/>
    <w:rsid w:val="00A66A27"/>
    <w:rsid w:val="00A66B5B"/>
    <w:rsid w:val="00A66DB6"/>
    <w:rsid w:val="00A67AE8"/>
    <w:rsid w:val="00A7036C"/>
    <w:rsid w:val="00A705E8"/>
    <w:rsid w:val="00A71948"/>
    <w:rsid w:val="00A72020"/>
    <w:rsid w:val="00A720E6"/>
    <w:rsid w:val="00A721F4"/>
    <w:rsid w:val="00A722C9"/>
    <w:rsid w:val="00A72B82"/>
    <w:rsid w:val="00A72DFC"/>
    <w:rsid w:val="00A73058"/>
    <w:rsid w:val="00A736C4"/>
    <w:rsid w:val="00A73747"/>
    <w:rsid w:val="00A745A3"/>
    <w:rsid w:val="00A74D13"/>
    <w:rsid w:val="00A754D2"/>
    <w:rsid w:val="00A76359"/>
    <w:rsid w:val="00A76912"/>
    <w:rsid w:val="00A77710"/>
    <w:rsid w:val="00A7798C"/>
    <w:rsid w:val="00A77A60"/>
    <w:rsid w:val="00A80D0D"/>
    <w:rsid w:val="00A811DE"/>
    <w:rsid w:val="00A81273"/>
    <w:rsid w:val="00A824FF"/>
    <w:rsid w:val="00A82542"/>
    <w:rsid w:val="00A82BEE"/>
    <w:rsid w:val="00A831C0"/>
    <w:rsid w:val="00A83F81"/>
    <w:rsid w:val="00A842EE"/>
    <w:rsid w:val="00A8454A"/>
    <w:rsid w:val="00A85107"/>
    <w:rsid w:val="00A85939"/>
    <w:rsid w:val="00A85A17"/>
    <w:rsid w:val="00A85AF3"/>
    <w:rsid w:val="00A86C2D"/>
    <w:rsid w:val="00A8755D"/>
    <w:rsid w:val="00A87BF8"/>
    <w:rsid w:val="00A87D53"/>
    <w:rsid w:val="00A87DCA"/>
    <w:rsid w:val="00A903E0"/>
    <w:rsid w:val="00A90409"/>
    <w:rsid w:val="00A90F5F"/>
    <w:rsid w:val="00A91584"/>
    <w:rsid w:val="00A91C35"/>
    <w:rsid w:val="00A91EA4"/>
    <w:rsid w:val="00A925D1"/>
    <w:rsid w:val="00A92F3D"/>
    <w:rsid w:val="00A9392C"/>
    <w:rsid w:val="00A93E15"/>
    <w:rsid w:val="00A93F73"/>
    <w:rsid w:val="00A9462B"/>
    <w:rsid w:val="00A9464C"/>
    <w:rsid w:val="00A94967"/>
    <w:rsid w:val="00A97D59"/>
    <w:rsid w:val="00AA0F48"/>
    <w:rsid w:val="00AA2467"/>
    <w:rsid w:val="00AA25B5"/>
    <w:rsid w:val="00AA3900"/>
    <w:rsid w:val="00AA3C90"/>
    <w:rsid w:val="00AA3E09"/>
    <w:rsid w:val="00AA4BEF"/>
    <w:rsid w:val="00AA4C2C"/>
    <w:rsid w:val="00AA65C0"/>
    <w:rsid w:val="00AA6961"/>
    <w:rsid w:val="00AA6C30"/>
    <w:rsid w:val="00AB0429"/>
    <w:rsid w:val="00AB1659"/>
    <w:rsid w:val="00AB18C8"/>
    <w:rsid w:val="00AB1906"/>
    <w:rsid w:val="00AB1A6B"/>
    <w:rsid w:val="00AB36D5"/>
    <w:rsid w:val="00AB410B"/>
    <w:rsid w:val="00AB418F"/>
    <w:rsid w:val="00AB4962"/>
    <w:rsid w:val="00AB4AE6"/>
    <w:rsid w:val="00AB4E60"/>
    <w:rsid w:val="00AB51BE"/>
    <w:rsid w:val="00AB569E"/>
    <w:rsid w:val="00AB5BBC"/>
    <w:rsid w:val="00AB6291"/>
    <w:rsid w:val="00AB63CD"/>
    <w:rsid w:val="00AB679D"/>
    <w:rsid w:val="00AB7116"/>
    <w:rsid w:val="00AB734E"/>
    <w:rsid w:val="00AB740F"/>
    <w:rsid w:val="00AB7FA3"/>
    <w:rsid w:val="00AC0DB6"/>
    <w:rsid w:val="00AC16A6"/>
    <w:rsid w:val="00AC1C3E"/>
    <w:rsid w:val="00AC24D2"/>
    <w:rsid w:val="00AC3483"/>
    <w:rsid w:val="00AC3753"/>
    <w:rsid w:val="00AC416C"/>
    <w:rsid w:val="00AC4ADB"/>
    <w:rsid w:val="00AC5970"/>
    <w:rsid w:val="00AC5D46"/>
    <w:rsid w:val="00AC656C"/>
    <w:rsid w:val="00AC6F14"/>
    <w:rsid w:val="00AC6F52"/>
    <w:rsid w:val="00AC7221"/>
    <w:rsid w:val="00AD14A0"/>
    <w:rsid w:val="00AD1C1D"/>
    <w:rsid w:val="00AD25D3"/>
    <w:rsid w:val="00AD2D51"/>
    <w:rsid w:val="00AD3562"/>
    <w:rsid w:val="00AD4677"/>
    <w:rsid w:val="00AD4758"/>
    <w:rsid w:val="00AD4BDD"/>
    <w:rsid w:val="00AD6082"/>
    <w:rsid w:val="00AD6B0B"/>
    <w:rsid w:val="00AD6D19"/>
    <w:rsid w:val="00AD7547"/>
    <w:rsid w:val="00AD7A98"/>
    <w:rsid w:val="00AD7E06"/>
    <w:rsid w:val="00AE0903"/>
    <w:rsid w:val="00AE0CCB"/>
    <w:rsid w:val="00AE1A89"/>
    <w:rsid w:val="00AE1F4D"/>
    <w:rsid w:val="00AE2243"/>
    <w:rsid w:val="00AE2A66"/>
    <w:rsid w:val="00AE2CC9"/>
    <w:rsid w:val="00AE3093"/>
    <w:rsid w:val="00AE33AB"/>
    <w:rsid w:val="00AE38DF"/>
    <w:rsid w:val="00AE3A84"/>
    <w:rsid w:val="00AE3DFC"/>
    <w:rsid w:val="00AE3F10"/>
    <w:rsid w:val="00AE4208"/>
    <w:rsid w:val="00AE4481"/>
    <w:rsid w:val="00AE4BA5"/>
    <w:rsid w:val="00AE4BC4"/>
    <w:rsid w:val="00AE4E69"/>
    <w:rsid w:val="00AE5961"/>
    <w:rsid w:val="00AE5C40"/>
    <w:rsid w:val="00AE5D66"/>
    <w:rsid w:val="00AE64DC"/>
    <w:rsid w:val="00AE6B06"/>
    <w:rsid w:val="00AE7015"/>
    <w:rsid w:val="00AE70F0"/>
    <w:rsid w:val="00AF03E4"/>
    <w:rsid w:val="00AF0745"/>
    <w:rsid w:val="00AF076A"/>
    <w:rsid w:val="00AF21A7"/>
    <w:rsid w:val="00AF288B"/>
    <w:rsid w:val="00AF439D"/>
    <w:rsid w:val="00AF4971"/>
    <w:rsid w:val="00AF4F99"/>
    <w:rsid w:val="00AF5276"/>
    <w:rsid w:val="00AF59CB"/>
    <w:rsid w:val="00AF7005"/>
    <w:rsid w:val="00AF77E3"/>
    <w:rsid w:val="00AF7C86"/>
    <w:rsid w:val="00AF7E03"/>
    <w:rsid w:val="00B0002C"/>
    <w:rsid w:val="00B006CF"/>
    <w:rsid w:val="00B01046"/>
    <w:rsid w:val="00B01330"/>
    <w:rsid w:val="00B0182B"/>
    <w:rsid w:val="00B01FAE"/>
    <w:rsid w:val="00B021D9"/>
    <w:rsid w:val="00B02470"/>
    <w:rsid w:val="00B03F03"/>
    <w:rsid w:val="00B046CE"/>
    <w:rsid w:val="00B04B5C"/>
    <w:rsid w:val="00B04FC3"/>
    <w:rsid w:val="00B0503E"/>
    <w:rsid w:val="00B053E2"/>
    <w:rsid w:val="00B05FA8"/>
    <w:rsid w:val="00B06008"/>
    <w:rsid w:val="00B062EC"/>
    <w:rsid w:val="00B0775A"/>
    <w:rsid w:val="00B077B5"/>
    <w:rsid w:val="00B10106"/>
    <w:rsid w:val="00B10162"/>
    <w:rsid w:val="00B10BF4"/>
    <w:rsid w:val="00B115F5"/>
    <w:rsid w:val="00B1172C"/>
    <w:rsid w:val="00B11B1A"/>
    <w:rsid w:val="00B129C0"/>
    <w:rsid w:val="00B12D09"/>
    <w:rsid w:val="00B1614D"/>
    <w:rsid w:val="00B17BC4"/>
    <w:rsid w:val="00B20405"/>
    <w:rsid w:val="00B20F33"/>
    <w:rsid w:val="00B20FA0"/>
    <w:rsid w:val="00B219B3"/>
    <w:rsid w:val="00B22161"/>
    <w:rsid w:val="00B22C75"/>
    <w:rsid w:val="00B23D46"/>
    <w:rsid w:val="00B24431"/>
    <w:rsid w:val="00B24AEE"/>
    <w:rsid w:val="00B25BC0"/>
    <w:rsid w:val="00B25D0C"/>
    <w:rsid w:val="00B260A0"/>
    <w:rsid w:val="00B26BD4"/>
    <w:rsid w:val="00B27660"/>
    <w:rsid w:val="00B278CC"/>
    <w:rsid w:val="00B27F85"/>
    <w:rsid w:val="00B30097"/>
    <w:rsid w:val="00B307D3"/>
    <w:rsid w:val="00B3108E"/>
    <w:rsid w:val="00B310F9"/>
    <w:rsid w:val="00B31879"/>
    <w:rsid w:val="00B327BC"/>
    <w:rsid w:val="00B339A4"/>
    <w:rsid w:val="00B34182"/>
    <w:rsid w:val="00B346D6"/>
    <w:rsid w:val="00B346EA"/>
    <w:rsid w:val="00B36E8E"/>
    <w:rsid w:val="00B3700A"/>
    <w:rsid w:val="00B37866"/>
    <w:rsid w:val="00B412FB"/>
    <w:rsid w:val="00B41625"/>
    <w:rsid w:val="00B41C6A"/>
    <w:rsid w:val="00B41DFF"/>
    <w:rsid w:val="00B41E60"/>
    <w:rsid w:val="00B44037"/>
    <w:rsid w:val="00B44A24"/>
    <w:rsid w:val="00B45063"/>
    <w:rsid w:val="00B4576B"/>
    <w:rsid w:val="00B45BFF"/>
    <w:rsid w:val="00B46256"/>
    <w:rsid w:val="00B46350"/>
    <w:rsid w:val="00B46DF3"/>
    <w:rsid w:val="00B4760E"/>
    <w:rsid w:val="00B47B36"/>
    <w:rsid w:val="00B47D2C"/>
    <w:rsid w:val="00B502CC"/>
    <w:rsid w:val="00B50574"/>
    <w:rsid w:val="00B5110D"/>
    <w:rsid w:val="00B51DDC"/>
    <w:rsid w:val="00B52200"/>
    <w:rsid w:val="00B52426"/>
    <w:rsid w:val="00B52888"/>
    <w:rsid w:val="00B53D93"/>
    <w:rsid w:val="00B53DFB"/>
    <w:rsid w:val="00B5425F"/>
    <w:rsid w:val="00B545AA"/>
    <w:rsid w:val="00B5540C"/>
    <w:rsid w:val="00B557D0"/>
    <w:rsid w:val="00B55F78"/>
    <w:rsid w:val="00B566A4"/>
    <w:rsid w:val="00B56BC8"/>
    <w:rsid w:val="00B56D13"/>
    <w:rsid w:val="00B57FB9"/>
    <w:rsid w:val="00B5BFFC"/>
    <w:rsid w:val="00B6115E"/>
    <w:rsid w:val="00B6130C"/>
    <w:rsid w:val="00B61E0C"/>
    <w:rsid w:val="00B6277E"/>
    <w:rsid w:val="00B62BFA"/>
    <w:rsid w:val="00B6326A"/>
    <w:rsid w:val="00B6391C"/>
    <w:rsid w:val="00B63A44"/>
    <w:rsid w:val="00B648C7"/>
    <w:rsid w:val="00B65233"/>
    <w:rsid w:val="00B653D5"/>
    <w:rsid w:val="00B66C8C"/>
    <w:rsid w:val="00B66E8F"/>
    <w:rsid w:val="00B673EC"/>
    <w:rsid w:val="00B67CE9"/>
    <w:rsid w:val="00B70145"/>
    <w:rsid w:val="00B70494"/>
    <w:rsid w:val="00B712AE"/>
    <w:rsid w:val="00B7150D"/>
    <w:rsid w:val="00B725D8"/>
    <w:rsid w:val="00B726E6"/>
    <w:rsid w:val="00B729E2"/>
    <w:rsid w:val="00B72CD5"/>
    <w:rsid w:val="00B72D4A"/>
    <w:rsid w:val="00B73B77"/>
    <w:rsid w:val="00B748A8"/>
    <w:rsid w:val="00B75A02"/>
    <w:rsid w:val="00B76429"/>
    <w:rsid w:val="00B764AE"/>
    <w:rsid w:val="00B769A5"/>
    <w:rsid w:val="00B7746C"/>
    <w:rsid w:val="00B778D4"/>
    <w:rsid w:val="00B800DF"/>
    <w:rsid w:val="00B80157"/>
    <w:rsid w:val="00B803D5"/>
    <w:rsid w:val="00B804CE"/>
    <w:rsid w:val="00B8124A"/>
    <w:rsid w:val="00B81751"/>
    <w:rsid w:val="00B82038"/>
    <w:rsid w:val="00B82398"/>
    <w:rsid w:val="00B829CA"/>
    <w:rsid w:val="00B83D5E"/>
    <w:rsid w:val="00B840BA"/>
    <w:rsid w:val="00B8460A"/>
    <w:rsid w:val="00B86095"/>
    <w:rsid w:val="00B8650D"/>
    <w:rsid w:val="00B86C96"/>
    <w:rsid w:val="00B86CF3"/>
    <w:rsid w:val="00B879B4"/>
    <w:rsid w:val="00B9077F"/>
    <w:rsid w:val="00B90D10"/>
    <w:rsid w:val="00B90F07"/>
    <w:rsid w:val="00B91220"/>
    <w:rsid w:val="00B9173D"/>
    <w:rsid w:val="00B91DB7"/>
    <w:rsid w:val="00B91F0B"/>
    <w:rsid w:val="00B921B4"/>
    <w:rsid w:val="00B92584"/>
    <w:rsid w:val="00B944E2"/>
    <w:rsid w:val="00B95345"/>
    <w:rsid w:val="00B958C8"/>
    <w:rsid w:val="00B9767F"/>
    <w:rsid w:val="00B97BB9"/>
    <w:rsid w:val="00BA0009"/>
    <w:rsid w:val="00BA09F9"/>
    <w:rsid w:val="00BA0B86"/>
    <w:rsid w:val="00BA0C7F"/>
    <w:rsid w:val="00BA0F88"/>
    <w:rsid w:val="00BA1007"/>
    <w:rsid w:val="00BA16D4"/>
    <w:rsid w:val="00BA1E63"/>
    <w:rsid w:val="00BA1F2C"/>
    <w:rsid w:val="00BA21E9"/>
    <w:rsid w:val="00BA261E"/>
    <w:rsid w:val="00BA2A30"/>
    <w:rsid w:val="00BA345C"/>
    <w:rsid w:val="00BA46DC"/>
    <w:rsid w:val="00BA4B0A"/>
    <w:rsid w:val="00BA55E3"/>
    <w:rsid w:val="00BA5D68"/>
    <w:rsid w:val="00BA6A68"/>
    <w:rsid w:val="00BA773D"/>
    <w:rsid w:val="00BB0289"/>
    <w:rsid w:val="00BB02B5"/>
    <w:rsid w:val="00BB08A9"/>
    <w:rsid w:val="00BB0F09"/>
    <w:rsid w:val="00BB136F"/>
    <w:rsid w:val="00BB1863"/>
    <w:rsid w:val="00BB25EE"/>
    <w:rsid w:val="00BB2876"/>
    <w:rsid w:val="00BB2AB5"/>
    <w:rsid w:val="00BB3083"/>
    <w:rsid w:val="00BB363A"/>
    <w:rsid w:val="00BB38C0"/>
    <w:rsid w:val="00BB3F7F"/>
    <w:rsid w:val="00BB3F95"/>
    <w:rsid w:val="00BB4537"/>
    <w:rsid w:val="00BB4752"/>
    <w:rsid w:val="00BB4AD7"/>
    <w:rsid w:val="00BB4E36"/>
    <w:rsid w:val="00BB564A"/>
    <w:rsid w:val="00BB5675"/>
    <w:rsid w:val="00BB5964"/>
    <w:rsid w:val="00BB5DBF"/>
    <w:rsid w:val="00BB7E89"/>
    <w:rsid w:val="00BC00F5"/>
    <w:rsid w:val="00BC01A3"/>
    <w:rsid w:val="00BC01E7"/>
    <w:rsid w:val="00BC024B"/>
    <w:rsid w:val="00BC03AE"/>
    <w:rsid w:val="00BC10A0"/>
    <w:rsid w:val="00BC1FE4"/>
    <w:rsid w:val="00BC2713"/>
    <w:rsid w:val="00BC2874"/>
    <w:rsid w:val="00BC4091"/>
    <w:rsid w:val="00BC495E"/>
    <w:rsid w:val="00BC4AA8"/>
    <w:rsid w:val="00BC5604"/>
    <w:rsid w:val="00BC5778"/>
    <w:rsid w:val="00BC5CD8"/>
    <w:rsid w:val="00BC636B"/>
    <w:rsid w:val="00BC6464"/>
    <w:rsid w:val="00BC66D6"/>
    <w:rsid w:val="00BC68C3"/>
    <w:rsid w:val="00BC6B6E"/>
    <w:rsid w:val="00BC754A"/>
    <w:rsid w:val="00BC7A46"/>
    <w:rsid w:val="00BC7AEB"/>
    <w:rsid w:val="00BC7BA2"/>
    <w:rsid w:val="00BC7EE5"/>
    <w:rsid w:val="00BD06C2"/>
    <w:rsid w:val="00BD07CF"/>
    <w:rsid w:val="00BD0E0B"/>
    <w:rsid w:val="00BD10C8"/>
    <w:rsid w:val="00BD1140"/>
    <w:rsid w:val="00BD15DE"/>
    <w:rsid w:val="00BD25EF"/>
    <w:rsid w:val="00BD269F"/>
    <w:rsid w:val="00BD426B"/>
    <w:rsid w:val="00BD4B24"/>
    <w:rsid w:val="00BD6250"/>
    <w:rsid w:val="00BD6428"/>
    <w:rsid w:val="00BD6968"/>
    <w:rsid w:val="00BD6E35"/>
    <w:rsid w:val="00BD73F4"/>
    <w:rsid w:val="00BD75C1"/>
    <w:rsid w:val="00BD79F0"/>
    <w:rsid w:val="00BD7B87"/>
    <w:rsid w:val="00BE015A"/>
    <w:rsid w:val="00BE0CE8"/>
    <w:rsid w:val="00BE12BE"/>
    <w:rsid w:val="00BE1531"/>
    <w:rsid w:val="00BE201B"/>
    <w:rsid w:val="00BE2B4D"/>
    <w:rsid w:val="00BE2D31"/>
    <w:rsid w:val="00BE335C"/>
    <w:rsid w:val="00BE3F31"/>
    <w:rsid w:val="00BE4D59"/>
    <w:rsid w:val="00BE5C97"/>
    <w:rsid w:val="00BE71F3"/>
    <w:rsid w:val="00BE7743"/>
    <w:rsid w:val="00BE7D1B"/>
    <w:rsid w:val="00BF0529"/>
    <w:rsid w:val="00BF09A2"/>
    <w:rsid w:val="00BF0FD3"/>
    <w:rsid w:val="00BF12D7"/>
    <w:rsid w:val="00BF2049"/>
    <w:rsid w:val="00BF2560"/>
    <w:rsid w:val="00BF302D"/>
    <w:rsid w:val="00BF332A"/>
    <w:rsid w:val="00BF3C12"/>
    <w:rsid w:val="00BF3C8D"/>
    <w:rsid w:val="00BF3DAF"/>
    <w:rsid w:val="00BF4697"/>
    <w:rsid w:val="00BF5DF8"/>
    <w:rsid w:val="00BF6341"/>
    <w:rsid w:val="00BF63EF"/>
    <w:rsid w:val="00BF6489"/>
    <w:rsid w:val="00BF720F"/>
    <w:rsid w:val="00C011A0"/>
    <w:rsid w:val="00C015F8"/>
    <w:rsid w:val="00C01DF1"/>
    <w:rsid w:val="00C01F7F"/>
    <w:rsid w:val="00C02420"/>
    <w:rsid w:val="00C029CA"/>
    <w:rsid w:val="00C02C2A"/>
    <w:rsid w:val="00C035C3"/>
    <w:rsid w:val="00C03695"/>
    <w:rsid w:val="00C036B7"/>
    <w:rsid w:val="00C0576A"/>
    <w:rsid w:val="00C06A32"/>
    <w:rsid w:val="00C0705A"/>
    <w:rsid w:val="00C07526"/>
    <w:rsid w:val="00C07C36"/>
    <w:rsid w:val="00C07DD4"/>
    <w:rsid w:val="00C07E26"/>
    <w:rsid w:val="00C1011C"/>
    <w:rsid w:val="00C10C37"/>
    <w:rsid w:val="00C114CD"/>
    <w:rsid w:val="00C118A0"/>
    <w:rsid w:val="00C11C48"/>
    <w:rsid w:val="00C12097"/>
    <w:rsid w:val="00C12310"/>
    <w:rsid w:val="00C12C16"/>
    <w:rsid w:val="00C12E9B"/>
    <w:rsid w:val="00C12F62"/>
    <w:rsid w:val="00C12F94"/>
    <w:rsid w:val="00C133AA"/>
    <w:rsid w:val="00C13AEF"/>
    <w:rsid w:val="00C14FCB"/>
    <w:rsid w:val="00C15C0D"/>
    <w:rsid w:val="00C15C69"/>
    <w:rsid w:val="00C16237"/>
    <w:rsid w:val="00C17644"/>
    <w:rsid w:val="00C177C5"/>
    <w:rsid w:val="00C17CC9"/>
    <w:rsid w:val="00C20023"/>
    <w:rsid w:val="00C23CC9"/>
    <w:rsid w:val="00C240B7"/>
    <w:rsid w:val="00C2425E"/>
    <w:rsid w:val="00C247FA"/>
    <w:rsid w:val="00C247FD"/>
    <w:rsid w:val="00C25762"/>
    <w:rsid w:val="00C25BF9"/>
    <w:rsid w:val="00C25EAE"/>
    <w:rsid w:val="00C26E1A"/>
    <w:rsid w:val="00C27304"/>
    <w:rsid w:val="00C276FC"/>
    <w:rsid w:val="00C30225"/>
    <w:rsid w:val="00C303F7"/>
    <w:rsid w:val="00C30BDF"/>
    <w:rsid w:val="00C30C83"/>
    <w:rsid w:val="00C312B6"/>
    <w:rsid w:val="00C32203"/>
    <w:rsid w:val="00C32437"/>
    <w:rsid w:val="00C32C27"/>
    <w:rsid w:val="00C333D5"/>
    <w:rsid w:val="00C33720"/>
    <w:rsid w:val="00C34239"/>
    <w:rsid w:val="00C346D6"/>
    <w:rsid w:val="00C34EC3"/>
    <w:rsid w:val="00C352AA"/>
    <w:rsid w:val="00C3547F"/>
    <w:rsid w:val="00C354D7"/>
    <w:rsid w:val="00C366B4"/>
    <w:rsid w:val="00C368F5"/>
    <w:rsid w:val="00C36C59"/>
    <w:rsid w:val="00C36F51"/>
    <w:rsid w:val="00C377B0"/>
    <w:rsid w:val="00C37C61"/>
    <w:rsid w:val="00C37CC6"/>
    <w:rsid w:val="00C4038C"/>
    <w:rsid w:val="00C405F2"/>
    <w:rsid w:val="00C40C75"/>
    <w:rsid w:val="00C40E21"/>
    <w:rsid w:val="00C41078"/>
    <w:rsid w:val="00C4158D"/>
    <w:rsid w:val="00C415BD"/>
    <w:rsid w:val="00C41919"/>
    <w:rsid w:val="00C426EA"/>
    <w:rsid w:val="00C428CC"/>
    <w:rsid w:val="00C42BA2"/>
    <w:rsid w:val="00C4373B"/>
    <w:rsid w:val="00C43812"/>
    <w:rsid w:val="00C44066"/>
    <w:rsid w:val="00C44406"/>
    <w:rsid w:val="00C448AE"/>
    <w:rsid w:val="00C44A0A"/>
    <w:rsid w:val="00C44E13"/>
    <w:rsid w:val="00C4549C"/>
    <w:rsid w:val="00C45CEE"/>
    <w:rsid w:val="00C464E5"/>
    <w:rsid w:val="00C4669C"/>
    <w:rsid w:val="00C47686"/>
    <w:rsid w:val="00C50A4C"/>
    <w:rsid w:val="00C51AE0"/>
    <w:rsid w:val="00C51BE1"/>
    <w:rsid w:val="00C5284C"/>
    <w:rsid w:val="00C5314D"/>
    <w:rsid w:val="00C54BA8"/>
    <w:rsid w:val="00C555BC"/>
    <w:rsid w:val="00C55AA9"/>
    <w:rsid w:val="00C56307"/>
    <w:rsid w:val="00C56CBB"/>
    <w:rsid w:val="00C57224"/>
    <w:rsid w:val="00C572D0"/>
    <w:rsid w:val="00C57619"/>
    <w:rsid w:val="00C57B03"/>
    <w:rsid w:val="00C60118"/>
    <w:rsid w:val="00C6098E"/>
    <w:rsid w:val="00C60A07"/>
    <w:rsid w:val="00C60A41"/>
    <w:rsid w:val="00C617D3"/>
    <w:rsid w:val="00C617EA"/>
    <w:rsid w:val="00C61998"/>
    <w:rsid w:val="00C626FF"/>
    <w:rsid w:val="00C62931"/>
    <w:rsid w:val="00C62DE8"/>
    <w:rsid w:val="00C62DFB"/>
    <w:rsid w:val="00C62E99"/>
    <w:rsid w:val="00C630E6"/>
    <w:rsid w:val="00C63812"/>
    <w:rsid w:val="00C640FF"/>
    <w:rsid w:val="00C6428B"/>
    <w:rsid w:val="00C64AF3"/>
    <w:rsid w:val="00C64FCA"/>
    <w:rsid w:val="00C651BB"/>
    <w:rsid w:val="00C66F4D"/>
    <w:rsid w:val="00C66FF9"/>
    <w:rsid w:val="00C67BB5"/>
    <w:rsid w:val="00C70777"/>
    <w:rsid w:val="00C70D87"/>
    <w:rsid w:val="00C713D6"/>
    <w:rsid w:val="00C72713"/>
    <w:rsid w:val="00C72C5D"/>
    <w:rsid w:val="00C72F6B"/>
    <w:rsid w:val="00C732FA"/>
    <w:rsid w:val="00C73A93"/>
    <w:rsid w:val="00C73BC7"/>
    <w:rsid w:val="00C747B9"/>
    <w:rsid w:val="00C76459"/>
    <w:rsid w:val="00C764BA"/>
    <w:rsid w:val="00C76707"/>
    <w:rsid w:val="00C76C43"/>
    <w:rsid w:val="00C76D83"/>
    <w:rsid w:val="00C7746D"/>
    <w:rsid w:val="00C776C7"/>
    <w:rsid w:val="00C77983"/>
    <w:rsid w:val="00C80F0B"/>
    <w:rsid w:val="00C817E0"/>
    <w:rsid w:val="00C8259A"/>
    <w:rsid w:val="00C827C0"/>
    <w:rsid w:val="00C83BBC"/>
    <w:rsid w:val="00C842B0"/>
    <w:rsid w:val="00C848EF"/>
    <w:rsid w:val="00C849E2"/>
    <w:rsid w:val="00C84DD2"/>
    <w:rsid w:val="00C85897"/>
    <w:rsid w:val="00C85D28"/>
    <w:rsid w:val="00C85DA9"/>
    <w:rsid w:val="00C86600"/>
    <w:rsid w:val="00C8679B"/>
    <w:rsid w:val="00C86CA3"/>
    <w:rsid w:val="00C87535"/>
    <w:rsid w:val="00C876CE"/>
    <w:rsid w:val="00C87BCA"/>
    <w:rsid w:val="00C87C87"/>
    <w:rsid w:val="00C87CD8"/>
    <w:rsid w:val="00C87DC7"/>
    <w:rsid w:val="00C87EED"/>
    <w:rsid w:val="00C90261"/>
    <w:rsid w:val="00C90298"/>
    <w:rsid w:val="00C9103B"/>
    <w:rsid w:val="00C9138D"/>
    <w:rsid w:val="00C91F51"/>
    <w:rsid w:val="00C91F83"/>
    <w:rsid w:val="00C92573"/>
    <w:rsid w:val="00C929A7"/>
    <w:rsid w:val="00C931DE"/>
    <w:rsid w:val="00C935FC"/>
    <w:rsid w:val="00C93B6F"/>
    <w:rsid w:val="00C93F23"/>
    <w:rsid w:val="00C9440D"/>
    <w:rsid w:val="00C94506"/>
    <w:rsid w:val="00C94A94"/>
    <w:rsid w:val="00C94C78"/>
    <w:rsid w:val="00C95040"/>
    <w:rsid w:val="00C954BC"/>
    <w:rsid w:val="00C95E1D"/>
    <w:rsid w:val="00C9705D"/>
    <w:rsid w:val="00C975F8"/>
    <w:rsid w:val="00C9760B"/>
    <w:rsid w:val="00C97AA5"/>
    <w:rsid w:val="00CA1216"/>
    <w:rsid w:val="00CA1499"/>
    <w:rsid w:val="00CA15FE"/>
    <w:rsid w:val="00CA18E1"/>
    <w:rsid w:val="00CA1F0B"/>
    <w:rsid w:val="00CA23BC"/>
    <w:rsid w:val="00CA314B"/>
    <w:rsid w:val="00CA496C"/>
    <w:rsid w:val="00CA4D08"/>
    <w:rsid w:val="00CA561B"/>
    <w:rsid w:val="00CA62F8"/>
    <w:rsid w:val="00CA6A8E"/>
    <w:rsid w:val="00CA6DA2"/>
    <w:rsid w:val="00CA727D"/>
    <w:rsid w:val="00CA75A3"/>
    <w:rsid w:val="00CA7842"/>
    <w:rsid w:val="00CA7BF8"/>
    <w:rsid w:val="00CB05BE"/>
    <w:rsid w:val="00CB110F"/>
    <w:rsid w:val="00CB1C8E"/>
    <w:rsid w:val="00CB296F"/>
    <w:rsid w:val="00CB2A2E"/>
    <w:rsid w:val="00CB31DD"/>
    <w:rsid w:val="00CB338A"/>
    <w:rsid w:val="00CB36CD"/>
    <w:rsid w:val="00CB3ABE"/>
    <w:rsid w:val="00CB425A"/>
    <w:rsid w:val="00CB471F"/>
    <w:rsid w:val="00CB4F1A"/>
    <w:rsid w:val="00CB552E"/>
    <w:rsid w:val="00CB5E8B"/>
    <w:rsid w:val="00CB61BD"/>
    <w:rsid w:val="00CB6AE2"/>
    <w:rsid w:val="00CB79C5"/>
    <w:rsid w:val="00CB7A03"/>
    <w:rsid w:val="00CC21CB"/>
    <w:rsid w:val="00CC2BF2"/>
    <w:rsid w:val="00CC2D40"/>
    <w:rsid w:val="00CC347A"/>
    <w:rsid w:val="00CC3557"/>
    <w:rsid w:val="00CC3915"/>
    <w:rsid w:val="00CC3D8C"/>
    <w:rsid w:val="00CC407D"/>
    <w:rsid w:val="00CC411F"/>
    <w:rsid w:val="00CC4695"/>
    <w:rsid w:val="00CC4B75"/>
    <w:rsid w:val="00CC4BA0"/>
    <w:rsid w:val="00CC5927"/>
    <w:rsid w:val="00CC5BA0"/>
    <w:rsid w:val="00CC6980"/>
    <w:rsid w:val="00CC732E"/>
    <w:rsid w:val="00CC78F3"/>
    <w:rsid w:val="00CD0205"/>
    <w:rsid w:val="00CD022D"/>
    <w:rsid w:val="00CD1C6A"/>
    <w:rsid w:val="00CD26D4"/>
    <w:rsid w:val="00CD2C70"/>
    <w:rsid w:val="00CD2FCD"/>
    <w:rsid w:val="00CD392E"/>
    <w:rsid w:val="00CD4B23"/>
    <w:rsid w:val="00CD4D1F"/>
    <w:rsid w:val="00CD4FAD"/>
    <w:rsid w:val="00CD5826"/>
    <w:rsid w:val="00CD5A8D"/>
    <w:rsid w:val="00CD5CAE"/>
    <w:rsid w:val="00CD6044"/>
    <w:rsid w:val="00CD6120"/>
    <w:rsid w:val="00CD68BD"/>
    <w:rsid w:val="00CD6EB8"/>
    <w:rsid w:val="00CD7207"/>
    <w:rsid w:val="00CE0422"/>
    <w:rsid w:val="00CE0DBE"/>
    <w:rsid w:val="00CE1068"/>
    <w:rsid w:val="00CE17E6"/>
    <w:rsid w:val="00CE232D"/>
    <w:rsid w:val="00CE2604"/>
    <w:rsid w:val="00CE4869"/>
    <w:rsid w:val="00CE4D0A"/>
    <w:rsid w:val="00CE4FFD"/>
    <w:rsid w:val="00CE5E4D"/>
    <w:rsid w:val="00CE73EC"/>
    <w:rsid w:val="00CE7914"/>
    <w:rsid w:val="00CE7994"/>
    <w:rsid w:val="00CE7B6F"/>
    <w:rsid w:val="00CE7FA9"/>
    <w:rsid w:val="00CF02C4"/>
    <w:rsid w:val="00CF120A"/>
    <w:rsid w:val="00CF167F"/>
    <w:rsid w:val="00CF1889"/>
    <w:rsid w:val="00CF1AB6"/>
    <w:rsid w:val="00CF1EA1"/>
    <w:rsid w:val="00CF2503"/>
    <w:rsid w:val="00CF3A7D"/>
    <w:rsid w:val="00CF4D01"/>
    <w:rsid w:val="00CF51C9"/>
    <w:rsid w:val="00CF5442"/>
    <w:rsid w:val="00CF639D"/>
    <w:rsid w:val="00CF6661"/>
    <w:rsid w:val="00CF72E5"/>
    <w:rsid w:val="00CF7D7F"/>
    <w:rsid w:val="00D013EE"/>
    <w:rsid w:val="00D01959"/>
    <w:rsid w:val="00D01F54"/>
    <w:rsid w:val="00D0383F"/>
    <w:rsid w:val="00D03C16"/>
    <w:rsid w:val="00D040F7"/>
    <w:rsid w:val="00D043CB"/>
    <w:rsid w:val="00D04438"/>
    <w:rsid w:val="00D044A3"/>
    <w:rsid w:val="00D045A0"/>
    <w:rsid w:val="00D04A76"/>
    <w:rsid w:val="00D04B2F"/>
    <w:rsid w:val="00D06348"/>
    <w:rsid w:val="00D06782"/>
    <w:rsid w:val="00D07022"/>
    <w:rsid w:val="00D0754C"/>
    <w:rsid w:val="00D0755B"/>
    <w:rsid w:val="00D101DA"/>
    <w:rsid w:val="00D1041A"/>
    <w:rsid w:val="00D1051C"/>
    <w:rsid w:val="00D10FC7"/>
    <w:rsid w:val="00D138C9"/>
    <w:rsid w:val="00D1454A"/>
    <w:rsid w:val="00D1476E"/>
    <w:rsid w:val="00D1519F"/>
    <w:rsid w:val="00D15BA1"/>
    <w:rsid w:val="00D15F3B"/>
    <w:rsid w:val="00D16632"/>
    <w:rsid w:val="00D16F9E"/>
    <w:rsid w:val="00D171B0"/>
    <w:rsid w:val="00D17F00"/>
    <w:rsid w:val="00D200D6"/>
    <w:rsid w:val="00D20167"/>
    <w:rsid w:val="00D201FF"/>
    <w:rsid w:val="00D20E99"/>
    <w:rsid w:val="00D215AE"/>
    <w:rsid w:val="00D21C83"/>
    <w:rsid w:val="00D21D01"/>
    <w:rsid w:val="00D23BC7"/>
    <w:rsid w:val="00D244E4"/>
    <w:rsid w:val="00D25433"/>
    <w:rsid w:val="00D269C6"/>
    <w:rsid w:val="00D26B8C"/>
    <w:rsid w:val="00D26E5E"/>
    <w:rsid w:val="00D27667"/>
    <w:rsid w:val="00D27EB7"/>
    <w:rsid w:val="00D30093"/>
    <w:rsid w:val="00D303DB"/>
    <w:rsid w:val="00D30E70"/>
    <w:rsid w:val="00D31DC1"/>
    <w:rsid w:val="00D321A1"/>
    <w:rsid w:val="00D326C2"/>
    <w:rsid w:val="00D32AF8"/>
    <w:rsid w:val="00D334E1"/>
    <w:rsid w:val="00D349B0"/>
    <w:rsid w:val="00D356AF"/>
    <w:rsid w:val="00D35ADB"/>
    <w:rsid w:val="00D35BDD"/>
    <w:rsid w:val="00D37BE3"/>
    <w:rsid w:val="00D40690"/>
    <w:rsid w:val="00D41218"/>
    <w:rsid w:val="00D42A0A"/>
    <w:rsid w:val="00D42A19"/>
    <w:rsid w:val="00D42B0E"/>
    <w:rsid w:val="00D43717"/>
    <w:rsid w:val="00D443B9"/>
    <w:rsid w:val="00D44A4B"/>
    <w:rsid w:val="00D45292"/>
    <w:rsid w:val="00D459D8"/>
    <w:rsid w:val="00D45A58"/>
    <w:rsid w:val="00D46217"/>
    <w:rsid w:val="00D46D1B"/>
    <w:rsid w:val="00D46E87"/>
    <w:rsid w:val="00D4764F"/>
    <w:rsid w:val="00D5074D"/>
    <w:rsid w:val="00D51590"/>
    <w:rsid w:val="00D52C03"/>
    <w:rsid w:val="00D52D23"/>
    <w:rsid w:val="00D54020"/>
    <w:rsid w:val="00D54B2F"/>
    <w:rsid w:val="00D54C23"/>
    <w:rsid w:val="00D56A3C"/>
    <w:rsid w:val="00D56BBD"/>
    <w:rsid w:val="00D572E5"/>
    <w:rsid w:val="00D577C3"/>
    <w:rsid w:val="00D60853"/>
    <w:rsid w:val="00D60DB7"/>
    <w:rsid w:val="00D613F1"/>
    <w:rsid w:val="00D615BA"/>
    <w:rsid w:val="00D618D8"/>
    <w:rsid w:val="00D619B5"/>
    <w:rsid w:val="00D62043"/>
    <w:rsid w:val="00D625D8"/>
    <w:rsid w:val="00D63006"/>
    <w:rsid w:val="00D64403"/>
    <w:rsid w:val="00D64634"/>
    <w:rsid w:val="00D64A59"/>
    <w:rsid w:val="00D64F9B"/>
    <w:rsid w:val="00D65251"/>
    <w:rsid w:val="00D65698"/>
    <w:rsid w:val="00D661BE"/>
    <w:rsid w:val="00D665BD"/>
    <w:rsid w:val="00D666A2"/>
    <w:rsid w:val="00D66E5B"/>
    <w:rsid w:val="00D67579"/>
    <w:rsid w:val="00D67D71"/>
    <w:rsid w:val="00D7045D"/>
    <w:rsid w:val="00D70D05"/>
    <w:rsid w:val="00D71616"/>
    <w:rsid w:val="00D72301"/>
    <w:rsid w:val="00D72C09"/>
    <w:rsid w:val="00D72D54"/>
    <w:rsid w:val="00D73403"/>
    <w:rsid w:val="00D73686"/>
    <w:rsid w:val="00D738F4"/>
    <w:rsid w:val="00D73F88"/>
    <w:rsid w:val="00D7428D"/>
    <w:rsid w:val="00D746CD"/>
    <w:rsid w:val="00D7478D"/>
    <w:rsid w:val="00D74F7A"/>
    <w:rsid w:val="00D75F1C"/>
    <w:rsid w:val="00D76903"/>
    <w:rsid w:val="00D7696B"/>
    <w:rsid w:val="00D7772F"/>
    <w:rsid w:val="00D800A1"/>
    <w:rsid w:val="00D806CA"/>
    <w:rsid w:val="00D81434"/>
    <w:rsid w:val="00D81994"/>
    <w:rsid w:val="00D819A2"/>
    <w:rsid w:val="00D81B36"/>
    <w:rsid w:val="00D81F65"/>
    <w:rsid w:val="00D8289B"/>
    <w:rsid w:val="00D8315F"/>
    <w:rsid w:val="00D83840"/>
    <w:rsid w:val="00D83D14"/>
    <w:rsid w:val="00D849B9"/>
    <w:rsid w:val="00D84EDB"/>
    <w:rsid w:val="00D8580A"/>
    <w:rsid w:val="00D86222"/>
    <w:rsid w:val="00D86874"/>
    <w:rsid w:val="00D8749E"/>
    <w:rsid w:val="00D87863"/>
    <w:rsid w:val="00D8787C"/>
    <w:rsid w:val="00D879A1"/>
    <w:rsid w:val="00D87F38"/>
    <w:rsid w:val="00D90849"/>
    <w:rsid w:val="00D90EEA"/>
    <w:rsid w:val="00D911DE"/>
    <w:rsid w:val="00D91B97"/>
    <w:rsid w:val="00D92AB4"/>
    <w:rsid w:val="00D9374A"/>
    <w:rsid w:val="00D93ACC"/>
    <w:rsid w:val="00D93C08"/>
    <w:rsid w:val="00D93F6D"/>
    <w:rsid w:val="00D95557"/>
    <w:rsid w:val="00D95DAC"/>
    <w:rsid w:val="00D964CD"/>
    <w:rsid w:val="00D96F6C"/>
    <w:rsid w:val="00DA0B53"/>
    <w:rsid w:val="00DA1716"/>
    <w:rsid w:val="00DA2219"/>
    <w:rsid w:val="00DA2767"/>
    <w:rsid w:val="00DA2955"/>
    <w:rsid w:val="00DA4A9B"/>
    <w:rsid w:val="00DA510B"/>
    <w:rsid w:val="00DA535C"/>
    <w:rsid w:val="00DA54DD"/>
    <w:rsid w:val="00DA551E"/>
    <w:rsid w:val="00DA5E5F"/>
    <w:rsid w:val="00DA6459"/>
    <w:rsid w:val="00DA7234"/>
    <w:rsid w:val="00DA7DF6"/>
    <w:rsid w:val="00DB004B"/>
    <w:rsid w:val="00DB1171"/>
    <w:rsid w:val="00DB1519"/>
    <w:rsid w:val="00DB246F"/>
    <w:rsid w:val="00DB2840"/>
    <w:rsid w:val="00DB2C0A"/>
    <w:rsid w:val="00DB2E06"/>
    <w:rsid w:val="00DB3065"/>
    <w:rsid w:val="00DB31F4"/>
    <w:rsid w:val="00DB4DAA"/>
    <w:rsid w:val="00DB5917"/>
    <w:rsid w:val="00DB591A"/>
    <w:rsid w:val="00DB5AE4"/>
    <w:rsid w:val="00DB5F51"/>
    <w:rsid w:val="00DB69F9"/>
    <w:rsid w:val="00DB6C4B"/>
    <w:rsid w:val="00DB6EA1"/>
    <w:rsid w:val="00DB737F"/>
    <w:rsid w:val="00DB7C11"/>
    <w:rsid w:val="00DC09E7"/>
    <w:rsid w:val="00DC1BD3"/>
    <w:rsid w:val="00DC1EFD"/>
    <w:rsid w:val="00DC2C1A"/>
    <w:rsid w:val="00DC3008"/>
    <w:rsid w:val="00DC389A"/>
    <w:rsid w:val="00DC3AE6"/>
    <w:rsid w:val="00DC4B6C"/>
    <w:rsid w:val="00DC60BC"/>
    <w:rsid w:val="00DC6797"/>
    <w:rsid w:val="00DC6C07"/>
    <w:rsid w:val="00DC7312"/>
    <w:rsid w:val="00DC7CBD"/>
    <w:rsid w:val="00DD01A5"/>
    <w:rsid w:val="00DD0391"/>
    <w:rsid w:val="00DD0F1A"/>
    <w:rsid w:val="00DD12A0"/>
    <w:rsid w:val="00DD13D6"/>
    <w:rsid w:val="00DD17E7"/>
    <w:rsid w:val="00DD4578"/>
    <w:rsid w:val="00DD53B0"/>
    <w:rsid w:val="00DD66B4"/>
    <w:rsid w:val="00DE04FD"/>
    <w:rsid w:val="00DE0547"/>
    <w:rsid w:val="00DE0DF1"/>
    <w:rsid w:val="00DE1972"/>
    <w:rsid w:val="00DE27AB"/>
    <w:rsid w:val="00DE2A19"/>
    <w:rsid w:val="00DE2F31"/>
    <w:rsid w:val="00DE33DD"/>
    <w:rsid w:val="00DE38A7"/>
    <w:rsid w:val="00DE38ED"/>
    <w:rsid w:val="00DE44AA"/>
    <w:rsid w:val="00DE4572"/>
    <w:rsid w:val="00DE45D6"/>
    <w:rsid w:val="00DE4B56"/>
    <w:rsid w:val="00DE4D05"/>
    <w:rsid w:val="00DE5144"/>
    <w:rsid w:val="00DE529A"/>
    <w:rsid w:val="00DE6520"/>
    <w:rsid w:val="00DE6CA3"/>
    <w:rsid w:val="00DE6D5A"/>
    <w:rsid w:val="00DE761E"/>
    <w:rsid w:val="00DF03B9"/>
    <w:rsid w:val="00DF0CB4"/>
    <w:rsid w:val="00DF14F4"/>
    <w:rsid w:val="00DF21B8"/>
    <w:rsid w:val="00DF2AB3"/>
    <w:rsid w:val="00DF4515"/>
    <w:rsid w:val="00DF4E64"/>
    <w:rsid w:val="00DF56C0"/>
    <w:rsid w:val="00DF5DAA"/>
    <w:rsid w:val="00DF6068"/>
    <w:rsid w:val="00DF65F8"/>
    <w:rsid w:val="00DF7045"/>
    <w:rsid w:val="00DF7195"/>
    <w:rsid w:val="00DF7250"/>
    <w:rsid w:val="00DF7352"/>
    <w:rsid w:val="00DF76EF"/>
    <w:rsid w:val="00DF7B94"/>
    <w:rsid w:val="00E0026D"/>
    <w:rsid w:val="00E00819"/>
    <w:rsid w:val="00E00B17"/>
    <w:rsid w:val="00E00CAA"/>
    <w:rsid w:val="00E00E70"/>
    <w:rsid w:val="00E00F10"/>
    <w:rsid w:val="00E01440"/>
    <w:rsid w:val="00E017F1"/>
    <w:rsid w:val="00E02341"/>
    <w:rsid w:val="00E024EC"/>
    <w:rsid w:val="00E02639"/>
    <w:rsid w:val="00E02FDD"/>
    <w:rsid w:val="00E03468"/>
    <w:rsid w:val="00E03A36"/>
    <w:rsid w:val="00E03EBF"/>
    <w:rsid w:val="00E0454A"/>
    <w:rsid w:val="00E048C1"/>
    <w:rsid w:val="00E05209"/>
    <w:rsid w:val="00E052A1"/>
    <w:rsid w:val="00E05AC1"/>
    <w:rsid w:val="00E05CF7"/>
    <w:rsid w:val="00E062E1"/>
    <w:rsid w:val="00E06705"/>
    <w:rsid w:val="00E070F0"/>
    <w:rsid w:val="00E10DE7"/>
    <w:rsid w:val="00E11254"/>
    <w:rsid w:val="00E11BCF"/>
    <w:rsid w:val="00E1219F"/>
    <w:rsid w:val="00E1332B"/>
    <w:rsid w:val="00E13D9F"/>
    <w:rsid w:val="00E151AD"/>
    <w:rsid w:val="00E15CF7"/>
    <w:rsid w:val="00E15D52"/>
    <w:rsid w:val="00E15F70"/>
    <w:rsid w:val="00E1651B"/>
    <w:rsid w:val="00E1767B"/>
    <w:rsid w:val="00E17C47"/>
    <w:rsid w:val="00E2104F"/>
    <w:rsid w:val="00E2119C"/>
    <w:rsid w:val="00E21323"/>
    <w:rsid w:val="00E22173"/>
    <w:rsid w:val="00E22455"/>
    <w:rsid w:val="00E2258E"/>
    <w:rsid w:val="00E22AD1"/>
    <w:rsid w:val="00E2356B"/>
    <w:rsid w:val="00E23791"/>
    <w:rsid w:val="00E23C87"/>
    <w:rsid w:val="00E252C5"/>
    <w:rsid w:val="00E25863"/>
    <w:rsid w:val="00E2598D"/>
    <w:rsid w:val="00E25ECD"/>
    <w:rsid w:val="00E260C2"/>
    <w:rsid w:val="00E26812"/>
    <w:rsid w:val="00E305AE"/>
    <w:rsid w:val="00E30907"/>
    <w:rsid w:val="00E30BDF"/>
    <w:rsid w:val="00E30BF2"/>
    <w:rsid w:val="00E3176F"/>
    <w:rsid w:val="00E32079"/>
    <w:rsid w:val="00E32596"/>
    <w:rsid w:val="00E32679"/>
    <w:rsid w:val="00E33083"/>
    <w:rsid w:val="00E332D4"/>
    <w:rsid w:val="00E33509"/>
    <w:rsid w:val="00E33526"/>
    <w:rsid w:val="00E3366C"/>
    <w:rsid w:val="00E33DA0"/>
    <w:rsid w:val="00E33EE7"/>
    <w:rsid w:val="00E35272"/>
    <w:rsid w:val="00E356D1"/>
    <w:rsid w:val="00E368F7"/>
    <w:rsid w:val="00E36EB8"/>
    <w:rsid w:val="00E37D99"/>
    <w:rsid w:val="00E37E1B"/>
    <w:rsid w:val="00E37FB8"/>
    <w:rsid w:val="00E40923"/>
    <w:rsid w:val="00E40B07"/>
    <w:rsid w:val="00E41831"/>
    <w:rsid w:val="00E42326"/>
    <w:rsid w:val="00E43544"/>
    <w:rsid w:val="00E44325"/>
    <w:rsid w:val="00E44D89"/>
    <w:rsid w:val="00E46B9C"/>
    <w:rsid w:val="00E471F9"/>
    <w:rsid w:val="00E47215"/>
    <w:rsid w:val="00E47220"/>
    <w:rsid w:val="00E477EA"/>
    <w:rsid w:val="00E47D46"/>
    <w:rsid w:val="00E50828"/>
    <w:rsid w:val="00E50CFA"/>
    <w:rsid w:val="00E5193D"/>
    <w:rsid w:val="00E51A13"/>
    <w:rsid w:val="00E52359"/>
    <w:rsid w:val="00E527E9"/>
    <w:rsid w:val="00E52B6B"/>
    <w:rsid w:val="00E53BD3"/>
    <w:rsid w:val="00E55807"/>
    <w:rsid w:val="00E559B0"/>
    <w:rsid w:val="00E55AAC"/>
    <w:rsid w:val="00E55B09"/>
    <w:rsid w:val="00E55E33"/>
    <w:rsid w:val="00E568E1"/>
    <w:rsid w:val="00E5704F"/>
    <w:rsid w:val="00E579A8"/>
    <w:rsid w:val="00E57ED3"/>
    <w:rsid w:val="00E57F1F"/>
    <w:rsid w:val="00E6068C"/>
    <w:rsid w:val="00E60B16"/>
    <w:rsid w:val="00E60CDD"/>
    <w:rsid w:val="00E614E2"/>
    <w:rsid w:val="00E61BBD"/>
    <w:rsid w:val="00E63296"/>
    <w:rsid w:val="00E63891"/>
    <w:rsid w:val="00E63B14"/>
    <w:rsid w:val="00E64148"/>
    <w:rsid w:val="00E645B5"/>
    <w:rsid w:val="00E65C7E"/>
    <w:rsid w:val="00E65CA0"/>
    <w:rsid w:val="00E65F11"/>
    <w:rsid w:val="00E6610B"/>
    <w:rsid w:val="00E6649F"/>
    <w:rsid w:val="00E667C3"/>
    <w:rsid w:val="00E67799"/>
    <w:rsid w:val="00E67F00"/>
    <w:rsid w:val="00E67F7D"/>
    <w:rsid w:val="00E70353"/>
    <w:rsid w:val="00E706DF"/>
    <w:rsid w:val="00E70806"/>
    <w:rsid w:val="00E70D9F"/>
    <w:rsid w:val="00E71327"/>
    <w:rsid w:val="00E71601"/>
    <w:rsid w:val="00E73DE8"/>
    <w:rsid w:val="00E74712"/>
    <w:rsid w:val="00E749A1"/>
    <w:rsid w:val="00E758F3"/>
    <w:rsid w:val="00E763AD"/>
    <w:rsid w:val="00E7660E"/>
    <w:rsid w:val="00E76D16"/>
    <w:rsid w:val="00E76E01"/>
    <w:rsid w:val="00E77416"/>
    <w:rsid w:val="00E77784"/>
    <w:rsid w:val="00E77B4D"/>
    <w:rsid w:val="00E77C0B"/>
    <w:rsid w:val="00E80B77"/>
    <w:rsid w:val="00E8111A"/>
    <w:rsid w:val="00E812D4"/>
    <w:rsid w:val="00E812DE"/>
    <w:rsid w:val="00E82146"/>
    <w:rsid w:val="00E82C3F"/>
    <w:rsid w:val="00E83311"/>
    <w:rsid w:val="00E83810"/>
    <w:rsid w:val="00E84252"/>
    <w:rsid w:val="00E84CE7"/>
    <w:rsid w:val="00E853C6"/>
    <w:rsid w:val="00E853CB"/>
    <w:rsid w:val="00E85512"/>
    <w:rsid w:val="00E8567B"/>
    <w:rsid w:val="00E86563"/>
    <w:rsid w:val="00E86933"/>
    <w:rsid w:val="00E871B6"/>
    <w:rsid w:val="00E873BE"/>
    <w:rsid w:val="00E9077F"/>
    <w:rsid w:val="00E9098F"/>
    <w:rsid w:val="00E90A97"/>
    <w:rsid w:val="00E912D2"/>
    <w:rsid w:val="00E92110"/>
    <w:rsid w:val="00E92140"/>
    <w:rsid w:val="00E92CA1"/>
    <w:rsid w:val="00E938C4"/>
    <w:rsid w:val="00E93C53"/>
    <w:rsid w:val="00E9514A"/>
    <w:rsid w:val="00E95663"/>
    <w:rsid w:val="00E9580A"/>
    <w:rsid w:val="00E95CE9"/>
    <w:rsid w:val="00E9605B"/>
    <w:rsid w:val="00E96880"/>
    <w:rsid w:val="00E970EC"/>
    <w:rsid w:val="00E97298"/>
    <w:rsid w:val="00E976F0"/>
    <w:rsid w:val="00E97753"/>
    <w:rsid w:val="00E9788B"/>
    <w:rsid w:val="00E97DA3"/>
    <w:rsid w:val="00EA071A"/>
    <w:rsid w:val="00EA09F8"/>
    <w:rsid w:val="00EA0BF3"/>
    <w:rsid w:val="00EA0C51"/>
    <w:rsid w:val="00EA13F8"/>
    <w:rsid w:val="00EA186A"/>
    <w:rsid w:val="00EA268F"/>
    <w:rsid w:val="00EA26AC"/>
    <w:rsid w:val="00EA26FA"/>
    <w:rsid w:val="00EA2900"/>
    <w:rsid w:val="00EA294F"/>
    <w:rsid w:val="00EA4D16"/>
    <w:rsid w:val="00EA5176"/>
    <w:rsid w:val="00EA58B8"/>
    <w:rsid w:val="00EA5B4A"/>
    <w:rsid w:val="00EA5DA3"/>
    <w:rsid w:val="00EA660B"/>
    <w:rsid w:val="00EA7067"/>
    <w:rsid w:val="00EA7DE7"/>
    <w:rsid w:val="00EB0945"/>
    <w:rsid w:val="00EB0BD1"/>
    <w:rsid w:val="00EB0F98"/>
    <w:rsid w:val="00EB1DCE"/>
    <w:rsid w:val="00EB466F"/>
    <w:rsid w:val="00EB5388"/>
    <w:rsid w:val="00EB556E"/>
    <w:rsid w:val="00EB5CE1"/>
    <w:rsid w:val="00EB5F2E"/>
    <w:rsid w:val="00EB6829"/>
    <w:rsid w:val="00EB6AA2"/>
    <w:rsid w:val="00EB7A8A"/>
    <w:rsid w:val="00EB7D5A"/>
    <w:rsid w:val="00EC0229"/>
    <w:rsid w:val="00EC0347"/>
    <w:rsid w:val="00EC0654"/>
    <w:rsid w:val="00EC110D"/>
    <w:rsid w:val="00EC2295"/>
    <w:rsid w:val="00EC2524"/>
    <w:rsid w:val="00EC263A"/>
    <w:rsid w:val="00EC3E18"/>
    <w:rsid w:val="00EC44C5"/>
    <w:rsid w:val="00EC45A1"/>
    <w:rsid w:val="00EC462F"/>
    <w:rsid w:val="00EC51FB"/>
    <w:rsid w:val="00EC6CC1"/>
    <w:rsid w:val="00EC6EF4"/>
    <w:rsid w:val="00EC6FED"/>
    <w:rsid w:val="00EC7006"/>
    <w:rsid w:val="00EC753E"/>
    <w:rsid w:val="00EC7F3B"/>
    <w:rsid w:val="00ED0185"/>
    <w:rsid w:val="00ED13C9"/>
    <w:rsid w:val="00ED2398"/>
    <w:rsid w:val="00ED24EE"/>
    <w:rsid w:val="00ED2C8A"/>
    <w:rsid w:val="00ED35EC"/>
    <w:rsid w:val="00ED437A"/>
    <w:rsid w:val="00ED4C05"/>
    <w:rsid w:val="00ED4FE2"/>
    <w:rsid w:val="00ED5165"/>
    <w:rsid w:val="00ED5299"/>
    <w:rsid w:val="00ED5463"/>
    <w:rsid w:val="00ED5A34"/>
    <w:rsid w:val="00ED68A9"/>
    <w:rsid w:val="00ED6F8A"/>
    <w:rsid w:val="00ED7A87"/>
    <w:rsid w:val="00ED7BA4"/>
    <w:rsid w:val="00ED7C2E"/>
    <w:rsid w:val="00EE01DA"/>
    <w:rsid w:val="00EE07DC"/>
    <w:rsid w:val="00EE331C"/>
    <w:rsid w:val="00EE3A64"/>
    <w:rsid w:val="00EE408E"/>
    <w:rsid w:val="00EE45F8"/>
    <w:rsid w:val="00EE50E5"/>
    <w:rsid w:val="00EE58C2"/>
    <w:rsid w:val="00EE6555"/>
    <w:rsid w:val="00EF01CF"/>
    <w:rsid w:val="00EF10F9"/>
    <w:rsid w:val="00EF124B"/>
    <w:rsid w:val="00EF54C6"/>
    <w:rsid w:val="00EF59B7"/>
    <w:rsid w:val="00EF645C"/>
    <w:rsid w:val="00EF658E"/>
    <w:rsid w:val="00EF6648"/>
    <w:rsid w:val="00EF7036"/>
    <w:rsid w:val="00EF77A7"/>
    <w:rsid w:val="00F00506"/>
    <w:rsid w:val="00F009FF"/>
    <w:rsid w:val="00F00AFF"/>
    <w:rsid w:val="00F01783"/>
    <w:rsid w:val="00F01879"/>
    <w:rsid w:val="00F021FB"/>
    <w:rsid w:val="00F03590"/>
    <w:rsid w:val="00F03622"/>
    <w:rsid w:val="00F04F8D"/>
    <w:rsid w:val="00F05414"/>
    <w:rsid w:val="00F05AE7"/>
    <w:rsid w:val="00F05B37"/>
    <w:rsid w:val="00F06881"/>
    <w:rsid w:val="00F06CD6"/>
    <w:rsid w:val="00F06D01"/>
    <w:rsid w:val="00F077FD"/>
    <w:rsid w:val="00F0789A"/>
    <w:rsid w:val="00F1007D"/>
    <w:rsid w:val="00F101E5"/>
    <w:rsid w:val="00F102F6"/>
    <w:rsid w:val="00F10464"/>
    <w:rsid w:val="00F1058E"/>
    <w:rsid w:val="00F10D5B"/>
    <w:rsid w:val="00F11073"/>
    <w:rsid w:val="00F11FD0"/>
    <w:rsid w:val="00F12CFA"/>
    <w:rsid w:val="00F1351D"/>
    <w:rsid w:val="00F137E4"/>
    <w:rsid w:val="00F13DEA"/>
    <w:rsid w:val="00F13EB7"/>
    <w:rsid w:val="00F14A96"/>
    <w:rsid w:val="00F150FA"/>
    <w:rsid w:val="00F1515A"/>
    <w:rsid w:val="00F1537A"/>
    <w:rsid w:val="00F1561C"/>
    <w:rsid w:val="00F15D98"/>
    <w:rsid w:val="00F15FBB"/>
    <w:rsid w:val="00F160DD"/>
    <w:rsid w:val="00F16193"/>
    <w:rsid w:val="00F1657A"/>
    <w:rsid w:val="00F16E35"/>
    <w:rsid w:val="00F1703C"/>
    <w:rsid w:val="00F17F32"/>
    <w:rsid w:val="00F204F3"/>
    <w:rsid w:val="00F216DA"/>
    <w:rsid w:val="00F218AB"/>
    <w:rsid w:val="00F22B2E"/>
    <w:rsid w:val="00F22D29"/>
    <w:rsid w:val="00F23176"/>
    <w:rsid w:val="00F2348A"/>
    <w:rsid w:val="00F238B3"/>
    <w:rsid w:val="00F23D30"/>
    <w:rsid w:val="00F241F8"/>
    <w:rsid w:val="00F24892"/>
    <w:rsid w:val="00F24A8E"/>
    <w:rsid w:val="00F24FED"/>
    <w:rsid w:val="00F250A1"/>
    <w:rsid w:val="00F254FC"/>
    <w:rsid w:val="00F2553A"/>
    <w:rsid w:val="00F25586"/>
    <w:rsid w:val="00F258C9"/>
    <w:rsid w:val="00F2651D"/>
    <w:rsid w:val="00F266C7"/>
    <w:rsid w:val="00F27144"/>
    <w:rsid w:val="00F27362"/>
    <w:rsid w:val="00F27630"/>
    <w:rsid w:val="00F27A37"/>
    <w:rsid w:val="00F27B7D"/>
    <w:rsid w:val="00F30003"/>
    <w:rsid w:val="00F30401"/>
    <w:rsid w:val="00F305B5"/>
    <w:rsid w:val="00F31498"/>
    <w:rsid w:val="00F31B67"/>
    <w:rsid w:val="00F325B9"/>
    <w:rsid w:val="00F32FEF"/>
    <w:rsid w:val="00F331D0"/>
    <w:rsid w:val="00F3383F"/>
    <w:rsid w:val="00F33FD4"/>
    <w:rsid w:val="00F33FEC"/>
    <w:rsid w:val="00F34BAC"/>
    <w:rsid w:val="00F34F68"/>
    <w:rsid w:val="00F3537B"/>
    <w:rsid w:val="00F3546B"/>
    <w:rsid w:val="00F356A8"/>
    <w:rsid w:val="00F3595A"/>
    <w:rsid w:val="00F35D64"/>
    <w:rsid w:val="00F35E85"/>
    <w:rsid w:val="00F36AC4"/>
    <w:rsid w:val="00F370B0"/>
    <w:rsid w:val="00F37A54"/>
    <w:rsid w:val="00F41409"/>
    <w:rsid w:val="00F418FE"/>
    <w:rsid w:val="00F41B1C"/>
    <w:rsid w:val="00F4240E"/>
    <w:rsid w:val="00F42BBE"/>
    <w:rsid w:val="00F42E13"/>
    <w:rsid w:val="00F42F1C"/>
    <w:rsid w:val="00F430C8"/>
    <w:rsid w:val="00F43314"/>
    <w:rsid w:val="00F43B44"/>
    <w:rsid w:val="00F440E5"/>
    <w:rsid w:val="00F44723"/>
    <w:rsid w:val="00F448F6"/>
    <w:rsid w:val="00F44B59"/>
    <w:rsid w:val="00F44B83"/>
    <w:rsid w:val="00F44F67"/>
    <w:rsid w:val="00F45598"/>
    <w:rsid w:val="00F45A08"/>
    <w:rsid w:val="00F468D6"/>
    <w:rsid w:val="00F46A7F"/>
    <w:rsid w:val="00F473CD"/>
    <w:rsid w:val="00F503A8"/>
    <w:rsid w:val="00F50477"/>
    <w:rsid w:val="00F50CE6"/>
    <w:rsid w:val="00F51220"/>
    <w:rsid w:val="00F5226F"/>
    <w:rsid w:val="00F5239A"/>
    <w:rsid w:val="00F52741"/>
    <w:rsid w:val="00F52C2B"/>
    <w:rsid w:val="00F53264"/>
    <w:rsid w:val="00F538F4"/>
    <w:rsid w:val="00F53D8A"/>
    <w:rsid w:val="00F55918"/>
    <w:rsid w:val="00F55CE4"/>
    <w:rsid w:val="00F55F4E"/>
    <w:rsid w:val="00F56124"/>
    <w:rsid w:val="00F562A1"/>
    <w:rsid w:val="00F562F5"/>
    <w:rsid w:val="00F5771D"/>
    <w:rsid w:val="00F61812"/>
    <w:rsid w:val="00F61E6B"/>
    <w:rsid w:val="00F6219E"/>
    <w:rsid w:val="00F621D1"/>
    <w:rsid w:val="00F626F7"/>
    <w:rsid w:val="00F62A4D"/>
    <w:rsid w:val="00F64B86"/>
    <w:rsid w:val="00F64E57"/>
    <w:rsid w:val="00F66ADA"/>
    <w:rsid w:val="00F67A8B"/>
    <w:rsid w:val="00F67AFF"/>
    <w:rsid w:val="00F70006"/>
    <w:rsid w:val="00F7020B"/>
    <w:rsid w:val="00F702FD"/>
    <w:rsid w:val="00F711D3"/>
    <w:rsid w:val="00F722F8"/>
    <w:rsid w:val="00F736F9"/>
    <w:rsid w:val="00F73833"/>
    <w:rsid w:val="00F73F31"/>
    <w:rsid w:val="00F73F67"/>
    <w:rsid w:val="00F74108"/>
    <w:rsid w:val="00F7447A"/>
    <w:rsid w:val="00F74C23"/>
    <w:rsid w:val="00F74D9B"/>
    <w:rsid w:val="00F75697"/>
    <w:rsid w:val="00F758E7"/>
    <w:rsid w:val="00F75AA7"/>
    <w:rsid w:val="00F75B0F"/>
    <w:rsid w:val="00F76A0D"/>
    <w:rsid w:val="00F76AAB"/>
    <w:rsid w:val="00F77245"/>
    <w:rsid w:val="00F77C04"/>
    <w:rsid w:val="00F80189"/>
    <w:rsid w:val="00F80286"/>
    <w:rsid w:val="00F80441"/>
    <w:rsid w:val="00F80C84"/>
    <w:rsid w:val="00F811E9"/>
    <w:rsid w:val="00F81323"/>
    <w:rsid w:val="00F81854"/>
    <w:rsid w:val="00F819F0"/>
    <w:rsid w:val="00F81C49"/>
    <w:rsid w:val="00F81CB0"/>
    <w:rsid w:val="00F820DC"/>
    <w:rsid w:val="00F8291A"/>
    <w:rsid w:val="00F83DD7"/>
    <w:rsid w:val="00F849FA"/>
    <w:rsid w:val="00F84D4F"/>
    <w:rsid w:val="00F8618D"/>
    <w:rsid w:val="00F864F2"/>
    <w:rsid w:val="00F86EFD"/>
    <w:rsid w:val="00F90AF4"/>
    <w:rsid w:val="00F90B8D"/>
    <w:rsid w:val="00F92019"/>
    <w:rsid w:val="00F9211C"/>
    <w:rsid w:val="00F921E2"/>
    <w:rsid w:val="00F9234F"/>
    <w:rsid w:val="00F92B8C"/>
    <w:rsid w:val="00F93023"/>
    <w:rsid w:val="00F936E5"/>
    <w:rsid w:val="00F93838"/>
    <w:rsid w:val="00F944DE"/>
    <w:rsid w:val="00F9474A"/>
    <w:rsid w:val="00F949F9"/>
    <w:rsid w:val="00F95244"/>
    <w:rsid w:val="00F95901"/>
    <w:rsid w:val="00F96C75"/>
    <w:rsid w:val="00FA065C"/>
    <w:rsid w:val="00FA095D"/>
    <w:rsid w:val="00FA0BD3"/>
    <w:rsid w:val="00FA0F16"/>
    <w:rsid w:val="00FA1152"/>
    <w:rsid w:val="00FA2BF7"/>
    <w:rsid w:val="00FA3081"/>
    <w:rsid w:val="00FA4946"/>
    <w:rsid w:val="00FA4A09"/>
    <w:rsid w:val="00FA4F80"/>
    <w:rsid w:val="00FA5107"/>
    <w:rsid w:val="00FA5B6D"/>
    <w:rsid w:val="00FA6873"/>
    <w:rsid w:val="00FA6C8B"/>
    <w:rsid w:val="00FA6CDA"/>
    <w:rsid w:val="00FA74D8"/>
    <w:rsid w:val="00FA7A98"/>
    <w:rsid w:val="00FA7C89"/>
    <w:rsid w:val="00FB04E2"/>
    <w:rsid w:val="00FB2060"/>
    <w:rsid w:val="00FB29BB"/>
    <w:rsid w:val="00FB39C5"/>
    <w:rsid w:val="00FB3FE2"/>
    <w:rsid w:val="00FB4139"/>
    <w:rsid w:val="00FB476E"/>
    <w:rsid w:val="00FB556F"/>
    <w:rsid w:val="00FB5C7E"/>
    <w:rsid w:val="00FB62E9"/>
    <w:rsid w:val="00FB65BA"/>
    <w:rsid w:val="00FB6FAB"/>
    <w:rsid w:val="00FC09A3"/>
    <w:rsid w:val="00FC0D90"/>
    <w:rsid w:val="00FC0F09"/>
    <w:rsid w:val="00FC249E"/>
    <w:rsid w:val="00FC2CB7"/>
    <w:rsid w:val="00FC41AC"/>
    <w:rsid w:val="00FC45F8"/>
    <w:rsid w:val="00FC4637"/>
    <w:rsid w:val="00FC4A8F"/>
    <w:rsid w:val="00FC53CA"/>
    <w:rsid w:val="00FC5633"/>
    <w:rsid w:val="00FC58C8"/>
    <w:rsid w:val="00FC5A2B"/>
    <w:rsid w:val="00FC5A88"/>
    <w:rsid w:val="00FC60EC"/>
    <w:rsid w:val="00FC6408"/>
    <w:rsid w:val="00FC650B"/>
    <w:rsid w:val="00FC6EE0"/>
    <w:rsid w:val="00FC74DA"/>
    <w:rsid w:val="00FC7C9A"/>
    <w:rsid w:val="00FC7D8C"/>
    <w:rsid w:val="00FC7EA2"/>
    <w:rsid w:val="00FD0208"/>
    <w:rsid w:val="00FD042D"/>
    <w:rsid w:val="00FD0457"/>
    <w:rsid w:val="00FD0AFB"/>
    <w:rsid w:val="00FD15E6"/>
    <w:rsid w:val="00FD1CD3"/>
    <w:rsid w:val="00FD30C6"/>
    <w:rsid w:val="00FD378B"/>
    <w:rsid w:val="00FD3980"/>
    <w:rsid w:val="00FD431E"/>
    <w:rsid w:val="00FD44B7"/>
    <w:rsid w:val="00FD5A2C"/>
    <w:rsid w:val="00FD6619"/>
    <w:rsid w:val="00FD6740"/>
    <w:rsid w:val="00FD7875"/>
    <w:rsid w:val="00FE05E7"/>
    <w:rsid w:val="00FE0D47"/>
    <w:rsid w:val="00FE0F15"/>
    <w:rsid w:val="00FE11B7"/>
    <w:rsid w:val="00FE19D6"/>
    <w:rsid w:val="00FE1C33"/>
    <w:rsid w:val="00FE1D5C"/>
    <w:rsid w:val="00FE2405"/>
    <w:rsid w:val="00FE2F8B"/>
    <w:rsid w:val="00FE3669"/>
    <w:rsid w:val="00FE3BC0"/>
    <w:rsid w:val="00FE3BE5"/>
    <w:rsid w:val="00FE4166"/>
    <w:rsid w:val="00FE4FFC"/>
    <w:rsid w:val="00FE5204"/>
    <w:rsid w:val="00FE6B63"/>
    <w:rsid w:val="00FF192B"/>
    <w:rsid w:val="00FF1A23"/>
    <w:rsid w:val="00FF287F"/>
    <w:rsid w:val="00FF29C8"/>
    <w:rsid w:val="00FF29E0"/>
    <w:rsid w:val="00FF2ECF"/>
    <w:rsid w:val="00FF31EE"/>
    <w:rsid w:val="00FF3F73"/>
    <w:rsid w:val="00FF4D85"/>
    <w:rsid w:val="00FF4DE9"/>
    <w:rsid w:val="00FF568E"/>
    <w:rsid w:val="00FF5C2D"/>
    <w:rsid w:val="00FF6193"/>
    <w:rsid w:val="00FF6222"/>
    <w:rsid w:val="00FF74A8"/>
    <w:rsid w:val="00FF75EB"/>
    <w:rsid w:val="015EE694"/>
    <w:rsid w:val="01D6BD6A"/>
    <w:rsid w:val="027F0F91"/>
    <w:rsid w:val="0324A835"/>
    <w:rsid w:val="03402F31"/>
    <w:rsid w:val="03C212E3"/>
    <w:rsid w:val="041ADFF2"/>
    <w:rsid w:val="048C1FA6"/>
    <w:rsid w:val="05029113"/>
    <w:rsid w:val="07048BE6"/>
    <w:rsid w:val="073654DF"/>
    <w:rsid w:val="074F24BD"/>
    <w:rsid w:val="07530E3C"/>
    <w:rsid w:val="0895897A"/>
    <w:rsid w:val="0899757D"/>
    <w:rsid w:val="089C62A7"/>
    <w:rsid w:val="08B21B18"/>
    <w:rsid w:val="08EFD2FA"/>
    <w:rsid w:val="092B8229"/>
    <w:rsid w:val="0933E794"/>
    <w:rsid w:val="09DF47C9"/>
    <w:rsid w:val="0A33FBFB"/>
    <w:rsid w:val="0A94A400"/>
    <w:rsid w:val="0AB54DF8"/>
    <w:rsid w:val="0B1491A9"/>
    <w:rsid w:val="0B5BC59B"/>
    <w:rsid w:val="0B9A2F6A"/>
    <w:rsid w:val="0C6AFD00"/>
    <w:rsid w:val="0CB870BA"/>
    <w:rsid w:val="0DC08E6C"/>
    <w:rsid w:val="0E086BC3"/>
    <w:rsid w:val="0F2E6C22"/>
    <w:rsid w:val="0F96850E"/>
    <w:rsid w:val="0F976AF9"/>
    <w:rsid w:val="107E530E"/>
    <w:rsid w:val="109A925F"/>
    <w:rsid w:val="10C4A98D"/>
    <w:rsid w:val="113754BD"/>
    <w:rsid w:val="113DDA99"/>
    <w:rsid w:val="121A236F"/>
    <w:rsid w:val="1253A5BF"/>
    <w:rsid w:val="1279C88A"/>
    <w:rsid w:val="1554229C"/>
    <w:rsid w:val="155A9B29"/>
    <w:rsid w:val="15E4FC28"/>
    <w:rsid w:val="1632930F"/>
    <w:rsid w:val="16CC6911"/>
    <w:rsid w:val="16D6A1B0"/>
    <w:rsid w:val="16E89858"/>
    <w:rsid w:val="1702C9F5"/>
    <w:rsid w:val="179F5BB3"/>
    <w:rsid w:val="195D0C96"/>
    <w:rsid w:val="19864266"/>
    <w:rsid w:val="19950756"/>
    <w:rsid w:val="1A6257CC"/>
    <w:rsid w:val="1B0AB1CD"/>
    <w:rsid w:val="1B268E2B"/>
    <w:rsid w:val="1B28E155"/>
    <w:rsid w:val="1B80F893"/>
    <w:rsid w:val="1B82407C"/>
    <w:rsid w:val="1BA49567"/>
    <w:rsid w:val="1BF6873A"/>
    <w:rsid w:val="1C1857B1"/>
    <w:rsid w:val="1C88243A"/>
    <w:rsid w:val="1C884290"/>
    <w:rsid w:val="1CCFEC50"/>
    <w:rsid w:val="1D290311"/>
    <w:rsid w:val="1D4065C8"/>
    <w:rsid w:val="1D540FCC"/>
    <w:rsid w:val="1D854224"/>
    <w:rsid w:val="1D88F5F8"/>
    <w:rsid w:val="1DC01C92"/>
    <w:rsid w:val="1DC627EF"/>
    <w:rsid w:val="1DE63E7F"/>
    <w:rsid w:val="1E1CB514"/>
    <w:rsid w:val="1F8A3C8C"/>
    <w:rsid w:val="207EA748"/>
    <w:rsid w:val="20FB1EB7"/>
    <w:rsid w:val="213AFC02"/>
    <w:rsid w:val="2213D6EB"/>
    <w:rsid w:val="22154DDC"/>
    <w:rsid w:val="229341E4"/>
    <w:rsid w:val="22EEF59F"/>
    <w:rsid w:val="2317FC17"/>
    <w:rsid w:val="23C4A996"/>
    <w:rsid w:val="23E0DEFC"/>
    <w:rsid w:val="2456AD79"/>
    <w:rsid w:val="254A8A35"/>
    <w:rsid w:val="259BC480"/>
    <w:rsid w:val="25C5BEC0"/>
    <w:rsid w:val="25C94F8D"/>
    <w:rsid w:val="2662F626"/>
    <w:rsid w:val="26A41787"/>
    <w:rsid w:val="26F7F700"/>
    <w:rsid w:val="27670C3B"/>
    <w:rsid w:val="2815E497"/>
    <w:rsid w:val="285AC5AF"/>
    <w:rsid w:val="2895358F"/>
    <w:rsid w:val="29232E21"/>
    <w:rsid w:val="293B93AF"/>
    <w:rsid w:val="296ED136"/>
    <w:rsid w:val="29FC4ED0"/>
    <w:rsid w:val="2A411702"/>
    <w:rsid w:val="2A97A66F"/>
    <w:rsid w:val="2ACDC10B"/>
    <w:rsid w:val="2AEA395C"/>
    <w:rsid w:val="2B563EBE"/>
    <w:rsid w:val="2C095302"/>
    <w:rsid w:val="2C54DA7B"/>
    <w:rsid w:val="2C5729A8"/>
    <w:rsid w:val="2C6354A5"/>
    <w:rsid w:val="2C7AED09"/>
    <w:rsid w:val="2D65FE21"/>
    <w:rsid w:val="2D8DCD2C"/>
    <w:rsid w:val="2D919EEE"/>
    <w:rsid w:val="2E491C19"/>
    <w:rsid w:val="2ED89744"/>
    <w:rsid w:val="2F6B1792"/>
    <w:rsid w:val="2FD79FDC"/>
    <w:rsid w:val="309CE0B4"/>
    <w:rsid w:val="31A51EA2"/>
    <w:rsid w:val="322496B7"/>
    <w:rsid w:val="334B35FC"/>
    <w:rsid w:val="33831459"/>
    <w:rsid w:val="345B543F"/>
    <w:rsid w:val="347E1155"/>
    <w:rsid w:val="34A19D9D"/>
    <w:rsid w:val="34A62109"/>
    <w:rsid w:val="34E7065D"/>
    <w:rsid w:val="3590421A"/>
    <w:rsid w:val="35B9FCC5"/>
    <w:rsid w:val="35E6BC82"/>
    <w:rsid w:val="35F45608"/>
    <w:rsid w:val="361587CB"/>
    <w:rsid w:val="3619E122"/>
    <w:rsid w:val="36682729"/>
    <w:rsid w:val="376BE03D"/>
    <w:rsid w:val="37C27A22"/>
    <w:rsid w:val="38A6BD3C"/>
    <w:rsid w:val="38AB020D"/>
    <w:rsid w:val="390A8666"/>
    <w:rsid w:val="393C9BA2"/>
    <w:rsid w:val="3995FFFC"/>
    <w:rsid w:val="39CA75ED"/>
    <w:rsid w:val="39F3CD37"/>
    <w:rsid w:val="3B5624A3"/>
    <w:rsid w:val="3C349EAD"/>
    <w:rsid w:val="3C654362"/>
    <w:rsid w:val="3CCFB820"/>
    <w:rsid w:val="3D2776EB"/>
    <w:rsid w:val="3D27C030"/>
    <w:rsid w:val="3D60098A"/>
    <w:rsid w:val="3D77F85F"/>
    <w:rsid w:val="3DD69078"/>
    <w:rsid w:val="3E27BEAA"/>
    <w:rsid w:val="3E5B00FF"/>
    <w:rsid w:val="3E6842DC"/>
    <w:rsid w:val="3E7ABBDB"/>
    <w:rsid w:val="3E7CB8C0"/>
    <w:rsid w:val="3E99A0E7"/>
    <w:rsid w:val="3EA02038"/>
    <w:rsid w:val="3EB980D0"/>
    <w:rsid w:val="3F02458C"/>
    <w:rsid w:val="3FA8A590"/>
    <w:rsid w:val="3FE9645D"/>
    <w:rsid w:val="3FF32286"/>
    <w:rsid w:val="408CA896"/>
    <w:rsid w:val="40969306"/>
    <w:rsid w:val="40B420F2"/>
    <w:rsid w:val="40E910A0"/>
    <w:rsid w:val="41750E83"/>
    <w:rsid w:val="417D2C44"/>
    <w:rsid w:val="41BAC9AD"/>
    <w:rsid w:val="42B5F259"/>
    <w:rsid w:val="42CBC4C8"/>
    <w:rsid w:val="42CD9D10"/>
    <w:rsid w:val="4310DEE4"/>
    <w:rsid w:val="43161F13"/>
    <w:rsid w:val="4451C2BA"/>
    <w:rsid w:val="4456D5FB"/>
    <w:rsid w:val="44ACAF45"/>
    <w:rsid w:val="44D5DB29"/>
    <w:rsid w:val="459EB0B9"/>
    <w:rsid w:val="45A3F819"/>
    <w:rsid w:val="45B469C4"/>
    <w:rsid w:val="46C79A6D"/>
    <w:rsid w:val="474FA704"/>
    <w:rsid w:val="47A011AF"/>
    <w:rsid w:val="483EED1B"/>
    <w:rsid w:val="48D9A691"/>
    <w:rsid w:val="49802068"/>
    <w:rsid w:val="49CB53A5"/>
    <w:rsid w:val="4A05DCA1"/>
    <w:rsid w:val="4A092757"/>
    <w:rsid w:val="4AD03B44"/>
    <w:rsid w:val="4B768DDD"/>
    <w:rsid w:val="4B7EC3C0"/>
    <w:rsid w:val="4C6E84AF"/>
    <w:rsid w:val="4CC988E1"/>
    <w:rsid w:val="4D2A44D0"/>
    <w:rsid w:val="4D2E30D1"/>
    <w:rsid w:val="4E05B5AD"/>
    <w:rsid w:val="4E655942"/>
    <w:rsid w:val="4E6E930A"/>
    <w:rsid w:val="4E78483A"/>
    <w:rsid w:val="4EBF29C2"/>
    <w:rsid w:val="4F4A384F"/>
    <w:rsid w:val="4FC4BFF1"/>
    <w:rsid w:val="4FCC857F"/>
    <w:rsid w:val="4FD9BF1D"/>
    <w:rsid w:val="4FDD57BE"/>
    <w:rsid w:val="5000BAA9"/>
    <w:rsid w:val="500EF3C7"/>
    <w:rsid w:val="5024EAFA"/>
    <w:rsid w:val="50383B48"/>
    <w:rsid w:val="5062BC6C"/>
    <w:rsid w:val="50956935"/>
    <w:rsid w:val="50DFF378"/>
    <w:rsid w:val="5113EBCB"/>
    <w:rsid w:val="51E63F9B"/>
    <w:rsid w:val="5214393C"/>
    <w:rsid w:val="5252AC09"/>
    <w:rsid w:val="53B0099D"/>
    <w:rsid w:val="54110235"/>
    <w:rsid w:val="558F6494"/>
    <w:rsid w:val="56176FC0"/>
    <w:rsid w:val="5680BB35"/>
    <w:rsid w:val="56945DAB"/>
    <w:rsid w:val="56EEACD9"/>
    <w:rsid w:val="572B34F5"/>
    <w:rsid w:val="5835104B"/>
    <w:rsid w:val="583AC6AC"/>
    <w:rsid w:val="58453C8D"/>
    <w:rsid w:val="585E1BA9"/>
    <w:rsid w:val="5883CC18"/>
    <w:rsid w:val="588A7D3A"/>
    <w:rsid w:val="59778FA1"/>
    <w:rsid w:val="5A0926BF"/>
    <w:rsid w:val="5A715A96"/>
    <w:rsid w:val="5B8D10E3"/>
    <w:rsid w:val="5BBC99E9"/>
    <w:rsid w:val="5C976036"/>
    <w:rsid w:val="5CEDD8CC"/>
    <w:rsid w:val="5D0B5B8A"/>
    <w:rsid w:val="5D872E54"/>
    <w:rsid w:val="5DBB7CEF"/>
    <w:rsid w:val="5DFAB21D"/>
    <w:rsid w:val="5F656E9D"/>
    <w:rsid w:val="5FB3B43B"/>
    <w:rsid w:val="5FDFE133"/>
    <w:rsid w:val="602A7669"/>
    <w:rsid w:val="60967A2B"/>
    <w:rsid w:val="6096F1C4"/>
    <w:rsid w:val="60E0204C"/>
    <w:rsid w:val="61969E07"/>
    <w:rsid w:val="61B6040F"/>
    <w:rsid w:val="620B35C4"/>
    <w:rsid w:val="62321817"/>
    <w:rsid w:val="62324A8C"/>
    <w:rsid w:val="623328A7"/>
    <w:rsid w:val="627CAE7C"/>
    <w:rsid w:val="627EBC5B"/>
    <w:rsid w:val="639D81FF"/>
    <w:rsid w:val="63A66036"/>
    <w:rsid w:val="642EACAA"/>
    <w:rsid w:val="6456EAEE"/>
    <w:rsid w:val="64FAC612"/>
    <w:rsid w:val="652A8366"/>
    <w:rsid w:val="653753CF"/>
    <w:rsid w:val="65787E8C"/>
    <w:rsid w:val="65FCBD74"/>
    <w:rsid w:val="66F9EB2F"/>
    <w:rsid w:val="67334420"/>
    <w:rsid w:val="678A5750"/>
    <w:rsid w:val="67AF246B"/>
    <w:rsid w:val="6828A50B"/>
    <w:rsid w:val="6840CE8B"/>
    <w:rsid w:val="684CACB0"/>
    <w:rsid w:val="684EFCF5"/>
    <w:rsid w:val="68E6C2D8"/>
    <w:rsid w:val="69C86F64"/>
    <w:rsid w:val="6BF91D62"/>
    <w:rsid w:val="6C5F02FF"/>
    <w:rsid w:val="6C5F29AF"/>
    <w:rsid w:val="6D1695E6"/>
    <w:rsid w:val="6E4FF458"/>
    <w:rsid w:val="6E5094BF"/>
    <w:rsid w:val="6EB92F75"/>
    <w:rsid w:val="6EC7A91E"/>
    <w:rsid w:val="6FC313A2"/>
    <w:rsid w:val="701888FF"/>
    <w:rsid w:val="70904D31"/>
    <w:rsid w:val="70BCBEFB"/>
    <w:rsid w:val="70C14861"/>
    <w:rsid w:val="70C4DB46"/>
    <w:rsid w:val="70CC8E85"/>
    <w:rsid w:val="70DE8CC0"/>
    <w:rsid w:val="718DCF44"/>
    <w:rsid w:val="72439C1E"/>
    <w:rsid w:val="72685EE6"/>
    <w:rsid w:val="72A33A94"/>
    <w:rsid w:val="73121781"/>
    <w:rsid w:val="73651577"/>
    <w:rsid w:val="73803857"/>
    <w:rsid w:val="74B730CF"/>
    <w:rsid w:val="74F7A977"/>
    <w:rsid w:val="7527AF53"/>
    <w:rsid w:val="759B8660"/>
    <w:rsid w:val="75FA21C0"/>
    <w:rsid w:val="76AD326B"/>
    <w:rsid w:val="76B0E2A8"/>
    <w:rsid w:val="76CE7250"/>
    <w:rsid w:val="775F9BE5"/>
    <w:rsid w:val="776ED3E6"/>
    <w:rsid w:val="778806DB"/>
    <w:rsid w:val="77A0D528"/>
    <w:rsid w:val="77AC9D00"/>
    <w:rsid w:val="77C81034"/>
    <w:rsid w:val="788A5A43"/>
    <w:rsid w:val="78ED7E05"/>
    <w:rsid w:val="79094381"/>
    <w:rsid w:val="79EA3C5B"/>
    <w:rsid w:val="7A3C880C"/>
    <w:rsid w:val="7A52952F"/>
    <w:rsid w:val="7A5AB562"/>
    <w:rsid w:val="7A69DA7E"/>
    <w:rsid w:val="7A7637E0"/>
    <w:rsid w:val="7AD34AEC"/>
    <w:rsid w:val="7AD58B2B"/>
    <w:rsid w:val="7AF0A58E"/>
    <w:rsid w:val="7B0272FB"/>
    <w:rsid w:val="7B1F96EE"/>
    <w:rsid w:val="7BB031B0"/>
    <w:rsid w:val="7BF8E5E2"/>
    <w:rsid w:val="7C6A59C5"/>
    <w:rsid w:val="7C6BAF69"/>
    <w:rsid w:val="7CBB674F"/>
    <w:rsid w:val="7CC9EB32"/>
    <w:rsid w:val="7CFD1BBF"/>
    <w:rsid w:val="7DD738FD"/>
    <w:rsid w:val="7DDC4A68"/>
    <w:rsid w:val="7DF37C0C"/>
    <w:rsid w:val="7E081E1A"/>
    <w:rsid w:val="7E09C79E"/>
    <w:rsid w:val="7E313FFA"/>
    <w:rsid w:val="7E462417"/>
    <w:rsid w:val="7E65BB93"/>
    <w:rsid w:val="7E87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9A84B8B7-2C2A-4C09-81E8-EEBC688D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B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1815A2"/>
    <w:rPr>
      <w:rFonts w:asciiTheme="minorHAnsi" w:hAnsiTheme="minorHAnsi"/>
      <w:sz w:val="24"/>
      <w:lang w:val="en-GB" w:eastAsia="en-US"/>
    </w:rPr>
  </w:style>
  <w:style w:type="paragraph" w:customStyle="1" w:styleId="Default">
    <w:name w:val="Default"/>
    <w:rsid w:val="00C5284C"/>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rsid w:val="009856B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9856B3"/>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8D2D71"/>
    <w:rPr>
      <w:sz w:val="16"/>
      <w:szCs w:val="16"/>
    </w:rPr>
  </w:style>
  <w:style w:type="paragraph" w:styleId="CommentText">
    <w:name w:val="annotation text"/>
    <w:basedOn w:val="Normal"/>
    <w:link w:val="CommentTextChar"/>
    <w:unhideWhenUsed/>
    <w:rsid w:val="008D2D71"/>
    <w:rPr>
      <w:sz w:val="20"/>
    </w:rPr>
  </w:style>
  <w:style w:type="character" w:customStyle="1" w:styleId="CommentTextChar">
    <w:name w:val="Comment Text Char"/>
    <w:basedOn w:val="DefaultParagraphFont"/>
    <w:link w:val="CommentText"/>
    <w:rsid w:val="008D2D7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2D71"/>
    <w:rPr>
      <w:b/>
      <w:bCs/>
    </w:rPr>
  </w:style>
  <w:style w:type="character" w:customStyle="1" w:styleId="CommentSubjectChar">
    <w:name w:val="Comment Subject Char"/>
    <w:basedOn w:val="CommentTextChar"/>
    <w:link w:val="CommentSubject"/>
    <w:semiHidden/>
    <w:rsid w:val="008D2D71"/>
    <w:rPr>
      <w:rFonts w:asciiTheme="minorHAnsi" w:hAnsiTheme="minorHAnsi"/>
      <w:b/>
      <w:bCs/>
      <w:lang w:val="en-GB" w:eastAsia="en-US"/>
    </w:rPr>
  </w:style>
  <w:style w:type="character" w:styleId="Mention">
    <w:name w:val="Mention"/>
    <w:basedOn w:val="DefaultParagraphFont"/>
    <w:uiPriority w:val="99"/>
    <w:unhideWhenUsed/>
    <w:rsid w:val="00004D5A"/>
    <w:rPr>
      <w:color w:val="2B579A"/>
      <w:shd w:val="clear" w:color="auto" w:fill="E1DFDD"/>
    </w:rPr>
  </w:style>
  <w:style w:type="paragraph" w:styleId="BalloonText">
    <w:name w:val="Balloon Text"/>
    <w:basedOn w:val="Normal"/>
    <w:link w:val="BalloonTextChar"/>
    <w:semiHidden/>
    <w:unhideWhenUsed/>
    <w:rsid w:val="00187329"/>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187329"/>
    <w:rPr>
      <w:rFonts w:ascii="Times New Roman" w:hAnsi="Times New Roman"/>
      <w:sz w:val="18"/>
      <w:szCs w:val="18"/>
      <w:lang w:val="en-GB" w:eastAsia="en-US"/>
    </w:rPr>
  </w:style>
  <w:style w:type="paragraph" w:customStyle="1" w:styleId="s21">
    <w:name w:val="s21"/>
    <w:basedOn w:val="Normal"/>
    <w:rsid w:val="005653A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NormalWeb">
    <w:name w:val="Normal (Web)"/>
    <w:basedOn w:val="Normal"/>
    <w:uiPriority w:val="99"/>
    <w:semiHidden/>
    <w:unhideWhenUsed/>
    <w:rsid w:val="00A83F8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ui-provider">
    <w:name w:val="ui-provider"/>
    <w:basedOn w:val="DefaultParagraphFont"/>
    <w:rsid w:val="00D71616"/>
  </w:style>
  <w:style w:type="paragraph" w:customStyle="1" w:styleId="Normal0">
    <w:name w:val="Normal 0"/>
    <w:basedOn w:val="Normal"/>
    <w:uiPriority w:val="1"/>
    <w:rsid w:val="25C94F8D"/>
    <w:pPr>
      <w:widowControl w:val="0"/>
      <w:ind w:hanging="719"/>
    </w:pPr>
    <w:rPr>
      <w:rFonts w:ascii="Courier New" w:eastAsiaTheme="minorEastAsia" w:hAnsi="Courier New" w:cs="Courier New"/>
    </w:rPr>
  </w:style>
  <w:style w:type="character" w:customStyle="1" w:styleId="ms-rtethemeforecolor-2-0">
    <w:name w:val="ms-rtethemeforecolor-2-0"/>
    <w:basedOn w:val="DefaultParagraphFont"/>
    <w:rsid w:val="00AC4ADB"/>
  </w:style>
  <w:style w:type="character" w:customStyle="1" w:styleId="ms-rtefontface-13">
    <w:name w:val="ms-rtefontface-13"/>
    <w:basedOn w:val="DefaultParagraphFont"/>
    <w:rsid w:val="00AC4ADB"/>
  </w:style>
  <w:style w:type="character" w:customStyle="1" w:styleId="ms-rtethemeforecolor-5-0">
    <w:name w:val="ms-rtethemeforecolor-5-0"/>
    <w:basedOn w:val="DefaultParagraphFont"/>
    <w:rsid w:val="00AC4ADB"/>
  </w:style>
  <w:style w:type="character" w:customStyle="1" w:styleId="ms-rteforecolor-9">
    <w:name w:val="ms-rteforecolor-9"/>
    <w:basedOn w:val="DefaultParagraphFont"/>
    <w:rsid w:val="00AC4ADB"/>
  </w:style>
  <w:style w:type="character" w:customStyle="1" w:styleId="ms-rtethemeforecolor-6-4">
    <w:name w:val="ms-rtethemeforecolor-6-4"/>
    <w:basedOn w:val="DefaultParagraphFont"/>
    <w:rsid w:val="00AC4ADB"/>
  </w:style>
  <w:style w:type="character" w:customStyle="1" w:styleId="cf01">
    <w:name w:val="cf01"/>
    <w:basedOn w:val="DefaultParagraphFont"/>
    <w:rsid w:val="008052C7"/>
    <w:rPr>
      <w:rFonts w:ascii="Segoe UI" w:hAnsi="Segoe UI" w:cs="Segoe UI" w:hint="default"/>
      <w:color w:val="262626"/>
      <w:sz w:val="21"/>
      <w:szCs w:val="21"/>
    </w:rPr>
  </w:style>
  <w:style w:type="paragraph" w:customStyle="1" w:styleId="Colloquy1">
    <w:name w:val="Colloquy 1"/>
    <w:basedOn w:val="Normal"/>
    <w:next w:val="Normal"/>
    <w:uiPriority w:val="99"/>
    <w:rsid w:val="004111C1"/>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20"/>
      <w:textAlignment w:val="auto"/>
    </w:pPr>
    <w:rPr>
      <w:rFonts w:ascii="Courier New" w:eastAsiaTheme="minorEastAsia" w:hAnsi="Courier New" w:cs="Courier New"/>
      <w:szCs w:val="24"/>
      <w:lang w:val="en-US"/>
      <w14:ligatures w14:val="standardContextual"/>
    </w:rPr>
  </w:style>
  <w:style w:type="character" w:customStyle="1" w:styleId="eop">
    <w:name w:val="eop"/>
    <w:basedOn w:val="DefaultParagraphFont"/>
    <w:rsid w:val="00E02341"/>
  </w:style>
  <w:style w:type="paragraph" w:customStyle="1" w:styleId="paragraph">
    <w:name w:val="paragraph"/>
    <w:basedOn w:val="Normal"/>
    <w:rsid w:val="002151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character" w:customStyle="1" w:styleId="scxw207633463">
    <w:name w:val="scxw207633463"/>
    <w:basedOn w:val="DefaultParagraphFont"/>
    <w:rsid w:val="0021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081">
      <w:bodyDiv w:val="1"/>
      <w:marLeft w:val="0"/>
      <w:marRight w:val="0"/>
      <w:marTop w:val="0"/>
      <w:marBottom w:val="0"/>
      <w:divBdr>
        <w:top w:val="none" w:sz="0" w:space="0" w:color="auto"/>
        <w:left w:val="none" w:sz="0" w:space="0" w:color="auto"/>
        <w:bottom w:val="none" w:sz="0" w:space="0" w:color="auto"/>
        <w:right w:val="none" w:sz="0" w:space="0" w:color="auto"/>
      </w:divBdr>
    </w:div>
    <w:div w:id="73092593">
      <w:bodyDiv w:val="1"/>
      <w:marLeft w:val="0"/>
      <w:marRight w:val="0"/>
      <w:marTop w:val="0"/>
      <w:marBottom w:val="0"/>
      <w:divBdr>
        <w:top w:val="none" w:sz="0" w:space="0" w:color="auto"/>
        <w:left w:val="none" w:sz="0" w:space="0" w:color="auto"/>
        <w:bottom w:val="none" w:sz="0" w:space="0" w:color="auto"/>
        <w:right w:val="none" w:sz="0" w:space="0" w:color="auto"/>
      </w:divBdr>
    </w:div>
    <w:div w:id="124861414">
      <w:bodyDiv w:val="1"/>
      <w:marLeft w:val="0"/>
      <w:marRight w:val="0"/>
      <w:marTop w:val="0"/>
      <w:marBottom w:val="0"/>
      <w:divBdr>
        <w:top w:val="none" w:sz="0" w:space="0" w:color="auto"/>
        <w:left w:val="none" w:sz="0" w:space="0" w:color="auto"/>
        <w:bottom w:val="none" w:sz="0" w:space="0" w:color="auto"/>
        <w:right w:val="none" w:sz="0" w:space="0" w:color="auto"/>
      </w:divBdr>
    </w:div>
    <w:div w:id="128937476">
      <w:bodyDiv w:val="1"/>
      <w:marLeft w:val="0"/>
      <w:marRight w:val="0"/>
      <w:marTop w:val="0"/>
      <w:marBottom w:val="0"/>
      <w:divBdr>
        <w:top w:val="none" w:sz="0" w:space="0" w:color="auto"/>
        <w:left w:val="none" w:sz="0" w:space="0" w:color="auto"/>
        <w:bottom w:val="none" w:sz="0" w:space="0" w:color="auto"/>
        <w:right w:val="none" w:sz="0" w:space="0" w:color="auto"/>
      </w:divBdr>
    </w:div>
    <w:div w:id="130363377">
      <w:bodyDiv w:val="1"/>
      <w:marLeft w:val="0"/>
      <w:marRight w:val="0"/>
      <w:marTop w:val="0"/>
      <w:marBottom w:val="0"/>
      <w:divBdr>
        <w:top w:val="none" w:sz="0" w:space="0" w:color="auto"/>
        <w:left w:val="none" w:sz="0" w:space="0" w:color="auto"/>
        <w:bottom w:val="none" w:sz="0" w:space="0" w:color="auto"/>
        <w:right w:val="none" w:sz="0" w:space="0" w:color="auto"/>
      </w:divBdr>
    </w:div>
    <w:div w:id="132649545">
      <w:bodyDiv w:val="1"/>
      <w:marLeft w:val="0"/>
      <w:marRight w:val="0"/>
      <w:marTop w:val="0"/>
      <w:marBottom w:val="0"/>
      <w:divBdr>
        <w:top w:val="none" w:sz="0" w:space="0" w:color="auto"/>
        <w:left w:val="none" w:sz="0" w:space="0" w:color="auto"/>
        <w:bottom w:val="none" w:sz="0" w:space="0" w:color="auto"/>
        <w:right w:val="none" w:sz="0" w:space="0" w:color="auto"/>
      </w:divBdr>
    </w:div>
    <w:div w:id="199704493">
      <w:bodyDiv w:val="1"/>
      <w:marLeft w:val="0"/>
      <w:marRight w:val="0"/>
      <w:marTop w:val="0"/>
      <w:marBottom w:val="0"/>
      <w:divBdr>
        <w:top w:val="none" w:sz="0" w:space="0" w:color="auto"/>
        <w:left w:val="none" w:sz="0" w:space="0" w:color="auto"/>
        <w:bottom w:val="none" w:sz="0" w:space="0" w:color="auto"/>
        <w:right w:val="none" w:sz="0" w:space="0" w:color="auto"/>
      </w:divBdr>
    </w:div>
    <w:div w:id="205725450">
      <w:bodyDiv w:val="1"/>
      <w:marLeft w:val="0"/>
      <w:marRight w:val="0"/>
      <w:marTop w:val="0"/>
      <w:marBottom w:val="0"/>
      <w:divBdr>
        <w:top w:val="none" w:sz="0" w:space="0" w:color="auto"/>
        <w:left w:val="none" w:sz="0" w:space="0" w:color="auto"/>
        <w:bottom w:val="none" w:sz="0" w:space="0" w:color="auto"/>
        <w:right w:val="none" w:sz="0" w:space="0" w:color="auto"/>
      </w:divBdr>
    </w:div>
    <w:div w:id="208877942">
      <w:bodyDiv w:val="1"/>
      <w:marLeft w:val="0"/>
      <w:marRight w:val="0"/>
      <w:marTop w:val="0"/>
      <w:marBottom w:val="0"/>
      <w:divBdr>
        <w:top w:val="none" w:sz="0" w:space="0" w:color="auto"/>
        <w:left w:val="none" w:sz="0" w:space="0" w:color="auto"/>
        <w:bottom w:val="none" w:sz="0" w:space="0" w:color="auto"/>
        <w:right w:val="none" w:sz="0" w:space="0" w:color="auto"/>
      </w:divBdr>
    </w:div>
    <w:div w:id="244922969">
      <w:bodyDiv w:val="1"/>
      <w:marLeft w:val="0"/>
      <w:marRight w:val="0"/>
      <w:marTop w:val="0"/>
      <w:marBottom w:val="0"/>
      <w:divBdr>
        <w:top w:val="none" w:sz="0" w:space="0" w:color="auto"/>
        <w:left w:val="none" w:sz="0" w:space="0" w:color="auto"/>
        <w:bottom w:val="none" w:sz="0" w:space="0" w:color="auto"/>
        <w:right w:val="none" w:sz="0" w:space="0" w:color="auto"/>
      </w:divBdr>
    </w:div>
    <w:div w:id="352456624">
      <w:bodyDiv w:val="1"/>
      <w:marLeft w:val="0"/>
      <w:marRight w:val="0"/>
      <w:marTop w:val="0"/>
      <w:marBottom w:val="0"/>
      <w:divBdr>
        <w:top w:val="none" w:sz="0" w:space="0" w:color="auto"/>
        <w:left w:val="none" w:sz="0" w:space="0" w:color="auto"/>
        <w:bottom w:val="none" w:sz="0" w:space="0" w:color="auto"/>
        <w:right w:val="none" w:sz="0" w:space="0" w:color="auto"/>
      </w:divBdr>
    </w:div>
    <w:div w:id="417865851">
      <w:bodyDiv w:val="1"/>
      <w:marLeft w:val="0"/>
      <w:marRight w:val="0"/>
      <w:marTop w:val="0"/>
      <w:marBottom w:val="0"/>
      <w:divBdr>
        <w:top w:val="none" w:sz="0" w:space="0" w:color="auto"/>
        <w:left w:val="none" w:sz="0" w:space="0" w:color="auto"/>
        <w:bottom w:val="none" w:sz="0" w:space="0" w:color="auto"/>
        <w:right w:val="none" w:sz="0" w:space="0" w:color="auto"/>
      </w:divBdr>
    </w:div>
    <w:div w:id="433988218">
      <w:bodyDiv w:val="1"/>
      <w:marLeft w:val="0"/>
      <w:marRight w:val="0"/>
      <w:marTop w:val="0"/>
      <w:marBottom w:val="0"/>
      <w:divBdr>
        <w:top w:val="none" w:sz="0" w:space="0" w:color="auto"/>
        <w:left w:val="none" w:sz="0" w:space="0" w:color="auto"/>
        <w:bottom w:val="none" w:sz="0" w:space="0" w:color="auto"/>
        <w:right w:val="none" w:sz="0" w:space="0" w:color="auto"/>
      </w:divBdr>
    </w:div>
    <w:div w:id="439758435">
      <w:bodyDiv w:val="1"/>
      <w:marLeft w:val="0"/>
      <w:marRight w:val="0"/>
      <w:marTop w:val="0"/>
      <w:marBottom w:val="0"/>
      <w:divBdr>
        <w:top w:val="none" w:sz="0" w:space="0" w:color="auto"/>
        <w:left w:val="none" w:sz="0" w:space="0" w:color="auto"/>
        <w:bottom w:val="none" w:sz="0" w:space="0" w:color="auto"/>
        <w:right w:val="none" w:sz="0" w:space="0" w:color="auto"/>
      </w:divBdr>
    </w:div>
    <w:div w:id="534470228">
      <w:bodyDiv w:val="1"/>
      <w:marLeft w:val="0"/>
      <w:marRight w:val="0"/>
      <w:marTop w:val="0"/>
      <w:marBottom w:val="0"/>
      <w:divBdr>
        <w:top w:val="none" w:sz="0" w:space="0" w:color="auto"/>
        <w:left w:val="none" w:sz="0" w:space="0" w:color="auto"/>
        <w:bottom w:val="none" w:sz="0" w:space="0" w:color="auto"/>
        <w:right w:val="none" w:sz="0" w:space="0" w:color="auto"/>
      </w:divBdr>
    </w:div>
    <w:div w:id="556669294">
      <w:bodyDiv w:val="1"/>
      <w:marLeft w:val="0"/>
      <w:marRight w:val="0"/>
      <w:marTop w:val="0"/>
      <w:marBottom w:val="0"/>
      <w:divBdr>
        <w:top w:val="none" w:sz="0" w:space="0" w:color="auto"/>
        <w:left w:val="none" w:sz="0" w:space="0" w:color="auto"/>
        <w:bottom w:val="none" w:sz="0" w:space="0" w:color="auto"/>
        <w:right w:val="none" w:sz="0" w:space="0" w:color="auto"/>
      </w:divBdr>
      <w:divsChild>
        <w:div w:id="304631632">
          <w:marLeft w:val="0"/>
          <w:marRight w:val="0"/>
          <w:marTop w:val="0"/>
          <w:marBottom w:val="0"/>
          <w:divBdr>
            <w:top w:val="none" w:sz="0" w:space="0" w:color="auto"/>
            <w:left w:val="none" w:sz="0" w:space="0" w:color="auto"/>
            <w:bottom w:val="none" w:sz="0" w:space="0" w:color="auto"/>
            <w:right w:val="none" w:sz="0" w:space="0" w:color="auto"/>
          </w:divBdr>
        </w:div>
        <w:div w:id="566841802">
          <w:marLeft w:val="0"/>
          <w:marRight w:val="0"/>
          <w:marTop w:val="0"/>
          <w:marBottom w:val="0"/>
          <w:divBdr>
            <w:top w:val="none" w:sz="0" w:space="0" w:color="auto"/>
            <w:left w:val="none" w:sz="0" w:space="0" w:color="auto"/>
            <w:bottom w:val="none" w:sz="0" w:space="0" w:color="auto"/>
            <w:right w:val="none" w:sz="0" w:space="0" w:color="auto"/>
          </w:divBdr>
        </w:div>
        <w:div w:id="1482387213">
          <w:marLeft w:val="0"/>
          <w:marRight w:val="0"/>
          <w:marTop w:val="0"/>
          <w:marBottom w:val="0"/>
          <w:divBdr>
            <w:top w:val="none" w:sz="0" w:space="0" w:color="auto"/>
            <w:left w:val="none" w:sz="0" w:space="0" w:color="auto"/>
            <w:bottom w:val="none" w:sz="0" w:space="0" w:color="auto"/>
            <w:right w:val="none" w:sz="0" w:space="0" w:color="auto"/>
          </w:divBdr>
        </w:div>
        <w:div w:id="2066100058">
          <w:marLeft w:val="0"/>
          <w:marRight w:val="0"/>
          <w:marTop w:val="0"/>
          <w:marBottom w:val="0"/>
          <w:divBdr>
            <w:top w:val="none" w:sz="0" w:space="0" w:color="auto"/>
            <w:left w:val="none" w:sz="0" w:space="0" w:color="auto"/>
            <w:bottom w:val="none" w:sz="0" w:space="0" w:color="auto"/>
            <w:right w:val="none" w:sz="0" w:space="0" w:color="auto"/>
          </w:divBdr>
        </w:div>
        <w:div w:id="2088108377">
          <w:marLeft w:val="0"/>
          <w:marRight w:val="0"/>
          <w:marTop w:val="0"/>
          <w:marBottom w:val="0"/>
          <w:divBdr>
            <w:top w:val="none" w:sz="0" w:space="0" w:color="auto"/>
            <w:left w:val="none" w:sz="0" w:space="0" w:color="auto"/>
            <w:bottom w:val="none" w:sz="0" w:space="0" w:color="auto"/>
            <w:right w:val="none" w:sz="0" w:space="0" w:color="auto"/>
          </w:divBdr>
        </w:div>
      </w:divsChild>
    </w:div>
    <w:div w:id="685325153">
      <w:bodyDiv w:val="1"/>
      <w:marLeft w:val="0"/>
      <w:marRight w:val="0"/>
      <w:marTop w:val="0"/>
      <w:marBottom w:val="0"/>
      <w:divBdr>
        <w:top w:val="none" w:sz="0" w:space="0" w:color="auto"/>
        <w:left w:val="none" w:sz="0" w:space="0" w:color="auto"/>
        <w:bottom w:val="none" w:sz="0" w:space="0" w:color="auto"/>
        <w:right w:val="none" w:sz="0" w:space="0" w:color="auto"/>
      </w:divBdr>
    </w:div>
    <w:div w:id="754015792">
      <w:bodyDiv w:val="1"/>
      <w:marLeft w:val="0"/>
      <w:marRight w:val="0"/>
      <w:marTop w:val="0"/>
      <w:marBottom w:val="0"/>
      <w:divBdr>
        <w:top w:val="none" w:sz="0" w:space="0" w:color="auto"/>
        <w:left w:val="none" w:sz="0" w:space="0" w:color="auto"/>
        <w:bottom w:val="none" w:sz="0" w:space="0" w:color="auto"/>
        <w:right w:val="none" w:sz="0" w:space="0" w:color="auto"/>
      </w:divBdr>
    </w:div>
    <w:div w:id="760297716">
      <w:bodyDiv w:val="1"/>
      <w:marLeft w:val="0"/>
      <w:marRight w:val="0"/>
      <w:marTop w:val="0"/>
      <w:marBottom w:val="0"/>
      <w:divBdr>
        <w:top w:val="none" w:sz="0" w:space="0" w:color="auto"/>
        <w:left w:val="none" w:sz="0" w:space="0" w:color="auto"/>
        <w:bottom w:val="none" w:sz="0" w:space="0" w:color="auto"/>
        <w:right w:val="none" w:sz="0" w:space="0" w:color="auto"/>
      </w:divBdr>
    </w:div>
    <w:div w:id="767505460">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
    <w:div w:id="859860105">
      <w:bodyDiv w:val="1"/>
      <w:marLeft w:val="0"/>
      <w:marRight w:val="0"/>
      <w:marTop w:val="0"/>
      <w:marBottom w:val="0"/>
      <w:divBdr>
        <w:top w:val="none" w:sz="0" w:space="0" w:color="auto"/>
        <w:left w:val="none" w:sz="0" w:space="0" w:color="auto"/>
        <w:bottom w:val="none" w:sz="0" w:space="0" w:color="auto"/>
        <w:right w:val="none" w:sz="0" w:space="0" w:color="auto"/>
      </w:divBdr>
    </w:div>
    <w:div w:id="879125881">
      <w:bodyDiv w:val="1"/>
      <w:marLeft w:val="0"/>
      <w:marRight w:val="0"/>
      <w:marTop w:val="0"/>
      <w:marBottom w:val="0"/>
      <w:divBdr>
        <w:top w:val="none" w:sz="0" w:space="0" w:color="auto"/>
        <w:left w:val="none" w:sz="0" w:space="0" w:color="auto"/>
        <w:bottom w:val="none" w:sz="0" w:space="0" w:color="auto"/>
        <w:right w:val="none" w:sz="0" w:space="0" w:color="auto"/>
      </w:divBdr>
    </w:div>
    <w:div w:id="919872415">
      <w:bodyDiv w:val="1"/>
      <w:marLeft w:val="0"/>
      <w:marRight w:val="0"/>
      <w:marTop w:val="0"/>
      <w:marBottom w:val="0"/>
      <w:divBdr>
        <w:top w:val="none" w:sz="0" w:space="0" w:color="auto"/>
        <w:left w:val="none" w:sz="0" w:space="0" w:color="auto"/>
        <w:bottom w:val="none" w:sz="0" w:space="0" w:color="auto"/>
        <w:right w:val="none" w:sz="0" w:space="0" w:color="auto"/>
      </w:divBdr>
    </w:div>
    <w:div w:id="936136270">
      <w:bodyDiv w:val="1"/>
      <w:marLeft w:val="0"/>
      <w:marRight w:val="0"/>
      <w:marTop w:val="0"/>
      <w:marBottom w:val="0"/>
      <w:divBdr>
        <w:top w:val="none" w:sz="0" w:space="0" w:color="auto"/>
        <w:left w:val="none" w:sz="0" w:space="0" w:color="auto"/>
        <w:bottom w:val="none" w:sz="0" w:space="0" w:color="auto"/>
        <w:right w:val="none" w:sz="0" w:space="0" w:color="auto"/>
      </w:divBdr>
    </w:div>
    <w:div w:id="979533580">
      <w:bodyDiv w:val="1"/>
      <w:marLeft w:val="0"/>
      <w:marRight w:val="0"/>
      <w:marTop w:val="0"/>
      <w:marBottom w:val="0"/>
      <w:divBdr>
        <w:top w:val="none" w:sz="0" w:space="0" w:color="auto"/>
        <w:left w:val="none" w:sz="0" w:space="0" w:color="auto"/>
        <w:bottom w:val="none" w:sz="0" w:space="0" w:color="auto"/>
        <w:right w:val="none" w:sz="0" w:space="0" w:color="auto"/>
      </w:divBdr>
    </w:div>
    <w:div w:id="993022671">
      <w:bodyDiv w:val="1"/>
      <w:marLeft w:val="0"/>
      <w:marRight w:val="0"/>
      <w:marTop w:val="0"/>
      <w:marBottom w:val="0"/>
      <w:divBdr>
        <w:top w:val="none" w:sz="0" w:space="0" w:color="auto"/>
        <w:left w:val="none" w:sz="0" w:space="0" w:color="auto"/>
        <w:bottom w:val="none" w:sz="0" w:space="0" w:color="auto"/>
        <w:right w:val="none" w:sz="0" w:space="0" w:color="auto"/>
      </w:divBdr>
    </w:div>
    <w:div w:id="1079405358">
      <w:bodyDiv w:val="1"/>
      <w:marLeft w:val="0"/>
      <w:marRight w:val="0"/>
      <w:marTop w:val="0"/>
      <w:marBottom w:val="0"/>
      <w:divBdr>
        <w:top w:val="none" w:sz="0" w:space="0" w:color="auto"/>
        <w:left w:val="none" w:sz="0" w:space="0" w:color="auto"/>
        <w:bottom w:val="none" w:sz="0" w:space="0" w:color="auto"/>
        <w:right w:val="none" w:sz="0" w:space="0" w:color="auto"/>
      </w:divBdr>
    </w:div>
    <w:div w:id="1123766158">
      <w:bodyDiv w:val="1"/>
      <w:marLeft w:val="0"/>
      <w:marRight w:val="0"/>
      <w:marTop w:val="0"/>
      <w:marBottom w:val="0"/>
      <w:divBdr>
        <w:top w:val="none" w:sz="0" w:space="0" w:color="auto"/>
        <w:left w:val="none" w:sz="0" w:space="0" w:color="auto"/>
        <w:bottom w:val="none" w:sz="0" w:space="0" w:color="auto"/>
        <w:right w:val="none" w:sz="0" w:space="0" w:color="auto"/>
      </w:divBdr>
    </w:div>
    <w:div w:id="1186670617">
      <w:bodyDiv w:val="1"/>
      <w:marLeft w:val="0"/>
      <w:marRight w:val="0"/>
      <w:marTop w:val="0"/>
      <w:marBottom w:val="0"/>
      <w:divBdr>
        <w:top w:val="none" w:sz="0" w:space="0" w:color="auto"/>
        <w:left w:val="none" w:sz="0" w:space="0" w:color="auto"/>
        <w:bottom w:val="none" w:sz="0" w:space="0" w:color="auto"/>
        <w:right w:val="none" w:sz="0" w:space="0" w:color="auto"/>
      </w:divBdr>
    </w:div>
    <w:div w:id="1226572832">
      <w:bodyDiv w:val="1"/>
      <w:marLeft w:val="0"/>
      <w:marRight w:val="0"/>
      <w:marTop w:val="0"/>
      <w:marBottom w:val="0"/>
      <w:divBdr>
        <w:top w:val="none" w:sz="0" w:space="0" w:color="auto"/>
        <w:left w:val="none" w:sz="0" w:space="0" w:color="auto"/>
        <w:bottom w:val="none" w:sz="0" w:space="0" w:color="auto"/>
        <w:right w:val="none" w:sz="0" w:space="0" w:color="auto"/>
      </w:divBdr>
    </w:div>
    <w:div w:id="1241715624">
      <w:bodyDiv w:val="1"/>
      <w:marLeft w:val="0"/>
      <w:marRight w:val="0"/>
      <w:marTop w:val="0"/>
      <w:marBottom w:val="0"/>
      <w:divBdr>
        <w:top w:val="none" w:sz="0" w:space="0" w:color="auto"/>
        <w:left w:val="none" w:sz="0" w:space="0" w:color="auto"/>
        <w:bottom w:val="none" w:sz="0" w:space="0" w:color="auto"/>
        <w:right w:val="none" w:sz="0" w:space="0" w:color="auto"/>
      </w:divBdr>
    </w:div>
    <w:div w:id="1301575536">
      <w:bodyDiv w:val="1"/>
      <w:marLeft w:val="0"/>
      <w:marRight w:val="0"/>
      <w:marTop w:val="0"/>
      <w:marBottom w:val="0"/>
      <w:divBdr>
        <w:top w:val="none" w:sz="0" w:space="0" w:color="auto"/>
        <w:left w:val="none" w:sz="0" w:space="0" w:color="auto"/>
        <w:bottom w:val="none" w:sz="0" w:space="0" w:color="auto"/>
        <w:right w:val="none" w:sz="0" w:space="0" w:color="auto"/>
      </w:divBdr>
    </w:div>
    <w:div w:id="1361275673">
      <w:bodyDiv w:val="1"/>
      <w:marLeft w:val="0"/>
      <w:marRight w:val="0"/>
      <w:marTop w:val="0"/>
      <w:marBottom w:val="0"/>
      <w:divBdr>
        <w:top w:val="none" w:sz="0" w:space="0" w:color="auto"/>
        <w:left w:val="none" w:sz="0" w:space="0" w:color="auto"/>
        <w:bottom w:val="none" w:sz="0" w:space="0" w:color="auto"/>
        <w:right w:val="none" w:sz="0" w:space="0" w:color="auto"/>
      </w:divBdr>
    </w:div>
    <w:div w:id="1428230979">
      <w:bodyDiv w:val="1"/>
      <w:marLeft w:val="0"/>
      <w:marRight w:val="0"/>
      <w:marTop w:val="0"/>
      <w:marBottom w:val="0"/>
      <w:divBdr>
        <w:top w:val="none" w:sz="0" w:space="0" w:color="auto"/>
        <w:left w:val="none" w:sz="0" w:space="0" w:color="auto"/>
        <w:bottom w:val="none" w:sz="0" w:space="0" w:color="auto"/>
        <w:right w:val="none" w:sz="0" w:space="0" w:color="auto"/>
      </w:divBdr>
    </w:div>
    <w:div w:id="1543637681">
      <w:bodyDiv w:val="1"/>
      <w:marLeft w:val="0"/>
      <w:marRight w:val="0"/>
      <w:marTop w:val="0"/>
      <w:marBottom w:val="0"/>
      <w:divBdr>
        <w:top w:val="none" w:sz="0" w:space="0" w:color="auto"/>
        <w:left w:val="none" w:sz="0" w:space="0" w:color="auto"/>
        <w:bottom w:val="none" w:sz="0" w:space="0" w:color="auto"/>
        <w:right w:val="none" w:sz="0" w:space="0" w:color="auto"/>
      </w:divBdr>
    </w:div>
    <w:div w:id="1545827263">
      <w:bodyDiv w:val="1"/>
      <w:marLeft w:val="0"/>
      <w:marRight w:val="0"/>
      <w:marTop w:val="0"/>
      <w:marBottom w:val="0"/>
      <w:divBdr>
        <w:top w:val="none" w:sz="0" w:space="0" w:color="auto"/>
        <w:left w:val="none" w:sz="0" w:space="0" w:color="auto"/>
        <w:bottom w:val="none" w:sz="0" w:space="0" w:color="auto"/>
        <w:right w:val="none" w:sz="0" w:space="0" w:color="auto"/>
      </w:divBdr>
    </w:div>
    <w:div w:id="1718774397">
      <w:bodyDiv w:val="1"/>
      <w:marLeft w:val="0"/>
      <w:marRight w:val="0"/>
      <w:marTop w:val="0"/>
      <w:marBottom w:val="0"/>
      <w:divBdr>
        <w:top w:val="none" w:sz="0" w:space="0" w:color="auto"/>
        <w:left w:val="none" w:sz="0" w:space="0" w:color="auto"/>
        <w:bottom w:val="none" w:sz="0" w:space="0" w:color="auto"/>
        <w:right w:val="none" w:sz="0" w:space="0" w:color="auto"/>
      </w:divBdr>
    </w:div>
    <w:div w:id="1745756990">
      <w:bodyDiv w:val="1"/>
      <w:marLeft w:val="0"/>
      <w:marRight w:val="0"/>
      <w:marTop w:val="0"/>
      <w:marBottom w:val="0"/>
      <w:divBdr>
        <w:top w:val="none" w:sz="0" w:space="0" w:color="auto"/>
        <w:left w:val="none" w:sz="0" w:space="0" w:color="auto"/>
        <w:bottom w:val="none" w:sz="0" w:space="0" w:color="auto"/>
        <w:right w:val="none" w:sz="0" w:space="0" w:color="auto"/>
      </w:divBdr>
    </w:div>
    <w:div w:id="1831673667">
      <w:bodyDiv w:val="1"/>
      <w:marLeft w:val="0"/>
      <w:marRight w:val="0"/>
      <w:marTop w:val="0"/>
      <w:marBottom w:val="0"/>
      <w:divBdr>
        <w:top w:val="none" w:sz="0" w:space="0" w:color="auto"/>
        <w:left w:val="none" w:sz="0" w:space="0" w:color="auto"/>
        <w:bottom w:val="none" w:sz="0" w:space="0" w:color="auto"/>
        <w:right w:val="none" w:sz="0" w:space="0" w:color="auto"/>
      </w:divBdr>
    </w:div>
    <w:div w:id="1878543253">
      <w:bodyDiv w:val="1"/>
      <w:marLeft w:val="0"/>
      <w:marRight w:val="0"/>
      <w:marTop w:val="0"/>
      <w:marBottom w:val="0"/>
      <w:divBdr>
        <w:top w:val="none" w:sz="0" w:space="0" w:color="auto"/>
        <w:left w:val="none" w:sz="0" w:space="0" w:color="auto"/>
        <w:bottom w:val="none" w:sz="0" w:space="0" w:color="auto"/>
        <w:right w:val="none" w:sz="0" w:space="0" w:color="auto"/>
      </w:divBdr>
    </w:div>
    <w:div w:id="1920212674">
      <w:bodyDiv w:val="1"/>
      <w:marLeft w:val="0"/>
      <w:marRight w:val="0"/>
      <w:marTop w:val="0"/>
      <w:marBottom w:val="0"/>
      <w:divBdr>
        <w:top w:val="none" w:sz="0" w:space="0" w:color="auto"/>
        <w:left w:val="none" w:sz="0" w:space="0" w:color="auto"/>
        <w:bottom w:val="none" w:sz="0" w:space="0" w:color="auto"/>
        <w:right w:val="none" w:sz="0" w:space="0" w:color="auto"/>
      </w:divBdr>
    </w:div>
    <w:div w:id="1933127091">
      <w:bodyDiv w:val="1"/>
      <w:marLeft w:val="0"/>
      <w:marRight w:val="0"/>
      <w:marTop w:val="0"/>
      <w:marBottom w:val="0"/>
      <w:divBdr>
        <w:top w:val="none" w:sz="0" w:space="0" w:color="auto"/>
        <w:left w:val="none" w:sz="0" w:space="0" w:color="auto"/>
        <w:bottom w:val="none" w:sz="0" w:space="0" w:color="auto"/>
        <w:right w:val="none" w:sz="0" w:space="0" w:color="auto"/>
      </w:divBdr>
    </w:div>
    <w:div w:id="1945183530">
      <w:bodyDiv w:val="1"/>
      <w:marLeft w:val="0"/>
      <w:marRight w:val="0"/>
      <w:marTop w:val="0"/>
      <w:marBottom w:val="0"/>
      <w:divBdr>
        <w:top w:val="none" w:sz="0" w:space="0" w:color="auto"/>
        <w:left w:val="none" w:sz="0" w:space="0" w:color="auto"/>
        <w:bottom w:val="none" w:sz="0" w:space="0" w:color="auto"/>
        <w:right w:val="none" w:sz="0" w:space="0" w:color="auto"/>
      </w:divBdr>
    </w:div>
    <w:div w:id="1975259472">
      <w:bodyDiv w:val="1"/>
      <w:marLeft w:val="0"/>
      <w:marRight w:val="0"/>
      <w:marTop w:val="0"/>
      <w:marBottom w:val="0"/>
      <w:divBdr>
        <w:top w:val="none" w:sz="0" w:space="0" w:color="auto"/>
        <w:left w:val="none" w:sz="0" w:space="0" w:color="auto"/>
        <w:bottom w:val="none" w:sz="0" w:space="0" w:color="auto"/>
        <w:right w:val="none" w:sz="0" w:space="0" w:color="auto"/>
      </w:divBdr>
    </w:div>
    <w:div w:id="1976518017">
      <w:bodyDiv w:val="1"/>
      <w:marLeft w:val="0"/>
      <w:marRight w:val="0"/>
      <w:marTop w:val="0"/>
      <w:marBottom w:val="0"/>
      <w:divBdr>
        <w:top w:val="none" w:sz="0" w:space="0" w:color="auto"/>
        <w:left w:val="none" w:sz="0" w:space="0" w:color="auto"/>
        <w:bottom w:val="none" w:sz="0" w:space="0" w:color="auto"/>
        <w:right w:val="none" w:sz="0" w:space="0" w:color="auto"/>
      </w:divBdr>
    </w:div>
    <w:div w:id="1982299235">
      <w:bodyDiv w:val="1"/>
      <w:marLeft w:val="0"/>
      <w:marRight w:val="0"/>
      <w:marTop w:val="0"/>
      <w:marBottom w:val="0"/>
      <w:divBdr>
        <w:top w:val="none" w:sz="0" w:space="0" w:color="auto"/>
        <w:left w:val="none" w:sz="0" w:space="0" w:color="auto"/>
        <w:bottom w:val="none" w:sz="0" w:space="0" w:color="auto"/>
        <w:right w:val="none" w:sz="0" w:space="0" w:color="auto"/>
      </w:divBdr>
    </w:div>
    <w:div w:id="2004889530">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 w:id="2015645920">
      <w:bodyDiv w:val="1"/>
      <w:marLeft w:val="0"/>
      <w:marRight w:val="0"/>
      <w:marTop w:val="0"/>
      <w:marBottom w:val="0"/>
      <w:divBdr>
        <w:top w:val="none" w:sz="0" w:space="0" w:color="auto"/>
        <w:left w:val="none" w:sz="0" w:space="0" w:color="auto"/>
        <w:bottom w:val="none" w:sz="0" w:space="0" w:color="auto"/>
        <w:right w:val="none" w:sz="0" w:space="0" w:color="auto"/>
      </w:divBdr>
    </w:div>
    <w:div w:id="2035500028">
      <w:bodyDiv w:val="1"/>
      <w:marLeft w:val="0"/>
      <w:marRight w:val="0"/>
      <w:marTop w:val="0"/>
      <w:marBottom w:val="0"/>
      <w:divBdr>
        <w:top w:val="none" w:sz="0" w:space="0" w:color="auto"/>
        <w:left w:val="none" w:sz="0" w:space="0" w:color="auto"/>
        <w:bottom w:val="none" w:sz="0" w:space="0" w:color="auto"/>
        <w:right w:val="none" w:sz="0" w:space="0" w:color="auto"/>
      </w:divBdr>
    </w:div>
    <w:div w:id="20679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TDAG/Pages/2024/default.aspx" TargetMode="External"/><Relationship Id="rId21" Type="http://schemas.openxmlformats.org/officeDocument/2006/relationships/hyperlink" Target="https://www.youtube.com/watch?v=L2Hh8spyOQ0" TargetMode="External"/><Relationship Id="rId42" Type="http://schemas.openxmlformats.org/officeDocument/2006/relationships/hyperlink" Target="https://www.itu.int/md/D22-TDAG31-C-0044/" TargetMode="External"/><Relationship Id="rId47" Type="http://schemas.openxmlformats.org/officeDocument/2006/relationships/hyperlink" Target="https://www.itu.int/en/ITU-D/Study-Groups/2022-2025/Pages/meetings/workshop-satellite_april24.aspx" TargetMode="External"/><Relationship Id="rId63" Type="http://schemas.openxmlformats.org/officeDocument/2006/relationships/hyperlink" Target="https://www.itu.int/md/D22-TDAG31-C-0024/" TargetMode="External"/><Relationship Id="rId68" Type="http://schemas.openxmlformats.org/officeDocument/2006/relationships/hyperlink" Target="https://www.itu.int/en/ITU-D/Conferences/TDAG/Pages/2024/TDAG_WG_SR.aspx" TargetMode="External"/><Relationship Id="rId84" Type="http://schemas.openxmlformats.org/officeDocument/2006/relationships/hyperlink" Target="https://www.itu.int/md/D22-TDAG31-C-0029/" TargetMode="External"/><Relationship Id="rId89" Type="http://schemas.openxmlformats.org/officeDocument/2006/relationships/hyperlink" Target="https://www.itu.int/md/D22-TDAG31-240520-TD-0008/en" TargetMode="External"/><Relationship Id="rId16" Type="http://schemas.openxmlformats.org/officeDocument/2006/relationships/hyperlink" Target="https://www.itu.int/md/D22-TDAG31-240520-TD-0002/" TargetMode="External"/><Relationship Id="rId107" Type="http://schemas.microsoft.com/office/2020/10/relationships/intelligence" Target="intelligence2.xml"/><Relationship Id="rId11" Type="http://schemas.openxmlformats.org/officeDocument/2006/relationships/image" Target="media/image1.jpeg"/><Relationship Id="rId32" Type="http://schemas.openxmlformats.org/officeDocument/2006/relationships/hyperlink" Target="https://www.itu.int/md/D22-TDAG31-240520-TD-0006/en" TargetMode="External"/><Relationship Id="rId37" Type="http://schemas.openxmlformats.org/officeDocument/2006/relationships/hyperlink" Target="https://www.itu.int/md/D22-TDAG31-C-0033/" TargetMode="External"/><Relationship Id="rId53" Type="http://schemas.openxmlformats.org/officeDocument/2006/relationships/hyperlink" Target="https://www.itu.int/md/D22-TDAG31-C-0017/" TargetMode="External"/><Relationship Id="rId58" Type="http://schemas.openxmlformats.org/officeDocument/2006/relationships/hyperlink" Target="https://www.itu.int/md/D22-TDAG31-C-0008/" TargetMode="External"/><Relationship Id="rId74" Type="http://schemas.openxmlformats.org/officeDocument/2006/relationships/hyperlink" Target="https://www.itu.int/md/D22-TDAG31-C-0039/" TargetMode="External"/><Relationship Id="rId79" Type="http://schemas.openxmlformats.org/officeDocument/2006/relationships/hyperlink" Target="https://www.itu.int/md/D22-TDAG31-C-0032/"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www.itu.int/md/D22-TDAG31-C-0011/" TargetMode="External"/><Relationship Id="rId95" Type="http://schemas.openxmlformats.org/officeDocument/2006/relationships/hyperlink" Target="https://www.itu.int/itu-d/meetings/gsr-24/" TargetMode="External"/><Relationship Id="rId22" Type="http://schemas.openxmlformats.org/officeDocument/2006/relationships/hyperlink" Target="https://www.itu.int/md/D22-TDAG31-C-0002/" TargetMode="External"/><Relationship Id="rId27" Type="http://schemas.openxmlformats.org/officeDocument/2006/relationships/hyperlink" Target="https://www.itu.int/md/D22-TDAG31-C-0022/" TargetMode="External"/><Relationship Id="rId43" Type="http://schemas.openxmlformats.org/officeDocument/2006/relationships/hyperlink" Target="https://www.itu.int/md/D22-TDAG31-C-0046/" TargetMode="External"/><Relationship Id="rId48" Type="http://schemas.openxmlformats.org/officeDocument/2006/relationships/hyperlink" Target="https://www.itu.int/en/ITU-D/Regional-Presence/Americas/Pages/EVENTS/2024/cons-awa-2024.aspx" TargetMode="External"/><Relationship Id="rId64" Type="http://schemas.openxmlformats.org/officeDocument/2006/relationships/hyperlink" Target="https://www.itu.int/md/D22-TDAG31-C-0025/" TargetMode="External"/><Relationship Id="rId69" Type="http://schemas.openxmlformats.org/officeDocument/2006/relationships/hyperlink" Target="https://www.itu.int/md/D22-TDAG31-C-0037/en" TargetMode="External"/><Relationship Id="rId80" Type="http://schemas.openxmlformats.org/officeDocument/2006/relationships/hyperlink" Target="https://www.itu.int/md/D22-TDAG31-240520-TD-0007/en" TargetMode="External"/><Relationship Id="rId85" Type="http://schemas.openxmlformats.org/officeDocument/2006/relationships/hyperlink" Target="https://www.itu.int/en/general-secretariat/ties/ISCGDocumentLibrary/Liaisons%20Statements%20on%20Inter-Sectoral%20Coordination%20Activities/Table%203.pdf" TargetMode="External"/><Relationship Id="rId12" Type="http://schemas.openxmlformats.org/officeDocument/2006/relationships/hyperlink" Target="https://www.itu.int/md/D22-TDAG31-240520-TD-0009/en" TargetMode="External"/><Relationship Id="rId17" Type="http://schemas.openxmlformats.org/officeDocument/2006/relationships/hyperlink" Target="https://www.itu.int/md/D22-TDAG31-C-0001/" TargetMode="External"/><Relationship Id="rId33" Type="http://schemas.openxmlformats.org/officeDocument/2006/relationships/hyperlink" Target="https://www.itu.int/md/D22-TDAG31-C-0026/" TargetMode="External"/><Relationship Id="rId38" Type="http://schemas.openxmlformats.org/officeDocument/2006/relationships/hyperlink" Target="https://www.itu.int/md/D22-TDAG31-C-0035/" TargetMode="External"/><Relationship Id="rId59" Type="http://schemas.openxmlformats.org/officeDocument/2006/relationships/hyperlink" Target="https://www.itu.int/md/D22-TDAG31-C-0010/" TargetMode="External"/><Relationship Id="rId103" Type="http://schemas.openxmlformats.org/officeDocument/2006/relationships/footer" Target="footer2.xml"/><Relationship Id="rId20" Type="http://schemas.openxmlformats.org/officeDocument/2006/relationships/hyperlink" Target="https://www.itu.int/md/D22-TDAG31-C-0002/" TargetMode="External"/><Relationship Id="rId41" Type="http://schemas.openxmlformats.org/officeDocument/2006/relationships/hyperlink" Target="https://www.itu.int/md/D22-TDAG31-C-0044/" TargetMode="External"/><Relationship Id="rId54" Type="http://schemas.openxmlformats.org/officeDocument/2006/relationships/hyperlink" Target="https://www.itu.int/md/D22-TDAG31-C-0038/" TargetMode="External"/><Relationship Id="rId62" Type="http://schemas.openxmlformats.org/officeDocument/2006/relationships/hyperlink" Target="https://www.itu.int/md/D22-TDAG31-240520-TD-0005/en" TargetMode="External"/><Relationship Id="rId70" Type="http://schemas.openxmlformats.org/officeDocument/2006/relationships/hyperlink" Target="https://www.itu.int/md/D22-TDAG31-240520-TD-0003/" TargetMode="External"/><Relationship Id="rId75" Type="http://schemas.openxmlformats.org/officeDocument/2006/relationships/hyperlink" Target="https://www.itu.int/md/D22-TDAG31-240520-TD-0004/en" TargetMode="External"/><Relationship Id="rId83" Type="http://schemas.openxmlformats.org/officeDocument/2006/relationships/hyperlink" Target="https://www.itu.int/md/D22-TDAG31-C-0018/" TargetMode="External"/><Relationship Id="rId88" Type="http://schemas.openxmlformats.org/officeDocument/2006/relationships/hyperlink" Target="https://www.itu.int/md/D22-TDAG31-C-0021/" TargetMode="External"/><Relationship Id="rId91" Type="http://schemas.openxmlformats.org/officeDocument/2006/relationships/hyperlink" Target="https://www.itu.int/md/S23-CL-C-0058/en" TargetMode="External"/><Relationship Id="rId96" Type="http://schemas.openxmlformats.org/officeDocument/2006/relationships/hyperlink" Target="https://youtu.be/2MvSo_1neA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1-240520-TD-0001/" TargetMode="External"/><Relationship Id="rId23" Type="http://schemas.openxmlformats.org/officeDocument/2006/relationships/hyperlink" Target="https://www.itu.int/md/D22-TDAG31-C-0002/" TargetMode="External"/><Relationship Id="rId28" Type="http://schemas.openxmlformats.org/officeDocument/2006/relationships/hyperlink" Target="https://www.itu.int/md/D22-TDAG31-C-0012/" TargetMode="External"/><Relationship Id="rId36" Type="http://schemas.openxmlformats.org/officeDocument/2006/relationships/hyperlink" Target="https://www.itu.int/md/D22-TDAG31-C-0028/" TargetMode="External"/><Relationship Id="rId49" Type="http://schemas.openxmlformats.org/officeDocument/2006/relationships/hyperlink" Target="https://www.itu.int/md/D22-TDAG31-C-0006/" TargetMode="External"/><Relationship Id="rId57" Type="http://schemas.openxmlformats.org/officeDocument/2006/relationships/hyperlink" Target="https://www.itu.int/md/D22-TDAG31-C-0008/"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D22-TDAG31-240520-TD-0006/en" TargetMode="External"/><Relationship Id="rId44" Type="http://schemas.openxmlformats.org/officeDocument/2006/relationships/hyperlink" Target="https://www.itu.int/md/D22-TDAG31-C-0047/" TargetMode="External"/><Relationship Id="rId52" Type="http://schemas.openxmlformats.org/officeDocument/2006/relationships/hyperlink" Target="https://www.itu.int/md/D22-TDAG31-C-0016/" TargetMode="External"/><Relationship Id="rId60" Type="http://schemas.openxmlformats.org/officeDocument/2006/relationships/hyperlink" Target="https://www.itu.int/md/D22-TDAG31-C-0023/" TargetMode="External"/><Relationship Id="rId65" Type="http://schemas.openxmlformats.org/officeDocument/2006/relationships/hyperlink" Target="https://www.itu.int/md/D22-TDAG31-C-0030/" TargetMode="External"/><Relationship Id="rId73" Type="http://schemas.openxmlformats.org/officeDocument/2006/relationships/hyperlink" Target="https://www.itu.int/md/D22-TDAG31-C-0037/" TargetMode="External"/><Relationship Id="rId78" Type="http://schemas.openxmlformats.org/officeDocument/2006/relationships/hyperlink" Target="https://www.itu.int/md/D22-TDAG31-C-0013/" TargetMode="External"/><Relationship Id="rId81" Type="http://schemas.openxmlformats.org/officeDocument/2006/relationships/hyperlink" Target="https://www.itu.int/md/D22-TDAG31-C-0009/" TargetMode="External"/><Relationship Id="rId86" Type="http://schemas.openxmlformats.org/officeDocument/2006/relationships/hyperlink" Target="https://www.itu.int/md/D22-TDAG31-C-0040/" TargetMode="External"/><Relationship Id="rId94" Type="http://schemas.openxmlformats.org/officeDocument/2006/relationships/hyperlink" Target="https://www.itu.int/md/D22-TDAG31-C-0014/" TargetMode="External"/><Relationship Id="rId99" Type="http://schemas.openxmlformats.org/officeDocument/2006/relationships/footer" Target="foot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bdt-director/Pages/Speeches.aspx?ItemID=529" TargetMode="External"/><Relationship Id="rId18" Type="http://schemas.openxmlformats.org/officeDocument/2006/relationships/hyperlink" Target="https://www.itu.int/md/D22-TDAG31-240520-TD-0001/" TargetMode="External"/><Relationship Id="rId39" Type="http://schemas.openxmlformats.org/officeDocument/2006/relationships/hyperlink" Target="https://www.itu.int/md/D22-TDAG31-C-0042/" TargetMode="External"/><Relationship Id="rId34" Type="http://schemas.openxmlformats.org/officeDocument/2006/relationships/hyperlink" Target="https://www.itu.int/md/D22-TDAG31-C-0027/" TargetMode="External"/><Relationship Id="rId50" Type="http://schemas.openxmlformats.org/officeDocument/2006/relationships/hyperlink" Target="https://www.itu.int/md/D22-TDAG31-C-0007/" TargetMode="External"/><Relationship Id="rId55" Type="http://schemas.openxmlformats.org/officeDocument/2006/relationships/hyperlink" Target="https://www.itu.int/itu-d/sites/innovation-alliance/wp-content/uploads/sites/35/2024/05/Terms_of_Reference_-_Digital_Innovation_Board.pdf" TargetMode="External"/><Relationship Id="rId76" Type="http://schemas.openxmlformats.org/officeDocument/2006/relationships/hyperlink" Target="https://www.itu.int/md/D22-TDAG31-240520-TD-0005/en" TargetMode="External"/><Relationship Id="rId97" Type="http://schemas.openxmlformats.org/officeDocument/2006/relationships/hyperlink" Target="https://www.itu.int/en/ITU-D/bdt-director/Pages/Speeches.aspx?ItemID=533" TargetMode="External"/><Relationship Id="rId104"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www.itu.int/md/D22-TDAG31-240520-TD-0003/en" TargetMode="External"/><Relationship Id="rId92" Type="http://schemas.openxmlformats.org/officeDocument/2006/relationships/hyperlink" Target="https://www.itu.int/md/D22-TDAG31-C-0015/" TargetMode="External"/><Relationship Id="rId2" Type="http://schemas.openxmlformats.org/officeDocument/2006/relationships/customXml" Target="../customXml/item2.xml"/><Relationship Id="rId29" Type="http://schemas.openxmlformats.org/officeDocument/2006/relationships/hyperlink" Target="https://www.itu.int/md/D22-TDAG31-C-0049/" TargetMode="External"/><Relationship Id="rId24" Type="http://schemas.openxmlformats.org/officeDocument/2006/relationships/hyperlink" Target="https://www.surveymonkey.com/r/B1TC47BR" TargetMode="External"/><Relationship Id="rId40" Type="http://schemas.openxmlformats.org/officeDocument/2006/relationships/hyperlink" Target="https://www.itu.int/md/D22-TDAG31-C-0043/" TargetMode="External"/><Relationship Id="rId45" Type="http://schemas.openxmlformats.org/officeDocument/2006/relationships/hyperlink" Target="https://www.itu.int/md/D22-TDAG31-C-0048/" TargetMode="External"/><Relationship Id="rId66" Type="http://schemas.openxmlformats.org/officeDocument/2006/relationships/hyperlink" Target="https://www.itu.int/md/D22-TDAG31-C-0031/" TargetMode="External"/><Relationship Id="rId87" Type="http://schemas.openxmlformats.org/officeDocument/2006/relationships/hyperlink" Target="https://www.itu.int/md/D22-TDAG31-C-0041/" TargetMode="External"/><Relationship Id="rId61" Type="http://schemas.openxmlformats.org/officeDocument/2006/relationships/hyperlink" Target="https://www.itu.int/md/D22-TDAG31-240520-TD-0004/en" TargetMode="External"/><Relationship Id="rId82" Type="http://schemas.openxmlformats.org/officeDocument/2006/relationships/hyperlink" Target="https://www.itu.int/en/general-secretariat/Pages/ISCG/default.aspx" TargetMode="External"/><Relationship Id="rId19" Type="http://schemas.openxmlformats.org/officeDocument/2006/relationships/hyperlink" Target="https://www.itu.int/md/D22-TDAG31-240520-TD-0002/" TargetMode="External"/><Relationship Id="rId14" Type="http://schemas.openxmlformats.org/officeDocument/2006/relationships/hyperlink" Target="https://www.itu.int/md/D22-TDAG31-C-0001/" TargetMode="External"/><Relationship Id="rId30" Type="http://schemas.openxmlformats.org/officeDocument/2006/relationships/hyperlink" Target="https://www.itu.int/md/D22-TDAG31-C-0020/" TargetMode="External"/><Relationship Id="rId35" Type="http://schemas.openxmlformats.org/officeDocument/2006/relationships/hyperlink" Target="https://www.itu.int/md/D22-TDAG30-C-0029/" TargetMode="External"/><Relationship Id="rId56" Type="http://schemas.openxmlformats.org/officeDocument/2006/relationships/hyperlink" Target="https://www.itu.int/md/D22-TDAG31-C-0004/" TargetMode="External"/><Relationship Id="rId77" Type="http://schemas.openxmlformats.org/officeDocument/2006/relationships/hyperlink" Target="https://www.itu.int/md/D22-TDAG31-C-0013/" TargetMode="External"/><Relationship Id="rId100" Type="http://schemas.openxmlformats.org/officeDocument/2006/relationships/image" Target="media/image2.png"/><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D22-TDAG31-C-0036/" TargetMode="External"/><Relationship Id="rId72" Type="http://schemas.openxmlformats.org/officeDocument/2006/relationships/hyperlink" Target="https://www.itu.int/md/D22-TDAG31-C-0034/" TargetMode="External"/><Relationship Id="rId93" Type="http://schemas.openxmlformats.org/officeDocument/2006/relationships/hyperlink" Target="https://www.itu.int/md/D22-TDAG31-C-0003/"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itu.int/en/ITU-D/Conferences/TDAG/Pages/dashboards/2024/Operational-Plan-Reporting-Dashboard.aspx" TargetMode="External"/><Relationship Id="rId46" Type="http://schemas.openxmlformats.org/officeDocument/2006/relationships/hyperlink" Target="https://www.itu.int/md/D22-TDAG31-C-0005/" TargetMode="External"/><Relationship Id="rId67" Type="http://schemas.openxmlformats.org/officeDocument/2006/relationships/hyperlink" Target="https://www.itu.int/md/D22-TDAG31-C-00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BC457A07-E1EF-46CF-A785-7487CDAAC47A}">
  <ds:schemaRefs>
    <ds:schemaRef ds:uri="http://schemas.openxmlformats.org/officeDocument/2006/bibliography"/>
  </ds:schemaRefs>
</ds:datastoreItem>
</file>

<file path=customXml/itemProps2.xml><?xml version="1.0" encoding="utf-8"?>
<ds:datastoreItem xmlns:ds="http://schemas.openxmlformats.org/officeDocument/2006/customXml" ds:itemID="{9E1ACC45-97AF-402A-8009-A282594FF9FD}">
  <ds:schemaRefs>
    <ds:schemaRef ds:uri="http://schemas.microsoft.com/sharepoint/v3/contenttype/forms"/>
  </ds:schemaRefs>
</ds:datastoreItem>
</file>

<file path=customXml/itemProps3.xml><?xml version="1.0" encoding="utf-8"?>
<ds:datastoreItem xmlns:ds="http://schemas.openxmlformats.org/officeDocument/2006/customXml" ds:itemID="{2D8828B5-D344-4175-A050-3798E2D15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2CD51-0510-4DFA-9EBB-D49CAD5CD61F}">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16443</Words>
  <Characters>100282</Characters>
  <Application>Microsoft Office Word</Application>
  <DocSecurity>0</DocSecurity>
  <Lines>835</Lines>
  <Paragraphs>232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116493</CharactersWithSpaces>
  <SharedDoc>false</SharedDoc>
  <HLinks>
    <vt:vector size="522" baseType="variant">
      <vt:variant>
        <vt:i4>1441796</vt:i4>
      </vt:variant>
      <vt:variant>
        <vt:i4>258</vt:i4>
      </vt:variant>
      <vt:variant>
        <vt:i4>0</vt:i4>
      </vt:variant>
      <vt:variant>
        <vt:i4>5</vt:i4>
      </vt:variant>
      <vt:variant>
        <vt:lpwstr>https://www.itu.int/en/ITU-D/bdt-director/Pages/Speeches.aspx?ItemID=533</vt:lpwstr>
      </vt:variant>
      <vt:variant>
        <vt:lpwstr/>
      </vt:variant>
      <vt:variant>
        <vt:i4>393274</vt:i4>
      </vt:variant>
      <vt:variant>
        <vt:i4>255</vt:i4>
      </vt:variant>
      <vt:variant>
        <vt:i4>0</vt:i4>
      </vt:variant>
      <vt:variant>
        <vt:i4>5</vt:i4>
      </vt:variant>
      <vt:variant>
        <vt:lpwstr>https://youtu.be/2MvSo_1neA8</vt:lpwstr>
      </vt:variant>
      <vt:variant>
        <vt:lpwstr/>
      </vt:variant>
      <vt:variant>
        <vt:i4>2162810</vt:i4>
      </vt:variant>
      <vt:variant>
        <vt:i4>252</vt:i4>
      </vt:variant>
      <vt:variant>
        <vt:i4>0</vt:i4>
      </vt:variant>
      <vt:variant>
        <vt:i4>5</vt:i4>
      </vt:variant>
      <vt:variant>
        <vt:lpwstr>https://www.itu.int/itu-d/meetings/gsr-24/</vt:lpwstr>
      </vt:variant>
      <vt:variant>
        <vt:lpwstr/>
      </vt:variant>
      <vt:variant>
        <vt:i4>4390988</vt:i4>
      </vt:variant>
      <vt:variant>
        <vt:i4>249</vt:i4>
      </vt:variant>
      <vt:variant>
        <vt:i4>0</vt:i4>
      </vt:variant>
      <vt:variant>
        <vt:i4>5</vt:i4>
      </vt:variant>
      <vt:variant>
        <vt:lpwstr>https://www.itu.int/md/D22-TDAG31-C-0014/</vt:lpwstr>
      </vt:variant>
      <vt:variant>
        <vt:lpwstr/>
      </vt:variant>
      <vt:variant>
        <vt:i4>4456525</vt:i4>
      </vt:variant>
      <vt:variant>
        <vt:i4>246</vt:i4>
      </vt:variant>
      <vt:variant>
        <vt:i4>0</vt:i4>
      </vt:variant>
      <vt:variant>
        <vt:i4>5</vt:i4>
      </vt:variant>
      <vt:variant>
        <vt:lpwstr>https://www.itu.int/md/D22-TDAG31-C-0003/</vt:lpwstr>
      </vt:variant>
      <vt:variant>
        <vt:lpwstr/>
      </vt:variant>
      <vt:variant>
        <vt:i4>4325452</vt:i4>
      </vt:variant>
      <vt:variant>
        <vt:i4>243</vt:i4>
      </vt:variant>
      <vt:variant>
        <vt:i4>0</vt:i4>
      </vt:variant>
      <vt:variant>
        <vt:i4>5</vt:i4>
      </vt:variant>
      <vt:variant>
        <vt:lpwstr>https://www.itu.int/md/D22-TDAG31-C-0015/</vt:lpwstr>
      </vt:variant>
      <vt:variant>
        <vt:lpwstr/>
      </vt:variant>
      <vt:variant>
        <vt:i4>7929913</vt:i4>
      </vt:variant>
      <vt:variant>
        <vt:i4>240</vt:i4>
      </vt:variant>
      <vt:variant>
        <vt:i4>0</vt:i4>
      </vt:variant>
      <vt:variant>
        <vt:i4>5</vt:i4>
      </vt:variant>
      <vt:variant>
        <vt:lpwstr>https://www.itu.int/md/S23-CL-C-0058/en</vt:lpwstr>
      </vt:variant>
      <vt:variant>
        <vt:lpwstr/>
      </vt:variant>
      <vt:variant>
        <vt:i4>4587596</vt:i4>
      </vt:variant>
      <vt:variant>
        <vt:i4>237</vt:i4>
      </vt:variant>
      <vt:variant>
        <vt:i4>0</vt:i4>
      </vt:variant>
      <vt:variant>
        <vt:i4>5</vt:i4>
      </vt:variant>
      <vt:variant>
        <vt:lpwstr>https://www.itu.int/md/D22-TDAG31-C-0011/</vt:lpwstr>
      </vt:variant>
      <vt:variant>
        <vt:lpwstr/>
      </vt:variant>
      <vt:variant>
        <vt:i4>7274616</vt:i4>
      </vt:variant>
      <vt:variant>
        <vt:i4>234</vt:i4>
      </vt:variant>
      <vt:variant>
        <vt:i4>0</vt:i4>
      </vt:variant>
      <vt:variant>
        <vt:i4>5</vt:i4>
      </vt:variant>
      <vt:variant>
        <vt:lpwstr>https://www.itu.int/md/D22-TDAG31-240520-TD-0008/en</vt:lpwstr>
      </vt:variant>
      <vt:variant>
        <vt:lpwstr/>
      </vt:variant>
      <vt:variant>
        <vt:i4>4587599</vt:i4>
      </vt:variant>
      <vt:variant>
        <vt:i4>231</vt:i4>
      </vt:variant>
      <vt:variant>
        <vt:i4>0</vt:i4>
      </vt:variant>
      <vt:variant>
        <vt:i4>5</vt:i4>
      </vt:variant>
      <vt:variant>
        <vt:lpwstr>https://www.itu.int/md/D22-TDAG31-C-0021/</vt:lpwstr>
      </vt:variant>
      <vt:variant>
        <vt:lpwstr/>
      </vt:variant>
      <vt:variant>
        <vt:i4>4587593</vt:i4>
      </vt:variant>
      <vt:variant>
        <vt:i4>228</vt:i4>
      </vt:variant>
      <vt:variant>
        <vt:i4>0</vt:i4>
      </vt:variant>
      <vt:variant>
        <vt:i4>5</vt:i4>
      </vt:variant>
      <vt:variant>
        <vt:lpwstr>https://www.itu.int/md/D22-TDAG31-C-0041/</vt:lpwstr>
      </vt:variant>
      <vt:variant>
        <vt:lpwstr/>
      </vt:variant>
      <vt:variant>
        <vt:i4>4653129</vt:i4>
      </vt:variant>
      <vt:variant>
        <vt:i4>225</vt:i4>
      </vt:variant>
      <vt:variant>
        <vt:i4>0</vt:i4>
      </vt:variant>
      <vt:variant>
        <vt:i4>5</vt:i4>
      </vt:variant>
      <vt:variant>
        <vt:lpwstr>https://www.itu.int/md/D22-TDAG31-C-0040/</vt:lpwstr>
      </vt:variant>
      <vt:variant>
        <vt:lpwstr/>
      </vt:variant>
      <vt:variant>
        <vt:i4>589896</vt:i4>
      </vt:variant>
      <vt:variant>
        <vt:i4>222</vt:i4>
      </vt:variant>
      <vt:variant>
        <vt:i4>0</vt:i4>
      </vt:variant>
      <vt:variant>
        <vt:i4>5</vt:i4>
      </vt:variant>
      <vt:variant>
        <vt:lpwstr>https://www.itu.int/en/general-secretariat/ties/ISCGDocumentLibrary/Liaisons Statements on Inter-Sectoral Coordination Activities/Table 3.pdf</vt:lpwstr>
      </vt:variant>
      <vt:variant>
        <vt:lpwstr/>
      </vt:variant>
      <vt:variant>
        <vt:i4>5111887</vt:i4>
      </vt:variant>
      <vt:variant>
        <vt:i4>219</vt:i4>
      </vt:variant>
      <vt:variant>
        <vt:i4>0</vt:i4>
      </vt:variant>
      <vt:variant>
        <vt:i4>5</vt:i4>
      </vt:variant>
      <vt:variant>
        <vt:lpwstr>https://www.itu.int/md/D22-TDAG31-C-0029/</vt:lpwstr>
      </vt:variant>
      <vt:variant>
        <vt:lpwstr/>
      </vt:variant>
      <vt:variant>
        <vt:i4>5177420</vt:i4>
      </vt:variant>
      <vt:variant>
        <vt:i4>216</vt:i4>
      </vt:variant>
      <vt:variant>
        <vt:i4>0</vt:i4>
      </vt:variant>
      <vt:variant>
        <vt:i4>5</vt:i4>
      </vt:variant>
      <vt:variant>
        <vt:lpwstr>https://www.itu.int/md/D22-TDAG31-C-0018/</vt:lpwstr>
      </vt:variant>
      <vt:variant>
        <vt:lpwstr/>
      </vt:variant>
      <vt:variant>
        <vt:i4>3080245</vt:i4>
      </vt:variant>
      <vt:variant>
        <vt:i4>213</vt:i4>
      </vt:variant>
      <vt:variant>
        <vt:i4>0</vt:i4>
      </vt:variant>
      <vt:variant>
        <vt:i4>5</vt:i4>
      </vt:variant>
      <vt:variant>
        <vt:lpwstr>https://www.itu.int/en/general-secretariat/Pages/ISCG/default.aspx</vt:lpwstr>
      </vt:variant>
      <vt:variant>
        <vt:lpwstr/>
      </vt:variant>
      <vt:variant>
        <vt:i4>5111885</vt:i4>
      </vt:variant>
      <vt:variant>
        <vt:i4>210</vt:i4>
      </vt:variant>
      <vt:variant>
        <vt:i4>0</vt:i4>
      </vt:variant>
      <vt:variant>
        <vt:i4>5</vt:i4>
      </vt:variant>
      <vt:variant>
        <vt:lpwstr>https://www.itu.int/md/D22-TDAG31-C-0009/</vt:lpwstr>
      </vt:variant>
      <vt:variant>
        <vt:lpwstr/>
      </vt:variant>
      <vt:variant>
        <vt:i4>6291576</vt:i4>
      </vt:variant>
      <vt:variant>
        <vt:i4>207</vt:i4>
      </vt:variant>
      <vt:variant>
        <vt:i4>0</vt:i4>
      </vt:variant>
      <vt:variant>
        <vt:i4>5</vt:i4>
      </vt:variant>
      <vt:variant>
        <vt:lpwstr>https://www.itu.int/md/D22-TDAG31-240520-TD-0007/en</vt:lpwstr>
      </vt:variant>
      <vt:variant>
        <vt:lpwstr/>
      </vt:variant>
      <vt:variant>
        <vt:i4>4522062</vt:i4>
      </vt:variant>
      <vt:variant>
        <vt:i4>204</vt:i4>
      </vt:variant>
      <vt:variant>
        <vt:i4>0</vt:i4>
      </vt:variant>
      <vt:variant>
        <vt:i4>5</vt:i4>
      </vt:variant>
      <vt:variant>
        <vt:lpwstr>https://www.itu.int/md/D22-TDAG31-C-0032/</vt:lpwstr>
      </vt:variant>
      <vt:variant>
        <vt:lpwstr/>
      </vt:variant>
      <vt:variant>
        <vt:i4>4456524</vt:i4>
      </vt:variant>
      <vt:variant>
        <vt:i4>201</vt:i4>
      </vt:variant>
      <vt:variant>
        <vt:i4>0</vt:i4>
      </vt:variant>
      <vt:variant>
        <vt:i4>5</vt:i4>
      </vt:variant>
      <vt:variant>
        <vt:lpwstr>https://www.itu.int/md/D22-TDAG31-C-0013/</vt:lpwstr>
      </vt:variant>
      <vt:variant>
        <vt:lpwstr/>
      </vt:variant>
      <vt:variant>
        <vt:i4>4456524</vt:i4>
      </vt:variant>
      <vt:variant>
        <vt:i4>198</vt:i4>
      </vt:variant>
      <vt:variant>
        <vt:i4>0</vt:i4>
      </vt:variant>
      <vt:variant>
        <vt:i4>5</vt:i4>
      </vt:variant>
      <vt:variant>
        <vt:lpwstr>https://www.itu.int/md/D22-TDAG31-C-0013/</vt:lpwstr>
      </vt:variant>
      <vt:variant>
        <vt:lpwstr/>
      </vt:variant>
      <vt:variant>
        <vt:i4>6422648</vt:i4>
      </vt:variant>
      <vt:variant>
        <vt:i4>195</vt:i4>
      </vt:variant>
      <vt:variant>
        <vt:i4>0</vt:i4>
      </vt:variant>
      <vt:variant>
        <vt:i4>5</vt:i4>
      </vt:variant>
      <vt:variant>
        <vt:lpwstr>https://www.itu.int/md/D22-TDAG31-240520-TD-0005/en</vt:lpwstr>
      </vt:variant>
      <vt:variant>
        <vt:lpwstr/>
      </vt:variant>
      <vt:variant>
        <vt:i4>6488184</vt:i4>
      </vt:variant>
      <vt:variant>
        <vt:i4>192</vt:i4>
      </vt:variant>
      <vt:variant>
        <vt:i4>0</vt:i4>
      </vt:variant>
      <vt:variant>
        <vt:i4>5</vt:i4>
      </vt:variant>
      <vt:variant>
        <vt:lpwstr>https://www.itu.int/md/D22-TDAG31-240520-TD-0004/en</vt:lpwstr>
      </vt:variant>
      <vt:variant>
        <vt:lpwstr/>
      </vt:variant>
      <vt:variant>
        <vt:i4>5111886</vt:i4>
      </vt:variant>
      <vt:variant>
        <vt:i4>189</vt:i4>
      </vt:variant>
      <vt:variant>
        <vt:i4>0</vt:i4>
      </vt:variant>
      <vt:variant>
        <vt:i4>5</vt:i4>
      </vt:variant>
      <vt:variant>
        <vt:lpwstr>https://www.itu.int/md/D22-TDAG31-C-0039/</vt:lpwstr>
      </vt:variant>
      <vt:variant>
        <vt:lpwstr/>
      </vt:variant>
      <vt:variant>
        <vt:i4>4194382</vt:i4>
      </vt:variant>
      <vt:variant>
        <vt:i4>186</vt:i4>
      </vt:variant>
      <vt:variant>
        <vt:i4>0</vt:i4>
      </vt:variant>
      <vt:variant>
        <vt:i4>5</vt:i4>
      </vt:variant>
      <vt:variant>
        <vt:lpwstr>https://www.itu.int/md/D22-TDAG31-C-0037/</vt:lpwstr>
      </vt:variant>
      <vt:variant>
        <vt:lpwstr/>
      </vt:variant>
      <vt:variant>
        <vt:i4>4390990</vt:i4>
      </vt:variant>
      <vt:variant>
        <vt:i4>183</vt:i4>
      </vt:variant>
      <vt:variant>
        <vt:i4>0</vt:i4>
      </vt:variant>
      <vt:variant>
        <vt:i4>5</vt:i4>
      </vt:variant>
      <vt:variant>
        <vt:lpwstr>https://www.itu.int/md/D22-TDAG31-C-0034/</vt:lpwstr>
      </vt:variant>
      <vt:variant>
        <vt:lpwstr/>
      </vt:variant>
      <vt:variant>
        <vt:i4>6553720</vt:i4>
      </vt:variant>
      <vt:variant>
        <vt:i4>180</vt:i4>
      </vt:variant>
      <vt:variant>
        <vt:i4>0</vt:i4>
      </vt:variant>
      <vt:variant>
        <vt:i4>5</vt:i4>
      </vt:variant>
      <vt:variant>
        <vt:lpwstr>https://www.itu.int/md/D22-TDAG31-240520-TD-0003/en</vt:lpwstr>
      </vt:variant>
      <vt:variant>
        <vt:lpwstr/>
      </vt:variant>
      <vt:variant>
        <vt:i4>65623</vt:i4>
      </vt:variant>
      <vt:variant>
        <vt:i4>177</vt:i4>
      </vt:variant>
      <vt:variant>
        <vt:i4>0</vt:i4>
      </vt:variant>
      <vt:variant>
        <vt:i4>5</vt:i4>
      </vt:variant>
      <vt:variant>
        <vt:lpwstr>https://www.itu.int/md/D22-TDAG31-240520-TD-0003/</vt:lpwstr>
      </vt:variant>
      <vt:variant>
        <vt:lpwstr/>
      </vt:variant>
      <vt:variant>
        <vt:i4>2424929</vt:i4>
      </vt:variant>
      <vt:variant>
        <vt:i4>174</vt:i4>
      </vt:variant>
      <vt:variant>
        <vt:i4>0</vt:i4>
      </vt:variant>
      <vt:variant>
        <vt:i4>5</vt:i4>
      </vt:variant>
      <vt:variant>
        <vt:lpwstr>https://www.itu.int/md/D22-TDAG31-C-0037/en</vt:lpwstr>
      </vt:variant>
      <vt:variant>
        <vt:lpwstr/>
      </vt:variant>
      <vt:variant>
        <vt:i4>3538978</vt:i4>
      </vt:variant>
      <vt:variant>
        <vt:i4>171</vt:i4>
      </vt:variant>
      <vt:variant>
        <vt:i4>0</vt:i4>
      </vt:variant>
      <vt:variant>
        <vt:i4>5</vt:i4>
      </vt:variant>
      <vt:variant>
        <vt:lpwstr>https://www.itu.int/en/ITU-D/Conferences/TDAG/Pages/2024/TDAG_WG_SR.aspx</vt:lpwstr>
      </vt:variant>
      <vt:variant>
        <vt:lpwstr/>
      </vt:variant>
      <vt:variant>
        <vt:i4>5111884</vt:i4>
      </vt:variant>
      <vt:variant>
        <vt:i4>168</vt:i4>
      </vt:variant>
      <vt:variant>
        <vt:i4>0</vt:i4>
      </vt:variant>
      <vt:variant>
        <vt:i4>5</vt:i4>
      </vt:variant>
      <vt:variant>
        <vt:lpwstr>https://www.itu.int/md/D22-TDAG31-C-0019/</vt:lpwstr>
      </vt:variant>
      <vt:variant>
        <vt:lpwstr/>
      </vt:variant>
      <vt:variant>
        <vt:i4>4587598</vt:i4>
      </vt:variant>
      <vt:variant>
        <vt:i4>165</vt:i4>
      </vt:variant>
      <vt:variant>
        <vt:i4>0</vt:i4>
      </vt:variant>
      <vt:variant>
        <vt:i4>5</vt:i4>
      </vt:variant>
      <vt:variant>
        <vt:lpwstr>https://www.itu.int/md/D22-TDAG31-C-0031/</vt:lpwstr>
      </vt:variant>
      <vt:variant>
        <vt:lpwstr/>
      </vt:variant>
      <vt:variant>
        <vt:i4>4653134</vt:i4>
      </vt:variant>
      <vt:variant>
        <vt:i4>162</vt:i4>
      </vt:variant>
      <vt:variant>
        <vt:i4>0</vt:i4>
      </vt:variant>
      <vt:variant>
        <vt:i4>5</vt:i4>
      </vt:variant>
      <vt:variant>
        <vt:lpwstr>https://www.itu.int/md/D22-TDAG31-C-0030/</vt:lpwstr>
      </vt:variant>
      <vt:variant>
        <vt:lpwstr/>
      </vt:variant>
      <vt:variant>
        <vt:i4>4325455</vt:i4>
      </vt:variant>
      <vt:variant>
        <vt:i4>159</vt:i4>
      </vt:variant>
      <vt:variant>
        <vt:i4>0</vt:i4>
      </vt:variant>
      <vt:variant>
        <vt:i4>5</vt:i4>
      </vt:variant>
      <vt:variant>
        <vt:lpwstr>https://www.itu.int/md/D22-TDAG31-C-0025/</vt:lpwstr>
      </vt:variant>
      <vt:variant>
        <vt:lpwstr/>
      </vt:variant>
      <vt:variant>
        <vt:i4>4390991</vt:i4>
      </vt:variant>
      <vt:variant>
        <vt:i4>156</vt:i4>
      </vt:variant>
      <vt:variant>
        <vt:i4>0</vt:i4>
      </vt:variant>
      <vt:variant>
        <vt:i4>5</vt:i4>
      </vt:variant>
      <vt:variant>
        <vt:lpwstr>https://www.itu.int/md/D22-TDAG31-C-0024/</vt:lpwstr>
      </vt:variant>
      <vt:variant>
        <vt:lpwstr/>
      </vt:variant>
      <vt:variant>
        <vt:i4>6422648</vt:i4>
      </vt:variant>
      <vt:variant>
        <vt:i4>153</vt:i4>
      </vt:variant>
      <vt:variant>
        <vt:i4>0</vt:i4>
      </vt:variant>
      <vt:variant>
        <vt:i4>5</vt:i4>
      </vt:variant>
      <vt:variant>
        <vt:lpwstr>https://www.itu.int/md/D22-TDAG31-240520-TD-0005/en</vt:lpwstr>
      </vt:variant>
      <vt:variant>
        <vt:lpwstr/>
      </vt:variant>
      <vt:variant>
        <vt:i4>6488184</vt:i4>
      </vt:variant>
      <vt:variant>
        <vt:i4>150</vt:i4>
      </vt:variant>
      <vt:variant>
        <vt:i4>0</vt:i4>
      </vt:variant>
      <vt:variant>
        <vt:i4>5</vt:i4>
      </vt:variant>
      <vt:variant>
        <vt:lpwstr>https://www.itu.int/md/D22-TDAG31-240520-TD-0004/en</vt:lpwstr>
      </vt:variant>
      <vt:variant>
        <vt:lpwstr/>
      </vt:variant>
      <vt:variant>
        <vt:i4>4456527</vt:i4>
      </vt:variant>
      <vt:variant>
        <vt:i4>147</vt:i4>
      </vt:variant>
      <vt:variant>
        <vt:i4>0</vt:i4>
      </vt:variant>
      <vt:variant>
        <vt:i4>5</vt:i4>
      </vt:variant>
      <vt:variant>
        <vt:lpwstr>https://www.itu.int/md/D22-TDAG31-C-0023/</vt:lpwstr>
      </vt:variant>
      <vt:variant>
        <vt:lpwstr/>
      </vt:variant>
      <vt:variant>
        <vt:i4>4653132</vt:i4>
      </vt:variant>
      <vt:variant>
        <vt:i4>144</vt:i4>
      </vt:variant>
      <vt:variant>
        <vt:i4>0</vt:i4>
      </vt:variant>
      <vt:variant>
        <vt:i4>5</vt:i4>
      </vt:variant>
      <vt:variant>
        <vt:lpwstr>https://www.itu.int/md/D22-TDAG31-C-0010/</vt:lpwstr>
      </vt:variant>
      <vt:variant>
        <vt:lpwstr/>
      </vt:variant>
      <vt:variant>
        <vt:i4>5177421</vt:i4>
      </vt:variant>
      <vt:variant>
        <vt:i4>141</vt:i4>
      </vt:variant>
      <vt:variant>
        <vt:i4>0</vt:i4>
      </vt:variant>
      <vt:variant>
        <vt:i4>5</vt:i4>
      </vt:variant>
      <vt:variant>
        <vt:lpwstr>https://www.itu.int/md/D22-TDAG31-C-0008/</vt:lpwstr>
      </vt:variant>
      <vt:variant>
        <vt:lpwstr/>
      </vt:variant>
      <vt:variant>
        <vt:i4>5177421</vt:i4>
      </vt:variant>
      <vt:variant>
        <vt:i4>138</vt:i4>
      </vt:variant>
      <vt:variant>
        <vt:i4>0</vt:i4>
      </vt:variant>
      <vt:variant>
        <vt:i4>5</vt:i4>
      </vt:variant>
      <vt:variant>
        <vt:lpwstr>https://www.itu.int/md/D22-TDAG31-C-0008/</vt:lpwstr>
      </vt:variant>
      <vt:variant>
        <vt:lpwstr/>
      </vt:variant>
      <vt:variant>
        <vt:i4>4390989</vt:i4>
      </vt:variant>
      <vt:variant>
        <vt:i4>135</vt:i4>
      </vt:variant>
      <vt:variant>
        <vt:i4>0</vt:i4>
      </vt:variant>
      <vt:variant>
        <vt:i4>5</vt:i4>
      </vt:variant>
      <vt:variant>
        <vt:lpwstr>https://www.itu.int/md/D22-TDAG31-C-0004/</vt:lpwstr>
      </vt:variant>
      <vt:variant>
        <vt:lpwstr/>
      </vt:variant>
      <vt:variant>
        <vt:i4>6094929</vt:i4>
      </vt:variant>
      <vt:variant>
        <vt:i4>132</vt:i4>
      </vt:variant>
      <vt:variant>
        <vt:i4>0</vt:i4>
      </vt:variant>
      <vt:variant>
        <vt:i4>5</vt:i4>
      </vt:variant>
      <vt:variant>
        <vt:lpwstr>https://www.itu.int/itu-d/sites/innovation-alliance/wp-content/uploads/sites/35/2024/05/Terms_of_Reference_-_Digital_Innovation_Board.pdf</vt:lpwstr>
      </vt:variant>
      <vt:variant>
        <vt:lpwstr/>
      </vt:variant>
      <vt:variant>
        <vt:i4>5177422</vt:i4>
      </vt:variant>
      <vt:variant>
        <vt:i4>129</vt:i4>
      </vt:variant>
      <vt:variant>
        <vt:i4>0</vt:i4>
      </vt:variant>
      <vt:variant>
        <vt:i4>5</vt:i4>
      </vt:variant>
      <vt:variant>
        <vt:lpwstr>https://www.itu.int/md/D22-TDAG31-C-0038/</vt:lpwstr>
      </vt:variant>
      <vt:variant>
        <vt:lpwstr/>
      </vt:variant>
      <vt:variant>
        <vt:i4>4194380</vt:i4>
      </vt:variant>
      <vt:variant>
        <vt:i4>126</vt:i4>
      </vt:variant>
      <vt:variant>
        <vt:i4>0</vt:i4>
      </vt:variant>
      <vt:variant>
        <vt:i4>5</vt:i4>
      </vt:variant>
      <vt:variant>
        <vt:lpwstr>https://www.itu.int/md/D22-TDAG31-C-0017/</vt:lpwstr>
      </vt:variant>
      <vt:variant>
        <vt:lpwstr/>
      </vt:variant>
      <vt:variant>
        <vt:i4>4259916</vt:i4>
      </vt:variant>
      <vt:variant>
        <vt:i4>123</vt:i4>
      </vt:variant>
      <vt:variant>
        <vt:i4>0</vt:i4>
      </vt:variant>
      <vt:variant>
        <vt:i4>5</vt:i4>
      </vt:variant>
      <vt:variant>
        <vt:lpwstr>https://www.itu.int/md/D22-TDAG31-C-0016/</vt:lpwstr>
      </vt:variant>
      <vt:variant>
        <vt:lpwstr/>
      </vt:variant>
      <vt:variant>
        <vt:i4>4259918</vt:i4>
      </vt:variant>
      <vt:variant>
        <vt:i4>120</vt:i4>
      </vt:variant>
      <vt:variant>
        <vt:i4>0</vt:i4>
      </vt:variant>
      <vt:variant>
        <vt:i4>5</vt:i4>
      </vt:variant>
      <vt:variant>
        <vt:lpwstr>https://www.itu.int/md/D22-TDAG31-C-0036/</vt:lpwstr>
      </vt:variant>
      <vt:variant>
        <vt:lpwstr/>
      </vt:variant>
      <vt:variant>
        <vt:i4>4194381</vt:i4>
      </vt:variant>
      <vt:variant>
        <vt:i4>117</vt:i4>
      </vt:variant>
      <vt:variant>
        <vt:i4>0</vt:i4>
      </vt:variant>
      <vt:variant>
        <vt:i4>5</vt:i4>
      </vt:variant>
      <vt:variant>
        <vt:lpwstr>https://www.itu.int/md/D22-TDAG31-C-0007/</vt:lpwstr>
      </vt:variant>
      <vt:variant>
        <vt:lpwstr/>
      </vt:variant>
      <vt:variant>
        <vt:i4>4259917</vt:i4>
      </vt:variant>
      <vt:variant>
        <vt:i4>114</vt:i4>
      </vt:variant>
      <vt:variant>
        <vt:i4>0</vt:i4>
      </vt:variant>
      <vt:variant>
        <vt:i4>5</vt:i4>
      </vt:variant>
      <vt:variant>
        <vt:lpwstr>https://www.itu.int/md/D22-TDAG31-C-0006/</vt:lpwstr>
      </vt:variant>
      <vt:variant>
        <vt:lpwstr/>
      </vt:variant>
      <vt:variant>
        <vt:i4>786452</vt:i4>
      </vt:variant>
      <vt:variant>
        <vt:i4>111</vt:i4>
      </vt:variant>
      <vt:variant>
        <vt:i4>0</vt:i4>
      </vt:variant>
      <vt:variant>
        <vt:i4>5</vt:i4>
      </vt:variant>
      <vt:variant>
        <vt:lpwstr>https://www.itu.int/en/ITU-D/Regional-Presence/Americas/Pages/EVENTS/2024/cons-awa-2024.aspx</vt:lpwstr>
      </vt:variant>
      <vt:variant>
        <vt:lpwstr/>
      </vt:variant>
      <vt:variant>
        <vt:i4>1966192</vt:i4>
      </vt:variant>
      <vt:variant>
        <vt:i4>108</vt:i4>
      </vt:variant>
      <vt:variant>
        <vt:i4>0</vt:i4>
      </vt:variant>
      <vt:variant>
        <vt:i4>5</vt:i4>
      </vt:variant>
      <vt:variant>
        <vt:lpwstr>https://www.itu.int/en/ITU-D/Study-Groups/2022-2025/Pages/meetings/workshop-satellite_april24.aspx</vt:lpwstr>
      </vt:variant>
      <vt:variant>
        <vt:lpwstr/>
      </vt:variant>
      <vt:variant>
        <vt:i4>4325453</vt:i4>
      </vt:variant>
      <vt:variant>
        <vt:i4>105</vt:i4>
      </vt:variant>
      <vt:variant>
        <vt:i4>0</vt:i4>
      </vt:variant>
      <vt:variant>
        <vt:i4>5</vt:i4>
      </vt:variant>
      <vt:variant>
        <vt:lpwstr>https://www.itu.int/md/D22-TDAG31-C-0005/</vt:lpwstr>
      </vt:variant>
      <vt:variant>
        <vt:lpwstr/>
      </vt:variant>
      <vt:variant>
        <vt:i4>5177417</vt:i4>
      </vt:variant>
      <vt:variant>
        <vt:i4>102</vt:i4>
      </vt:variant>
      <vt:variant>
        <vt:i4>0</vt:i4>
      </vt:variant>
      <vt:variant>
        <vt:i4>5</vt:i4>
      </vt:variant>
      <vt:variant>
        <vt:lpwstr>https://www.itu.int/md/D22-TDAG31-C-0048/</vt:lpwstr>
      </vt:variant>
      <vt:variant>
        <vt:lpwstr/>
      </vt:variant>
      <vt:variant>
        <vt:i4>4194377</vt:i4>
      </vt:variant>
      <vt:variant>
        <vt:i4>99</vt:i4>
      </vt:variant>
      <vt:variant>
        <vt:i4>0</vt:i4>
      </vt:variant>
      <vt:variant>
        <vt:i4>5</vt:i4>
      </vt:variant>
      <vt:variant>
        <vt:lpwstr>https://www.itu.int/md/D22-TDAG31-C-0047/</vt:lpwstr>
      </vt:variant>
      <vt:variant>
        <vt:lpwstr/>
      </vt:variant>
      <vt:variant>
        <vt:i4>4259913</vt:i4>
      </vt:variant>
      <vt:variant>
        <vt:i4>96</vt:i4>
      </vt:variant>
      <vt:variant>
        <vt:i4>0</vt:i4>
      </vt:variant>
      <vt:variant>
        <vt:i4>5</vt:i4>
      </vt:variant>
      <vt:variant>
        <vt:lpwstr>https://www.itu.int/md/D22-TDAG31-C-0046/</vt:lpwstr>
      </vt:variant>
      <vt:variant>
        <vt:lpwstr/>
      </vt:variant>
      <vt:variant>
        <vt:i4>4390985</vt:i4>
      </vt:variant>
      <vt:variant>
        <vt:i4>93</vt:i4>
      </vt:variant>
      <vt:variant>
        <vt:i4>0</vt:i4>
      </vt:variant>
      <vt:variant>
        <vt:i4>5</vt:i4>
      </vt:variant>
      <vt:variant>
        <vt:lpwstr>https://www.itu.int/md/D22-TDAG31-C-0044/</vt:lpwstr>
      </vt:variant>
      <vt:variant>
        <vt:lpwstr/>
      </vt:variant>
      <vt:variant>
        <vt:i4>4390985</vt:i4>
      </vt:variant>
      <vt:variant>
        <vt:i4>90</vt:i4>
      </vt:variant>
      <vt:variant>
        <vt:i4>0</vt:i4>
      </vt:variant>
      <vt:variant>
        <vt:i4>5</vt:i4>
      </vt:variant>
      <vt:variant>
        <vt:lpwstr>https://www.itu.int/md/D22-TDAG31-C-0044/</vt:lpwstr>
      </vt:variant>
      <vt:variant>
        <vt:lpwstr/>
      </vt:variant>
      <vt:variant>
        <vt:i4>4456521</vt:i4>
      </vt:variant>
      <vt:variant>
        <vt:i4>87</vt:i4>
      </vt:variant>
      <vt:variant>
        <vt:i4>0</vt:i4>
      </vt:variant>
      <vt:variant>
        <vt:i4>5</vt:i4>
      </vt:variant>
      <vt:variant>
        <vt:lpwstr>https://www.itu.int/md/D22-TDAG31-C-0043/</vt:lpwstr>
      </vt:variant>
      <vt:variant>
        <vt:lpwstr/>
      </vt:variant>
      <vt:variant>
        <vt:i4>4522057</vt:i4>
      </vt:variant>
      <vt:variant>
        <vt:i4>84</vt:i4>
      </vt:variant>
      <vt:variant>
        <vt:i4>0</vt:i4>
      </vt:variant>
      <vt:variant>
        <vt:i4>5</vt:i4>
      </vt:variant>
      <vt:variant>
        <vt:lpwstr>https://www.itu.int/md/D22-TDAG31-C-0042/</vt:lpwstr>
      </vt:variant>
      <vt:variant>
        <vt:lpwstr/>
      </vt:variant>
      <vt:variant>
        <vt:i4>4325454</vt:i4>
      </vt:variant>
      <vt:variant>
        <vt:i4>81</vt:i4>
      </vt:variant>
      <vt:variant>
        <vt:i4>0</vt:i4>
      </vt:variant>
      <vt:variant>
        <vt:i4>5</vt:i4>
      </vt:variant>
      <vt:variant>
        <vt:lpwstr>https://www.itu.int/md/D22-TDAG31-C-0035/</vt:lpwstr>
      </vt:variant>
      <vt:variant>
        <vt:lpwstr/>
      </vt:variant>
      <vt:variant>
        <vt:i4>4456526</vt:i4>
      </vt:variant>
      <vt:variant>
        <vt:i4>78</vt:i4>
      </vt:variant>
      <vt:variant>
        <vt:i4>0</vt:i4>
      </vt:variant>
      <vt:variant>
        <vt:i4>5</vt:i4>
      </vt:variant>
      <vt:variant>
        <vt:lpwstr>https://www.itu.int/md/D22-TDAG31-C-0033/</vt:lpwstr>
      </vt:variant>
      <vt:variant>
        <vt:lpwstr/>
      </vt:variant>
      <vt:variant>
        <vt:i4>5177423</vt:i4>
      </vt:variant>
      <vt:variant>
        <vt:i4>75</vt:i4>
      </vt:variant>
      <vt:variant>
        <vt:i4>0</vt:i4>
      </vt:variant>
      <vt:variant>
        <vt:i4>5</vt:i4>
      </vt:variant>
      <vt:variant>
        <vt:lpwstr>https://www.itu.int/md/D22-TDAG31-C-0028/</vt:lpwstr>
      </vt:variant>
      <vt:variant>
        <vt:lpwstr/>
      </vt:variant>
      <vt:variant>
        <vt:i4>5111886</vt:i4>
      </vt:variant>
      <vt:variant>
        <vt:i4>72</vt:i4>
      </vt:variant>
      <vt:variant>
        <vt:i4>0</vt:i4>
      </vt:variant>
      <vt:variant>
        <vt:i4>5</vt:i4>
      </vt:variant>
      <vt:variant>
        <vt:lpwstr>https://www.itu.int/md/D22-TDAG30-C-0029/</vt:lpwstr>
      </vt:variant>
      <vt:variant>
        <vt:lpwstr/>
      </vt:variant>
      <vt:variant>
        <vt:i4>4194383</vt:i4>
      </vt:variant>
      <vt:variant>
        <vt:i4>69</vt:i4>
      </vt:variant>
      <vt:variant>
        <vt:i4>0</vt:i4>
      </vt:variant>
      <vt:variant>
        <vt:i4>5</vt:i4>
      </vt:variant>
      <vt:variant>
        <vt:lpwstr>https://www.itu.int/md/D22-TDAG31-C-0027/</vt:lpwstr>
      </vt:variant>
      <vt:variant>
        <vt:lpwstr/>
      </vt:variant>
      <vt:variant>
        <vt:i4>4259919</vt:i4>
      </vt:variant>
      <vt:variant>
        <vt:i4>66</vt:i4>
      </vt:variant>
      <vt:variant>
        <vt:i4>0</vt:i4>
      </vt:variant>
      <vt:variant>
        <vt:i4>5</vt:i4>
      </vt:variant>
      <vt:variant>
        <vt:lpwstr>https://www.itu.int/md/D22-TDAG31-C-0026/</vt:lpwstr>
      </vt:variant>
      <vt:variant>
        <vt:lpwstr/>
      </vt:variant>
      <vt:variant>
        <vt:i4>6357112</vt:i4>
      </vt:variant>
      <vt:variant>
        <vt:i4>63</vt:i4>
      </vt:variant>
      <vt:variant>
        <vt:i4>0</vt:i4>
      </vt:variant>
      <vt:variant>
        <vt:i4>5</vt:i4>
      </vt:variant>
      <vt:variant>
        <vt:lpwstr>https://www.itu.int/md/D22-TDAG31-240520-TD-0006/en</vt:lpwstr>
      </vt:variant>
      <vt:variant>
        <vt:lpwstr/>
      </vt:variant>
      <vt:variant>
        <vt:i4>6357112</vt:i4>
      </vt:variant>
      <vt:variant>
        <vt:i4>60</vt:i4>
      </vt:variant>
      <vt:variant>
        <vt:i4>0</vt:i4>
      </vt:variant>
      <vt:variant>
        <vt:i4>5</vt:i4>
      </vt:variant>
      <vt:variant>
        <vt:lpwstr>https://www.itu.int/md/D22-TDAG31-240520-TD-0006/en</vt:lpwstr>
      </vt:variant>
      <vt:variant>
        <vt:lpwstr/>
      </vt:variant>
      <vt:variant>
        <vt:i4>4653135</vt:i4>
      </vt:variant>
      <vt:variant>
        <vt:i4>57</vt:i4>
      </vt:variant>
      <vt:variant>
        <vt:i4>0</vt:i4>
      </vt:variant>
      <vt:variant>
        <vt:i4>5</vt:i4>
      </vt:variant>
      <vt:variant>
        <vt:lpwstr>https://www.itu.int/md/D22-TDAG31-C-0020/</vt:lpwstr>
      </vt:variant>
      <vt:variant>
        <vt:lpwstr/>
      </vt:variant>
      <vt:variant>
        <vt:i4>5111881</vt:i4>
      </vt:variant>
      <vt:variant>
        <vt:i4>54</vt:i4>
      </vt:variant>
      <vt:variant>
        <vt:i4>0</vt:i4>
      </vt:variant>
      <vt:variant>
        <vt:i4>5</vt:i4>
      </vt:variant>
      <vt:variant>
        <vt:lpwstr>https://www.itu.int/md/D22-TDAG31-C-0049/</vt:lpwstr>
      </vt:variant>
      <vt:variant>
        <vt:lpwstr/>
      </vt:variant>
      <vt:variant>
        <vt:i4>4522060</vt:i4>
      </vt:variant>
      <vt:variant>
        <vt:i4>51</vt:i4>
      </vt:variant>
      <vt:variant>
        <vt:i4>0</vt:i4>
      </vt:variant>
      <vt:variant>
        <vt:i4>5</vt:i4>
      </vt:variant>
      <vt:variant>
        <vt:lpwstr>https://www.itu.int/md/D22-TDAG31-C-0012/</vt:lpwstr>
      </vt:variant>
      <vt:variant>
        <vt:lpwstr/>
      </vt:variant>
      <vt:variant>
        <vt:i4>4522063</vt:i4>
      </vt:variant>
      <vt:variant>
        <vt:i4>48</vt:i4>
      </vt:variant>
      <vt:variant>
        <vt:i4>0</vt:i4>
      </vt:variant>
      <vt:variant>
        <vt:i4>5</vt:i4>
      </vt:variant>
      <vt:variant>
        <vt:lpwstr>https://www.itu.int/md/D22-TDAG31-C-0022/</vt:lpwstr>
      </vt:variant>
      <vt:variant>
        <vt:lpwstr/>
      </vt:variant>
      <vt:variant>
        <vt:i4>5242891</vt:i4>
      </vt:variant>
      <vt:variant>
        <vt:i4>45</vt:i4>
      </vt:variant>
      <vt:variant>
        <vt:i4>0</vt:i4>
      </vt:variant>
      <vt:variant>
        <vt:i4>5</vt:i4>
      </vt:variant>
      <vt:variant>
        <vt:lpwstr>https://teams.microsoft.com/l/message/19:meeting_MWQ3NWI0ZmUtMjE1Ny00NzgyLWI2NmMtOTc2MTlhYzlkNjY4@thread.v2/1717165929276?context=%7B%22contextType%22%3A%22chat%22%7D</vt:lpwstr>
      </vt:variant>
      <vt:variant>
        <vt:lpwstr/>
      </vt:variant>
      <vt:variant>
        <vt:i4>5242891</vt:i4>
      </vt:variant>
      <vt:variant>
        <vt:i4>42</vt:i4>
      </vt:variant>
      <vt:variant>
        <vt:i4>0</vt:i4>
      </vt:variant>
      <vt:variant>
        <vt:i4>5</vt:i4>
      </vt:variant>
      <vt:variant>
        <vt:lpwstr>https://teams.microsoft.com/l/message/19:meeting_MWQ3NWI0ZmUtMjE1Ny00NzgyLWI2NmMtOTc2MTlhYzlkNjY4@thread.v2/1717165929276?context=%7B%22contextType%22%3A%22chat%22%7D</vt:lpwstr>
      </vt:variant>
      <vt:variant>
        <vt:lpwstr/>
      </vt:variant>
      <vt:variant>
        <vt:i4>7536742</vt:i4>
      </vt:variant>
      <vt:variant>
        <vt:i4>39</vt:i4>
      </vt:variant>
      <vt:variant>
        <vt:i4>0</vt:i4>
      </vt:variant>
      <vt:variant>
        <vt:i4>5</vt:i4>
      </vt:variant>
      <vt:variant>
        <vt:lpwstr>https://www.surveymonkey.com/r/B1TC47BR</vt:lpwstr>
      </vt:variant>
      <vt:variant>
        <vt:lpwstr/>
      </vt:variant>
      <vt:variant>
        <vt:i4>4522061</vt:i4>
      </vt:variant>
      <vt:variant>
        <vt:i4>36</vt:i4>
      </vt:variant>
      <vt:variant>
        <vt:i4>0</vt:i4>
      </vt:variant>
      <vt:variant>
        <vt:i4>5</vt:i4>
      </vt:variant>
      <vt:variant>
        <vt:lpwstr>https://www.itu.int/md/D22-TDAG31-C-0002/</vt:lpwstr>
      </vt:variant>
      <vt:variant>
        <vt:lpwstr/>
      </vt:variant>
      <vt:variant>
        <vt:i4>4522061</vt:i4>
      </vt:variant>
      <vt:variant>
        <vt:i4>33</vt:i4>
      </vt:variant>
      <vt:variant>
        <vt:i4>0</vt:i4>
      </vt:variant>
      <vt:variant>
        <vt:i4>5</vt:i4>
      </vt:variant>
      <vt:variant>
        <vt:lpwstr>https://www.itu.int/md/D22-TDAG31-C-0002/</vt:lpwstr>
      </vt:variant>
      <vt:variant>
        <vt:lpwstr/>
      </vt:variant>
      <vt:variant>
        <vt:i4>8257644</vt:i4>
      </vt:variant>
      <vt:variant>
        <vt:i4>30</vt:i4>
      </vt:variant>
      <vt:variant>
        <vt:i4>0</vt:i4>
      </vt:variant>
      <vt:variant>
        <vt:i4>5</vt:i4>
      </vt:variant>
      <vt:variant>
        <vt:lpwstr>https://www.youtube.com/watch?v=L2Hh8spyOQ0</vt:lpwstr>
      </vt:variant>
      <vt:variant>
        <vt:lpwstr/>
      </vt:variant>
      <vt:variant>
        <vt:i4>4522061</vt:i4>
      </vt:variant>
      <vt:variant>
        <vt:i4>27</vt:i4>
      </vt:variant>
      <vt:variant>
        <vt:i4>0</vt:i4>
      </vt:variant>
      <vt:variant>
        <vt:i4>5</vt:i4>
      </vt:variant>
      <vt:variant>
        <vt:lpwstr>https://www.itu.int/md/D22-TDAG31-C-0002/</vt:lpwstr>
      </vt:variant>
      <vt:variant>
        <vt:lpwstr/>
      </vt:variant>
      <vt:variant>
        <vt:i4>87</vt:i4>
      </vt:variant>
      <vt:variant>
        <vt:i4>24</vt:i4>
      </vt:variant>
      <vt:variant>
        <vt:i4>0</vt:i4>
      </vt:variant>
      <vt:variant>
        <vt:i4>5</vt:i4>
      </vt:variant>
      <vt:variant>
        <vt:lpwstr>https://www.itu.int/md/D22-TDAG31-240520-TD-0002/</vt:lpwstr>
      </vt:variant>
      <vt:variant>
        <vt:lpwstr/>
      </vt:variant>
      <vt:variant>
        <vt:i4>196695</vt:i4>
      </vt:variant>
      <vt:variant>
        <vt:i4>21</vt:i4>
      </vt:variant>
      <vt:variant>
        <vt:i4>0</vt:i4>
      </vt:variant>
      <vt:variant>
        <vt:i4>5</vt:i4>
      </vt:variant>
      <vt:variant>
        <vt:lpwstr>https://www.itu.int/md/D22-TDAG31-240520-TD-0001/</vt:lpwstr>
      </vt:variant>
      <vt:variant>
        <vt:lpwstr/>
      </vt:variant>
      <vt:variant>
        <vt:i4>4587597</vt:i4>
      </vt:variant>
      <vt:variant>
        <vt:i4>18</vt:i4>
      </vt:variant>
      <vt:variant>
        <vt:i4>0</vt:i4>
      </vt:variant>
      <vt:variant>
        <vt:i4>5</vt:i4>
      </vt:variant>
      <vt:variant>
        <vt:lpwstr>https://www.itu.int/md/D22-TDAG31-C-0001/</vt:lpwstr>
      </vt:variant>
      <vt:variant>
        <vt:lpwstr/>
      </vt:variant>
      <vt:variant>
        <vt:i4>87</vt:i4>
      </vt:variant>
      <vt:variant>
        <vt:i4>15</vt:i4>
      </vt:variant>
      <vt:variant>
        <vt:i4>0</vt:i4>
      </vt:variant>
      <vt:variant>
        <vt:i4>5</vt:i4>
      </vt:variant>
      <vt:variant>
        <vt:lpwstr>https://www.itu.int/md/D22-TDAG31-240520-TD-0002/</vt:lpwstr>
      </vt:variant>
      <vt:variant>
        <vt:lpwstr/>
      </vt:variant>
      <vt:variant>
        <vt:i4>196695</vt:i4>
      </vt:variant>
      <vt:variant>
        <vt:i4>12</vt:i4>
      </vt:variant>
      <vt:variant>
        <vt:i4>0</vt:i4>
      </vt:variant>
      <vt:variant>
        <vt:i4>5</vt:i4>
      </vt:variant>
      <vt:variant>
        <vt:lpwstr>https://www.itu.int/md/D22-TDAG31-240520-TD-0001/</vt:lpwstr>
      </vt:variant>
      <vt:variant>
        <vt:lpwstr/>
      </vt:variant>
      <vt:variant>
        <vt:i4>4587597</vt:i4>
      </vt:variant>
      <vt:variant>
        <vt:i4>9</vt:i4>
      </vt:variant>
      <vt:variant>
        <vt:i4>0</vt:i4>
      </vt:variant>
      <vt:variant>
        <vt:i4>5</vt:i4>
      </vt:variant>
      <vt:variant>
        <vt:lpwstr>https://www.itu.int/md/D22-TDAG31-C-0001/</vt:lpwstr>
      </vt:variant>
      <vt:variant>
        <vt:lpwstr/>
      </vt:variant>
      <vt:variant>
        <vt:i4>1835013</vt:i4>
      </vt:variant>
      <vt:variant>
        <vt:i4>6</vt:i4>
      </vt:variant>
      <vt:variant>
        <vt:i4>0</vt:i4>
      </vt:variant>
      <vt:variant>
        <vt:i4>5</vt:i4>
      </vt:variant>
      <vt:variant>
        <vt:lpwstr>https://www.itu.int/en/ITU-D/bdt-director/Pages/Speeches.aspx?ItemID=529</vt:lpwstr>
      </vt:variant>
      <vt:variant>
        <vt:lpwstr/>
      </vt:variant>
      <vt:variant>
        <vt:i4>7209080</vt:i4>
      </vt:variant>
      <vt:variant>
        <vt:i4>3</vt:i4>
      </vt:variant>
      <vt:variant>
        <vt:i4>0</vt:i4>
      </vt:variant>
      <vt:variant>
        <vt:i4>5</vt:i4>
      </vt:variant>
      <vt:variant>
        <vt:lpwstr>https://www.itu.int/md/D22-TDAG31-240520-TD-0009/en</vt:lpwstr>
      </vt:variant>
      <vt:variant>
        <vt:lpwstr/>
      </vt:variant>
      <vt:variant>
        <vt:i4>7405587</vt:i4>
      </vt:variant>
      <vt:variant>
        <vt:i4>0</vt:i4>
      </vt:variant>
      <vt:variant>
        <vt:i4>0</vt:i4>
      </vt:variant>
      <vt:variant>
        <vt:i4>5</vt:i4>
      </vt:variant>
      <vt:variant>
        <vt:lpwstr>mailto:Roxanne.Webber@fcc.gov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4</cp:revision>
  <cp:lastPrinted>2023-09-30T00:16:00Z</cp:lastPrinted>
  <dcterms:created xsi:type="dcterms:W3CDTF">2024-11-04T08:09:00Z</dcterms:created>
  <dcterms:modified xsi:type="dcterms:W3CDTF">2024-11-04T08:09:00Z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