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CABC63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4A6E26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03813B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782910">
              <w:rPr>
                <w:b/>
                <w:bCs/>
                <w:lang w:val="en-US"/>
              </w:rPr>
              <w:t>4</w:t>
            </w:r>
            <w:r w:rsidR="000B5476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11BB6AE9" w:rsidR="00683C32" w:rsidRPr="007F1CC7" w:rsidRDefault="007E2D61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8</w:t>
            </w:r>
            <w:r w:rsidR="008623C4">
              <w:rPr>
                <w:b/>
                <w:bCs/>
                <w:szCs w:val="28"/>
              </w:rPr>
              <w:t xml:space="preserve"> </w:t>
            </w:r>
            <w:r w:rsidR="00B476A7">
              <w:rPr>
                <w:b/>
                <w:bCs/>
                <w:szCs w:val="28"/>
              </w:rPr>
              <w:t>May</w:t>
            </w:r>
            <w:r w:rsidR="008623C4">
              <w:rPr>
                <w:b/>
                <w:bCs/>
                <w:szCs w:val="28"/>
              </w:rPr>
              <w:t xml:space="preserve">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E011674" w:rsidR="00514D2F" w:rsidRPr="007F1CC7" w:rsidRDefault="00AD4677" w:rsidP="00282766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</w:t>
            </w:r>
            <w:r w:rsidR="008623C4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09A51A2" w:rsidR="00A13162" w:rsidRPr="0030353C" w:rsidRDefault="00357D50" w:rsidP="0030353C">
            <w:pPr>
              <w:pStyle w:val="Source"/>
            </w:pPr>
            <w:bookmarkStart w:id="3" w:name="Source"/>
            <w:bookmarkEnd w:id="3"/>
            <w:r>
              <w:t>Japan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2674158" w:rsidR="00AC6F14" w:rsidRPr="00642C3C" w:rsidRDefault="002674F6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674F6">
              <w:rPr>
                <w:rFonts w:cs="Times New Roman"/>
                <w:bCs/>
              </w:rPr>
              <w:t>Proposals to improve ICT survey work at ITU-D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685DA0" w:rsidRPr="00256528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D77" w14:textId="77777777" w:rsidR="00685DA0" w:rsidRPr="00D87037" w:rsidRDefault="00685DA0" w:rsidP="00685DA0">
            <w:pPr>
              <w:spacing w:after="120"/>
              <w:rPr>
                <w:b/>
                <w:bCs/>
              </w:rPr>
            </w:pPr>
            <w:r w:rsidRPr="00D87037">
              <w:rPr>
                <w:b/>
                <w:bCs/>
                <w:szCs w:val="24"/>
              </w:rPr>
              <w:t>Sum</w:t>
            </w:r>
            <w:r w:rsidRPr="00D87037">
              <w:rPr>
                <w:b/>
                <w:bCs/>
              </w:rPr>
              <w:t>mary:</w:t>
            </w:r>
          </w:p>
          <w:p w14:paraId="10B3096C" w14:textId="77777777" w:rsidR="00E30E13" w:rsidRDefault="00E30E13" w:rsidP="00E30E13">
            <w:pPr>
              <w:spacing w:after="120"/>
            </w:pPr>
            <w:r>
              <w:t xml:space="preserve">ICT survey work conducted by ITU-D plays a very important role in providing an understanding of the </w:t>
            </w:r>
            <w:proofErr w:type="gramStart"/>
            <w:r>
              <w:t>current status</w:t>
            </w:r>
            <w:proofErr w:type="gramEnd"/>
            <w:r>
              <w:t xml:space="preserve"> of each country in order to realize the strategic goals of ITU (Universal and Meaningful connectivity). However, </w:t>
            </w:r>
            <w:proofErr w:type="gramStart"/>
            <w:r>
              <w:t>in order to</w:t>
            </w:r>
            <w:proofErr w:type="gramEnd"/>
            <w:r>
              <w:t xml:space="preserve"> obtain higher quality information from each country, it is necessary for the secretariat to organize the schedule for all surveys and to avoid conducting multiple surveys at the same time.</w:t>
            </w:r>
          </w:p>
          <w:p w14:paraId="61FA4947" w14:textId="77777777" w:rsidR="00E30E13" w:rsidRDefault="00E30E13" w:rsidP="00E30E13">
            <w:pPr>
              <w:keepNext/>
              <w:keepLines/>
              <w:spacing w:after="120"/>
            </w:pPr>
            <w:r>
              <w:t>This contribution points out the issues in the current ICT survey work and propose improvements.</w:t>
            </w:r>
          </w:p>
          <w:p w14:paraId="4A6EC159" w14:textId="2418AEE5" w:rsidR="00685DA0" w:rsidRPr="00D87037" w:rsidRDefault="00685DA0" w:rsidP="00E30E13">
            <w:pPr>
              <w:keepNext/>
              <w:keepLines/>
              <w:spacing w:after="120"/>
              <w:rPr>
                <w:b/>
                <w:bCs/>
              </w:rPr>
            </w:pPr>
            <w:r w:rsidRPr="00D87037">
              <w:rPr>
                <w:b/>
                <w:bCs/>
              </w:rPr>
              <w:t>Action required:</w:t>
            </w:r>
          </w:p>
          <w:p w14:paraId="15FC4BFA" w14:textId="604903C6" w:rsidR="00685DA0" w:rsidRPr="00D87037" w:rsidRDefault="00050D4F" w:rsidP="00685DA0">
            <w:pPr>
              <w:keepNext/>
              <w:keepLines/>
              <w:spacing w:after="120"/>
            </w:pPr>
            <w:r w:rsidRPr="00050D4F">
              <w:t>TDAG is invited to note this docume</w:t>
            </w:r>
            <w:r>
              <w:t>nt.</w:t>
            </w:r>
          </w:p>
          <w:p w14:paraId="0AFB64BB" w14:textId="77777777" w:rsidR="00685DA0" w:rsidRPr="00D87037" w:rsidRDefault="00685DA0" w:rsidP="00685DA0">
            <w:pPr>
              <w:spacing w:after="120"/>
              <w:rPr>
                <w:b/>
                <w:bCs/>
              </w:rPr>
            </w:pPr>
            <w:r w:rsidRPr="00D87037">
              <w:rPr>
                <w:b/>
                <w:bCs/>
              </w:rPr>
              <w:t>References:</w:t>
            </w:r>
          </w:p>
          <w:p w14:paraId="2DC3E721" w14:textId="330D30BC" w:rsidR="00F21179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</w:pPr>
            <w:r>
              <w:t>ITU data collection schedule 2024.msg</w:t>
            </w:r>
          </w:p>
          <w:p w14:paraId="4F86A3DF" w14:textId="2F800738" w:rsidR="00F21179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</w:pPr>
            <w:r>
              <w:t>ICT household indicators for information (2022): Japan.msg</w:t>
            </w:r>
          </w:p>
          <w:p w14:paraId="7B497567" w14:textId="2076BB5B" w:rsidR="00F21179" w:rsidRPr="00F21179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  <w:rPr>
                <w:lang w:val="fr-FR"/>
              </w:rPr>
            </w:pPr>
            <w:r w:rsidRPr="00F21179">
              <w:rPr>
                <w:lang w:val="fr-FR"/>
              </w:rPr>
              <w:t xml:space="preserve">ITU WTI IDI Validation </w:t>
            </w:r>
            <w:proofErr w:type="gramStart"/>
            <w:r w:rsidRPr="00F21179">
              <w:rPr>
                <w:lang w:val="fr-FR"/>
              </w:rPr>
              <w:t>2024:</w:t>
            </w:r>
            <w:proofErr w:type="gramEnd"/>
            <w:r w:rsidRPr="00F21179">
              <w:rPr>
                <w:lang w:val="fr-FR"/>
              </w:rPr>
              <w:t xml:space="preserve"> Japan.msg</w:t>
            </w:r>
          </w:p>
          <w:p w14:paraId="4C29F6FD" w14:textId="0839D960" w:rsidR="00F21179" w:rsidRPr="002A6015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  <w:rPr>
                <w:lang w:val="es-ES"/>
              </w:rPr>
            </w:pPr>
            <w:r w:rsidRPr="002A6015">
              <w:rPr>
                <w:lang w:val="es-ES"/>
              </w:rPr>
              <w:t>BDT_cir_008E_DNS-CYB.pdf</w:t>
            </w:r>
          </w:p>
          <w:p w14:paraId="00F52A72" w14:textId="09BBFA0B" w:rsidR="00F21179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</w:pPr>
            <w:r>
              <w:t>ITU World Telecommunication Regulatory Survey 2024.msg</w:t>
            </w:r>
          </w:p>
          <w:p w14:paraId="1ECDD20E" w14:textId="05AB707E" w:rsidR="00685DA0" w:rsidRPr="00C3774C" w:rsidRDefault="00F21179" w:rsidP="00F21179">
            <w:pPr>
              <w:overflowPunct/>
              <w:autoSpaceDE/>
              <w:autoSpaceDN/>
              <w:adjustRightInd/>
              <w:spacing w:before="60" w:after="120"/>
              <w:textAlignment w:val="auto"/>
            </w:pPr>
            <w:r>
              <w:t>PP RESOLUTION 131 (Measuring information and communication technologies to build an integrating and inclusive information society)</w:t>
            </w:r>
          </w:p>
        </w:tc>
      </w:tr>
    </w:tbl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4E2E262" w14:textId="77777777" w:rsidR="008359FC" w:rsidRPr="008359FC" w:rsidRDefault="008359FC" w:rsidP="006E4C4F">
      <w:pPr>
        <w:pStyle w:val="ListParagraph"/>
        <w:keepNext/>
        <w:numPr>
          <w:ilvl w:val="0"/>
          <w:numId w:val="22"/>
        </w:numPr>
        <w:spacing w:before="240" w:after="120"/>
        <w:contextualSpacing w:val="0"/>
        <w:rPr>
          <w:rFonts w:eastAsia="Meiryo UI" w:cstheme="minorHAnsi"/>
          <w:b/>
          <w:bCs/>
          <w:szCs w:val="24"/>
        </w:rPr>
      </w:pPr>
      <w:bookmarkStart w:id="5" w:name="Proposal"/>
      <w:bookmarkEnd w:id="5"/>
      <w:r w:rsidRPr="008359FC">
        <w:rPr>
          <w:rFonts w:eastAsia="Meiryo UI" w:cstheme="minorHAnsi"/>
          <w:b/>
          <w:bCs/>
          <w:szCs w:val="24"/>
          <w:lang w:eastAsia="ja-JP"/>
        </w:rPr>
        <w:lastRenderedPageBreak/>
        <w:t>Background</w:t>
      </w:r>
    </w:p>
    <w:p w14:paraId="7F139966" w14:textId="77777777" w:rsidR="008359FC" w:rsidRPr="008359FC" w:rsidRDefault="008359FC" w:rsidP="008359FC">
      <w:pPr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 xml:space="preserve">The ITU has set “Universal and Meaningful connectivity” as its strategic goals, and </w:t>
      </w:r>
      <w:proofErr w:type="gramStart"/>
      <w:r w:rsidRPr="008359FC">
        <w:rPr>
          <w:rFonts w:eastAsia="Meiryo UI" w:cstheme="minorHAnsi"/>
          <w:szCs w:val="24"/>
          <w:lang w:eastAsia="ja-JP"/>
        </w:rPr>
        <w:t>in order to</w:t>
      </w:r>
      <w:proofErr w:type="gramEnd"/>
      <w:r w:rsidRPr="008359FC">
        <w:rPr>
          <w:rFonts w:eastAsia="Meiryo UI" w:cstheme="minorHAnsi"/>
          <w:szCs w:val="24"/>
          <w:lang w:eastAsia="ja-JP"/>
        </w:rPr>
        <w:t xml:space="preserve"> realize these goals, it is important to provide necessary support to vulnerable groups, such as youth, women, and people in rural areas.</w:t>
      </w:r>
    </w:p>
    <w:p w14:paraId="2DF0C90E" w14:textId="77777777" w:rsidR="008359FC" w:rsidRPr="008359FC" w:rsidRDefault="008359FC" w:rsidP="008359FC">
      <w:pPr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The ICT surveys conducted by ITU-D play a very important role in enabling the identification of truly necessary support. (PP-Resolution 131).</w:t>
      </w:r>
    </w:p>
    <w:p w14:paraId="76B988BB" w14:textId="77777777" w:rsidR="008359FC" w:rsidRDefault="008359FC" w:rsidP="008359FC">
      <w:pPr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 xml:space="preserve">However, the ICT surveys in the ITU-D include many items, and data collection takes a lot of time. In addition, there are two scheduling issues as described below. </w:t>
      </w:r>
    </w:p>
    <w:p w14:paraId="095DE040" w14:textId="2C1D2FA5" w:rsidR="008359FC" w:rsidRPr="008359FC" w:rsidRDefault="008359FC" w:rsidP="008359FC">
      <w:pPr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Therefore, a large burden is placed on member countries when compiling data.</w:t>
      </w:r>
    </w:p>
    <w:p w14:paraId="7170B9A2" w14:textId="77777777" w:rsidR="008359FC" w:rsidRPr="008359FC" w:rsidRDefault="008359FC" w:rsidP="008359FC">
      <w:pPr>
        <w:pStyle w:val="ListParagraph"/>
        <w:numPr>
          <w:ilvl w:val="0"/>
          <w:numId w:val="24"/>
        </w:numPr>
        <w:spacing w:before="60" w:after="60"/>
        <w:contextualSpacing w:val="0"/>
        <w:rPr>
          <w:rFonts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Issue 1. Multiple ICT surveys are conducted at the same time.</w:t>
      </w:r>
    </w:p>
    <w:p w14:paraId="0C8E7983" w14:textId="77777777" w:rsidR="008359FC" w:rsidRPr="008359FC" w:rsidRDefault="008359FC" w:rsidP="008359FC">
      <w:pPr>
        <w:pStyle w:val="ListParagraph"/>
        <w:numPr>
          <w:ilvl w:val="0"/>
          <w:numId w:val="24"/>
        </w:numPr>
        <w:spacing w:before="60" w:after="60"/>
        <w:contextualSpacing w:val="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 xml:space="preserve">Issue 2. Some ICT surveys and related work are not listed in the ITU Data collection </w:t>
      </w:r>
      <w:proofErr w:type="gramStart"/>
      <w:r w:rsidRPr="008359FC">
        <w:rPr>
          <w:rFonts w:eastAsia="Meiryo UI" w:cstheme="minorHAnsi"/>
          <w:szCs w:val="24"/>
          <w:lang w:eastAsia="ja-JP"/>
        </w:rPr>
        <w:t>schedule</w:t>
      </w:r>
      <w:proofErr w:type="gramEnd"/>
    </w:p>
    <w:p w14:paraId="50D83B3B" w14:textId="77777777" w:rsidR="008359FC" w:rsidRPr="008359FC" w:rsidRDefault="008359FC" w:rsidP="008359FC">
      <w:pPr>
        <w:pStyle w:val="ListParagraph"/>
        <w:numPr>
          <w:ilvl w:val="1"/>
          <w:numId w:val="23"/>
        </w:numPr>
        <w:spacing w:before="60" w:after="60"/>
        <w:contextualSpacing w:val="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Biennial ICT surveys (Global Cybersecurity Index</w:t>
      </w:r>
      <w:r w:rsidRPr="008359FC">
        <w:rPr>
          <w:rFonts w:eastAsia="Meiryo UI" w:cstheme="minorHAnsi"/>
          <w:szCs w:val="24"/>
          <w:lang w:eastAsia="ja-JP"/>
        </w:rPr>
        <w:t>、</w:t>
      </w:r>
      <w:r w:rsidRPr="008359FC">
        <w:rPr>
          <w:rFonts w:eastAsia="Meiryo UI" w:cstheme="minorHAnsi"/>
          <w:szCs w:val="24"/>
          <w:lang w:eastAsia="ja-JP"/>
        </w:rPr>
        <w:t>ICT Regulatory survey)</w:t>
      </w:r>
    </w:p>
    <w:p w14:paraId="12651975" w14:textId="77777777" w:rsidR="008359FC" w:rsidRPr="008359FC" w:rsidRDefault="008359FC" w:rsidP="008359FC">
      <w:pPr>
        <w:pStyle w:val="ListParagraph"/>
        <w:numPr>
          <w:ilvl w:val="1"/>
          <w:numId w:val="23"/>
        </w:numPr>
        <w:spacing w:before="60" w:after="60"/>
        <w:contextualSpacing w:val="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 xml:space="preserve">The validation queries the publishing of the IDI </w:t>
      </w:r>
      <w:proofErr w:type="gramStart"/>
      <w:r w:rsidRPr="008359FC">
        <w:rPr>
          <w:rFonts w:eastAsia="Meiryo UI" w:cstheme="minorHAnsi"/>
          <w:szCs w:val="24"/>
          <w:lang w:eastAsia="ja-JP"/>
        </w:rPr>
        <w:t>report</w:t>
      </w:r>
      <w:proofErr w:type="gramEnd"/>
    </w:p>
    <w:p w14:paraId="4B8E5ADF" w14:textId="77777777" w:rsidR="008359FC" w:rsidRPr="008359FC" w:rsidRDefault="008359FC" w:rsidP="008359FC">
      <w:pPr>
        <w:spacing w:before="60" w:after="60"/>
        <w:ind w:left="357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In addition, there is the following problem related to the questions themselves.</w:t>
      </w:r>
    </w:p>
    <w:p w14:paraId="2F40EDC9" w14:textId="77777777" w:rsidR="008359FC" w:rsidRPr="008359FC" w:rsidRDefault="008359FC" w:rsidP="008359FC">
      <w:pPr>
        <w:pStyle w:val="ListParagraph"/>
        <w:numPr>
          <w:ilvl w:val="0"/>
          <w:numId w:val="23"/>
        </w:numPr>
        <w:spacing w:before="60" w:after="60"/>
        <w:contextualSpacing w:val="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Issue 3. Member states need to answer the same questions more than once a year, because some ICT surveys include the same questions.</w:t>
      </w:r>
    </w:p>
    <w:p w14:paraId="35734345" w14:textId="77777777" w:rsidR="008359FC" w:rsidRPr="008359FC" w:rsidRDefault="008359FC" w:rsidP="006E4C4F">
      <w:pPr>
        <w:pStyle w:val="ListParagraph"/>
        <w:keepNext/>
        <w:numPr>
          <w:ilvl w:val="0"/>
          <w:numId w:val="22"/>
        </w:numPr>
        <w:spacing w:before="240" w:after="120"/>
        <w:contextualSpacing w:val="0"/>
        <w:rPr>
          <w:rFonts w:eastAsia="Meiryo UI" w:cstheme="minorHAnsi"/>
          <w:b/>
          <w:bCs/>
          <w:szCs w:val="24"/>
        </w:rPr>
      </w:pPr>
      <w:r w:rsidRPr="008359FC">
        <w:rPr>
          <w:rFonts w:eastAsia="Meiryo UI" w:cstheme="minorHAnsi"/>
          <w:b/>
          <w:bCs/>
          <w:szCs w:val="24"/>
          <w:lang w:eastAsia="ja-JP"/>
        </w:rPr>
        <w:t>The details of the issues</w:t>
      </w:r>
    </w:p>
    <w:p w14:paraId="21E87553" w14:textId="77777777" w:rsidR="008359FC" w:rsidRPr="008359FC" w:rsidRDefault="008359FC" w:rsidP="008359FC">
      <w:pPr>
        <w:spacing w:after="120"/>
        <w:rPr>
          <w:rFonts w:eastAsia="Meiryo UI" w:cstheme="minorHAnsi"/>
          <w:szCs w:val="24"/>
          <w:lang w:val="en-US" w:eastAsia="ja-JP"/>
        </w:rPr>
      </w:pPr>
      <w:r w:rsidRPr="008359FC">
        <w:rPr>
          <w:rFonts w:eastAsia="Meiryo UI" w:cstheme="minorHAnsi"/>
          <w:szCs w:val="24"/>
          <w:lang w:eastAsia="ja-JP"/>
        </w:rPr>
        <w:t>As specific examples of the three issues described in the Background section, the title, inquiry period, number of questions, and specific issues of the ICT survey that ITU-D consulted about in 2024 are below.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89"/>
        <w:gridCol w:w="2202"/>
        <w:gridCol w:w="1879"/>
        <w:gridCol w:w="2168"/>
        <w:gridCol w:w="2891"/>
      </w:tblGrid>
      <w:tr w:rsidR="008359FC" w:rsidRPr="00B323C4" w14:paraId="2CAEF7CD" w14:textId="77777777" w:rsidTr="00B323C4">
        <w:trPr>
          <w:tblHeader/>
        </w:trPr>
        <w:tc>
          <w:tcPr>
            <w:tcW w:w="489" w:type="dxa"/>
            <w:shd w:val="clear" w:color="auto" w:fill="4F81BD" w:themeFill="accent1"/>
          </w:tcPr>
          <w:p w14:paraId="6DE9C106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No</w:t>
            </w:r>
          </w:p>
        </w:tc>
        <w:tc>
          <w:tcPr>
            <w:tcW w:w="2202" w:type="dxa"/>
            <w:shd w:val="clear" w:color="auto" w:fill="4F81BD" w:themeFill="accent1"/>
          </w:tcPr>
          <w:p w14:paraId="3B9EF525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Survey name</w:t>
            </w:r>
          </w:p>
        </w:tc>
        <w:tc>
          <w:tcPr>
            <w:tcW w:w="1879" w:type="dxa"/>
            <w:shd w:val="clear" w:color="auto" w:fill="4F81BD" w:themeFill="accent1"/>
          </w:tcPr>
          <w:p w14:paraId="5C2F70EB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Inquiry period</w:t>
            </w:r>
          </w:p>
        </w:tc>
        <w:tc>
          <w:tcPr>
            <w:tcW w:w="2168" w:type="dxa"/>
            <w:shd w:val="clear" w:color="auto" w:fill="4F81BD" w:themeFill="accent1"/>
          </w:tcPr>
          <w:p w14:paraId="230BD777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Number of questions</w:t>
            </w:r>
          </w:p>
        </w:tc>
        <w:tc>
          <w:tcPr>
            <w:tcW w:w="2891" w:type="dxa"/>
            <w:shd w:val="clear" w:color="auto" w:fill="FFFF00"/>
          </w:tcPr>
          <w:p w14:paraId="1855BFE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u w:val="single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u w:val="single"/>
                <w:lang w:eastAsia="ja-JP"/>
              </w:rPr>
              <w:t>Issues</w:t>
            </w:r>
          </w:p>
        </w:tc>
      </w:tr>
      <w:tr w:rsidR="008359FC" w:rsidRPr="00B323C4" w14:paraId="7A03A25F" w14:textId="77777777" w:rsidTr="00B323C4">
        <w:trPr>
          <w:trHeight w:val="353"/>
        </w:trPr>
        <w:tc>
          <w:tcPr>
            <w:tcW w:w="9629" w:type="dxa"/>
            <w:gridSpan w:val="5"/>
            <w:shd w:val="clear" w:color="auto" w:fill="FDE9D9" w:themeFill="accent6" w:themeFillTint="33"/>
          </w:tcPr>
          <w:p w14:paraId="4F653DE0" w14:textId="77777777" w:rsidR="008359FC" w:rsidRPr="00B323C4" w:rsidRDefault="008359FC" w:rsidP="00B323C4">
            <w:pPr>
              <w:spacing w:before="40" w:after="40"/>
              <w:jc w:val="center"/>
              <w:rPr>
                <w:rFonts w:eastAsia="Meiryo UI" w:cstheme="minorHAnsi"/>
                <w:b/>
                <w:color w:val="000000" w:themeColor="text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000000" w:themeColor="text1"/>
                <w:sz w:val="20"/>
                <w:lang w:eastAsia="ja-JP"/>
              </w:rPr>
              <w:t>The ICT surveys included in the “ITU data collection schedule 2024”</w:t>
            </w:r>
          </w:p>
        </w:tc>
      </w:tr>
      <w:tr w:rsidR="008359FC" w:rsidRPr="00B323C4" w14:paraId="1F890DDE" w14:textId="77777777" w:rsidTr="00B323C4">
        <w:tc>
          <w:tcPr>
            <w:tcW w:w="489" w:type="dxa"/>
          </w:tcPr>
          <w:p w14:paraId="78791B35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1</w:t>
            </w:r>
          </w:p>
        </w:tc>
        <w:tc>
          <w:tcPr>
            <w:tcW w:w="2202" w:type="dxa"/>
          </w:tcPr>
          <w:p w14:paraId="5915B477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Household Short Questionnaire</w:t>
            </w:r>
          </w:p>
        </w:tc>
        <w:tc>
          <w:tcPr>
            <w:tcW w:w="1879" w:type="dxa"/>
          </w:tcPr>
          <w:p w14:paraId="30B92EF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3/25/24-4/26/24</w:t>
            </w:r>
          </w:p>
          <w:p w14:paraId="4B4ABB1A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(5 weeks)</w:t>
            </w:r>
          </w:p>
        </w:tc>
        <w:tc>
          <w:tcPr>
            <w:tcW w:w="2168" w:type="dxa"/>
          </w:tcPr>
          <w:p w14:paraId="0CF8AF56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44</w:t>
            </w:r>
          </w:p>
        </w:tc>
        <w:tc>
          <w:tcPr>
            <w:tcW w:w="2891" w:type="dxa"/>
          </w:tcPr>
          <w:p w14:paraId="3B6B3662" w14:textId="4371655A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No.1, 2, and 7 are conducted in the same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period</w:t>
            </w:r>
            <w:proofErr w:type="gramEnd"/>
          </w:p>
          <w:p w14:paraId="1B1213A9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Some questions are the same as No.4</w:t>
            </w:r>
          </w:p>
        </w:tc>
      </w:tr>
      <w:tr w:rsidR="008359FC" w:rsidRPr="00B323C4" w14:paraId="2C43F8EB" w14:textId="77777777" w:rsidTr="00B323C4">
        <w:tc>
          <w:tcPr>
            <w:tcW w:w="489" w:type="dxa"/>
          </w:tcPr>
          <w:p w14:paraId="67E5BE76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2</w:t>
            </w:r>
          </w:p>
        </w:tc>
        <w:tc>
          <w:tcPr>
            <w:tcW w:w="2202" w:type="dxa"/>
          </w:tcPr>
          <w:p w14:paraId="73C89346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bookmarkStart w:id="6" w:name="_Hlk164867198"/>
            <w:r w:rsidRPr="00B323C4">
              <w:rPr>
                <w:rFonts w:eastAsia="Meiryo UI" w:cstheme="minorHAnsi"/>
                <w:sz w:val="20"/>
                <w:lang w:eastAsia="ja-JP"/>
              </w:rPr>
              <w:t>World Telecommunication/ICT Indicators Short Questionnaire</w:t>
            </w:r>
            <w:bookmarkEnd w:id="6"/>
          </w:p>
        </w:tc>
        <w:tc>
          <w:tcPr>
            <w:tcW w:w="1879" w:type="dxa"/>
          </w:tcPr>
          <w:p w14:paraId="70C6DF89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3/25/24-4/26/24</w:t>
            </w:r>
          </w:p>
          <w:p w14:paraId="187A7565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(5 weeks)</w:t>
            </w:r>
          </w:p>
        </w:tc>
        <w:tc>
          <w:tcPr>
            <w:tcW w:w="2168" w:type="dxa"/>
          </w:tcPr>
          <w:p w14:paraId="2CF66973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15</w:t>
            </w:r>
          </w:p>
        </w:tc>
        <w:tc>
          <w:tcPr>
            <w:tcW w:w="2891" w:type="dxa"/>
          </w:tcPr>
          <w:p w14:paraId="04383EBE" w14:textId="704A1578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No.1, 2, and 7 are conducted in the same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period</w:t>
            </w:r>
            <w:proofErr w:type="gramEnd"/>
          </w:p>
          <w:p w14:paraId="7CCBA9F4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Some questions are the same as No.5</w:t>
            </w:r>
          </w:p>
        </w:tc>
      </w:tr>
      <w:tr w:rsidR="008359FC" w:rsidRPr="00B323C4" w14:paraId="7DE3B1F8" w14:textId="77777777" w:rsidTr="00B323C4">
        <w:tc>
          <w:tcPr>
            <w:tcW w:w="489" w:type="dxa"/>
          </w:tcPr>
          <w:p w14:paraId="46B10BD7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3</w:t>
            </w:r>
          </w:p>
        </w:tc>
        <w:tc>
          <w:tcPr>
            <w:tcW w:w="2202" w:type="dxa"/>
          </w:tcPr>
          <w:p w14:paraId="112000FD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ICT Price Basket Questionnaire</w:t>
            </w:r>
          </w:p>
        </w:tc>
        <w:tc>
          <w:tcPr>
            <w:tcW w:w="1879" w:type="dxa"/>
          </w:tcPr>
          <w:p w14:paraId="13D2A123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5/15/24-5/30/24</w:t>
            </w:r>
          </w:p>
          <w:p w14:paraId="127C6A2C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(2 weeks)</w:t>
            </w:r>
          </w:p>
        </w:tc>
        <w:tc>
          <w:tcPr>
            <w:tcW w:w="2168" w:type="dxa"/>
          </w:tcPr>
          <w:p w14:paraId="4A01E523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99</w:t>
            </w:r>
            <w:r w:rsidRPr="00B323C4">
              <w:rPr>
                <w:rFonts w:eastAsia="Meiryo UI" w:cstheme="minorHAnsi"/>
                <w:sz w:val="20"/>
                <w:lang w:eastAsia="ja-JP"/>
              </w:rPr>
              <w:br/>
              <w:t>(*In 2023 survey)</w:t>
            </w:r>
          </w:p>
        </w:tc>
        <w:tc>
          <w:tcPr>
            <w:tcW w:w="2891" w:type="dxa"/>
          </w:tcPr>
          <w:p w14:paraId="45C050AC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</w:p>
        </w:tc>
      </w:tr>
      <w:tr w:rsidR="008359FC" w:rsidRPr="00B323C4" w14:paraId="497DCD7A" w14:textId="77777777" w:rsidTr="00B323C4">
        <w:tc>
          <w:tcPr>
            <w:tcW w:w="489" w:type="dxa"/>
          </w:tcPr>
          <w:p w14:paraId="232F6EFB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4</w:t>
            </w:r>
          </w:p>
        </w:tc>
        <w:tc>
          <w:tcPr>
            <w:tcW w:w="2202" w:type="dxa"/>
          </w:tcPr>
          <w:p w14:paraId="6DC15EA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Household Long Questionnaire</w:t>
            </w:r>
          </w:p>
        </w:tc>
        <w:tc>
          <w:tcPr>
            <w:tcW w:w="1879" w:type="dxa"/>
          </w:tcPr>
          <w:p w14:paraId="2E5869AF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9/16/24-10/16/24</w:t>
            </w:r>
          </w:p>
          <w:p w14:paraId="10DB29BB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(4 weeks)</w:t>
            </w:r>
          </w:p>
        </w:tc>
        <w:tc>
          <w:tcPr>
            <w:tcW w:w="2168" w:type="dxa"/>
          </w:tcPr>
          <w:p w14:paraId="42DCA587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79</w:t>
            </w:r>
          </w:p>
          <w:p w14:paraId="25C70788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(*In 2023 survey)</w:t>
            </w:r>
          </w:p>
        </w:tc>
        <w:tc>
          <w:tcPr>
            <w:tcW w:w="2891" w:type="dxa"/>
          </w:tcPr>
          <w:p w14:paraId="5F78BDED" w14:textId="65268C63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No.4 and 5 are conducted in the same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period</w:t>
            </w:r>
            <w:proofErr w:type="gramEnd"/>
          </w:p>
          <w:p w14:paraId="361B1EEA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Some questions are the same as No.1</w:t>
            </w:r>
          </w:p>
        </w:tc>
      </w:tr>
      <w:tr w:rsidR="008359FC" w:rsidRPr="00B323C4" w14:paraId="674A8571" w14:textId="77777777" w:rsidTr="00B323C4">
        <w:tc>
          <w:tcPr>
            <w:tcW w:w="489" w:type="dxa"/>
          </w:tcPr>
          <w:p w14:paraId="7A408C5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5</w:t>
            </w:r>
          </w:p>
        </w:tc>
        <w:tc>
          <w:tcPr>
            <w:tcW w:w="2202" w:type="dxa"/>
          </w:tcPr>
          <w:p w14:paraId="19541F2D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World Telecommunication/ICT </w:t>
            </w:r>
            <w:r w:rsidRPr="00B323C4">
              <w:rPr>
                <w:rFonts w:eastAsia="Meiryo UI" w:cstheme="minorHAnsi"/>
                <w:sz w:val="20"/>
                <w:lang w:eastAsia="ja-JP"/>
              </w:rPr>
              <w:lastRenderedPageBreak/>
              <w:t>Indicators Long Questionnaire</w:t>
            </w:r>
          </w:p>
        </w:tc>
        <w:tc>
          <w:tcPr>
            <w:tcW w:w="1879" w:type="dxa"/>
          </w:tcPr>
          <w:p w14:paraId="4B3CBEB7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lastRenderedPageBreak/>
              <w:t>9/16/24-10/16/24</w:t>
            </w:r>
          </w:p>
          <w:p w14:paraId="746D4340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(4 weeks)</w:t>
            </w:r>
          </w:p>
        </w:tc>
        <w:tc>
          <w:tcPr>
            <w:tcW w:w="2168" w:type="dxa"/>
          </w:tcPr>
          <w:p w14:paraId="1EB9E71D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83</w:t>
            </w:r>
          </w:p>
          <w:p w14:paraId="5CE3F68F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(*In 2023 survey)</w:t>
            </w:r>
          </w:p>
        </w:tc>
        <w:tc>
          <w:tcPr>
            <w:tcW w:w="2891" w:type="dxa"/>
          </w:tcPr>
          <w:p w14:paraId="3076C08A" w14:textId="12E48C1B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No.4 and 5 are conducted in the same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period</w:t>
            </w:r>
            <w:proofErr w:type="gramEnd"/>
          </w:p>
          <w:p w14:paraId="56C539E2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lastRenderedPageBreak/>
              <w:t>Some questions are the same as No.2</w:t>
            </w:r>
          </w:p>
        </w:tc>
      </w:tr>
      <w:tr w:rsidR="008359FC" w:rsidRPr="00B323C4" w14:paraId="3A724558" w14:textId="77777777" w:rsidTr="00B323C4">
        <w:tc>
          <w:tcPr>
            <w:tcW w:w="9629" w:type="dxa"/>
            <w:gridSpan w:val="5"/>
            <w:shd w:val="clear" w:color="auto" w:fill="FDE9D9" w:themeFill="accent6" w:themeFillTint="33"/>
          </w:tcPr>
          <w:p w14:paraId="30EE20EF" w14:textId="23ADF610" w:rsidR="008359FC" w:rsidRPr="00B323C4" w:rsidRDefault="008359FC" w:rsidP="00B323C4">
            <w:pPr>
              <w:spacing w:before="40" w:after="40"/>
              <w:jc w:val="center"/>
              <w:rPr>
                <w:rFonts w:eastAsia="Meiryo UI" w:cstheme="minorHAnsi"/>
                <w:b/>
                <w:color w:val="000000" w:themeColor="text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000000" w:themeColor="text1"/>
                <w:sz w:val="20"/>
                <w:lang w:eastAsia="ja-JP"/>
              </w:rPr>
              <w:lastRenderedPageBreak/>
              <w:t xml:space="preserve">The ICT surveys or other related works </w:t>
            </w:r>
            <w:r w:rsidRPr="00B323C4">
              <w:rPr>
                <w:rFonts w:eastAsia="Meiryo UI" w:cstheme="minorHAnsi"/>
                <w:b/>
                <w:color w:val="000000" w:themeColor="text1"/>
                <w:sz w:val="20"/>
                <w:u w:val="single"/>
                <w:lang w:eastAsia="ja-JP"/>
              </w:rPr>
              <w:t>NOT</w:t>
            </w:r>
            <w:r w:rsidRPr="00B323C4">
              <w:rPr>
                <w:rFonts w:eastAsia="Meiryo UI" w:cstheme="minorHAnsi"/>
                <w:b/>
                <w:color w:val="000000" w:themeColor="text1"/>
                <w:sz w:val="20"/>
                <w:lang w:eastAsia="ja-JP"/>
              </w:rPr>
              <w:t xml:space="preserve"> included in the “ITU data collection schedule 2024”</w:t>
            </w:r>
          </w:p>
        </w:tc>
      </w:tr>
      <w:tr w:rsidR="008359FC" w:rsidRPr="00B323C4" w14:paraId="2DA04E65" w14:textId="77777777" w:rsidTr="00B323C4">
        <w:tc>
          <w:tcPr>
            <w:tcW w:w="489" w:type="dxa"/>
          </w:tcPr>
          <w:p w14:paraId="4CDB169D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6</w:t>
            </w:r>
          </w:p>
        </w:tc>
        <w:tc>
          <w:tcPr>
            <w:tcW w:w="2202" w:type="dxa"/>
          </w:tcPr>
          <w:p w14:paraId="0BFF501E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Global Cybersecurity Index v5</w:t>
            </w:r>
          </w:p>
        </w:tc>
        <w:tc>
          <w:tcPr>
            <w:tcW w:w="1879" w:type="dxa"/>
          </w:tcPr>
          <w:p w14:paraId="5CB14286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First time inquiry</w:t>
            </w:r>
          </w:p>
          <w:p w14:paraId="1751EE4A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4/10/23-8/1/23</w:t>
            </w:r>
            <w:r w:rsidRPr="00B323C4">
              <w:rPr>
                <w:rFonts w:eastAsia="Meiryo UI" w:cstheme="minorHAnsi"/>
                <w:sz w:val="20"/>
                <w:lang w:eastAsia="ja-JP"/>
              </w:rPr>
              <w:br/>
              <w:t>(About 19 weeks)</w:t>
            </w:r>
          </w:p>
          <w:p w14:paraId="3D2F5E08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Second time inquiry</w:t>
            </w:r>
          </w:p>
          <w:p w14:paraId="5D3727E1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12/15/23-3/13/24</w:t>
            </w:r>
          </w:p>
          <w:p w14:paraId="2801CDD0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(About 6 weeks)</w:t>
            </w:r>
          </w:p>
        </w:tc>
        <w:tc>
          <w:tcPr>
            <w:tcW w:w="2168" w:type="dxa"/>
          </w:tcPr>
          <w:p w14:paraId="68416DB1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85</w:t>
            </w:r>
          </w:p>
        </w:tc>
        <w:tc>
          <w:tcPr>
            <w:tcW w:w="2891" w:type="dxa"/>
          </w:tcPr>
          <w:p w14:paraId="311A03EE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Second time inquiry of No.6 and No.8 are conducted in the same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period</w:t>
            </w:r>
            <w:proofErr w:type="gramEnd"/>
          </w:p>
          <w:p w14:paraId="4E159920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*Regarding Second time inquiry, MIC Japan asked for deadline extension for 3/13/24</w:t>
            </w:r>
          </w:p>
        </w:tc>
      </w:tr>
      <w:tr w:rsidR="008359FC" w:rsidRPr="00B323C4" w14:paraId="5CDC4706" w14:textId="77777777" w:rsidTr="00B323C4">
        <w:tc>
          <w:tcPr>
            <w:tcW w:w="489" w:type="dxa"/>
          </w:tcPr>
          <w:p w14:paraId="79EC5680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7</w:t>
            </w:r>
          </w:p>
        </w:tc>
        <w:tc>
          <w:tcPr>
            <w:tcW w:w="2202" w:type="dxa"/>
          </w:tcPr>
          <w:p w14:paraId="7ABF5638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ICT Regulatory survey 2024</w:t>
            </w:r>
          </w:p>
        </w:tc>
        <w:tc>
          <w:tcPr>
            <w:tcW w:w="1879" w:type="dxa"/>
          </w:tcPr>
          <w:p w14:paraId="195BADF0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3/26/24-4/30/24</w:t>
            </w:r>
          </w:p>
          <w:p w14:paraId="6D2C92F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(About 5 weeks)</w:t>
            </w:r>
          </w:p>
        </w:tc>
        <w:tc>
          <w:tcPr>
            <w:tcW w:w="2168" w:type="dxa"/>
          </w:tcPr>
          <w:p w14:paraId="620E480C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About 500</w:t>
            </w:r>
          </w:p>
        </w:tc>
        <w:tc>
          <w:tcPr>
            <w:tcW w:w="2891" w:type="dxa"/>
          </w:tcPr>
          <w:p w14:paraId="58EED132" w14:textId="64DFAEFD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No.1, 2, and 7 are conducted in the same period</w:t>
            </w:r>
          </w:p>
        </w:tc>
      </w:tr>
      <w:tr w:rsidR="008359FC" w:rsidRPr="00B323C4" w14:paraId="0A7B5EB4" w14:textId="77777777" w:rsidTr="00B323C4">
        <w:tc>
          <w:tcPr>
            <w:tcW w:w="489" w:type="dxa"/>
          </w:tcPr>
          <w:p w14:paraId="099DA58C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sz w:val="20"/>
                <w:lang w:eastAsia="ja-JP"/>
              </w:rPr>
              <w:t>8</w:t>
            </w:r>
          </w:p>
        </w:tc>
        <w:tc>
          <w:tcPr>
            <w:tcW w:w="2202" w:type="dxa"/>
          </w:tcPr>
          <w:p w14:paraId="7FE4A2B4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The validation queries to publish 2024 IDI report</w:t>
            </w:r>
          </w:p>
        </w:tc>
        <w:tc>
          <w:tcPr>
            <w:tcW w:w="1879" w:type="dxa"/>
          </w:tcPr>
          <w:p w14:paraId="0142D219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2/9/24-3/6/24</w:t>
            </w:r>
          </w:p>
          <w:p w14:paraId="7B82C28C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(About 4 weeks)</w:t>
            </w:r>
          </w:p>
        </w:tc>
        <w:tc>
          <w:tcPr>
            <w:tcW w:w="2168" w:type="dxa"/>
          </w:tcPr>
          <w:p w14:paraId="626E8146" w14:textId="77777777" w:rsidR="008359FC" w:rsidRPr="00B323C4" w:rsidRDefault="008359FC" w:rsidP="00B323C4">
            <w:pPr>
              <w:spacing w:before="40" w:after="40"/>
              <w:jc w:val="right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10</w:t>
            </w:r>
          </w:p>
        </w:tc>
        <w:tc>
          <w:tcPr>
            <w:tcW w:w="2891" w:type="dxa"/>
          </w:tcPr>
          <w:p w14:paraId="44624EF1" w14:textId="77777777" w:rsidR="008359FC" w:rsidRPr="00B323C4" w:rsidRDefault="008359FC" w:rsidP="00B323C4">
            <w:pPr>
              <w:pStyle w:val="ListParagraph"/>
              <w:numPr>
                <w:ilvl w:val="0"/>
                <w:numId w:val="25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Second time inquiry of No.6 and No.8 are conducted in the same period</w:t>
            </w:r>
          </w:p>
        </w:tc>
      </w:tr>
    </w:tbl>
    <w:p w14:paraId="3B506AC7" w14:textId="77777777" w:rsidR="002A6015" w:rsidRDefault="008359FC" w:rsidP="006E4C4F">
      <w:pPr>
        <w:keepNext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As described in the Issues column, member states are required to respond to multiple ICT surveys at the same time, which places a heavy burden on them.</w:t>
      </w:r>
    </w:p>
    <w:p w14:paraId="4272BF94" w14:textId="121E9BEC" w:rsidR="008359FC" w:rsidRPr="008359FC" w:rsidRDefault="008359FC" w:rsidP="006E4C4F">
      <w:pPr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For example, from March to April 2024, it was necessary to respond to the three following surveys:</w:t>
      </w:r>
    </w:p>
    <w:p w14:paraId="2B9FB05B" w14:textId="55769D06" w:rsidR="008359FC" w:rsidRPr="006E4C4F" w:rsidRDefault="008359FC" w:rsidP="006E4C4F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eastAsia="Meiryo UI" w:cstheme="minorHAnsi"/>
          <w:szCs w:val="24"/>
          <w:lang w:eastAsia="ja-JP"/>
        </w:rPr>
      </w:pPr>
      <w:r w:rsidRPr="006E4C4F">
        <w:rPr>
          <w:rFonts w:eastAsia="Meiryo UI" w:cstheme="minorHAnsi"/>
          <w:szCs w:val="24"/>
          <w:lang w:eastAsia="ja-JP"/>
        </w:rPr>
        <w:t>"No 1. Household Short Questionnaire," "No 2. World Telecommunication/ICT Indicators Short Questionnaire," and "No 7. ICT Regulatory Survey 2024."</w:t>
      </w:r>
    </w:p>
    <w:p w14:paraId="06C4C617" w14:textId="2871AA51" w:rsidR="008359FC" w:rsidRPr="006E4C4F" w:rsidRDefault="008359FC" w:rsidP="006E4C4F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eastAsia="Meiryo UI" w:cstheme="minorHAnsi"/>
          <w:szCs w:val="24"/>
          <w:lang w:eastAsia="ja-JP"/>
        </w:rPr>
      </w:pPr>
      <w:r w:rsidRPr="006E4C4F">
        <w:rPr>
          <w:rFonts w:eastAsia="Meiryo UI" w:cstheme="minorHAnsi"/>
          <w:szCs w:val="24"/>
          <w:lang w:eastAsia="ja-JP"/>
        </w:rPr>
        <w:t>In addition, "No 7. ICT Regulatory Survey 2024" has not been listed in "ITU data collection schedule 2024," so the predictability was low.</w:t>
      </w:r>
    </w:p>
    <w:p w14:paraId="39ECC920" w14:textId="3CCC5AD1" w:rsidR="008359FC" w:rsidRPr="006E4C4F" w:rsidRDefault="008359FC" w:rsidP="006E4C4F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eastAsia="Meiryo UI" w:cstheme="minorHAnsi"/>
          <w:szCs w:val="24"/>
          <w:lang w:eastAsia="ja-JP"/>
        </w:rPr>
      </w:pPr>
      <w:r w:rsidRPr="006E4C4F">
        <w:rPr>
          <w:rFonts w:eastAsia="Meiryo UI" w:cstheme="minorHAnsi"/>
          <w:szCs w:val="24"/>
          <w:lang w:eastAsia="ja-JP"/>
        </w:rPr>
        <w:t xml:space="preserve">Regarding the same questions included in the several surveys, for example, "No 1. Household Short Questionnaire" and "No 4. Household Long Questionnaire" contain the same </w:t>
      </w:r>
      <w:proofErr w:type="gramStart"/>
      <w:r w:rsidRPr="006E4C4F">
        <w:rPr>
          <w:rFonts w:eastAsia="Meiryo UI" w:cstheme="minorHAnsi"/>
          <w:szCs w:val="24"/>
          <w:lang w:eastAsia="ja-JP"/>
        </w:rPr>
        <w:t>questions</w:t>
      </w:r>
      <w:proofErr w:type="gramEnd"/>
      <w:r w:rsidRPr="006E4C4F">
        <w:rPr>
          <w:rFonts w:eastAsia="Meiryo UI" w:cstheme="minorHAnsi"/>
          <w:szCs w:val="24"/>
          <w:lang w:eastAsia="ja-JP"/>
        </w:rPr>
        <w:t xml:space="preserve"> but ITU asked member states to answer separately. Therefore, member states need to answer the same question twice a year.</w:t>
      </w:r>
    </w:p>
    <w:p w14:paraId="4BECB122" w14:textId="77777777" w:rsidR="008359FC" w:rsidRPr="008359FC" w:rsidRDefault="008359FC" w:rsidP="006E4C4F">
      <w:pPr>
        <w:pStyle w:val="ListParagraph"/>
        <w:keepNext/>
        <w:numPr>
          <w:ilvl w:val="0"/>
          <w:numId w:val="22"/>
        </w:numPr>
        <w:spacing w:before="240" w:after="120"/>
        <w:contextualSpacing w:val="0"/>
        <w:rPr>
          <w:rFonts w:eastAsia="Meiryo UI" w:cstheme="minorHAnsi"/>
          <w:b/>
          <w:bCs/>
          <w:szCs w:val="24"/>
        </w:rPr>
      </w:pPr>
      <w:bookmarkStart w:id="7" w:name="_Hlk164868316"/>
      <w:r w:rsidRPr="008359FC">
        <w:rPr>
          <w:rFonts w:eastAsia="Meiryo UI" w:cstheme="minorHAnsi"/>
          <w:b/>
          <w:bCs/>
          <w:szCs w:val="24"/>
          <w:lang w:eastAsia="ja-JP"/>
        </w:rPr>
        <w:t xml:space="preserve">Proposal </w:t>
      </w:r>
    </w:p>
    <w:bookmarkEnd w:id="7"/>
    <w:p w14:paraId="52543D64" w14:textId="77777777" w:rsidR="008359FC" w:rsidRPr="008359FC" w:rsidRDefault="008359FC" w:rsidP="008359FC">
      <w:pPr>
        <w:spacing w:after="120"/>
        <w:rPr>
          <w:rFonts w:eastAsia="Meiryo UI" w:cstheme="minorHAnsi"/>
          <w:szCs w:val="24"/>
          <w:lang w:val="en-US" w:eastAsia="ja-JP"/>
        </w:rPr>
      </w:pPr>
      <w:r w:rsidRPr="008359FC">
        <w:rPr>
          <w:rFonts w:eastAsia="Meiryo UI" w:cstheme="minorHAnsi"/>
          <w:szCs w:val="24"/>
          <w:lang w:val="en-US" w:eastAsia="ja-JP"/>
        </w:rPr>
        <w:t>We would like to ask ITU to take the following actions.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4110"/>
        <w:gridCol w:w="5246"/>
      </w:tblGrid>
      <w:tr w:rsidR="008359FC" w:rsidRPr="00B323C4" w14:paraId="34146BD9" w14:textId="77777777" w:rsidTr="00134A2A">
        <w:tc>
          <w:tcPr>
            <w:tcW w:w="704" w:type="dxa"/>
            <w:shd w:val="clear" w:color="auto" w:fill="4F81BD" w:themeFill="accent1"/>
          </w:tcPr>
          <w:p w14:paraId="04C40F95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No</w:t>
            </w:r>
          </w:p>
        </w:tc>
        <w:tc>
          <w:tcPr>
            <w:tcW w:w="4110" w:type="dxa"/>
            <w:shd w:val="clear" w:color="auto" w:fill="4F81BD" w:themeFill="accent1"/>
          </w:tcPr>
          <w:p w14:paraId="709669F8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Issues</w:t>
            </w:r>
          </w:p>
        </w:tc>
        <w:tc>
          <w:tcPr>
            <w:tcW w:w="5246" w:type="dxa"/>
            <w:shd w:val="clear" w:color="auto" w:fill="4F81BD" w:themeFill="accent1"/>
          </w:tcPr>
          <w:p w14:paraId="556C3AB1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b/>
                <w:color w:val="FFFFFF" w:themeColor="background1"/>
                <w:sz w:val="20"/>
                <w:lang w:eastAsia="ja-JP"/>
              </w:rPr>
              <w:t>Required actions</w:t>
            </w:r>
          </w:p>
        </w:tc>
      </w:tr>
      <w:tr w:rsidR="008359FC" w:rsidRPr="00B323C4" w14:paraId="0F061C33" w14:textId="77777777" w:rsidTr="00134A2A">
        <w:tc>
          <w:tcPr>
            <w:tcW w:w="704" w:type="dxa"/>
          </w:tcPr>
          <w:p w14:paraId="0E7A2B9E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1</w:t>
            </w:r>
          </w:p>
        </w:tc>
        <w:tc>
          <w:tcPr>
            <w:tcW w:w="4110" w:type="dxa"/>
          </w:tcPr>
          <w:p w14:paraId="7FE80052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Multiple ICT surveys are conducted at the same time</w:t>
            </w:r>
          </w:p>
        </w:tc>
        <w:tc>
          <w:tcPr>
            <w:tcW w:w="5246" w:type="dxa"/>
            <w:vMerge w:val="restart"/>
          </w:tcPr>
          <w:p w14:paraId="02614546" w14:textId="77777777" w:rsidR="008359FC" w:rsidRPr="00B323C4" w:rsidRDefault="008359FC" w:rsidP="00B323C4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 xml:space="preserve">Provide a comprehensive schedule including all activities related to ICT </w:t>
            </w:r>
            <w:proofErr w:type="gramStart"/>
            <w:r w:rsidRPr="00B323C4">
              <w:rPr>
                <w:rFonts w:eastAsia="Meiryo UI" w:cstheme="minorHAnsi"/>
                <w:sz w:val="20"/>
                <w:lang w:eastAsia="ja-JP"/>
              </w:rPr>
              <w:t>surveys</w:t>
            </w:r>
            <w:proofErr w:type="gramEnd"/>
          </w:p>
          <w:p w14:paraId="68AB4F17" w14:textId="77777777" w:rsidR="008359FC" w:rsidRPr="00B323C4" w:rsidRDefault="008359FC" w:rsidP="00B323C4">
            <w:pPr>
              <w:pStyle w:val="ListParagraph"/>
              <w:numPr>
                <w:ilvl w:val="0"/>
                <w:numId w:val="23"/>
              </w:numPr>
              <w:spacing w:before="40" w:after="40"/>
              <w:contextualSpacing w:val="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Make sure that the inquiry times for each ICT survey overlap as little as possible.</w:t>
            </w:r>
          </w:p>
        </w:tc>
      </w:tr>
      <w:tr w:rsidR="008359FC" w:rsidRPr="00B323C4" w14:paraId="76D36670" w14:textId="77777777" w:rsidTr="00134A2A">
        <w:tc>
          <w:tcPr>
            <w:tcW w:w="704" w:type="dxa"/>
          </w:tcPr>
          <w:p w14:paraId="787477C9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2</w:t>
            </w:r>
          </w:p>
        </w:tc>
        <w:tc>
          <w:tcPr>
            <w:tcW w:w="4110" w:type="dxa"/>
          </w:tcPr>
          <w:p w14:paraId="2724611E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Some ICT surveys and related works are not listed in the ITU Data collection schedule</w:t>
            </w:r>
          </w:p>
        </w:tc>
        <w:tc>
          <w:tcPr>
            <w:tcW w:w="5246" w:type="dxa"/>
            <w:vMerge/>
          </w:tcPr>
          <w:p w14:paraId="39AE828E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</w:p>
        </w:tc>
      </w:tr>
      <w:tr w:rsidR="008359FC" w:rsidRPr="00B323C4" w14:paraId="456CE2D2" w14:textId="77777777" w:rsidTr="00134A2A">
        <w:tc>
          <w:tcPr>
            <w:tcW w:w="704" w:type="dxa"/>
          </w:tcPr>
          <w:p w14:paraId="270DC343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3</w:t>
            </w:r>
          </w:p>
        </w:tc>
        <w:tc>
          <w:tcPr>
            <w:tcW w:w="4110" w:type="dxa"/>
          </w:tcPr>
          <w:p w14:paraId="56089C75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Member states need to answer the same questions more than once a year, because some ICT surveys include the same questions.</w:t>
            </w:r>
          </w:p>
        </w:tc>
        <w:tc>
          <w:tcPr>
            <w:tcW w:w="5246" w:type="dxa"/>
          </w:tcPr>
          <w:p w14:paraId="23671A69" w14:textId="77777777" w:rsidR="008359FC" w:rsidRPr="00B323C4" w:rsidRDefault="008359FC" w:rsidP="00B323C4">
            <w:pPr>
              <w:spacing w:before="40" w:after="40"/>
              <w:rPr>
                <w:rFonts w:eastAsia="Meiryo UI" w:cstheme="minorHAnsi"/>
                <w:sz w:val="20"/>
                <w:lang w:eastAsia="ja-JP"/>
              </w:rPr>
            </w:pPr>
            <w:r w:rsidRPr="00B323C4">
              <w:rPr>
                <w:rFonts w:eastAsia="Meiryo UI" w:cstheme="minorHAnsi"/>
                <w:sz w:val="20"/>
                <w:lang w:eastAsia="ja-JP"/>
              </w:rPr>
              <w:t>Eliminate redundant questions</w:t>
            </w:r>
          </w:p>
        </w:tc>
      </w:tr>
    </w:tbl>
    <w:p w14:paraId="0FEBB3F8" w14:textId="77777777" w:rsidR="008359FC" w:rsidRPr="008359FC" w:rsidRDefault="008359FC" w:rsidP="008359FC">
      <w:pPr>
        <w:pStyle w:val="ListParagraph"/>
        <w:keepNext/>
        <w:numPr>
          <w:ilvl w:val="0"/>
          <w:numId w:val="22"/>
        </w:numPr>
        <w:spacing w:after="120"/>
        <w:contextualSpacing w:val="0"/>
        <w:rPr>
          <w:rFonts w:eastAsia="Meiryo UI" w:cstheme="minorHAnsi"/>
          <w:b/>
          <w:bCs/>
          <w:szCs w:val="24"/>
        </w:rPr>
      </w:pPr>
      <w:r w:rsidRPr="008359FC">
        <w:rPr>
          <w:rFonts w:eastAsia="Meiryo UI" w:cstheme="minorHAnsi"/>
          <w:b/>
          <w:bCs/>
          <w:szCs w:val="24"/>
          <w:lang w:eastAsia="ja-JP"/>
        </w:rPr>
        <w:t>Conclusion</w:t>
      </w:r>
    </w:p>
    <w:p w14:paraId="6063DF06" w14:textId="77777777" w:rsidR="008359FC" w:rsidRPr="008359FC" w:rsidRDefault="008359FC" w:rsidP="008359F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t>If ITU takes the proposed actions, it will reduce the burden on Member States and enable them to collect high-quality information from other Member States.</w:t>
      </w:r>
    </w:p>
    <w:p w14:paraId="7759C759" w14:textId="622F36B1" w:rsidR="00821996" w:rsidRDefault="008359FC" w:rsidP="00B323C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eastAsia="Meiryo UI" w:cstheme="minorHAnsi"/>
          <w:szCs w:val="24"/>
          <w:lang w:eastAsia="ja-JP"/>
        </w:rPr>
      </w:pPr>
      <w:r w:rsidRPr="008359FC">
        <w:rPr>
          <w:rFonts w:eastAsia="Meiryo UI" w:cstheme="minorHAnsi"/>
          <w:szCs w:val="24"/>
          <w:lang w:eastAsia="ja-JP"/>
        </w:rPr>
        <w:lastRenderedPageBreak/>
        <w:t>It will also lead to a reduction in the burden on ITU-D staff by eliminating the duplication of work time.</w:t>
      </w:r>
    </w:p>
    <w:p w14:paraId="6F9B3A22" w14:textId="1DF03856" w:rsidR="006E4C4F" w:rsidRDefault="006E4C4F" w:rsidP="006E4C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rPr>
          <w:rFonts w:eastAsia="Meiryo UI" w:cstheme="minorHAnsi"/>
          <w:szCs w:val="24"/>
          <w:lang w:eastAsia="ja-JP"/>
        </w:rPr>
        <w:t>_____________</w:t>
      </w:r>
    </w:p>
    <w:sectPr w:rsidR="006E4C4F" w:rsidSect="005F70F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0077" w14:textId="77777777" w:rsidR="005F70F1" w:rsidRDefault="005F70F1">
      <w:r>
        <w:separator/>
      </w:r>
    </w:p>
  </w:endnote>
  <w:endnote w:type="continuationSeparator" w:id="0">
    <w:p w14:paraId="322D321D" w14:textId="77777777" w:rsidR="005F70F1" w:rsidRDefault="005F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C5431" w:rsidRPr="008265CF" w14:paraId="695D1810" w14:textId="77777777" w:rsidTr="004C543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4C5431" w:rsidRPr="008265CF" w:rsidRDefault="004C5431" w:rsidP="004C5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265CF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4C5431" w:rsidRPr="008265CF" w:rsidRDefault="004C5431" w:rsidP="004C54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EB26C6B" w14:textId="25F03B72" w:rsidR="004C5431" w:rsidRDefault="00DC5C30" w:rsidP="004C5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 w:rsidR="004C5431">
            <w:rPr>
              <w:sz w:val="18"/>
              <w:szCs w:val="18"/>
              <w:lang w:val="en-US"/>
            </w:rPr>
            <w:t>Soyomi</w:t>
          </w:r>
          <w:proofErr w:type="spellEnd"/>
          <w:r w:rsidR="004C5431">
            <w:rPr>
              <w:sz w:val="18"/>
              <w:szCs w:val="18"/>
              <w:lang w:val="en-US"/>
            </w:rPr>
            <w:t xml:space="preserve"> Uchibori</w:t>
          </w:r>
          <w:r>
            <w:rPr>
              <w:sz w:val="18"/>
              <w:szCs w:val="18"/>
              <w:lang w:val="en-US"/>
            </w:rPr>
            <w:t>,</w:t>
          </w:r>
          <w:r w:rsidR="004C5431">
            <w:rPr>
              <w:sz w:val="18"/>
              <w:szCs w:val="18"/>
              <w:lang w:val="en-US"/>
            </w:rPr>
            <w:t xml:space="preserve"> Ministry of Internal Affairs and Communications, Japan </w:t>
          </w:r>
        </w:p>
      </w:tc>
      <w:bookmarkStart w:id="8" w:name="OrgName"/>
      <w:bookmarkEnd w:id="8"/>
    </w:tr>
    <w:tr w:rsidR="004C5431" w:rsidRPr="008265CF" w14:paraId="61167678" w14:textId="77777777" w:rsidTr="004C5431">
      <w:tc>
        <w:tcPr>
          <w:tcW w:w="1526" w:type="dxa"/>
          <w:shd w:val="clear" w:color="auto" w:fill="auto"/>
        </w:tcPr>
        <w:p w14:paraId="33710823" w14:textId="77777777" w:rsidR="004C5431" w:rsidRPr="008265CF" w:rsidRDefault="004C5431" w:rsidP="004C5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4C5431" w:rsidRPr="008265CF" w:rsidRDefault="004C5431" w:rsidP="004C5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2B7E7424" w14:textId="7891FF58" w:rsidR="004C5431" w:rsidRDefault="004C5431" w:rsidP="004C5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+81 </w:t>
          </w:r>
          <w:r w:rsidRPr="00224813">
            <w:rPr>
              <w:sz w:val="18"/>
              <w:szCs w:val="18"/>
              <w:lang w:val="en-US"/>
            </w:rPr>
            <w:t>3</w:t>
          </w:r>
          <w:r>
            <w:rPr>
              <w:sz w:val="18"/>
              <w:szCs w:val="18"/>
              <w:lang w:val="en-US"/>
            </w:rPr>
            <w:t xml:space="preserve"> </w:t>
          </w:r>
          <w:r w:rsidRPr="00224813">
            <w:rPr>
              <w:sz w:val="18"/>
              <w:szCs w:val="18"/>
              <w:lang w:val="en-US"/>
            </w:rPr>
            <w:t>5253</w:t>
          </w:r>
          <w:r>
            <w:rPr>
              <w:sz w:val="18"/>
              <w:szCs w:val="18"/>
              <w:lang w:val="en-US"/>
            </w:rPr>
            <w:t xml:space="preserve"> </w:t>
          </w:r>
          <w:r w:rsidRPr="00224813">
            <w:rPr>
              <w:sz w:val="18"/>
              <w:szCs w:val="18"/>
              <w:lang w:val="en-US"/>
            </w:rPr>
            <w:t>5</w:t>
          </w:r>
          <w:r>
            <w:rPr>
              <w:sz w:val="18"/>
              <w:szCs w:val="18"/>
              <w:lang w:val="en-US"/>
            </w:rPr>
            <w:t>922</w:t>
          </w:r>
        </w:p>
      </w:tc>
      <w:bookmarkStart w:id="9" w:name="PhoneNo"/>
      <w:bookmarkEnd w:id="9"/>
    </w:tr>
    <w:tr w:rsidR="004C5431" w:rsidRPr="008265CF" w14:paraId="0299A231" w14:textId="77777777" w:rsidTr="004C5431">
      <w:tc>
        <w:tcPr>
          <w:tcW w:w="1526" w:type="dxa"/>
          <w:shd w:val="clear" w:color="auto" w:fill="auto"/>
        </w:tcPr>
        <w:p w14:paraId="35CBC438" w14:textId="77777777" w:rsidR="004C5431" w:rsidRPr="008265CF" w:rsidRDefault="004C5431" w:rsidP="004C5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4C5431" w:rsidRPr="008265CF" w:rsidRDefault="004C5431" w:rsidP="004C5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C4C7BB7" w14:textId="2FD6E7CE" w:rsidR="004C5431" w:rsidRPr="004C5431" w:rsidRDefault="00000000" w:rsidP="004C5431">
          <w:pPr>
            <w:pStyle w:val="FirstFooter"/>
            <w:tabs>
              <w:tab w:val="left" w:pos="2302"/>
            </w:tabs>
            <w:rPr>
              <w:lang w:val="en-US"/>
            </w:rPr>
          </w:pPr>
          <w:r>
            <w:fldChar w:fldCharType="begin"/>
          </w:r>
          <w:r w:rsidRPr="002A6015">
            <w:rPr>
              <w:lang w:val="en-US"/>
            </w:rPr>
            <w:instrText>HYPERLINK "mailto:ituline@ml.soumu.go.jp"</w:instrText>
          </w:r>
          <w:r>
            <w:fldChar w:fldCharType="separate"/>
          </w:r>
          <w:r w:rsidR="004C5431" w:rsidRPr="003354F6">
            <w:rPr>
              <w:rStyle w:val="Hyperlink"/>
              <w:lang w:val="en-US"/>
            </w:rPr>
            <w:t>ituline@ml.soumu.go.jp</w:t>
          </w:r>
          <w:r>
            <w:rPr>
              <w:rStyle w:val="Hyperlink"/>
              <w:lang w:val="en-US"/>
            </w:rPr>
            <w:fldChar w:fldCharType="end"/>
          </w:r>
          <w:r w:rsidR="004C5431">
            <w:rPr>
              <w:lang w:val="en-US"/>
            </w:rPr>
            <w:t xml:space="preserve"> </w:t>
          </w:r>
        </w:p>
      </w:tc>
      <w:bookmarkStart w:id="10" w:name="Email"/>
      <w:bookmarkEnd w:id="10"/>
    </w:tr>
  </w:tbl>
  <w:p w14:paraId="40A321D0" w14:textId="1C276101" w:rsidR="00721657" w:rsidRPr="008265CF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645F" w14:textId="77777777" w:rsidR="005F70F1" w:rsidRDefault="005F70F1">
      <w:r>
        <w:t>____________________</w:t>
      </w:r>
    </w:p>
  </w:footnote>
  <w:footnote w:type="continuationSeparator" w:id="0">
    <w:p w14:paraId="13E68CE5" w14:textId="77777777" w:rsidR="005F70F1" w:rsidRDefault="005F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5E65C04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DC44F9">
      <w:rPr>
        <w:sz w:val="22"/>
        <w:szCs w:val="22"/>
        <w:lang w:val="de-CH"/>
      </w:rPr>
      <w:t>4</w:t>
    </w:r>
    <w:r w:rsidR="00467A77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292"/>
    <w:multiLevelType w:val="hybridMultilevel"/>
    <w:tmpl w:val="BA0CEFC8"/>
    <w:lvl w:ilvl="0" w:tplc="1D3010E0">
      <w:start w:val="5"/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720B4"/>
    <w:multiLevelType w:val="hybridMultilevel"/>
    <w:tmpl w:val="C6DA4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2F3"/>
    <w:multiLevelType w:val="hybridMultilevel"/>
    <w:tmpl w:val="4A68C858"/>
    <w:lvl w:ilvl="0" w:tplc="D8AA70EE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18440D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653615"/>
    <w:multiLevelType w:val="hybridMultilevel"/>
    <w:tmpl w:val="3ECC6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3F4"/>
    <w:multiLevelType w:val="hybridMultilevel"/>
    <w:tmpl w:val="71D8C808"/>
    <w:lvl w:ilvl="0" w:tplc="D8AA70EE">
      <w:start w:val="1"/>
      <w:numFmt w:val="bullet"/>
      <w:lvlText w:val=""/>
      <w:lvlJc w:val="left"/>
      <w:pPr>
        <w:ind w:left="4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 w15:restartNumberingAfterBreak="0">
    <w:nsid w:val="23DC5B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3D7FD1"/>
    <w:multiLevelType w:val="hybridMultilevel"/>
    <w:tmpl w:val="41CCBEEC"/>
    <w:lvl w:ilvl="0" w:tplc="D8AA70EE">
      <w:start w:val="1"/>
      <w:numFmt w:val="bullet"/>
      <w:lvlText w:val=""/>
      <w:lvlJc w:val="left"/>
      <w:pPr>
        <w:ind w:left="777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9" w15:restartNumberingAfterBreak="0">
    <w:nsid w:val="3A953871"/>
    <w:multiLevelType w:val="hybridMultilevel"/>
    <w:tmpl w:val="F8822B8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E18"/>
    <w:multiLevelType w:val="hybridMultilevel"/>
    <w:tmpl w:val="D9A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0202"/>
    <w:multiLevelType w:val="hybridMultilevel"/>
    <w:tmpl w:val="46DE463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5D05EC"/>
    <w:multiLevelType w:val="hybridMultilevel"/>
    <w:tmpl w:val="BBD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2141"/>
    <w:multiLevelType w:val="hybridMultilevel"/>
    <w:tmpl w:val="DA60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86D9E"/>
    <w:multiLevelType w:val="hybridMultilevel"/>
    <w:tmpl w:val="E2A69B7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515" w:hanging="79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E6F84"/>
    <w:multiLevelType w:val="hybridMultilevel"/>
    <w:tmpl w:val="48042DB2"/>
    <w:lvl w:ilvl="0" w:tplc="7256EAA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F5F7F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844A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4A4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6709A7"/>
    <w:multiLevelType w:val="hybridMultilevel"/>
    <w:tmpl w:val="BC40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60909C">
      <w:numFmt w:val="bullet"/>
      <w:lvlText w:val="–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F49833B6">
      <w:start w:val="1"/>
      <w:numFmt w:val="decimal"/>
      <w:lvlText w:val="%3"/>
      <w:lvlJc w:val="left"/>
      <w:pPr>
        <w:ind w:left="2775" w:hanging="79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37F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20D84"/>
    <w:multiLevelType w:val="hybridMultilevel"/>
    <w:tmpl w:val="25187E04"/>
    <w:lvl w:ilvl="0" w:tplc="FFFFFFFF">
      <w:start w:val="1"/>
      <w:numFmt w:val="decimal"/>
      <w:lvlText w:val="%1."/>
      <w:lvlJc w:val="left"/>
      <w:pPr>
        <w:ind w:left="705" w:hanging="35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rFonts w:hint="default"/>
        <w:spacing w:val="-1"/>
        <w:w w:val="100"/>
        <w:lang w:val="en-US" w:eastAsia="en-US" w:bidi="ar-SA"/>
      </w:rPr>
    </w:lvl>
    <w:lvl w:ilvl="2" w:tplc="FFFFFFFF">
      <w:numFmt w:val="bullet"/>
      <w:lvlText w:val="●"/>
      <w:lvlJc w:val="left"/>
      <w:pPr>
        <w:ind w:left="10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3321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F38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0D0943"/>
    <w:multiLevelType w:val="hybridMultilevel"/>
    <w:tmpl w:val="758E2AEA"/>
    <w:lvl w:ilvl="0" w:tplc="D8AA70EE">
      <w:start w:val="1"/>
      <w:numFmt w:val="bullet"/>
      <w:lvlText w:val=""/>
      <w:lvlJc w:val="left"/>
      <w:pPr>
        <w:ind w:left="777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1120996252">
    <w:abstractNumId w:val="16"/>
  </w:num>
  <w:num w:numId="2" w16cid:durableId="1668902854">
    <w:abstractNumId w:val="10"/>
  </w:num>
  <w:num w:numId="3" w16cid:durableId="1054890593">
    <w:abstractNumId w:val="23"/>
  </w:num>
  <w:num w:numId="4" w16cid:durableId="1325626162">
    <w:abstractNumId w:val="13"/>
  </w:num>
  <w:num w:numId="5" w16cid:durableId="427114863">
    <w:abstractNumId w:val="24"/>
  </w:num>
  <w:num w:numId="6" w16cid:durableId="1820540741">
    <w:abstractNumId w:val="20"/>
  </w:num>
  <w:num w:numId="7" w16cid:durableId="608010236">
    <w:abstractNumId w:val="9"/>
  </w:num>
  <w:num w:numId="8" w16cid:durableId="1795101828">
    <w:abstractNumId w:val="12"/>
  </w:num>
  <w:num w:numId="9" w16cid:durableId="273825148">
    <w:abstractNumId w:val="14"/>
  </w:num>
  <w:num w:numId="10" w16cid:durableId="215699537">
    <w:abstractNumId w:val="19"/>
  </w:num>
  <w:num w:numId="11" w16cid:durableId="800226017">
    <w:abstractNumId w:val="7"/>
  </w:num>
  <w:num w:numId="12" w16cid:durableId="1104767053">
    <w:abstractNumId w:val="6"/>
  </w:num>
  <w:num w:numId="13" w16cid:durableId="1486555038">
    <w:abstractNumId w:val="17"/>
  </w:num>
  <w:num w:numId="14" w16cid:durableId="1838224483">
    <w:abstractNumId w:val="11"/>
  </w:num>
  <w:num w:numId="15" w16cid:durableId="43722872">
    <w:abstractNumId w:val="15"/>
  </w:num>
  <w:num w:numId="16" w16cid:durableId="886719564">
    <w:abstractNumId w:val="5"/>
  </w:num>
  <w:num w:numId="17" w16cid:durableId="35736656">
    <w:abstractNumId w:val="2"/>
  </w:num>
  <w:num w:numId="18" w16cid:durableId="383022193">
    <w:abstractNumId w:val="21"/>
  </w:num>
  <w:num w:numId="19" w16cid:durableId="1314260241">
    <w:abstractNumId w:val="4"/>
  </w:num>
  <w:num w:numId="20" w16cid:durableId="686910625">
    <w:abstractNumId w:val="22"/>
  </w:num>
  <w:num w:numId="21" w16cid:durableId="682829397">
    <w:abstractNumId w:val="3"/>
  </w:num>
  <w:num w:numId="22" w16cid:durableId="380516159">
    <w:abstractNumId w:val="18"/>
  </w:num>
  <w:num w:numId="23" w16cid:durableId="170067172">
    <w:abstractNumId w:val="25"/>
  </w:num>
  <w:num w:numId="24" w16cid:durableId="341860333">
    <w:abstractNumId w:val="8"/>
  </w:num>
  <w:num w:numId="25" w16cid:durableId="57363157">
    <w:abstractNumId w:val="0"/>
  </w:num>
  <w:num w:numId="26" w16cid:durableId="207758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0D4F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5476"/>
    <w:rsid w:val="000C3A8B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6EAA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7F85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35F"/>
    <w:rsid w:val="00236560"/>
    <w:rsid w:val="0023662E"/>
    <w:rsid w:val="00245D0F"/>
    <w:rsid w:val="002548C3"/>
    <w:rsid w:val="00256528"/>
    <w:rsid w:val="00257ACD"/>
    <w:rsid w:val="00262908"/>
    <w:rsid w:val="002650F4"/>
    <w:rsid w:val="002674F6"/>
    <w:rsid w:val="002715FD"/>
    <w:rsid w:val="002770B1"/>
    <w:rsid w:val="00282766"/>
    <w:rsid w:val="00285B33"/>
    <w:rsid w:val="00287A3C"/>
    <w:rsid w:val="00293530"/>
    <w:rsid w:val="002A2FC6"/>
    <w:rsid w:val="002A6015"/>
    <w:rsid w:val="002B57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75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013"/>
    <w:rsid w:val="00327247"/>
    <w:rsid w:val="00327A9D"/>
    <w:rsid w:val="0033130E"/>
    <w:rsid w:val="0033269C"/>
    <w:rsid w:val="00336BA3"/>
    <w:rsid w:val="00351C79"/>
    <w:rsid w:val="0035516C"/>
    <w:rsid w:val="00355A4C"/>
    <w:rsid w:val="00357D50"/>
    <w:rsid w:val="003604FB"/>
    <w:rsid w:val="00360B73"/>
    <w:rsid w:val="003634C0"/>
    <w:rsid w:val="003720FC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5457C"/>
    <w:rsid w:val="00460089"/>
    <w:rsid w:val="00466398"/>
    <w:rsid w:val="00467A77"/>
    <w:rsid w:val="004712A4"/>
    <w:rsid w:val="0047306D"/>
    <w:rsid w:val="00473791"/>
    <w:rsid w:val="00476E48"/>
    <w:rsid w:val="00481DE9"/>
    <w:rsid w:val="0049128B"/>
    <w:rsid w:val="00491AF0"/>
    <w:rsid w:val="00493B49"/>
    <w:rsid w:val="00495501"/>
    <w:rsid w:val="004A070A"/>
    <w:rsid w:val="004A320E"/>
    <w:rsid w:val="004A4E9C"/>
    <w:rsid w:val="004A6E26"/>
    <w:rsid w:val="004B1A3C"/>
    <w:rsid w:val="004C18B1"/>
    <w:rsid w:val="004C543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0D4C"/>
    <w:rsid w:val="00542935"/>
    <w:rsid w:val="00542D0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74B92"/>
    <w:rsid w:val="00581653"/>
    <w:rsid w:val="005849D6"/>
    <w:rsid w:val="00585367"/>
    <w:rsid w:val="00585DA3"/>
    <w:rsid w:val="005871A1"/>
    <w:rsid w:val="0058737E"/>
    <w:rsid w:val="00592518"/>
    <w:rsid w:val="00592E87"/>
    <w:rsid w:val="0059420B"/>
    <w:rsid w:val="00594C4D"/>
    <w:rsid w:val="005A33B0"/>
    <w:rsid w:val="005A6B43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0F1"/>
    <w:rsid w:val="005F7416"/>
    <w:rsid w:val="00600C11"/>
    <w:rsid w:val="00606B89"/>
    <w:rsid w:val="006111BA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675C7"/>
    <w:rsid w:val="00671EF6"/>
    <w:rsid w:val="0067205B"/>
    <w:rsid w:val="006748F8"/>
    <w:rsid w:val="00680489"/>
    <w:rsid w:val="00681F2B"/>
    <w:rsid w:val="00683C32"/>
    <w:rsid w:val="00685DA0"/>
    <w:rsid w:val="00690BB2"/>
    <w:rsid w:val="00693D09"/>
    <w:rsid w:val="006A17B0"/>
    <w:rsid w:val="006A4E53"/>
    <w:rsid w:val="006A6549"/>
    <w:rsid w:val="006A7710"/>
    <w:rsid w:val="006A7A61"/>
    <w:rsid w:val="006B1E59"/>
    <w:rsid w:val="006B2FFB"/>
    <w:rsid w:val="006C10A2"/>
    <w:rsid w:val="006C1F18"/>
    <w:rsid w:val="006D40D5"/>
    <w:rsid w:val="006E4C4F"/>
    <w:rsid w:val="006F009A"/>
    <w:rsid w:val="006F24AF"/>
    <w:rsid w:val="006F3D93"/>
    <w:rsid w:val="007019B1"/>
    <w:rsid w:val="00721657"/>
    <w:rsid w:val="00725BD2"/>
    <w:rsid w:val="007279A8"/>
    <w:rsid w:val="00727B1A"/>
    <w:rsid w:val="00741337"/>
    <w:rsid w:val="00752258"/>
    <w:rsid w:val="007529E1"/>
    <w:rsid w:val="00753FAA"/>
    <w:rsid w:val="00761AE0"/>
    <w:rsid w:val="00762880"/>
    <w:rsid w:val="00762AD6"/>
    <w:rsid w:val="00762E02"/>
    <w:rsid w:val="007649CD"/>
    <w:rsid w:val="00772290"/>
    <w:rsid w:val="00774148"/>
    <w:rsid w:val="00777265"/>
    <w:rsid w:val="007805E7"/>
    <w:rsid w:val="0078222A"/>
    <w:rsid w:val="00782910"/>
    <w:rsid w:val="00787D48"/>
    <w:rsid w:val="00795294"/>
    <w:rsid w:val="007A33DB"/>
    <w:rsid w:val="007A4E50"/>
    <w:rsid w:val="007B18A7"/>
    <w:rsid w:val="007B250E"/>
    <w:rsid w:val="007B58EE"/>
    <w:rsid w:val="007C27FC"/>
    <w:rsid w:val="007C51FF"/>
    <w:rsid w:val="007D2D75"/>
    <w:rsid w:val="007D50E4"/>
    <w:rsid w:val="007E2D61"/>
    <w:rsid w:val="007E2DC5"/>
    <w:rsid w:val="007F1CC7"/>
    <w:rsid w:val="007F56AD"/>
    <w:rsid w:val="007F6321"/>
    <w:rsid w:val="007F6E79"/>
    <w:rsid w:val="008027AC"/>
    <w:rsid w:val="008028CE"/>
    <w:rsid w:val="0080332E"/>
    <w:rsid w:val="008141E0"/>
    <w:rsid w:val="00816EE1"/>
    <w:rsid w:val="00816F88"/>
    <w:rsid w:val="00821996"/>
    <w:rsid w:val="00822323"/>
    <w:rsid w:val="008265CF"/>
    <w:rsid w:val="00827BC6"/>
    <w:rsid w:val="008300AD"/>
    <w:rsid w:val="00833024"/>
    <w:rsid w:val="00833F25"/>
    <w:rsid w:val="008359FC"/>
    <w:rsid w:val="008419B1"/>
    <w:rsid w:val="00844A56"/>
    <w:rsid w:val="00845B11"/>
    <w:rsid w:val="00852081"/>
    <w:rsid w:val="008623C4"/>
    <w:rsid w:val="0086615A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4AD3"/>
    <w:rsid w:val="008B54CB"/>
    <w:rsid w:val="008B5A3D"/>
    <w:rsid w:val="008C2840"/>
    <w:rsid w:val="008C4010"/>
    <w:rsid w:val="008C442C"/>
    <w:rsid w:val="008C4FDF"/>
    <w:rsid w:val="008C6B1F"/>
    <w:rsid w:val="008D5E4F"/>
    <w:rsid w:val="008D77E5"/>
    <w:rsid w:val="008E34F0"/>
    <w:rsid w:val="008E3FBA"/>
    <w:rsid w:val="008F14F5"/>
    <w:rsid w:val="008F4D35"/>
    <w:rsid w:val="008F71C1"/>
    <w:rsid w:val="00902D41"/>
    <w:rsid w:val="00902F49"/>
    <w:rsid w:val="00904230"/>
    <w:rsid w:val="009134A0"/>
    <w:rsid w:val="00914004"/>
    <w:rsid w:val="00922EC1"/>
    <w:rsid w:val="00923CF1"/>
    <w:rsid w:val="009301F1"/>
    <w:rsid w:val="009307DF"/>
    <w:rsid w:val="00931581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A591D"/>
    <w:rsid w:val="009B050C"/>
    <w:rsid w:val="009B087F"/>
    <w:rsid w:val="009B2AF4"/>
    <w:rsid w:val="009C110B"/>
    <w:rsid w:val="009C5441"/>
    <w:rsid w:val="009C7982"/>
    <w:rsid w:val="009D119F"/>
    <w:rsid w:val="009D49A2"/>
    <w:rsid w:val="009F3940"/>
    <w:rsid w:val="009F3EB2"/>
    <w:rsid w:val="009F558A"/>
    <w:rsid w:val="009F6EB1"/>
    <w:rsid w:val="00A0173D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4E80"/>
    <w:rsid w:val="00A60087"/>
    <w:rsid w:val="00A705E8"/>
    <w:rsid w:val="00A721F4"/>
    <w:rsid w:val="00A9392C"/>
    <w:rsid w:val="00A9462B"/>
    <w:rsid w:val="00A95729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21FC8"/>
    <w:rsid w:val="00B30EE8"/>
    <w:rsid w:val="00B310F9"/>
    <w:rsid w:val="00B323C4"/>
    <w:rsid w:val="00B37866"/>
    <w:rsid w:val="00B412FB"/>
    <w:rsid w:val="00B41E26"/>
    <w:rsid w:val="00B4576B"/>
    <w:rsid w:val="00B457CC"/>
    <w:rsid w:val="00B46350"/>
    <w:rsid w:val="00B46DF3"/>
    <w:rsid w:val="00B476A7"/>
    <w:rsid w:val="00B648C7"/>
    <w:rsid w:val="00B66E8F"/>
    <w:rsid w:val="00B6793B"/>
    <w:rsid w:val="00B80157"/>
    <w:rsid w:val="00B83D5E"/>
    <w:rsid w:val="00B8460A"/>
    <w:rsid w:val="00B8650D"/>
    <w:rsid w:val="00B879B4"/>
    <w:rsid w:val="00B904E0"/>
    <w:rsid w:val="00B90F07"/>
    <w:rsid w:val="00B97BB9"/>
    <w:rsid w:val="00BA0009"/>
    <w:rsid w:val="00BB02B5"/>
    <w:rsid w:val="00BB1863"/>
    <w:rsid w:val="00BB25EE"/>
    <w:rsid w:val="00BB363A"/>
    <w:rsid w:val="00BB7E71"/>
    <w:rsid w:val="00BC10A0"/>
    <w:rsid w:val="00BC7BA2"/>
    <w:rsid w:val="00BD426B"/>
    <w:rsid w:val="00BD79F0"/>
    <w:rsid w:val="00BE2B4D"/>
    <w:rsid w:val="00BF347F"/>
    <w:rsid w:val="00BF5C80"/>
    <w:rsid w:val="00C015F8"/>
    <w:rsid w:val="00C02C2A"/>
    <w:rsid w:val="00C07E26"/>
    <w:rsid w:val="00C1011C"/>
    <w:rsid w:val="00C12F94"/>
    <w:rsid w:val="00C177C5"/>
    <w:rsid w:val="00C34EC3"/>
    <w:rsid w:val="00C3774C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813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84D"/>
    <w:rsid w:val="00CA1F0B"/>
    <w:rsid w:val="00CA5334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32AF"/>
    <w:rsid w:val="00CF72E5"/>
    <w:rsid w:val="00D013EE"/>
    <w:rsid w:val="00D01F54"/>
    <w:rsid w:val="00D040F7"/>
    <w:rsid w:val="00D04A76"/>
    <w:rsid w:val="00D10FC7"/>
    <w:rsid w:val="00D110CB"/>
    <w:rsid w:val="00D1519F"/>
    <w:rsid w:val="00D1703C"/>
    <w:rsid w:val="00D20E99"/>
    <w:rsid w:val="00D21C83"/>
    <w:rsid w:val="00D35BDD"/>
    <w:rsid w:val="00D373E3"/>
    <w:rsid w:val="00D50D27"/>
    <w:rsid w:val="00D63006"/>
    <w:rsid w:val="00D642AF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CC3"/>
    <w:rsid w:val="00DC1BD3"/>
    <w:rsid w:val="00DC2C1A"/>
    <w:rsid w:val="00DC44F9"/>
    <w:rsid w:val="00DC5C30"/>
    <w:rsid w:val="00DD66B4"/>
    <w:rsid w:val="00DE1972"/>
    <w:rsid w:val="00DE27AB"/>
    <w:rsid w:val="00DE33D1"/>
    <w:rsid w:val="00DF2AB3"/>
    <w:rsid w:val="00DF7250"/>
    <w:rsid w:val="00E00CAA"/>
    <w:rsid w:val="00E03EBF"/>
    <w:rsid w:val="00E05209"/>
    <w:rsid w:val="00E05AC1"/>
    <w:rsid w:val="00E11509"/>
    <w:rsid w:val="00E11BCF"/>
    <w:rsid w:val="00E16B83"/>
    <w:rsid w:val="00E2258E"/>
    <w:rsid w:val="00E260C2"/>
    <w:rsid w:val="00E27976"/>
    <w:rsid w:val="00E30E1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391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6765"/>
    <w:rsid w:val="00EA7094"/>
    <w:rsid w:val="00EA7DE7"/>
    <w:rsid w:val="00EB7A8A"/>
    <w:rsid w:val="00EC6FED"/>
    <w:rsid w:val="00EC7F3B"/>
    <w:rsid w:val="00ED5299"/>
    <w:rsid w:val="00ED7AE6"/>
    <w:rsid w:val="00EE3A64"/>
    <w:rsid w:val="00EE50E5"/>
    <w:rsid w:val="00EF01CF"/>
    <w:rsid w:val="00F03590"/>
    <w:rsid w:val="00F03622"/>
    <w:rsid w:val="00F077FD"/>
    <w:rsid w:val="00F204F3"/>
    <w:rsid w:val="00F21179"/>
    <w:rsid w:val="00F218AB"/>
    <w:rsid w:val="00F22C9C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48F9"/>
    <w:rsid w:val="00F736F9"/>
    <w:rsid w:val="00F73833"/>
    <w:rsid w:val="00F9211C"/>
    <w:rsid w:val="00FA095D"/>
    <w:rsid w:val="00FA6C8B"/>
    <w:rsid w:val="00FA6CDA"/>
    <w:rsid w:val="00FA7C89"/>
    <w:rsid w:val="00FB4139"/>
    <w:rsid w:val="00FB4697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12AF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,超?级链?,Style?,S,ECC Hyperlink,超??级链Ú,fL????,fL?级,超??级链,超?级链ïÈ,õ±?级链,õ±链ïÈ1,õ±???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Equipment,Numbered Indented Text,Figure_name,Bullet List,FooterText,List Paragraph1,Colorful List Accent 1,numbered,Paragraphe de liste1,列出段落,列出段落1,Bulletr List Paragraph,List Paragraph2,List Paragraph21,Párrafo de lista1,リスト段落1,Plan,lp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28"/>
    <w:rPr>
      <w:color w:val="605E5C"/>
      <w:shd w:val="clear" w:color="auto" w:fill="E1DFDD"/>
    </w:rPr>
  </w:style>
  <w:style w:type="character" w:customStyle="1" w:styleId="ListParagraphChar">
    <w:name w:val="List Paragraph Char"/>
    <w:aliases w:val="Equipment Char,Numbered Indented Text Char,Figure_name Char,Bullet List Char,FooterText Char,List Paragraph1 Char,Colorful List Accent 1 Char,numbered Char,Paragraphe de liste1 Char,列出段落 Char,列出段落1 Char,Bulletr List Paragraph Char"/>
    <w:link w:val="ListParagraph"/>
    <w:uiPriority w:val="34"/>
    <w:qFormat/>
    <w:locked/>
    <w:rsid w:val="00B904E0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D110C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C44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ui-provider">
    <w:name w:val="ui-provider"/>
    <w:basedOn w:val="DefaultParagraphFont"/>
    <w:rsid w:val="0068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E6489-D338-4522-99CC-2C9B44D1F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3</cp:revision>
  <cp:lastPrinted>2014-11-04T09:22:00Z</cp:lastPrinted>
  <dcterms:created xsi:type="dcterms:W3CDTF">2024-05-08T12:14:00Z</dcterms:created>
  <dcterms:modified xsi:type="dcterms:W3CDTF">2024-05-08T12:15:00Z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