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61B96F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40</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B08B0C0" w:rsidR="00683C32" w:rsidRPr="007F1CC7" w:rsidRDefault="00B476A7" w:rsidP="00B648C7">
            <w:pPr>
              <w:spacing w:before="0"/>
              <w:rPr>
                <w:b/>
                <w:szCs w:val="24"/>
              </w:rPr>
            </w:pPr>
            <w:bookmarkStart w:id="2" w:name="CreationDate"/>
            <w:bookmarkEnd w:id="2"/>
            <w:r>
              <w:rPr>
                <w:b/>
                <w:bCs/>
                <w:szCs w:val="28"/>
              </w:rPr>
              <w:t>7</w:t>
            </w:r>
            <w:r w:rsidR="008623C4">
              <w:rPr>
                <w:b/>
                <w:bCs/>
                <w:szCs w:val="28"/>
              </w:rPr>
              <w:t xml:space="preserve"> </w:t>
            </w:r>
            <w:r>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EBC7E6E" w:rsidR="00514D2F" w:rsidRPr="007F1CC7" w:rsidRDefault="00AD4677" w:rsidP="00282766">
            <w:pPr>
              <w:spacing w:before="0" w:after="240"/>
              <w:rPr>
                <w:szCs w:val="24"/>
              </w:rPr>
            </w:pPr>
            <w:r>
              <w:rPr>
                <w:b/>
              </w:rPr>
              <w:t>English</w:t>
            </w:r>
            <w:r w:rsidR="008623C4">
              <w:rPr>
                <w:b/>
              </w:rPr>
              <w:t xml:space="preserve"> and Russian only</w:t>
            </w:r>
          </w:p>
        </w:tc>
      </w:tr>
      <w:tr w:rsidR="00A13162" w14:paraId="31656E31" w14:textId="77777777" w:rsidTr="00107E85">
        <w:trPr>
          <w:cantSplit/>
          <w:trHeight w:val="852"/>
        </w:trPr>
        <w:tc>
          <w:tcPr>
            <w:tcW w:w="9888" w:type="dxa"/>
            <w:gridSpan w:val="2"/>
          </w:tcPr>
          <w:p w14:paraId="512FCA01" w14:textId="696D7E49" w:rsidR="00A13162" w:rsidRPr="0030353C" w:rsidRDefault="00725BD2" w:rsidP="0030353C">
            <w:pPr>
              <w:pStyle w:val="Source"/>
            </w:pPr>
            <w:bookmarkStart w:id="3" w:name="Source"/>
            <w:bookmarkEnd w:id="3"/>
            <w:r w:rsidRPr="00725BD2">
              <w:t>Russian Federation</w:t>
            </w:r>
          </w:p>
        </w:tc>
      </w:tr>
      <w:tr w:rsidR="00AC6F14" w:rsidRPr="002E6963" w14:paraId="2CBD3A36" w14:textId="77777777" w:rsidTr="00107E85">
        <w:trPr>
          <w:cantSplit/>
        </w:trPr>
        <w:tc>
          <w:tcPr>
            <w:tcW w:w="9888" w:type="dxa"/>
            <w:gridSpan w:val="2"/>
          </w:tcPr>
          <w:p w14:paraId="1B4121DF" w14:textId="3A6BE049" w:rsidR="00AC6F14" w:rsidRPr="00642C3C" w:rsidRDefault="00681F2B" w:rsidP="0030353C">
            <w:pPr>
              <w:pStyle w:val="Title1"/>
              <w:rPr>
                <w:rFonts w:cs="Times New Roman"/>
                <w:bCs/>
              </w:rPr>
            </w:pPr>
            <w:bookmarkStart w:id="4" w:name="Title"/>
            <w:bookmarkEnd w:id="4"/>
            <w:r w:rsidRPr="00681F2B">
              <w:rPr>
                <w:rFonts w:cs="Times New Roman"/>
                <w:bCs/>
              </w:rPr>
              <w:t>Use of all the official languages on an equal footing in ITU-D</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8F4D35"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02AD95F" w14:textId="77777777" w:rsidR="008F4D35" w:rsidRPr="00E16BFE" w:rsidRDefault="008F4D35" w:rsidP="008F4D35">
            <w:pPr>
              <w:spacing w:after="120"/>
              <w:rPr>
                <w:b/>
                <w:bCs/>
                <w:szCs w:val="24"/>
              </w:rPr>
            </w:pPr>
            <w:r w:rsidRPr="00E16BFE">
              <w:rPr>
                <w:b/>
                <w:bCs/>
                <w:szCs w:val="24"/>
              </w:rPr>
              <w:t>Summary:</w:t>
            </w:r>
          </w:p>
          <w:p w14:paraId="46E1DBEA" w14:textId="78B35E51" w:rsidR="008F4D35" w:rsidRPr="00E16BFE" w:rsidRDefault="0045457C" w:rsidP="008F4D35">
            <w:pPr>
              <w:spacing w:after="120"/>
              <w:rPr>
                <w:szCs w:val="24"/>
              </w:rPr>
            </w:pPr>
            <w:r w:rsidRPr="0045457C">
              <w:rPr>
                <w:szCs w:val="24"/>
              </w:rPr>
              <w:t>TDAG's attention was again drawn to the examples of unequal use of all official languages of the Union on ITU-D websites and to the absence of the issue of the use of all official languages of the Union on an equal basis in ITU-D publications and websites in the TDAG agenda despite the decision of Resolution 154 (Rev. Bucharest, 2022) PP-22.</w:t>
            </w:r>
          </w:p>
          <w:p w14:paraId="61BE8802" w14:textId="77777777" w:rsidR="008F4D35" w:rsidRPr="00E16BFE" w:rsidRDefault="008F4D35" w:rsidP="008F4D35">
            <w:pPr>
              <w:tabs>
                <w:tab w:val="clear" w:pos="794"/>
                <w:tab w:val="clear" w:pos="1191"/>
                <w:tab w:val="clear" w:pos="1588"/>
                <w:tab w:val="clear" w:pos="1985"/>
              </w:tabs>
              <w:overflowPunct/>
              <w:autoSpaceDE/>
              <w:autoSpaceDN/>
              <w:adjustRightInd/>
              <w:spacing w:after="120"/>
              <w:textAlignment w:val="auto"/>
              <w:rPr>
                <w:b/>
                <w:bCs/>
                <w:szCs w:val="24"/>
              </w:rPr>
            </w:pPr>
            <w:r w:rsidRPr="00E16BFE">
              <w:rPr>
                <w:b/>
                <w:bCs/>
                <w:szCs w:val="24"/>
              </w:rPr>
              <w:t>Action required:</w:t>
            </w:r>
          </w:p>
          <w:p w14:paraId="6574930F" w14:textId="5F20D794" w:rsidR="008F4D35" w:rsidRPr="00E16BFE" w:rsidRDefault="006A17B0" w:rsidP="008F4D35">
            <w:pPr>
              <w:spacing w:after="120"/>
              <w:rPr>
                <w:szCs w:val="24"/>
              </w:rPr>
            </w:pPr>
            <w:r w:rsidRPr="006A17B0">
              <w:rPr>
                <w:color w:val="000000"/>
                <w:szCs w:val="24"/>
              </w:rPr>
              <w:t>TDAG is invited to consider the document and take appropriate action.</w:t>
            </w:r>
          </w:p>
          <w:p w14:paraId="443A9A97" w14:textId="77777777" w:rsidR="008F4D35" w:rsidRPr="00E16BFE" w:rsidRDefault="008F4D35" w:rsidP="008F4D35">
            <w:pPr>
              <w:spacing w:after="120"/>
              <w:rPr>
                <w:b/>
                <w:bCs/>
                <w:szCs w:val="24"/>
              </w:rPr>
            </w:pPr>
            <w:r w:rsidRPr="00E16BFE">
              <w:rPr>
                <w:b/>
                <w:bCs/>
                <w:szCs w:val="24"/>
              </w:rPr>
              <w:t>References:</w:t>
            </w:r>
          </w:p>
          <w:p w14:paraId="0EC6F6A5" w14:textId="77777777" w:rsidR="007F6321" w:rsidRPr="007F6321" w:rsidRDefault="007F6321" w:rsidP="007F6321">
            <w:pPr>
              <w:spacing w:after="120"/>
              <w:rPr>
                <w:szCs w:val="24"/>
                <w:lang w:val="en-US"/>
              </w:rPr>
            </w:pPr>
            <w:r w:rsidRPr="007F6321">
              <w:rPr>
                <w:szCs w:val="24"/>
                <w:lang w:val="en-US"/>
              </w:rPr>
              <w:t>Resolution 154 (Rev. Bucharest, 2022) of the Plenipotentiary conference</w:t>
            </w:r>
          </w:p>
          <w:p w14:paraId="1ECDD20E" w14:textId="01F0D8E9" w:rsidR="008F4D35" w:rsidRPr="00C3774C" w:rsidRDefault="007F6321" w:rsidP="007F6321">
            <w:pPr>
              <w:spacing w:after="120"/>
            </w:pPr>
            <w:r w:rsidRPr="007F6321">
              <w:rPr>
                <w:szCs w:val="24"/>
                <w:lang w:val="en-US"/>
              </w:rPr>
              <w:t>Documents TDAG-23/32 and TDAG-23/48 (Rev.2)</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2E6089E" w14:textId="18F34C4C" w:rsidR="00DC44F9" w:rsidRPr="00DC44F9" w:rsidRDefault="00DC44F9" w:rsidP="00DC44F9">
      <w:pPr>
        <w:pStyle w:val="ListParagraph"/>
        <w:numPr>
          <w:ilvl w:val="0"/>
          <w:numId w:val="13"/>
        </w:numPr>
        <w:spacing w:after="120"/>
        <w:rPr>
          <w:b/>
          <w:bCs/>
        </w:rPr>
      </w:pPr>
      <w:bookmarkStart w:id="5" w:name="Proposal"/>
      <w:bookmarkEnd w:id="5"/>
      <w:r w:rsidRPr="00DC44F9">
        <w:rPr>
          <w:b/>
          <w:bCs/>
        </w:rPr>
        <w:lastRenderedPageBreak/>
        <w:t>Introduction</w:t>
      </w:r>
    </w:p>
    <w:p w14:paraId="4DE55709"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The Plenipotentiary Conference in its Resolution 154 (Rev. Bucharest 2022) </w:t>
      </w:r>
      <w:r>
        <w:rPr>
          <w:rFonts w:asciiTheme="minorHAnsi" w:hAnsiTheme="minorHAnsi" w:cstheme="minorHAnsi"/>
          <w:color w:val="000000"/>
          <w:lang w:val="en-US"/>
        </w:rPr>
        <w:t>“</w:t>
      </w:r>
      <w:r w:rsidRPr="00801DD2">
        <w:rPr>
          <w:rFonts w:asciiTheme="minorHAnsi" w:hAnsiTheme="minorHAnsi" w:cstheme="minorHAnsi"/>
          <w:color w:val="000000"/>
          <w:lang w:val="en-US"/>
        </w:rPr>
        <w:t>Use of the six official languages of the Union on an equal footing</w:t>
      </w:r>
      <w:r>
        <w:rPr>
          <w:rFonts w:asciiTheme="minorHAnsi" w:hAnsiTheme="minorHAnsi" w:cstheme="minorHAnsi"/>
          <w:color w:val="000000"/>
          <w:lang w:val="en-US"/>
        </w:rPr>
        <w:t>”</w:t>
      </w:r>
      <w:r w:rsidRPr="00801DD2">
        <w:rPr>
          <w:rFonts w:asciiTheme="minorHAnsi" w:hAnsiTheme="minorHAnsi" w:cstheme="minorHAnsi"/>
          <w:color w:val="000000"/>
          <w:lang w:val="en-US"/>
        </w:rPr>
        <w:t>, instructs the Sector Advisory Groups to review annually the use of all official languages of the Union on an equal footing in ITU publications and on ITU websites</w:t>
      </w:r>
      <w:r>
        <w:rPr>
          <w:rFonts w:asciiTheme="minorHAnsi" w:hAnsiTheme="minorHAnsi" w:cstheme="minorHAnsi"/>
          <w:color w:val="000000"/>
          <w:lang w:val="en-US"/>
        </w:rPr>
        <w:t>.</w:t>
      </w:r>
    </w:p>
    <w:p w14:paraId="7248D29B"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Russia submitted the contribution (document TDAG-23/32) to the TDAG 2023 meeting, where it was proposed to include on the TDAG agenda the issue of using all official languages of the Union on an equal basis in ITU-D publications and websites and to recommend to the BDT Director to eliminate the inequitable use of languages on ITU-D sites.</w:t>
      </w:r>
    </w:p>
    <w:p w14:paraId="6EC46916"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TDAG-23 included the issue of the use of all languages on an equal basis on the agenda and, noting the efforts made by BDT to increase the use of automatic translation, noted the need to implement Resolution 154 on the use of all languages on an equal basis.</w:t>
      </w:r>
      <w:r w:rsidRPr="00801DD2">
        <w:rPr>
          <w:rFonts w:asciiTheme="minorHAnsi" w:hAnsiTheme="minorHAnsi" w:cstheme="minorHAnsi"/>
          <w:lang w:val="en-US"/>
        </w:rPr>
        <w:t xml:space="preserve"> </w:t>
      </w:r>
    </w:p>
    <w:p w14:paraId="000056AD"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Unfortunately, the draft agenda for the TDAG 2024 meeting once again does not include the issue of languages. At the same time, concerns related to the equal use of all official languages of the Union on the ITU-D websites </w:t>
      </w:r>
      <w:proofErr w:type="gramStart"/>
      <w:r w:rsidRPr="00801DD2">
        <w:rPr>
          <w:rFonts w:asciiTheme="minorHAnsi" w:hAnsiTheme="minorHAnsi" w:cstheme="minorHAnsi"/>
          <w:color w:val="000000"/>
          <w:lang w:val="en-US"/>
        </w:rPr>
        <w:t>still remain</w:t>
      </w:r>
      <w:proofErr w:type="gramEnd"/>
      <w:r w:rsidRPr="00801DD2">
        <w:rPr>
          <w:rFonts w:asciiTheme="minorHAnsi" w:hAnsiTheme="minorHAnsi" w:cstheme="minorHAnsi"/>
          <w:color w:val="000000"/>
          <w:lang w:val="en-US"/>
        </w:rPr>
        <w:t>. Thus, the navigation to the “Impacting People's live” web page mentioned in the contribution TDAG-23/32 is still only possible from the English version of the “Joint ITU-D” website.</w:t>
      </w:r>
    </w:p>
    <w:p w14:paraId="2809CAB2" w14:textId="77777777" w:rsidR="00DC44F9" w:rsidRPr="002C00DE" w:rsidRDefault="00DC44F9" w:rsidP="00DC44F9">
      <w:pPr>
        <w:pStyle w:val="NormalWeb"/>
        <w:spacing w:before="120" w:beforeAutospacing="0" w:after="120" w:afterAutospacing="0"/>
        <w:rPr>
          <w:rFonts w:cstheme="minorHAnsi"/>
          <w:b/>
          <w:bCs/>
          <w:lang w:val="en-US"/>
        </w:rPr>
      </w:pPr>
      <w:r w:rsidRPr="00801DD2">
        <w:rPr>
          <w:rFonts w:asciiTheme="minorHAnsi" w:hAnsiTheme="minorHAnsi" w:cstheme="minorHAnsi"/>
          <w:color w:val="000000"/>
          <w:lang w:val="en-US"/>
        </w:rPr>
        <w:t xml:space="preserve">There is also no harmonization of websites between ITU Sectors, </w:t>
      </w:r>
      <w:proofErr w:type="gramStart"/>
      <w:r w:rsidRPr="00801DD2">
        <w:rPr>
          <w:rFonts w:asciiTheme="minorHAnsi" w:hAnsiTheme="minorHAnsi" w:cstheme="minorHAnsi"/>
          <w:color w:val="000000"/>
          <w:lang w:val="en-US"/>
        </w:rPr>
        <w:t>in spite of</w:t>
      </w:r>
      <w:proofErr w:type="gramEnd"/>
      <w:r w:rsidRPr="00801DD2">
        <w:rPr>
          <w:rFonts w:asciiTheme="minorHAnsi" w:hAnsiTheme="minorHAnsi" w:cstheme="minorHAnsi"/>
          <w:color w:val="000000"/>
          <w:lang w:val="en-US"/>
        </w:rPr>
        <w:t xml:space="preserve"> the requirements of the Resolution 154.</w:t>
      </w:r>
    </w:p>
    <w:p w14:paraId="1AB1C9B6" w14:textId="300DE7E9" w:rsidR="00DC44F9" w:rsidRPr="00DC44F9" w:rsidRDefault="00DC44F9" w:rsidP="00DC44F9">
      <w:pPr>
        <w:pStyle w:val="ListParagraph"/>
        <w:numPr>
          <w:ilvl w:val="0"/>
          <w:numId w:val="13"/>
        </w:numPr>
        <w:spacing w:after="120"/>
        <w:rPr>
          <w:b/>
          <w:bCs/>
        </w:rPr>
      </w:pPr>
      <w:r w:rsidRPr="00DC44F9">
        <w:rPr>
          <w:b/>
          <w:bCs/>
        </w:rPr>
        <w:t>Proposals</w:t>
      </w:r>
    </w:p>
    <w:p w14:paraId="3194117A" w14:textId="77777777" w:rsidR="00DC44F9" w:rsidRPr="00296681"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2.1 Keep the item “the use of all official languages of the Union on an equal basis in ITU-D publications and websites” on the agenda of TDAG</w:t>
      </w:r>
      <w:r w:rsidRPr="00296681">
        <w:rPr>
          <w:rFonts w:asciiTheme="minorHAnsi" w:hAnsiTheme="minorHAnsi" w:cstheme="minorHAnsi"/>
          <w:color w:val="000000"/>
          <w:lang w:val="en-US"/>
        </w:rPr>
        <w:t>.</w:t>
      </w:r>
    </w:p>
    <w:p w14:paraId="186F3E4E" w14:textId="77777777" w:rsidR="00DC44F9" w:rsidRPr="00801DD2" w:rsidRDefault="00DC44F9" w:rsidP="00DC44F9">
      <w:pPr>
        <w:pStyle w:val="NormalWeb"/>
        <w:spacing w:before="120" w:beforeAutospacing="0" w:after="120" w:afterAutospacing="0"/>
        <w:rPr>
          <w:rFonts w:asciiTheme="minorHAnsi" w:hAnsiTheme="minorHAnsi" w:cstheme="minorHAnsi"/>
          <w:color w:val="000000"/>
          <w:lang w:val="en-US"/>
        </w:rPr>
      </w:pPr>
      <w:r w:rsidRPr="00801DD2">
        <w:rPr>
          <w:rFonts w:asciiTheme="minorHAnsi" w:hAnsiTheme="minorHAnsi" w:cstheme="minorHAnsi"/>
          <w:color w:val="000000"/>
          <w:lang w:val="en-US"/>
        </w:rPr>
        <w:t xml:space="preserve">2.2 Recommend to the </w:t>
      </w:r>
      <w:r>
        <w:rPr>
          <w:rFonts w:asciiTheme="minorHAnsi" w:hAnsiTheme="minorHAnsi" w:cstheme="minorHAnsi"/>
          <w:color w:val="000000"/>
          <w:lang w:val="en-US"/>
        </w:rPr>
        <w:t xml:space="preserve">BDT </w:t>
      </w:r>
      <w:r w:rsidRPr="00801DD2">
        <w:rPr>
          <w:rFonts w:asciiTheme="minorHAnsi" w:hAnsiTheme="minorHAnsi" w:cstheme="minorHAnsi"/>
          <w:color w:val="000000"/>
          <w:lang w:val="en-US"/>
        </w:rPr>
        <w:t>Director:</w:t>
      </w:r>
    </w:p>
    <w:p w14:paraId="7EB5E6A9" w14:textId="7CDABFC0" w:rsidR="00DC44F9" w:rsidRPr="00801DD2" w:rsidRDefault="00DC44F9" w:rsidP="00DC44F9">
      <w:pPr>
        <w:pStyle w:val="NormalWeb"/>
        <w:numPr>
          <w:ilvl w:val="0"/>
          <w:numId w:val="14"/>
        </w:numPr>
        <w:spacing w:before="60" w:beforeAutospacing="0" w:after="60" w:afterAutospacing="0"/>
        <w:ind w:left="357" w:hanging="357"/>
        <w:rPr>
          <w:rFonts w:asciiTheme="minorHAnsi" w:hAnsiTheme="minorHAnsi" w:cstheme="minorHAnsi"/>
          <w:color w:val="000000"/>
          <w:lang w:val="en-US"/>
        </w:rPr>
      </w:pPr>
      <w:r w:rsidRPr="00801DD2">
        <w:rPr>
          <w:rFonts w:asciiTheme="minorHAnsi" w:hAnsiTheme="minorHAnsi" w:cstheme="minorHAnsi"/>
          <w:color w:val="000000"/>
          <w:lang w:val="en-US"/>
        </w:rPr>
        <w:t xml:space="preserve">to eliminate inequitable use of the languages on ITU-D </w:t>
      </w:r>
      <w:proofErr w:type="gramStart"/>
      <w:r w:rsidRPr="00801DD2">
        <w:rPr>
          <w:rFonts w:asciiTheme="minorHAnsi" w:hAnsiTheme="minorHAnsi" w:cstheme="minorHAnsi"/>
          <w:color w:val="000000"/>
          <w:lang w:val="en-US"/>
        </w:rPr>
        <w:t>websites;</w:t>
      </w:r>
      <w:proofErr w:type="gramEnd"/>
    </w:p>
    <w:p w14:paraId="235EE7AB" w14:textId="3CC39375" w:rsidR="00DC44F9" w:rsidRPr="00801DD2" w:rsidRDefault="00DC44F9" w:rsidP="00DC44F9">
      <w:pPr>
        <w:pStyle w:val="NormalWeb"/>
        <w:numPr>
          <w:ilvl w:val="0"/>
          <w:numId w:val="14"/>
        </w:numPr>
        <w:spacing w:before="60" w:beforeAutospacing="0" w:after="60" w:afterAutospacing="0"/>
        <w:ind w:left="357" w:hanging="357"/>
        <w:rPr>
          <w:rFonts w:asciiTheme="minorHAnsi" w:hAnsiTheme="minorHAnsi" w:cstheme="minorHAnsi"/>
          <w:color w:val="000000"/>
          <w:lang w:val="en-US"/>
        </w:rPr>
      </w:pPr>
      <w:r w:rsidRPr="00801DD2">
        <w:rPr>
          <w:rFonts w:asciiTheme="minorHAnsi" w:hAnsiTheme="minorHAnsi" w:cstheme="minorHAnsi"/>
          <w:color w:val="000000"/>
          <w:lang w:val="en-US"/>
        </w:rPr>
        <w:t>intensify efforts to harmonize ITU-D websites with other Sectors and the General Secretariat in all official languages of the Union to ensure visibility, ease of navigation and the implementation of the image of “One ITU</w:t>
      </w:r>
      <w:proofErr w:type="gramStart"/>
      <w:r w:rsidRPr="00801DD2">
        <w:rPr>
          <w:rFonts w:asciiTheme="minorHAnsi" w:hAnsiTheme="minorHAnsi" w:cstheme="minorHAnsi"/>
          <w:color w:val="000000"/>
          <w:lang w:val="en-US"/>
        </w:rPr>
        <w:t>”;</w:t>
      </w:r>
      <w:proofErr w:type="gramEnd"/>
    </w:p>
    <w:p w14:paraId="0AEA51C8" w14:textId="35FCC034" w:rsidR="00DC44F9" w:rsidRPr="00DC44F9" w:rsidRDefault="00DC44F9" w:rsidP="00DC44F9">
      <w:pPr>
        <w:pStyle w:val="ListParagraph"/>
        <w:numPr>
          <w:ilvl w:val="0"/>
          <w:numId w:val="14"/>
        </w:numPr>
        <w:overflowPunct/>
        <w:autoSpaceDE/>
        <w:autoSpaceDN/>
        <w:adjustRightInd/>
        <w:spacing w:before="60" w:after="60"/>
        <w:ind w:left="357" w:hanging="357"/>
        <w:contextualSpacing w:val="0"/>
        <w:textAlignment w:val="auto"/>
        <w:rPr>
          <w:lang w:val="en-US"/>
        </w:rPr>
      </w:pPr>
      <w:r w:rsidRPr="00DC44F9">
        <w:rPr>
          <w:rFonts w:cstheme="minorHAnsi"/>
          <w:color w:val="000000"/>
          <w:szCs w:val="24"/>
          <w:lang w:val="en-US" w:eastAsia="ru-RU"/>
        </w:rPr>
        <w:t>regularly provide TDAG with information on the status of translation and interpretations and harmonization of ITU websites.</w:t>
      </w:r>
      <w:r w:rsidRPr="006D4EA0">
        <w:t xml:space="preserve"> </w:t>
      </w:r>
    </w:p>
    <w:p w14:paraId="7759C759" w14:textId="059D0877"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FF12AF">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9806" w14:textId="77777777" w:rsidR="00FF12AF" w:rsidRDefault="00FF12AF">
      <w:r>
        <w:separator/>
      </w:r>
    </w:p>
  </w:endnote>
  <w:endnote w:type="continuationSeparator" w:id="0">
    <w:p w14:paraId="5A82A127" w14:textId="77777777" w:rsidR="00FF12AF" w:rsidRDefault="00FF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1509" w:rsidRPr="008265CF" w14:paraId="695D1810" w14:textId="77777777" w:rsidTr="00E11509">
      <w:tc>
        <w:tcPr>
          <w:tcW w:w="1526" w:type="dxa"/>
          <w:tcBorders>
            <w:top w:val="single" w:sz="4" w:space="0" w:color="000000"/>
          </w:tcBorders>
          <w:shd w:val="clear" w:color="auto" w:fill="auto"/>
        </w:tcPr>
        <w:p w14:paraId="746E5A61" w14:textId="77777777" w:rsidR="00E11509" w:rsidRPr="008265CF" w:rsidRDefault="00E11509" w:rsidP="00E11509">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E11509" w:rsidRPr="008265CF" w:rsidRDefault="00E11509" w:rsidP="00E11509">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0AE386A" w14:textId="37CDA38B" w:rsidR="00E11509" w:rsidRPr="008265CF" w:rsidRDefault="00E11509" w:rsidP="00E11509">
          <w:pPr>
            <w:pStyle w:val="FirstFooter"/>
            <w:tabs>
              <w:tab w:val="left" w:pos="2302"/>
            </w:tabs>
            <w:rPr>
              <w:sz w:val="18"/>
              <w:szCs w:val="18"/>
              <w:lang w:val="en-US"/>
            </w:rPr>
          </w:pPr>
          <w:r>
            <w:rPr>
              <w:sz w:val="18"/>
              <w:szCs w:val="18"/>
              <w:lang w:val="en-US"/>
            </w:rPr>
            <w:t>Prof. Dr Vladimir Minkin, FSBE NIIR, Russian Federation</w:t>
          </w:r>
        </w:p>
      </w:tc>
      <w:bookmarkStart w:id="6" w:name="OrgName"/>
      <w:bookmarkEnd w:id="6"/>
    </w:tr>
    <w:tr w:rsidR="00E11509" w:rsidRPr="008265CF" w14:paraId="61167678" w14:textId="77777777" w:rsidTr="00E11509">
      <w:tc>
        <w:tcPr>
          <w:tcW w:w="1526" w:type="dxa"/>
          <w:shd w:val="clear" w:color="auto" w:fill="auto"/>
        </w:tcPr>
        <w:p w14:paraId="33710823"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1251F6E4" w14:textId="77777777" w:rsidR="00E11509" w:rsidRPr="008265CF" w:rsidRDefault="00E11509" w:rsidP="00E11509">
          <w:pPr>
            <w:pStyle w:val="FirstFooter"/>
            <w:tabs>
              <w:tab w:val="left" w:pos="2302"/>
            </w:tabs>
            <w:rPr>
              <w:sz w:val="18"/>
              <w:szCs w:val="18"/>
              <w:lang w:val="en-US"/>
            </w:rPr>
          </w:pPr>
          <w:r w:rsidRPr="008265CF">
            <w:rPr>
              <w:sz w:val="18"/>
              <w:szCs w:val="18"/>
              <w:lang w:val="en-US"/>
            </w:rPr>
            <w:t>Phone number:</w:t>
          </w:r>
        </w:p>
      </w:tc>
      <w:tc>
        <w:tcPr>
          <w:tcW w:w="5987" w:type="dxa"/>
        </w:tcPr>
        <w:p w14:paraId="584CCBF4" w14:textId="7390F583" w:rsidR="00E11509" w:rsidRPr="008265CF" w:rsidRDefault="00000000" w:rsidP="00E11509">
          <w:pPr>
            <w:pStyle w:val="FirstFooter"/>
            <w:tabs>
              <w:tab w:val="left" w:pos="2302"/>
            </w:tabs>
            <w:rPr>
              <w:sz w:val="18"/>
              <w:szCs w:val="18"/>
            </w:rPr>
          </w:pPr>
          <w:hyperlink r:id="rId1" w:history="1">
            <w:r w:rsidR="00E11509" w:rsidRPr="00916C28">
              <w:rPr>
                <w:sz w:val="18"/>
                <w:szCs w:val="18"/>
                <w:lang w:val="en-US"/>
              </w:rPr>
              <w:t>+7 495 647</w:t>
            </w:r>
            <w:r w:rsidR="003634C0">
              <w:rPr>
                <w:sz w:val="18"/>
                <w:szCs w:val="18"/>
                <w:lang w:val="en-US"/>
              </w:rPr>
              <w:t xml:space="preserve"> </w:t>
            </w:r>
            <w:r w:rsidR="00E11509" w:rsidRPr="00916C28">
              <w:rPr>
                <w:sz w:val="18"/>
                <w:szCs w:val="18"/>
                <w:lang w:val="en-US"/>
              </w:rPr>
              <w:t>17</w:t>
            </w:r>
            <w:r w:rsidR="003634C0">
              <w:rPr>
                <w:sz w:val="18"/>
                <w:szCs w:val="18"/>
                <w:lang w:val="en-US"/>
              </w:rPr>
              <w:t xml:space="preserve"> </w:t>
            </w:r>
            <w:r w:rsidR="00E11509" w:rsidRPr="00916C28">
              <w:rPr>
                <w:sz w:val="18"/>
                <w:szCs w:val="18"/>
                <w:lang w:val="en-US"/>
              </w:rPr>
              <w:t>77</w:t>
            </w:r>
          </w:hyperlink>
        </w:p>
      </w:tc>
      <w:bookmarkStart w:id="7" w:name="PhoneNo"/>
      <w:bookmarkEnd w:id="7"/>
    </w:tr>
    <w:tr w:rsidR="00E11509" w:rsidRPr="008265CF" w14:paraId="0299A231" w14:textId="77777777" w:rsidTr="00E11509">
      <w:tc>
        <w:tcPr>
          <w:tcW w:w="1526" w:type="dxa"/>
          <w:shd w:val="clear" w:color="auto" w:fill="auto"/>
        </w:tcPr>
        <w:p w14:paraId="35CBC438"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65335E06" w14:textId="77777777" w:rsidR="00E11509" w:rsidRPr="008265CF" w:rsidRDefault="00E11509" w:rsidP="00E11509">
          <w:pPr>
            <w:pStyle w:val="FirstFooter"/>
            <w:tabs>
              <w:tab w:val="left" w:pos="2302"/>
            </w:tabs>
            <w:rPr>
              <w:sz w:val="18"/>
              <w:szCs w:val="18"/>
              <w:lang w:val="en-US"/>
            </w:rPr>
          </w:pPr>
          <w:r w:rsidRPr="008265CF">
            <w:rPr>
              <w:sz w:val="18"/>
              <w:szCs w:val="18"/>
              <w:lang w:val="en-US"/>
            </w:rPr>
            <w:t>E-mail:</w:t>
          </w:r>
        </w:p>
      </w:tc>
      <w:tc>
        <w:tcPr>
          <w:tcW w:w="5987" w:type="dxa"/>
        </w:tcPr>
        <w:p w14:paraId="0311044C" w14:textId="00658830" w:rsidR="00E11509" w:rsidRDefault="00000000" w:rsidP="00E11509">
          <w:pPr>
            <w:pStyle w:val="FirstFooter"/>
            <w:tabs>
              <w:tab w:val="left" w:pos="2302"/>
            </w:tabs>
          </w:pPr>
          <w:hyperlink r:id="rId2" w:history="1">
            <w:r w:rsidR="00E11509" w:rsidRPr="009676DB">
              <w:rPr>
                <w:rStyle w:val="Hyperlink"/>
                <w:sz w:val="18"/>
                <w:szCs w:val="18"/>
                <w:lang w:val="en-US"/>
              </w:rPr>
              <w:t>minkin-itu@mail.ru</w:t>
            </w:r>
          </w:hyperlink>
          <w:r w:rsidR="00E11509">
            <w:rPr>
              <w:b/>
              <w:bCs/>
              <w:sz w:val="18"/>
              <w:szCs w:val="18"/>
              <w:lang w:val="en-US"/>
            </w:rPr>
            <w:t xml:space="preserve"> </w:t>
          </w:r>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4F33" w14:textId="77777777" w:rsidR="00FF12AF" w:rsidRDefault="00FF12AF">
      <w:r>
        <w:t>____________________</w:t>
      </w:r>
    </w:p>
  </w:footnote>
  <w:footnote w:type="continuationSeparator" w:id="0">
    <w:p w14:paraId="6955D407" w14:textId="77777777" w:rsidR="00FF12AF" w:rsidRDefault="00FF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20A3A4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9"/>
  </w:num>
  <w:num w:numId="2" w16cid:durableId="1668902854">
    <w:abstractNumId w:val="3"/>
  </w:num>
  <w:num w:numId="3" w16cid:durableId="1054890593">
    <w:abstractNumId w:val="13"/>
  </w:num>
  <w:num w:numId="4" w16cid:durableId="1325626162">
    <w:abstractNumId w:val="6"/>
  </w:num>
  <w:num w:numId="5" w16cid:durableId="427114863">
    <w:abstractNumId w:val="14"/>
  </w:num>
  <w:num w:numId="6" w16cid:durableId="1820540741">
    <w:abstractNumId w:val="12"/>
  </w:num>
  <w:num w:numId="7" w16cid:durableId="608010236">
    <w:abstractNumId w:val="2"/>
  </w:num>
  <w:num w:numId="8" w16cid:durableId="1795101828">
    <w:abstractNumId w:val="5"/>
  </w:num>
  <w:num w:numId="9" w16cid:durableId="273825148">
    <w:abstractNumId w:val="7"/>
  </w:num>
  <w:num w:numId="10" w16cid:durableId="215699537">
    <w:abstractNumId w:val="11"/>
  </w:num>
  <w:num w:numId="11" w16cid:durableId="800226017">
    <w:abstractNumId w:val="1"/>
  </w:num>
  <w:num w:numId="12" w16cid:durableId="1104767053">
    <w:abstractNumId w:val="0"/>
  </w:num>
  <w:num w:numId="13" w16cid:durableId="1486555038">
    <w:abstractNumId w:val="10"/>
  </w:num>
  <w:num w:numId="14" w16cid:durableId="1838224483">
    <w:abstractNumId w:val="4"/>
  </w:num>
  <w:num w:numId="15" w16cid:durableId="43722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1F2B"/>
    <w:rsid w:val="00683C32"/>
    <w:rsid w:val="00690BB2"/>
    <w:rsid w:val="00693D09"/>
    <w:rsid w:val="006A17B0"/>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2880"/>
    <w:rsid w:val="00762AD6"/>
    <w:rsid w:val="00762E02"/>
    <w:rsid w:val="007649CD"/>
    <w:rsid w:val="00772290"/>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50E4"/>
    <w:rsid w:val="007E2DC5"/>
    <w:rsid w:val="007F1CC7"/>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840"/>
    <w:rsid w:val="008C4010"/>
    <w:rsid w:val="008C442C"/>
    <w:rsid w:val="008C4FDF"/>
    <w:rsid w:val="008C6B1F"/>
    <w:rsid w:val="008D5E4F"/>
    <w:rsid w:val="008D77E5"/>
    <w:rsid w:val="008E34F0"/>
    <w:rsid w:val="008F14F5"/>
    <w:rsid w:val="008F4D3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inkin-itu@mail.ru" TargetMode="External"/><Relationship Id="rId1" Type="http://schemas.openxmlformats.org/officeDocument/2006/relationships/hyperlink" Target="tel:+7495647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13</cp:revision>
  <cp:lastPrinted>2014-11-04T09:22:00Z</cp:lastPrinted>
  <dcterms:created xsi:type="dcterms:W3CDTF">2024-05-07T09:02:00Z</dcterms:created>
  <dcterms:modified xsi:type="dcterms:W3CDTF">2024-05-08T06:03:00Z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