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6379"/>
        <w:gridCol w:w="3509"/>
      </w:tblGrid>
      <w:tr w:rsidR="00307769" w14:paraId="3F0E9EC4" w14:textId="77777777" w:rsidTr="00952667">
        <w:trPr>
          <w:cantSplit/>
          <w:trHeight w:val="1134"/>
        </w:trPr>
        <w:tc>
          <w:tcPr>
            <w:tcW w:w="6379" w:type="dxa"/>
          </w:tcPr>
          <w:p w14:paraId="68FE8375" w14:textId="77777777" w:rsidR="00307769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15CABC63" w:rsidR="00307769" w:rsidRPr="00844A56" w:rsidRDefault="00307769" w:rsidP="00307769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6F24AF">
              <w:rPr>
                <w:b/>
                <w:bCs/>
                <w:sz w:val="26"/>
                <w:szCs w:val="26"/>
              </w:rPr>
              <w:t>1st</w:t>
            </w:r>
            <w:r>
              <w:rPr>
                <w:b/>
                <w:bCs/>
                <w:sz w:val="26"/>
                <w:szCs w:val="26"/>
              </w:rPr>
              <w:t xml:space="preserve"> Meeting, Geneva, Switzerland, </w:t>
            </w:r>
            <w:r w:rsidR="006F24AF" w:rsidRPr="006F24AF">
              <w:rPr>
                <w:b/>
                <w:bCs/>
                <w:sz w:val="26"/>
                <w:szCs w:val="26"/>
              </w:rPr>
              <w:t>20</w:t>
            </w:r>
            <w:r w:rsidR="006F24AF">
              <w:rPr>
                <w:b/>
                <w:bCs/>
                <w:sz w:val="26"/>
                <w:szCs w:val="26"/>
              </w:rPr>
              <w:t>-</w:t>
            </w:r>
            <w:r w:rsidR="006F24AF" w:rsidRPr="006F24AF">
              <w:rPr>
                <w:b/>
                <w:bCs/>
                <w:sz w:val="26"/>
                <w:szCs w:val="26"/>
              </w:rPr>
              <w:t>2</w:t>
            </w:r>
            <w:r w:rsidR="004A6E26">
              <w:rPr>
                <w:b/>
                <w:bCs/>
                <w:sz w:val="26"/>
                <w:szCs w:val="26"/>
              </w:rPr>
              <w:t>3</w:t>
            </w:r>
            <w:r w:rsidR="006F24AF" w:rsidRPr="006F24AF">
              <w:rPr>
                <w:b/>
                <w:bCs/>
                <w:sz w:val="26"/>
                <w:szCs w:val="26"/>
              </w:rPr>
              <w:t xml:space="preserve"> May 2024</w:t>
            </w:r>
          </w:p>
        </w:tc>
        <w:tc>
          <w:tcPr>
            <w:tcW w:w="3509" w:type="dxa"/>
          </w:tcPr>
          <w:p w14:paraId="67E7B4C4" w14:textId="0F52E4CC" w:rsidR="00307769" w:rsidRPr="00683C32" w:rsidRDefault="00307769" w:rsidP="00952667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tcBorders>
              <w:top w:val="single" w:sz="12" w:space="0" w:color="auto"/>
            </w:tcBorders>
          </w:tcPr>
          <w:p w14:paraId="6CC77CFE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</w:tcPr>
          <w:p w14:paraId="02E44EE9" w14:textId="550B5C30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6F24AF">
              <w:rPr>
                <w:b/>
                <w:bCs/>
                <w:lang w:val="en-US"/>
              </w:rPr>
              <w:t>4</w:t>
            </w:r>
            <w:r w:rsidR="0009076F">
              <w:rPr>
                <w:b/>
                <w:bCs/>
                <w:lang w:val="en-US"/>
              </w:rPr>
              <w:t>/</w:t>
            </w:r>
            <w:r w:rsidR="008623C4">
              <w:rPr>
                <w:b/>
                <w:bCs/>
                <w:lang w:val="en-US"/>
              </w:rPr>
              <w:t>3</w:t>
            </w:r>
            <w:r w:rsidR="00540D4C">
              <w:rPr>
                <w:b/>
                <w:bCs/>
                <w:lang w:val="en-US"/>
              </w:rPr>
              <w:t>4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</w:tcPr>
          <w:p w14:paraId="0F89640F" w14:textId="206FEAB1" w:rsidR="00683C32" w:rsidRPr="007F1CC7" w:rsidRDefault="008623C4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27 April 2024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</w:tcPr>
          <w:p w14:paraId="30EFD39F" w14:textId="2EBC7E6E" w:rsidR="00514D2F" w:rsidRPr="007F1CC7" w:rsidRDefault="00AD4677" w:rsidP="00282766">
            <w:pPr>
              <w:spacing w:before="0" w:after="240"/>
              <w:rPr>
                <w:szCs w:val="24"/>
              </w:rPr>
            </w:pPr>
            <w:r>
              <w:rPr>
                <w:b/>
              </w:rPr>
              <w:t>English</w:t>
            </w:r>
            <w:r w:rsidR="008623C4">
              <w:rPr>
                <w:b/>
              </w:rPr>
              <w:t xml:space="preserve"> and Russian only</w:t>
            </w:r>
          </w:p>
        </w:tc>
      </w:tr>
      <w:tr w:rsidR="00A13162" w14:paraId="31656E31" w14:textId="77777777" w:rsidTr="00107E85">
        <w:trPr>
          <w:cantSplit/>
          <w:trHeight w:val="852"/>
        </w:trPr>
        <w:tc>
          <w:tcPr>
            <w:tcW w:w="9888" w:type="dxa"/>
            <w:gridSpan w:val="2"/>
          </w:tcPr>
          <w:p w14:paraId="512FCA01" w14:textId="696D7E49" w:rsidR="00A13162" w:rsidRPr="0030353C" w:rsidRDefault="00725BD2" w:rsidP="0030353C">
            <w:pPr>
              <w:pStyle w:val="Source"/>
            </w:pPr>
            <w:bookmarkStart w:id="3" w:name="Source"/>
            <w:bookmarkEnd w:id="3"/>
            <w:r w:rsidRPr="00725BD2">
              <w:t>Russian Federation</w:t>
            </w:r>
          </w:p>
        </w:tc>
      </w:tr>
      <w:tr w:rsidR="00AC6F14" w:rsidRPr="002E6963" w14:paraId="2CBD3A36" w14:textId="77777777" w:rsidTr="00107E85">
        <w:trPr>
          <w:cantSplit/>
        </w:trPr>
        <w:tc>
          <w:tcPr>
            <w:tcW w:w="9888" w:type="dxa"/>
            <w:gridSpan w:val="2"/>
          </w:tcPr>
          <w:p w14:paraId="1B4121DF" w14:textId="7B0846F1" w:rsidR="00AC6F14" w:rsidRPr="00642C3C" w:rsidRDefault="0023235F" w:rsidP="0030353C">
            <w:pPr>
              <w:pStyle w:val="Title1"/>
              <w:rPr>
                <w:rFonts w:cs="Times New Roman"/>
                <w:bCs/>
              </w:rPr>
            </w:pPr>
            <w:bookmarkStart w:id="4" w:name="Title"/>
            <w:bookmarkEnd w:id="4"/>
            <w:r w:rsidRPr="0023235F">
              <w:rPr>
                <w:rFonts w:cs="Times New Roman"/>
                <w:bCs/>
              </w:rPr>
              <w:t>Publication of WTDC Resolutions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2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  <w:tr w:rsidR="00A721F4" w:rsidRPr="00256528" w14:paraId="590033C8" w14:textId="77777777" w:rsidTr="00A721F4">
        <w:trPr>
          <w:cantSplit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E040" w14:textId="77777777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Summary:</w:t>
            </w:r>
          </w:p>
          <w:p w14:paraId="60110C0A" w14:textId="44398245" w:rsidR="009134A0" w:rsidRDefault="00D110CB" w:rsidP="00EA0C51">
            <w:pPr>
              <w:spacing w:after="120"/>
              <w:rPr>
                <w:szCs w:val="24"/>
              </w:rPr>
            </w:pPr>
            <w:r>
              <w:rPr>
                <w:szCs w:val="24"/>
              </w:rPr>
              <w:t>The l</w:t>
            </w:r>
            <w:r w:rsidRPr="009134A0">
              <w:rPr>
                <w:szCs w:val="24"/>
              </w:rPr>
              <w:t xml:space="preserve">ist </w:t>
            </w:r>
            <w:r w:rsidR="009134A0" w:rsidRPr="009134A0">
              <w:rPr>
                <w:szCs w:val="24"/>
              </w:rPr>
              <w:t xml:space="preserve">of WTDC Resolutions </w:t>
            </w:r>
            <w:r>
              <w:rPr>
                <w:szCs w:val="24"/>
              </w:rPr>
              <w:t xml:space="preserve">displayed on the web </w:t>
            </w:r>
            <w:r w:rsidR="009134A0" w:rsidRPr="009134A0">
              <w:rPr>
                <w:szCs w:val="24"/>
              </w:rPr>
              <w:t>includes Resolutions not in force without any indication</w:t>
            </w:r>
            <w:r>
              <w:rPr>
                <w:szCs w:val="24"/>
              </w:rPr>
              <w:t xml:space="preserve">, which causes </w:t>
            </w:r>
            <w:r w:rsidR="009134A0" w:rsidRPr="009134A0">
              <w:rPr>
                <w:szCs w:val="24"/>
              </w:rPr>
              <w:t xml:space="preserve">confusion. </w:t>
            </w:r>
            <w:r w:rsidR="006111BA">
              <w:rPr>
                <w:szCs w:val="24"/>
              </w:rPr>
              <w:t xml:space="preserve"> The s</w:t>
            </w:r>
            <w:r w:rsidR="006111BA" w:rsidRPr="009134A0">
              <w:rPr>
                <w:szCs w:val="24"/>
              </w:rPr>
              <w:t xml:space="preserve">ection </w:t>
            </w:r>
            <w:r w:rsidR="009134A0" w:rsidRPr="009134A0">
              <w:rPr>
                <w:szCs w:val="24"/>
              </w:rPr>
              <w:t xml:space="preserve">of </w:t>
            </w:r>
            <w:r w:rsidR="006111BA">
              <w:rPr>
                <w:szCs w:val="24"/>
              </w:rPr>
              <w:t xml:space="preserve">the </w:t>
            </w:r>
            <w:r w:rsidR="009134A0" w:rsidRPr="009134A0">
              <w:rPr>
                <w:szCs w:val="24"/>
              </w:rPr>
              <w:t xml:space="preserve">ITU website related to the WTDC Resolutions </w:t>
            </w:r>
            <w:r w:rsidR="006111BA">
              <w:rPr>
                <w:szCs w:val="24"/>
              </w:rPr>
              <w:t>should</w:t>
            </w:r>
            <w:r w:rsidR="009134A0" w:rsidRPr="009134A0">
              <w:rPr>
                <w:szCs w:val="24"/>
              </w:rPr>
              <w:t xml:space="preserve"> allow access </w:t>
            </w:r>
            <w:r w:rsidR="00E27976">
              <w:rPr>
                <w:szCs w:val="24"/>
              </w:rPr>
              <w:t xml:space="preserve">to </w:t>
            </w:r>
            <w:r w:rsidR="009134A0" w:rsidRPr="009134A0">
              <w:rPr>
                <w:szCs w:val="24"/>
              </w:rPr>
              <w:t xml:space="preserve">suppressed resolutions and other </w:t>
            </w:r>
            <w:r w:rsidR="002F2475">
              <w:rPr>
                <w:szCs w:val="24"/>
              </w:rPr>
              <w:t>versions</w:t>
            </w:r>
            <w:r w:rsidR="002F2475" w:rsidRPr="009134A0">
              <w:rPr>
                <w:szCs w:val="24"/>
              </w:rPr>
              <w:t xml:space="preserve"> </w:t>
            </w:r>
            <w:r w:rsidR="009134A0" w:rsidRPr="009134A0">
              <w:rPr>
                <w:szCs w:val="24"/>
              </w:rPr>
              <w:t>of revised ones.</w:t>
            </w:r>
          </w:p>
          <w:p w14:paraId="76A1C541" w14:textId="442BD181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5E090D">
              <w:rPr>
                <w:b/>
                <w:bCs/>
              </w:rPr>
              <w:t>Action required:</w:t>
            </w:r>
          </w:p>
          <w:p w14:paraId="6F2D9638" w14:textId="184E5EB3" w:rsidR="00A95729" w:rsidRDefault="00F648F9" w:rsidP="00EA0C51">
            <w:pPr>
              <w:spacing w:after="120"/>
            </w:pPr>
            <w:r w:rsidRPr="00F648F9">
              <w:t>TDAG is invited to recommend the secretariate to update the section of ITU-D website related to the WTDC Resolutions with indication of the date of suppression where necessary.</w:t>
            </w:r>
          </w:p>
          <w:p w14:paraId="622ACB80" w14:textId="3A79D6AE" w:rsidR="00A721F4" w:rsidRPr="00D9621A" w:rsidRDefault="00A721F4" w:rsidP="00EA0C51">
            <w:pPr>
              <w:spacing w:after="120"/>
              <w:rPr>
                <w:b/>
                <w:bCs/>
                <w:szCs w:val="24"/>
              </w:rPr>
            </w:pPr>
            <w:r w:rsidRPr="00D9621A">
              <w:rPr>
                <w:b/>
                <w:bCs/>
                <w:szCs w:val="24"/>
              </w:rPr>
              <w:t>References:</w:t>
            </w:r>
          </w:p>
          <w:p w14:paraId="0ED434F1" w14:textId="5BA8A093" w:rsidR="0086615A" w:rsidRPr="00A41DE1" w:rsidRDefault="00C24BAC" w:rsidP="0086615A">
            <w:pPr>
              <w:spacing w:line="276" w:lineRule="auto"/>
              <w:rPr>
                <w:rStyle w:val="Hyperlink"/>
                <w:lang w:val="en-US"/>
              </w:rPr>
            </w:pPr>
            <w:hyperlink r:id="rId11" w:history="1">
              <w:r w:rsidR="0086615A" w:rsidRPr="00A41DE1">
                <w:rPr>
                  <w:rStyle w:val="Hyperlink"/>
                  <w:lang w:val="en-US"/>
                </w:rPr>
                <w:t>WTDC 2022 Resolutions &amp; Recommendations</w:t>
              </w:r>
            </w:hyperlink>
          </w:p>
          <w:p w14:paraId="7DFFC907" w14:textId="52AD4122" w:rsidR="0086615A" w:rsidRPr="006B0F7B" w:rsidRDefault="00C24BAC" w:rsidP="0086615A">
            <w:pPr>
              <w:spacing w:line="276" w:lineRule="auto"/>
              <w:rPr>
                <w:rStyle w:val="Hyperlink"/>
              </w:rPr>
            </w:pPr>
            <w:hyperlink r:id="rId12" w:history="1">
              <w:r w:rsidR="0086615A" w:rsidRPr="006B0F7B">
                <w:rPr>
                  <w:rStyle w:val="Hyperlink"/>
                </w:rPr>
                <w:t>ITU-R Resolutions (itu.int)</w:t>
              </w:r>
            </w:hyperlink>
          </w:p>
          <w:p w14:paraId="1ECDD20E" w14:textId="58D01CAF" w:rsidR="00A721F4" w:rsidRPr="00C3774C" w:rsidRDefault="00C24BAC" w:rsidP="0086615A">
            <w:pPr>
              <w:spacing w:after="120"/>
            </w:pPr>
            <w:hyperlink r:id="rId13" w:history="1">
              <w:r w:rsidR="0086615A" w:rsidRPr="006B0F7B">
                <w:rPr>
                  <w:rStyle w:val="Hyperlink"/>
                </w:rPr>
                <w:t>WTSA Resolutions (itu.int)</w:t>
              </w:r>
            </w:hyperlink>
          </w:p>
        </w:tc>
      </w:tr>
    </w:tbl>
    <w:p w14:paraId="72F5CF96" w14:textId="77777777" w:rsidR="00923CF1" w:rsidRDefault="00923CF1" w:rsidP="00935FF0"/>
    <w:p w14:paraId="5B29B2A3" w14:textId="77777777" w:rsidR="00923CF1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41358E7A" w14:textId="77777777" w:rsidR="00336BA3" w:rsidRPr="006701DA" w:rsidRDefault="00336BA3" w:rsidP="00336BA3">
      <w:pPr>
        <w:keepNext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ind w:left="357" w:hanging="357"/>
        <w:rPr>
          <w:rFonts w:ascii="Calibri" w:eastAsia="SimSun" w:hAnsi="Calibri" w:cs="Arial"/>
          <w:b/>
          <w:bCs/>
          <w:szCs w:val="24"/>
          <w:lang w:val="en-US" w:eastAsia="zh-CN"/>
        </w:rPr>
      </w:pPr>
      <w:bookmarkStart w:id="5" w:name="Proposal"/>
      <w:bookmarkEnd w:id="5"/>
      <w:r>
        <w:rPr>
          <w:rFonts w:ascii="Calibri" w:eastAsia="SimSun" w:hAnsi="Calibri" w:cs="Arial"/>
          <w:b/>
          <w:bCs/>
          <w:szCs w:val="24"/>
          <w:lang w:val="en-US" w:eastAsia="zh-CN"/>
        </w:rPr>
        <w:lastRenderedPageBreak/>
        <w:t>Intorduction</w:t>
      </w:r>
    </w:p>
    <w:p w14:paraId="3EA7C69F" w14:textId="3D742358" w:rsidR="00336BA3" w:rsidRPr="00584B78" w:rsidRDefault="00336BA3" w:rsidP="00336BA3">
      <w:p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rPr>
          <w:rFonts w:ascii="Calibri" w:eastAsia="SimSun" w:hAnsi="Calibri"/>
          <w:szCs w:val="24"/>
        </w:rPr>
      </w:pPr>
      <w:r w:rsidRPr="009860EA">
        <w:rPr>
          <w:lang w:val="en-US"/>
        </w:rPr>
        <w:t>The Russian Federation expresses its gratitude to BDT for providing access to each WTDC Resolution on the website</w:t>
      </w:r>
      <w:r>
        <w:rPr>
          <w:lang w:val="en-US"/>
        </w:rPr>
        <w:t xml:space="preserve"> </w:t>
      </w:r>
      <w:hyperlink r:id="rId14" w:history="1">
        <w:r w:rsidRPr="00A41DE1">
          <w:rPr>
            <w:rStyle w:val="Hyperlink"/>
            <w:lang w:val="en-US"/>
          </w:rPr>
          <w:t>WTDC 2022 Resolutions &amp; Recommendations (itu.int)</w:t>
        </w:r>
      </w:hyperlink>
      <w:r w:rsidRPr="009860EA">
        <w:rPr>
          <w:lang w:val="en-US"/>
        </w:rPr>
        <w:t xml:space="preserve">. However, this list of resolutions </w:t>
      </w:r>
      <w:r>
        <w:rPr>
          <w:lang w:val="en-US"/>
        </w:rPr>
        <w:t>still includes resolutions 27, 61, 81 and 86, suppressed at WTDC 2022</w:t>
      </w:r>
      <w:r w:rsidRPr="009860EA">
        <w:rPr>
          <w:lang w:val="en-US"/>
        </w:rPr>
        <w:t xml:space="preserve">. It seems </w:t>
      </w:r>
      <w:r>
        <w:rPr>
          <w:lang w:val="en-US"/>
        </w:rPr>
        <w:t xml:space="preserve">reasonable </w:t>
      </w:r>
      <w:r w:rsidR="00E27976">
        <w:rPr>
          <w:lang w:val="en-US"/>
        </w:rPr>
        <w:t xml:space="preserve">to </w:t>
      </w:r>
      <w:r>
        <w:rPr>
          <w:lang w:val="en-US"/>
        </w:rPr>
        <w:t xml:space="preserve">exclude these resolutions from the list or </w:t>
      </w:r>
      <w:r w:rsidR="00E27976">
        <w:rPr>
          <w:lang w:val="en-US"/>
        </w:rPr>
        <w:t xml:space="preserve">to </w:t>
      </w:r>
      <w:r>
        <w:rPr>
          <w:lang w:val="en-US"/>
        </w:rPr>
        <w:t>follow</w:t>
      </w:r>
      <w:r w:rsidRPr="009860EA">
        <w:rPr>
          <w:lang w:val="en-US"/>
        </w:rPr>
        <w:t xml:space="preserve"> the experience of ITU</w:t>
      </w:r>
      <w:r>
        <w:rPr>
          <w:lang w:val="en-US"/>
        </w:rPr>
        <w:t>-R</w:t>
      </w:r>
      <w:r w:rsidRPr="009860EA">
        <w:rPr>
          <w:lang w:val="en-US"/>
        </w:rPr>
        <w:t xml:space="preserve"> </w:t>
      </w:r>
      <w:r>
        <w:rPr>
          <w:lang w:val="en-US"/>
        </w:rPr>
        <w:t>(</w:t>
      </w:r>
      <w:hyperlink r:id="rId15" w:history="1">
        <w:r w:rsidRPr="00A41DE1">
          <w:rPr>
            <w:rStyle w:val="Hyperlink"/>
            <w:lang w:val="en-US"/>
          </w:rPr>
          <w:t>ITU-R Resolutions</w:t>
        </w:r>
      </w:hyperlink>
      <w:r w:rsidRPr="00A41DE1">
        <w:rPr>
          <w:lang w:val="en-US"/>
        </w:rPr>
        <w:t>)</w:t>
      </w:r>
      <w:r w:rsidRPr="009860EA">
        <w:rPr>
          <w:lang w:val="en-US"/>
        </w:rPr>
        <w:t>,</w:t>
      </w:r>
      <w:r>
        <w:rPr>
          <w:lang w:val="en-US"/>
        </w:rPr>
        <w:t xml:space="preserve"> where</w:t>
      </w:r>
      <w:r w:rsidRPr="009860EA">
        <w:rPr>
          <w:lang w:val="en-US"/>
        </w:rPr>
        <w:t xml:space="preserve"> a note in red </w:t>
      </w:r>
      <w:r w:rsidR="002F2475">
        <w:rPr>
          <w:lang w:val="en-US"/>
        </w:rPr>
        <w:t>is</w:t>
      </w:r>
      <w:r w:rsidR="002F2475" w:rsidRPr="009860EA">
        <w:rPr>
          <w:lang w:val="en-US"/>
        </w:rPr>
        <w:t xml:space="preserve"> </w:t>
      </w:r>
      <w:r w:rsidRPr="009860EA">
        <w:rPr>
          <w:lang w:val="en-US"/>
        </w:rPr>
        <w:t xml:space="preserve">added to a </w:t>
      </w:r>
      <w:r>
        <w:rPr>
          <w:lang w:val="en-US"/>
        </w:rPr>
        <w:t>suppressed</w:t>
      </w:r>
      <w:r w:rsidRPr="009860EA">
        <w:rPr>
          <w:lang w:val="en-US"/>
        </w:rPr>
        <w:t xml:space="preserve"> resolution</w:t>
      </w:r>
      <w:r>
        <w:rPr>
          <w:lang w:val="en-US"/>
        </w:rPr>
        <w:t>, e.g</w:t>
      </w:r>
      <w:r w:rsidRPr="002C57C6">
        <w:rPr>
          <w:i/>
          <w:lang w:val="en-US"/>
        </w:rPr>
        <w:t xml:space="preserve">.: </w:t>
      </w:r>
      <w:r w:rsidRPr="002C57C6">
        <w:rPr>
          <w:i/>
          <w:color w:val="FF0000"/>
          <w:lang w:val="en-US"/>
        </w:rPr>
        <w:t>Note - Suppressed (RA-23)</w:t>
      </w:r>
      <w:r w:rsidRPr="002C57C6">
        <w:rPr>
          <w:i/>
          <w:lang w:val="en-US"/>
        </w:rPr>
        <w:t xml:space="preserve">. </w:t>
      </w:r>
    </w:p>
    <w:p w14:paraId="457B959B" w14:textId="24552C59" w:rsidR="00336BA3" w:rsidRPr="0075403A" w:rsidRDefault="00336BA3" w:rsidP="00336BA3">
      <w:pPr>
        <w:spacing w:after="120"/>
        <w:rPr>
          <w:lang w:val="en-US"/>
        </w:rPr>
      </w:pPr>
      <w:r>
        <w:rPr>
          <w:lang w:val="en-US"/>
        </w:rPr>
        <w:t>Additionally</w:t>
      </w:r>
      <w:r w:rsidR="002F2475">
        <w:rPr>
          <w:lang w:val="en-US"/>
        </w:rPr>
        <w:t>,</w:t>
      </w:r>
      <w:r>
        <w:rPr>
          <w:lang w:val="en-US"/>
        </w:rPr>
        <w:t xml:space="preserve"> </w:t>
      </w:r>
      <w:r w:rsidR="002F2475">
        <w:rPr>
          <w:lang w:val="en-US"/>
        </w:rPr>
        <w:t xml:space="preserve">in order </w:t>
      </w:r>
      <w:r>
        <w:rPr>
          <w:lang w:val="en-US"/>
        </w:rPr>
        <w:t xml:space="preserve">to have the opportunity to check the texts of suppressed WTDC Resolutions </w:t>
      </w:r>
      <w:r w:rsidRPr="00A41DE1">
        <w:rPr>
          <w:lang w:val="en-US"/>
        </w:rPr>
        <w:t>and other editions of revised ones</w:t>
      </w:r>
      <w:r>
        <w:rPr>
          <w:lang w:val="en-US"/>
        </w:rPr>
        <w:t>, it may be suitable to use the experience of ITU-T (</w:t>
      </w:r>
      <w:hyperlink r:id="rId16" w:history="1">
        <w:r w:rsidRPr="0075403A">
          <w:rPr>
            <w:rStyle w:val="Hyperlink"/>
            <w:lang w:val="en-US"/>
          </w:rPr>
          <w:t>ITU-T Resolutions</w:t>
        </w:r>
      </w:hyperlink>
      <w:r>
        <w:rPr>
          <w:lang w:val="en-US"/>
        </w:rPr>
        <w:t xml:space="preserve">) where TIES users have access to </w:t>
      </w:r>
      <w:r w:rsidR="002F2475">
        <w:rPr>
          <w:lang w:val="en-US"/>
        </w:rPr>
        <w:t>older versions</w:t>
      </w:r>
      <w:r>
        <w:rPr>
          <w:lang w:val="en-US"/>
        </w:rPr>
        <w:t xml:space="preserve"> of documents (e.g.: </w:t>
      </w:r>
      <w:hyperlink r:id="rId17" w:history="1">
        <w:r w:rsidRPr="0075403A">
          <w:rPr>
            <w:rStyle w:val="Hyperlink"/>
            <w:lang w:val="en-US"/>
          </w:rPr>
          <w:t>2016</w:t>
        </w:r>
      </w:hyperlink>
      <w:r>
        <w:rPr>
          <w:lang w:val="en-US"/>
        </w:rPr>
        <w:t xml:space="preserve">, </w:t>
      </w:r>
      <w:hyperlink r:id="rId18" w:history="1">
        <w:r w:rsidRPr="0075403A">
          <w:rPr>
            <w:rStyle w:val="Hyperlink"/>
            <w:lang w:val="en-US"/>
          </w:rPr>
          <w:t>2012</w:t>
        </w:r>
      </w:hyperlink>
      <w:r>
        <w:rPr>
          <w:lang w:val="en-US"/>
        </w:rPr>
        <w:t xml:space="preserve">, etc.). </w:t>
      </w:r>
    </w:p>
    <w:p w14:paraId="31273EF7" w14:textId="77777777" w:rsidR="00336BA3" w:rsidRPr="00306331" w:rsidRDefault="00336BA3" w:rsidP="00336BA3">
      <w:pPr>
        <w:keepNext/>
        <w:numPr>
          <w:ilvl w:val="0"/>
          <w:numId w:val="11"/>
        </w:numPr>
        <w:tabs>
          <w:tab w:val="clear" w:pos="794"/>
          <w:tab w:val="clear" w:pos="1191"/>
          <w:tab w:val="clear" w:pos="1588"/>
          <w:tab w:val="clear" w:pos="1985"/>
          <w:tab w:val="left" w:pos="567"/>
          <w:tab w:val="left" w:pos="1134"/>
          <w:tab w:val="left" w:pos="1701"/>
          <w:tab w:val="left" w:pos="2268"/>
        </w:tabs>
        <w:spacing w:after="120"/>
        <w:ind w:left="357" w:hanging="357"/>
        <w:rPr>
          <w:rFonts w:ascii="Calibri" w:eastAsia="SimSun" w:hAnsi="Calibri" w:cs="Arial"/>
          <w:b/>
          <w:bCs/>
          <w:szCs w:val="24"/>
          <w:lang w:val="en-US" w:eastAsia="zh-CN"/>
        </w:rPr>
      </w:pPr>
      <w:r>
        <w:rPr>
          <w:rFonts w:ascii="Calibri" w:eastAsia="SimSun" w:hAnsi="Calibri" w:cs="Arial"/>
          <w:b/>
          <w:bCs/>
          <w:szCs w:val="24"/>
          <w:lang w:val="en-US" w:eastAsia="zh-CN"/>
        </w:rPr>
        <w:t>Proposals</w:t>
      </w:r>
    </w:p>
    <w:p w14:paraId="745A67DD" w14:textId="72931B3C" w:rsidR="0023235F" w:rsidRPr="00336BA3" w:rsidRDefault="00336BA3" w:rsidP="00336BA3">
      <w:pPr>
        <w:tabs>
          <w:tab w:val="left" w:pos="567"/>
          <w:tab w:val="left" w:pos="1701"/>
        </w:tabs>
        <w:spacing w:after="120"/>
        <w:rPr>
          <w:rFonts w:ascii="Calibri" w:eastAsia="SimSun" w:hAnsi="Calibri"/>
          <w:iCs/>
          <w:szCs w:val="24"/>
          <w:lang w:val="en-US"/>
        </w:rPr>
      </w:pPr>
      <w:r w:rsidRPr="00584B78">
        <w:rPr>
          <w:rFonts w:ascii="Calibri" w:eastAsia="SimSun" w:hAnsi="Calibri"/>
          <w:iCs/>
          <w:szCs w:val="24"/>
          <w:lang w:val="en-US"/>
        </w:rPr>
        <w:t xml:space="preserve">To recommend </w:t>
      </w:r>
      <w:r w:rsidR="00B6793B">
        <w:rPr>
          <w:rFonts w:ascii="Calibri" w:eastAsia="SimSun" w:hAnsi="Calibri"/>
          <w:iCs/>
          <w:szCs w:val="24"/>
          <w:lang w:val="en-US"/>
        </w:rPr>
        <w:t xml:space="preserve">that </w:t>
      </w:r>
      <w:r w:rsidRPr="00584B78">
        <w:rPr>
          <w:rFonts w:ascii="Calibri" w:eastAsia="SimSun" w:hAnsi="Calibri"/>
          <w:iCs/>
          <w:szCs w:val="24"/>
          <w:lang w:val="en-US"/>
        </w:rPr>
        <w:t xml:space="preserve">BDT update the section of </w:t>
      </w:r>
      <w:r w:rsidR="00B6793B">
        <w:rPr>
          <w:rFonts w:ascii="Calibri" w:eastAsia="SimSun" w:hAnsi="Calibri"/>
          <w:iCs/>
          <w:szCs w:val="24"/>
          <w:lang w:val="en-US"/>
        </w:rPr>
        <w:t xml:space="preserve">the </w:t>
      </w:r>
      <w:r w:rsidRPr="00584B78">
        <w:rPr>
          <w:rFonts w:ascii="Calibri" w:eastAsia="SimSun" w:hAnsi="Calibri"/>
          <w:iCs/>
          <w:szCs w:val="24"/>
          <w:lang w:val="en-US"/>
        </w:rPr>
        <w:t>ITU-D website related to the WTDC Resolutions</w:t>
      </w:r>
      <w:r w:rsidR="00B6793B">
        <w:rPr>
          <w:rFonts w:ascii="Calibri" w:eastAsia="SimSun" w:hAnsi="Calibri"/>
          <w:iCs/>
          <w:szCs w:val="24"/>
          <w:lang w:val="en-US"/>
        </w:rPr>
        <w:t xml:space="preserve"> as per above</w:t>
      </w:r>
      <w:r w:rsidRPr="00584B78">
        <w:rPr>
          <w:rFonts w:ascii="Calibri" w:eastAsia="SimSun" w:hAnsi="Calibri"/>
          <w:iCs/>
          <w:szCs w:val="24"/>
          <w:lang w:val="en-US"/>
        </w:rPr>
        <w:t>.</w:t>
      </w:r>
    </w:p>
    <w:p w14:paraId="7759C759" w14:textId="059D0877" w:rsidR="00821996" w:rsidRDefault="003C58BF" w:rsidP="00B904E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821996" w:rsidSect="00DE33D1">
      <w:headerReference w:type="default" r:id="rId19"/>
      <w:footerReference w:type="first" r:id="rId2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021D8" w14:textId="77777777" w:rsidR="00DE33D1" w:rsidRDefault="00DE33D1">
      <w:r>
        <w:separator/>
      </w:r>
    </w:p>
  </w:endnote>
  <w:endnote w:type="continuationSeparator" w:id="0">
    <w:p w14:paraId="6191D5B6" w14:textId="77777777" w:rsidR="00DE33D1" w:rsidRDefault="00DE3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E11509" w:rsidRPr="008265CF" w14:paraId="695D1810" w14:textId="77777777" w:rsidTr="00E11509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46E5A61" w14:textId="77777777" w:rsidR="00E11509" w:rsidRPr="008265CF" w:rsidRDefault="00E11509" w:rsidP="00E1150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8265CF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488E41E2" w14:textId="77777777" w:rsidR="00E11509" w:rsidRPr="008265CF" w:rsidRDefault="00E11509" w:rsidP="00E11509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8265CF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40AE386A" w14:textId="37CDA38B" w:rsidR="00E11509" w:rsidRPr="008265CF" w:rsidRDefault="00E11509" w:rsidP="00E1150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Prof. Dr Vladimir Minkin, FSBE NIIR, Russian Federation</w:t>
          </w:r>
        </w:p>
      </w:tc>
      <w:bookmarkStart w:id="6" w:name="OrgName"/>
      <w:bookmarkEnd w:id="6"/>
    </w:tr>
    <w:tr w:rsidR="00E11509" w:rsidRPr="008265CF" w14:paraId="61167678" w14:textId="77777777" w:rsidTr="00E11509">
      <w:tc>
        <w:tcPr>
          <w:tcW w:w="1526" w:type="dxa"/>
          <w:shd w:val="clear" w:color="auto" w:fill="auto"/>
        </w:tcPr>
        <w:p w14:paraId="33710823" w14:textId="77777777" w:rsidR="00E11509" w:rsidRPr="008265CF" w:rsidRDefault="00E11509" w:rsidP="00E1150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251F6E4" w14:textId="77777777" w:rsidR="00E11509" w:rsidRPr="008265CF" w:rsidRDefault="00E11509" w:rsidP="00E1150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265CF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87" w:type="dxa"/>
        </w:tcPr>
        <w:p w14:paraId="584CCBF4" w14:textId="7390F583" w:rsidR="00E11509" w:rsidRPr="008265CF" w:rsidRDefault="00C24BAC" w:rsidP="00E11509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E11509" w:rsidRPr="00916C28">
              <w:rPr>
                <w:sz w:val="18"/>
                <w:szCs w:val="18"/>
                <w:lang w:val="en-US"/>
              </w:rPr>
              <w:t>+7 495 647</w:t>
            </w:r>
            <w:r w:rsidR="003634C0">
              <w:rPr>
                <w:sz w:val="18"/>
                <w:szCs w:val="18"/>
                <w:lang w:val="en-US"/>
              </w:rPr>
              <w:t xml:space="preserve"> </w:t>
            </w:r>
            <w:r w:rsidR="00E11509" w:rsidRPr="00916C28">
              <w:rPr>
                <w:sz w:val="18"/>
                <w:szCs w:val="18"/>
                <w:lang w:val="en-US"/>
              </w:rPr>
              <w:t>17</w:t>
            </w:r>
            <w:r w:rsidR="003634C0">
              <w:rPr>
                <w:sz w:val="18"/>
                <w:szCs w:val="18"/>
                <w:lang w:val="en-US"/>
              </w:rPr>
              <w:t xml:space="preserve"> </w:t>
            </w:r>
            <w:r w:rsidR="00E11509" w:rsidRPr="00916C28">
              <w:rPr>
                <w:sz w:val="18"/>
                <w:szCs w:val="18"/>
                <w:lang w:val="en-US"/>
              </w:rPr>
              <w:t>77</w:t>
            </w:r>
          </w:hyperlink>
        </w:p>
      </w:tc>
      <w:bookmarkStart w:id="7" w:name="PhoneNo"/>
      <w:bookmarkEnd w:id="7"/>
    </w:tr>
    <w:tr w:rsidR="00E11509" w:rsidRPr="008265CF" w14:paraId="0299A231" w14:textId="77777777" w:rsidTr="00E11509">
      <w:tc>
        <w:tcPr>
          <w:tcW w:w="1526" w:type="dxa"/>
          <w:shd w:val="clear" w:color="auto" w:fill="auto"/>
        </w:tcPr>
        <w:p w14:paraId="35CBC438" w14:textId="77777777" w:rsidR="00E11509" w:rsidRPr="008265CF" w:rsidRDefault="00E11509" w:rsidP="00E11509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5335E06" w14:textId="77777777" w:rsidR="00E11509" w:rsidRPr="008265CF" w:rsidRDefault="00E11509" w:rsidP="00E11509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8265CF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87" w:type="dxa"/>
        </w:tcPr>
        <w:p w14:paraId="0311044C" w14:textId="00658830" w:rsidR="00E11509" w:rsidRDefault="00C24BAC" w:rsidP="00E11509">
          <w:pPr>
            <w:pStyle w:val="FirstFooter"/>
            <w:tabs>
              <w:tab w:val="left" w:pos="2302"/>
            </w:tabs>
          </w:pPr>
          <w:hyperlink r:id="rId2" w:history="1">
            <w:r w:rsidR="00E11509" w:rsidRPr="009676DB">
              <w:rPr>
                <w:rStyle w:val="Hyperlink"/>
                <w:sz w:val="18"/>
                <w:szCs w:val="18"/>
                <w:lang w:val="en-US"/>
              </w:rPr>
              <w:t>minkin-itu@mail.ru</w:t>
            </w:r>
          </w:hyperlink>
          <w:r w:rsidR="00E11509">
            <w:rPr>
              <w:b/>
              <w:bCs/>
              <w:sz w:val="18"/>
              <w:szCs w:val="18"/>
              <w:lang w:val="en-US"/>
            </w:rPr>
            <w:t xml:space="preserve"> </w:t>
          </w:r>
        </w:p>
      </w:tc>
      <w:bookmarkStart w:id="8" w:name="Email"/>
      <w:bookmarkEnd w:id="8"/>
    </w:tr>
  </w:tbl>
  <w:p w14:paraId="40A321D0" w14:textId="1C276101" w:rsidR="00721657" w:rsidRPr="008265CF" w:rsidRDefault="00721657" w:rsidP="00030397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D2B7B" w14:textId="77777777" w:rsidR="00DE33D1" w:rsidRDefault="00DE33D1">
      <w:r>
        <w:t>____________________</w:t>
      </w:r>
    </w:p>
  </w:footnote>
  <w:footnote w:type="continuationSeparator" w:id="0">
    <w:p w14:paraId="7B832F9C" w14:textId="77777777" w:rsidR="00DE33D1" w:rsidRDefault="00DE3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FE77" w14:textId="252EF1EB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6F24AF">
      <w:rPr>
        <w:sz w:val="22"/>
        <w:szCs w:val="22"/>
        <w:lang w:val="de-CH"/>
      </w:rPr>
      <w:t>4</w:t>
    </w:r>
    <w:r w:rsidRPr="00A54E72">
      <w:rPr>
        <w:sz w:val="22"/>
        <w:szCs w:val="22"/>
        <w:lang w:val="de-CH"/>
      </w:rPr>
      <w:t>/</w:t>
    </w:r>
    <w:r w:rsidR="00DC0CC3">
      <w:rPr>
        <w:sz w:val="22"/>
        <w:szCs w:val="22"/>
        <w:lang w:val="de-CH"/>
      </w:rPr>
      <w:t>3</w:t>
    </w:r>
    <w:r w:rsidR="00540D4C">
      <w:rPr>
        <w:sz w:val="22"/>
        <w:szCs w:val="22"/>
        <w:lang w:val="de-CH"/>
      </w:rPr>
      <w:t>4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B4D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953871"/>
    <w:multiLevelType w:val="hybridMultilevel"/>
    <w:tmpl w:val="F8822B8E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04E18"/>
    <w:multiLevelType w:val="hybridMultilevel"/>
    <w:tmpl w:val="D9AA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D05EC"/>
    <w:multiLevelType w:val="hybridMultilevel"/>
    <w:tmpl w:val="BBD08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52141"/>
    <w:multiLevelType w:val="hybridMultilevel"/>
    <w:tmpl w:val="DA602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86D9E"/>
    <w:multiLevelType w:val="hybridMultilevel"/>
    <w:tmpl w:val="E2A69B70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bullet"/>
      <w:lvlText w:val="–"/>
      <w:lvlJc w:val="left"/>
      <w:pPr>
        <w:ind w:left="1515" w:hanging="795"/>
      </w:pPr>
      <w:rPr>
        <w:rFonts w:ascii="Calibri" w:eastAsia="Times New Roman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674A47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86709A7"/>
    <w:multiLevelType w:val="hybridMultilevel"/>
    <w:tmpl w:val="BC409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60909C">
      <w:numFmt w:val="bullet"/>
      <w:lvlText w:val="–"/>
      <w:lvlJc w:val="left"/>
      <w:pPr>
        <w:ind w:left="1875" w:hanging="795"/>
      </w:pPr>
      <w:rPr>
        <w:rFonts w:ascii="Calibri" w:eastAsia="Times New Roman" w:hAnsi="Calibri" w:cs="Calibri" w:hint="default"/>
      </w:rPr>
    </w:lvl>
    <w:lvl w:ilvl="2" w:tplc="F49833B6">
      <w:start w:val="1"/>
      <w:numFmt w:val="decimal"/>
      <w:lvlText w:val="%3"/>
      <w:lvlJc w:val="left"/>
      <w:pPr>
        <w:ind w:left="2775" w:hanging="79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321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8F38A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20996252">
    <w:abstractNumId w:val="6"/>
  </w:num>
  <w:num w:numId="2" w16cid:durableId="1668902854">
    <w:abstractNumId w:val="2"/>
  </w:num>
  <w:num w:numId="3" w16cid:durableId="1054890593">
    <w:abstractNumId w:val="9"/>
  </w:num>
  <w:num w:numId="4" w16cid:durableId="1325626162">
    <w:abstractNumId w:val="4"/>
  </w:num>
  <w:num w:numId="5" w16cid:durableId="427114863">
    <w:abstractNumId w:val="10"/>
  </w:num>
  <w:num w:numId="6" w16cid:durableId="1820540741">
    <w:abstractNumId w:val="8"/>
  </w:num>
  <w:num w:numId="7" w16cid:durableId="608010236">
    <w:abstractNumId w:val="1"/>
  </w:num>
  <w:num w:numId="8" w16cid:durableId="1795101828">
    <w:abstractNumId w:val="3"/>
  </w:num>
  <w:num w:numId="9" w16cid:durableId="273825148">
    <w:abstractNumId w:val="5"/>
  </w:num>
  <w:num w:numId="10" w16cid:durableId="215699537">
    <w:abstractNumId w:val="7"/>
  </w:num>
  <w:num w:numId="11" w16cid:durableId="800226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0397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3A8B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6EAA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D7F85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235F"/>
    <w:rsid w:val="00236560"/>
    <w:rsid w:val="0023662E"/>
    <w:rsid w:val="00245D0F"/>
    <w:rsid w:val="002548C3"/>
    <w:rsid w:val="00256528"/>
    <w:rsid w:val="00257ACD"/>
    <w:rsid w:val="00262908"/>
    <w:rsid w:val="002650F4"/>
    <w:rsid w:val="002715FD"/>
    <w:rsid w:val="002770B1"/>
    <w:rsid w:val="00282766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475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36BA3"/>
    <w:rsid w:val="00351C79"/>
    <w:rsid w:val="0035516C"/>
    <w:rsid w:val="00355A4C"/>
    <w:rsid w:val="003604FB"/>
    <w:rsid w:val="00360B73"/>
    <w:rsid w:val="003634C0"/>
    <w:rsid w:val="003720FC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46FD"/>
    <w:rsid w:val="00416DDE"/>
    <w:rsid w:val="0044411E"/>
    <w:rsid w:val="00453435"/>
    <w:rsid w:val="00460089"/>
    <w:rsid w:val="00466398"/>
    <w:rsid w:val="004712A4"/>
    <w:rsid w:val="0047306D"/>
    <w:rsid w:val="00473791"/>
    <w:rsid w:val="00476E48"/>
    <w:rsid w:val="00481DE9"/>
    <w:rsid w:val="0049128B"/>
    <w:rsid w:val="00491AF0"/>
    <w:rsid w:val="00493B49"/>
    <w:rsid w:val="00495501"/>
    <w:rsid w:val="004A070A"/>
    <w:rsid w:val="004A320E"/>
    <w:rsid w:val="004A4E9C"/>
    <w:rsid w:val="004A6E26"/>
    <w:rsid w:val="004B1A3C"/>
    <w:rsid w:val="004C18B1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0D4C"/>
    <w:rsid w:val="00542D05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5DA3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1BA"/>
    <w:rsid w:val="00611EAF"/>
    <w:rsid w:val="00623F30"/>
    <w:rsid w:val="00625FB8"/>
    <w:rsid w:val="006261BD"/>
    <w:rsid w:val="00635EDB"/>
    <w:rsid w:val="00642C3C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24AF"/>
    <w:rsid w:val="006F3D93"/>
    <w:rsid w:val="007019B1"/>
    <w:rsid w:val="00721657"/>
    <w:rsid w:val="00725BD2"/>
    <w:rsid w:val="007279A8"/>
    <w:rsid w:val="00727B1A"/>
    <w:rsid w:val="00741337"/>
    <w:rsid w:val="00752258"/>
    <w:rsid w:val="007529E1"/>
    <w:rsid w:val="00753FAA"/>
    <w:rsid w:val="00762880"/>
    <w:rsid w:val="00762AD6"/>
    <w:rsid w:val="00762E02"/>
    <w:rsid w:val="007649CD"/>
    <w:rsid w:val="00772290"/>
    <w:rsid w:val="00777265"/>
    <w:rsid w:val="007805E7"/>
    <w:rsid w:val="0078222A"/>
    <w:rsid w:val="00787D48"/>
    <w:rsid w:val="00795294"/>
    <w:rsid w:val="007A33DB"/>
    <w:rsid w:val="007A4E50"/>
    <w:rsid w:val="007B18A7"/>
    <w:rsid w:val="007B250E"/>
    <w:rsid w:val="007B58EE"/>
    <w:rsid w:val="007C27FC"/>
    <w:rsid w:val="007C51FF"/>
    <w:rsid w:val="007D2D75"/>
    <w:rsid w:val="007D50E4"/>
    <w:rsid w:val="007E2DC5"/>
    <w:rsid w:val="007F1CC7"/>
    <w:rsid w:val="007F6E79"/>
    <w:rsid w:val="008027AC"/>
    <w:rsid w:val="008028CE"/>
    <w:rsid w:val="0080332E"/>
    <w:rsid w:val="008141E0"/>
    <w:rsid w:val="00816EE1"/>
    <w:rsid w:val="00816F88"/>
    <w:rsid w:val="00821996"/>
    <w:rsid w:val="00822323"/>
    <w:rsid w:val="008265CF"/>
    <w:rsid w:val="00827BC6"/>
    <w:rsid w:val="008300AD"/>
    <w:rsid w:val="00833024"/>
    <w:rsid w:val="00833F25"/>
    <w:rsid w:val="008419B1"/>
    <w:rsid w:val="00844A56"/>
    <w:rsid w:val="00845B11"/>
    <w:rsid w:val="00852081"/>
    <w:rsid w:val="008623C4"/>
    <w:rsid w:val="0086615A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2840"/>
    <w:rsid w:val="008C4010"/>
    <w:rsid w:val="008C442C"/>
    <w:rsid w:val="008C4FDF"/>
    <w:rsid w:val="008C6B1F"/>
    <w:rsid w:val="008D5E4F"/>
    <w:rsid w:val="008D77E5"/>
    <w:rsid w:val="008E34F0"/>
    <w:rsid w:val="008F14F5"/>
    <w:rsid w:val="008F71C1"/>
    <w:rsid w:val="00902D41"/>
    <w:rsid w:val="00902F49"/>
    <w:rsid w:val="00904230"/>
    <w:rsid w:val="009134A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982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54E80"/>
    <w:rsid w:val="00A60087"/>
    <w:rsid w:val="00A705E8"/>
    <w:rsid w:val="00A721F4"/>
    <w:rsid w:val="00A9392C"/>
    <w:rsid w:val="00A9462B"/>
    <w:rsid w:val="00A95729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0EE8"/>
    <w:rsid w:val="00B310F9"/>
    <w:rsid w:val="00B37866"/>
    <w:rsid w:val="00B412FB"/>
    <w:rsid w:val="00B41E26"/>
    <w:rsid w:val="00B4576B"/>
    <w:rsid w:val="00B457CC"/>
    <w:rsid w:val="00B46350"/>
    <w:rsid w:val="00B46DF3"/>
    <w:rsid w:val="00B648C7"/>
    <w:rsid w:val="00B66E8F"/>
    <w:rsid w:val="00B6793B"/>
    <w:rsid w:val="00B80157"/>
    <w:rsid w:val="00B83D5E"/>
    <w:rsid w:val="00B8460A"/>
    <w:rsid w:val="00B8650D"/>
    <w:rsid w:val="00B879B4"/>
    <w:rsid w:val="00B904E0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BF347F"/>
    <w:rsid w:val="00BF5C80"/>
    <w:rsid w:val="00C015F8"/>
    <w:rsid w:val="00C02C2A"/>
    <w:rsid w:val="00C07E26"/>
    <w:rsid w:val="00C1011C"/>
    <w:rsid w:val="00C12F94"/>
    <w:rsid w:val="00C177C5"/>
    <w:rsid w:val="00C34EC3"/>
    <w:rsid w:val="00C3774C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9684D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32AF"/>
    <w:rsid w:val="00CF72E5"/>
    <w:rsid w:val="00D013EE"/>
    <w:rsid w:val="00D01F54"/>
    <w:rsid w:val="00D040F7"/>
    <w:rsid w:val="00D04A76"/>
    <w:rsid w:val="00D10FC7"/>
    <w:rsid w:val="00D110CB"/>
    <w:rsid w:val="00D1519F"/>
    <w:rsid w:val="00D1703C"/>
    <w:rsid w:val="00D20E99"/>
    <w:rsid w:val="00D21C83"/>
    <w:rsid w:val="00D35BDD"/>
    <w:rsid w:val="00D373E3"/>
    <w:rsid w:val="00D63006"/>
    <w:rsid w:val="00D642AF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0CC3"/>
    <w:rsid w:val="00DC1BD3"/>
    <w:rsid w:val="00DC2C1A"/>
    <w:rsid w:val="00DD66B4"/>
    <w:rsid w:val="00DE1972"/>
    <w:rsid w:val="00DE27AB"/>
    <w:rsid w:val="00DE33D1"/>
    <w:rsid w:val="00DF2AB3"/>
    <w:rsid w:val="00DF7250"/>
    <w:rsid w:val="00E00CAA"/>
    <w:rsid w:val="00E03EBF"/>
    <w:rsid w:val="00E05209"/>
    <w:rsid w:val="00E05AC1"/>
    <w:rsid w:val="00E11509"/>
    <w:rsid w:val="00E11BCF"/>
    <w:rsid w:val="00E16B83"/>
    <w:rsid w:val="00E2258E"/>
    <w:rsid w:val="00E260C2"/>
    <w:rsid w:val="00E27976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648F9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Style 58,超?级链,超????,하이퍼링크2,하이퍼링크21,超链接1,超?级链?,Style?,S,ECC Hyperlink,超??级链Ú,fL????,fL?级,超??级链,超?级链ïÈ,õ±?级链,õ±链ïÈ1,õ±???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528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B904E0"/>
    <w:rPr>
      <w:rFonts w:asciiTheme="minorHAnsi" w:hAnsiTheme="minorHAnsi"/>
      <w:sz w:val="24"/>
      <w:lang w:val="en-GB" w:eastAsia="en-US"/>
    </w:rPr>
  </w:style>
  <w:style w:type="paragraph" w:styleId="Revision">
    <w:name w:val="Revision"/>
    <w:hidden/>
    <w:uiPriority w:val="99"/>
    <w:semiHidden/>
    <w:rsid w:val="00D110CB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pub/t-res" TargetMode="External"/><Relationship Id="rId18" Type="http://schemas.openxmlformats.org/officeDocument/2006/relationships/hyperlink" Target="https://www.itu.int/en/publications/ITU-T/pages/publications.aspx?lang=e&amp;parent=T-RES&amp;version_date=2012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pub/R-RES" TargetMode="External"/><Relationship Id="rId17" Type="http://schemas.openxmlformats.org/officeDocument/2006/relationships/hyperlink" Target="https://www.itu.int/en/publications/ITU-T/pages/publications.aspx?parent=T-RES&amp;version_date=201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pub/t-r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tu.int/en/ITU-D/Pages/Resolutions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itu.int/pub/R-RES" TargetMode="Externa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en/ITU-D/Pages/Resolutions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inkin-itu@mail.ru" TargetMode="External"/><Relationship Id="rId1" Type="http://schemas.openxmlformats.org/officeDocument/2006/relationships/hyperlink" Target="tel:+74956471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76106C0699043BAEC233347507970" ma:contentTypeVersion="17" ma:contentTypeDescription="Create a new document." ma:contentTypeScope="" ma:versionID="98dc16c74f77d92d1bb6cb4b0c3ae757">
  <xsd:schema xmlns:xsd="http://www.w3.org/2001/XMLSchema" xmlns:xs="http://www.w3.org/2001/XMLSchema" xmlns:p="http://schemas.microsoft.com/office/2006/metadata/properties" xmlns:ns2="28b57394-764b-4c95-9edc-f65ae3c1af13" xmlns:ns3="365cf670-b44e-4dbb-b1e7-5ca0e9f395b1" targetNamespace="http://schemas.microsoft.com/office/2006/metadata/properties" ma:root="true" ma:fieldsID="adfa0e3f5e5a423483900749a5d0d07a" ns2:_="" ns3:_="">
    <xsd:import namespace="28b57394-764b-4c95-9edc-f65ae3c1af13"/>
    <xsd:import namespace="365cf670-b44e-4dbb-b1e7-5ca0e9f395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57394-764b-4c95-9edc-f65ae3c1a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cf670-b44e-4dbb-b1e7-5ca0e9f395b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7776fd9-5068-4ffa-87a4-e6b077caf2fb}" ma:internalName="TaxCatchAll" ma:showField="CatchAllData" ma:web="365cf670-b44e-4dbb-b1e7-5ca0e9f395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7E243-CB01-4DD2-9601-80AA209EE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EAE31-7CC5-4472-8DEE-393CFC1C0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57394-764b-4c95-9edc-f65ae3c1af13"/>
    <ds:schemaRef ds:uri="365cf670-b44e-4dbb-b1e7-5ca0e9f3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6E6489-D338-4522-99CC-2C9B44D1F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3</cp:revision>
  <cp:lastPrinted>2014-11-04T09:22:00Z</cp:lastPrinted>
  <dcterms:created xsi:type="dcterms:W3CDTF">2024-05-07T09:02:00Z</dcterms:created>
  <dcterms:modified xsi:type="dcterms:W3CDTF">2024-05-07T09:02:00Z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