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09229892"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Suiza,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415806" w:rsidRPr="00D8041C" w14:paraId="0BB3FBC4" w14:textId="77777777" w:rsidTr="0009076F">
        <w:trPr>
          <w:cantSplit/>
        </w:trPr>
        <w:tc>
          <w:tcPr>
            <w:tcW w:w="6379" w:type="dxa"/>
          </w:tcPr>
          <w:p w14:paraId="43C54B3D" w14:textId="77777777" w:rsidR="00415806" w:rsidRPr="00D8041C" w:rsidRDefault="00415806" w:rsidP="00415806">
            <w:pPr>
              <w:pStyle w:val="Committee"/>
              <w:spacing w:before="0"/>
              <w:rPr>
                <w:b w:val="0"/>
                <w:szCs w:val="24"/>
                <w:lang w:val="es-ES_tradnl"/>
              </w:rPr>
            </w:pPr>
          </w:p>
        </w:tc>
        <w:tc>
          <w:tcPr>
            <w:tcW w:w="3509" w:type="dxa"/>
          </w:tcPr>
          <w:p w14:paraId="02E44EE9" w14:textId="0A145EE3" w:rsidR="00415806" w:rsidRPr="00D8041C" w:rsidRDefault="00415806" w:rsidP="00415806">
            <w:pPr>
              <w:spacing w:before="0"/>
              <w:jc w:val="both"/>
              <w:rPr>
                <w:bCs/>
                <w:szCs w:val="24"/>
                <w:lang w:val="es-ES_tradnl"/>
              </w:rPr>
            </w:pPr>
            <w:r>
              <w:rPr>
                <w:b/>
                <w:bCs/>
                <w:lang w:val="es-ES"/>
              </w:rPr>
              <w:t>Documento TDAG-24/30-S</w:t>
            </w:r>
          </w:p>
        </w:tc>
      </w:tr>
      <w:tr w:rsidR="00415806" w:rsidRPr="00D8041C" w14:paraId="24D04936" w14:textId="77777777" w:rsidTr="0009076F">
        <w:trPr>
          <w:cantSplit/>
        </w:trPr>
        <w:tc>
          <w:tcPr>
            <w:tcW w:w="6379" w:type="dxa"/>
          </w:tcPr>
          <w:p w14:paraId="12CE4DBF" w14:textId="77777777" w:rsidR="00415806" w:rsidRPr="00D8041C" w:rsidRDefault="00415806" w:rsidP="00415806">
            <w:pPr>
              <w:spacing w:before="0"/>
              <w:rPr>
                <w:b/>
                <w:bCs/>
                <w:smallCaps/>
                <w:szCs w:val="24"/>
                <w:lang w:val="es-ES_tradnl"/>
              </w:rPr>
            </w:pPr>
          </w:p>
        </w:tc>
        <w:tc>
          <w:tcPr>
            <w:tcW w:w="3509" w:type="dxa"/>
          </w:tcPr>
          <w:p w14:paraId="0F89640F" w14:textId="7FDF7669" w:rsidR="00415806" w:rsidRPr="00D8041C" w:rsidRDefault="00415806" w:rsidP="00415806">
            <w:pPr>
              <w:spacing w:before="0"/>
              <w:rPr>
                <w:b/>
                <w:szCs w:val="24"/>
                <w:lang w:val="es-ES_tradnl"/>
              </w:rPr>
            </w:pPr>
            <w:bookmarkStart w:id="0" w:name="CreationDate"/>
            <w:bookmarkEnd w:id="0"/>
            <w:r>
              <w:rPr>
                <w:b/>
                <w:bCs/>
                <w:lang w:val="es-ES"/>
              </w:rPr>
              <w:t>6 de mayo de 2024</w:t>
            </w:r>
          </w:p>
        </w:tc>
      </w:tr>
      <w:tr w:rsidR="00415806" w:rsidRPr="00D8041C" w14:paraId="7B96545F" w14:textId="77777777" w:rsidTr="0009076F">
        <w:trPr>
          <w:cantSplit/>
        </w:trPr>
        <w:tc>
          <w:tcPr>
            <w:tcW w:w="6379" w:type="dxa"/>
          </w:tcPr>
          <w:p w14:paraId="65956FD3" w14:textId="77777777" w:rsidR="00415806" w:rsidRPr="00D8041C" w:rsidRDefault="00415806" w:rsidP="00415806">
            <w:pPr>
              <w:spacing w:before="0"/>
              <w:rPr>
                <w:b/>
                <w:bCs/>
                <w:smallCaps/>
                <w:szCs w:val="24"/>
                <w:lang w:val="es-ES_tradnl"/>
              </w:rPr>
            </w:pPr>
          </w:p>
        </w:tc>
        <w:tc>
          <w:tcPr>
            <w:tcW w:w="3509" w:type="dxa"/>
          </w:tcPr>
          <w:p w14:paraId="30EFD39F" w14:textId="200D3C39" w:rsidR="00415806" w:rsidRPr="00D8041C" w:rsidRDefault="00415806" w:rsidP="00415806">
            <w:pPr>
              <w:spacing w:before="0"/>
              <w:rPr>
                <w:szCs w:val="24"/>
                <w:lang w:val="es-ES_tradnl"/>
              </w:rPr>
            </w:pPr>
            <w:r>
              <w:rPr>
                <w:b/>
                <w:bCs/>
                <w:lang w:val="es-ES"/>
              </w:rPr>
              <w:t>Original: inglés</w:t>
            </w:r>
          </w:p>
        </w:tc>
      </w:tr>
      <w:tr w:rsidR="00415806" w:rsidRPr="00415806" w14:paraId="31656E31" w14:textId="77777777" w:rsidTr="00107E85">
        <w:trPr>
          <w:cantSplit/>
          <w:trHeight w:val="852"/>
        </w:trPr>
        <w:tc>
          <w:tcPr>
            <w:tcW w:w="9888" w:type="dxa"/>
            <w:gridSpan w:val="2"/>
          </w:tcPr>
          <w:p w14:paraId="512FCA01" w14:textId="0FFD5765" w:rsidR="00415806" w:rsidRPr="00D8041C" w:rsidRDefault="00415806" w:rsidP="00415806">
            <w:pPr>
              <w:pStyle w:val="Source"/>
              <w:rPr>
                <w:lang w:val="es-ES_tradnl"/>
              </w:rPr>
            </w:pPr>
            <w:bookmarkStart w:id="1" w:name="Source"/>
            <w:bookmarkEnd w:id="1"/>
            <w:r>
              <w:rPr>
                <w:bCs/>
                <w:lang w:val="es-ES"/>
              </w:rPr>
              <w:t>Director de la Oficina de Desarrollo de las Telecomunicaciones</w:t>
            </w:r>
          </w:p>
        </w:tc>
      </w:tr>
      <w:tr w:rsidR="00415806" w:rsidRPr="00415806" w14:paraId="2CBD3A36" w14:textId="77777777" w:rsidTr="00107E85">
        <w:trPr>
          <w:cantSplit/>
        </w:trPr>
        <w:tc>
          <w:tcPr>
            <w:tcW w:w="9888" w:type="dxa"/>
            <w:gridSpan w:val="2"/>
          </w:tcPr>
          <w:p w14:paraId="1B4121DF" w14:textId="4B99D783" w:rsidR="00415806" w:rsidRPr="00D8041C" w:rsidRDefault="00415806" w:rsidP="00415806">
            <w:pPr>
              <w:pStyle w:val="Title1"/>
              <w:rPr>
                <w:lang w:val="es-ES_tradnl"/>
              </w:rPr>
            </w:pPr>
            <w:bookmarkStart w:id="2" w:name="Title"/>
            <w:bookmarkEnd w:id="2"/>
            <w:r w:rsidRPr="002331B5">
              <w:rPr>
                <w:lang w:val="es-ES_tradnl"/>
              </w:rPr>
              <w:t>Celebración de la juventud en la configuración del futuro del desarrollo digital: escuchar las voces del mañana antes de la Conferencia Mundial de Desarrollo de 2025 (CMDT-25)</w:t>
            </w:r>
          </w:p>
        </w:tc>
      </w:tr>
      <w:tr w:rsidR="00415806" w:rsidRPr="00415806" w14:paraId="23A30231" w14:textId="77777777" w:rsidTr="00A721F4">
        <w:trPr>
          <w:cantSplit/>
        </w:trPr>
        <w:tc>
          <w:tcPr>
            <w:tcW w:w="9888" w:type="dxa"/>
            <w:gridSpan w:val="2"/>
            <w:tcBorders>
              <w:bottom w:val="single" w:sz="4" w:space="0" w:color="auto"/>
            </w:tcBorders>
          </w:tcPr>
          <w:p w14:paraId="726EE70E" w14:textId="77777777" w:rsidR="00415806" w:rsidRPr="00D8041C" w:rsidRDefault="00415806" w:rsidP="00415806">
            <w:pPr>
              <w:rPr>
                <w:lang w:val="es-ES_tradnl"/>
              </w:rPr>
            </w:pPr>
          </w:p>
        </w:tc>
      </w:tr>
      <w:tr w:rsidR="00415806" w:rsidRPr="0041580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415806" w:rsidRPr="00D8041C" w:rsidRDefault="00415806" w:rsidP="00415806">
            <w:pPr>
              <w:spacing w:after="120"/>
              <w:rPr>
                <w:b/>
                <w:bCs/>
                <w:szCs w:val="24"/>
                <w:lang w:val="es-ES_tradnl"/>
              </w:rPr>
            </w:pPr>
            <w:r w:rsidRPr="00D8041C">
              <w:rPr>
                <w:b/>
                <w:bCs/>
                <w:szCs w:val="24"/>
                <w:lang w:val="es-ES_tradnl"/>
              </w:rPr>
              <w:t>Resumen:</w:t>
            </w:r>
          </w:p>
          <w:p w14:paraId="4082D7E8" w14:textId="345D400B" w:rsidR="00415806" w:rsidRDefault="00415806" w:rsidP="00415806">
            <w:pPr>
              <w:spacing w:after="120"/>
              <w:rPr>
                <w:lang w:val="es-ES"/>
              </w:rPr>
            </w:pPr>
            <w:r>
              <w:rPr>
                <w:lang w:val="es-ES"/>
              </w:rPr>
              <w:t>Dados los resultados previsibles de la Cumbre Mundial de la Juventud, prevista para finales de 2024, así como el mandato de la BDT de promover una participación significativa de la juventud en el desarrollo digital, se propone celebrar un evento de uno o dos días antes de la Conferencia Mundial de Desarrollo de las Telecomunicaciones (CMDT-25) para celebrar a la juventud, fuerza motriz mundial en la configuración del futuro digital, y destacar la importancia del empoderamiento de la juventud en el desarrollo digital.</w:t>
            </w:r>
          </w:p>
          <w:p w14:paraId="786EAADA" w14:textId="402631BF" w:rsidR="00415806" w:rsidRDefault="00415806" w:rsidP="00415806">
            <w:pPr>
              <w:spacing w:after="120"/>
              <w:rPr>
                <w:lang w:val="es-ES"/>
              </w:rPr>
            </w:pPr>
            <w:r>
              <w:rPr>
                <w:b/>
                <w:bCs/>
                <w:lang w:val="es-ES"/>
              </w:rPr>
              <w:t>Acción solicitada:</w:t>
            </w:r>
          </w:p>
          <w:p w14:paraId="371956FC" w14:textId="0D0CF32E" w:rsidR="00415806" w:rsidRPr="00D8041C" w:rsidRDefault="00415806" w:rsidP="00415806">
            <w:pPr>
              <w:spacing w:after="120"/>
              <w:rPr>
                <w:szCs w:val="24"/>
                <w:lang w:val="es-ES_tradnl"/>
              </w:rPr>
            </w:pPr>
            <w:r>
              <w:rPr>
                <w:lang w:val="es-ES"/>
              </w:rPr>
              <w:t>Se invita al GADT a tomar nota del presente documento y a formular los comentarios que estime convenientes.</w:t>
            </w:r>
          </w:p>
          <w:p w14:paraId="622ACB80" w14:textId="6D46991A" w:rsidR="00415806" w:rsidRPr="00D8041C" w:rsidRDefault="00415806" w:rsidP="00415806">
            <w:pPr>
              <w:spacing w:after="120"/>
              <w:rPr>
                <w:b/>
                <w:bCs/>
                <w:szCs w:val="24"/>
                <w:lang w:val="es-ES_tradnl"/>
              </w:rPr>
            </w:pPr>
            <w:r w:rsidRPr="00D8041C">
              <w:rPr>
                <w:b/>
                <w:bCs/>
                <w:szCs w:val="24"/>
                <w:lang w:val="es-ES_tradnl"/>
              </w:rPr>
              <w:t>Referencias:</w:t>
            </w:r>
          </w:p>
          <w:p w14:paraId="7871E15F" w14:textId="77777777" w:rsidR="00415806" w:rsidRPr="00AE4561" w:rsidRDefault="00415806" w:rsidP="00415806">
            <w:pPr>
              <w:spacing w:after="120"/>
              <w:rPr>
                <w:lang w:val="es-ES"/>
              </w:rPr>
            </w:pPr>
            <w:r>
              <w:rPr>
                <w:lang w:val="es-ES"/>
              </w:rPr>
              <w:t xml:space="preserve">Resolución 76 (Rev. Kigali, 2022) de la Conferencia Mundial de Desarrollo de las Telecomunicaciones (complementada por las Resoluciones 11, 37, 45, 46, 55, 58 y 67 de la CMDT) </w:t>
            </w:r>
          </w:p>
          <w:p w14:paraId="1ECDD20E" w14:textId="43E00434" w:rsidR="00415806" w:rsidRPr="00D8041C" w:rsidRDefault="00415806" w:rsidP="00415806">
            <w:pPr>
              <w:spacing w:after="120"/>
              <w:rPr>
                <w:lang w:val="es-ES_tradnl"/>
              </w:rPr>
            </w:pPr>
            <w:r>
              <w:rPr>
                <w:lang w:val="es-ES"/>
              </w:rPr>
              <w:t>Resolución 198 (Rev. Bucarest, 2022) de la Conferencia de Plenipotenciarios (complementada por las Resoluciones 70, 175, 179 y 184 de la PP)</w:t>
            </w:r>
          </w:p>
        </w:tc>
      </w:tr>
    </w:tbl>
    <w:p w14:paraId="0704BA7A" w14:textId="0DDADC4E" w:rsidR="00415806" w:rsidRPr="005D3769" w:rsidRDefault="003D79D2" w:rsidP="003D79D2">
      <w:pPr>
        <w:pStyle w:val="Heading1"/>
        <w:rPr>
          <w:rFonts w:eastAsia="SimHei" w:cstheme="minorHAnsi"/>
          <w:szCs w:val="24"/>
        </w:rPr>
      </w:pPr>
      <w:r>
        <w:rPr>
          <w:lang w:val="es-ES"/>
        </w:rPr>
        <w:lastRenderedPageBreak/>
        <w:t>1</w:t>
      </w:r>
      <w:r>
        <w:rPr>
          <w:lang w:val="es-ES"/>
        </w:rPr>
        <w:tab/>
      </w:r>
      <w:proofErr w:type="gramStart"/>
      <w:r w:rsidR="00415806">
        <w:rPr>
          <w:lang w:val="es-ES"/>
        </w:rPr>
        <w:t>Justificación</w:t>
      </w:r>
      <w:proofErr w:type="gramEnd"/>
    </w:p>
    <w:p w14:paraId="5B729A9C" w14:textId="723C05D9" w:rsidR="00415806" w:rsidRPr="00AE4561" w:rsidRDefault="00415806" w:rsidP="003D79D2">
      <w:pPr>
        <w:keepNext/>
        <w:keepLines/>
        <w:rPr>
          <w:rFonts w:cstheme="minorBidi"/>
          <w:szCs w:val="24"/>
          <w:lang w:val="es-ES"/>
        </w:rPr>
      </w:pPr>
      <w:r>
        <w:rPr>
          <w:lang w:val="es-ES"/>
        </w:rPr>
        <w:t xml:space="preserve">De conformidad con la decisión adoptada por el GADT-23 y refrendada por el Consejo de la UIT, la BDT organizará la celebración de una Cumbre Mundial de la Juventud (CMJ-24), dedicada al tema </w:t>
      </w:r>
      <w:r>
        <w:rPr>
          <w:lang w:val="es-ES"/>
        </w:rPr>
        <w:t>"</w:t>
      </w:r>
      <w:r>
        <w:rPr>
          <w:lang w:val="es-ES"/>
        </w:rPr>
        <w:t>Amplificar la voz de los jóvenes en las TIC para un futuro conectado</w:t>
      </w:r>
      <w:r>
        <w:rPr>
          <w:lang w:val="es-ES"/>
        </w:rPr>
        <w:t>"</w:t>
      </w:r>
      <w:r>
        <w:rPr>
          <w:lang w:val="es-ES"/>
        </w:rPr>
        <w:t xml:space="preserve">, en 2024. Entre otros, el objetivo de la CMJ-24 es facilitar el debate y la adopción de medidas para garantizar que todos los jóvenes tienen el mismo acceso equitativo a las TIC y las utilizan, facilitando así su </w:t>
      </w:r>
      <w:proofErr w:type="gramStart"/>
      <w:r>
        <w:rPr>
          <w:lang w:val="es-ES"/>
        </w:rPr>
        <w:t>participación activa</w:t>
      </w:r>
      <w:proofErr w:type="gramEnd"/>
      <w:r>
        <w:rPr>
          <w:lang w:val="es-ES"/>
        </w:rPr>
        <w:t xml:space="preserve"> en la sociedad, la economía y el entorno digitales. La CMJ-24 procurará además alimentar una conversación intersectorial e intergeneracional a nivel mundial con los jóvenes para implicarlos en el desarrollo digital y ofrecer a los Miembros de la UIT, incluidos los gobiernos, el sector privado, las instituciones académicas y demás organismos de las Naciones Unidas y entes decisorios, una visión global y actualizada de las necesidades esenciales en materia de TIC que se han de cubrir para empoderar a los jóvenes de todas las regiones del mundo.</w:t>
      </w:r>
    </w:p>
    <w:p w14:paraId="56A226AA" w14:textId="77777777" w:rsidR="00415806" w:rsidRPr="00AE4561" w:rsidRDefault="00415806" w:rsidP="00732C86">
      <w:pPr>
        <w:rPr>
          <w:rFonts w:cstheme="minorBidi"/>
          <w:lang w:val="es-ES"/>
        </w:rPr>
      </w:pPr>
      <w:r>
        <w:rPr>
          <w:lang w:val="es-ES"/>
        </w:rPr>
        <w:t xml:space="preserve">Dados los resultados previsibles de la Cumbre Mundial de la Juventud a finales de 2024, así como el mandato de la BDT de liderar una participación significativa de la juventud en el desarrollo digital, el </w:t>
      </w:r>
      <w:proofErr w:type="gramStart"/>
      <w:r>
        <w:rPr>
          <w:lang w:val="es-ES"/>
        </w:rPr>
        <w:t>Director</w:t>
      </w:r>
      <w:proofErr w:type="gramEnd"/>
      <w:r>
        <w:rPr>
          <w:lang w:val="es-ES"/>
        </w:rPr>
        <w:t xml:space="preserve"> de la BDT propone un evento de uno o dos días para celebrar que los jóvenes configuran el futuro y destacar la importancia del empoderamiento de la juventud en el desarrollo digital antes de la Conferencia Mundial de Desarrollo de las Telecomunicaciones (CMDT-25).</w:t>
      </w:r>
    </w:p>
    <w:p w14:paraId="25B2395A" w14:textId="0EA7C1DD" w:rsidR="00415806" w:rsidRPr="005D3769" w:rsidRDefault="003D79D2" w:rsidP="003D79D2">
      <w:pPr>
        <w:pStyle w:val="Heading1"/>
        <w:rPr>
          <w:rFonts w:cstheme="minorHAnsi"/>
          <w:b w:val="0"/>
          <w:bCs/>
          <w:szCs w:val="24"/>
        </w:rPr>
      </w:pPr>
      <w:r>
        <w:rPr>
          <w:lang w:val="es-ES"/>
        </w:rPr>
        <w:t>2</w:t>
      </w:r>
      <w:r>
        <w:rPr>
          <w:lang w:val="es-ES"/>
        </w:rPr>
        <w:tab/>
      </w:r>
      <w:proofErr w:type="gramStart"/>
      <w:r w:rsidR="00415806" w:rsidRPr="003D79D2">
        <w:rPr>
          <w:lang w:val="es-ES"/>
        </w:rPr>
        <w:t>Fecha</w:t>
      </w:r>
      <w:proofErr w:type="gramEnd"/>
      <w:r w:rsidR="00415806" w:rsidRPr="003D79D2">
        <w:rPr>
          <w:lang w:val="es-ES"/>
        </w:rPr>
        <w:t>, duración y lugar</w:t>
      </w:r>
    </w:p>
    <w:p w14:paraId="414EF342" w14:textId="77777777" w:rsidR="00415806" w:rsidRPr="00AE4561" w:rsidRDefault="00415806" w:rsidP="003D79D2">
      <w:pPr>
        <w:rPr>
          <w:rFonts w:cstheme="minorHAnsi"/>
          <w:lang w:val="es-ES"/>
        </w:rPr>
      </w:pPr>
      <w:r>
        <w:rPr>
          <w:lang w:val="es-ES"/>
        </w:rPr>
        <w:t xml:space="preserve">El evento se celebrará uno o dos días inmediatamente antes de la CMDT-25, en el mismo lugar, lo que permitirá una transición continua y dinámica hacia la conferencia principal. </w:t>
      </w:r>
    </w:p>
    <w:p w14:paraId="0CD70259" w14:textId="0DB2B9E2" w:rsidR="00415806" w:rsidRPr="005D3769" w:rsidRDefault="003D79D2" w:rsidP="003D79D2">
      <w:pPr>
        <w:pStyle w:val="Heading1"/>
        <w:rPr>
          <w:rFonts w:cstheme="minorHAnsi"/>
          <w:b w:val="0"/>
          <w:bCs/>
          <w:szCs w:val="24"/>
        </w:rPr>
      </w:pPr>
      <w:r>
        <w:rPr>
          <w:lang w:val="es-ES"/>
        </w:rPr>
        <w:t>3</w:t>
      </w:r>
      <w:r>
        <w:rPr>
          <w:lang w:val="es-ES"/>
        </w:rPr>
        <w:tab/>
      </w:r>
      <w:proofErr w:type="gramStart"/>
      <w:r w:rsidR="00415806" w:rsidRPr="003D79D2">
        <w:rPr>
          <w:lang w:val="es-ES"/>
        </w:rPr>
        <w:t>Actividades</w:t>
      </w:r>
      <w:proofErr w:type="gramEnd"/>
      <w:r w:rsidR="00415806" w:rsidRPr="003D79D2">
        <w:rPr>
          <w:lang w:val="es-ES"/>
        </w:rPr>
        <w:t xml:space="preserve"> propuestas</w:t>
      </w:r>
    </w:p>
    <w:p w14:paraId="2F81BBDE" w14:textId="77777777" w:rsidR="00415806" w:rsidRPr="00AE4561" w:rsidRDefault="00415806" w:rsidP="003D79D2">
      <w:pPr>
        <w:rPr>
          <w:rFonts w:cstheme="minorHAnsi"/>
          <w:lang w:val="es-ES"/>
        </w:rPr>
      </w:pPr>
      <w:r>
        <w:rPr>
          <w:i/>
          <w:iCs/>
          <w:lang w:val="es-ES"/>
        </w:rPr>
        <w:t>Presentación de resultados de la Cumbre Mundial de la Juventud</w:t>
      </w:r>
      <w:r>
        <w:rPr>
          <w:lang w:val="es-ES"/>
        </w:rPr>
        <w:t>: Esta sesión incluirá presentaciones de los resultados clave de la Cumbre Mundial de la Juventud, mostrando cómo estas ideas e iniciativas pueden influir en la transformación del panorama digital y/o ya la han iniciado. Esto refleja directamente las medidas proactivas de la UIT para integrar las perspectivas de los jóvenes en su marco para una transformación digital más sostenible y una sociedad digital equitativa.</w:t>
      </w:r>
    </w:p>
    <w:p w14:paraId="1F10FB95" w14:textId="77777777" w:rsidR="00415806" w:rsidRPr="00AE4561" w:rsidRDefault="00415806" w:rsidP="00415806">
      <w:pPr>
        <w:spacing w:after="120"/>
        <w:rPr>
          <w:rFonts w:cstheme="minorHAnsi"/>
          <w:lang w:val="es-ES"/>
        </w:rPr>
      </w:pPr>
      <w:r>
        <w:rPr>
          <w:i/>
          <w:iCs/>
          <w:lang w:val="es-ES"/>
        </w:rPr>
        <w:t>Grupos de compromiso</w:t>
      </w:r>
      <w:r>
        <w:rPr>
          <w:lang w:val="es-ES"/>
        </w:rPr>
        <w:t>: Participe en discusiones con jóvenes líderes que han participado activamente en el desarrollo digital en el marco del voluntariado. En estos grupos se destacarán los proyectos en los que han trabajado y los desafíos que han superado, haciendo hincapié en su compromiso con los objetivos de integración digital de la BDT.</w:t>
      </w:r>
    </w:p>
    <w:p w14:paraId="699044FD" w14:textId="77777777" w:rsidR="00415806" w:rsidRPr="00AE4561" w:rsidRDefault="00415806" w:rsidP="00732C86">
      <w:pPr>
        <w:rPr>
          <w:rFonts w:cstheme="minorHAnsi"/>
          <w:color w:val="0D0D0D"/>
          <w:shd w:val="clear" w:color="auto" w:fill="FFFFFF"/>
          <w:lang w:val="es-ES"/>
        </w:rPr>
      </w:pPr>
      <w:r>
        <w:rPr>
          <w:i/>
          <w:iCs/>
          <w:lang w:val="es-ES"/>
        </w:rPr>
        <w:t>Talleres orientados a soluciones</w:t>
      </w:r>
      <w:r>
        <w:rPr>
          <w:lang w:val="es-ES"/>
        </w:rPr>
        <w:t>: Estos talleres interactivos proporcionarán una plataforma para que los participantes muestren sus proyectos e iniciativas actuales, invitando a la discusión, orientación y posibles asociaciones. El objetivo es proporcionar un entorno de colaboración que permita el desarrollo de planes de acción integrales para proyectos e iniciativas juveniles con influencia tangible en la implementación. Estos talleres tendrán por objeto la aplicación práctica de proyectos e iniciativas juveniles dentro y fuera de sus comunidades. Se fomentará el liderazgo de la BDT en la creación de nuevas vías de implementación, al tiempo que se alentará a los jóvenes participantes a traducir sus ideas en estrategias viables que impulsen cambios significativos.</w:t>
      </w:r>
    </w:p>
    <w:p w14:paraId="5EB39126" w14:textId="77777777" w:rsidR="00415806" w:rsidRPr="00AE4561" w:rsidRDefault="00415806" w:rsidP="00732C86">
      <w:pPr>
        <w:rPr>
          <w:rFonts w:cstheme="minorBidi"/>
          <w:lang w:val="es-ES"/>
        </w:rPr>
      </w:pPr>
      <w:r>
        <w:rPr>
          <w:i/>
          <w:iCs/>
          <w:lang w:val="es-ES"/>
        </w:rPr>
        <w:t>Diálogos intergeneracionales para fomentar un programa de desarrollo dinámico</w:t>
      </w:r>
      <w:r>
        <w:rPr>
          <w:lang w:val="es-ES"/>
        </w:rPr>
        <w:t xml:space="preserve">: Se celebrarán sesiones para reunir a los jóvenes participantes y los líderes y profesionales de las TIC reconocidos. Estos diálogos subrayarán la importancia de fusionar la experiencia y los conocimientos con ideas </w:t>
      </w:r>
      <w:r>
        <w:rPr>
          <w:lang w:val="es-ES"/>
        </w:rPr>
        <w:lastRenderedPageBreak/>
        <w:t>innovadoras. Además, se destacará el papel fundamental de los jóvenes en los esfuerzos de la BDT por fomentar un entorno dinámico de aprendizaje mutuo y colaboración para sacar adelante el programa de desarrollo digital.</w:t>
      </w:r>
    </w:p>
    <w:p w14:paraId="29D44695" w14:textId="64475B56" w:rsidR="00415806" w:rsidRPr="00AE4561" w:rsidRDefault="00415806" w:rsidP="00B21EB0">
      <w:pPr>
        <w:rPr>
          <w:lang w:val="es-ES"/>
        </w:rPr>
      </w:pPr>
      <w:r>
        <w:rPr>
          <w:lang w:val="es-ES"/>
        </w:rPr>
        <w:t>Por otra parte, estos diálogos intergeneracionales se alinearán con el enfoque global del sistema de las Naciones Unidas para el empoderamiento y el desarrollo de la juventud, destacando el papel de la UIT en la ampliación de la atención prestada a la juventud en el contexto de las TIC. Esta estrategia subraya el compromiso de la UIT de integrar las perspectivas de la juventud en las iniciativas mundiales de desarrollo desde 2003, reforzando los trabajos sobre juventud de otros organismos de las Naciones Unidas. La labor de la Organización de las Naciones Unidas para la Educación, la Ciencia y la Cultura (UNESCO) en la promoción de la educación inclusiva, del Programa de las Naciones Unidas para el Desarrollo (PNUD) en la implicación de los jóvenes en el desarrollo sostenible, del Programa de las Naciones Unidas para el Medio Ambiente (PNUMA) en pro de la participación de los jóvenes en actividades ambientales, de la Organización Internacional del Trabajo (OIT) en la promoción del empleo decente para los jóvenes y de la Organización Mundial de la Salud (OMS) en el tratamiento de los problemas de salud de los jóvenes, son ejemplos clave. A través de estos esfuerzos de colaboración, la ONU aprovecha el potencial de los jóvenes para promover los objetivos de desarrollo sostenible, asegurando que el dinamismo y la creatividad de los jóvenes sean fundamentales para dar forma a un futuro resiliente e inclusivo.</w:t>
      </w:r>
    </w:p>
    <w:p w14:paraId="4FA48B8F" w14:textId="77777777" w:rsidR="00415806" w:rsidRPr="00AE4561" w:rsidRDefault="00415806" w:rsidP="00B21EB0">
      <w:pPr>
        <w:rPr>
          <w:rFonts w:cstheme="minorHAnsi"/>
          <w:lang w:val="es-ES"/>
        </w:rPr>
      </w:pPr>
      <w:r>
        <w:rPr>
          <w:i/>
          <w:iCs/>
          <w:lang w:val="es-ES"/>
        </w:rPr>
        <w:t>Oportunidades para establecer contactos</w:t>
      </w:r>
      <w:r>
        <w:rPr>
          <w:lang w:val="es-ES"/>
        </w:rPr>
        <w:t>: Organizar actividades y/o eventos diseñados para mejorar las oportunidades de establecer contactos e intercambios culturales y fomentar un sentido de solidaridad mundial entre los jóvenes y los participantes en la CMDT-25. Estas actividades/eventos contarán con actividades de colaboración, creando una atmósfera atractiva e inclusiva propicia para establecer conexiones duraderas entre la juventud mundial y los principales responsables políticos y entes decisorios participantes en la CMDT-25.</w:t>
      </w:r>
    </w:p>
    <w:p w14:paraId="768AC716" w14:textId="4DD64BEC" w:rsidR="00415806" w:rsidRPr="005D3769" w:rsidRDefault="003D79D2" w:rsidP="003D79D2">
      <w:pPr>
        <w:pStyle w:val="Heading1"/>
        <w:rPr>
          <w:rFonts w:cstheme="minorBidi"/>
          <w:b w:val="0"/>
          <w:bCs/>
        </w:rPr>
      </w:pPr>
      <w:r>
        <w:rPr>
          <w:lang w:val="es-ES"/>
        </w:rPr>
        <w:t>4</w:t>
      </w:r>
      <w:r>
        <w:rPr>
          <w:lang w:val="es-ES"/>
        </w:rPr>
        <w:tab/>
      </w:r>
      <w:proofErr w:type="gramStart"/>
      <w:r w:rsidR="00415806" w:rsidRPr="003D79D2">
        <w:rPr>
          <w:lang w:val="es-ES"/>
        </w:rPr>
        <w:t>Resultados</w:t>
      </w:r>
      <w:proofErr w:type="gramEnd"/>
      <w:r w:rsidR="00415806" w:rsidRPr="003D79D2">
        <w:rPr>
          <w:lang w:val="es-ES"/>
        </w:rPr>
        <w:t xml:space="preserve"> previstos</w:t>
      </w:r>
    </w:p>
    <w:p w14:paraId="4504848A" w14:textId="77777777" w:rsidR="00415806" w:rsidRPr="00AE4561" w:rsidRDefault="00415806" w:rsidP="00B21EB0">
      <w:pPr>
        <w:rPr>
          <w:rFonts w:cstheme="minorHAnsi"/>
          <w:lang w:val="es-ES"/>
        </w:rPr>
      </w:pPr>
      <w:r>
        <w:rPr>
          <w:i/>
          <w:iCs/>
          <w:lang w:val="es-ES"/>
        </w:rPr>
        <w:t>Aprovechar los resultados de la Cumbre Mundial de la Juventud de la UIT</w:t>
      </w:r>
      <w:r>
        <w:rPr>
          <w:lang w:val="es-ES"/>
        </w:rPr>
        <w:t>: Aprovechar los resultados e iniciativas de la Cumbre Mundial de la Juventud para alimentar y dinamizar los debates de la CMDT-25.</w:t>
      </w:r>
    </w:p>
    <w:p w14:paraId="595D6B30" w14:textId="77777777" w:rsidR="00415806" w:rsidRPr="00AE4561" w:rsidRDefault="00415806" w:rsidP="00B21EB0">
      <w:pPr>
        <w:rPr>
          <w:rFonts w:cstheme="minorHAnsi"/>
          <w:lang w:val="es-ES"/>
        </w:rPr>
      </w:pPr>
      <w:r>
        <w:rPr>
          <w:i/>
          <w:iCs/>
          <w:lang w:val="es-ES"/>
        </w:rPr>
        <w:t>Reiterar el compromiso de la juventud</w:t>
      </w:r>
      <w:r>
        <w:rPr>
          <w:lang w:val="es-ES"/>
        </w:rPr>
        <w:t>: Destacar el compromiso permanente de los jóvenes de contribuir a la agenda de desarrollo de la UIT a través de actividades voluntarias y proyectos innovadores en sus respectivos países, regiones y a escala mundial.</w:t>
      </w:r>
    </w:p>
    <w:p w14:paraId="6FE5EE18" w14:textId="77777777" w:rsidR="00415806" w:rsidRPr="00AE4561" w:rsidRDefault="00415806" w:rsidP="00B21EB0">
      <w:pPr>
        <w:rPr>
          <w:rFonts w:cstheme="minorBidi"/>
          <w:lang w:val="es-ES"/>
        </w:rPr>
      </w:pPr>
      <w:r>
        <w:rPr>
          <w:i/>
          <w:iCs/>
          <w:lang w:val="es-ES"/>
        </w:rPr>
        <w:t>Estrategias viables</w:t>
      </w:r>
      <w:r>
        <w:rPr>
          <w:lang w:val="es-ES"/>
        </w:rPr>
        <w:t xml:space="preserve">: Identificar estrategias prácticas para dar seguimiento al documento final de la CMJ-24 destinado a implementar proyectos digitales dirigidos por jóvenes, en particular para garantizar que todos los jóvenes, incluidos aquéllos en situación de vulnerabilidad, sean empoderados por las TIC por igual y equitativamente para apoyar su </w:t>
      </w:r>
      <w:proofErr w:type="gramStart"/>
      <w:r>
        <w:rPr>
          <w:lang w:val="es-ES"/>
        </w:rPr>
        <w:t>participación activa</w:t>
      </w:r>
      <w:proofErr w:type="gramEnd"/>
      <w:r>
        <w:rPr>
          <w:lang w:val="es-ES"/>
        </w:rPr>
        <w:t xml:space="preserve"> en la sociedad, la economía y el entorno digitales.</w:t>
      </w:r>
    </w:p>
    <w:p w14:paraId="62EC10DE" w14:textId="77777777" w:rsidR="00415806" w:rsidRPr="00AE4561" w:rsidRDefault="00415806" w:rsidP="00B21EB0">
      <w:pPr>
        <w:rPr>
          <w:rFonts w:cstheme="minorBidi"/>
          <w:lang w:val="es-ES"/>
        </w:rPr>
      </w:pPr>
      <w:r>
        <w:rPr>
          <w:i/>
          <w:iCs/>
          <w:lang w:val="es-ES"/>
        </w:rPr>
        <w:t>Facilitar el diálogo intergeneracional</w:t>
      </w:r>
      <w:r>
        <w:rPr>
          <w:lang w:val="es-ES"/>
        </w:rPr>
        <w:t>: Establecer una plataforma que permita intercambios significativos entre jóvenes expertos, líderes e innovadores con responsables políticos y entes decisorios clave a nivel mundial y líderes de opinión reconocidos en el sector de las TIC. Esto fomentará la colaboración entre generaciones, permitiendo el intercambio de ideas y el desarrollo de relaciones de tutoría.</w:t>
      </w:r>
    </w:p>
    <w:p w14:paraId="1550021F" w14:textId="77777777" w:rsidR="00415806" w:rsidRPr="00AE4561" w:rsidRDefault="00415806" w:rsidP="00B21EB0">
      <w:pPr>
        <w:keepNext/>
        <w:keepLines/>
        <w:rPr>
          <w:rFonts w:cstheme="minorHAnsi"/>
          <w:lang w:val="es-ES"/>
        </w:rPr>
      </w:pPr>
      <w:r>
        <w:rPr>
          <w:i/>
          <w:iCs/>
          <w:lang w:val="es-ES"/>
        </w:rPr>
        <w:lastRenderedPageBreak/>
        <w:t>Red mundial mejorada</w:t>
      </w:r>
      <w:r>
        <w:rPr>
          <w:lang w:val="es-ES"/>
        </w:rPr>
        <w:t>: Fortalecer las conexiones entre los jóvenes líderes y entre los jóvenes y los responsables de la toma de decisiones a nivel mundial en el desarrollo digital. Esto facilitará el intercambio de conocimientos y las oportunidades de colaboración, construyendo una red sólida que respalde la agenda global de desarrollo digital actual y futura.</w:t>
      </w:r>
    </w:p>
    <w:p w14:paraId="396E2133" w14:textId="6359AC5E" w:rsidR="00415806" w:rsidRPr="005D3769" w:rsidRDefault="00732C86" w:rsidP="00732C86">
      <w:pPr>
        <w:pStyle w:val="Heading1"/>
        <w:rPr>
          <w:rFonts w:cstheme="minorHAnsi"/>
          <w:b w:val="0"/>
          <w:bCs/>
          <w:szCs w:val="24"/>
        </w:rPr>
      </w:pPr>
      <w:r>
        <w:rPr>
          <w:lang w:val="es-ES"/>
        </w:rPr>
        <w:t>5</w:t>
      </w:r>
      <w:r>
        <w:rPr>
          <w:lang w:val="es-ES"/>
        </w:rPr>
        <w:tab/>
      </w:r>
      <w:proofErr w:type="gramStart"/>
      <w:r w:rsidR="00415806" w:rsidRPr="00732C86">
        <w:rPr>
          <w:lang w:val="es-ES"/>
        </w:rPr>
        <w:t>Valor</w:t>
      </w:r>
      <w:proofErr w:type="gramEnd"/>
      <w:r w:rsidR="00415806" w:rsidRPr="00732C86">
        <w:rPr>
          <w:lang w:val="es-ES"/>
        </w:rPr>
        <w:t xml:space="preserve"> añadido del evento</w:t>
      </w:r>
    </w:p>
    <w:p w14:paraId="50FC755F" w14:textId="77777777" w:rsidR="00415806" w:rsidRPr="00AE4561" w:rsidRDefault="00415806" w:rsidP="00B21EB0">
      <w:pPr>
        <w:rPr>
          <w:rFonts w:cstheme="minorHAnsi"/>
          <w:lang w:val="es-ES"/>
        </w:rPr>
      </w:pPr>
      <w:r>
        <w:rPr>
          <w:lang w:val="es-ES"/>
        </w:rPr>
        <w:t>Gracias a este evento de celebración de la juventud, la BDT pretende garantizar que las voces de los jóvenes sigan influyendo en los trabajos de la UIT de cara a la CMDT-25 y después de ésta. Este evento no sólo pondrá de relieve el potencial de los jóvenes dirigentes para configurar el futuro digital, sino que también consolidará el compromiso de la UIT y la BDT con la joven generación como asociados fundamentales en la agenda mundial de desarrollo digital y telecomunicaciones.</w:t>
      </w:r>
    </w:p>
    <w:p w14:paraId="002FA12C" w14:textId="69056498" w:rsidR="00415806" w:rsidRDefault="00415806" w:rsidP="00B21EB0">
      <w:pPr>
        <w:rPr>
          <w:lang w:val="es-ES"/>
        </w:rPr>
      </w:pPr>
      <w:r>
        <w:rPr>
          <w:lang w:val="es-ES"/>
        </w:rPr>
        <w:t>Este enfoque no sólo pretende informar sino también inspirar a los Miembros de la UIT a integrar las voces, perspectivas y energía de los jóvenes en el centro de los debates de la CMDT-25, contribuyendo a que la Conferencia adquiera tono motivado y visionario.</w:t>
      </w:r>
    </w:p>
    <w:p w14:paraId="0EF101B9" w14:textId="77777777" w:rsidR="00A164D1" w:rsidRPr="00AE4561" w:rsidRDefault="00A164D1" w:rsidP="00A164D1">
      <w:pPr>
        <w:pStyle w:val="Reasons"/>
        <w:rPr>
          <w:lang w:val="es-ES"/>
        </w:rPr>
      </w:pPr>
    </w:p>
    <w:p w14:paraId="5B29B2A3" w14:textId="51AD89B4" w:rsidR="00923CF1" w:rsidRPr="00415806" w:rsidRDefault="00415806" w:rsidP="00415806">
      <w:pPr>
        <w:spacing w:after="120"/>
        <w:jc w:val="center"/>
      </w:pPr>
      <w:r>
        <w:rPr>
          <w:lang w:val="es-ES"/>
        </w:rPr>
        <w:t>________________</w:t>
      </w:r>
    </w:p>
    <w:sectPr w:rsidR="00923CF1" w:rsidRPr="00415806"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15806" w:rsidRPr="00415806" w14:paraId="695D1810" w14:textId="77777777" w:rsidTr="00415806">
      <w:tc>
        <w:tcPr>
          <w:tcW w:w="1526" w:type="dxa"/>
          <w:tcBorders>
            <w:top w:val="single" w:sz="4" w:space="0" w:color="000000"/>
          </w:tcBorders>
          <w:shd w:val="clear" w:color="auto" w:fill="auto"/>
        </w:tcPr>
        <w:p w14:paraId="746E5A61" w14:textId="51807E3E" w:rsidR="00415806" w:rsidRPr="00842E57" w:rsidRDefault="00415806" w:rsidP="00415806">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415806" w:rsidRPr="00842E57" w:rsidRDefault="00415806" w:rsidP="00415806">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6096B4B7" w14:textId="3DB864C6" w:rsidR="00415806" w:rsidRPr="00842E57" w:rsidRDefault="00415806" w:rsidP="00415806">
          <w:pPr>
            <w:pStyle w:val="FirstFooter"/>
            <w:tabs>
              <w:tab w:val="left" w:pos="2302"/>
            </w:tabs>
            <w:rPr>
              <w:sz w:val="18"/>
              <w:szCs w:val="18"/>
              <w:lang w:val="es-ES_tradnl"/>
            </w:rPr>
          </w:pPr>
          <w:r>
            <w:rPr>
              <w:lang w:val="es-ES"/>
            </w:rPr>
            <w:t>Sra. Roxana Widmer-Iliescu, Coordinadora Principal para la Inclusión Digital de la Oficina de Desarrollo de las Telecomunicaciones</w:t>
          </w:r>
        </w:p>
      </w:tc>
      <w:bookmarkStart w:id="3" w:name="OrgName"/>
      <w:bookmarkEnd w:id="3"/>
    </w:tr>
    <w:tr w:rsidR="00415806" w:rsidRPr="00842E57" w14:paraId="61167678" w14:textId="77777777" w:rsidTr="00415806">
      <w:tc>
        <w:tcPr>
          <w:tcW w:w="1526" w:type="dxa"/>
          <w:shd w:val="clear" w:color="auto" w:fill="auto"/>
        </w:tcPr>
        <w:p w14:paraId="33710823" w14:textId="77777777" w:rsidR="00415806" w:rsidRPr="00842E57" w:rsidRDefault="00415806" w:rsidP="00415806">
          <w:pPr>
            <w:pStyle w:val="FirstFooter"/>
            <w:tabs>
              <w:tab w:val="left" w:pos="1559"/>
              <w:tab w:val="left" w:pos="3828"/>
            </w:tabs>
            <w:rPr>
              <w:sz w:val="20"/>
              <w:lang w:val="es-ES_tradnl"/>
            </w:rPr>
          </w:pPr>
        </w:p>
      </w:tc>
      <w:tc>
        <w:tcPr>
          <w:tcW w:w="2410" w:type="dxa"/>
          <w:shd w:val="clear" w:color="auto" w:fill="auto"/>
        </w:tcPr>
        <w:p w14:paraId="1251F6E4" w14:textId="0AA1FA52" w:rsidR="00415806" w:rsidRPr="00842E57" w:rsidRDefault="00415806" w:rsidP="00415806">
          <w:pPr>
            <w:pStyle w:val="FirstFooter"/>
            <w:tabs>
              <w:tab w:val="left" w:pos="2302"/>
            </w:tabs>
            <w:rPr>
              <w:sz w:val="18"/>
              <w:szCs w:val="18"/>
              <w:lang w:val="es-ES_tradnl"/>
            </w:rPr>
          </w:pPr>
          <w:r w:rsidRPr="00842E57">
            <w:rPr>
              <w:sz w:val="18"/>
              <w:szCs w:val="18"/>
              <w:lang w:val="es-ES_tradnl"/>
            </w:rPr>
            <w:t>Tel.:</w:t>
          </w:r>
        </w:p>
      </w:tc>
      <w:tc>
        <w:tcPr>
          <w:tcW w:w="5987" w:type="dxa"/>
        </w:tcPr>
        <w:p w14:paraId="5D100703" w14:textId="65FEC310" w:rsidR="00415806" w:rsidRPr="00842E57" w:rsidRDefault="00415806" w:rsidP="00415806">
          <w:pPr>
            <w:pStyle w:val="FirstFooter"/>
            <w:tabs>
              <w:tab w:val="left" w:pos="2302"/>
            </w:tabs>
            <w:rPr>
              <w:sz w:val="18"/>
              <w:szCs w:val="18"/>
              <w:lang w:val="es-ES_tradnl"/>
            </w:rPr>
          </w:pPr>
          <w:r>
            <w:rPr>
              <w:lang w:val="es-ES"/>
            </w:rPr>
            <w:t>+41 798 25 08 52</w:t>
          </w:r>
        </w:p>
      </w:tc>
      <w:bookmarkStart w:id="4" w:name="PhoneNo"/>
      <w:bookmarkEnd w:id="4"/>
    </w:tr>
    <w:tr w:rsidR="00415806" w:rsidRPr="00415806" w14:paraId="0299A231" w14:textId="77777777" w:rsidTr="00415806">
      <w:tc>
        <w:tcPr>
          <w:tcW w:w="1526" w:type="dxa"/>
          <w:shd w:val="clear" w:color="auto" w:fill="auto"/>
        </w:tcPr>
        <w:p w14:paraId="35CBC438" w14:textId="77777777" w:rsidR="00415806" w:rsidRPr="00842E57" w:rsidRDefault="00415806" w:rsidP="00415806">
          <w:pPr>
            <w:pStyle w:val="FirstFooter"/>
            <w:tabs>
              <w:tab w:val="left" w:pos="1559"/>
              <w:tab w:val="left" w:pos="3828"/>
            </w:tabs>
            <w:rPr>
              <w:sz w:val="20"/>
              <w:lang w:val="es-ES_tradnl"/>
            </w:rPr>
          </w:pPr>
        </w:p>
      </w:tc>
      <w:tc>
        <w:tcPr>
          <w:tcW w:w="2410" w:type="dxa"/>
          <w:shd w:val="clear" w:color="auto" w:fill="auto"/>
        </w:tcPr>
        <w:p w14:paraId="65335E06" w14:textId="676092A0" w:rsidR="00415806" w:rsidRPr="00842E57" w:rsidRDefault="00415806" w:rsidP="00415806">
          <w:pPr>
            <w:pStyle w:val="FirstFooter"/>
            <w:tabs>
              <w:tab w:val="left" w:pos="2302"/>
            </w:tabs>
            <w:rPr>
              <w:sz w:val="18"/>
              <w:szCs w:val="18"/>
              <w:lang w:val="es-ES_tradnl"/>
            </w:rPr>
          </w:pPr>
          <w:r w:rsidRPr="00842E57">
            <w:rPr>
              <w:sz w:val="18"/>
              <w:szCs w:val="18"/>
              <w:lang w:val="es-ES_tradnl"/>
            </w:rPr>
            <w:t>Correo-e:</w:t>
          </w:r>
        </w:p>
      </w:tc>
      <w:tc>
        <w:tcPr>
          <w:tcW w:w="5987" w:type="dxa"/>
        </w:tcPr>
        <w:p w14:paraId="0C718492" w14:textId="798E336C" w:rsidR="00415806" w:rsidRPr="00842E57" w:rsidRDefault="00415806" w:rsidP="00415806">
          <w:pPr>
            <w:pStyle w:val="FirstFooter"/>
            <w:tabs>
              <w:tab w:val="left" w:pos="2302"/>
            </w:tabs>
            <w:rPr>
              <w:sz w:val="18"/>
              <w:szCs w:val="18"/>
              <w:lang w:val="es-ES_tradnl"/>
            </w:rPr>
          </w:pPr>
          <w:hyperlink r:id="rId1" w:history="1">
            <w:r w:rsidRPr="00415806">
              <w:rPr>
                <w:u w:val="single"/>
                <w:lang w:val="es-ES_tradnl"/>
              </w:rPr>
              <w:t>roxana.widmer-iliescu@itu.int</w:t>
            </w:r>
          </w:hyperlink>
        </w:p>
      </w:tc>
      <w:bookmarkStart w:id="5" w:name="Email"/>
      <w:bookmarkEnd w:id="5"/>
    </w:tr>
  </w:tbl>
  <w:p w14:paraId="5AEFE7F9" w14:textId="77777777" w:rsidR="0059420B" w:rsidRPr="00415806" w:rsidRDefault="0059420B" w:rsidP="00B80157">
    <w:pPr>
      <w:pStyle w:val="Footer"/>
      <w:jc w:val="center"/>
      <w:rPr>
        <w:lang w:val="es-ES_tradnl"/>
      </w:rPr>
    </w:pPr>
  </w:p>
  <w:p w14:paraId="40A321D0" w14:textId="78E43D36" w:rsidR="00721657" w:rsidRPr="003C6C09" w:rsidRDefault="00A164D1"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3EB841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415806">
      <w:rPr>
        <w:sz w:val="22"/>
        <w:szCs w:val="22"/>
        <w:lang w:val="de-CH"/>
      </w:rPr>
      <w:t>30</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F233D51"/>
    <w:multiLevelType w:val="hybridMultilevel"/>
    <w:tmpl w:val="4D24E7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214927">
    <w:abstractNumId w:val="0"/>
  </w:num>
  <w:num w:numId="2" w16cid:durableId="726300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A640C"/>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338D4"/>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5FC9"/>
    <w:rsid w:val="001F23E6"/>
    <w:rsid w:val="001F4238"/>
    <w:rsid w:val="00200A38"/>
    <w:rsid w:val="00200A46"/>
    <w:rsid w:val="00211B6F"/>
    <w:rsid w:val="00217CC3"/>
    <w:rsid w:val="00220AB6"/>
    <w:rsid w:val="0022120F"/>
    <w:rsid w:val="0022754A"/>
    <w:rsid w:val="002331B5"/>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B0B"/>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D79D2"/>
    <w:rsid w:val="003F2DD8"/>
    <w:rsid w:val="003F3F2D"/>
    <w:rsid w:val="003F50B2"/>
    <w:rsid w:val="00400CCF"/>
    <w:rsid w:val="00401BFF"/>
    <w:rsid w:val="00404424"/>
    <w:rsid w:val="0041156B"/>
    <w:rsid w:val="004122C5"/>
    <w:rsid w:val="00413B78"/>
    <w:rsid w:val="00415806"/>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1E7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1EFC"/>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32C86"/>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64D1"/>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1EB0"/>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CEONormal">
    <w:name w:val="CEO_Normal"/>
    <w:link w:val="CEONormalChar"/>
    <w:rsid w:val="0041580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15806"/>
    <w:rPr>
      <w:rFonts w:ascii="Verdana" w:eastAsia="SimHei" w:hAnsi="Verdana" w:cs="Simplified Arabic"/>
      <w:sz w:val="19"/>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1503</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18</cp:revision>
  <cp:lastPrinted>2014-11-04T09:22:00Z</cp:lastPrinted>
  <dcterms:created xsi:type="dcterms:W3CDTF">2024-05-07T13:14:00Z</dcterms:created>
  <dcterms:modified xsi:type="dcterms:W3CDTF">2024-05-07T14:01:00Z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