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14:paraId="58B0D6CF" w14:textId="77777777" w:rsidTr="00952667">
        <w:trPr>
          <w:cantSplit/>
          <w:trHeight w:val="1134"/>
        </w:trPr>
        <w:tc>
          <w:tcPr>
            <w:tcW w:w="6379" w:type="dxa"/>
          </w:tcPr>
          <w:p w14:paraId="6F8D2B01" w14:textId="77777777" w:rsidR="00307769" w:rsidRDefault="00966BA6" w:rsidP="00DF240D">
            <w:pPr>
              <w:tabs>
                <w:tab w:val="clear" w:pos="1191"/>
                <w:tab w:val="clear" w:pos="1588"/>
                <w:tab w:val="clear" w:pos="1985"/>
              </w:tabs>
              <w:spacing w:before="280" w:after="120"/>
              <w:ind w:left="34"/>
              <w:rPr>
                <w:b/>
                <w:bCs/>
                <w:sz w:val="32"/>
                <w:szCs w:val="32"/>
                <w:lang w:eastAsia="zh-CN"/>
              </w:rPr>
            </w:pPr>
            <w:r w:rsidRPr="00DF240D">
              <w:rPr>
                <w:rFonts w:eastAsia="SimSun" w:hint="eastAsia"/>
                <w:b/>
                <w:bCs/>
                <w:sz w:val="32"/>
                <w:szCs w:val="32"/>
                <w:lang w:eastAsia="zh-CN"/>
              </w:rPr>
              <w:t>电信发展顾问组（</w:t>
            </w:r>
            <w:r w:rsidRPr="00DF240D">
              <w:rPr>
                <w:rFonts w:eastAsia="SimSun"/>
                <w:b/>
                <w:bCs/>
                <w:sz w:val="32"/>
                <w:szCs w:val="32"/>
                <w:lang w:eastAsia="zh-CN"/>
              </w:rPr>
              <w:t>TDAG</w:t>
            </w:r>
            <w:r w:rsidRPr="00DF240D">
              <w:rPr>
                <w:rFonts w:eastAsia="SimSun" w:hint="eastAsia"/>
                <w:b/>
                <w:bCs/>
                <w:sz w:val="32"/>
                <w:szCs w:val="32"/>
                <w:lang w:eastAsia="zh-CN"/>
              </w:rPr>
              <w:t>）</w:t>
            </w:r>
          </w:p>
          <w:p w14:paraId="15B7A9EC" w14:textId="77777777" w:rsidR="00307769" w:rsidRPr="00844A56" w:rsidRDefault="00966BA6" w:rsidP="00DF240D">
            <w:pPr>
              <w:tabs>
                <w:tab w:val="clear" w:pos="1191"/>
                <w:tab w:val="clear" w:pos="1588"/>
                <w:tab w:val="clear" w:pos="1985"/>
              </w:tabs>
              <w:spacing w:before="100" w:after="120"/>
              <w:ind w:left="34"/>
              <w:rPr>
                <w:rFonts w:ascii="Verdana" w:hAnsi="Verdana"/>
                <w:sz w:val="28"/>
                <w:szCs w:val="28"/>
                <w:lang w:eastAsia="zh-CN"/>
              </w:rPr>
            </w:pPr>
            <w:r w:rsidRPr="00DF240D">
              <w:rPr>
                <w:rFonts w:eastAsia="SimSun" w:hint="eastAsia"/>
                <w:b/>
                <w:bCs/>
                <w:sz w:val="26"/>
                <w:szCs w:val="26"/>
                <w:lang w:eastAsia="zh-CN"/>
              </w:rPr>
              <w:t>第</w:t>
            </w:r>
            <w:r w:rsidRPr="00DF240D">
              <w:rPr>
                <w:rFonts w:eastAsia="SimSun"/>
                <w:b/>
                <w:bCs/>
                <w:sz w:val="26"/>
                <w:szCs w:val="26"/>
                <w:lang w:eastAsia="zh-CN"/>
              </w:rPr>
              <w:t>3</w:t>
            </w:r>
            <w:r w:rsidR="003222A1">
              <w:rPr>
                <w:rFonts w:eastAsia="SimSun"/>
                <w:b/>
                <w:bCs/>
                <w:sz w:val="26"/>
                <w:szCs w:val="26"/>
                <w:lang w:eastAsia="zh-CN"/>
              </w:rPr>
              <w:t>1</w:t>
            </w:r>
            <w:r w:rsidRPr="00DF240D">
              <w:rPr>
                <w:rFonts w:eastAsia="SimSun" w:hint="eastAsia"/>
                <w:b/>
                <w:bCs/>
                <w:sz w:val="26"/>
                <w:szCs w:val="26"/>
                <w:lang w:eastAsia="zh-CN"/>
              </w:rPr>
              <w:t>次会议，瑞士日内瓦，</w:t>
            </w:r>
            <w:r w:rsidRPr="00DF240D">
              <w:rPr>
                <w:rFonts w:eastAsia="SimSun"/>
                <w:b/>
                <w:bCs/>
                <w:sz w:val="26"/>
                <w:szCs w:val="26"/>
                <w:lang w:eastAsia="zh-CN"/>
              </w:rPr>
              <w:t>202</w:t>
            </w:r>
            <w:r w:rsidR="003222A1">
              <w:rPr>
                <w:rFonts w:eastAsia="SimSun"/>
                <w:b/>
                <w:bCs/>
                <w:sz w:val="26"/>
                <w:szCs w:val="26"/>
                <w:lang w:eastAsia="zh-CN"/>
              </w:rPr>
              <w:t>4</w:t>
            </w:r>
            <w:r w:rsidRPr="00DF240D">
              <w:rPr>
                <w:rFonts w:eastAsia="SimSun" w:hint="eastAsia"/>
                <w:b/>
                <w:bCs/>
                <w:sz w:val="26"/>
                <w:szCs w:val="26"/>
                <w:lang w:eastAsia="zh-CN"/>
              </w:rPr>
              <w:t>年</w:t>
            </w:r>
            <w:r w:rsidR="003222A1">
              <w:rPr>
                <w:rFonts w:eastAsia="SimSun"/>
                <w:b/>
                <w:bCs/>
                <w:sz w:val="26"/>
                <w:szCs w:val="26"/>
                <w:lang w:eastAsia="zh-CN"/>
              </w:rPr>
              <w:t>5</w:t>
            </w:r>
            <w:r w:rsidRPr="00DF240D">
              <w:rPr>
                <w:rFonts w:eastAsia="SimSun" w:hint="eastAsia"/>
                <w:b/>
                <w:bCs/>
                <w:sz w:val="26"/>
                <w:szCs w:val="26"/>
                <w:lang w:eastAsia="zh-CN"/>
              </w:rPr>
              <w:t>月</w:t>
            </w:r>
            <w:r w:rsidR="003222A1">
              <w:rPr>
                <w:rFonts w:eastAsia="SimSun"/>
                <w:b/>
                <w:bCs/>
                <w:sz w:val="26"/>
                <w:szCs w:val="26"/>
                <w:lang w:eastAsia="zh-CN"/>
              </w:rPr>
              <w:t>20</w:t>
            </w:r>
            <w:r w:rsidRPr="00DF240D">
              <w:rPr>
                <w:rFonts w:eastAsia="SimSun"/>
                <w:b/>
                <w:bCs/>
                <w:sz w:val="26"/>
                <w:szCs w:val="26"/>
                <w:lang w:eastAsia="zh-CN"/>
              </w:rPr>
              <w:t>-2</w:t>
            </w:r>
            <w:r w:rsidR="008B1E82">
              <w:rPr>
                <w:rFonts w:eastAsia="SimSun"/>
                <w:b/>
                <w:bCs/>
                <w:sz w:val="26"/>
                <w:szCs w:val="26"/>
                <w:lang w:eastAsia="zh-CN"/>
              </w:rPr>
              <w:t>3</w:t>
            </w:r>
            <w:r w:rsidRPr="00DF240D">
              <w:rPr>
                <w:rFonts w:eastAsia="SimSun" w:hint="eastAsia"/>
                <w:b/>
                <w:bCs/>
                <w:sz w:val="26"/>
                <w:szCs w:val="26"/>
                <w:lang w:eastAsia="zh-CN"/>
              </w:rPr>
              <w:t>日</w:t>
            </w:r>
          </w:p>
        </w:tc>
        <w:tc>
          <w:tcPr>
            <w:tcW w:w="3509" w:type="dxa"/>
          </w:tcPr>
          <w:p w14:paraId="41FE6D38" w14:textId="77777777" w:rsidR="00307769" w:rsidRPr="00683C32" w:rsidRDefault="00307769" w:rsidP="00952667">
            <w:pPr>
              <w:spacing w:after="120"/>
              <w:ind w:right="142"/>
              <w:jc w:val="right"/>
            </w:pPr>
            <w:r>
              <w:rPr>
                <w:noProof/>
                <w:lang w:val="fr-FR" w:eastAsia="fr-FR"/>
              </w:rPr>
              <w:drawing>
                <wp:inline distT="0" distB="0" distL="0" distR="0" wp14:anchorId="3B9FC6E0" wp14:editId="7B9D410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8FD9681" w14:textId="77777777" w:rsidTr="0009076F">
        <w:trPr>
          <w:cantSplit/>
        </w:trPr>
        <w:tc>
          <w:tcPr>
            <w:tcW w:w="6379" w:type="dxa"/>
            <w:tcBorders>
              <w:top w:val="single" w:sz="12" w:space="0" w:color="auto"/>
            </w:tcBorders>
          </w:tcPr>
          <w:p w14:paraId="132D9865"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573C2252" w14:textId="77777777" w:rsidR="00683C32" w:rsidRPr="00997358" w:rsidRDefault="00683C32" w:rsidP="00107E85">
            <w:pPr>
              <w:spacing w:before="0"/>
              <w:rPr>
                <w:b/>
                <w:bCs/>
                <w:sz w:val="20"/>
              </w:rPr>
            </w:pPr>
          </w:p>
        </w:tc>
      </w:tr>
      <w:tr w:rsidR="00683C32" w:rsidRPr="00002716" w14:paraId="5BF17B23" w14:textId="77777777" w:rsidTr="0009076F">
        <w:trPr>
          <w:cantSplit/>
        </w:trPr>
        <w:tc>
          <w:tcPr>
            <w:tcW w:w="6379" w:type="dxa"/>
          </w:tcPr>
          <w:p w14:paraId="7383B039" w14:textId="77777777" w:rsidR="00683C32" w:rsidRPr="007F1CC7" w:rsidRDefault="00683C32" w:rsidP="00400CCF">
            <w:pPr>
              <w:pStyle w:val="Committee"/>
              <w:spacing w:before="0"/>
              <w:rPr>
                <w:b w:val="0"/>
                <w:szCs w:val="24"/>
              </w:rPr>
            </w:pPr>
          </w:p>
        </w:tc>
        <w:tc>
          <w:tcPr>
            <w:tcW w:w="3509" w:type="dxa"/>
          </w:tcPr>
          <w:p w14:paraId="1E0C60FD" w14:textId="60AC8517" w:rsidR="00683C32" w:rsidRPr="007F1CC7" w:rsidRDefault="00966BA6" w:rsidP="00B648C7">
            <w:pPr>
              <w:spacing w:before="0"/>
              <w:jc w:val="both"/>
              <w:rPr>
                <w:bCs/>
                <w:szCs w:val="24"/>
                <w:lang w:val="en-US"/>
              </w:rPr>
            </w:pPr>
            <w:proofErr w:type="spellStart"/>
            <w:r>
              <w:rPr>
                <w:rFonts w:hint="eastAsia"/>
                <w:b/>
                <w:bCs/>
                <w:lang w:val="en-US"/>
              </w:rPr>
              <w:t>文件</w:t>
            </w:r>
            <w:proofErr w:type="spellEnd"/>
            <w:r w:rsidR="0096201B" w:rsidRPr="00A54E72">
              <w:rPr>
                <w:b/>
                <w:bCs/>
                <w:lang w:val="en-US"/>
              </w:rPr>
              <w:t xml:space="preserve"> </w:t>
            </w:r>
            <w:bookmarkStart w:id="0" w:name="DocRef1"/>
            <w:bookmarkEnd w:id="0"/>
            <w:r w:rsidR="0096201B">
              <w:rPr>
                <w:b/>
                <w:bCs/>
                <w:lang w:val="en-US"/>
              </w:rPr>
              <w:t>TDAG</w:t>
            </w:r>
            <w:r w:rsidR="003242AB">
              <w:rPr>
                <w:b/>
                <w:bCs/>
                <w:lang w:val="en-US"/>
              </w:rPr>
              <w:t>-</w:t>
            </w:r>
            <w:r w:rsidR="00B648C7">
              <w:rPr>
                <w:b/>
                <w:bCs/>
                <w:lang w:val="en-US"/>
              </w:rPr>
              <w:t>2</w:t>
            </w:r>
            <w:bookmarkStart w:id="1" w:name="DocNo1"/>
            <w:bookmarkEnd w:id="1"/>
            <w:r w:rsidR="003222A1">
              <w:rPr>
                <w:b/>
                <w:bCs/>
                <w:lang w:val="en-US"/>
              </w:rPr>
              <w:t>4</w:t>
            </w:r>
            <w:r w:rsidR="0009076F">
              <w:rPr>
                <w:b/>
                <w:bCs/>
                <w:lang w:val="en-US"/>
              </w:rPr>
              <w:t>/</w:t>
            </w:r>
            <w:r w:rsidR="00FB5696">
              <w:rPr>
                <w:b/>
                <w:bCs/>
                <w:lang w:val="en-US"/>
              </w:rPr>
              <w:t>30</w:t>
            </w:r>
            <w:r w:rsidR="0096201B">
              <w:rPr>
                <w:b/>
                <w:bCs/>
                <w:lang w:val="en-US"/>
              </w:rPr>
              <w:t>-</w:t>
            </w:r>
            <w:r>
              <w:rPr>
                <w:rFonts w:hint="eastAsia"/>
                <w:b/>
                <w:bCs/>
                <w:lang w:val="en-US" w:eastAsia="zh-CN"/>
              </w:rPr>
              <w:t>C</w:t>
            </w:r>
          </w:p>
        </w:tc>
      </w:tr>
      <w:tr w:rsidR="00683C32" w14:paraId="6581A073" w14:textId="77777777" w:rsidTr="0009076F">
        <w:trPr>
          <w:cantSplit/>
        </w:trPr>
        <w:tc>
          <w:tcPr>
            <w:tcW w:w="6379" w:type="dxa"/>
          </w:tcPr>
          <w:p w14:paraId="5A0DD484" w14:textId="77777777" w:rsidR="00683C32" w:rsidRPr="007F1CC7" w:rsidRDefault="00683C32" w:rsidP="00400CCF">
            <w:pPr>
              <w:spacing w:before="0"/>
              <w:rPr>
                <w:b/>
                <w:bCs/>
                <w:smallCaps/>
                <w:szCs w:val="24"/>
                <w:lang w:val="en-US"/>
              </w:rPr>
            </w:pPr>
          </w:p>
        </w:tc>
        <w:tc>
          <w:tcPr>
            <w:tcW w:w="3509" w:type="dxa"/>
          </w:tcPr>
          <w:p w14:paraId="5F9EADE2" w14:textId="0B2A5517" w:rsidR="00683C32" w:rsidRPr="007F1CC7" w:rsidRDefault="00475E46" w:rsidP="00B648C7">
            <w:pPr>
              <w:spacing w:before="0"/>
              <w:rPr>
                <w:b/>
                <w:szCs w:val="24"/>
              </w:rPr>
            </w:pPr>
            <w:bookmarkStart w:id="2" w:name="CreationDate"/>
            <w:bookmarkEnd w:id="2"/>
            <w:r w:rsidRPr="0031792A">
              <w:rPr>
                <w:b/>
                <w:bCs/>
                <w:szCs w:val="28"/>
              </w:rPr>
              <w:t>202</w:t>
            </w:r>
            <w:r>
              <w:rPr>
                <w:b/>
                <w:bCs/>
                <w:szCs w:val="28"/>
              </w:rPr>
              <w:t>4</w:t>
            </w:r>
            <w:r w:rsidRPr="0031792A">
              <w:rPr>
                <w:rFonts w:hint="eastAsia"/>
                <w:b/>
                <w:bCs/>
                <w:szCs w:val="28"/>
                <w:lang w:eastAsia="zh-CN"/>
              </w:rPr>
              <w:t>年</w:t>
            </w:r>
            <w:r w:rsidR="00FB5696">
              <w:rPr>
                <w:b/>
                <w:bCs/>
                <w:szCs w:val="28"/>
                <w:lang w:eastAsia="zh-CN"/>
              </w:rPr>
              <w:t>5</w:t>
            </w:r>
            <w:r w:rsidRPr="0031792A">
              <w:rPr>
                <w:rFonts w:hint="eastAsia"/>
                <w:b/>
                <w:bCs/>
                <w:szCs w:val="28"/>
                <w:lang w:eastAsia="zh-CN"/>
              </w:rPr>
              <w:t>月</w:t>
            </w:r>
            <w:r w:rsidR="00FB5696">
              <w:rPr>
                <w:b/>
                <w:bCs/>
                <w:szCs w:val="28"/>
                <w:lang w:eastAsia="zh-CN"/>
              </w:rPr>
              <w:t>6</w:t>
            </w:r>
            <w:r w:rsidRPr="0031792A">
              <w:rPr>
                <w:rFonts w:hint="eastAsia"/>
                <w:b/>
                <w:bCs/>
                <w:szCs w:val="28"/>
                <w:lang w:eastAsia="zh-CN"/>
              </w:rPr>
              <w:t>日</w:t>
            </w:r>
          </w:p>
        </w:tc>
      </w:tr>
      <w:tr w:rsidR="00683C32" w14:paraId="78493247" w14:textId="77777777" w:rsidTr="0009076F">
        <w:trPr>
          <w:cantSplit/>
        </w:trPr>
        <w:tc>
          <w:tcPr>
            <w:tcW w:w="6379" w:type="dxa"/>
          </w:tcPr>
          <w:p w14:paraId="38F54474" w14:textId="77777777" w:rsidR="00683C32" w:rsidRPr="007F1CC7" w:rsidRDefault="00683C32" w:rsidP="00400CCF">
            <w:pPr>
              <w:spacing w:before="0"/>
              <w:rPr>
                <w:b/>
                <w:bCs/>
                <w:smallCaps/>
                <w:szCs w:val="24"/>
              </w:rPr>
            </w:pPr>
          </w:p>
        </w:tc>
        <w:tc>
          <w:tcPr>
            <w:tcW w:w="3509" w:type="dxa"/>
          </w:tcPr>
          <w:p w14:paraId="344FE677" w14:textId="77777777" w:rsidR="00514D2F" w:rsidRPr="007F1CC7" w:rsidRDefault="00966BA6" w:rsidP="00400CCF">
            <w:pPr>
              <w:spacing w:before="0"/>
              <w:rPr>
                <w:szCs w:val="24"/>
              </w:rPr>
            </w:pPr>
            <w:r>
              <w:rPr>
                <w:rFonts w:hint="eastAsia"/>
                <w:b/>
                <w:lang w:eastAsia="zh-CN"/>
              </w:rPr>
              <w:t>原文：英文</w:t>
            </w:r>
          </w:p>
        </w:tc>
      </w:tr>
      <w:tr w:rsidR="00A13162" w14:paraId="3C3E39E7" w14:textId="77777777" w:rsidTr="00107E85">
        <w:trPr>
          <w:cantSplit/>
          <w:trHeight w:val="852"/>
        </w:trPr>
        <w:tc>
          <w:tcPr>
            <w:tcW w:w="9888" w:type="dxa"/>
            <w:gridSpan w:val="2"/>
          </w:tcPr>
          <w:p w14:paraId="2B1ABFD6" w14:textId="6388B0E4" w:rsidR="00A13162" w:rsidRPr="0030353C" w:rsidRDefault="00475E46" w:rsidP="0030353C">
            <w:pPr>
              <w:pStyle w:val="Source"/>
            </w:pPr>
            <w:bookmarkStart w:id="3" w:name="Source"/>
            <w:bookmarkEnd w:id="3"/>
            <w:r>
              <w:rPr>
                <w:rFonts w:hint="eastAsia"/>
                <w:lang w:eastAsia="zh-CN"/>
              </w:rPr>
              <w:t>电信发展局主任</w:t>
            </w:r>
          </w:p>
        </w:tc>
      </w:tr>
      <w:tr w:rsidR="00AC6F14" w:rsidRPr="002E6963" w14:paraId="4905170A" w14:textId="77777777" w:rsidTr="00107E85">
        <w:trPr>
          <w:cantSplit/>
        </w:trPr>
        <w:tc>
          <w:tcPr>
            <w:tcW w:w="9888" w:type="dxa"/>
            <w:gridSpan w:val="2"/>
          </w:tcPr>
          <w:p w14:paraId="3A401F7F" w14:textId="6AEA230B" w:rsidR="00AC6F14" w:rsidRPr="0031086F" w:rsidRDefault="00FB5696" w:rsidP="0030353C">
            <w:pPr>
              <w:pStyle w:val="Title1"/>
              <w:rPr>
                <w:rFonts w:ascii="Calibri" w:eastAsia="SimSun" w:hAnsi="Calibri" w:cs="Calibri"/>
                <w:lang w:eastAsia="zh-CN"/>
              </w:rPr>
            </w:pPr>
            <w:bookmarkStart w:id="4" w:name="Title"/>
            <w:bookmarkEnd w:id="4"/>
            <w:r w:rsidRPr="0031086F">
              <w:rPr>
                <w:rFonts w:ascii="Calibri" w:eastAsia="SimSun" w:hAnsi="Calibri" w:cs="Calibri" w:hint="eastAsia"/>
                <w:bCs/>
                <w:lang w:eastAsia="zh-CN"/>
              </w:rPr>
              <w:t>塑造数字</w:t>
            </w:r>
            <w:r w:rsidRPr="0031086F">
              <w:rPr>
                <w:rFonts w:ascii="Calibri" w:eastAsia="SimSun" w:hAnsi="Calibri" w:cs="Calibri" w:hint="eastAsia"/>
                <w:bCs/>
                <w:lang w:val="en-US" w:eastAsia="zh-CN"/>
              </w:rPr>
              <w:t>化</w:t>
            </w:r>
            <w:r w:rsidRPr="0031086F">
              <w:rPr>
                <w:rFonts w:ascii="Calibri" w:eastAsia="SimSun" w:hAnsi="Calibri" w:cs="Calibri" w:hint="eastAsia"/>
                <w:bCs/>
                <w:lang w:eastAsia="zh-CN"/>
              </w:rPr>
              <w:t>发展的未来青年庆祝活动：</w:t>
            </w:r>
            <w:r w:rsidRPr="0031086F">
              <w:rPr>
                <w:rFonts w:ascii="Calibri" w:eastAsia="SimSun" w:hAnsi="Calibri" w:cs="Calibri"/>
                <w:bCs/>
                <w:lang w:eastAsia="zh-CN"/>
              </w:rPr>
              <w:br/>
            </w:r>
            <w:r w:rsidRPr="0031086F">
              <w:rPr>
                <w:rFonts w:ascii="Calibri" w:eastAsia="SimSun" w:hAnsi="Calibri" w:cs="Calibri" w:hint="eastAsia"/>
                <w:bCs/>
                <w:lang w:eastAsia="zh-CN"/>
              </w:rPr>
              <w:t>在</w:t>
            </w:r>
            <w:r w:rsidRPr="0031086F">
              <w:rPr>
                <w:rFonts w:ascii="Calibri" w:eastAsia="SimSun" w:hAnsi="Calibri" w:cs="Calibri" w:hint="eastAsia"/>
                <w:bCs/>
                <w:lang w:eastAsia="zh-CN"/>
              </w:rPr>
              <w:t>2025</w:t>
            </w:r>
            <w:r w:rsidRPr="0031086F">
              <w:rPr>
                <w:rFonts w:ascii="Calibri" w:eastAsia="SimSun" w:hAnsi="Calibri" w:cs="Calibri" w:hint="eastAsia"/>
                <w:bCs/>
                <w:lang w:eastAsia="zh-CN"/>
              </w:rPr>
              <w:t>年世界电信发展大会（</w:t>
            </w:r>
            <w:r w:rsidRPr="0031086F">
              <w:rPr>
                <w:rFonts w:ascii="Calibri" w:eastAsia="SimSun" w:hAnsi="Calibri" w:cs="Calibri"/>
                <w:bCs/>
                <w:lang w:eastAsia="zh-CN"/>
              </w:rPr>
              <w:t>WTDC-25</w:t>
            </w:r>
            <w:r w:rsidRPr="0031086F">
              <w:rPr>
                <w:rFonts w:ascii="Calibri" w:eastAsia="SimSun" w:hAnsi="Calibri" w:cs="Calibri" w:hint="eastAsia"/>
                <w:bCs/>
                <w:lang w:eastAsia="zh-CN"/>
              </w:rPr>
              <w:t>）</w:t>
            </w:r>
            <w:proofErr w:type="gramStart"/>
            <w:r w:rsidRPr="0031086F">
              <w:rPr>
                <w:rFonts w:ascii="Calibri" w:eastAsia="SimSun" w:hAnsi="Calibri" w:cs="Calibri" w:hint="eastAsia"/>
                <w:bCs/>
                <w:lang w:eastAsia="zh-CN"/>
              </w:rPr>
              <w:t>召开之前</w:t>
            </w:r>
            <w:proofErr w:type="gramEnd"/>
            <w:r w:rsidRPr="0031086F">
              <w:rPr>
                <w:rFonts w:ascii="Calibri" w:eastAsia="SimSun" w:hAnsi="Calibri" w:cs="Calibri"/>
                <w:bCs/>
                <w:lang w:eastAsia="zh-CN"/>
              </w:rPr>
              <w:br/>
            </w:r>
            <w:r w:rsidRPr="0031086F">
              <w:rPr>
                <w:rFonts w:ascii="Calibri" w:eastAsia="SimSun" w:hAnsi="Calibri" w:cs="Calibri" w:hint="eastAsia"/>
                <w:bCs/>
                <w:lang w:eastAsia="zh-CN"/>
              </w:rPr>
              <w:t>倾听明日之声</w:t>
            </w:r>
          </w:p>
        </w:tc>
      </w:tr>
      <w:tr w:rsidR="00A721F4" w:rsidRPr="002E6963" w14:paraId="50883780" w14:textId="77777777" w:rsidTr="00A721F4">
        <w:trPr>
          <w:cantSplit/>
        </w:trPr>
        <w:tc>
          <w:tcPr>
            <w:tcW w:w="9888" w:type="dxa"/>
            <w:gridSpan w:val="2"/>
            <w:tcBorders>
              <w:bottom w:val="single" w:sz="4" w:space="0" w:color="auto"/>
            </w:tcBorders>
          </w:tcPr>
          <w:p w14:paraId="6351B48C" w14:textId="77777777" w:rsidR="00A721F4" w:rsidRPr="00A721F4" w:rsidRDefault="00A721F4" w:rsidP="0030353C">
            <w:pPr>
              <w:rPr>
                <w:lang w:eastAsia="zh-CN"/>
              </w:rPr>
            </w:pPr>
          </w:p>
        </w:tc>
      </w:tr>
      <w:tr w:rsidR="00A721F4" w:rsidRPr="002E6963" w14:paraId="52270223"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14C5FEC5" w14:textId="77777777" w:rsidR="00A721F4" w:rsidRPr="00F62E76" w:rsidRDefault="00966BA6" w:rsidP="00EA0C51">
            <w:pPr>
              <w:spacing w:after="120"/>
              <w:rPr>
                <w:rFonts w:ascii="Calibri" w:eastAsia="SimSun" w:hAnsi="Calibri" w:cs="Calibri"/>
                <w:b/>
                <w:bCs/>
                <w:szCs w:val="24"/>
                <w:lang w:eastAsia="zh-CN"/>
              </w:rPr>
            </w:pPr>
            <w:r w:rsidRPr="00F62E76">
              <w:rPr>
                <w:rFonts w:ascii="Calibri" w:eastAsia="SimSun" w:hAnsi="Calibri" w:cs="Calibri" w:hint="eastAsia"/>
                <w:b/>
                <w:bCs/>
                <w:szCs w:val="24"/>
                <w:lang w:eastAsia="zh-CN"/>
              </w:rPr>
              <w:t>概要：</w:t>
            </w:r>
          </w:p>
          <w:p w14:paraId="5163E524" w14:textId="77777777" w:rsidR="00FB5696" w:rsidRPr="00F62E76" w:rsidRDefault="00FB5696" w:rsidP="00FB5696">
            <w:pPr>
              <w:ind w:firstLineChars="200" w:firstLine="480"/>
              <w:rPr>
                <w:rFonts w:ascii="Calibri" w:eastAsia="SimSun" w:hAnsi="Calibri" w:cs="Calibri"/>
                <w:lang w:eastAsia="zh-CN"/>
              </w:rPr>
            </w:pPr>
            <w:r w:rsidRPr="00F62E76">
              <w:rPr>
                <w:rFonts w:ascii="Calibri" w:eastAsia="SimSun" w:hAnsi="Calibri" w:cs="Calibri" w:hint="eastAsia"/>
                <w:lang w:eastAsia="zh-CN"/>
              </w:rPr>
              <w:t>考虑到计划于</w:t>
            </w:r>
            <w:r w:rsidRPr="00F62E76">
              <w:rPr>
                <w:rFonts w:ascii="Calibri" w:eastAsia="SimSun" w:hAnsi="Calibri" w:cs="Calibri" w:hint="eastAsia"/>
                <w:lang w:eastAsia="zh-CN"/>
              </w:rPr>
              <w:t>2024</w:t>
            </w:r>
            <w:r w:rsidRPr="00F62E76">
              <w:rPr>
                <w:rFonts w:ascii="Calibri" w:eastAsia="SimSun" w:hAnsi="Calibri" w:cs="Calibri" w:hint="eastAsia"/>
                <w:lang w:eastAsia="zh-CN"/>
              </w:rPr>
              <w:t>年底举办的“全球青年峰会”的预期成果以及电信发展局（</w:t>
            </w:r>
            <w:r w:rsidRPr="00F62E76">
              <w:rPr>
                <w:rFonts w:ascii="Calibri" w:eastAsia="SimSun" w:hAnsi="Calibri" w:cs="Calibri" w:hint="eastAsia"/>
                <w:lang w:eastAsia="zh-CN"/>
              </w:rPr>
              <w:t>BDT</w:t>
            </w:r>
            <w:r w:rsidRPr="00F62E76">
              <w:rPr>
                <w:rFonts w:ascii="Calibri" w:eastAsia="SimSun" w:hAnsi="Calibri" w:cs="Calibri" w:hint="eastAsia"/>
                <w:lang w:eastAsia="zh-CN"/>
              </w:rPr>
              <w:t>）领导青年有意义地参与数字化发展的职责，建议在世界电信发展大会（</w:t>
            </w:r>
            <w:r w:rsidRPr="00F62E76">
              <w:rPr>
                <w:rFonts w:ascii="Calibri" w:eastAsia="SimSun" w:hAnsi="Calibri" w:cs="Calibri" w:hint="eastAsia"/>
                <w:lang w:eastAsia="zh-CN"/>
              </w:rPr>
              <w:t>WTDC</w:t>
            </w:r>
            <w:r w:rsidRPr="00F62E76">
              <w:rPr>
                <w:rFonts w:ascii="Calibri" w:eastAsia="SimSun" w:hAnsi="Calibri" w:cs="Calibri"/>
                <w:lang w:eastAsia="zh-CN"/>
              </w:rPr>
              <w:t>-</w:t>
            </w:r>
            <w:r w:rsidRPr="00F62E76">
              <w:rPr>
                <w:rFonts w:ascii="Calibri" w:eastAsia="SimSun" w:hAnsi="Calibri" w:cs="Calibri" w:hint="eastAsia"/>
                <w:lang w:eastAsia="zh-CN"/>
              </w:rPr>
              <w:t>25</w:t>
            </w:r>
            <w:r w:rsidRPr="00F62E76">
              <w:rPr>
                <w:rFonts w:ascii="Calibri" w:eastAsia="SimSun" w:hAnsi="Calibri" w:cs="Calibri" w:hint="eastAsia"/>
                <w:lang w:eastAsia="zh-CN"/>
              </w:rPr>
              <w:t>）之前举办一场为期一至两天的活动，庆祝青年这一塑造数字化未来的全球驱动力，并强调增强青年权能对数字化发展的重要性。</w:t>
            </w:r>
          </w:p>
          <w:p w14:paraId="3FE62BDA" w14:textId="77777777" w:rsidR="00A721F4" w:rsidRPr="00F62E76" w:rsidRDefault="00966BA6" w:rsidP="00EA0C51">
            <w:pPr>
              <w:spacing w:after="120"/>
              <w:rPr>
                <w:rFonts w:ascii="Calibri" w:eastAsia="SimSun" w:hAnsi="Calibri" w:cs="Calibri"/>
                <w:b/>
                <w:bCs/>
                <w:szCs w:val="24"/>
                <w:lang w:eastAsia="zh-CN"/>
              </w:rPr>
            </w:pPr>
            <w:r w:rsidRPr="00F62E76">
              <w:rPr>
                <w:rFonts w:ascii="Calibri" w:eastAsia="SimSun" w:hAnsi="Calibri" w:cs="Calibri" w:hint="eastAsia"/>
                <w:b/>
                <w:bCs/>
                <w:lang w:eastAsia="zh-CN"/>
              </w:rPr>
              <w:t>需采取的行动：</w:t>
            </w:r>
          </w:p>
          <w:p w14:paraId="156B80CA" w14:textId="27F522F4" w:rsidR="00475E46" w:rsidRPr="00F62E76" w:rsidRDefault="00FB5696" w:rsidP="00475E46">
            <w:pPr>
              <w:ind w:firstLineChars="200" w:firstLine="480"/>
              <w:rPr>
                <w:rFonts w:ascii="Calibri" w:eastAsia="SimSun" w:hAnsi="Calibri" w:cs="Calibri"/>
                <w:iCs/>
                <w:lang w:val="en-US" w:eastAsia="zh-CN"/>
              </w:rPr>
            </w:pPr>
            <w:r w:rsidRPr="00F62E76">
              <w:rPr>
                <w:rFonts w:ascii="Calibri" w:eastAsia="SimSun" w:hAnsi="Calibri" w:cs="Calibri" w:hint="eastAsia"/>
                <w:lang w:eastAsia="zh-CN"/>
              </w:rPr>
              <w:t>请</w:t>
            </w:r>
            <w:r w:rsidRPr="00F62E76">
              <w:rPr>
                <w:rFonts w:ascii="Calibri" w:eastAsia="SimSun" w:hAnsi="Calibri" w:cs="Calibri"/>
                <w:lang w:eastAsia="zh-CN"/>
              </w:rPr>
              <w:t>TDAG</w:t>
            </w:r>
            <w:r w:rsidRPr="00F62E76">
              <w:rPr>
                <w:rFonts w:ascii="Calibri" w:eastAsia="SimSun" w:hAnsi="Calibri" w:cs="Calibri" w:hint="eastAsia"/>
                <w:lang w:eastAsia="zh-CN"/>
              </w:rPr>
              <w:t>将本文件记录在案并提供适当指导。</w:t>
            </w:r>
          </w:p>
          <w:p w14:paraId="6B61B837" w14:textId="77777777" w:rsidR="00A721F4" w:rsidRPr="00F62E76" w:rsidRDefault="00966BA6" w:rsidP="00EA0C51">
            <w:pPr>
              <w:spacing w:after="120"/>
              <w:rPr>
                <w:rFonts w:ascii="Calibri" w:eastAsia="SimSun" w:hAnsi="Calibri" w:cs="Calibri"/>
                <w:b/>
                <w:bCs/>
                <w:szCs w:val="24"/>
                <w:lang w:eastAsia="zh-CN"/>
              </w:rPr>
            </w:pPr>
            <w:r w:rsidRPr="00F62E76">
              <w:rPr>
                <w:rFonts w:ascii="Calibri" w:eastAsia="SimSun" w:hAnsi="Calibri" w:cs="Calibri" w:hint="eastAsia"/>
                <w:b/>
                <w:bCs/>
                <w:szCs w:val="24"/>
                <w:lang w:eastAsia="zh-CN"/>
              </w:rPr>
              <w:t>参考文件：</w:t>
            </w:r>
          </w:p>
          <w:p w14:paraId="75391CFB" w14:textId="74EF1A09" w:rsidR="00FB5696" w:rsidRPr="00F62E76" w:rsidRDefault="00FB5696" w:rsidP="00FB5696">
            <w:pPr>
              <w:ind w:firstLineChars="200" w:firstLine="480"/>
              <w:rPr>
                <w:rFonts w:ascii="Calibri" w:eastAsia="SimSun" w:hAnsi="Calibri" w:cs="Calibri"/>
                <w:lang w:eastAsia="zh-CN"/>
              </w:rPr>
            </w:pPr>
            <w:r w:rsidRPr="00F62E76">
              <w:rPr>
                <w:rFonts w:ascii="Calibri" w:eastAsia="SimSun" w:hAnsi="Calibri" w:cs="Calibri" w:hint="eastAsia"/>
                <w:lang w:eastAsia="zh-CN"/>
              </w:rPr>
              <w:t>世界电信发展大会第</w:t>
            </w:r>
            <w:r w:rsidRPr="00F62E76">
              <w:rPr>
                <w:rFonts w:ascii="Calibri" w:eastAsia="SimSun" w:hAnsi="Calibri" w:cs="Calibri"/>
                <w:lang w:eastAsia="zh-CN"/>
              </w:rPr>
              <w:t>76</w:t>
            </w:r>
            <w:r w:rsidRPr="00F62E76">
              <w:rPr>
                <w:rFonts w:ascii="Calibri" w:eastAsia="SimSun" w:hAnsi="Calibri" w:cs="Calibri" w:hint="eastAsia"/>
                <w:lang w:eastAsia="zh-CN"/>
              </w:rPr>
              <w:t>号决议（</w:t>
            </w:r>
            <w:r w:rsidRPr="00F62E76">
              <w:rPr>
                <w:rFonts w:ascii="Calibri" w:eastAsia="SimSun" w:hAnsi="Calibri" w:cs="Calibri" w:hint="eastAsia"/>
                <w:lang w:eastAsia="zh-CN"/>
              </w:rPr>
              <w:t>2</w:t>
            </w:r>
            <w:r w:rsidRPr="00F62E76">
              <w:rPr>
                <w:rFonts w:ascii="Calibri" w:eastAsia="SimSun" w:hAnsi="Calibri" w:cs="Calibri"/>
                <w:lang w:eastAsia="zh-CN"/>
              </w:rPr>
              <w:t>022</w:t>
            </w:r>
            <w:r w:rsidRPr="00F62E76">
              <w:rPr>
                <w:rFonts w:ascii="Calibri" w:eastAsia="SimSun" w:hAnsi="Calibri" w:cs="Calibri" w:hint="eastAsia"/>
                <w:lang w:eastAsia="zh-CN"/>
              </w:rPr>
              <w:t>年，基加利，修订版）（由</w:t>
            </w:r>
            <w:r w:rsidRPr="00F62E76">
              <w:rPr>
                <w:rFonts w:ascii="Calibri" w:eastAsia="SimSun" w:hAnsi="Calibri" w:cs="Calibri"/>
                <w:lang w:eastAsia="zh-CN"/>
              </w:rPr>
              <w:t>WTDC</w:t>
            </w:r>
            <w:r w:rsidRPr="00F62E76">
              <w:rPr>
                <w:rFonts w:ascii="Calibri" w:eastAsia="SimSun" w:hAnsi="Calibri" w:cs="Calibri" w:hint="eastAsia"/>
                <w:lang w:eastAsia="zh-CN"/>
              </w:rPr>
              <w:t>第</w:t>
            </w:r>
            <w:r w:rsidRPr="00F62E76">
              <w:rPr>
                <w:rFonts w:ascii="Calibri" w:eastAsia="SimSun" w:hAnsi="Calibri" w:cs="Calibri"/>
                <w:lang w:eastAsia="zh-CN"/>
              </w:rPr>
              <w:t>11</w:t>
            </w:r>
            <w:r w:rsidRPr="00F62E76">
              <w:rPr>
                <w:rFonts w:ascii="Calibri" w:eastAsia="SimSun" w:hAnsi="Calibri" w:cs="Calibri" w:hint="eastAsia"/>
                <w:lang w:eastAsia="zh-CN"/>
              </w:rPr>
              <w:t>、</w:t>
            </w:r>
            <w:r w:rsidRPr="00F62E76">
              <w:rPr>
                <w:rFonts w:ascii="Calibri" w:eastAsia="SimSun" w:hAnsi="Calibri" w:cs="Calibri"/>
                <w:lang w:eastAsia="zh-CN"/>
              </w:rPr>
              <w:t>37</w:t>
            </w:r>
            <w:r w:rsidRPr="00F62E76">
              <w:rPr>
                <w:rFonts w:ascii="Calibri" w:eastAsia="SimSun" w:hAnsi="Calibri" w:cs="Calibri" w:hint="eastAsia"/>
                <w:lang w:eastAsia="zh-CN"/>
              </w:rPr>
              <w:t>、</w:t>
            </w:r>
            <w:r w:rsidRPr="00F62E76">
              <w:rPr>
                <w:rFonts w:ascii="Calibri" w:eastAsia="SimSun" w:hAnsi="Calibri" w:cs="Calibri"/>
                <w:lang w:eastAsia="zh-CN"/>
              </w:rPr>
              <w:t>45</w:t>
            </w:r>
            <w:r w:rsidRPr="00F62E76">
              <w:rPr>
                <w:rFonts w:ascii="Calibri" w:eastAsia="SimSun" w:hAnsi="Calibri" w:cs="Calibri" w:hint="eastAsia"/>
                <w:lang w:eastAsia="zh-CN"/>
              </w:rPr>
              <w:t>、</w:t>
            </w:r>
            <w:r w:rsidRPr="00F62E76">
              <w:rPr>
                <w:rFonts w:ascii="Calibri" w:eastAsia="SimSun" w:hAnsi="Calibri" w:cs="Calibri"/>
                <w:lang w:eastAsia="zh-CN"/>
              </w:rPr>
              <w:t>46</w:t>
            </w:r>
            <w:r w:rsidRPr="00F62E76">
              <w:rPr>
                <w:rFonts w:ascii="Calibri" w:eastAsia="SimSun" w:hAnsi="Calibri" w:cs="Calibri" w:hint="eastAsia"/>
                <w:lang w:eastAsia="zh-CN"/>
              </w:rPr>
              <w:t>、</w:t>
            </w:r>
            <w:r w:rsidRPr="00F62E76">
              <w:rPr>
                <w:rFonts w:ascii="Calibri" w:eastAsia="SimSun" w:hAnsi="Calibri" w:cs="Calibri"/>
                <w:lang w:eastAsia="zh-CN"/>
              </w:rPr>
              <w:t>55</w:t>
            </w:r>
            <w:r w:rsidRPr="00F62E76">
              <w:rPr>
                <w:rFonts w:ascii="Calibri" w:eastAsia="SimSun" w:hAnsi="Calibri" w:cs="Calibri" w:hint="eastAsia"/>
                <w:lang w:eastAsia="zh-CN"/>
              </w:rPr>
              <w:t>、</w:t>
            </w:r>
            <w:r w:rsidRPr="00F62E76">
              <w:rPr>
                <w:rFonts w:ascii="Calibri" w:eastAsia="SimSun" w:hAnsi="Calibri" w:cs="Calibri"/>
                <w:lang w:eastAsia="zh-CN"/>
              </w:rPr>
              <w:t>58</w:t>
            </w:r>
            <w:r w:rsidRPr="00F62E76">
              <w:rPr>
                <w:rFonts w:ascii="Calibri" w:eastAsia="SimSun" w:hAnsi="Calibri" w:cs="Calibri" w:hint="eastAsia"/>
                <w:lang w:eastAsia="zh-CN"/>
              </w:rPr>
              <w:t>、</w:t>
            </w:r>
            <w:r w:rsidRPr="00F62E76">
              <w:rPr>
                <w:rFonts w:ascii="Calibri" w:eastAsia="SimSun" w:hAnsi="Calibri" w:cs="Calibri"/>
                <w:lang w:eastAsia="zh-CN"/>
              </w:rPr>
              <w:t>67</w:t>
            </w:r>
            <w:r w:rsidRPr="00F62E76">
              <w:rPr>
                <w:rFonts w:ascii="Calibri" w:eastAsia="SimSun" w:hAnsi="Calibri" w:cs="Calibri" w:hint="eastAsia"/>
                <w:lang w:eastAsia="zh-CN"/>
              </w:rPr>
              <w:t>号决议补充）</w:t>
            </w:r>
          </w:p>
          <w:p w14:paraId="1EE4FF68" w14:textId="2B19BDB3" w:rsidR="00A721F4" w:rsidRPr="00FB5696" w:rsidRDefault="00FB5696" w:rsidP="00FB5696">
            <w:pPr>
              <w:spacing w:after="120"/>
              <w:ind w:firstLineChars="200" w:firstLine="480"/>
              <w:rPr>
                <w:lang w:val="en-US" w:eastAsia="zh-CN"/>
              </w:rPr>
            </w:pPr>
            <w:r w:rsidRPr="00F62E76">
              <w:rPr>
                <w:rFonts w:ascii="Calibri" w:eastAsia="SimSun" w:hAnsi="Calibri" w:cs="Calibri" w:hint="eastAsia"/>
                <w:lang w:eastAsia="zh-CN"/>
              </w:rPr>
              <w:t>全权代表大会第</w:t>
            </w:r>
            <w:r w:rsidRPr="00F62E76">
              <w:rPr>
                <w:rFonts w:ascii="Calibri" w:eastAsia="SimSun" w:hAnsi="Calibri" w:cs="Calibri"/>
                <w:lang w:eastAsia="zh-CN"/>
              </w:rPr>
              <w:t>198</w:t>
            </w:r>
            <w:r w:rsidRPr="00F62E76">
              <w:rPr>
                <w:rFonts w:ascii="Calibri" w:eastAsia="SimSun" w:hAnsi="Calibri" w:cs="Calibri" w:hint="eastAsia"/>
                <w:lang w:eastAsia="zh-CN"/>
              </w:rPr>
              <w:t>号决议（</w:t>
            </w:r>
            <w:r w:rsidRPr="00F62E76">
              <w:rPr>
                <w:rFonts w:ascii="Calibri" w:eastAsia="SimSun" w:hAnsi="Calibri" w:cs="Calibri" w:hint="eastAsia"/>
                <w:lang w:eastAsia="zh-CN"/>
              </w:rPr>
              <w:t>2</w:t>
            </w:r>
            <w:r w:rsidRPr="00F62E76">
              <w:rPr>
                <w:rFonts w:ascii="Calibri" w:eastAsia="SimSun" w:hAnsi="Calibri" w:cs="Calibri"/>
                <w:lang w:eastAsia="zh-CN"/>
              </w:rPr>
              <w:t>022</w:t>
            </w:r>
            <w:r w:rsidRPr="00F62E76">
              <w:rPr>
                <w:rFonts w:ascii="Calibri" w:eastAsia="SimSun" w:hAnsi="Calibri" w:cs="Calibri" w:hint="eastAsia"/>
                <w:lang w:eastAsia="zh-CN"/>
              </w:rPr>
              <w:t>年，布加勒斯特，修订版）（由</w:t>
            </w:r>
            <w:r w:rsidRPr="00F62E76">
              <w:rPr>
                <w:rFonts w:ascii="Calibri" w:eastAsia="SimSun" w:hAnsi="Calibri" w:cs="Calibri"/>
                <w:lang w:eastAsia="zh-CN"/>
              </w:rPr>
              <w:t>PP</w:t>
            </w:r>
            <w:r w:rsidRPr="00F62E76">
              <w:rPr>
                <w:rFonts w:ascii="Calibri" w:eastAsia="SimSun" w:hAnsi="Calibri" w:cs="Calibri" w:hint="eastAsia"/>
                <w:lang w:eastAsia="zh-CN"/>
              </w:rPr>
              <w:t>第</w:t>
            </w:r>
            <w:r w:rsidRPr="00F62E76">
              <w:rPr>
                <w:rFonts w:ascii="Calibri" w:eastAsia="SimSun" w:hAnsi="Calibri" w:cs="Calibri"/>
                <w:lang w:eastAsia="zh-CN"/>
              </w:rPr>
              <w:t>70</w:t>
            </w:r>
            <w:r w:rsidRPr="00F62E76">
              <w:rPr>
                <w:rFonts w:ascii="Calibri" w:eastAsia="SimSun" w:hAnsi="Calibri" w:cs="Calibri" w:hint="eastAsia"/>
                <w:lang w:eastAsia="zh-CN"/>
              </w:rPr>
              <w:t>、</w:t>
            </w:r>
            <w:r w:rsidRPr="00F62E76">
              <w:rPr>
                <w:rFonts w:ascii="Calibri" w:eastAsia="SimSun" w:hAnsi="Calibri" w:cs="Calibri"/>
                <w:lang w:eastAsia="zh-CN"/>
              </w:rPr>
              <w:t>175</w:t>
            </w:r>
            <w:r w:rsidRPr="00F62E76">
              <w:rPr>
                <w:rFonts w:ascii="Calibri" w:eastAsia="SimSun" w:hAnsi="Calibri" w:cs="Calibri" w:hint="eastAsia"/>
                <w:lang w:eastAsia="zh-CN"/>
              </w:rPr>
              <w:t>、</w:t>
            </w:r>
            <w:r w:rsidRPr="00F62E76">
              <w:rPr>
                <w:rFonts w:ascii="Calibri" w:eastAsia="SimSun" w:hAnsi="Calibri" w:cs="Calibri"/>
                <w:lang w:eastAsia="zh-CN"/>
              </w:rPr>
              <w:t>179</w:t>
            </w:r>
            <w:r w:rsidRPr="00F62E76">
              <w:rPr>
                <w:rFonts w:ascii="Calibri" w:eastAsia="SimSun" w:hAnsi="Calibri" w:cs="Calibri" w:hint="eastAsia"/>
                <w:lang w:eastAsia="zh-CN"/>
              </w:rPr>
              <w:t>、</w:t>
            </w:r>
            <w:r w:rsidRPr="00F62E76">
              <w:rPr>
                <w:rFonts w:ascii="Calibri" w:eastAsia="SimSun" w:hAnsi="Calibri" w:cs="Calibri"/>
                <w:lang w:eastAsia="zh-CN"/>
              </w:rPr>
              <w:t>184</w:t>
            </w:r>
            <w:r w:rsidRPr="00F62E76">
              <w:rPr>
                <w:rFonts w:ascii="Calibri" w:eastAsia="SimSun" w:hAnsi="Calibri" w:cs="Calibri" w:hint="eastAsia"/>
                <w:lang w:eastAsia="zh-CN"/>
              </w:rPr>
              <w:t>号决议补充）</w:t>
            </w:r>
          </w:p>
        </w:tc>
      </w:tr>
    </w:tbl>
    <w:p w14:paraId="45BDEA08" w14:textId="0C325167" w:rsidR="00FB5696" w:rsidRPr="00FB5696" w:rsidRDefault="00923CF1" w:rsidP="00FB5696">
      <w:pPr>
        <w:pStyle w:val="Heading1"/>
        <w:rPr>
          <w:rFonts w:eastAsia="SimHei"/>
          <w:lang w:eastAsia="zh-CN"/>
        </w:rPr>
      </w:pPr>
      <w:r>
        <w:rPr>
          <w:lang w:eastAsia="zh-CN"/>
        </w:rPr>
        <w:br w:type="page"/>
      </w:r>
      <w:r w:rsidR="00FB5696">
        <w:rPr>
          <w:lang w:eastAsia="zh-CN"/>
        </w:rPr>
        <w:lastRenderedPageBreak/>
        <w:t>1</w:t>
      </w:r>
      <w:r w:rsidR="00FB5696">
        <w:rPr>
          <w:lang w:eastAsia="zh-CN"/>
        </w:rPr>
        <w:tab/>
      </w:r>
      <w:r w:rsidR="00FB5696" w:rsidRPr="00FB5696">
        <w:rPr>
          <w:rFonts w:hint="eastAsia"/>
          <w:lang w:eastAsia="zh-CN"/>
        </w:rPr>
        <w:t>举办理由</w:t>
      </w:r>
    </w:p>
    <w:p w14:paraId="21C7FF9D" w14:textId="77777777" w:rsidR="00FB5696" w:rsidRPr="00496F25" w:rsidRDefault="00FB5696" w:rsidP="00FB5696">
      <w:pPr>
        <w:ind w:firstLineChars="200" w:firstLine="480"/>
        <w:rPr>
          <w:rFonts w:ascii="Calibri" w:eastAsia="SimSun" w:hAnsi="Calibri" w:cs="Calibri"/>
          <w:lang w:eastAsia="zh-CN"/>
        </w:rPr>
      </w:pPr>
      <w:r w:rsidRPr="00496F25">
        <w:rPr>
          <w:rFonts w:ascii="Calibri" w:eastAsia="SimSun" w:hAnsi="Calibri" w:cs="Calibri" w:hint="eastAsia"/>
          <w:lang w:eastAsia="zh-CN"/>
        </w:rPr>
        <w:t>根据</w:t>
      </w:r>
      <w:r w:rsidRPr="00496F25">
        <w:rPr>
          <w:rFonts w:ascii="Calibri" w:eastAsia="SimSun" w:hAnsi="Calibri" w:cs="Calibri" w:hint="eastAsia"/>
          <w:lang w:eastAsia="zh-CN"/>
        </w:rPr>
        <w:t>TDAG-23</w:t>
      </w:r>
      <w:r w:rsidRPr="00496F25">
        <w:rPr>
          <w:rFonts w:ascii="Calibri" w:eastAsia="SimSun" w:hAnsi="Calibri" w:cs="Calibri" w:hint="eastAsia"/>
          <w:lang w:eastAsia="zh-CN"/>
        </w:rPr>
        <w:t>做出并经国际电联理事会批准的决定，</w:t>
      </w:r>
      <w:r w:rsidRPr="00496F25">
        <w:rPr>
          <w:rFonts w:ascii="Calibri" w:eastAsia="SimSun" w:hAnsi="Calibri" w:cs="Calibri" w:hint="eastAsia"/>
          <w:lang w:eastAsia="zh-CN"/>
        </w:rPr>
        <w:t>BDT</w:t>
      </w:r>
      <w:r w:rsidRPr="00496F25">
        <w:rPr>
          <w:rFonts w:ascii="Calibri" w:eastAsia="SimSun" w:hAnsi="Calibri" w:cs="Calibri" w:hint="eastAsia"/>
          <w:lang w:eastAsia="zh-CN"/>
        </w:rPr>
        <w:t>将于</w:t>
      </w:r>
      <w:r w:rsidRPr="00496F25">
        <w:rPr>
          <w:rFonts w:ascii="Calibri" w:eastAsia="SimSun" w:hAnsi="Calibri" w:cs="Calibri" w:hint="eastAsia"/>
          <w:lang w:eastAsia="zh-CN"/>
        </w:rPr>
        <w:t>2024</w:t>
      </w:r>
      <w:r w:rsidRPr="00496F25">
        <w:rPr>
          <w:rFonts w:ascii="Calibri" w:eastAsia="SimSun" w:hAnsi="Calibri" w:cs="Calibri" w:hint="eastAsia"/>
          <w:lang w:eastAsia="zh-CN"/>
        </w:rPr>
        <w:t>年举办“国际电联全球青年峰会”（</w:t>
      </w:r>
      <w:r w:rsidRPr="00496F25">
        <w:rPr>
          <w:rFonts w:ascii="Calibri" w:eastAsia="SimSun" w:hAnsi="Calibri" w:cs="Calibri" w:hint="eastAsia"/>
          <w:lang w:eastAsia="zh-CN"/>
        </w:rPr>
        <w:t>GYS-24</w:t>
      </w:r>
      <w:r w:rsidRPr="00496F25">
        <w:rPr>
          <w:rFonts w:ascii="Calibri" w:eastAsia="SimSun" w:hAnsi="Calibri" w:cs="Calibri" w:hint="eastAsia"/>
          <w:lang w:eastAsia="zh-CN"/>
        </w:rPr>
        <w:t>），主题为“增强青年在</w:t>
      </w:r>
      <w:r w:rsidRPr="00496F25">
        <w:rPr>
          <w:rFonts w:ascii="Calibri" w:eastAsia="SimSun" w:hAnsi="Calibri" w:cs="Calibri"/>
          <w:lang w:eastAsia="zh-CN"/>
        </w:rPr>
        <w:t>ICT</w:t>
      </w:r>
      <w:r w:rsidRPr="00496F25">
        <w:rPr>
          <w:rFonts w:ascii="Calibri" w:eastAsia="SimSun" w:hAnsi="Calibri" w:cs="Calibri" w:hint="eastAsia"/>
          <w:lang w:eastAsia="zh-CN"/>
        </w:rPr>
        <w:t>领域的声音，共创互连未来”。特别是，</w:t>
      </w:r>
      <w:r w:rsidRPr="00496F25">
        <w:rPr>
          <w:rFonts w:ascii="Calibri" w:eastAsia="SimSun" w:hAnsi="Calibri" w:cs="Calibri" w:hint="eastAsia"/>
          <w:lang w:eastAsia="zh-CN"/>
        </w:rPr>
        <w:t>GYS</w:t>
      </w:r>
      <w:r w:rsidRPr="00496F25">
        <w:rPr>
          <w:rFonts w:ascii="Calibri" w:eastAsia="SimSun" w:hAnsi="Calibri" w:cs="Calibri"/>
          <w:lang w:eastAsia="zh-CN"/>
        </w:rPr>
        <w:t>-</w:t>
      </w:r>
      <w:r w:rsidRPr="00496F25">
        <w:rPr>
          <w:rFonts w:ascii="Calibri" w:eastAsia="SimSun" w:hAnsi="Calibri" w:cs="Calibri" w:hint="eastAsia"/>
          <w:lang w:eastAsia="zh-CN"/>
        </w:rPr>
        <w:t>24</w:t>
      </w:r>
      <w:r w:rsidRPr="00496F25">
        <w:rPr>
          <w:rFonts w:ascii="Calibri" w:eastAsia="SimSun" w:hAnsi="Calibri" w:cs="Calibri" w:hint="eastAsia"/>
          <w:lang w:eastAsia="zh-CN"/>
        </w:rPr>
        <w:t>将致力于促进重点讨论和采取行动，确保所有年轻人平等和公平地获得和使用</w:t>
      </w:r>
      <w:r w:rsidRPr="00496F25">
        <w:rPr>
          <w:rFonts w:ascii="Calibri" w:eastAsia="SimSun" w:hAnsi="Calibri" w:cs="Calibri" w:hint="eastAsia"/>
          <w:lang w:eastAsia="zh-CN"/>
        </w:rPr>
        <w:t>ICT</w:t>
      </w:r>
      <w:r w:rsidRPr="00496F25">
        <w:rPr>
          <w:rFonts w:ascii="Calibri" w:eastAsia="SimSun" w:hAnsi="Calibri" w:cs="Calibri" w:hint="eastAsia"/>
          <w:lang w:eastAsia="zh-CN"/>
        </w:rPr>
        <w:t>，从而支持他们积极参与数字社会、经济和环境建设。</w:t>
      </w:r>
      <w:r w:rsidRPr="00496F25">
        <w:rPr>
          <w:rFonts w:ascii="Calibri" w:eastAsia="SimSun" w:hAnsi="Calibri" w:cs="Calibri" w:hint="eastAsia"/>
          <w:lang w:eastAsia="zh-CN"/>
        </w:rPr>
        <w:t>GYS</w:t>
      </w:r>
      <w:r w:rsidRPr="00496F25">
        <w:rPr>
          <w:rFonts w:ascii="Calibri" w:eastAsia="SimSun" w:hAnsi="Calibri" w:cs="Calibri"/>
          <w:lang w:eastAsia="zh-CN"/>
        </w:rPr>
        <w:t>-</w:t>
      </w:r>
      <w:r w:rsidRPr="00496F25">
        <w:rPr>
          <w:rFonts w:ascii="Calibri" w:eastAsia="SimSun" w:hAnsi="Calibri" w:cs="Calibri" w:hint="eastAsia"/>
          <w:lang w:eastAsia="zh-CN"/>
        </w:rPr>
        <w:t>24</w:t>
      </w:r>
      <w:r w:rsidRPr="00496F25">
        <w:rPr>
          <w:rFonts w:ascii="Calibri" w:eastAsia="SimSun" w:hAnsi="Calibri" w:cs="Calibri" w:hint="eastAsia"/>
          <w:lang w:eastAsia="zh-CN"/>
        </w:rPr>
        <w:t>将进一步致力于促成全球跨部门和代际对话，让年轻人参与数字化发展，并帮助国际电联成员，包括各国政府、私营部门、学术界、联合国其他机构和决策者，全面了解当前对增强世界各地区青年权能至关重要的</w:t>
      </w:r>
      <w:r w:rsidRPr="00496F25">
        <w:rPr>
          <w:rFonts w:ascii="Calibri" w:eastAsia="SimSun" w:hAnsi="Calibri" w:cs="Calibri" w:hint="eastAsia"/>
          <w:lang w:eastAsia="zh-CN"/>
        </w:rPr>
        <w:t>ICT</w:t>
      </w:r>
      <w:r w:rsidRPr="00496F25">
        <w:rPr>
          <w:rFonts w:ascii="Calibri" w:eastAsia="SimSun" w:hAnsi="Calibri" w:cs="Calibri" w:hint="eastAsia"/>
          <w:lang w:eastAsia="zh-CN"/>
        </w:rPr>
        <w:t>相关需求。</w:t>
      </w:r>
    </w:p>
    <w:p w14:paraId="10A5E130" w14:textId="77777777" w:rsidR="00FB5696" w:rsidRPr="00355E16" w:rsidRDefault="00FB5696" w:rsidP="00FB5696">
      <w:pPr>
        <w:ind w:firstLineChars="200" w:firstLine="480"/>
        <w:rPr>
          <w:rFonts w:eastAsia="SimSun" w:cs="Arial (正文 CS 字体)"/>
          <w:lang w:eastAsia="zh-CN"/>
        </w:rPr>
      </w:pPr>
      <w:r w:rsidRPr="00496F25">
        <w:rPr>
          <w:rFonts w:ascii="Calibri" w:eastAsia="SimSun" w:hAnsi="Calibri" w:cs="Calibri" w:hint="eastAsia"/>
          <w:lang w:eastAsia="zh-CN"/>
        </w:rPr>
        <w:t>考虑到将于</w:t>
      </w:r>
      <w:r w:rsidRPr="00496F25">
        <w:rPr>
          <w:rFonts w:ascii="Calibri" w:eastAsia="SimSun" w:hAnsi="Calibri" w:cs="Calibri" w:hint="eastAsia"/>
          <w:lang w:eastAsia="zh-CN"/>
        </w:rPr>
        <w:t>2024</w:t>
      </w:r>
      <w:r w:rsidRPr="00496F25">
        <w:rPr>
          <w:rFonts w:ascii="Calibri" w:eastAsia="SimSun" w:hAnsi="Calibri" w:cs="Calibri" w:hint="eastAsia"/>
          <w:lang w:eastAsia="zh-CN"/>
        </w:rPr>
        <w:t>年底举办的“全球青年峰会”的预期成果以及</w:t>
      </w:r>
      <w:r w:rsidRPr="00496F25">
        <w:rPr>
          <w:rFonts w:ascii="Calibri" w:eastAsia="SimSun" w:hAnsi="Calibri" w:cs="Calibri" w:hint="eastAsia"/>
          <w:lang w:eastAsia="zh-CN"/>
        </w:rPr>
        <w:t>BDT</w:t>
      </w:r>
      <w:r w:rsidRPr="00496F25">
        <w:rPr>
          <w:rFonts w:ascii="Calibri" w:eastAsia="SimSun" w:hAnsi="Calibri" w:cs="Calibri" w:hint="eastAsia"/>
          <w:lang w:eastAsia="zh-CN"/>
        </w:rPr>
        <w:t>领导青年有意义地参与数字化发展的职责，</w:t>
      </w:r>
      <w:r w:rsidRPr="00496F25">
        <w:rPr>
          <w:rFonts w:ascii="Calibri" w:eastAsia="SimSun" w:hAnsi="Calibri" w:cs="Calibri" w:hint="eastAsia"/>
          <w:lang w:eastAsia="zh-CN"/>
        </w:rPr>
        <w:t>BDT</w:t>
      </w:r>
      <w:r w:rsidRPr="00496F25">
        <w:rPr>
          <w:rFonts w:ascii="Calibri" w:eastAsia="SimSun" w:hAnsi="Calibri" w:cs="Calibri" w:hint="eastAsia"/>
          <w:lang w:eastAsia="zh-CN"/>
        </w:rPr>
        <w:t>主任提议在世界电信发展大会（</w:t>
      </w:r>
      <w:r w:rsidRPr="00496F25">
        <w:rPr>
          <w:rFonts w:ascii="Calibri" w:eastAsia="SimSun" w:hAnsi="Calibri" w:cs="Calibri" w:hint="eastAsia"/>
          <w:lang w:eastAsia="zh-CN"/>
        </w:rPr>
        <w:t>WTDC-25</w:t>
      </w:r>
      <w:r w:rsidRPr="00496F25">
        <w:rPr>
          <w:rFonts w:ascii="Calibri" w:eastAsia="SimSun" w:hAnsi="Calibri" w:cs="Calibri" w:hint="eastAsia"/>
          <w:lang w:eastAsia="zh-CN"/>
        </w:rPr>
        <w:t>）之前举办一场为期一至两天的活动，庆祝青年参与塑造未来，并强调增强青年权能对数字化发展的重要性。</w:t>
      </w:r>
    </w:p>
    <w:p w14:paraId="46BC95ED" w14:textId="3A908B7A" w:rsidR="00FB5696" w:rsidRPr="00FB5696" w:rsidRDefault="00FB5696" w:rsidP="00FB5696">
      <w:pPr>
        <w:pStyle w:val="Heading1"/>
        <w:rPr>
          <w:rFonts w:cstheme="minorHAnsi"/>
          <w:bCs/>
          <w:szCs w:val="24"/>
          <w:lang w:eastAsia="zh-CN"/>
        </w:rPr>
      </w:pPr>
      <w:r w:rsidRPr="00FB5696">
        <w:rPr>
          <w:lang w:eastAsia="zh-CN"/>
        </w:rPr>
        <w:t>2</w:t>
      </w:r>
      <w:r>
        <w:rPr>
          <w:lang w:eastAsia="zh-CN"/>
        </w:rPr>
        <w:tab/>
      </w:r>
      <w:r w:rsidRPr="00FB5696">
        <w:rPr>
          <w:rFonts w:cstheme="minorHAnsi" w:hint="eastAsia"/>
          <w:bCs/>
          <w:szCs w:val="24"/>
          <w:lang w:eastAsia="zh-CN"/>
        </w:rPr>
        <w:t>举办日期、持续时间和地点</w:t>
      </w:r>
    </w:p>
    <w:p w14:paraId="4BD0745F" w14:textId="77777777" w:rsidR="00FB5696" w:rsidRPr="00496F25" w:rsidRDefault="00FB5696" w:rsidP="00FB5696">
      <w:pPr>
        <w:ind w:firstLineChars="200" w:firstLine="480"/>
        <w:rPr>
          <w:rFonts w:ascii="Calibri" w:eastAsia="SimSun" w:hAnsi="Calibri" w:cs="Calibri"/>
          <w:lang w:eastAsia="zh-CN"/>
        </w:rPr>
      </w:pPr>
      <w:r w:rsidRPr="00496F25">
        <w:rPr>
          <w:rFonts w:ascii="Calibri" w:eastAsia="SimSun" w:hAnsi="Calibri" w:cs="Calibri" w:hint="eastAsia"/>
          <w:lang w:eastAsia="zh-CN"/>
        </w:rPr>
        <w:t>庆祝活动将在</w:t>
      </w:r>
      <w:r w:rsidRPr="00496F25">
        <w:rPr>
          <w:rFonts w:ascii="Calibri" w:eastAsia="SimSun" w:hAnsi="Calibri" w:cs="Calibri" w:hint="eastAsia"/>
          <w:lang w:eastAsia="zh-CN"/>
        </w:rPr>
        <w:t>WTDC-25</w:t>
      </w:r>
      <w:r w:rsidRPr="00496F25">
        <w:rPr>
          <w:rFonts w:ascii="Calibri" w:eastAsia="SimSun" w:hAnsi="Calibri" w:cs="Calibri" w:hint="eastAsia"/>
          <w:lang w:eastAsia="zh-CN"/>
        </w:rPr>
        <w:t>召开之前与其在同一地点接续举办，为期</w:t>
      </w:r>
      <w:r w:rsidRPr="00496F25">
        <w:rPr>
          <w:rFonts w:ascii="Calibri" w:eastAsia="SimSun" w:hAnsi="Calibri" w:cs="Calibri" w:hint="eastAsia"/>
          <w:lang w:eastAsia="zh-CN"/>
        </w:rPr>
        <w:t>1</w:t>
      </w:r>
      <w:r w:rsidRPr="00496F25">
        <w:rPr>
          <w:rFonts w:ascii="Calibri" w:eastAsia="SimSun" w:hAnsi="Calibri" w:cs="Calibri" w:hint="eastAsia"/>
          <w:lang w:eastAsia="zh-CN"/>
        </w:rPr>
        <w:t>至</w:t>
      </w:r>
      <w:r w:rsidRPr="00496F25">
        <w:rPr>
          <w:rFonts w:ascii="Calibri" w:eastAsia="SimSun" w:hAnsi="Calibri" w:cs="Calibri" w:hint="eastAsia"/>
          <w:lang w:eastAsia="zh-CN"/>
        </w:rPr>
        <w:t>2</w:t>
      </w:r>
      <w:r w:rsidRPr="00496F25">
        <w:rPr>
          <w:rFonts w:ascii="Calibri" w:eastAsia="SimSun" w:hAnsi="Calibri" w:cs="Calibri" w:hint="eastAsia"/>
          <w:lang w:eastAsia="zh-CN"/>
        </w:rPr>
        <w:t>天，实现向</w:t>
      </w:r>
      <w:proofErr w:type="gramStart"/>
      <w:r w:rsidRPr="00496F25">
        <w:rPr>
          <w:rFonts w:ascii="Calibri" w:eastAsia="SimSun" w:hAnsi="Calibri" w:cs="Calibri" w:hint="eastAsia"/>
          <w:lang w:eastAsia="zh-CN"/>
        </w:rPr>
        <w:t>主会议</w:t>
      </w:r>
      <w:proofErr w:type="gramEnd"/>
      <w:r w:rsidRPr="00496F25">
        <w:rPr>
          <w:rFonts w:ascii="Calibri" w:eastAsia="SimSun" w:hAnsi="Calibri" w:cs="Calibri" w:hint="eastAsia"/>
          <w:lang w:eastAsia="zh-CN"/>
        </w:rPr>
        <w:t>的无缝和动态过渡。</w:t>
      </w:r>
    </w:p>
    <w:p w14:paraId="170D4119" w14:textId="054AADC9" w:rsidR="00FB5696" w:rsidRPr="00FB5696" w:rsidRDefault="00FB5696" w:rsidP="00FB5696">
      <w:pPr>
        <w:pStyle w:val="Heading1"/>
        <w:rPr>
          <w:rFonts w:cstheme="minorHAnsi"/>
          <w:bCs/>
          <w:szCs w:val="24"/>
        </w:rPr>
      </w:pPr>
      <w:r w:rsidRPr="00FB5696">
        <w:rPr>
          <w:rFonts w:cstheme="minorHAnsi"/>
          <w:szCs w:val="24"/>
          <w:lang w:val="en-US" w:eastAsia="zh-CN"/>
        </w:rPr>
        <w:t>3</w:t>
      </w:r>
      <w:r>
        <w:rPr>
          <w:rFonts w:cstheme="minorHAnsi"/>
          <w:b w:val="0"/>
          <w:bCs/>
          <w:szCs w:val="24"/>
          <w:lang w:val="en-US" w:eastAsia="zh-CN"/>
        </w:rPr>
        <w:tab/>
      </w:r>
      <w:r w:rsidRPr="00FB5696">
        <w:rPr>
          <w:rFonts w:cstheme="minorHAnsi" w:hint="eastAsia"/>
          <w:bCs/>
          <w:szCs w:val="24"/>
          <w:lang w:eastAsia="zh-CN"/>
        </w:rPr>
        <w:t>拟议活动</w:t>
      </w:r>
    </w:p>
    <w:p w14:paraId="728714BA" w14:textId="77777777" w:rsidR="00FB5696" w:rsidRPr="00496F25" w:rsidRDefault="00FB5696" w:rsidP="00FB5696">
      <w:pPr>
        <w:ind w:firstLineChars="200" w:firstLine="480"/>
        <w:rPr>
          <w:rFonts w:ascii="Calibri" w:eastAsia="SimSun" w:hAnsi="Calibri" w:cs="Calibri"/>
          <w:lang w:eastAsia="zh-CN"/>
        </w:rPr>
      </w:pPr>
      <w:r w:rsidRPr="009B4E65">
        <w:rPr>
          <w:rFonts w:ascii="STKaiti" w:eastAsia="STKaiti" w:hAnsi="STKaiti" w:cstheme="minorHAnsi" w:hint="eastAsia"/>
          <w:lang w:eastAsia="zh-CN"/>
        </w:rPr>
        <w:t>全球青年峰会成果展示</w:t>
      </w:r>
      <w:r w:rsidRPr="00FB5696">
        <w:rPr>
          <w:rFonts w:asciiTheme="majorEastAsia" w:eastAsiaTheme="majorEastAsia" w:hAnsiTheme="majorEastAsia" w:cstheme="minorHAnsi" w:hint="eastAsia"/>
          <w:lang w:eastAsia="zh-CN"/>
        </w:rPr>
        <w:t>：</w:t>
      </w:r>
      <w:r w:rsidRPr="00496F25">
        <w:rPr>
          <w:rFonts w:ascii="Calibri" w:eastAsia="SimSun" w:hAnsi="Calibri" w:cs="Calibri" w:hint="eastAsia"/>
          <w:lang w:eastAsia="zh-CN"/>
        </w:rPr>
        <w:t>该会议将展示全球青年峰会的主要成果，展示这些想法和举措将如何影响和</w:t>
      </w:r>
      <w:r w:rsidRPr="00496F25">
        <w:rPr>
          <w:rFonts w:ascii="Calibri" w:eastAsia="SimSun" w:hAnsi="Calibri" w:cs="Calibri" w:hint="eastAsia"/>
          <w:lang w:eastAsia="zh-CN"/>
        </w:rPr>
        <w:t>/</w:t>
      </w:r>
      <w:r w:rsidRPr="00496F25">
        <w:rPr>
          <w:rFonts w:ascii="Calibri" w:eastAsia="SimSun" w:hAnsi="Calibri" w:cs="Calibri" w:hint="eastAsia"/>
          <w:lang w:eastAsia="zh-CN"/>
        </w:rPr>
        <w:t>或已经开始改变数字格局。这直接反映了国际电联在将青年观点纳入其框架以实现更可持续的数字化转型和建设公平的数字社会方面采取的积极措施。</w:t>
      </w:r>
    </w:p>
    <w:p w14:paraId="433309B3" w14:textId="77777777" w:rsidR="00FB5696" w:rsidRPr="00496F25" w:rsidRDefault="00FB5696" w:rsidP="00FB5696">
      <w:pPr>
        <w:ind w:firstLineChars="200" w:firstLine="480"/>
        <w:rPr>
          <w:rFonts w:ascii="Calibri" w:eastAsia="SimSun" w:hAnsi="Calibri" w:cs="Calibri"/>
          <w:lang w:eastAsia="zh-CN"/>
        </w:rPr>
      </w:pPr>
      <w:r w:rsidRPr="00363DF2">
        <w:rPr>
          <w:rFonts w:ascii="STKaiti" w:eastAsia="STKaiti" w:hAnsi="STKaiti" w:cstheme="minorHAnsi" w:hint="eastAsia"/>
          <w:lang w:eastAsia="zh-CN"/>
        </w:rPr>
        <w:t>承诺小组</w:t>
      </w:r>
      <w:r w:rsidRPr="00422052">
        <w:rPr>
          <w:rFonts w:asciiTheme="majorEastAsia" w:eastAsiaTheme="majorEastAsia" w:hAnsiTheme="majorEastAsia" w:cstheme="minorHAnsi" w:hint="eastAsia"/>
          <w:lang w:eastAsia="zh-CN"/>
        </w:rPr>
        <w:t>：</w:t>
      </w:r>
      <w:r w:rsidRPr="00363DF2">
        <w:rPr>
          <w:rFonts w:cstheme="minorHAnsi" w:hint="eastAsia"/>
          <w:lang w:eastAsia="zh-CN"/>
        </w:rPr>
        <w:t>与</w:t>
      </w:r>
      <w:r w:rsidRPr="00496F25">
        <w:rPr>
          <w:rFonts w:ascii="Calibri" w:eastAsia="SimSun" w:hAnsi="Calibri" w:cs="Calibri" w:hint="eastAsia"/>
          <w:lang w:eastAsia="zh-CN"/>
        </w:rPr>
        <w:t>通过志愿者努力积极参与数字化发展的青年领袖进行讨论。这些小组将重点介绍他们参与的项目和克服的挑战，突出他们致力于实现</w:t>
      </w:r>
      <w:r w:rsidRPr="00496F25">
        <w:rPr>
          <w:rFonts w:ascii="Calibri" w:eastAsia="SimSun" w:hAnsi="Calibri" w:cs="Calibri" w:hint="eastAsia"/>
          <w:lang w:eastAsia="zh-CN"/>
        </w:rPr>
        <w:t>BDT</w:t>
      </w:r>
      <w:r w:rsidRPr="00496F25">
        <w:rPr>
          <w:rFonts w:ascii="Calibri" w:eastAsia="SimSun" w:hAnsi="Calibri" w:cs="Calibri" w:hint="eastAsia"/>
          <w:lang w:eastAsia="zh-CN"/>
        </w:rPr>
        <w:t>的数字包容性目标。</w:t>
      </w:r>
    </w:p>
    <w:p w14:paraId="1807E1AF" w14:textId="77777777" w:rsidR="00FB5696" w:rsidRPr="005D3769" w:rsidRDefault="00FB5696" w:rsidP="00FB5696">
      <w:pPr>
        <w:ind w:firstLineChars="200" w:firstLine="480"/>
        <w:rPr>
          <w:rFonts w:cstheme="minorHAnsi"/>
          <w:color w:val="0D0D0D"/>
          <w:shd w:val="clear" w:color="auto" w:fill="FFFFFF"/>
          <w:lang w:eastAsia="zh-CN"/>
        </w:rPr>
      </w:pPr>
      <w:r w:rsidRPr="00363DF2">
        <w:rPr>
          <w:rFonts w:ascii="STKaiti" w:eastAsia="STKaiti" w:hAnsi="STKaiti" w:cstheme="minorHAnsi" w:hint="eastAsia"/>
          <w:color w:val="0D0D0D"/>
          <w:shd w:val="clear" w:color="auto" w:fill="FFFFFF"/>
          <w:lang w:eastAsia="zh-CN"/>
        </w:rPr>
        <w:t>以解决方案为导向的讲习班</w:t>
      </w:r>
      <w:r w:rsidRPr="00FB5696">
        <w:rPr>
          <w:rFonts w:asciiTheme="majorEastAsia" w:eastAsiaTheme="majorEastAsia" w:hAnsiTheme="majorEastAsia" w:cstheme="minorHAnsi" w:hint="eastAsia"/>
          <w:lang w:eastAsia="zh-CN"/>
        </w:rPr>
        <w:t>：</w:t>
      </w:r>
      <w:r w:rsidRPr="00496F25">
        <w:rPr>
          <w:rFonts w:ascii="Calibri" w:eastAsia="SimSun" w:hAnsi="Calibri" w:cs="Calibri" w:hint="eastAsia"/>
          <w:lang w:eastAsia="zh-CN"/>
        </w:rPr>
        <w:t>这些互动式讲习班将为与会者提供一个展示其当前项目和举措的平台，邀请各方参与讨论、提供指导和建立潜在的合作伙伴关系。目标是提供一个合作环境，为青年项目和举措制定全面的行动计划，并在实施过程中产生切实影响。这些讲习班旨在提供青年项目和举措在其社区内外的实际应用。它将促进</w:t>
      </w:r>
      <w:r w:rsidRPr="00496F25">
        <w:rPr>
          <w:rFonts w:ascii="Calibri" w:eastAsia="SimSun" w:hAnsi="Calibri" w:cs="Calibri" w:hint="eastAsia"/>
          <w:lang w:eastAsia="zh-CN"/>
        </w:rPr>
        <w:t>BDT</w:t>
      </w:r>
      <w:r w:rsidRPr="00496F25">
        <w:rPr>
          <w:rFonts w:ascii="Calibri" w:eastAsia="SimSun" w:hAnsi="Calibri" w:cs="Calibri" w:hint="eastAsia"/>
          <w:lang w:eastAsia="zh-CN"/>
        </w:rPr>
        <w:t>牵头创造新的实施途径，同时也鼓励青年参与者将其想法转化为可付诸行动的战略，推动有意义的变革。</w:t>
      </w:r>
    </w:p>
    <w:p w14:paraId="0169BF42" w14:textId="77777777" w:rsidR="00FB5696" w:rsidRDefault="00FB5696" w:rsidP="00FB5696">
      <w:pPr>
        <w:spacing w:after="120"/>
        <w:ind w:firstLineChars="200" w:firstLine="480"/>
        <w:rPr>
          <w:rFonts w:cstheme="minorBidi"/>
          <w:lang w:eastAsia="zh-CN"/>
        </w:rPr>
      </w:pPr>
      <w:r w:rsidRPr="008D62F7">
        <w:rPr>
          <w:rFonts w:ascii="STKaiti" w:eastAsia="STKaiti" w:hAnsi="STKaiti" w:cstheme="minorBidi" w:hint="eastAsia"/>
          <w:lang w:eastAsia="zh-CN"/>
        </w:rPr>
        <w:t>代际对话推动制定动态发展议程</w:t>
      </w:r>
      <w:r w:rsidRPr="00FB5696">
        <w:rPr>
          <w:rFonts w:asciiTheme="majorEastAsia" w:eastAsiaTheme="majorEastAsia" w:hAnsiTheme="majorEastAsia" w:cstheme="minorHAnsi" w:hint="eastAsia"/>
          <w:lang w:eastAsia="zh-CN"/>
        </w:rPr>
        <w:t>：</w:t>
      </w:r>
      <w:r w:rsidRPr="00496F25">
        <w:rPr>
          <w:rFonts w:ascii="Calibri" w:eastAsia="SimSun" w:hAnsi="Calibri" w:cs="Calibri" w:hint="eastAsia"/>
          <w:lang w:eastAsia="zh-CN"/>
        </w:rPr>
        <w:t>促进召开汇聚青年参与者和知名</w:t>
      </w:r>
      <w:r w:rsidRPr="00496F25">
        <w:rPr>
          <w:rFonts w:ascii="Calibri" w:eastAsia="SimSun" w:hAnsi="Calibri" w:cs="Calibri" w:hint="eastAsia"/>
          <w:lang w:eastAsia="zh-CN"/>
        </w:rPr>
        <w:t>ICT</w:t>
      </w:r>
      <w:r w:rsidRPr="00496F25">
        <w:rPr>
          <w:rFonts w:ascii="Calibri" w:eastAsia="SimSun" w:hAnsi="Calibri" w:cs="Calibri" w:hint="eastAsia"/>
          <w:lang w:eastAsia="zh-CN"/>
        </w:rPr>
        <w:t>领袖与专业人士的会议。这些对话将强调将经验和专业知识与</w:t>
      </w:r>
      <w:proofErr w:type="gramStart"/>
      <w:r w:rsidRPr="00496F25">
        <w:rPr>
          <w:rFonts w:ascii="Calibri" w:eastAsia="SimSun" w:hAnsi="Calibri" w:cs="Calibri" w:hint="eastAsia"/>
          <w:lang w:eastAsia="zh-CN"/>
        </w:rPr>
        <w:t>创新想</w:t>
      </w:r>
      <w:proofErr w:type="gramEnd"/>
      <w:r w:rsidRPr="00496F25">
        <w:rPr>
          <w:rFonts w:ascii="Calibri" w:eastAsia="SimSun" w:hAnsi="Calibri" w:cs="Calibri" w:hint="eastAsia"/>
          <w:lang w:eastAsia="zh-CN"/>
        </w:rPr>
        <w:t>法相结合的重要性。并突出青年对于</w:t>
      </w:r>
      <w:r w:rsidRPr="00496F25">
        <w:rPr>
          <w:rFonts w:ascii="Calibri" w:eastAsia="SimSun" w:hAnsi="Calibri" w:cs="Calibri" w:hint="eastAsia"/>
          <w:lang w:eastAsia="zh-CN"/>
        </w:rPr>
        <w:t>BDT</w:t>
      </w:r>
      <w:r w:rsidRPr="00496F25">
        <w:rPr>
          <w:rFonts w:ascii="Calibri" w:eastAsia="SimSun" w:hAnsi="Calibri" w:cs="Calibri" w:hint="eastAsia"/>
          <w:lang w:eastAsia="zh-CN"/>
        </w:rPr>
        <w:t>努力营造相互学习和协作的动态环境以推进数字发展议程的关键作用。</w:t>
      </w:r>
    </w:p>
    <w:p w14:paraId="50DB01CB" w14:textId="77777777" w:rsidR="00FB5696" w:rsidRPr="00496F25" w:rsidRDefault="00FB5696" w:rsidP="00FB5696">
      <w:pPr>
        <w:ind w:firstLineChars="200" w:firstLine="480"/>
        <w:rPr>
          <w:rFonts w:ascii="Calibri" w:eastAsia="SimSun" w:hAnsi="Calibri" w:cs="Calibri"/>
          <w:lang w:eastAsia="zh-CN"/>
        </w:rPr>
      </w:pPr>
      <w:r w:rsidRPr="00496F25">
        <w:rPr>
          <w:rFonts w:ascii="Calibri" w:eastAsia="SimSun" w:hAnsi="Calibri" w:cs="Calibri" w:hint="eastAsia"/>
          <w:lang w:eastAsia="zh-CN"/>
        </w:rPr>
        <w:t>此外，这些代际对话将与联合国系统实现青年赋权和发展的综合办法保持一致，突出国际电联在</w:t>
      </w:r>
      <w:r w:rsidRPr="00496F25">
        <w:rPr>
          <w:rFonts w:ascii="Calibri" w:eastAsia="SimSun" w:hAnsi="Calibri" w:cs="Calibri" w:hint="eastAsia"/>
          <w:lang w:eastAsia="zh-CN"/>
        </w:rPr>
        <w:t>ICT</w:t>
      </w:r>
      <w:r w:rsidRPr="00496F25">
        <w:rPr>
          <w:rFonts w:ascii="Calibri" w:eastAsia="SimSun" w:hAnsi="Calibri" w:cs="Calibri" w:hint="eastAsia"/>
          <w:lang w:eastAsia="zh-CN"/>
        </w:rPr>
        <w:t>背景下在扩大对青年的关注方面的作用。该战略强调了国际电联自</w:t>
      </w:r>
      <w:r w:rsidRPr="00496F25">
        <w:rPr>
          <w:rFonts w:ascii="Calibri" w:eastAsia="SimSun" w:hAnsi="Calibri" w:cs="Calibri" w:hint="eastAsia"/>
          <w:lang w:eastAsia="zh-CN"/>
        </w:rPr>
        <w:t>2003</w:t>
      </w:r>
      <w:r w:rsidRPr="00496F25">
        <w:rPr>
          <w:rFonts w:ascii="Calibri" w:eastAsia="SimSun" w:hAnsi="Calibri" w:cs="Calibri" w:hint="eastAsia"/>
          <w:lang w:eastAsia="zh-CN"/>
        </w:rPr>
        <w:t>年以来将青年观点纳入全球发展举措的承诺，也加强了联合国其他机构的青年工作。比如，联合国教育、科学及文化组织（</w:t>
      </w:r>
      <w:r w:rsidRPr="00496F25">
        <w:rPr>
          <w:rFonts w:ascii="Calibri" w:eastAsia="SimSun" w:hAnsi="Calibri" w:cs="Calibri" w:hint="eastAsia"/>
          <w:lang w:eastAsia="zh-CN"/>
        </w:rPr>
        <w:t>UNESCO</w:t>
      </w:r>
      <w:r w:rsidRPr="00496F25">
        <w:rPr>
          <w:rFonts w:ascii="Calibri" w:eastAsia="SimSun" w:hAnsi="Calibri" w:cs="Calibri" w:hint="eastAsia"/>
          <w:lang w:eastAsia="zh-CN"/>
        </w:rPr>
        <w:t>）促进包容性教育的工作、联合国开发计划署（</w:t>
      </w:r>
      <w:r w:rsidRPr="00496F25">
        <w:rPr>
          <w:rFonts w:ascii="Calibri" w:eastAsia="SimSun" w:hAnsi="Calibri" w:cs="Calibri" w:hint="eastAsia"/>
          <w:lang w:eastAsia="zh-CN"/>
        </w:rPr>
        <w:t>UNDP</w:t>
      </w:r>
      <w:r w:rsidRPr="00496F25">
        <w:rPr>
          <w:rFonts w:ascii="Calibri" w:eastAsia="SimSun" w:hAnsi="Calibri" w:cs="Calibri" w:hint="eastAsia"/>
          <w:lang w:eastAsia="zh-CN"/>
        </w:rPr>
        <w:t>）让青年参与可持续发展的工作、联合国环境规划署（</w:t>
      </w:r>
      <w:r w:rsidRPr="00496F25">
        <w:rPr>
          <w:rFonts w:ascii="Calibri" w:eastAsia="SimSun" w:hAnsi="Calibri" w:cs="Calibri" w:hint="eastAsia"/>
          <w:lang w:eastAsia="zh-CN"/>
        </w:rPr>
        <w:t>UNEP</w:t>
      </w:r>
      <w:r w:rsidRPr="00496F25">
        <w:rPr>
          <w:rFonts w:ascii="Calibri" w:eastAsia="SimSun" w:hAnsi="Calibri" w:cs="Calibri" w:hint="eastAsia"/>
          <w:lang w:eastAsia="zh-CN"/>
        </w:rPr>
        <w:t>）让青年参与环境活动的工作、国际劳工组织（</w:t>
      </w:r>
      <w:r w:rsidRPr="00496F25">
        <w:rPr>
          <w:rFonts w:ascii="Calibri" w:eastAsia="SimSun" w:hAnsi="Calibri" w:cs="Calibri" w:hint="eastAsia"/>
          <w:lang w:eastAsia="zh-CN"/>
        </w:rPr>
        <w:t>ILO</w:t>
      </w:r>
      <w:r w:rsidRPr="00496F25">
        <w:rPr>
          <w:rFonts w:ascii="Calibri" w:eastAsia="SimSun" w:hAnsi="Calibri" w:cs="Calibri" w:hint="eastAsia"/>
          <w:lang w:eastAsia="zh-CN"/>
        </w:rPr>
        <w:t>）促进青年体面就业的工作、世界卫生组织（</w:t>
      </w:r>
      <w:r w:rsidRPr="00496F25">
        <w:rPr>
          <w:rFonts w:ascii="Calibri" w:eastAsia="SimSun" w:hAnsi="Calibri" w:cs="Calibri" w:hint="eastAsia"/>
          <w:lang w:eastAsia="zh-CN"/>
        </w:rPr>
        <w:t>WHO</w:t>
      </w:r>
      <w:r w:rsidRPr="00496F25">
        <w:rPr>
          <w:rFonts w:ascii="Calibri" w:eastAsia="SimSun" w:hAnsi="Calibri" w:cs="Calibri" w:hint="eastAsia"/>
          <w:lang w:eastAsia="zh-CN"/>
        </w:rPr>
        <w:t>）解决青年卫生问题的工作都是重要的例子。通过这种合作努力，联合国利用青年人的潜力推进可持续发展目标的实现，确保青年的活力和创造力在塑造一个具有韧性和包容性的</w:t>
      </w:r>
      <w:proofErr w:type="gramStart"/>
      <w:r w:rsidRPr="00496F25">
        <w:rPr>
          <w:rFonts w:ascii="Calibri" w:eastAsia="SimSun" w:hAnsi="Calibri" w:cs="Calibri" w:hint="eastAsia"/>
          <w:lang w:eastAsia="zh-CN"/>
        </w:rPr>
        <w:t>未来方面</w:t>
      </w:r>
      <w:proofErr w:type="gramEnd"/>
      <w:r w:rsidRPr="00496F25">
        <w:rPr>
          <w:rFonts w:ascii="Calibri" w:eastAsia="SimSun" w:hAnsi="Calibri" w:cs="Calibri" w:hint="eastAsia"/>
          <w:lang w:eastAsia="zh-CN"/>
        </w:rPr>
        <w:t>发挥关键作用。</w:t>
      </w:r>
    </w:p>
    <w:p w14:paraId="7CE0B923" w14:textId="77777777" w:rsidR="00FB5696" w:rsidRPr="00496F25" w:rsidRDefault="00FB5696" w:rsidP="00FB5696">
      <w:pPr>
        <w:spacing w:after="120"/>
        <w:ind w:firstLineChars="200" w:firstLine="480"/>
        <w:rPr>
          <w:rFonts w:ascii="Calibri" w:eastAsia="SimSun" w:hAnsi="Calibri" w:cs="Calibri"/>
          <w:lang w:eastAsia="zh-CN"/>
        </w:rPr>
      </w:pPr>
      <w:r w:rsidRPr="00F62E76">
        <w:rPr>
          <w:rFonts w:ascii="STKaiti" w:eastAsia="STKaiti" w:hAnsi="STKaiti" w:cstheme="minorBidi" w:hint="eastAsia"/>
          <w:lang w:eastAsia="zh-CN"/>
        </w:rPr>
        <w:t>社交机会</w:t>
      </w:r>
      <w:r w:rsidRPr="00422052">
        <w:rPr>
          <w:rFonts w:asciiTheme="majorEastAsia" w:eastAsiaTheme="majorEastAsia" w:hAnsiTheme="majorEastAsia" w:cstheme="minorHAnsi" w:hint="eastAsia"/>
          <w:lang w:eastAsia="zh-CN"/>
        </w:rPr>
        <w:t>：</w:t>
      </w:r>
      <w:r w:rsidRPr="00496F25">
        <w:rPr>
          <w:rFonts w:ascii="Calibri" w:eastAsia="SimSun" w:hAnsi="Calibri" w:cs="Calibri" w:hint="eastAsia"/>
          <w:lang w:eastAsia="zh-CN"/>
        </w:rPr>
        <w:t>组织旨在增加社交机会、加强文化交流以及在青年和</w:t>
      </w:r>
      <w:r w:rsidRPr="00496F25">
        <w:rPr>
          <w:rFonts w:ascii="Calibri" w:eastAsia="SimSun" w:hAnsi="Calibri" w:cs="Calibri" w:hint="eastAsia"/>
          <w:lang w:eastAsia="zh-CN"/>
        </w:rPr>
        <w:t>WTDC</w:t>
      </w:r>
      <w:r w:rsidRPr="00496F25">
        <w:rPr>
          <w:rFonts w:ascii="Calibri" w:eastAsia="SimSun" w:hAnsi="Calibri" w:cs="Calibri"/>
          <w:lang w:eastAsia="zh-CN"/>
        </w:rPr>
        <w:t>-</w:t>
      </w:r>
      <w:r w:rsidRPr="00496F25">
        <w:rPr>
          <w:rFonts w:ascii="Calibri" w:eastAsia="SimSun" w:hAnsi="Calibri" w:cs="Calibri" w:hint="eastAsia"/>
          <w:lang w:eastAsia="zh-CN"/>
        </w:rPr>
        <w:t>25</w:t>
      </w:r>
      <w:r w:rsidRPr="00496F25">
        <w:rPr>
          <w:rFonts w:ascii="Calibri" w:eastAsia="SimSun" w:hAnsi="Calibri" w:cs="Calibri" w:hint="eastAsia"/>
          <w:lang w:eastAsia="zh-CN"/>
        </w:rPr>
        <w:t>与会者之间培养全球团结意识的活动和</w:t>
      </w:r>
      <w:r w:rsidRPr="00496F25">
        <w:rPr>
          <w:rFonts w:ascii="Calibri" w:eastAsia="SimSun" w:hAnsi="Calibri" w:cs="Calibri" w:hint="eastAsia"/>
          <w:lang w:eastAsia="zh-CN"/>
        </w:rPr>
        <w:t>/</w:t>
      </w:r>
      <w:r w:rsidRPr="00496F25">
        <w:rPr>
          <w:rFonts w:ascii="Calibri" w:eastAsia="SimSun" w:hAnsi="Calibri" w:cs="Calibri" w:hint="eastAsia"/>
          <w:lang w:eastAsia="zh-CN"/>
        </w:rPr>
        <w:t>或事件。这些活动</w:t>
      </w:r>
      <w:r w:rsidRPr="00496F25">
        <w:rPr>
          <w:rFonts w:ascii="Calibri" w:eastAsia="SimSun" w:hAnsi="Calibri" w:cs="Calibri" w:hint="eastAsia"/>
          <w:lang w:eastAsia="zh-CN"/>
        </w:rPr>
        <w:t>/</w:t>
      </w:r>
      <w:r w:rsidRPr="00496F25">
        <w:rPr>
          <w:rFonts w:ascii="Calibri" w:eastAsia="SimSun" w:hAnsi="Calibri" w:cs="Calibri" w:hint="eastAsia"/>
          <w:lang w:eastAsia="zh-CN"/>
        </w:rPr>
        <w:t>事件将以合作活动为主，营造一种有利于在全</w:t>
      </w:r>
      <w:r w:rsidRPr="00496F25">
        <w:rPr>
          <w:rFonts w:ascii="Calibri" w:eastAsia="SimSun" w:hAnsi="Calibri" w:cs="Calibri" w:hint="eastAsia"/>
          <w:lang w:eastAsia="zh-CN"/>
        </w:rPr>
        <w:lastRenderedPageBreak/>
        <w:t>球青年和参加</w:t>
      </w:r>
      <w:r w:rsidRPr="00496F25">
        <w:rPr>
          <w:rFonts w:ascii="Calibri" w:eastAsia="SimSun" w:hAnsi="Calibri" w:cs="Calibri" w:hint="eastAsia"/>
          <w:lang w:eastAsia="zh-CN"/>
        </w:rPr>
        <w:t>WTDC</w:t>
      </w:r>
      <w:r w:rsidRPr="00496F25">
        <w:rPr>
          <w:rFonts w:ascii="Calibri" w:eastAsia="SimSun" w:hAnsi="Calibri" w:cs="Calibri"/>
          <w:lang w:eastAsia="zh-CN"/>
        </w:rPr>
        <w:t>-</w:t>
      </w:r>
      <w:r w:rsidRPr="00496F25">
        <w:rPr>
          <w:rFonts w:ascii="Calibri" w:eastAsia="SimSun" w:hAnsi="Calibri" w:cs="Calibri" w:hint="eastAsia"/>
          <w:lang w:eastAsia="zh-CN"/>
        </w:rPr>
        <w:t>25</w:t>
      </w:r>
      <w:r w:rsidRPr="00496F25">
        <w:rPr>
          <w:rFonts w:ascii="Calibri" w:eastAsia="SimSun" w:hAnsi="Calibri" w:cs="Calibri" w:hint="eastAsia"/>
          <w:lang w:eastAsia="zh-CN"/>
        </w:rPr>
        <w:t>的主要政策制定者和决策者之间建立持久联系的参与性和包容性氛围。</w:t>
      </w:r>
    </w:p>
    <w:p w14:paraId="542B6AB3" w14:textId="6426D086" w:rsidR="00FB5696" w:rsidRPr="00FB5696" w:rsidRDefault="00FB5696" w:rsidP="00FB5696">
      <w:pPr>
        <w:pStyle w:val="Heading1"/>
        <w:rPr>
          <w:rFonts w:cstheme="minorBidi"/>
          <w:bCs/>
        </w:rPr>
      </w:pPr>
      <w:r w:rsidRPr="00FB5696">
        <w:rPr>
          <w:rFonts w:cstheme="minorBidi"/>
          <w:lang w:val="en-US" w:eastAsia="zh-CN"/>
        </w:rPr>
        <w:t>4</w:t>
      </w:r>
      <w:r w:rsidRPr="00FB5696">
        <w:rPr>
          <w:rFonts w:cstheme="minorBidi"/>
          <w:lang w:val="en-US" w:eastAsia="zh-CN"/>
        </w:rPr>
        <w:tab/>
      </w:r>
      <w:r w:rsidRPr="00FB5696">
        <w:rPr>
          <w:rFonts w:cstheme="minorBidi" w:hint="eastAsia"/>
          <w:bCs/>
          <w:lang w:eastAsia="zh-CN"/>
        </w:rPr>
        <w:t>预期成果</w:t>
      </w:r>
    </w:p>
    <w:p w14:paraId="20A93FF4" w14:textId="77777777" w:rsidR="00FB5696" w:rsidRPr="00496F25" w:rsidRDefault="00FB5696" w:rsidP="00FB5696">
      <w:pPr>
        <w:spacing w:after="120"/>
        <w:ind w:firstLineChars="200" w:firstLine="480"/>
        <w:rPr>
          <w:rFonts w:ascii="Calibri" w:eastAsia="SimSun" w:hAnsi="Calibri" w:cs="Calibri"/>
          <w:lang w:eastAsia="zh-CN"/>
        </w:rPr>
      </w:pPr>
      <w:r w:rsidRPr="00977B7E">
        <w:rPr>
          <w:rFonts w:ascii="STKaiti" w:eastAsia="STKaiti" w:hAnsi="STKaiti" w:cstheme="minorHAnsi" w:hint="eastAsia"/>
          <w:lang w:eastAsia="zh-CN"/>
        </w:rPr>
        <w:t>依托国际电</w:t>
      </w:r>
      <w:proofErr w:type="gramStart"/>
      <w:r w:rsidRPr="00977B7E">
        <w:rPr>
          <w:rFonts w:ascii="STKaiti" w:eastAsia="STKaiti" w:hAnsi="STKaiti" w:cstheme="minorHAnsi" w:hint="eastAsia"/>
          <w:lang w:eastAsia="zh-CN"/>
        </w:rPr>
        <w:t>联全球</w:t>
      </w:r>
      <w:proofErr w:type="gramEnd"/>
      <w:r w:rsidRPr="00977B7E">
        <w:rPr>
          <w:rFonts w:ascii="STKaiti" w:eastAsia="STKaiti" w:hAnsi="STKaiti" w:cstheme="minorHAnsi" w:hint="eastAsia"/>
          <w:lang w:eastAsia="zh-CN"/>
        </w:rPr>
        <w:t>青年峰会的成果</w:t>
      </w:r>
      <w:r w:rsidRPr="00FB5696">
        <w:rPr>
          <w:rFonts w:asciiTheme="majorEastAsia" w:eastAsiaTheme="majorEastAsia" w:hAnsiTheme="majorEastAsia" w:cstheme="minorHAnsi" w:hint="eastAsia"/>
          <w:lang w:eastAsia="zh-CN"/>
        </w:rPr>
        <w:t>：</w:t>
      </w:r>
      <w:r w:rsidRPr="00496F25">
        <w:rPr>
          <w:rFonts w:ascii="Calibri" w:eastAsia="SimSun" w:hAnsi="Calibri" w:cs="Calibri" w:hint="eastAsia"/>
          <w:lang w:eastAsia="zh-CN"/>
        </w:rPr>
        <w:t>利用全球青年峰会的成果和举措，为</w:t>
      </w:r>
      <w:r w:rsidRPr="00496F25">
        <w:rPr>
          <w:rFonts w:ascii="Calibri" w:eastAsia="SimSun" w:hAnsi="Calibri" w:cs="Calibri" w:hint="eastAsia"/>
          <w:lang w:eastAsia="zh-CN"/>
        </w:rPr>
        <w:t>WTDC-25</w:t>
      </w:r>
      <w:r w:rsidRPr="00496F25">
        <w:rPr>
          <w:rFonts w:ascii="Calibri" w:eastAsia="SimSun" w:hAnsi="Calibri" w:cs="Calibri" w:hint="eastAsia"/>
          <w:lang w:eastAsia="zh-CN"/>
        </w:rPr>
        <w:t>的讨论提供信息和动力。</w:t>
      </w:r>
    </w:p>
    <w:p w14:paraId="18072ED6" w14:textId="77777777" w:rsidR="00FB5696" w:rsidRPr="005D3769" w:rsidRDefault="00FB5696" w:rsidP="00FB5696">
      <w:pPr>
        <w:spacing w:after="120"/>
        <w:ind w:firstLineChars="200" w:firstLine="480"/>
        <w:rPr>
          <w:rFonts w:cstheme="minorHAnsi"/>
          <w:lang w:eastAsia="zh-CN"/>
        </w:rPr>
      </w:pPr>
      <w:r w:rsidRPr="00977B7E">
        <w:rPr>
          <w:rFonts w:ascii="STKaiti" w:eastAsia="STKaiti" w:hAnsi="STKaiti" w:cstheme="minorHAnsi" w:hint="eastAsia"/>
          <w:lang w:eastAsia="zh-CN"/>
        </w:rPr>
        <w:t>重申青年承诺</w:t>
      </w:r>
      <w:r w:rsidRPr="00FB5696">
        <w:rPr>
          <w:rFonts w:asciiTheme="majorEastAsia" w:eastAsiaTheme="majorEastAsia" w:hAnsiTheme="majorEastAsia" w:cstheme="minorHAnsi" w:hint="eastAsia"/>
          <w:lang w:eastAsia="zh-CN"/>
        </w:rPr>
        <w:t>：</w:t>
      </w:r>
      <w:r w:rsidRPr="00496F25">
        <w:rPr>
          <w:rFonts w:ascii="Calibri" w:eastAsia="SimSun" w:hAnsi="Calibri" w:cs="Calibri" w:hint="eastAsia"/>
          <w:lang w:eastAsia="zh-CN"/>
        </w:rPr>
        <w:t>强调青年通过其在各自国家、区域和全球的志愿活动和创新项目为国际电联的发展议程做出贡献的持续承诺。</w:t>
      </w:r>
    </w:p>
    <w:p w14:paraId="669C8E3F" w14:textId="77777777" w:rsidR="00FB5696" w:rsidRPr="005D3769" w:rsidRDefault="00FB5696" w:rsidP="00FB5696">
      <w:pPr>
        <w:spacing w:after="120"/>
        <w:ind w:firstLineChars="200" w:firstLine="480"/>
        <w:rPr>
          <w:rFonts w:cstheme="minorBidi"/>
          <w:lang w:eastAsia="zh-CN"/>
        </w:rPr>
      </w:pPr>
      <w:r w:rsidRPr="00977B7E">
        <w:rPr>
          <w:rFonts w:ascii="STKaiti" w:eastAsia="STKaiti" w:hAnsi="STKaiti" w:cstheme="minorBidi" w:hint="eastAsia"/>
          <w:lang w:eastAsia="zh-CN"/>
        </w:rPr>
        <w:t>可付诸行动的战略</w:t>
      </w:r>
      <w:r w:rsidRPr="00FB5696">
        <w:rPr>
          <w:rFonts w:asciiTheme="majorEastAsia" w:eastAsiaTheme="majorEastAsia" w:hAnsiTheme="majorEastAsia" w:cstheme="minorHAnsi" w:hint="eastAsia"/>
          <w:lang w:eastAsia="zh-CN"/>
        </w:rPr>
        <w:t>：</w:t>
      </w:r>
      <w:r w:rsidRPr="00496F25">
        <w:rPr>
          <w:rFonts w:ascii="Calibri" w:eastAsia="SimSun" w:hAnsi="Calibri" w:cs="Calibri" w:hint="eastAsia"/>
          <w:lang w:eastAsia="zh-CN"/>
        </w:rPr>
        <w:t>确定切实可行的战略跟进</w:t>
      </w:r>
      <w:r w:rsidRPr="00496F25">
        <w:rPr>
          <w:rFonts w:ascii="Calibri" w:eastAsia="SimSun" w:hAnsi="Calibri" w:cs="Calibri" w:hint="eastAsia"/>
          <w:lang w:eastAsia="zh-CN"/>
        </w:rPr>
        <w:t>GYS</w:t>
      </w:r>
      <w:r w:rsidRPr="00496F25">
        <w:rPr>
          <w:rFonts w:ascii="Calibri" w:eastAsia="SimSun" w:hAnsi="Calibri" w:cs="Calibri"/>
          <w:lang w:eastAsia="zh-CN"/>
        </w:rPr>
        <w:t>-</w:t>
      </w:r>
      <w:r w:rsidRPr="00496F25">
        <w:rPr>
          <w:rFonts w:ascii="Calibri" w:eastAsia="SimSun" w:hAnsi="Calibri" w:cs="Calibri" w:hint="eastAsia"/>
          <w:lang w:eastAsia="zh-CN"/>
        </w:rPr>
        <w:t>24</w:t>
      </w:r>
      <w:r w:rsidRPr="00496F25">
        <w:rPr>
          <w:rFonts w:ascii="Calibri" w:eastAsia="SimSun" w:hAnsi="Calibri" w:cs="Calibri" w:hint="eastAsia"/>
          <w:lang w:eastAsia="zh-CN"/>
        </w:rPr>
        <w:t>的成果文件，特别是旨在实施青年主导的数字项目的成果文件，确保所有青年，包括弱势青年，能够平等和公平地获得</w:t>
      </w:r>
      <w:r w:rsidRPr="00496F25">
        <w:rPr>
          <w:rFonts w:ascii="Calibri" w:eastAsia="SimSun" w:hAnsi="Calibri" w:cs="Calibri" w:hint="eastAsia"/>
          <w:lang w:eastAsia="zh-CN"/>
        </w:rPr>
        <w:t>ICT</w:t>
      </w:r>
      <w:r w:rsidRPr="00496F25">
        <w:rPr>
          <w:rFonts w:ascii="Calibri" w:eastAsia="SimSun" w:hAnsi="Calibri" w:cs="Calibri" w:hint="eastAsia"/>
          <w:lang w:eastAsia="zh-CN"/>
        </w:rPr>
        <w:t>赋权，支持他们积极参与数字社会、经济和环境建设。</w:t>
      </w:r>
    </w:p>
    <w:p w14:paraId="1F0A042B" w14:textId="77777777" w:rsidR="00FB5696" w:rsidRPr="00496F25" w:rsidRDefault="00FB5696" w:rsidP="00FB5696">
      <w:pPr>
        <w:spacing w:after="120"/>
        <w:ind w:firstLineChars="200" w:firstLine="480"/>
        <w:rPr>
          <w:rFonts w:ascii="Calibri" w:eastAsia="SimSun" w:hAnsi="Calibri" w:cs="Calibri"/>
          <w:lang w:eastAsia="zh-CN"/>
        </w:rPr>
      </w:pPr>
      <w:r w:rsidRPr="00E11017">
        <w:rPr>
          <w:rFonts w:ascii="STKaiti" w:eastAsia="STKaiti" w:hAnsi="STKaiti" w:cstheme="minorBidi" w:hint="eastAsia"/>
          <w:lang w:eastAsia="zh-CN"/>
        </w:rPr>
        <w:t>促进代际对话</w:t>
      </w:r>
      <w:r w:rsidRPr="00FB5696">
        <w:rPr>
          <w:rFonts w:asciiTheme="majorEastAsia" w:eastAsiaTheme="majorEastAsia" w:hAnsiTheme="majorEastAsia" w:cstheme="minorHAnsi" w:hint="eastAsia"/>
          <w:lang w:eastAsia="zh-CN"/>
        </w:rPr>
        <w:t>：</w:t>
      </w:r>
      <w:r w:rsidRPr="00496F25">
        <w:rPr>
          <w:rFonts w:ascii="Calibri" w:eastAsia="SimSun" w:hAnsi="Calibri" w:cs="Calibri" w:hint="eastAsia"/>
          <w:lang w:eastAsia="zh-CN"/>
        </w:rPr>
        <w:t>建立一个平台，使青年专家、领袖和创新者能够与全球关键政策和决策的制定者以及</w:t>
      </w:r>
      <w:r w:rsidRPr="00496F25">
        <w:rPr>
          <w:rFonts w:ascii="Calibri" w:eastAsia="SimSun" w:hAnsi="Calibri" w:cs="Calibri" w:hint="eastAsia"/>
          <w:lang w:eastAsia="zh-CN"/>
        </w:rPr>
        <w:t>ICT</w:t>
      </w:r>
      <w:r w:rsidRPr="00496F25">
        <w:rPr>
          <w:rFonts w:ascii="Calibri" w:eastAsia="SimSun" w:hAnsi="Calibri" w:cs="Calibri" w:hint="eastAsia"/>
          <w:lang w:eastAsia="zh-CN"/>
        </w:rPr>
        <w:t>领域公认的思想领袖开展有意义的交流。这将促进几代人之间的合作，分享见解和建立师徒关系。</w:t>
      </w:r>
    </w:p>
    <w:p w14:paraId="5E4EB412" w14:textId="77777777" w:rsidR="00FB5696" w:rsidRPr="00496F25" w:rsidRDefault="00FB5696" w:rsidP="00FB5696">
      <w:pPr>
        <w:spacing w:after="120"/>
        <w:ind w:firstLineChars="200" w:firstLine="480"/>
        <w:rPr>
          <w:rFonts w:ascii="Calibri" w:eastAsia="SimSun" w:hAnsi="Calibri" w:cs="Calibri"/>
          <w:lang w:eastAsia="zh-CN"/>
        </w:rPr>
      </w:pPr>
      <w:r w:rsidRPr="00E11017">
        <w:rPr>
          <w:rFonts w:ascii="STKaiti" w:eastAsia="STKaiti" w:hAnsi="STKaiti" w:cstheme="minorHAnsi" w:hint="eastAsia"/>
          <w:lang w:eastAsia="zh-CN"/>
        </w:rPr>
        <w:t>加强全球网络</w:t>
      </w:r>
      <w:r w:rsidRPr="00FB5696">
        <w:rPr>
          <w:rFonts w:asciiTheme="majorEastAsia" w:eastAsiaTheme="majorEastAsia" w:hAnsiTheme="majorEastAsia" w:cstheme="minorHAnsi" w:hint="eastAsia"/>
          <w:lang w:eastAsia="zh-CN"/>
        </w:rPr>
        <w:t>：</w:t>
      </w:r>
      <w:r w:rsidRPr="00496F25">
        <w:rPr>
          <w:rFonts w:ascii="Calibri" w:eastAsia="SimSun" w:hAnsi="Calibri" w:cs="Calibri" w:hint="eastAsia"/>
          <w:lang w:eastAsia="zh-CN"/>
        </w:rPr>
        <w:t>加强青年领袖之间以及青年和全球决策者之间在数字化发展方面的联系。这将促进知识共享和增加合作机会，建立一个支持当前和未来数字化发展全球议程的强健网络。</w:t>
      </w:r>
    </w:p>
    <w:p w14:paraId="0C5EF733" w14:textId="6220969C" w:rsidR="00FB5696" w:rsidRPr="00FB5696" w:rsidRDefault="00FB5696" w:rsidP="00FB5696">
      <w:pPr>
        <w:pStyle w:val="Heading1"/>
        <w:rPr>
          <w:rFonts w:cstheme="minorBidi"/>
          <w:lang w:val="en-US" w:eastAsia="zh-CN"/>
        </w:rPr>
      </w:pPr>
      <w:r w:rsidRPr="00FB5696">
        <w:rPr>
          <w:rFonts w:cstheme="minorBidi"/>
          <w:lang w:val="en-US" w:eastAsia="zh-CN"/>
        </w:rPr>
        <w:t>5</w:t>
      </w:r>
      <w:r>
        <w:rPr>
          <w:rFonts w:cstheme="minorBidi"/>
          <w:lang w:val="en-US" w:eastAsia="zh-CN"/>
        </w:rPr>
        <w:tab/>
      </w:r>
      <w:r w:rsidRPr="00FB5696">
        <w:rPr>
          <w:rFonts w:cstheme="minorBidi" w:hint="eastAsia"/>
          <w:lang w:val="en-US" w:eastAsia="zh-CN"/>
        </w:rPr>
        <w:t>活动的附加值</w:t>
      </w:r>
    </w:p>
    <w:p w14:paraId="323E1F25" w14:textId="77777777" w:rsidR="00FB5696" w:rsidRPr="00496F25" w:rsidRDefault="00FB5696" w:rsidP="00FB5696">
      <w:pPr>
        <w:spacing w:after="120"/>
        <w:ind w:firstLineChars="200" w:firstLine="480"/>
        <w:rPr>
          <w:rFonts w:ascii="Calibri" w:eastAsia="SimSun" w:hAnsi="Calibri" w:cs="Calibri"/>
          <w:lang w:eastAsia="zh-CN"/>
        </w:rPr>
      </w:pPr>
      <w:r w:rsidRPr="00496F25">
        <w:rPr>
          <w:rFonts w:ascii="Calibri" w:eastAsia="SimSun" w:hAnsi="Calibri" w:cs="Calibri" w:hint="eastAsia"/>
          <w:lang w:eastAsia="zh-CN"/>
        </w:rPr>
        <w:t>通过此次青年庆祝活动，</w:t>
      </w:r>
      <w:r w:rsidRPr="00496F25">
        <w:rPr>
          <w:rFonts w:ascii="Calibri" w:eastAsia="SimSun" w:hAnsi="Calibri" w:cs="Calibri" w:hint="eastAsia"/>
          <w:lang w:eastAsia="zh-CN"/>
        </w:rPr>
        <w:t>BDT</w:t>
      </w:r>
      <w:r w:rsidRPr="00496F25">
        <w:rPr>
          <w:rFonts w:ascii="Calibri" w:eastAsia="SimSun" w:hAnsi="Calibri" w:cs="Calibri" w:hint="eastAsia"/>
          <w:lang w:eastAsia="zh-CN"/>
        </w:rPr>
        <w:t>旨在确保青年的声音能够在</w:t>
      </w:r>
      <w:r w:rsidRPr="00496F25">
        <w:rPr>
          <w:rFonts w:ascii="Calibri" w:eastAsia="SimSun" w:hAnsi="Calibri" w:cs="Calibri" w:hint="eastAsia"/>
          <w:lang w:eastAsia="zh-CN"/>
        </w:rPr>
        <w:t>WTDC</w:t>
      </w:r>
      <w:r w:rsidRPr="00496F25">
        <w:rPr>
          <w:rFonts w:ascii="Calibri" w:eastAsia="SimSun" w:hAnsi="Calibri" w:cs="Calibri"/>
          <w:lang w:eastAsia="zh-CN"/>
        </w:rPr>
        <w:t>-</w:t>
      </w:r>
      <w:r w:rsidRPr="00496F25">
        <w:rPr>
          <w:rFonts w:ascii="Calibri" w:eastAsia="SimSun" w:hAnsi="Calibri" w:cs="Calibri" w:hint="eastAsia"/>
          <w:lang w:eastAsia="zh-CN"/>
        </w:rPr>
        <w:t>25</w:t>
      </w:r>
      <w:r w:rsidRPr="00496F25">
        <w:rPr>
          <w:rFonts w:ascii="Calibri" w:eastAsia="SimSun" w:hAnsi="Calibri" w:cs="Calibri" w:hint="eastAsia"/>
          <w:lang w:eastAsia="zh-CN"/>
        </w:rPr>
        <w:t>之前和之后继续影响国际电联的工作。此次活动不仅将凸显青年领袖在塑造数字</w:t>
      </w:r>
      <w:proofErr w:type="gramStart"/>
      <w:r w:rsidRPr="00496F25">
        <w:rPr>
          <w:rFonts w:ascii="Calibri" w:eastAsia="SimSun" w:hAnsi="Calibri" w:cs="Calibri" w:hint="eastAsia"/>
          <w:lang w:eastAsia="zh-CN"/>
        </w:rPr>
        <w:t>未来方面</w:t>
      </w:r>
      <w:proofErr w:type="gramEnd"/>
      <w:r w:rsidRPr="00496F25">
        <w:rPr>
          <w:rFonts w:ascii="Calibri" w:eastAsia="SimSun" w:hAnsi="Calibri" w:cs="Calibri" w:hint="eastAsia"/>
          <w:lang w:eastAsia="zh-CN"/>
        </w:rPr>
        <w:t>的潜力，还将巩固国际电联和</w:t>
      </w:r>
      <w:r w:rsidRPr="00496F25">
        <w:rPr>
          <w:rFonts w:ascii="Calibri" w:eastAsia="SimSun" w:hAnsi="Calibri" w:cs="Calibri" w:hint="eastAsia"/>
          <w:lang w:eastAsia="zh-CN"/>
        </w:rPr>
        <w:t>BDT</w:t>
      </w:r>
      <w:r w:rsidRPr="00496F25">
        <w:rPr>
          <w:rFonts w:ascii="Calibri" w:eastAsia="SimSun" w:hAnsi="Calibri" w:cs="Calibri" w:hint="eastAsia"/>
          <w:lang w:eastAsia="zh-CN"/>
        </w:rPr>
        <w:t>对青年一代的承诺，使他们成为全球电信和数字发展议程的关键合作伙伴。</w:t>
      </w:r>
    </w:p>
    <w:p w14:paraId="143D8A16" w14:textId="77777777" w:rsidR="00FB5696" w:rsidRPr="00496F25" w:rsidRDefault="00FB5696" w:rsidP="00FB5696">
      <w:pPr>
        <w:spacing w:after="120"/>
        <w:ind w:firstLineChars="200" w:firstLine="480"/>
        <w:rPr>
          <w:rFonts w:ascii="Calibri" w:eastAsia="SimSun" w:hAnsi="Calibri" w:cs="Calibri"/>
          <w:lang w:eastAsia="zh-CN"/>
        </w:rPr>
      </w:pPr>
      <w:r w:rsidRPr="00496F25">
        <w:rPr>
          <w:rFonts w:ascii="Calibri" w:eastAsia="SimSun" w:hAnsi="Calibri" w:cs="Calibri" w:hint="eastAsia"/>
          <w:lang w:eastAsia="zh-CN"/>
        </w:rPr>
        <w:t>这种方法不仅旨在为国际电联成员提供信息，还旨在激励国际电联成员将青年的声音、观点和能量纳入</w:t>
      </w:r>
      <w:r w:rsidRPr="00496F25">
        <w:rPr>
          <w:rFonts w:ascii="Calibri" w:eastAsia="SimSun" w:hAnsi="Calibri" w:cs="Calibri" w:hint="eastAsia"/>
          <w:lang w:eastAsia="zh-CN"/>
        </w:rPr>
        <w:t>WTDC</w:t>
      </w:r>
      <w:r w:rsidRPr="00496F25">
        <w:rPr>
          <w:rFonts w:ascii="Calibri" w:eastAsia="SimSun" w:hAnsi="Calibri" w:cs="Calibri"/>
          <w:lang w:eastAsia="zh-CN"/>
        </w:rPr>
        <w:t>-</w:t>
      </w:r>
      <w:r w:rsidRPr="00496F25">
        <w:rPr>
          <w:rFonts w:ascii="Calibri" w:eastAsia="SimSun" w:hAnsi="Calibri" w:cs="Calibri" w:hint="eastAsia"/>
          <w:lang w:eastAsia="zh-CN"/>
        </w:rPr>
        <w:t>25</w:t>
      </w:r>
      <w:r w:rsidRPr="00496F25">
        <w:rPr>
          <w:rFonts w:ascii="Calibri" w:eastAsia="SimSun" w:hAnsi="Calibri" w:cs="Calibri" w:hint="eastAsia"/>
          <w:lang w:eastAsia="zh-CN"/>
        </w:rPr>
        <w:t>讨论的核心，为会议营造积极和富有远见的氛围。</w:t>
      </w:r>
    </w:p>
    <w:p w14:paraId="17E737F3" w14:textId="77777777" w:rsidR="00FB5696" w:rsidRDefault="00FB5696" w:rsidP="00FB5696">
      <w:pPr>
        <w:spacing w:after="120"/>
        <w:jc w:val="center"/>
      </w:pPr>
      <w:r>
        <w:t>________________</w:t>
      </w:r>
    </w:p>
    <w:sectPr w:rsidR="00FB5696" w:rsidSect="00475E46">
      <w:headerReference w:type="default" r:id="rId11"/>
      <w:footerReference w:type="first" r:id="rId12"/>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2D418" w14:textId="77777777" w:rsidR="00475E46" w:rsidRDefault="00475E46">
      <w:r>
        <w:separator/>
      </w:r>
    </w:p>
  </w:endnote>
  <w:endnote w:type="continuationSeparator" w:id="0">
    <w:p w14:paraId="5A44179E" w14:textId="77777777" w:rsidR="00475E46" w:rsidRDefault="00475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正文 CS 字体)">
    <w:panose1 w:val="00000000000000000000"/>
    <w:charset w:val="86"/>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910" w:type="dxa"/>
      <w:tblLayout w:type="fixed"/>
      <w:tblLook w:val="04A0" w:firstRow="1" w:lastRow="0" w:firstColumn="1" w:lastColumn="0" w:noHBand="0" w:noVBand="1"/>
    </w:tblPr>
    <w:tblGrid>
      <w:gridCol w:w="1526"/>
      <w:gridCol w:w="2410"/>
      <w:gridCol w:w="5987"/>
      <w:gridCol w:w="5987"/>
    </w:tblGrid>
    <w:tr w:rsidR="00FB5696" w:rsidRPr="004D495C" w14:paraId="00623BBB" w14:textId="77777777" w:rsidTr="00FB5696">
      <w:tc>
        <w:tcPr>
          <w:tcW w:w="1526" w:type="dxa"/>
          <w:tcBorders>
            <w:top w:val="single" w:sz="4" w:space="0" w:color="000000"/>
          </w:tcBorders>
          <w:shd w:val="clear" w:color="auto" w:fill="auto"/>
        </w:tcPr>
        <w:p w14:paraId="0FB88F09" w14:textId="77777777" w:rsidR="00FB5696" w:rsidRPr="004D495C" w:rsidRDefault="00FB5696" w:rsidP="00FB5696">
          <w:pPr>
            <w:pStyle w:val="FirstFooter"/>
            <w:tabs>
              <w:tab w:val="left" w:pos="1559"/>
              <w:tab w:val="left" w:pos="3828"/>
            </w:tabs>
            <w:rPr>
              <w:sz w:val="18"/>
              <w:szCs w:val="18"/>
            </w:rPr>
          </w:pPr>
          <w:proofErr w:type="spellStart"/>
          <w:r w:rsidRPr="00807DE1">
            <w:rPr>
              <w:rFonts w:hint="eastAsia"/>
              <w:sz w:val="18"/>
              <w:szCs w:val="18"/>
              <w:lang w:val="en-US"/>
            </w:rPr>
            <w:t>联系人</w:t>
          </w:r>
          <w:proofErr w:type="spellEnd"/>
          <w:r w:rsidRPr="00807DE1">
            <w:rPr>
              <w:rFonts w:hint="eastAsia"/>
              <w:sz w:val="18"/>
              <w:szCs w:val="18"/>
              <w:lang w:val="en-US"/>
            </w:rPr>
            <w:t>：</w:t>
          </w:r>
        </w:p>
      </w:tc>
      <w:tc>
        <w:tcPr>
          <w:tcW w:w="2410" w:type="dxa"/>
          <w:tcBorders>
            <w:top w:val="single" w:sz="4" w:space="0" w:color="000000"/>
          </w:tcBorders>
          <w:shd w:val="clear" w:color="auto" w:fill="auto"/>
        </w:tcPr>
        <w:p w14:paraId="3653FBBD" w14:textId="77777777" w:rsidR="00FB5696" w:rsidRPr="004D495C" w:rsidRDefault="00FB5696" w:rsidP="00FB5696">
          <w:pPr>
            <w:pStyle w:val="FirstFooter"/>
            <w:tabs>
              <w:tab w:val="left" w:pos="2302"/>
            </w:tabs>
            <w:ind w:left="2302" w:hanging="2302"/>
            <w:rPr>
              <w:sz w:val="18"/>
              <w:szCs w:val="18"/>
              <w:lang w:val="en-US"/>
            </w:rPr>
          </w:pPr>
          <w:proofErr w:type="spellStart"/>
          <w:r w:rsidRPr="00807DE1">
            <w:rPr>
              <w:rFonts w:hint="eastAsia"/>
              <w:sz w:val="18"/>
              <w:szCs w:val="18"/>
            </w:rPr>
            <w:t>组织</w:t>
          </w:r>
          <w:proofErr w:type="spellEnd"/>
          <w:r w:rsidRPr="00807DE1">
            <w:rPr>
              <w:sz w:val="18"/>
              <w:szCs w:val="18"/>
            </w:rPr>
            <w:t>/</w:t>
          </w:r>
          <w:proofErr w:type="spellStart"/>
          <w:r w:rsidRPr="00807DE1">
            <w:rPr>
              <w:rFonts w:hint="eastAsia"/>
              <w:sz w:val="18"/>
              <w:szCs w:val="18"/>
            </w:rPr>
            <w:t>实体</w:t>
          </w:r>
          <w:proofErr w:type="spellEnd"/>
          <w:r w:rsidRPr="00807DE1">
            <w:rPr>
              <w:sz w:val="18"/>
              <w:szCs w:val="18"/>
            </w:rPr>
            <w:t>/</w:t>
          </w:r>
          <w:proofErr w:type="spellStart"/>
          <w:r w:rsidRPr="00807DE1">
            <w:rPr>
              <w:rFonts w:hint="eastAsia"/>
              <w:sz w:val="18"/>
              <w:szCs w:val="18"/>
            </w:rPr>
            <w:t>姓名</w:t>
          </w:r>
          <w:proofErr w:type="spellEnd"/>
          <w:r w:rsidRPr="00807DE1">
            <w:rPr>
              <w:rFonts w:hint="eastAsia"/>
              <w:sz w:val="18"/>
              <w:szCs w:val="18"/>
            </w:rPr>
            <w:t>：</w:t>
          </w:r>
        </w:p>
      </w:tc>
      <w:tc>
        <w:tcPr>
          <w:tcW w:w="5987" w:type="dxa"/>
          <w:tcBorders>
            <w:top w:val="single" w:sz="4" w:space="0" w:color="000000"/>
          </w:tcBorders>
        </w:tcPr>
        <w:p w14:paraId="56920260" w14:textId="72AB09CF" w:rsidR="00FB5696" w:rsidRPr="00AF7A97" w:rsidRDefault="00FB5696" w:rsidP="00FB5696">
          <w:pPr>
            <w:pStyle w:val="FirstFooter"/>
            <w:tabs>
              <w:tab w:val="left" w:pos="2302"/>
            </w:tabs>
            <w:rPr>
              <w:sz w:val="18"/>
              <w:szCs w:val="18"/>
              <w:lang w:val="en-US" w:eastAsia="zh-CN"/>
            </w:rPr>
          </w:pPr>
          <w:r>
            <w:rPr>
              <w:rStyle w:val="normaltextrun"/>
              <w:rFonts w:ascii="Calibri" w:hAnsi="Calibri" w:cs="Calibri" w:hint="eastAsia"/>
              <w:color w:val="000000"/>
              <w:sz w:val="18"/>
              <w:szCs w:val="18"/>
              <w:shd w:val="clear" w:color="auto" w:fill="FFFFFF"/>
              <w:lang w:val="en-US" w:eastAsia="zh-CN"/>
            </w:rPr>
            <w:t>电信发展局</w:t>
          </w:r>
          <w:r w:rsidRPr="005D3769">
            <w:rPr>
              <w:rStyle w:val="normaltextrun"/>
              <w:rFonts w:ascii="Calibri" w:hAnsi="Calibri" w:cs="Calibri"/>
              <w:color w:val="000000"/>
              <w:sz w:val="18"/>
              <w:szCs w:val="18"/>
              <w:shd w:val="clear" w:color="auto" w:fill="FFFFFF"/>
              <w:lang w:val="en-US"/>
            </w:rPr>
            <w:br/>
          </w:r>
          <w:r>
            <w:rPr>
              <w:rStyle w:val="normaltextrun"/>
              <w:rFonts w:ascii="Calibri" w:hAnsi="Calibri" w:cs="Calibri" w:hint="eastAsia"/>
              <w:color w:val="000000"/>
              <w:sz w:val="18"/>
              <w:szCs w:val="18"/>
              <w:shd w:val="clear" w:color="auto" w:fill="FFFFFF"/>
              <w:lang w:val="en-US" w:eastAsia="zh-CN"/>
            </w:rPr>
            <w:t>数字包容性事务高级协调员</w:t>
          </w:r>
          <w:r w:rsidRPr="005D3769">
            <w:rPr>
              <w:rStyle w:val="normaltextrun"/>
              <w:rFonts w:ascii="Calibri" w:hAnsi="Calibri" w:cs="Calibri"/>
              <w:color w:val="000000"/>
              <w:sz w:val="18"/>
              <w:szCs w:val="18"/>
              <w:shd w:val="clear" w:color="auto" w:fill="FFFFFF"/>
              <w:lang w:val="en-US"/>
            </w:rPr>
            <w:t>Roxana Widmer-Iliescu</w:t>
          </w:r>
          <w:r>
            <w:rPr>
              <w:rStyle w:val="normaltextrun"/>
              <w:rFonts w:ascii="Calibri" w:hAnsi="Calibri" w:cs="Calibri" w:hint="eastAsia"/>
              <w:color w:val="000000"/>
              <w:sz w:val="18"/>
              <w:szCs w:val="18"/>
              <w:shd w:val="clear" w:color="auto" w:fill="FFFFFF"/>
              <w:lang w:val="en-US" w:eastAsia="zh-CN"/>
            </w:rPr>
            <w:t>女士</w:t>
          </w:r>
        </w:p>
      </w:tc>
      <w:tc>
        <w:tcPr>
          <w:tcW w:w="5987" w:type="dxa"/>
          <w:tcBorders>
            <w:top w:val="single" w:sz="4" w:space="0" w:color="000000"/>
          </w:tcBorders>
        </w:tcPr>
        <w:p w14:paraId="4EED4AFA" w14:textId="71800022" w:rsidR="00FB5696" w:rsidRPr="00AF7A97" w:rsidRDefault="00FB5696" w:rsidP="00FB5696">
          <w:pPr>
            <w:pStyle w:val="FirstFooter"/>
            <w:tabs>
              <w:tab w:val="left" w:pos="2302"/>
            </w:tabs>
            <w:rPr>
              <w:sz w:val="18"/>
              <w:szCs w:val="18"/>
              <w:lang w:val="en-US" w:eastAsia="zh-CN"/>
            </w:rPr>
          </w:pPr>
        </w:p>
      </w:tc>
      <w:bookmarkStart w:id="5" w:name="OrgName"/>
      <w:bookmarkEnd w:id="5"/>
    </w:tr>
    <w:tr w:rsidR="00FB5696" w:rsidRPr="004D495C" w14:paraId="18AF5C7E" w14:textId="77777777" w:rsidTr="00FB5696">
      <w:tc>
        <w:tcPr>
          <w:tcW w:w="1526" w:type="dxa"/>
          <w:shd w:val="clear" w:color="auto" w:fill="auto"/>
        </w:tcPr>
        <w:p w14:paraId="539A1F6B" w14:textId="77777777" w:rsidR="00FB5696" w:rsidRPr="004D495C" w:rsidRDefault="00FB5696" w:rsidP="00FB5696">
          <w:pPr>
            <w:pStyle w:val="FirstFooter"/>
            <w:tabs>
              <w:tab w:val="left" w:pos="1559"/>
              <w:tab w:val="left" w:pos="3828"/>
            </w:tabs>
            <w:rPr>
              <w:sz w:val="20"/>
              <w:lang w:val="en-US" w:eastAsia="zh-CN"/>
            </w:rPr>
          </w:pPr>
        </w:p>
      </w:tc>
      <w:tc>
        <w:tcPr>
          <w:tcW w:w="2410" w:type="dxa"/>
          <w:shd w:val="clear" w:color="auto" w:fill="auto"/>
        </w:tcPr>
        <w:p w14:paraId="5AB42556" w14:textId="77777777" w:rsidR="00FB5696" w:rsidRPr="004D495C" w:rsidRDefault="00FB5696" w:rsidP="00FB5696">
          <w:pPr>
            <w:pStyle w:val="FirstFooter"/>
            <w:tabs>
              <w:tab w:val="left" w:pos="2302"/>
            </w:tabs>
            <w:rPr>
              <w:sz w:val="18"/>
              <w:szCs w:val="18"/>
              <w:lang w:val="en-US"/>
            </w:rPr>
          </w:pPr>
          <w:proofErr w:type="spellStart"/>
          <w:r w:rsidRPr="00807DE1">
            <w:rPr>
              <w:rFonts w:hint="eastAsia"/>
              <w:sz w:val="18"/>
              <w:szCs w:val="18"/>
            </w:rPr>
            <w:t>电话号码</w:t>
          </w:r>
          <w:proofErr w:type="spellEnd"/>
          <w:r w:rsidRPr="00807DE1">
            <w:rPr>
              <w:rFonts w:hint="eastAsia"/>
              <w:sz w:val="18"/>
              <w:szCs w:val="18"/>
            </w:rPr>
            <w:t>：</w:t>
          </w:r>
        </w:p>
      </w:tc>
      <w:tc>
        <w:tcPr>
          <w:tcW w:w="5987" w:type="dxa"/>
        </w:tcPr>
        <w:p w14:paraId="41351A9A" w14:textId="26A43CEB" w:rsidR="00FB5696" w:rsidRPr="00AF7A97" w:rsidRDefault="00FB5696" w:rsidP="00FB5696">
          <w:pPr>
            <w:pStyle w:val="FirstFooter"/>
            <w:tabs>
              <w:tab w:val="left" w:pos="2302"/>
            </w:tabs>
            <w:rPr>
              <w:sz w:val="18"/>
              <w:szCs w:val="18"/>
              <w:lang w:val="en-US"/>
            </w:rPr>
          </w:pPr>
          <w:r w:rsidRPr="005D3769">
            <w:rPr>
              <w:rStyle w:val="normaltextrun"/>
              <w:rFonts w:ascii="Calibri" w:hAnsi="Calibri" w:cs="Calibri"/>
              <w:color w:val="000000"/>
              <w:sz w:val="18"/>
              <w:szCs w:val="18"/>
              <w:shd w:val="clear" w:color="auto" w:fill="FFFFFF"/>
              <w:lang w:val="en-US"/>
            </w:rPr>
            <w:t>+41 798 25</w:t>
          </w:r>
          <w:r>
            <w:rPr>
              <w:rStyle w:val="normaltextrun"/>
              <w:rFonts w:ascii="Calibri" w:hAnsi="Calibri" w:cs="Calibri"/>
              <w:color w:val="000000"/>
              <w:sz w:val="18"/>
              <w:szCs w:val="18"/>
              <w:shd w:val="clear" w:color="auto" w:fill="FFFFFF"/>
              <w:lang w:val="en-US"/>
            </w:rPr>
            <w:t xml:space="preserve"> </w:t>
          </w:r>
          <w:r w:rsidRPr="005D3769">
            <w:rPr>
              <w:rStyle w:val="normaltextrun"/>
              <w:rFonts w:ascii="Calibri" w:hAnsi="Calibri" w:cs="Calibri"/>
              <w:color w:val="000000"/>
              <w:sz w:val="18"/>
              <w:szCs w:val="18"/>
              <w:shd w:val="clear" w:color="auto" w:fill="FFFFFF"/>
              <w:lang w:val="en-US"/>
            </w:rPr>
            <w:t>08</w:t>
          </w:r>
          <w:r>
            <w:rPr>
              <w:rStyle w:val="normaltextrun"/>
              <w:rFonts w:ascii="Calibri" w:hAnsi="Calibri" w:cs="Calibri"/>
              <w:color w:val="000000"/>
              <w:sz w:val="18"/>
              <w:szCs w:val="18"/>
              <w:shd w:val="clear" w:color="auto" w:fill="FFFFFF"/>
              <w:lang w:val="en-US"/>
            </w:rPr>
            <w:t xml:space="preserve"> </w:t>
          </w:r>
          <w:r w:rsidRPr="005D3769">
            <w:rPr>
              <w:rStyle w:val="normaltextrun"/>
              <w:rFonts w:ascii="Calibri" w:hAnsi="Calibri" w:cs="Calibri"/>
              <w:color w:val="000000"/>
              <w:sz w:val="18"/>
              <w:szCs w:val="18"/>
              <w:shd w:val="clear" w:color="auto" w:fill="FFFFFF"/>
              <w:lang w:val="en-US"/>
            </w:rPr>
            <w:t>52</w:t>
          </w:r>
        </w:p>
      </w:tc>
      <w:tc>
        <w:tcPr>
          <w:tcW w:w="5987" w:type="dxa"/>
        </w:tcPr>
        <w:p w14:paraId="4C0937D2" w14:textId="3A71F79D" w:rsidR="00FB5696" w:rsidRPr="00AF7A97" w:rsidRDefault="00FB5696" w:rsidP="00FB5696">
          <w:pPr>
            <w:pStyle w:val="FirstFooter"/>
            <w:tabs>
              <w:tab w:val="left" w:pos="2302"/>
            </w:tabs>
            <w:rPr>
              <w:sz w:val="18"/>
              <w:szCs w:val="18"/>
              <w:lang w:val="en-US"/>
            </w:rPr>
          </w:pPr>
        </w:p>
      </w:tc>
      <w:bookmarkStart w:id="6" w:name="PhoneNo"/>
      <w:bookmarkEnd w:id="6"/>
    </w:tr>
    <w:tr w:rsidR="00FB5696" w:rsidRPr="004D495C" w14:paraId="6AE70448" w14:textId="77777777" w:rsidTr="00FB5696">
      <w:tc>
        <w:tcPr>
          <w:tcW w:w="1526" w:type="dxa"/>
          <w:shd w:val="clear" w:color="auto" w:fill="auto"/>
        </w:tcPr>
        <w:p w14:paraId="1A7C0227" w14:textId="77777777" w:rsidR="00FB5696" w:rsidRPr="004D495C" w:rsidRDefault="00FB5696" w:rsidP="00FB5696">
          <w:pPr>
            <w:pStyle w:val="FirstFooter"/>
            <w:tabs>
              <w:tab w:val="left" w:pos="1559"/>
              <w:tab w:val="left" w:pos="3828"/>
            </w:tabs>
            <w:rPr>
              <w:sz w:val="20"/>
              <w:lang w:val="en-US"/>
            </w:rPr>
          </w:pPr>
        </w:p>
      </w:tc>
      <w:tc>
        <w:tcPr>
          <w:tcW w:w="2410" w:type="dxa"/>
          <w:shd w:val="clear" w:color="auto" w:fill="auto"/>
        </w:tcPr>
        <w:p w14:paraId="226B445F" w14:textId="77777777" w:rsidR="00FB5696" w:rsidRPr="004D495C" w:rsidRDefault="00FB5696" w:rsidP="00FB5696">
          <w:pPr>
            <w:pStyle w:val="FirstFooter"/>
            <w:tabs>
              <w:tab w:val="left" w:pos="2302"/>
            </w:tabs>
            <w:rPr>
              <w:sz w:val="18"/>
              <w:szCs w:val="18"/>
              <w:lang w:val="en-US"/>
            </w:rPr>
          </w:pPr>
          <w:proofErr w:type="spellStart"/>
          <w:r w:rsidRPr="00807DE1">
            <w:rPr>
              <w:rFonts w:hint="eastAsia"/>
              <w:sz w:val="18"/>
              <w:szCs w:val="18"/>
            </w:rPr>
            <w:t>电子邮件</w:t>
          </w:r>
          <w:proofErr w:type="spellEnd"/>
          <w:r w:rsidRPr="00807DE1">
            <w:rPr>
              <w:rFonts w:hint="eastAsia"/>
              <w:sz w:val="18"/>
              <w:szCs w:val="18"/>
            </w:rPr>
            <w:t>：</w:t>
          </w:r>
        </w:p>
      </w:tc>
      <w:tc>
        <w:tcPr>
          <w:tcW w:w="5987" w:type="dxa"/>
        </w:tcPr>
        <w:p w14:paraId="178EC79C" w14:textId="05C1BA73" w:rsidR="00FB5696" w:rsidRPr="00AF7A97" w:rsidRDefault="00FB5696" w:rsidP="00FB5696">
          <w:pPr>
            <w:pStyle w:val="FirstFooter"/>
            <w:tabs>
              <w:tab w:val="left" w:pos="2302"/>
            </w:tabs>
            <w:rPr>
              <w:sz w:val="18"/>
              <w:szCs w:val="18"/>
              <w:lang w:val="en-US"/>
            </w:rPr>
          </w:pPr>
          <w:hyperlink r:id="rId1" w:history="1">
            <w:r w:rsidRPr="005D3769">
              <w:rPr>
                <w:rStyle w:val="Hyperlink"/>
                <w:sz w:val="18"/>
                <w:szCs w:val="18"/>
                <w:lang w:val="en-US"/>
              </w:rPr>
              <w:t>roxana.widmer-iliescu@itu.int</w:t>
            </w:r>
          </w:hyperlink>
        </w:p>
      </w:tc>
      <w:tc>
        <w:tcPr>
          <w:tcW w:w="5987" w:type="dxa"/>
        </w:tcPr>
        <w:p w14:paraId="082ABED1" w14:textId="2D4A543F" w:rsidR="00FB5696" w:rsidRPr="00AF7A97" w:rsidRDefault="00FB5696" w:rsidP="00FB5696">
          <w:pPr>
            <w:pStyle w:val="FirstFooter"/>
            <w:tabs>
              <w:tab w:val="left" w:pos="2302"/>
            </w:tabs>
            <w:rPr>
              <w:sz w:val="18"/>
              <w:szCs w:val="18"/>
              <w:lang w:val="en-US"/>
            </w:rPr>
          </w:pPr>
        </w:p>
      </w:tc>
      <w:bookmarkStart w:id="7" w:name="Email"/>
      <w:bookmarkEnd w:id="7"/>
    </w:tr>
  </w:tbl>
  <w:p w14:paraId="3B9C2C60" w14:textId="77777777" w:rsidR="00721657" w:rsidRPr="0059420B" w:rsidRDefault="0031086F" w:rsidP="00B80157">
    <w:pPr>
      <w:pStyle w:val="Footer"/>
      <w:jc w:val="center"/>
      <w:rPr>
        <w:lang w:val="en-GB"/>
      </w:rPr>
    </w:pPr>
    <w:hyperlink r:id="rId2" w:history="1"/>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E9974" w14:textId="77777777" w:rsidR="00475E46" w:rsidRDefault="00475E46">
      <w:r>
        <w:t>____________________</w:t>
      </w:r>
    </w:p>
  </w:footnote>
  <w:footnote w:type="continuationSeparator" w:id="0">
    <w:p w14:paraId="5665F34E" w14:textId="77777777" w:rsidR="00475E46" w:rsidRDefault="00475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483FE" w14:textId="6B94D1A4"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222A1">
      <w:rPr>
        <w:sz w:val="22"/>
        <w:szCs w:val="22"/>
        <w:lang w:val="de-CH"/>
      </w:rPr>
      <w:t>4</w:t>
    </w:r>
    <w:r w:rsidRPr="00A54E72">
      <w:rPr>
        <w:sz w:val="22"/>
        <w:szCs w:val="22"/>
        <w:lang w:val="de-CH"/>
      </w:rPr>
      <w:t>/</w:t>
    </w:r>
    <w:r w:rsidR="00FB5696">
      <w:rPr>
        <w:sz w:val="22"/>
        <w:szCs w:val="22"/>
        <w:lang w:val="de-CH"/>
      </w:rPr>
      <w:t>30</w:t>
    </w:r>
    <w:r w:rsidRPr="006D271A">
      <w:rPr>
        <w:sz w:val="22"/>
        <w:szCs w:val="22"/>
        <w:lang w:val="de-CH"/>
      </w:rPr>
      <w:t>-</w:t>
    </w:r>
    <w:r w:rsidR="00966BA6">
      <w:rPr>
        <w:rFonts w:hint="eastAsia"/>
        <w:sz w:val="22"/>
        <w:szCs w:val="22"/>
        <w:lang w:val="de-CH" w:eastAsia="zh-CN"/>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567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B857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26A0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28FC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206B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9E4D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A68B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A85C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9CB0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FEA0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B02585A"/>
    <w:multiLevelType w:val="hybridMultilevel"/>
    <w:tmpl w:val="9A6809EE"/>
    <w:lvl w:ilvl="0" w:tplc="B75E064E">
      <w:start w:val="1"/>
      <w:numFmt w:val="bullet"/>
      <w:lvlText w:val=""/>
      <w:lvlJc w:val="left"/>
      <w:pPr>
        <w:ind w:left="360" w:hanging="360"/>
      </w:pPr>
      <w:rPr>
        <w:rFonts w:ascii="Symbol" w:hAnsi="Symbol" w:hint="default"/>
      </w:rPr>
    </w:lvl>
    <w:lvl w:ilvl="1" w:tplc="4A3EB0D0" w:tentative="1">
      <w:start w:val="1"/>
      <w:numFmt w:val="bullet"/>
      <w:lvlText w:val="o"/>
      <w:lvlJc w:val="left"/>
      <w:pPr>
        <w:ind w:left="1080" w:hanging="360"/>
      </w:pPr>
      <w:rPr>
        <w:rFonts w:ascii="Courier New" w:hAnsi="Courier New" w:hint="default"/>
      </w:rPr>
    </w:lvl>
    <w:lvl w:ilvl="2" w:tplc="ABBE0AC0" w:tentative="1">
      <w:start w:val="1"/>
      <w:numFmt w:val="bullet"/>
      <w:lvlText w:val=""/>
      <w:lvlJc w:val="left"/>
      <w:pPr>
        <w:ind w:left="1800" w:hanging="360"/>
      </w:pPr>
      <w:rPr>
        <w:rFonts w:ascii="Wingdings" w:hAnsi="Wingdings" w:hint="default"/>
      </w:rPr>
    </w:lvl>
    <w:lvl w:ilvl="3" w:tplc="A934D024" w:tentative="1">
      <w:start w:val="1"/>
      <w:numFmt w:val="bullet"/>
      <w:lvlText w:val=""/>
      <w:lvlJc w:val="left"/>
      <w:pPr>
        <w:ind w:left="2520" w:hanging="360"/>
      </w:pPr>
      <w:rPr>
        <w:rFonts w:ascii="Symbol" w:hAnsi="Symbol" w:hint="default"/>
      </w:rPr>
    </w:lvl>
    <w:lvl w:ilvl="4" w:tplc="AFCCAA50" w:tentative="1">
      <w:start w:val="1"/>
      <w:numFmt w:val="bullet"/>
      <w:lvlText w:val="o"/>
      <w:lvlJc w:val="left"/>
      <w:pPr>
        <w:ind w:left="3240" w:hanging="360"/>
      </w:pPr>
      <w:rPr>
        <w:rFonts w:ascii="Courier New" w:hAnsi="Courier New" w:hint="default"/>
      </w:rPr>
    </w:lvl>
    <w:lvl w:ilvl="5" w:tplc="504AB228" w:tentative="1">
      <w:start w:val="1"/>
      <w:numFmt w:val="bullet"/>
      <w:lvlText w:val=""/>
      <w:lvlJc w:val="left"/>
      <w:pPr>
        <w:ind w:left="3960" w:hanging="360"/>
      </w:pPr>
      <w:rPr>
        <w:rFonts w:ascii="Wingdings" w:hAnsi="Wingdings" w:hint="default"/>
      </w:rPr>
    </w:lvl>
    <w:lvl w:ilvl="6" w:tplc="567EAB74" w:tentative="1">
      <w:start w:val="1"/>
      <w:numFmt w:val="bullet"/>
      <w:lvlText w:val=""/>
      <w:lvlJc w:val="left"/>
      <w:pPr>
        <w:ind w:left="4680" w:hanging="360"/>
      </w:pPr>
      <w:rPr>
        <w:rFonts w:ascii="Symbol" w:hAnsi="Symbol" w:hint="default"/>
      </w:rPr>
    </w:lvl>
    <w:lvl w:ilvl="7" w:tplc="0B0E9520" w:tentative="1">
      <w:start w:val="1"/>
      <w:numFmt w:val="bullet"/>
      <w:lvlText w:val="o"/>
      <w:lvlJc w:val="left"/>
      <w:pPr>
        <w:ind w:left="5400" w:hanging="360"/>
      </w:pPr>
      <w:rPr>
        <w:rFonts w:ascii="Courier New" w:hAnsi="Courier New" w:hint="default"/>
      </w:rPr>
    </w:lvl>
    <w:lvl w:ilvl="8" w:tplc="68DE68EA" w:tentative="1">
      <w:start w:val="1"/>
      <w:numFmt w:val="bullet"/>
      <w:lvlText w:val=""/>
      <w:lvlJc w:val="left"/>
      <w:pPr>
        <w:ind w:left="6120" w:hanging="360"/>
      </w:pPr>
      <w:rPr>
        <w:rFonts w:ascii="Wingdings" w:hAnsi="Wingdings" w:hint="default"/>
      </w:rPr>
    </w:lvl>
  </w:abstractNum>
  <w:abstractNum w:abstractNumId="11" w15:restartNumberingAfterBreak="0">
    <w:nsid w:val="4B5F336B"/>
    <w:multiLevelType w:val="hybridMultilevel"/>
    <w:tmpl w:val="CBC4C386"/>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F233D51"/>
    <w:multiLevelType w:val="hybridMultilevel"/>
    <w:tmpl w:val="4D24E73A"/>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7314889">
    <w:abstractNumId w:val="12"/>
  </w:num>
  <w:num w:numId="2" w16cid:durableId="209000699">
    <w:abstractNumId w:val="10"/>
  </w:num>
  <w:num w:numId="3" w16cid:durableId="1200974573">
    <w:abstractNumId w:val="11"/>
    <w:lvlOverride w:ilvl="0">
      <w:lvl w:ilvl="0" w:tplc="D8AA70EE">
        <w:start w:val="1"/>
        <w:numFmt w:val="bullet"/>
        <w:lvlText w:val=""/>
        <w:lvlJc w:val="left"/>
        <w:pPr>
          <w:ind w:left="720" w:hanging="360"/>
        </w:pPr>
        <w:rPr>
          <w:rFonts w:ascii="Symbol" w:hAnsi="Symbol" w:hint="default"/>
        </w:rPr>
      </w:lvl>
    </w:lvlOverride>
  </w:num>
  <w:num w:numId="4" w16cid:durableId="252516497">
    <w:abstractNumId w:val="13"/>
  </w:num>
  <w:num w:numId="5" w16cid:durableId="1387100978">
    <w:abstractNumId w:val="9"/>
  </w:num>
  <w:num w:numId="6" w16cid:durableId="682897713">
    <w:abstractNumId w:val="7"/>
  </w:num>
  <w:num w:numId="7" w16cid:durableId="1190921754">
    <w:abstractNumId w:val="6"/>
  </w:num>
  <w:num w:numId="8" w16cid:durableId="1702242359">
    <w:abstractNumId w:val="5"/>
  </w:num>
  <w:num w:numId="9" w16cid:durableId="205483753">
    <w:abstractNumId w:val="4"/>
  </w:num>
  <w:num w:numId="10" w16cid:durableId="398406922">
    <w:abstractNumId w:val="8"/>
  </w:num>
  <w:num w:numId="11" w16cid:durableId="211232315">
    <w:abstractNumId w:val="3"/>
  </w:num>
  <w:num w:numId="12" w16cid:durableId="2009942842">
    <w:abstractNumId w:val="2"/>
  </w:num>
  <w:num w:numId="13" w16cid:durableId="1603224406">
    <w:abstractNumId w:val="1"/>
  </w:num>
  <w:num w:numId="14" w16cid:durableId="655913444">
    <w:abstractNumId w:val="0"/>
  </w:num>
  <w:num w:numId="15" w16cid:durableId="1773276809">
    <w:abstractNumId w:val="8"/>
  </w:num>
  <w:num w:numId="16" w16cid:durableId="1488285559">
    <w:abstractNumId w:val="3"/>
  </w:num>
  <w:num w:numId="17" w16cid:durableId="877667848">
    <w:abstractNumId w:val="2"/>
  </w:num>
  <w:num w:numId="18" w16cid:durableId="2008439064">
    <w:abstractNumId w:val="1"/>
  </w:num>
  <w:num w:numId="19" w16cid:durableId="1031301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42F9C"/>
    <w:rsid w:val="000539F1"/>
    <w:rsid w:val="00054747"/>
    <w:rsid w:val="00055A2A"/>
    <w:rsid w:val="000615C1"/>
    <w:rsid w:val="00061675"/>
    <w:rsid w:val="000743AA"/>
    <w:rsid w:val="0009076F"/>
    <w:rsid w:val="0009225C"/>
    <w:rsid w:val="000A17C4"/>
    <w:rsid w:val="000A36A4"/>
    <w:rsid w:val="000B2352"/>
    <w:rsid w:val="000C1340"/>
    <w:rsid w:val="000C54E1"/>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683F"/>
    <w:rsid w:val="00133061"/>
    <w:rsid w:val="00141699"/>
    <w:rsid w:val="00147000"/>
    <w:rsid w:val="0016270A"/>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22DE"/>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1B96"/>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086F"/>
    <w:rsid w:val="00311F56"/>
    <w:rsid w:val="003125C3"/>
    <w:rsid w:val="00312AE6"/>
    <w:rsid w:val="00317D1A"/>
    <w:rsid w:val="003211FF"/>
    <w:rsid w:val="003222A1"/>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0E41"/>
    <w:rsid w:val="003A353C"/>
    <w:rsid w:val="003A5AFE"/>
    <w:rsid w:val="003A5D5F"/>
    <w:rsid w:val="003A7FFE"/>
    <w:rsid w:val="003B0A63"/>
    <w:rsid w:val="003B50E1"/>
    <w:rsid w:val="003C1746"/>
    <w:rsid w:val="003C2AA9"/>
    <w:rsid w:val="003C58BF"/>
    <w:rsid w:val="003D451D"/>
    <w:rsid w:val="003E3102"/>
    <w:rsid w:val="003F2DD8"/>
    <w:rsid w:val="003F3F2D"/>
    <w:rsid w:val="003F50B2"/>
    <w:rsid w:val="00400CCF"/>
    <w:rsid w:val="00401BFF"/>
    <w:rsid w:val="00404424"/>
    <w:rsid w:val="0041156B"/>
    <w:rsid w:val="004122C5"/>
    <w:rsid w:val="00413B78"/>
    <w:rsid w:val="00416DDE"/>
    <w:rsid w:val="00422052"/>
    <w:rsid w:val="0044411E"/>
    <w:rsid w:val="00453435"/>
    <w:rsid w:val="00460089"/>
    <w:rsid w:val="00466398"/>
    <w:rsid w:val="0047306D"/>
    <w:rsid w:val="00473791"/>
    <w:rsid w:val="00475E46"/>
    <w:rsid w:val="00476E48"/>
    <w:rsid w:val="00481DE9"/>
    <w:rsid w:val="0049128B"/>
    <w:rsid w:val="00493B49"/>
    <w:rsid w:val="00495501"/>
    <w:rsid w:val="00496F25"/>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672B2"/>
    <w:rsid w:val="00573424"/>
    <w:rsid w:val="0057402F"/>
    <w:rsid w:val="00581653"/>
    <w:rsid w:val="005849D6"/>
    <w:rsid w:val="00585367"/>
    <w:rsid w:val="005854A8"/>
    <w:rsid w:val="005871A1"/>
    <w:rsid w:val="0058737E"/>
    <w:rsid w:val="00592518"/>
    <w:rsid w:val="00592E87"/>
    <w:rsid w:val="0059420B"/>
    <w:rsid w:val="00594C4D"/>
    <w:rsid w:val="005A33B0"/>
    <w:rsid w:val="005B2067"/>
    <w:rsid w:val="005C214D"/>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265BE"/>
    <w:rsid w:val="00632BC8"/>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B66E2"/>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34A1F"/>
    <w:rsid w:val="008419B1"/>
    <w:rsid w:val="00844A56"/>
    <w:rsid w:val="00845B11"/>
    <w:rsid w:val="00852081"/>
    <w:rsid w:val="0085670C"/>
    <w:rsid w:val="00872B6E"/>
    <w:rsid w:val="00874DFD"/>
    <w:rsid w:val="008802F9"/>
    <w:rsid w:val="00883086"/>
    <w:rsid w:val="008879FD"/>
    <w:rsid w:val="00894C37"/>
    <w:rsid w:val="008A00EA"/>
    <w:rsid w:val="008A3F93"/>
    <w:rsid w:val="008A6236"/>
    <w:rsid w:val="008A6E1C"/>
    <w:rsid w:val="008A72FD"/>
    <w:rsid w:val="008B1E82"/>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BA6"/>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310F9"/>
    <w:rsid w:val="00B3630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1D54"/>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05304"/>
    <w:rsid w:val="00D10FC7"/>
    <w:rsid w:val="00D1519F"/>
    <w:rsid w:val="00D20E99"/>
    <w:rsid w:val="00D21C83"/>
    <w:rsid w:val="00D35BDD"/>
    <w:rsid w:val="00D40B15"/>
    <w:rsid w:val="00D63006"/>
    <w:rsid w:val="00D72301"/>
    <w:rsid w:val="00D911DE"/>
    <w:rsid w:val="00D91B97"/>
    <w:rsid w:val="00D93ACC"/>
    <w:rsid w:val="00D93C08"/>
    <w:rsid w:val="00D95DAC"/>
    <w:rsid w:val="00DA0B53"/>
    <w:rsid w:val="00DB07D3"/>
    <w:rsid w:val="00DB1171"/>
    <w:rsid w:val="00DB1519"/>
    <w:rsid w:val="00DB2840"/>
    <w:rsid w:val="00DC1BD3"/>
    <w:rsid w:val="00DC2C1A"/>
    <w:rsid w:val="00DD66B4"/>
    <w:rsid w:val="00DE1972"/>
    <w:rsid w:val="00DE27AB"/>
    <w:rsid w:val="00DF240D"/>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28B1"/>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092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62E76"/>
    <w:rsid w:val="00F736F9"/>
    <w:rsid w:val="00F73833"/>
    <w:rsid w:val="00F9211C"/>
    <w:rsid w:val="00FA095D"/>
    <w:rsid w:val="00FA43C1"/>
    <w:rsid w:val="00FA6C8B"/>
    <w:rsid w:val="00FA6CDA"/>
    <w:rsid w:val="00FA7C89"/>
    <w:rsid w:val="00FB4139"/>
    <w:rsid w:val="00FB476E"/>
    <w:rsid w:val="00FB5696"/>
    <w:rsid w:val="00FC0931"/>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026345"/>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uiPriority w:val="99"/>
    <w:qFormat/>
    <w:rsid w:val="00F52741"/>
    <w:rPr>
      <w:rFonts w:asciiTheme="minorHAnsi" w:hAnsiTheme="minorHAnsi"/>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DB07D3"/>
    <w:pPr>
      <w:keepNext/>
      <w:keepLines/>
      <w:spacing w:before="160"/>
      <w:ind w:left="794"/>
    </w:pPr>
    <w:rPr>
      <w:rFonts w:eastAsia="STKaiti"/>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DF240D"/>
    <w:pPr>
      <w:keepNext/>
      <w:spacing w:before="160"/>
    </w:pPr>
    <w:rPr>
      <w:rFonts w:eastAsia="STKaiti"/>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uiPriority w:val="99"/>
    <w:rsid w:val="00475E46"/>
    <w:rPr>
      <w:rFonts w:asciiTheme="minorHAnsi" w:hAnsiTheme="minorHAnsi"/>
      <w:sz w:val="24"/>
      <w:lang w:val="en-GB" w:eastAsia="en-US"/>
    </w:rPr>
  </w:style>
  <w:style w:type="paragraph" w:customStyle="1" w:styleId="BodyAA">
    <w:name w:val="Body A A"/>
    <w:rsid w:val="00475E46"/>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rPr>
  </w:style>
  <w:style w:type="character" w:styleId="UnresolvedMention">
    <w:name w:val="Unresolved Mention"/>
    <w:basedOn w:val="DefaultParagraphFont"/>
    <w:uiPriority w:val="99"/>
    <w:semiHidden/>
    <w:unhideWhenUsed/>
    <w:rsid w:val="00FC0931"/>
    <w:rPr>
      <w:color w:val="605E5C"/>
      <w:shd w:val="clear" w:color="auto" w:fill="E1DFDD"/>
    </w:rPr>
  </w:style>
  <w:style w:type="character" w:customStyle="1" w:styleId="normaltextrun">
    <w:name w:val="normaltextrun"/>
    <w:basedOn w:val="DefaultParagraphFont"/>
    <w:rsid w:val="00FB5696"/>
  </w:style>
  <w:style w:type="paragraph" w:customStyle="1" w:styleId="CEONormal">
    <w:name w:val="CEO_Normal"/>
    <w:link w:val="CEONormalChar"/>
    <w:rsid w:val="00FB5696"/>
    <w:pPr>
      <w:spacing w:before="120" w:after="120"/>
    </w:pPr>
    <w:rPr>
      <w:rFonts w:ascii="Verdana" w:eastAsia="SimHei" w:hAnsi="Verdana" w:cs="Simplified Arabic"/>
      <w:sz w:val="19"/>
      <w:szCs w:val="28"/>
      <w:lang w:val="en-GB" w:eastAsia="en-US"/>
    </w:rPr>
  </w:style>
  <w:style w:type="character" w:customStyle="1" w:styleId="CEONormalChar">
    <w:name w:val="CEO_Normal Char"/>
    <w:link w:val="CEONormal"/>
    <w:rsid w:val="00FB5696"/>
    <w:rPr>
      <w:rFonts w:ascii="Verdana" w:eastAsia="SimHei" w:hAnsi="Verdana" w:cs="Simplified Arabic"/>
      <w:sz w:val="19"/>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roxana.widmer-iliescu@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321B1C-03B2-4C72-BADF-96E2A855A06A}">
  <ds:schemaRefs>
    <ds:schemaRef ds:uri="http://schemas.openxmlformats.org/officeDocument/2006/bibliography"/>
  </ds:schemaRefs>
</ds:datastoreItem>
</file>

<file path=customXml/itemProps2.xml><?xml version="1.0" encoding="utf-8"?>
<ds:datastoreItem xmlns:ds="http://schemas.openxmlformats.org/officeDocument/2006/customXml" ds:itemID="{3C50294E-952C-4657-92D1-5AB61E8BE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0AB312-3CF8-41D9-B770-FA6CC01AFD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2211</Words>
  <Characters>274</Characters>
  <Application>Microsoft Office Word</Application>
  <DocSecurity>0</DocSecurity>
  <Lines>2</Lines>
  <Paragraphs>4</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Kong, Hongli</dc:creator>
  <cp:lastModifiedBy>Li, Yong</cp:lastModifiedBy>
  <cp:revision>8</cp:revision>
  <cp:lastPrinted>2014-11-04T09:22:00Z</cp:lastPrinted>
  <dcterms:created xsi:type="dcterms:W3CDTF">2024-05-07T15:32:00Z</dcterms:created>
  <dcterms:modified xsi:type="dcterms:W3CDTF">2024-05-07T15:49:00Z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