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6548"/>
        <w:gridCol w:w="3091"/>
      </w:tblGrid>
      <w:tr w:rsidR="0094065A" w:rsidRPr="00783A69" w14:paraId="659702D7" w14:textId="77777777" w:rsidTr="00F77022">
        <w:trPr>
          <w:cantSplit/>
          <w:trHeight w:val="1310"/>
          <w:jc w:val="center"/>
        </w:trPr>
        <w:tc>
          <w:tcPr>
            <w:tcW w:w="6548" w:type="dxa"/>
            <w:tcBorders>
              <w:bottom w:val="single" w:sz="12" w:space="0" w:color="auto"/>
            </w:tcBorders>
          </w:tcPr>
          <w:p w14:paraId="21053EF2" w14:textId="77777777" w:rsidR="0094065A" w:rsidRPr="00C85CB5" w:rsidRDefault="0094065A" w:rsidP="00C85CB5">
            <w:pPr>
              <w:spacing w:before="240"/>
              <w:rPr>
                <w:b/>
                <w:bCs/>
                <w:sz w:val="32"/>
                <w:szCs w:val="32"/>
                <w:rtl/>
                <w:lang w:bidi="ar-SY"/>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614C99DC" w14:textId="77777777" w:rsidR="0094065A" w:rsidRPr="00457D22" w:rsidRDefault="00457D22" w:rsidP="00457D22">
            <w:pPr>
              <w:rPr>
                <w:b/>
                <w:bCs/>
                <w:sz w:val="28"/>
                <w:szCs w:val="28"/>
                <w:rtl/>
                <w:lang w:bidi="ar-SY"/>
              </w:rPr>
            </w:pPr>
            <w:r w:rsidRPr="00457D22">
              <w:rPr>
                <w:b/>
                <w:bCs/>
                <w:sz w:val="26"/>
                <w:szCs w:val="26"/>
                <w:rtl/>
              </w:rPr>
              <w:t>الاجتماع الحادي والثلاثون، جنيف، سويسرا، 20-23 مايو 2024</w:t>
            </w:r>
          </w:p>
        </w:tc>
        <w:tc>
          <w:tcPr>
            <w:tcW w:w="3091" w:type="dxa"/>
            <w:tcBorders>
              <w:bottom w:val="single" w:sz="12" w:space="0" w:color="auto"/>
            </w:tcBorders>
          </w:tcPr>
          <w:p w14:paraId="52B785DB" w14:textId="77777777" w:rsidR="0094065A" w:rsidRPr="00783A69" w:rsidRDefault="00F77022" w:rsidP="00F77022">
            <w:pPr>
              <w:spacing w:after="120"/>
              <w:jc w:val="right"/>
              <w:rPr>
                <w:lang w:val="en-GB" w:bidi="ar-EG"/>
              </w:rPr>
            </w:pPr>
            <w:bookmarkStart w:id="0" w:name="ditulogo"/>
            <w:bookmarkEnd w:id="0"/>
            <w:r>
              <w:rPr>
                <w:noProof/>
                <w:lang w:val="fr-FR" w:eastAsia="fr-FR"/>
              </w:rPr>
              <w:drawing>
                <wp:inline distT="0" distB="0" distL="0" distR="0" wp14:anchorId="044D511E" wp14:editId="252DA765">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783A69" w14:paraId="3304CB1B" w14:textId="77777777" w:rsidTr="00F77022">
        <w:trPr>
          <w:cantSplit/>
          <w:jc w:val="center"/>
        </w:trPr>
        <w:tc>
          <w:tcPr>
            <w:tcW w:w="6548" w:type="dxa"/>
            <w:tcBorders>
              <w:top w:val="single" w:sz="12" w:space="0" w:color="auto"/>
            </w:tcBorders>
          </w:tcPr>
          <w:p w14:paraId="6D54DB9A" w14:textId="77777777" w:rsidR="00CA08BA" w:rsidRPr="00783A69" w:rsidRDefault="00CA08BA" w:rsidP="002D4A43">
            <w:pPr>
              <w:spacing w:before="0" w:line="240" w:lineRule="exact"/>
              <w:rPr>
                <w:b/>
                <w:bCs/>
                <w:rtl/>
                <w:lang w:bidi="ar-EG"/>
              </w:rPr>
            </w:pPr>
          </w:p>
        </w:tc>
        <w:tc>
          <w:tcPr>
            <w:tcW w:w="3091" w:type="dxa"/>
            <w:tcBorders>
              <w:top w:val="single" w:sz="12" w:space="0" w:color="auto"/>
            </w:tcBorders>
          </w:tcPr>
          <w:p w14:paraId="6B79998E" w14:textId="77777777" w:rsidR="00CA08BA" w:rsidRPr="00C85CB5" w:rsidRDefault="00CA08BA" w:rsidP="002D4A43">
            <w:pPr>
              <w:spacing w:before="0" w:line="240" w:lineRule="exact"/>
              <w:rPr>
                <w:b/>
                <w:bCs/>
                <w:highlight w:val="yellow"/>
                <w:rtl/>
                <w:lang w:bidi="ar-EG"/>
              </w:rPr>
            </w:pPr>
          </w:p>
        </w:tc>
      </w:tr>
      <w:tr w:rsidR="00783A69" w:rsidRPr="00783A69" w14:paraId="782DD595" w14:textId="77777777" w:rsidTr="00F77022">
        <w:trPr>
          <w:cantSplit/>
          <w:jc w:val="center"/>
        </w:trPr>
        <w:tc>
          <w:tcPr>
            <w:tcW w:w="6548" w:type="dxa"/>
          </w:tcPr>
          <w:p w14:paraId="59F0A1A6" w14:textId="77777777" w:rsidR="00783A69" w:rsidRPr="00783A69" w:rsidRDefault="00783A69" w:rsidP="00B93B7B">
            <w:pPr>
              <w:spacing w:before="20" w:after="20" w:line="300" w:lineRule="exact"/>
              <w:rPr>
                <w:b/>
                <w:bCs/>
                <w:rtl/>
                <w:lang w:bidi="ar-EG"/>
              </w:rPr>
            </w:pPr>
          </w:p>
        </w:tc>
        <w:tc>
          <w:tcPr>
            <w:tcW w:w="3091" w:type="dxa"/>
          </w:tcPr>
          <w:p w14:paraId="7F764B25" w14:textId="6137EB6B" w:rsidR="00783A69" w:rsidRPr="00153471" w:rsidRDefault="00783A69" w:rsidP="00B93B7B">
            <w:pPr>
              <w:spacing w:before="20" w:after="20" w:line="300" w:lineRule="exact"/>
              <w:rPr>
                <w:b/>
                <w:bCs/>
                <w:rtl/>
                <w:lang w:bidi="ar-SY"/>
              </w:rPr>
            </w:pPr>
            <w:r w:rsidRPr="00153471">
              <w:rPr>
                <w:rFonts w:hint="cs"/>
                <w:b/>
                <w:bCs/>
                <w:rtl/>
                <w:lang w:bidi="ar-EG"/>
              </w:rPr>
              <w:t xml:space="preserve">الوثيقة </w:t>
            </w:r>
            <w:r w:rsidRPr="00153471">
              <w:rPr>
                <w:b/>
                <w:bCs/>
                <w:lang w:bidi="ar-EG"/>
              </w:rPr>
              <w:t>TDAG-</w:t>
            </w:r>
            <w:r w:rsidR="00153471" w:rsidRPr="00153471">
              <w:rPr>
                <w:b/>
                <w:bCs/>
                <w:lang w:bidi="ar-EG"/>
              </w:rPr>
              <w:t>2</w:t>
            </w:r>
            <w:r w:rsidR="00457D22">
              <w:rPr>
                <w:b/>
                <w:bCs/>
                <w:lang w:bidi="ar-EG"/>
              </w:rPr>
              <w:t>4</w:t>
            </w:r>
            <w:r w:rsidR="008562F3" w:rsidRPr="00153471">
              <w:rPr>
                <w:b/>
                <w:bCs/>
                <w:lang w:bidi="ar-EG"/>
              </w:rPr>
              <w:t>/</w:t>
            </w:r>
            <w:r w:rsidR="006676A3">
              <w:rPr>
                <w:b/>
                <w:bCs/>
                <w:lang w:bidi="ar-EG"/>
              </w:rPr>
              <w:t>30</w:t>
            </w:r>
            <w:r w:rsidRPr="00153471">
              <w:rPr>
                <w:b/>
                <w:bCs/>
                <w:lang w:bidi="ar-EG"/>
              </w:rPr>
              <w:t>-A</w:t>
            </w:r>
          </w:p>
        </w:tc>
      </w:tr>
      <w:tr w:rsidR="00783A69" w:rsidRPr="00783A69" w14:paraId="07312031" w14:textId="77777777" w:rsidTr="00F77022">
        <w:trPr>
          <w:cantSplit/>
          <w:jc w:val="center"/>
        </w:trPr>
        <w:tc>
          <w:tcPr>
            <w:tcW w:w="6548" w:type="dxa"/>
          </w:tcPr>
          <w:p w14:paraId="11679ACF" w14:textId="77777777" w:rsidR="00783A69" w:rsidRPr="00783A69" w:rsidRDefault="00783A69" w:rsidP="00B93B7B">
            <w:pPr>
              <w:spacing w:before="20" w:after="20" w:line="300" w:lineRule="exact"/>
              <w:rPr>
                <w:b/>
                <w:bCs/>
                <w:lang w:bidi="ar-EG"/>
              </w:rPr>
            </w:pPr>
          </w:p>
        </w:tc>
        <w:tc>
          <w:tcPr>
            <w:tcW w:w="3091" w:type="dxa"/>
          </w:tcPr>
          <w:p w14:paraId="4EAABD68" w14:textId="4BABD354" w:rsidR="00783A69" w:rsidRPr="006676A3" w:rsidRDefault="006676A3" w:rsidP="00B93B7B">
            <w:pPr>
              <w:spacing w:before="20" w:after="20" w:line="300" w:lineRule="exact"/>
              <w:rPr>
                <w:b/>
                <w:bCs/>
                <w:rtl/>
                <w:lang w:bidi="ar-SY"/>
              </w:rPr>
            </w:pPr>
            <w:r w:rsidRPr="006676A3">
              <w:rPr>
                <w:b/>
                <w:bCs/>
                <w:lang w:bidi="ar-EG"/>
              </w:rPr>
              <w:t>6</w:t>
            </w:r>
            <w:r w:rsidR="00783A69" w:rsidRPr="006676A3">
              <w:rPr>
                <w:rFonts w:hint="cs"/>
                <w:b/>
                <w:bCs/>
                <w:rtl/>
                <w:lang w:bidi="ar-EG"/>
              </w:rPr>
              <w:t xml:space="preserve"> </w:t>
            </w:r>
            <w:r w:rsidRPr="006676A3">
              <w:rPr>
                <w:rFonts w:hint="cs"/>
                <w:b/>
                <w:bCs/>
                <w:rtl/>
                <w:lang w:bidi="ar-EG"/>
              </w:rPr>
              <w:t>مايو</w:t>
            </w:r>
            <w:r w:rsidR="00783A69" w:rsidRPr="006676A3">
              <w:rPr>
                <w:rFonts w:hint="cs"/>
                <w:b/>
                <w:bCs/>
                <w:rtl/>
                <w:lang w:bidi="ar-EG"/>
              </w:rPr>
              <w:t xml:space="preserve"> </w:t>
            </w:r>
            <w:r w:rsidR="00457D22" w:rsidRPr="006676A3">
              <w:rPr>
                <w:b/>
                <w:bCs/>
                <w:lang w:bidi="ar-EG"/>
              </w:rPr>
              <w:t>2024</w:t>
            </w:r>
          </w:p>
        </w:tc>
      </w:tr>
      <w:tr w:rsidR="00783A69" w:rsidRPr="00783A69" w14:paraId="61879330" w14:textId="77777777" w:rsidTr="00F77022">
        <w:trPr>
          <w:cantSplit/>
          <w:jc w:val="center"/>
        </w:trPr>
        <w:tc>
          <w:tcPr>
            <w:tcW w:w="6548" w:type="dxa"/>
          </w:tcPr>
          <w:p w14:paraId="02ACB060" w14:textId="77777777" w:rsidR="00783A69" w:rsidRPr="00783A69" w:rsidRDefault="00783A69" w:rsidP="00B93B7B">
            <w:pPr>
              <w:spacing w:before="20" w:after="20" w:line="300" w:lineRule="exact"/>
              <w:rPr>
                <w:b/>
                <w:bCs/>
                <w:lang w:bidi="ar-EG"/>
              </w:rPr>
            </w:pPr>
          </w:p>
        </w:tc>
        <w:tc>
          <w:tcPr>
            <w:tcW w:w="3091" w:type="dxa"/>
          </w:tcPr>
          <w:p w14:paraId="35F70BAC" w14:textId="77777777" w:rsidR="00783A69" w:rsidRPr="00153471" w:rsidRDefault="00783A69" w:rsidP="00B93B7B">
            <w:pPr>
              <w:spacing w:before="20" w:after="20" w:line="300" w:lineRule="exact"/>
              <w:rPr>
                <w:b/>
                <w:bCs/>
                <w:rtl/>
                <w:lang w:bidi="ar-EG"/>
              </w:rPr>
            </w:pPr>
            <w:r w:rsidRPr="00153471">
              <w:rPr>
                <w:rFonts w:hint="cs"/>
                <w:b/>
                <w:bCs/>
                <w:rtl/>
                <w:lang w:bidi="ar-EG"/>
              </w:rPr>
              <w:t>الأصل: بالإنكليزية</w:t>
            </w:r>
          </w:p>
        </w:tc>
      </w:tr>
      <w:tr w:rsidR="00783A69" w:rsidRPr="00783A69" w14:paraId="42C1620D" w14:textId="77777777" w:rsidTr="00EE5CF2">
        <w:trPr>
          <w:cantSplit/>
          <w:jc w:val="center"/>
        </w:trPr>
        <w:tc>
          <w:tcPr>
            <w:tcW w:w="9639" w:type="dxa"/>
            <w:gridSpan w:val="2"/>
          </w:tcPr>
          <w:p w14:paraId="292670C8" w14:textId="53258B89" w:rsidR="00783A69" w:rsidRPr="00783A69" w:rsidRDefault="006676A3" w:rsidP="006676A3">
            <w:pPr>
              <w:pStyle w:val="Source"/>
              <w:rPr>
                <w:rFonts w:hint="cs"/>
                <w:lang w:bidi="ar-EG"/>
              </w:rPr>
            </w:pPr>
            <w:r w:rsidRPr="006676A3">
              <w:rPr>
                <w:sz w:val="28"/>
                <w:szCs w:val="28"/>
                <w:rtl/>
              </w:rPr>
              <w:t>مدير مكتب تنمية الاتصالات</w:t>
            </w:r>
          </w:p>
        </w:tc>
      </w:tr>
      <w:tr w:rsidR="00783A69" w:rsidRPr="00783A69" w14:paraId="6FC3AAEE" w14:textId="77777777" w:rsidTr="00EE5CF2">
        <w:trPr>
          <w:cantSplit/>
          <w:jc w:val="center"/>
        </w:trPr>
        <w:tc>
          <w:tcPr>
            <w:tcW w:w="9639" w:type="dxa"/>
            <w:gridSpan w:val="2"/>
          </w:tcPr>
          <w:p w14:paraId="0FDB6BCF" w14:textId="2347CBF7" w:rsidR="00783A69" w:rsidRPr="00783A69" w:rsidRDefault="006676A3" w:rsidP="006676A3">
            <w:pPr>
              <w:pStyle w:val="Title1"/>
              <w:rPr>
                <w:lang w:bidi="ar-EG"/>
              </w:rPr>
            </w:pPr>
            <w:r w:rsidRPr="006676A3">
              <w:rPr>
                <w:rtl/>
              </w:rPr>
              <w:t xml:space="preserve">الاحتفال بالشباب في تشكيل مستقبل التنمية الرقمية: </w:t>
            </w:r>
            <w:r w:rsidR="00C366A8">
              <w:rPr>
                <w:rtl/>
                <w:lang w:bidi="ar-EG"/>
              </w:rPr>
              <w:br/>
            </w:r>
            <w:r w:rsidRPr="006676A3">
              <w:rPr>
                <w:rtl/>
              </w:rPr>
              <w:t xml:space="preserve">الاستماع إلى أصوات الغد قبل المؤتمر العالمي </w:t>
            </w:r>
            <w:r w:rsidR="00C366A8">
              <w:rPr>
                <w:rtl/>
              </w:rPr>
              <w:br/>
            </w:r>
            <w:r w:rsidRPr="006676A3">
              <w:rPr>
                <w:rtl/>
              </w:rPr>
              <w:t>لتنمية الاتصالات لعام 2025 (WTDC-25)</w:t>
            </w:r>
          </w:p>
        </w:tc>
      </w:tr>
    </w:tbl>
    <w:p w14:paraId="40815848" w14:textId="77777777" w:rsidR="00EE5C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153471" w14:paraId="5E83926C" w14:textId="77777777" w:rsidTr="008A52DB">
        <w:trPr>
          <w:cantSplit/>
          <w:jc w:val="center"/>
        </w:trPr>
        <w:tc>
          <w:tcPr>
            <w:tcW w:w="9638" w:type="dxa"/>
            <w:tcBorders>
              <w:top w:val="single" w:sz="6" w:space="0" w:color="auto"/>
              <w:left w:val="single" w:sz="6" w:space="0" w:color="auto"/>
              <w:bottom w:val="single" w:sz="6" w:space="0" w:color="auto"/>
              <w:right w:val="single" w:sz="6" w:space="0" w:color="auto"/>
            </w:tcBorders>
          </w:tcPr>
          <w:p w14:paraId="3D24AAAF" w14:textId="77777777" w:rsidR="00783A69" w:rsidRPr="00153471" w:rsidRDefault="00783A69" w:rsidP="00EE5CF2">
            <w:pPr>
              <w:rPr>
                <w:b/>
                <w:bCs/>
                <w:rtl/>
                <w:lang w:bidi="ar-SY"/>
              </w:rPr>
            </w:pPr>
            <w:r w:rsidRPr="00153471">
              <w:rPr>
                <w:rFonts w:hint="cs"/>
                <w:b/>
                <w:bCs/>
                <w:rtl/>
                <w:lang w:bidi="ar-SY"/>
              </w:rPr>
              <w:t>ملخص</w:t>
            </w:r>
            <w:r w:rsidR="005874F2" w:rsidRPr="00153471">
              <w:rPr>
                <w:rFonts w:hint="cs"/>
                <w:b/>
                <w:bCs/>
                <w:rtl/>
                <w:lang w:bidi="ar-SY"/>
              </w:rPr>
              <w:t>:</w:t>
            </w:r>
          </w:p>
          <w:p w14:paraId="42B4BDF6" w14:textId="27CE8C2D" w:rsidR="00783A69" w:rsidRPr="00153471" w:rsidRDefault="006676A3" w:rsidP="006676A3">
            <w:pPr>
              <w:rPr>
                <w:rtl/>
                <w:lang w:bidi="ar-SY"/>
              </w:rPr>
            </w:pPr>
            <w:r w:rsidRPr="00D20964">
              <w:rPr>
                <w:rtl/>
              </w:rPr>
              <w:t>نظراً للنتائج المتوقعة للقمة العالمية للشباب المزمع عقدها في نهاية 2024 وولاية مكتب تنمية الاتصالات المتمثلة في</w:t>
            </w:r>
            <w:r w:rsidR="00D20964">
              <w:rPr>
                <w:rFonts w:hint="cs"/>
                <w:rtl/>
              </w:rPr>
              <w:t> </w:t>
            </w:r>
            <w:r w:rsidRPr="00D20964">
              <w:rPr>
                <w:rtl/>
              </w:rPr>
              <w:t>قيادة</w:t>
            </w:r>
            <w:r w:rsidR="002D4A43">
              <w:rPr>
                <w:rFonts w:hint="eastAsia"/>
                <w:rtl/>
              </w:rPr>
              <w:t> </w:t>
            </w:r>
            <w:r w:rsidRPr="00D20964">
              <w:rPr>
                <w:rtl/>
              </w:rPr>
              <w:t>مشاركة الشباب الهادفة في التنمية الرقمية، يُقترح تنظيم حدث لمدة يوم أو يومين قبل المؤتمر العالمي لتنمية الاتصالات (WTDC-25) للاحتفال بالشباب، القوة الدافعة العالمية في تشكيل المستقبل الرقمي وتسليط الضوء على أهمية تمكين الشباب في مجال التنمية الرقمية.</w:t>
            </w:r>
          </w:p>
          <w:p w14:paraId="2AE85DA9" w14:textId="77777777" w:rsidR="00783A69" w:rsidRPr="00153471" w:rsidRDefault="00783A69" w:rsidP="00EE5CF2">
            <w:pPr>
              <w:rPr>
                <w:b/>
                <w:bCs/>
                <w:rtl/>
                <w:lang w:bidi="ar-SY"/>
              </w:rPr>
            </w:pPr>
            <w:r w:rsidRPr="00153471">
              <w:rPr>
                <w:rFonts w:hint="cs"/>
                <w:b/>
                <w:bCs/>
                <w:rtl/>
                <w:lang w:bidi="ar-SY"/>
              </w:rPr>
              <w:t>الإجراء المطلوب</w:t>
            </w:r>
            <w:r w:rsidR="005874F2" w:rsidRPr="00153471">
              <w:rPr>
                <w:rFonts w:hint="cs"/>
                <w:b/>
                <w:bCs/>
                <w:rtl/>
                <w:lang w:bidi="ar-SY"/>
              </w:rPr>
              <w:t>:</w:t>
            </w:r>
          </w:p>
          <w:p w14:paraId="2F5DE753" w14:textId="720A9D53" w:rsidR="00783A69" w:rsidRPr="00153471" w:rsidRDefault="006676A3" w:rsidP="006676A3">
            <w:pPr>
              <w:rPr>
                <w:rtl/>
                <w:lang w:bidi="ar-EG"/>
              </w:rPr>
            </w:pPr>
            <w:r w:rsidRPr="00D20964">
              <w:rPr>
                <w:rtl/>
              </w:rPr>
              <w:t xml:space="preserve">يُدعى الفريق الاستشاري لتنمية الاتصالات </w:t>
            </w:r>
            <w:r w:rsidR="00D20964">
              <w:rPr>
                <w:lang w:bidi="ar-EG"/>
              </w:rPr>
              <w:t>(</w:t>
            </w:r>
            <w:r w:rsidR="00D20964" w:rsidRPr="00D20964">
              <w:rPr>
                <w:lang w:bidi="ar-EG"/>
              </w:rPr>
              <w:t>TDAG</w:t>
            </w:r>
            <w:r w:rsidR="00D20964">
              <w:rPr>
                <w:lang w:bidi="ar-EG"/>
              </w:rPr>
              <w:t>)</w:t>
            </w:r>
            <w:r w:rsidRPr="00D20964">
              <w:rPr>
                <w:rtl/>
              </w:rPr>
              <w:t xml:space="preserve"> إلى الإحاطة علماً بهذه الوثيقة وتقديم التوجيهات التي يراها مناسبة.</w:t>
            </w:r>
          </w:p>
          <w:p w14:paraId="40802734" w14:textId="77777777" w:rsidR="00783A69" w:rsidRPr="00153471" w:rsidRDefault="00783A69" w:rsidP="00EE5CF2">
            <w:pPr>
              <w:rPr>
                <w:b/>
                <w:bCs/>
                <w:rtl/>
                <w:lang w:bidi="ar-SY"/>
              </w:rPr>
            </w:pPr>
            <w:r w:rsidRPr="00153471">
              <w:rPr>
                <w:rFonts w:hint="cs"/>
                <w:b/>
                <w:bCs/>
                <w:rtl/>
                <w:lang w:bidi="ar-SY"/>
              </w:rPr>
              <w:t>المراجع</w:t>
            </w:r>
            <w:r w:rsidR="005874F2" w:rsidRPr="00153471">
              <w:rPr>
                <w:rFonts w:hint="cs"/>
                <w:b/>
                <w:bCs/>
                <w:rtl/>
                <w:lang w:bidi="ar-SY"/>
              </w:rPr>
              <w:t>:</w:t>
            </w:r>
          </w:p>
          <w:p w14:paraId="0220E1EA" w14:textId="39E474A3" w:rsidR="008A52DB" w:rsidRDefault="008A52DB" w:rsidP="008A52DB">
            <w:pPr>
              <w:spacing w:after="120"/>
              <w:rPr>
                <w:rtl/>
                <w:lang w:bidi="ar-EG"/>
              </w:rPr>
            </w:pPr>
            <w:r>
              <w:rPr>
                <w:rtl/>
                <w:lang w:bidi="ar-EG"/>
              </w:rPr>
              <w:t>القرار 76 (المراج</w:t>
            </w:r>
            <w:r w:rsidR="004462B0">
              <w:rPr>
                <w:rFonts w:hint="cs"/>
                <w:rtl/>
                <w:lang w:bidi="ar-EG"/>
              </w:rPr>
              <w:t>َ</w:t>
            </w:r>
            <w:r>
              <w:rPr>
                <w:rtl/>
                <w:lang w:bidi="ar-EG"/>
              </w:rPr>
              <w:t>ع في كيغالي، 2022) للمؤتمر العالمي لتنمية الاتصالات (مكمَّلاً بالقرارات ‏11 و37 و45 و46 و55 و58 و67 للمؤتمر العالمي لتنمية الاتصالات)</w:t>
            </w:r>
            <w:r w:rsidR="002D4A43">
              <w:rPr>
                <w:rFonts w:hint="cs"/>
                <w:rtl/>
                <w:lang w:bidi="ar-EG"/>
              </w:rPr>
              <w:t>.</w:t>
            </w:r>
          </w:p>
          <w:p w14:paraId="0F6CDDBF" w14:textId="0C5B6656" w:rsidR="00783A69" w:rsidRPr="00153471" w:rsidRDefault="008A52DB" w:rsidP="008A52DB">
            <w:pPr>
              <w:spacing w:after="120"/>
              <w:rPr>
                <w:rtl/>
              </w:rPr>
            </w:pPr>
            <w:r>
              <w:rPr>
                <w:rtl/>
                <w:lang w:bidi="ar-EG"/>
              </w:rPr>
              <w:t>القرار 198 (المراج</w:t>
            </w:r>
            <w:r w:rsidR="004462B0">
              <w:rPr>
                <w:rFonts w:hint="cs"/>
                <w:rtl/>
                <w:lang w:bidi="ar-EG"/>
              </w:rPr>
              <w:t>َ</w:t>
            </w:r>
            <w:r>
              <w:rPr>
                <w:rtl/>
                <w:lang w:bidi="ar-EG"/>
              </w:rPr>
              <w:t>ع في بوخارست، 2022) لمؤتمر المندوبين المفوضين (مكمَّلاً بالقرارات ‏70 و175 و179 و184 لمؤتمر المندوبين المفوضين)</w:t>
            </w:r>
            <w:r w:rsidR="002D4A43">
              <w:rPr>
                <w:rFonts w:hint="cs"/>
                <w:rtl/>
                <w:lang w:bidi="ar-EG"/>
              </w:rPr>
              <w:t>.</w:t>
            </w:r>
          </w:p>
        </w:tc>
      </w:tr>
    </w:tbl>
    <w:p w14:paraId="5A378D91" w14:textId="77777777" w:rsidR="0006468A" w:rsidRDefault="0006468A" w:rsidP="0006468A">
      <w:pPr>
        <w:rPr>
          <w:rtl/>
          <w:lang w:bidi="ar-EG"/>
        </w:rPr>
      </w:pPr>
    </w:p>
    <w:p w14:paraId="203EE498" w14:textId="77777777" w:rsidR="00882A17" w:rsidRDefault="00882A17" w:rsidP="008A52DB">
      <w:pPr>
        <w:rPr>
          <w:lang w:bidi="ar-EG"/>
        </w:rPr>
      </w:pPr>
      <w:r>
        <w:rPr>
          <w:rtl/>
          <w:lang w:bidi="ar-EG"/>
        </w:rPr>
        <w:br w:type="page"/>
      </w:r>
    </w:p>
    <w:p w14:paraId="0CF5B638" w14:textId="2A5EF8BB" w:rsidR="008A52DB" w:rsidRDefault="008A52DB" w:rsidP="004462B0">
      <w:pPr>
        <w:pStyle w:val="Heading1"/>
        <w:rPr>
          <w:rtl/>
          <w:lang w:bidi="ar-EG"/>
        </w:rPr>
      </w:pPr>
      <w:r>
        <w:rPr>
          <w:rtl/>
          <w:lang w:bidi="ar-EG"/>
        </w:rPr>
        <w:lastRenderedPageBreak/>
        <w:t>1</w:t>
      </w:r>
      <w:r>
        <w:rPr>
          <w:rtl/>
          <w:lang w:bidi="ar-EG"/>
        </w:rPr>
        <w:tab/>
        <w:t>المسوغات</w:t>
      </w:r>
    </w:p>
    <w:p w14:paraId="495C4568" w14:textId="77777777" w:rsidR="008A52DB" w:rsidRDefault="008A52DB" w:rsidP="008A52DB">
      <w:pPr>
        <w:rPr>
          <w:rtl/>
          <w:lang w:bidi="ar-EG"/>
        </w:rPr>
      </w:pPr>
      <w:r>
        <w:rPr>
          <w:rtl/>
          <w:lang w:bidi="ar-EG"/>
        </w:rPr>
        <w:t>تماشياً مع القرار الذي اتخذه الفريق الاستشاري لتنمية الاتصالات لعام 2023 وأقره مجلس الاتحاد، سينظم مكتب تنمية الاتصالات القمة العالمية للشباب (</w:t>
      </w:r>
      <w:r>
        <w:rPr>
          <w:lang w:bidi="ar-EG"/>
        </w:rPr>
        <w:t>GYS-24</w:t>
      </w:r>
      <w:r>
        <w:rPr>
          <w:rtl/>
          <w:lang w:bidi="ar-EG"/>
        </w:rPr>
        <w:t xml:space="preserve">) للاتحاد تحت شعار </w:t>
      </w:r>
      <w:r w:rsidRPr="00EA13DB">
        <w:rPr>
          <w:i/>
          <w:iCs/>
          <w:rtl/>
          <w:lang w:bidi="ar-EG"/>
        </w:rPr>
        <w:t xml:space="preserve">"إعلاء أصوات الشباب في مجال تكنولوجيا المعلومات والاتصالات من أجل مستقبل شامل وموصول" </w:t>
      </w:r>
      <w:r>
        <w:rPr>
          <w:rtl/>
          <w:lang w:bidi="ar-EG"/>
        </w:rPr>
        <w:t xml:space="preserve">في عام 2024. وتهدف القمة </w:t>
      </w:r>
      <w:r>
        <w:rPr>
          <w:lang w:bidi="ar-EG"/>
        </w:rPr>
        <w:t>GYS-24</w:t>
      </w:r>
      <w:r>
        <w:rPr>
          <w:rtl/>
          <w:lang w:bidi="ar-EG"/>
        </w:rPr>
        <w:t xml:space="preserve">، ضمن أمور أخرى، إلى تيسير المناقشات والإجراءات المركزة لضمان نفاذ جميع الشباب إلى تكنولوجيا المعلومات والاتصالات واستخدامها على قدم المساواة وبإنصاف ومن ثم دعم مشاركتهم الفعالة في المجتمع والاقتصاد والبيئة الرقمية. وتهدف القمة </w:t>
      </w:r>
      <w:r>
        <w:rPr>
          <w:lang w:bidi="ar-EG"/>
        </w:rPr>
        <w:t>GYS-24</w:t>
      </w:r>
      <w:r>
        <w:rPr>
          <w:rtl/>
          <w:lang w:bidi="ar-EG"/>
        </w:rPr>
        <w:t xml:space="preserve"> إلى تعزيز حوار عالمي متعدد الجوانب وبين الأجيال يتيح إشراك الشباب في التنمية الرقمية وتزويد أعضاء الاتحاد، بما في ذلك الحكومات والقطاع الخاص والهيئات الأكاديمية ووكالات الأمم المتحدة الأخرى وصناع القرار، برؤية شاملة وحديثة للاحتياجات المتعلقة بتكنولوجيا المعلومات والاتصالات الضرورية لتمكين الشباب من جميع مناطق العالم.</w:t>
      </w:r>
    </w:p>
    <w:p w14:paraId="73DF700F" w14:textId="13AEAC53" w:rsidR="008A52DB" w:rsidRDefault="008A52DB" w:rsidP="008A52DB">
      <w:pPr>
        <w:rPr>
          <w:rtl/>
          <w:lang w:bidi="ar-EG"/>
        </w:rPr>
      </w:pPr>
      <w:r>
        <w:rPr>
          <w:rtl/>
          <w:lang w:bidi="ar-EG"/>
        </w:rPr>
        <w:t>ونظراً للنتائج المتوقعة للقمة العالمية للشباب في نهاية عام 2024 وولاية مكتب تنمية الاتصالات المتمثلة في قيادة مشاركة الشباب الهادفة في التنمية الرقمية، يقترح مدير مكتب تنمية الاتصالات تنظيم حدث لمدة يوم أو يومين للاحتفال بالشباب في</w:t>
      </w:r>
      <w:r w:rsidR="008911A6">
        <w:rPr>
          <w:rFonts w:hint="cs"/>
          <w:rtl/>
          <w:lang w:bidi="ar-EG"/>
        </w:rPr>
        <w:t> </w:t>
      </w:r>
      <w:r>
        <w:rPr>
          <w:rtl/>
          <w:lang w:bidi="ar-EG"/>
        </w:rPr>
        <w:t>تشكيل المستقبل وتسليط الضوء على أهمية تمكين الشباب في التنمية الرقمية قبل المؤتمر العالمي لتنمية الاتصالات لعام</w:t>
      </w:r>
      <w:r w:rsidR="008911A6">
        <w:rPr>
          <w:rFonts w:hint="cs"/>
          <w:rtl/>
          <w:lang w:bidi="ar-EG"/>
        </w:rPr>
        <w:t> </w:t>
      </w:r>
      <w:r>
        <w:rPr>
          <w:rtl/>
          <w:lang w:bidi="ar-EG"/>
        </w:rPr>
        <w:t>2025 (</w:t>
      </w:r>
      <w:r>
        <w:rPr>
          <w:lang w:bidi="ar-EG"/>
        </w:rPr>
        <w:t>WTDC-25</w:t>
      </w:r>
      <w:r>
        <w:rPr>
          <w:rtl/>
          <w:lang w:bidi="ar-EG"/>
        </w:rPr>
        <w:t>).</w:t>
      </w:r>
    </w:p>
    <w:p w14:paraId="5DDAE203" w14:textId="6DE9E615" w:rsidR="008A52DB" w:rsidRPr="002D4A43" w:rsidRDefault="008A52DB" w:rsidP="002D4A43">
      <w:pPr>
        <w:pStyle w:val="Heading1"/>
        <w:rPr>
          <w:rtl/>
        </w:rPr>
      </w:pPr>
      <w:r w:rsidRPr="002D4A43">
        <w:rPr>
          <w:rtl/>
        </w:rPr>
        <w:t>2</w:t>
      </w:r>
      <w:r w:rsidRPr="002D4A43">
        <w:rPr>
          <w:rtl/>
        </w:rPr>
        <w:tab/>
        <w:t>موعد الحدث ومدته ومكان انعقاده</w:t>
      </w:r>
    </w:p>
    <w:p w14:paraId="311D82F4" w14:textId="2F159EE1" w:rsidR="008A52DB" w:rsidRDefault="008A52DB" w:rsidP="008A52DB">
      <w:pPr>
        <w:rPr>
          <w:rtl/>
          <w:lang w:bidi="ar-EG"/>
        </w:rPr>
      </w:pPr>
      <w:r>
        <w:rPr>
          <w:rtl/>
          <w:lang w:bidi="ar-EG"/>
        </w:rPr>
        <w:t xml:space="preserve">من المقرر أن يعقد الحدث قبل المؤتمر </w:t>
      </w:r>
      <w:r>
        <w:rPr>
          <w:lang w:bidi="ar-EG"/>
        </w:rPr>
        <w:t>WTDC-25</w:t>
      </w:r>
      <w:r>
        <w:rPr>
          <w:rtl/>
          <w:lang w:bidi="ar-EG"/>
        </w:rPr>
        <w:t xml:space="preserve"> مباشرة لمدة يوم أو يومين في نفس المكان، مما يتيح الانتقال بشكل سلس ودينامي إلى المؤتمر الرئيسي.</w:t>
      </w:r>
    </w:p>
    <w:p w14:paraId="543599C4" w14:textId="08F5BBE5" w:rsidR="008A52DB" w:rsidRPr="002D4A43" w:rsidRDefault="008A52DB" w:rsidP="002D4A43">
      <w:pPr>
        <w:pStyle w:val="Heading1"/>
        <w:rPr>
          <w:rtl/>
        </w:rPr>
      </w:pPr>
      <w:r w:rsidRPr="002D4A43">
        <w:rPr>
          <w:rtl/>
        </w:rPr>
        <w:t>3</w:t>
      </w:r>
      <w:r w:rsidRPr="002D4A43">
        <w:rPr>
          <w:rtl/>
        </w:rPr>
        <w:tab/>
        <w:t>الأنشطة المقترحة</w:t>
      </w:r>
    </w:p>
    <w:p w14:paraId="2758C6DA" w14:textId="77777777" w:rsidR="008A52DB" w:rsidRDefault="008A52DB" w:rsidP="008A52DB">
      <w:pPr>
        <w:rPr>
          <w:rtl/>
          <w:lang w:bidi="ar-EG"/>
        </w:rPr>
      </w:pPr>
      <w:r w:rsidRPr="00D15651">
        <w:rPr>
          <w:i/>
          <w:iCs/>
          <w:rtl/>
          <w:lang w:bidi="ar-EG"/>
        </w:rPr>
        <w:t>عرض نتائج القمة العالمية للشباب</w:t>
      </w:r>
      <w:r w:rsidRPr="00A4698B">
        <w:rPr>
          <w:i/>
          <w:iCs/>
          <w:rtl/>
          <w:lang w:bidi="ar-EG"/>
        </w:rPr>
        <w:t>:</w:t>
      </w:r>
      <w:r>
        <w:rPr>
          <w:rtl/>
          <w:lang w:bidi="ar-EG"/>
        </w:rPr>
        <w:t xml:space="preserve"> ستتضمن هذه الجلسة عروضاً تقديمية للنتائج الرئيسية للقمة العالمية للشباب، مع عرض كيف يمكن لهذه الأفكار والمبادرات أن تؤثر في تحويل المشهد الرقمي و/أو كيف بدأت في التأثير على تحوليه</w:t>
      </w:r>
      <w:r>
        <w:rPr>
          <w:cs/>
          <w:lang w:bidi="ar-EG"/>
        </w:rPr>
        <w:t>‎</w:t>
      </w:r>
      <w:r>
        <w:rPr>
          <w:rtl/>
          <w:lang w:bidi="ar-EG"/>
        </w:rPr>
        <w:t>. وهذا يجسد بشكل مباشر الخطوات الاستباقية التي اتخذها الاتحاد في دمج وجهات نظر الشباب في إطاره من أجل تحقيق تحول رقمي أكثر استدامة ومجتمع رقمي منصف.</w:t>
      </w:r>
    </w:p>
    <w:p w14:paraId="13D15A16" w14:textId="77777777" w:rsidR="008A52DB" w:rsidRDefault="008A52DB" w:rsidP="008A52DB">
      <w:pPr>
        <w:rPr>
          <w:rtl/>
          <w:lang w:bidi="ar-EG"/>
        </w:rPr>
      </w:pPr>
      <w:r w:rsidRPr="00D15651">
        <w:rPr>
          <w:i/>
          <w:iCs/>
          <w:rtl/>
          <w:lang w:bidi="ar-EG"/>
        </w:rPr>
        <w:t>أفرقة الالتزام</w:t>
      </w:r>
      <w:r w:rsidRPr="00A4698B">
        <w:rPr>
          <w:i/>
          <w:iCs/>
          <w:rtl/>
          <w:lang w:bidi="ar-EG"/>
        </w:rPr>
        <w:t>:</w:t>
      </w:r>
      <w:r>
        <w:rPr>
          <w:rtl/>
          <w:lang w:bidi="ar-EG"/>
        </w:rPr>
        <w:t xml:space="preserve"> المشاركة في مناقشات مع القادة الشباب الذين شاركوا بفعالية في التنمية الرقمية من خلال جهود تطوعية. وستسلط هذه الأفرقة الضوء على المشاريع التي عملت عليها وعلى التحديات التي تغلبت عليها، مع التأكيد على التزامها بأهداف الشمول الرقمي التي يصبو إليها مكتب تنمية الاتصالات.</w:t>
      </w:r>
    </w:p>
    <w:p w14:paraId="6179BD01" w14:textId="77777777" w:rsidR="008A52DB" w:rsidRPr="00A4698B" w:rsidRDefault="008A52DB" w:rsidP="008A52DB">
      <w:pPr>
        <w:rPr>
          <w:spacing w:val="-2"/>
          <w:rtl/>
          <w:lang w:bidi="ar-EG"/>
        </w:rPr>
      </w:pPr>
      <w:r w:rsidRPr="00A4698B">
        <w:rPr>
          <w:i/>
          <w:iCs/>
          <w:spacing w:val="-2"/>
          <w:rtl/>
          <w:lang w:bidi="ar-EG"/>
        </w:rPr>
        <w:t>ورش عمل موجهة نحو الحلول:</w:t>
      </w:r>
      <w:r w:rsidRPr="00A4698B">
        <w:rPr>
          <w:spacing w:val="-2"/>
          <w:rtl/>
          <w:lang w:bidi="ar-EG"/>
        </w:rPr>
        <w:t xml:space="preserve"> ستوفر ورش العمل التفاعلية هذه منصة للمشاركين لعرض مشاريعهم ومبادراتهم الحالية، والدعوة إلى المناقشة والتوجيه والشراكات المحتملة. والهدف من ذلك توفير بيئة تعاونية للتمكين من وضع خطط عمل شاملة لمشاريع ومبادرات الشباب التي لها آثار ملموسة في التنفيذ. وتهدف ورش العمل هذه إلى توفير تطبيق عملي لمشاريع الشباب ومبادراتهم داخل مجتمعاتهم وخارجها. وستعزز الدور القيادي الذي يضطلع به مكتب تنمية الاتصالات في إيجاد سبل جديدة للتنفيذ مع تشجيع المشاركين من الشباب على صقل أفكارهم وتحويلها إلى استراتيجيات قابلة للتنفيذ تؤدي إلى إحداث تغيير ذي مغزى.</w:t>
      </w:r>
    </w:p>
    <w:p w14:paraId="1654C65A" w14:textId="77777777" w:rsidR="008A52DB" w:rsidRDefault="008A52DB" w:rsidP="008A52DB">
      <w:pPr>
        <w:rPr>
          <w:rtl/>
          <w:lang w:bidi="ar-EG"/>
        </w:rPr>
      </w:pPr>
      <w:r w:rsidRPr="00D15651">
        <w:rPr>
          <w:i/>
          <w:iCs/>
          <w:rtl/>
          <w:lang w:bidi="ar-EG"/>
        </w:rPr>
        <w:t>الحوارات بين الأجيال لتعزيز برنامج التنمية الدينامية</w:t>
      </w:r>
      <w:r w:rsidRPr="00A4698B">
        <w:rPr>
          <w:i/>
          <w:iCs/>
          <w:rtl/>
          <w:lang w:bidi="ar-EG"/>
        </w:rPr>
        <w:t>:</w:t>
      </w:r>
      <w:r>
        <w:rPr>
          <w:rtl/>
          <w:lang w:bidi="ar-EG"/>
        </w:rPr>
        <w:t xml:space="preserve"> تيسير الجلسات التي تجمع بين المشاركين الشباب والقادة والمهنيين الراسخين في مجال تكنولوجيا المعلومات والاتصالات. وستؤكد هذه الحوارات أهمية دمج الخبرات والتجارب مع الأفكار المبتكرة. وستسلط الضوء على الدور المحوري للشباب في جهود مكتب تنمية الاتصالات الرامية إلى تعزيز بيئة دينامية للتعلم والتعاون المتبادلين للنهوض ببرنامج التنمية الرقمية.</w:t>
      </w:r>
    </w:p>
    <w:p w14:paraId="4D4A2F41" w14:textId="2347F01C" w:rsidR="008A52DB" w:rsidRPr="00D63968" w:rsidRDefault="008A52DB" w:rsidP="00D63968">
      <w:pPr>
        <w:rPr>
          <w:rtl/>
          <w:lang w:bidi="ar-EG"/>
        </w:rPr>
      </w:pPr>
      <w:r w:rsidRPr="00D63968">
        <w:rPr>
          <w:rtl/>
          <w:lang w:bidi="ar-EG"/>
        </w:rPr>
        <w:t>وبالإضافة إلى ذلك، ستتماشى هذه الحوارات بين الأجيال مع النهج الشامل الذي تتبعه منظومة الأمم المتحدة لتمكين الشباب وتنميتهم، مع تسليط الضوء على دور الاتحاد في توسيع نطاق التركيز على الشباب في سياق تكنولوجيا المعلومات والاتصالات.</w:t>
      </w:r>
      <w:r w:rsidRPr="00D63968">
        <w:rPr>
          <w:cs/>
          <w:lang w:bidi="ar-EG"/>
        </w:rPr>
        <w:t>‎</w:t>
      </w:r>
      <w:r w:rsidRPr="00D63968">
        <w:rPr>
          <w:rtl/>
          <w:lang w:bidi="ar-EG"/>
        </w:rPr>
        <w:t xml:space="preserve"> وتؤكد هذه الاستراتيجية التزام الاتحاد بإدماج وجهات نظر الشباب في مبادرات التنمية العالمية منذ عام 2003، مما يعزز عمل وكالات الأمم المتحدة الأخرى بشأن الشباب. ومن الأمثلة الرئيسية في هذا الصدد، عمل المنظمة الدولية للتربية والعلم والثقافة (</w:t>
      </w:r>
      <w:r w:rsidRPr="00EA13DB">
        <w:rPr>
          <w:rtl/>
          <w:lang w:bidi="ar-EG"/>
        </w:rPr>
        <w:t>اليونسكو</w:t>
      </w:r>
      <w:r w:rsidRPr="00D63968">
        <w:rPr>
          <w:rtl/>
          <w:lang w:bidi="ar-EG"/>
        </w:rPr>
        <w:t>) في تعزيز التعليم الشامل، وبرنامج الأمم المتحدة الإنمائي (</w:t>
      </w:r>
      <w:r w:rsidRPr="00D63968">
        <w:rPr>
          <w:lang w:bidi="ar-EG"/>
        </w:rPr>
        <w:t>UNDP</w:t>
      </w:r>
      <w:r w:rsidRPr="00D63968">
        <w:rPr>
          <w:rtl/>
          <w:lang w:bidi="ar-EG"/>
        </w:rPr>
        <w:t>) في تشجيع مشاركة الشباب في</w:t>
      </w:r>
      <w:r w:rsidR="00354785" w:rsidRPr="00D63968">
        <w:rPr>
          <w:rtl/>
          <w:lang w:bidi="ar-EG"/>
        </w:rPr>
        <w:t> </w:t>
      </w:r>
      <w:r w:rsidRPr="00D63968">
        <w:rPr>
          <w:rtl/>
          <w:lang w:bidi="ar-EG"/>
        </w:rPr>
        <w:t>التنمية المستدامة، وبرنامج الأمم المتحدة للبيئة (</w:t>
      </w:r>
      <w:r w:rsidRPr="00D63968">
        <w:rPr>
          <w:lang w:bidi="ar-EG"/>
        </w:rPr>
        <w:t>UNEP</w:t>
      </w:r>
      <w:r w:rsidRPr="00D63968">
        <w:rPr>
          <w:rtl/>
          <w:lang w:bidi="ar-EG"/>
        </w:rPr>
        <w:t>) في تشجيع الشباب على المشاركة في الأنشطة البيئية، ومنظمة العمل الدولية</w:t>
      </w:r>
      <w:r w:rsidR="00354785" w:rsidRPr="00D63968">
        <w:rPr>
          <w:rtl/>
          <w:lang w:bidi="ar-EG"/>
        </w:rPr>
        <w:t> </w:t>
      </w:r>
      <w:r w:rsidRPr="00D63968">
        <w:rPr>
          <w:rtl/>
          <w:lang w:bidi="ar-EG"/>
        </w:rPr>
        <w:t>(</w:t>
      </w:r>
      <w:r w:rsidRPr="00D63968">
        <w:rPr>
          <w:lang w:bidi="ar-EG"/>
        </w:rPr>
        <w:t>ILO</w:t>
      </w:r>
      <w:r w:rsidRPr="00D63968">
        <w:rPr>
          <w:rtl/>
          <w:lang w:bidi="ar-EG"/>
        </w:rPr>
        <w:t>) في تعزيز فرص العمل اللائق للشباب، ومنظمة الصحة العالمية (</w:t>
      </w:r>
      <w:r w:rsidRPr="00D63968">
        <w:rPr>
          <w:lang w:bidi="ar-EG"/>
        </w:rPr>
        <w:t>WHO</w:t>
      </w:r>
      <w:r w:rsidRPr="00D63968">
        <w:rPr>
          <w:rtl/>
          <w:lang w:bidi="ar-EG"/>
        </w:rPr>
        <w:t xml:space="preserve">) في التعامل مع القضايا الصحية للشباب. </w:t>
      </w:r>
      <w:r w:rsidRPr="00D63968">
        <w:rPr>
          <w:rtl/>
          <w:lang w:bidi="ar-EG"/>
        </w:rPr>
        <w:lastRenderedPageBreak/>
        <w:t>ومن</w:t>
      </w:r>
      <w:r w:rsidR="00354785" w:rsidRPr="00D63968">
        <w:rPr>
          <w:rtl/>
          <w:lang w:bidi="ar-EG"/>
        </w:rPr>
        <w:t> </w:t>
      </w:r>
      <w:r w:rsidRPr="00D63968">
        <w:rPr>
          <w:rtl/>
          <w:lang w:bidi="ar-EG"/>
        </w:rPr>
        <w:t>خلال هذه الجهود التعاونية، تسخّر الأمم المتحدة إمكانات الشباب للنهوض بأهداف التنمية المستدامة، بما يضمن أن تكون دينامية الشباب وإبداعهم محوريَيْن في تشكيل مستقبل مرن وشامل.</w:t>
      </w:r>
    </w:p>
    <w:p w14:paraId="3203B22C" w14:textId="62229B9D" w:rsidR="008A52DB" w:rsidRPr="002C7390" w:rsidRDefault="008A52DB" w:rsidP="008A52DB">
      <w:pPr>
        <w:rPr>
          <w:spacing w:val="-2"/>
          <w:rtl/>
          <w:lang w:bidi="ar-EG"/>
        </w:rPr>
      </w:pPr>
      <w:r w:rsidRPr="002C7390">
        <w:rPr>
          <w:i/>
          <w:iCs/>
          <w:spacing w:val="-2"/>
          <w:rtl/>
          <w:lang w:bidi="ar-EG"/>
        </w:rPr>
        <w:t>فرص التواصل:</w:t>
      </w:r>
      <w:r w:rsidRPr="002C7390">
        <w:rPr>
          <w:spacing w:val="-2"/>
          <w:rtl/>
          <w:lang w:bidi="ar-EG"/>
        </w:rPr>
        <w:t xml:space="preserve"> تنظيم أنشطة و/أو أحداث تهدف إلى تعزيز فرص التواصل والتبادل الثقافي وتعزيز الشعور بالتضامن العالمي بين الشباب والمشاركين في المؤتمر </w:t>
      </w:r>
      <w:r w:rsidRPr="002C7390">
        <w:rPr>
          <w:spacing w:val="-2"/>
          <w:lang w:bidi="ar-EG"/>
        </w:rPr>
        <w:t>WTDC-25</w:t>
      </w:r>
      <w:r w:rsidRPr="002C7390">
        <w:rPr>
          <w:spacing w:val="-2"/>
          <w:rtl/>
          <w:lang w:bidi="ar-EG"/>
        </w:rPr>
        <w:t xml:space="preserve">. وستشمل هذه الأنشطة/الأحداث أنشطة تعاونية، مما يهيئ بيئة جذابة وشاملة </w:t>
      </w:r>
      <w:proofErr w:type="spellStart"/>
      <w:r w:rsidRPr="002C7390">
        <w:rPr>
          <w:spacing w:val="-2"/>
          <w:rtl/>
          <w:lang w:bidi="ar-EG"/>
        </w:rPr>
        <w:t>مؤاتية</w:t>
      </w:r>
      <w:proofErr w:type="spellEnd"/>
      <w:r w:rsidRPr="002C7390">
        <w:rPr>
          <w:spacing w:val="-2"/>
          <w:rtl/>
          <w:lang w:bidi="ar-EG"/>
        </w:rPr>
        <w:t xml:space="preserve"> لإقامة روابط دائمة بين الشباب العالمي والمشاركين الرئيسيين في السياسة العامة وصناع القرار في المؤتمر </w:t>
      </w:r>
      <w:r w:rsidRPr="002C7390">
        <w:rPr>
          <w:spacing w:val="-2"/>
          <w:lang w:bidi="ar-EG"/>
        </w:rPr>
        <w:t>WTDC</w:t>
      </w:r>
      <w:r w:rsidR="002C7390">
        <w:rPr>
          <w:spacing w:val="-2"/>
          <w:lang w:bidi="ar-EG"/>
        </w:rPr>
        <w:noBreakHyphen/>
      </w:r>
      <w:r w:rsidRPr="002C7390">
        <w:rPr>
          <w:spacing w:val="-2"/>
          <w:lang w:bidi="ar-EG"/>
        </w:rPr>
        <w:t>25</w:t>
      </w:r>
      <w:r w:rsidRPr="002C7390">
        <w:rPr>
          <w:spacing w:val="-2"/>
          <w:rtl/>
          <w:lang w:bidi="ar-EG"/>
        </w:rPr>
        <w:t>.</w:t>
      </w:r>
    </w:p>
    <w:p w14:paraId="52D7087E" w14:textId="215B59FC" w:rsidR="008A52DB" w:rsidRDefault="008A52DB" w:rsidP="004462B0">
      <w:pPr>
        <w:pStyle w:val="Heading1"/>
        <w:rPr>
          <w:rtl/>
          <w:lang w:bidi="ar-EG"/>
        </w:rPr>
      </w:pPr>
      <w:r>
        <w:rPr>
          <w:rtl/>
          <w:lang w:bidi="ar-EG"/>
        </w:rPr>
        <w:t>4</w:t>
      </w:r>
      <w:r>
        <w:rPr>
          <w:rtl/>
          <w:lang w:bidi="ar-EG"/>
        </w:rPr>
        <w:tab/>
        <w:t>النتائج المتوقعة</w:t>
      </w:r>
    </w:p>
    <w:p w14:paraId="1E6DA0B1" w14:textId="77777777" w:rsidR="008A52DB" w:rsidRDefault="008A52DB" w:rsidP="008A52DB">
      <w:pPr>
        <w:rPr>
          <w:rtl/>
          <w:lang w:bidi="ar-EG"/>
        </w:rPr>
      </w:pPr>
      <w:r w:rsidRPr="000F3223">
        <w:rPr>
          <w:i/>
          <w:iCs/>
          <w:rtl/>
          <w:lang w:bidi="ar-EG"/>
        </w:rPr>
        <w:t>الاستفادة من نتائج القمة العالمية للشباب التي ينظمها الاتحاد</w:t>
      </w:r>
      <w:r w:rsidRPr="002C7390">
        <w:rPr>
          <w:i/>
          <w:iCs/>
          <w:rtl/>
          <w:lang w:bidi="ar-EG"/>
        </w:rPr>
        <w:t>:</w:t>
      </w:r>
      <w:r>
        <w:rPr>
          <w:rtl/>
          <w:lang w:bidi="ar-EG"/>
        </w:rPr>
        <w:t xml:space="preserve"> الاستفادة من نتائج ومبادرات القمة العالمية للشباب لإثراء وتعزيز المناقشات في المؤتمر </w:t>
      </w:r>
      <w:r>
        <w:rPr>
          <w:lang w:bidi="ar-EG"/>
        </w:rPr>
        <w:t>WTDC-25</w:t>
      </w:r>
      <w:r>
        <w:rPr>
          <w:rtl/>
          <w:lang w:bidi="ar-EG"/>
        </w:rPr>
        <w:t>.</w:t>
      </w:r>
    </w:p>
    <w:p w14:paraId="6EBA74C0" w14:textId="77777777" w:rsidR="008A52DB" w:rsidRDefault="008A52DB" w:rsidP="008A52DB">
      <w:pPr>
        <w:rPr>
          <w:rtl/>
          <w:lang w:bidi="ar-EG"/>
        </w:rPr>
      </w:pPr>
      <w:r w:rsidRPr="000F3223">
        <w:rPr>
          <w:i/>
          <w:iCs/>
          <w:rtl/>
          <w:lang w:bidi="ar-EG"/>
        </w:rPr>
        <w:t>إعادة التأكيد على التزام الشباب</w:t>
      </w:r>
      <w:r w:rsidRPr="002C7390">
        <w:rPr>
          <w:i/>
          <w:iCs/>
          <w:rtl/>
          <w:lang w:bidi="ar-EG"/>
        </w:rPr>
        <w:t>:</w:t>
      </w:r>
      <w:r>
        <w:rPr>
          <w:rtl/>
          <w:lang w:bidi="ar-EG"/>
        </w:rPr>
        <w:t xml:space="preserve"> تسليط الضوء على التزام الشباب المستمر بالمساهمة في برنامج التنمية للاتحاد من خلال أنشطتهم الطوعية ومشاريعهم المبتكرة في بلدانهم ومناطقهم وعلى الصعيد العالمي.</w:t>
      </w:r>
    </w:p>
    <w:p w14:paraId="021DCA69" w14:textId="77777777" w:rsidR="008A52DB" w:rsidRPr="00EF79AE" w:rsidRDefault="008A52DB" w:rsidP="008A52DB">
      <w:pPr>
        <w:rPr>
          <w:spacing w:val="-2"/>
          <w:rtl/>
          <w:lang w:bidi="ar-EG"/>
        </w:rPr>
      </w:pPr>
      <w:r w:rsidRPr="00EF79AE">
        <w:rPr>
          <w:i/>
          <w:iCs/>
          <w:spacing w:val="-2"/>
          <w:rtl/>
          <w:lang w:bidi="ar-EG"/>
        </w:rPr>
        <w:t>استراتيجيات قابلة للتنفيذ:</w:t>
      </w:r>
      <w:r w:rsidRPr="00EF79AE">
        <w:rPr>
          <w:spacing w:val="-2"/>
          <w:rtl/>
          <w:lang w:bidi="ar-EG"/>
        </w:rPr>
        <w:t xml:space="preserve"> تحديد استراتيجيات عملية لمتابعة الوثيقة الختامية للقمة </w:t>
      </w:r>
      <w:r w:rsidRPr="00EF79AE">
        <w:rPr>
          <w:spacing w:val="-2"/>
          <w:lang w:bidi="ar-EG"/>
        </w:rPr>
        <w:t>GYS-24</w:t>
      </w:r>
      <w:r w:rsidRPr="00EF79AE">
        <w:rPr>
          <w:spacing w:val="-2"/>
          <w:rtl/>
          <w:lang w:bidi="ar-EG"/>
        </w:rPr>
        <w:t xml:space="preserve"> التي تهدف إلى تنفيذ المشاريع الرقمية التي يقودها الشباب، ولا سيما لضمان تمكين جميع الشباب على قدم المساواة وبإنصاف، بمن فيهم الشباب الذين يعيشون في أوضاع هشة، من خلال تكنولوجيا المعلومات والاتصالات لدعم مشاركتهم الفعالة في المجتمع والاقتصاد والبيئة الرقمية.</w:t>
      </w:r>
    </w:p>
    <w:p w14:paraId="4BEADDE8" w14:textId="77777777" w:rsidR="008A52DB" w:rsidRDefault="008A52DB" w:rsidP="008A52DB">
      <w:pPr>
        <w:rPr>
          <w:rtl/>
          <w:lang w:bidi="ar-EG"/>
        </w:rPr>
      </w:pPr>
      <w:r w:rsidRPr="000F3223">
        <w:rPr>
          <w:i/>
          <w:iCs/>
          <w:rtl/>
          <w:lang w:bidi="ar-EG"/>
        </w:rPr>
        <w:t>تيسير الحوار بين الأجيال</w:t>
      </w:r>
      <w:r>
        <w:rPr>
          <w:rtl/>
          <w:lang w:bidi="ar-EG"/>
        </w:rPr>
        <w:t>: إنشاء منصة تمكن من إجراء تبادلات مفيدة بين الخبراء والقادة والمبتكرين الشباب مع صانعي السياسات والقرارات الرئيسيين على الصعيد العالمي وقادة الفكر المعترف بهم في قطاع تكنولوجيا المعلومات والاتصالات. ‏وهذا من شأنه أن يعزز التعاون بين الأجيال، مما يسمح بتبادل الأفكار وتطوير علاقات الإرشاد</w:t>
      </w:r>
      <w:r>
        <w:rPr>
          <w:cs/>
          <w:lang w:bidi="ar-EG"/>
        </w:rPr>
        <w:t>‎</w:t>
      </w:r>
      <w:r>
        <w:rPr>
          <w:rtl/>
          <w:lang w:bidi="ar-EG"/>
        </w:rPr>
        <w:t>.</w:t>
      </w:r>
    </w:p>
    <w:p w14:paraId="0C4FFD3B" w14:textId="77777777" w:rsidR="008A52DB" w:rsidRPr="00EF79AE" w:rsidRDefault="008A52DB" w:rsidP="008A52DB">
      <w:pPr>
        <w:rPr>
          <w:rtl/>
          <w:lang w:bidi="ar-EG"/>
        </w:rPr>
      </w:pPr>
      <w:r w:rsidRPr="00EF79AE">
        <w:rPr>
          <w:i/>
          <w:iCs/>
          <w:rtl/>
          <w:lang w:bidi="ar-EG"/>
        </w:rPr>
        <w:t>شبكة عالمية معززة:</w:t>
      </w:r>
      <w:r w:rsidRPr="00EF79AE">
        <w:rPr>
          <w:rtl/>
          <w:lang w:bidi="ar-EG"/>
        </w:rPr>
        <w:t xml:space="preserve"> تعزيز الروابط بين القادة الشباب وبين الشباب وصانعي القرار على الصعيد العالمي في مجال التنمية الرقمية. ومن شأن ذلك أن يسهل تبادل المعارف وفرص التعاون، وبناء شبكة قوية تدعم البرنامج العالمي للتنمية الرقمية الجارية والمستقبلية.</w:t>
      </w:r>
    </w:p>
    <w:p w14:paraId="73B272C8" w14:textId="034377EA" w:rsidR="008A52DB" w:rsidRDefault="008A52DB" w:rsidP="00472CD8">
      <w:pPr>
        <w:pStyle w:val="Heading1"/>
        <w:rPr>
          <w:rtl/>
          <w:lang w:bidi="ar-EG"/>
        </w:rPr>
      </w:pPr>
      <w:r>
        <w:rPr>
          <w:rtl/>
          <w:lang w:bidi="ar-EG"/>
        </w:rPr>
        <w:t>5</w:t>
      </w:r>
      <w:r>
        <w:rPr>
          <w:rtl/>
          <w:lang w:bidi="ar-EG"/>
        </w:rPr>
        <w:tab/>
        <w:t>القيمة المضافة للحدث</w:t>
      </w:r>
    </w:p>
    <w:p w14:paraId="1FEA6542" w14:textId="77777777" w:rsidR="008A52DB" w:rsidRDefault="008A52DB" w:rsidP="00D63968">
      <w:pPr>
        <w:rPr>
          <w:rtl/>
          <w:lang w:bidi="ar-EG"/>
        </w:rPr>
      </w:pPr>
      <w:r>
        <w:rPr>
          <w:rtl/>
          <w:lang w:bidi="ar-EG"/>
        </w:rPr>
        <w:t xml:space="preserve">يهدف مكتب تنمية الاتصالات، من خلال هذا الاحتفال بحدث الشباب، إلى ضمان استمرار تأثير أصوات الشباب على عمل الاتحاد قبل المؤتمر </w:t>
      </w:r>
      <w:r>
        <w:rPr>
          <w:lang w:bidi="ar-EG"/>
        </w:rPr>
        <w:t>WTDC-25</w:t>
      </w:r>
      <w:r>
        <w:rPr>
          <w:rtl/>
          <w:lang w:bidi="ar-EG"/>
        </w:rPr>
        <w:t xml:space="preserve"> وبعده. ولن يسلط هذا الحدث الضوء على إمكانات القادة الشباب في تشكيل المستقبل الرقمي فحسب، بل سيعزز أيضاً التزام الاتحاد ومكتب تنمية الاتصالات تجاه جيل الشباب كشركاء محوريين في البرنامج العالمي للاتصالات والتنمية الرقمية.</w:t>
      </w:r>
    </w:p>
    <w:p w14:paraId="27D46ACB" w14:textId="0A799FA1" w:rsidR="00882A17" w:rsidRDefault="008A52DB" w:rsidP="00D63968">
      <w:pPr>
        <w:rPr>
          <w:lang w:bidi="ar-EG"/>
        </w:rPr>
      </w:pPr>
      <w:r>
        <w:rPr>
          <w:rtl/>
          <w:lang w:bidi="ar-EG"/>
        </w:rPr>
        <w:t>ولا يهدف هذا النهج إلى إعلام أعضاء الاتحاد فحسب، بل وأيضاً إلى إلهامهم لدمج أصوات الشباب وآرائهم وطاقتهم في</w:t>
      </w:r>
      <w:r w:rsidR="00EF79AE">
        <w:rPr>
          <w:rFonts w:hint="cs"/>
          <w:rtl/>
          <w:lang w:bidi="ar-EG"/>
        </w:rPr>
        <w:t> </w:t>
      </w:r>
      <w:r>
        <w:rPr>
          <w:rtl/>
          <w:lang w:bidi="ar-EG"/>
        </w:rPr>
        <w:t xml:space="preserve">صلب مناقشات المؤتمر </w:t>
      </w:r>
      <w:r>
        <w:rPr>
          <w:lang w:bidi="ar-EG"/>
        </w:rPr>
        <w:t>WTDC-25</w:t>
      </w:r>
      <w:r>
        <w:rPr>
          <w:rtl/>
          <w:lang w:bidi="ar-EG"/>
        </w:rPr>
        <w:t xml:space="preserve">، مما يسهم في إضفاء نبرة محفزة </w:t>
      </w:r>
      <w:proofErr w:type="spellStart"/>
      <w:r>
        <w:rPr>
          <w:rtl/>
          <w:lang w:bidi="ar-EG"/>
        </w:rPr>
        <w:t>وتطلعية</w:t>
      </w:r>
      <w:proofErr w:type="spellEnd"/>
      <w:r>
        <w:rPr>
          <w:rtl/>
          <w:lang w:bidi="ar-EG"/>
        </w:rPr>
        <w:t xml:space="preserve"> على المؤتمر.</w:t>
      </w:r>
    </w:p>
    <w:p w14:paraId="1392DDA2" w14:textId="77777777" w:rsidR="007B4FA0" w:rsidRDefault="00153471" w:rsidP="00153471">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7B4FA0" w:rsidSect="006C3242">
      <w:headerReference w:type="default" r:id="rId9"/>
      <w:footerReference w:type="first" r:id="rId1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0F805" w14:textId="77777777" w:rsidR="009D1AF4" w:rsidRDefault="009D1AF4" w:rsidP="006C3242">
      <w:pPr>
        <w:spacing w:before="0" w:line="240" w:lineRule="auto"/>
      </w:pPr>
      <w:r>
        <w:separator/>
      </w:r>
    </w:p>
  </w:endnote>
  <w:endnote w:type="continuationSeparator" w:id="0">
    <w:p w14:paraId="46F6FAD6" w14:textId="77777777" w:rsidR="009D1AF4" w:rsidRDefault="009D1AF4"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1FF74348" w14:textId="77777777" w:rsidTr="00F03E94">
      <w:tc>
        <w:tcPr>
          <w:tcW w:w="991" w:type="dxa"/>
          <w:tcBorders>
            <w:top w:val="single" w:sz="4" w:space="0" w:color="auto"/>
            <w:left w:val="nil"/>
            <w:bottom w:val="nil"/>
            <w:right w:val="nil"/>
          </w:tcBorders>
          <w:shd w:val="clear" w:color="auto" w:fill="FFFFFF" w:themeFill="background1"/>
          <w:hideMark/>
        </w:tcPr>
        <w:p w14:paraId="18161DDE"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23849AFA"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313A2DAE" w14:textId="6C1E37D9" w:rsidR="00882A17" w:rsidRPr="002D4A43" w:rsidRDefault="008A52DB" w:rsidP="00631FD6">
          <w:pPr>
            <w:spacing w:before="60" w:after="40" w:line="260" w:lineRule="exact"/>
            <w:rPr>
              <w:position w:val="2"/>
              <w:sz w:val="18"/>
              <w:szCs w:val="18"/>
              <w:rtl/>
              <w:lang w:val="en-GB" w:bidi="ar-EG"/>
            </w:rPr>
          </w:pPr>
          <w:r w:rsidRPr="002D4A43">
            <w:rPr>
              <w:position w:val="2"/>
              <w:sz w:val="18"/>
              <w:szCs w:val="18"/>
              <w:rtl/>
              <w:lang w:val="en-GB"/>
            </w:rPr>
            <w:t xml:space="preserve">السيدة </w:t>
          </w:r>
          <w:r w:rsidR="00631FD6" w:rsidRPr="002D4A43">
            <w:rPr>
              <w:position w:val="2"/>
              <w:sz w:val="18"/>
              <w:szCs w:val="18"/>
            </w:rPr>
            <w:t>Roxana Widmer-Iliescu</w:t>
          </w:r>
          <w:r w:rsidRPr="002D4A43">
            <w:rPr>
              <w:position w:val="2"/>
              <w:sz w:val="18"/>
              <w:szCs w:val="18"/>
              <w:rtl/>
              <w:lang w:val="en-GB"/>
            </w:rPr>
            <w:t>، منسقة أولى بشأن الشمول الرقمي، مكتب تنمية الاتصالات للشمول</w:t>
          </w:r>
          <w:r w:rsidR="00427795" w:rsidRPr="002D4A43">
            <w:rPr>
              <w:rFonts w:hint="cs"/>
              <w:position w:val="2"/>
              <w:sz w:val="18"/>
              <w:szCs w:val="18"/>
              <w:rtl/>
              <w:lang w:val="en-GB"/>
            </w:rPr>
            <w:t> </w:t>
          </w:r>
          <w:r w:rsidRPr="002D4A43">
            <w:rPr>
              <w:position w:val="2"/>
              <w:sz w:val="18"/>
              <w:szCs w:val="18"/>
              <w:rtl/>
              <w:lang w:val="en-GB"/>
            </w:rPr>
            <w:t>الرقمي</w:t>
          </w:r>
        </w:p>
      </w:tc>
    </w:tr>
    <w:tr w:rsidR="00882A17" w:rsidRPr="005874F2" w14:paraId="414499A9" w14:textId="77777777" w:rsidTr="00F03E94">
      <w:tc>
        <w:tcPr>
          <w:tcW w:w="991" w:type="dxa"/>
        </w:tcPr>
        <w:p w14:paraId="6BDCD72D"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1237D821"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036B2A5B" w14:textId="59C49182" w:rsidR="00882A17" w:rsidRPr="002D4A43" w:rsidRDefault="004462B0" w:rsidP="004462B0">
          <w:pPr>
            <w:spacing w:before="60" w:after="40" w:line="260" w:lineRule="exact"/>
            <w:rPr>
              <w:position w:val="2"/>
              <w:sz w:val="18"/>
              <w:szCs w:val="18"/>
              <w:lang w:val="en-GB"/>
            </w:rPr>
          </w:pPr>
          <w:r w:rsidRPr="002D4A43">
            <w:rPr>
              <w:position w:val="2"/>
              <w:sz w:val="18"/>
              <w:szCs w:val="18"/>
            </w:rPr>
            <w:t>+41 798 25 08 52</w:t>
          </w:r>
        </w:p>
      </w:tc>
    </w:tr>
    <w:tr w:rsidR="00882A17" w:rsidRPr="005874F2" w14:paraId="13C09415" w14:textId="77777777" w:rsidTr="00F03E94">
      <w:tc>
        <w:tcPr>
          <w:tcW w:w="991" w:type="dxa"/>
        </w:tcPr>
        <w:p w14:paraId="7FC7AF7F"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2AA4A9CD"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0A12F152" w14:textId="38A28F81" w:rsidR="00882A17" w:rsidRPr="002D4A43" w:rsidRDefault="00EA13DB" w:rsidP="00882A17">
          <w:pPr>
            <w:spacing w:before="60" w:after="40" w:line="260" w:lineRule="exact"/>
            <w:rPr>
              <w:position w:val="2"/>
              <w:sz w:val="18"/>
              <w:szCs w:val="18"/>
              <w:rtl/>
              <w:lang w:val="fr-FR" w:bidi="ar-EG"/>
            </w:rPr>
          </w:pPr>
          <w:hyperlink r:id="rId1" w:history="1">
            <w:r w:rsidR="004462B0" w:rsidRPr="002D4A43">
              <w:rPr>
                <w:rStyle w:val="Hyperlink"/>
                <w:sz w:val="18"/>
                <w:szCs w:val="18"/>
              </w:rPr>
              <w:t>roxana.widmer-iliescu@itu.int</w:t>
            </w:r>
          </w:hyperlink>
        </w:p>
      </w:tc>
    </w:tr>
  </w:tbl>
  <w:p w14:paraId="5DFDB36F" w14:textId="77777777" w:rsidR="0006468A" w:rsidRPr="007056F7" w:rsidRDefault="0006468A" w:rsidP="00957084">
    <w:pPr>
      <w:pStyle w:val="Footer"/>
      <w:tabs>
        <w:tab w:val="clear" w:pos="4153"/>
        <w:tab w:val="clear" w:pos="8306"/>
        <w:tab w:val="center" w:pos="5103"/>
        <w:tab w:val="right" w:pos="9639"/>
      </w:tabs>
      <w:spacing w:before="120"/>
      <w:jc w:val="cen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B89B5" w14:textId="77777777" w:rsidR="009D1AF4" w:rsidRDefault="009D1AF4" w:rsidP="006C3242">
      <w:pPr>
        <w:spacing w:before="0" w:line="240" w:lineRule="auto"/>
      </w:pPr>
      <w:r>
        <w:separator/>
      </w:r>
    </w:p>
  </w:footnote>
  <w:footnote w:type="continuationSeparator" w:id="0">
    <w:p w14:paraId="7199DE2B" w14:textId="77777777" w:rsidR="009D1AF4" w:rsidRDefault="009D1AF4"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3F76397C" w14:textId="12C3A5DD"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983DA5">
          <w:rPr>
            <w:sz w:val="20"/>
            <w:szCs w:val="20"/>
            <w:lang w:val="es-ES_tradnl"/>
          </w:rPr>
          <w:t>TDAG</w:t>
        </w:r>
        <w:r>
          <w:rPr>
            <w:sz w:val="20"/>
            <w:szCs w:val="20"/>
            <w:lang w:val="es-ES_tradnl"/>
          </w:rPr>
          <w:t>-2</w:t>
        </w:r>
        <w:bookmarkStart w:id="1" w:name="DocNo2"/>
        <w:bookmarkEnd w:id="1"/>
        <w:r w:rsidR="00457D22">
          <w:rPr>
            <w:sz w:val="20"/>
            <w:szCs w:val="20"/>
            <w:lang w:val="es-ES_tradnl"/>
          </w:rPr>
          <w:t>4</w:t>
        </w:r>
        <w:r w:rsidR="00D8311F">
          <w:rPr>
            <w:sz w:val="20"/>
            <w:szCs w:val="20"/>
            <w:lang w:val="es-ES_tradnl"/>
          </w:rPr>
          <w:t>/</w:t>
        </w:r>
        <w:r w:rsidR="008A52DB">
          <w:rPr>
            <w:sz w:val="20"/>
            <w:szCs w:val="20"/>
            <w:lang w:val="es-ES_tradnl"/>
          </w:rPr>
          <w:t>30</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72557792">
    <w:abstractNumId w:val="9"/>
  </w:num>
  <w:num w:numId="2" w16cid:durableId="2137064377">
    <w:abstractNumId w:val="7"/>
  </w:num>
  <w:num w:numId="3" w16cid:durableId="1142234840">
    <w:abstractNumId w:val="6"/>
  </w:num>
  <w:num w:numId="4" w16cid:durableId="1955020311">
    <w:abstractNumId w:val="5"/>
  </w:num>
  <w:num w:numId="5" w16cid:durableId="1913661296">
    <w:abstractNumId w:val="4"/>
  </w:num>
  <w:num w:numId="6" w16cid:durableId="899436650">
    <w:abstractNumId w:val="8"/>
  </w:num>
  <w:num w:numId="7" w16cid:durableId="1356886860">
    <w:abstractNumId w:val="3"/>
  </w:num>
  <w:num w:numId="8" w16cid:durableId="1816724599">
    <w:abstractNumId w:val="2"/>
  </w:num>
  <w:num w:numId="9" w16cid:durableId="2139954444">
    <w:abstractNumId w:val="1"/>
  </w:num>
  <w:num w:numId="10" w16cid:durableId="1539734909">
    <w:abstractNumId w:val="0"/>
  </w:num>
  <w:num w:numId="11" w16cid:durableId="8498747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AF4"/>
    <w:rsid w:val="00026D7C"/>
    <w:rsid w:val="00057086"/>
    <w:rsid w:val="0006468A"/>
    <w:rsid w:val="00090574"/>
    <w:rsid w:val="000C1C0E"/>
    <w:rsid w:val="000C548A"/>
    <w:rsid w:val="000F3223"/>
    <w:rsid w:val="00153471"/>
    <w:rsid w:val="0019128D"/>
    <w:rsid w:val="001C0169"/>
    <w:rsid w:val="001D1D50"/>
    <w:rsid w:val="001D6745"/>
    <w:rsid w:val="001E446E"/>
    <w:rsid w:val="0021016E"/>
    <w:rsid w:val="002154EE"/>
    <w:rsid w:val="002276D2"/>
    <w:rsid w:val="0023283D"/>
    <w:rsid w:val="0026373E"/>
    <w:rsid w:val="00271C43"/>
    <w:rsid w:val="00290728"/>
    <w:rsid w:val="002978F4"/>
    <w:rsid w:val="002B028D"/>
    <w:rsid w:val="002C7390"/>
    <w:rsid w:val="002D4A43"/>
    <w:rsid w:val="002E6541"/>
    <w:rsid w:val="00317741"/>
    <w:rsid w:val="00334924"/>
    <w:rsid w:val="003409BC"/>
    <w:rsid w:val="00353BB7"/>
    <w:rsid w:val="00354785"/>
    <w:rsid w:val="00357185"/>
    <w:rsid w:val="00383829"/>
    <w:rsid w:val="003971E3"/>
    <w:rsid w:val="003C4402"/>
    <w:rsid w:val="003F4B29"/>
    <w:rsid w:val="0042686F"/>
    <w:rsid w:val="00427795"/>
    <w:rsid w:val="004317D8"/>
    <w:rsid w:val="00434183"/>
    <w:rsid w:val="00443869"/>
    <w:rsid w:val="004462B0"/>
    <w:rsid w:val="00447F32"/>
    <w:rsid w:val="00457D22"/>
    <w:rsid w:val="00472CD8"/>
    <w:rsid w:val="004E11DC"/>
    <w:rsid w:val="004F3C48"/>
    <w:rsid w:val="00506E94"/>
    <w:rsid w:val="00525DDD"/>
    <w:rsid w:val="005409AC"/>
    <w:rsid w:val="0055516A"/>
    <w:rsid w:val="0058491B"/>
    <w:rsid w:val="005874F2"/>
    <w:rsid w:val="00592EA5"/>
    <w:rsid w:val="005A3170"/>
    <w:rsid w:val="005B2C89"/>
    <w:rsid w:val="005D610E"/>
    <w:rsid w:val="005E1E6D"/>
    <w:rsid w:val="005E5613"/>
    <w:rsid w:val="006128FC"/>
    <w:rsid w:val="00631FD6"/>
    <w:rsid w:val="006676A3"/>
    <w:rsid w:val="00677396"/>
    <w:rsid w:val="0069200F"/>
    <w:rsid w:val="006A65CB"/>
    <w:rsid w:val="006C3242"/>
    <w:rsid w:val="006C7CC0"/>
    <w:rsid w:val="006F63F7"/>
    <w:rsid w:val="007025C7"/>
    <w:rsid w:val="007056F7"/>
    <w:rsid w:val="00706D7A"/>
    <w:rsid w:val="00722F0D"/>
    <w:rsid w:val="0074420E"/>
    <w:rsid w:val="00747A70"/>
    <w:rsid w:val="00783A69"/>
    <w:rsid w:val="00783E26"/>
    <w:rsid w:val="007A1D77"/>
    <w:rsid w:val="007B4FA0"/>
    <w:rsid w:val="007C3BC7"/>
    <w:rsid w:val="007C3BCD"/>
    <w:rsid w:val="007D4ACF"/>
    <w:rsid w:val="007F0787"/>
    <w:rsid w:val="00810B7B"/>
    <w:rsid w:val="0082358A"/>
    <w:rsid w:val="008235CD"/>
    <w:rsid w:val="008247DE"/>
    <w:rsid w:val="00840B10"/>
    <w:rsid w:val="008513CB"/>
    <w:rsid w:val="008562F3"/>
    <w:rsid w:val="00874F08"/>
    <w:rsid w:val="00882A17"/>
    <w:rsid w:val="008911A6"/>
    <w:rsid w:val="008A52DB"/>
    <w:rsid w:val="008A7F84"/>
    <w:rsid w:val="0090745C"/>
    <w:rsid w:val="0091702E"/>
    <w:rsid w:val="00923B0C"/>
    <w:rsid w:val="0094021C"/>
    <w:rsid w:val="0094065A"/>
    <w:rsid w:val="00952F86"/>
    <w:rsid w:val="00957084"/>
    <w:rsid w:val="00982B28"/>
    <w:rsid w:val="00983DA5"/>
    <w:rsid w:val="009D1AF4"/>
    <w:rsid w:val="009D313F"/>
    <w:rsid w:val="00A24359"/>
    <w:rsid w:val="00A4698B"/>
    <w:rsid w:val="00A47A5A"/>
    <w:rsid w:val="00A6683B"/>
    <w:rsid w:val="00A97F94"/>
    <w:rsid w:val="00AA7EA2"/>
    <w:rsid w:val="00B03099"/>
    <w:rsid w:val="00B05BC8"/>
    <w:rsid w:val="00B64B47"/>
    <w:rsid w:val="00B93B7B"/>
    <w:rsid w:val="00C002DE"/>
    <w:rsid w:val="00C366A8"/>
    <w:rsid w:val="00C53BF8"/>
    <w:rsid w:val="00C56B5F"/>
    <w:rsid w:val="00C66157"/>
    <w:rsid w:val="00C674FE"/>
    <w:rsid w:val="00C67501"/>
    <w:rsid w:val="00C75633"/>
    <w:rsid w:val="00C85CB5"/>
    <w:rsid w:val="00CA08BA"/>
    <w:rsid w:val="00CE2EE1"/>
    <w:rsid w:val="00CE3349"/>
    <w:rsid w:val="00CE36E5"/>
    <w:rsid w:val="00CF27F5"/>
    <w:rsid w:val="00CF3FFD"/>
    <w:rsid w:val="00D10CCF"/>
    <w:rsid w:val="00D15651"/>
    <w:rsid w:val="00D20964"/>
    <w:rsid w:val="00D63968"/>
    <w:rsid w:val="00D77D0F"/>
    <w:rsid w:val="00D8311F"/>
    <w:rsid w:val="00DA1CF0"/>
    <w:rsid w:val="00DC1E02"/>
    <w:rsid w:val="00DC24B4"/>
    <w:rsid w:val="00DC5FB0"/>
    <w:rsid w:val="00DF16DC"/>
    <w:rsid w:val="00E15CF3"/>
    <w:rsid w:val="00E45211"/>
    <w:rsid w:val="00E473C5"/>
    <w:rsid w:val="00E50C38"/>
    <w:rsid w:val="00E92863"/>
    <w:rsid w:val="00EA13DB"/>
    <w:rsid w:val="00EB796D"/>
    <w:rsid w:val="00EE5CF2"/>
    <w:rsid w:val="00EF79AE"/>
    <w:rsid w:val="00F058DC"/>
    <w:rsid w:val="00F24FC4"/>
    <w:rsid w:val="00F2676C"/>
    <w:rsid w:val="00F43D01"/>
    <w:rsid w:val="00F77022"/>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222DA"/>
  <w15:chartTrackingRefBased/>
  <w15:docId w15:val="{6E37859F-9A4C-4EAF-B403-CA5AE3525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mailto:roxana.widmer-iliescu@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ITU-D%20(BDT)\PA_TDAG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customXml/itemProps2.xml><?xml version="1.0" encoding="utf-8"?>
<ds:datastoreItem xmlns:ds="http://schemas.openxmlformats.org/officeDocument/2006/customXml" ds:itemID="{793D940F-24DB-484D-A9C0-57273DC39A9E}"/>
</file>

<file path=customXml/itemProps3.xml><?xml version="1.0" encoding="utf-8"?>
<ds:datastoreItem xmlns:ds="http://schemas.openxmlformats.org/officeDocument/2006/customXml" ds:itemID="{D84BB2C9-F05E-467C-B606-EBB5371DB633}"/>
</file>

<file path=docProps/app.xml><?xml version="1.0" encoding="utf-8"?>
<Properties xmlns="http://schemas.openxmlformats.org/officeDocument/2006/extended-properties" xmlns:vt="http://schemas.openxmlformats.org/officeDocument/2006/docPropsVTypes">
  <Template>PA_TDAG24.dotx</Template>
  <TotalTime>43</TotalTime>
  <Pages>3</Pages>
  <Words>1100</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Arabic_AA</dc:creator>
  <cp:keywords/>
  <dc:description/>
  <cp:lastModifiedBy>Arabic-IR</cp:lastModifiedBy>
  <cp:revision>6</cp:revision>
  <dcterms:created xsi:type="dcterms:W3CDTF">2024-05-08T09:43:00Z</dcterms:created>
  <dcterms:modified xsi:type="dcterms:W3CDTF">2024-05-08T11:57:00Z</dcterms:modified>
</cp:coreProperties>
</file>