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66C4C" w14:paraId="3F0E9EC4" w14:textId="77777777" w:rsidTr="00952667">
        <w:trPr>
          <w:cantSplit/>
          <w:trHeight w:val="1134"/>
        </w:trPr>
        <w:tc>
          <w:tcPr>
            <w:tcW w:w="6379" w:type="dxa"/>
          </w:tcPr>
          <w:p w14:paraId="68FE8375" w14:textId="60D4E501" w:rsidR="00307769" w:rsidRPr="00A66C4C" w:rsidRDefault="001011EB" w:rsidP="00307769">
            <w:pPr>
              <w:tabs>
                <w:tab w:val="clear" w:pos="1191"/>
                <w:tab w:val="clear" w:pos="1588"/>
                <w:tab w:val="clear" w:pos="1985"/>
              </w:tabs>
              <w:ind w:left="34"/>
              <w:rPr>
                <w:b/>
                <w:bCs/>
                <w:sz w:val="32"/>
                <w:szCs w:val="32"/>
                <w:lang w:val="fr-FR"/>
              </w:rPr>
            </w:pPr>
            <w:r w:rsidRPr="00A66C4C">
              <w:rPr>
                <w:b/>
                <w:bCs/>
                <w:sz w:val="32"/>
                <w:szCs w:val="32"/>
                <w:lang w:val="fr-FR"/>
              </w:rPr>
              <w:t xml:space="preserve">Groupe consultatif pour le développement </w:t>
            </w:r>
            <w:r w:rsidR="00307769" w:rsidRPr="00A66C4C">
              <w:rPr>
                <w:b/>
                <w:bCs/>
                <w:sz w:val="32"/>
                <w:szCs w:val="32"/>
                <w:lang w:val="fr-FR"/>
              </w:rPr>
              <w:br/>
            </w:r>
            <w:r w:rsidRPr="00A66C4C">
              <w:rPr>
                <w:b/>
                <w:bCs/>
                <w:sz w:val="32"/>
                <w:szCs w:val="32"/>
                <w:lang w:val="fr-FR"/>
              </w:rPr>
              <w:t>des télécommunications (GCDT</w:t>
            </w:r>
            <w:r w:rsidR="00307769" w:rsidRPr="00A66C4C">
              <w:rPr>
                <w:b/>
                <w:bCs/>
                <w:sz w:val="32"/>
                <w:szCs w:val="32"/>
                <w:lang w:val="fr-FR"/>
              </w:rPr>
              <w:t>)</w:t>
            </w:r>
          </w:p>
          <w:p w14:paraId="5F5F590A" w14:textId="114AEE46" w:rsidR="00307769" w:rsidRPr="00A66C4C" w:rsidRDefault="00307769" w:rsidP="001011EB">
            <w:pPr>
              <w:tabs>
                <w:tab w:val="clear" w:pos="1191"/>
                <w:tab w:val="clear" w:pos="1588"/>
                <w:tab w:val="clear" w:pos="1985"/>
              </w:tabs>
              <w:spacing w:after="120"/>
              <w:ind w:left="34"/>
              <w:rPr>
                <w:rFonts w:ascii="Verdana" w:hAnsi="Verdana"/>
                <w:sz w:val="28"/>
                <w:szCs w:val="28"/>
                <w:lang w:val="fr-FR"/>
              </w:rPr>
            </w:pPr>
            <w:r w:rsidRPr="00A66C4C">
              <w:rPr>
                <w:b/>
                <w:bCs/>
                <w:sz w:val="26"/>
                <w:szCs w:val="26"/>
                <w:lang w:val="fr-FR"/>
              </w:rPr>
              <w:t>3</w:t>
            </w:r>
            <w:r w:rsidR="00873313">
              <w:rPr>
                <w:b/>
                <w:bCs/>
                <w:sz w:val="26"/>
                <w:szCs w:val="26"/>
                <w:lang w:val="fr-FR"/>
              </w:rPr>
              <w:t>1</w:t>
            </w:r>
            <w:r w:rsidR="001011EB" w:rsidRPr="00A66C4C">
              <w:rPr>
                <w:b/>
                <w:bCs/>
                <w:sz w:val="26"/>
                <w:szCs w:val="26"/>
                <w:lang w:val="fr-FR"/>
              </w:rPr>
              <w:t>ème réunion</w:t>
            </w:r>
            <w:r w:rsidRPr="00A66C4C">
              <w:rPr>
                <w:b/>
                <w:bCs/>
                <w:sz w:val="26"/>
                <w:szCs w:val="26"/>
                <w:lang w:val="fr-FR"/>
              </w:rPr>
              <w:t xml:space="preserve">, </w:t>
            </w:r>
            <w:r w:rsidR="001011EB" w:rsidRPr="00A66C4C">
              <w:rPr>
                <w:b/>
                <w:bCs/>
                <w:sz w:val="26"/>
                <w:szCs w:val="26"/>
                <w:lang w:val="fr-FR"/>
              </w:rPr>
              <w:t>Genève</w:t>
            </w:r>
            <w:r w:rsidR="00D47E23">
              <w:rPr>
                <w:b/>
                <w:bCs/>
                <w:sz w:val="26"/>
                <w:szCs w:val="26"/>
                <w:lang w:val="fr-FR"/>
              </w:rPr>
              <w:t xml:space="preserve">, </w:t>
            </w:r>
            <w:r w:rsidR="001011EB" w:rsidRPr="00A66C4C">
              <w:rPr>
                <w:b/>
                <w:bCs/>
                <w:sz w:val="26"/>
                <w:szCs w:val="26"/>
                <w:lang w:val="fr-FR"/>
              </w:rPr>
              <w:t>Suisse</w:t>
            </w:r>
            <w:r w:rsidRPr="00A66C4C">
              <w:rPr>
                <w:b/>
                <w:bCs/>
                <w:sz w:val="26"/>
                <w:szCs w:val="26"/>
                <w:lang w:val="fr-FR"/>
              </w:rPr>
              <w:t xml:space="preserve">, </w:t>
            </w:r>
            <w:r w:rsidR="00873313">
              <w:rPr>
                <w:b/>
                <w:bCs/>
                <w:sz w:val="26"/>
                <w:szCs w:val="26"/>
                <w:lang w:val="fr-FR"/>
              </w:rPr>
              <w:t>20</w:t>
            </w:r>
            <w:r w:rsidRPr="00A66C4C">
              <w:rPr>
                <w:b/>
                <w:bCs/>
                <w:sz w:val="26"/>
                <w:szCs w:val="26"/>
                <w:lang w:val="fr-FR"/>
              </w:rPr>
              <w:t>-</w:t>
            </w:r>
            <w:r w:rsidR="00873313">
              <w:rPr>
                <w:b/>
                <w:bCs/>
                <w:sz w:val="26"/>
                <w:szCs w:val="26"/>
                <w:lang w:val="fr-FR"/>
              </w:rPr>
              <w:t>2</w:t>
            </w:r>
            <w:r w:rsidR="00930514">
              <w:rPr>
                <w:b/>
                <w:bCs/>
                <w:sz w:val="26"/>
                <w:szCs w:val="26"/>
                <w:lang w:val="fr-FR"/>
              </w:rPr>
              <w:t>3</w:t>
            </w:r>
            <w:r w:rsidR="00873313">
              <w:rPr>
                <w:b/>
                <w:bCs/>
                <w:sz w:val="26"/>
                <w:szCs w:val="26"/>
                <w:lang w:val="fr-FR"/>
              </w:rPr>
              <w:t xml:space="preserve"> mai</w:t>
            </w:r>
            <w:r w:rsidRPr="00A66C4C">
              <w:rPr>
                <w:b/>
                <w:bCs/>
                <w:sz w:val="26"/>
                <w:szCs w:val="26"/>
                <w:lang w:val="fr-FR"/>
              </w:rPr>
              <w:t xml:space="preserve"> 202</w:t>
            </w:r>
            <w:r w:rsidR="00873313">
              <w:rPr>
                <w:b/>
                <w:bCs/>
                <w:sz w:val="26"/>
                <w:szCs w:val="26"/>
                <w:lang w:val="fr-FR"/>
              </w:rPr>
              <w:t>4</w:t>
            </w:r>
          </w:p>
        </w:tc>
        <w:tc>
          <w:tcPr>
            <w:tcW w:w="3509" w:type="dxa"/>
          </w:tcPr>
          <w:p w14:paraId="67E7B4C4" w14:textId="0F52E4CC" w:rsidR="00307769" w:rsidRPr="00A66C4C" w:rsidRDefault="00307769" w:rsidP="00952667">
            <w:pPr>
              <w:spacing w:after="120"/>
              <w:ind w:right="142"/>
              <w:jc w:val="right"/>
              <w:rPr>
                <w:lang w:val="fr-FR"/>
              </w:rPr>
            </w:pPr>
            <w:r w:rsidRPr="00A66C4C">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66C4C" w14:paraId="3C13197B" w14:textId="77777777" w:rsidTr="0009076F">
        <w:trPr>
          <w:cantSplit/>
        </w:trPr>
        <w:tc>
          <w:tcPr>
            <w:tcW w:w="6379" w:type="dxa"/>
            <w:tcBorders>
              <w:top w:val="single" w:sz="12" w:space="0" w:color="auto"/>
            </w:tcBorders>
          </w:tcPr>
          <w:p w14:paraId="2EED9DB2" w14:textId="77777777" w:rsidR="00683C32" w:rsidRPr="00A66C4C"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A66C4C" w:rsidRDefault="00683C32" w:rsidP="00107E85">
            <w:pPr>
              <w:spacing w:before="0"/>
              <w:rPr>
                <w:b/>
                <w:bCs/>
                <w:sz w:val="20"/>
                <w:lang w:val="fr-FR"/>
              </w:rPr>
            </w:pPr>
          </w:p>
        </w:tc>
      </w:tr>
      <w:tr w:rsidR="00683C32" w:rsidRPr="00A66C4C" w14:paraId="0BB3FBC4" w14:textId="77777777" w:rsidTr="0009076F">
        <w:trPr>
          <w:cantSplit/>
        </w:trPr>
        <w:tc>
          <w:tcPr>
            <w:tcW w:w="6379" w:type="dxa"/>
          </w:tcPr>
          <w:p w14:paraId="43C54B3D" w14:textId="77777777" w:rsidR="00683C32" w:rsidRPr="00A66C4C" w:rsidRDefault="00683C32" w:rsidP="00400CCF">
            <w:pPr>
              <w:pStyle w:val="Committee"/>
              <w:spacing w:before="0"/>
              <w:rPr>
                <w:b w:val="0"/>
                <w:szCs w:val="24"/>
                <w:lang w:val="fr-FR"/>
              </w:rPr>
            </w:pPr>
          </w:p>
        </w:tc>
        <w:tc>
          <w:tcPr>
            <w:tcW w:w="3509" w:type="dxa"/>
          </w:tcPr>
          <w:p w14:paraId="02E44EE9" w14:textId="592713B6" w:rsidR="00683C32" w:rsidRPr="00A66C4C" w:rsidRDefault="0096201B" w:rsidP="00E25345">
            <w:pPr>
              <w:spacing w:before="0"/>
              <w:jc w:val="both"/>
              <w:rPr>
                <w:bCs/>
                <w:szCs w:val="24"/>
                <w:lang w:val="fr-FR"/>
              </w:rPr>
            </w:pPr>
            <w:r w:rsidRPr="00A66C4C">
              <w:rPr>
                <w:b/>
                <w:bCs/>
                <w:lang w:val="fr-FR"/>
              </w:rPr>
              <w:t xml:space="preserve">Document </w:t>
            </w:r>
            <w:bookmarkStart w:id="0" w:name="DocRef1"/>
            <w:bookmarkEnd w:id="0"/>
            <w:r w:rsidRPr="00A66C4C">
              <w:rPr>
                <w:b/>
                <w:bCs/>
                <w:lang w:val="fr-FR"/>
              </w:rPr>
              <w:t>TDAG</w:t>
            </w:r>
            <w:r w:rsidR="003242AB" w:rsidRPr="00A66C4C">
              <w:rPr>
                <w:b/>
                <w:bCs/>
                <w:lang w:val="fr-FR"/>
              </w:rPr>
              <w:t>-</w:t>
            </w:r>
            <w:r w:rsidR="00B648C7" w:rsidRPr="00A66C4C">
              <w:rPr>
                <w:b/>
                <w:bCs/>
                <w:lang w:val="fr-FR"/>
              </w:rPr>
              <w:t>2</w:t>
            </w:r>
            <w:bookmarkStart w:id="1" w:name="DocNo1"/>
            <w:bookmarkEnd w:id="1"/>
            <w:r w:rsidR="00873313">
              <w:rPr>
                <w:b/>
                <w:bCs/>
                <w:lang w:val="fr-FR"/>
              </w:rPr>
              <w:t>4</w:t>
            </w:r>
            <w:r w:rsidR="0009076F" w:rsidRPr="00A66C4C">
              <w:rPr>
                <w:b/>
                <w:bCs/>
                <w:lang w:val="fr-FR"/>
              </w:rPr>
              <w:t>/</w:t>
            </w:r>
            <w:r w:rsidR="003D5506">
              <w:rPr>
                <w:b/>
                <w:bCs/>
                <w:lang w:val="fr-FR"/>
              </w:rPr>
              <w:t>28</w:t>
            </w:r>
            <w:r w:rsidRPr="00A66C4C">
              <w:rPr>
                <w:b/>
                <w:bCs/>
                <w:lang w:val="fr-FR"/>
              </w:rPr>
              <w:t>-</w:t>
            </w:r>
            <w:r w:rsidR="00E25345" w:rsidRPr="00A66C4C">
              <w:rPr>
                <w:b/>
                <w:bCs/>
                <w:lang w:val="fr-FR"/>
              </w:rPr>
              <w:t>F</w:t>
            </w:r>
          </w:p>
        </w:tc>
      </w:tr>
      <w:tr w:rsidR="00683C32" w:rsidRPr="00A66C4C" w14:paraId="24D04936" w14:textId="77777777" w:rsidTr="0009076F">
        <w:trPr>
          <w:cantSplit/>
        </w:trPr>
        <w:tc>
          <w:tcPr>
            <w:tcW w:w="6379" w:type="dxa"/>
          </w:tcPr>
          <w:p w14:paraId="12CE4DBF" w14:textId="77777777" w:rsidR="00683C32" w:rsidRPr="00A66C4C" w:rsidRDefault="00683C32" w:rsidP="00400CCF">
            <w:pPr>
              <w:spacing w:before="0"/>
              <w:rPr>
                <w:b/>
                <w:bCs/>
                <w:smallCaps/>
                <w:szCs w:val="24"/>
                <w:lang w:val="fr-FR"/>
              </w:rPr>
            </w:pPr>
          </w:p>
        </w:tc>
        <w:tc>
          <w:tcPr>
            <w:tcW w:w="3509" w:type="dxa"/>
          </w:tcPr>
          <w:p w14:paraId="0F89640F" w14:textId="7ACF04DB" w:rsidR="00683C32" w:rsidRPr="00A66C4C" w:rsidRDefault="003D5506" w:rsidP="00B648C7">
            <w:pPr>
              <w:spacing w:before="0"/>
              <w:rPr>
                <w:b/>
                <w:szCs w:val="24"/>
                <w:lang w:val="fr-FR"/>
              </w:rPr>
            </w:pPr>
            <w:bookmarkStart w:id="2" w:name="CreationDate"/>
            <w:bookmarkEnd w:id="2"/>
            <w:r>
              <w:rPr>
                <w:b/>
                <w:bCs/>
                <w:szCs w:val="28"/>
                <w:lang w:val="fr-FR"/>
              </w:rPr>
              <w:t>14 avril 2024</w:t>
            </w:r>
          </w:p>
        </w:tc>
      </w:tr>
      <w:tr w:rsidR="00683C32" w:rsidRPr="00A66C4C" w14:paraId="7B96545F" w14:textId="77777777" w:rsidTr="0009076F">
        <w:trPr>
          <w:cantSplit/>
        </w:trPr>
        <w:tc>
          <w:tcPr>
            <w:tcW w:w="6379" w:type="dxa"/>
          </w:tcPr>
          <w:p w14:paraId="65956FD3" w14:textId="77777777" w:rsidR="00683C32" w:rsidRPr="00A66C4C" w:rsidRDefault="00683C32" w:rsidP="00400CCF">
            <w:pPr>
              <w:spacing w:before="0"/>
              <w:rPr>
                <w:b/>
                <w:bCs/>
                <w:smallCaps/>
                <w:szCs w:val="24"/>
                <w:lang w:val="fr-FR"/>
              </w:rPr>
            </w:pPr>
          </w:p>
        </w:tc>
        <w:tc>
          <w:tcPr>
            <w:tcW w:w="3509" w:type="dxa"/>
          </w:tcPr>
          <w:p w14:paraId="30EFD39F" w14:textId="75207117" w:rsidR="00514D2F" w:rsidRPr="00A66C4C" w:rsidRDefault="003D5506" w:rsidP="001011EB">
            <w:pPr>
              <w:spacing w:before="0"/>
              <w:rPr>
                <w:szCs w:val="24"/>
                <w:lang w:val="fr-FR"/>
              </w:rPr>
            </w:pPr>
            <w:r>
              <w:rPr>
                <w:b/>
                <w:lang w:val="fr-FR"/>
              </w:rPr>
              <w:t>Français seulement</w:t>
            </w:r>
          </w:p>
        </w:tc>
      </w:tr>
      <w:tr w:rsidR="00A13162" w:rsidRPr="00A66C4C" w14:paraId="31656E31" w14:textId="77777777" w:rsidTr="00107E85">
        <w:trPr>
          <w:cantSplit/>
          <w:trHeight w:val="852"/>
        </w:trPr>
        <w:tc>
          <w:tcPr>
            <w:tcW w:w="9888" w:type="dxa"/>
            <w:gridSpan w:val="2"/>
          </w:tcPr>
          <w:p w14:paraId="512FCA01" w14:textId="35B24856" w:rsidR="00A13162" w:rsidRPr="00A66C4C" w:rsidRDefault="003D5506" w:rsidP="0030353C">
            <w:pPr>
              <w:pStyle w:val="Source"/>
              <w:rPr>
                <w:lang w:val="fr-FR"/>
              </w:rPr>
            </w:pPr>
            <w:bookmarkStart w:id="3" w:name="Source"/>
            <w:bookmarkEnd w:id="3"/>
            <w:r>
              <w:rPr>
                <w:lang w:val="fr-FR"/>
              </w:rPr>
              <w:t>Comores</w:t>
            </w:r>
          </w:p>
        </w:tc>
      </w:tr>
      <w:tr w:rsidR="00AC6F14" w:rsidRPr="009E3CCA" w14:paraId="2CBD3A36" w14:textId="77777777" w:rsidTr="00107E85">
        <w:trPr>
          <w:cantSplit/>
        </w:trPr>
        <w:tc>
          <w:tcPr>
            <w:tcW w:w="9888" w:type="dxa"/>
            <w:gridSpan w:val="2"/>
          </w:tcPr>
          <w:p w14:paraId="1B4121DF" w14:textId="6D08D983" w:rsidR="00AC6F14" w:rsidRPr="00A66C4C" w:rsidRDefault="00703CE5" w:rsidP="001011EB">
            <w:pPr>
              <w:pStyle w:val="Title1"/>
              <w:rPr>
                <w:lang w:val="fr-FR"/>
              </w:rPr>
            </w:pPr>
            <w:bookmarkStart w:id="4" w:name="Title"/>
            <w:bookmarkEnd w:id="4"/>
            <w:r>
              <w:rPr>
                <w:lang w:val="fr-FR"/>
              </w:rPr>
              <w:t>L</w:t>
            </w:r>
            <w:r w:rsidRPr="00703CE5">
              <w:rPr>
                <w:lang w:val="fr-FR"/>
              </w:rPr>
              <w:t xml:space="preserve">e régulateur comorien met en pratique des actions en faveur </w:t>
            </w:r>
            <w:r>
              <w:rPr>
                <w:lang w:val="fr-FR"/>
              </w:rPr>
              <w:t xml:space="preserve">de </w:t>
            </w:r>
            <w:r w:rsidRPr="00703CE5">
              <w:rPr>
                <w:lang w:val="fr-FR"/>
              </w:rPr>
              <w:t>la transformation numérique durable par le contrôle des énergies et les études d’impact sur les sites des télécommunications</w:t>
            </w:r>
          </w:p>
        </w:tc>
      </w:tr>
      <w:tr w:rsidR="00A721F4" w:rsidRPr="009E3CCA" w14:paraId="23A30231" w14:textId="77777777" w:rsidTr="00A721F4">
        <w:trPr>
          <w:cantSplit/>
        </w:trPr>
        <w:tc>
          <w:tcPr>
            <w:tcW w:w="9888" w:type="dxa"/>
            <w:gridSpan w:val="2"/>
            <w:tcBorders>
              <w:bottom w:val="single" w:sz="4" w:space="0" w:color="auto"/>
            </w:tcBorders>
          </w:tcPr>
          <w:p w14:paraId="726EE70E" w14:textId="77777777" w:rsidR="00A721F4" w:rsidRPr="00A66C4C" w:rsidRDefault="00A721F4" w:rsidP="0030353C">
            <w:pPr>
              <w:rPr>
                <w:lang w:val="fr-FR"/>
              </w:rPr>
            </w:pPr>
          </w:p>
        </w:tc>
      </w:tr>
      <w:tr w:rsidR="00A721F4" w:rsidRPr="00A66C4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66C4C" w:rsidRDefault="001011EB" w:rsidP="00EA0C51">
            <w:pPr>
              <w:spacing w:after="120"/>
              <w:rPr>
                <w:b/>
                <w:bCs/>
                <w:szCs w:val="24"/>
                <w:lang w:val="fr-FR"/>
              </w:rPr>
            </w:pPr>
            <w:proofErr w:type="gramStart"/>
            <w:r w:rsidRPr="00A66C4C">
              <w:rPr>
                <w:b/>
                <w:bCs/>
                <w:szCs w:val="24"/>
                <w:lang w:val="fr-FR"/>
              </w:rPr>
              <w:t>Résumé</w:t>
            </w:r>
            <w:r w:rsidR="00A721F4" w:rsidRPr="00A66C4C">
              <w:rPr>
                <w:b/>
                <w:bCs/>
                <w:szCs w:val="24"/>
                <w:lang w:val="fr-FR"/>
              </w:rPr>
              <w:t>:</w:t>
            </w:r>
            <w:proofErr w:type="gramEnd"/>
          </w:p>
          <w:p w14:paraId="10A640F8" w14:textId="60816CEE" w:rsidR="00722292" w:rsidRDefault="00722292" w:rsidP="00EA0C51">
            <w:pPr>
              <w:spacing w:after="120"/>
              <w:rPr>
                <w:lang w:val="fr-FR"/>
              </w:rPr>
            </w:pPr>
            <w:r w:rsidRPr="00722292">
              <w:rPr>
                <w:lang w:val="fr-FR"/>
              </w:rPr>
              <w:t>Mettre en pratique des actions en faveur d’une transformation numérique durable et qui tendent vers la réalisation des ODD à l’horizon 2030, particulièrement ceux liés à la question environnementale, tel est l’un des objectifs du régulateur comorien. Il s’inspire aussi bien des résolutions et recommandations de l’UIT que des textes règlementaires et législatifs nationaux. Cette volonté de s’aligner à une transformation numérique durable, se traduit par un début de contrôle des énergies utilisées par les opérateurs et l’homologation des sites de télécommunications.</w:t>
            </w:r>
          </w:p>
          <w:p w14:paraId="76A1C541" w14:textId="714C214B" w:rsidR="00A721F4" w:rsidRPr="00A66C4C" w:rsidRDefault="001011EB" w:rsidP="00EA0C51">
            <w:pPr>
              <w:spacing w:after="120"/>
              <w:rPr>
                <w:b/>
                <w:bCs/>
                <w:szCs w:val="24"/>
                <w:lang w:val="fr-FR"/>
              </w:rPr>
            </w:pPr>
            <w:r w:rsidRPr="00A66C4C">
              <w:rPr>
                <w:b/>
                <w:bCs/>
                <w:lang w:val="fr-FR"/>
              </w:rPr>
              <w:t xml:space="preserve">Suite à </w:t>
            </w:r>
            <w:proofErr w:type="gramStart"/>
            <w:r w:rsidRPr="00A66C4C">
              <w:rPr>
                <w:b/>
                <w:bCs/>
                <w:lang w:val="fr-FR"/>
              </w:rPr>
              <w:t>donner</w:t>
            </w:r>
            <w:r w:rsidR="00A721F4" w:rsidRPr="00A66C4C">
              <w:rPr>
                <w:b/>
                <w:bCs/>
                <w:lang w:val="fr-FR"/>
              </w:rPr>
              <w:t>:</w:t>
            </w:r>
            <w:proofErr w:type="gramEnd"/>
          </w:p>
          <w:p w14:paraId="4DDBC53E" w14:textId="77777777" w:rsidR="00663428" w:rsidRDefault="00663428" w:rsidP="00EA0C51">
            <w:pPr>
              <w:spacing w:after="120"/>
              <w:rPr>
                <w:lang w:val="fr-FR"/>
              </w:rPr>
            </w:pPr>
            <w:r w:rsidRPr="00663428">
              <w:rPr>
                <w:lang w:val="fr-FR"/>
              </w:rPr>
              <w:t>Le GCDT est invité à prendre note du présent document et à fournir les indications qu'il jugera utiles.</w:t>
            </w:r>
          </w:p>
          <w:p w14:paraId="622ACB80" w14:textId="793DAB26" w:rsidR="00A721F4" w:rsidRPr="00A66C4C" w:rsidRDefault="00A721F4" w:rsidP="00EA0C51">
            <w:pPr>
              <w:spacing w:after="120"/>
              <w:rPr>
                <w:b/>
                <w:bCs/>
                <w:szCs w:val="24"/>
                <w:lang w:val="fr-FR"/>
              </w:rPr>
            </w:pPr>
            <w:proofErr w:type="gramStart"/>
            <w:r w:rsidRPr="00A66C4C">
              <w:rPr>
                <w:b/>
                <w:bCs/>
                <w:szCs w:val="24"/>
                <w:lang w:val="fr-FR"/>
              </w:rPr>
              <w:t>R</w:t>
            </w:r>
            <w:r w:rsidR="001011EB" w:rsidRPr="00A66C4C">
              <w:rPr>
                <w:b/>
                <w:bCs/>
                <w:szCs w:val="24"/>
                <w:lang w:val="fr-FR"/>
              </w:rPr>
              <w:t>é</w:t>
            </w:r>
            <w:r w:rsidRPr="00A66C4C">
              <w:rPr>
                <w:b/>
                <w:bCs/>
                <w:szCs w:val="24"/>
                <w:lang w:val="fr-FR"/>
              </w:rPr>
              <w:t>f</w:t>
            </w:r>
            <w:r w:rsidR="001011EB" w:rsidRPr="00A66C4C">
              <w:rPr>
                <w:b/>
                <w:bCs/>
                <w:szCs w:val="24"/>
                <w:lang w:val="fr-FR"/>
              </w:rPr>
              <w:t>é</w:t>
            </w:r>
            <w:r w:rsidRPr="00A66C4C">
              <w:rPr>
                <w:b/>
                <w:bCs/>
                <w:szCs w:val="24"/>
                <w:lang w:val="fr-FR"/>
              </w:rPr>
              <w:t>rences:</w:t>
            </w:r>
            <w:proofErr w:type="gramEnd"/>
          </w:p>
          <w:p w14:paraId="1ECDD20E" w14:textId="69148A65" w:rsidR="00A721F4" w:rsidRPr="00A66C4C" w:rsidRDefault="003E26B0" w:rsidP="00EA0C51">
            <w:pPr>
              <w:spacing w:after="120"/>
              <w:rPr>
                <w:lang w:val="fr-FR"/>
              </w:rPr>
            </w:pPr>
            <w:proofErr w:type="gramStart"/>
            <w:r>
              <w:rPr>
                <w:lang w:val="fr-FR"/>
              </w:rPr>
              <w:t>n</w:t>
            </w:r>
            <w:proofErr w:type="gramEnd"/>
            <w:r>
              <w:rPr>
                <w:lang w:val="fr-FR"/>
              </w:rPr>
              <w:t>/a</w:t>
            </w:r>
          </w:p>
        </w:tc>
      </w:tr>
    </w:tbl>
    <w:p w14:paraId="77CF718B" w14:textId="77777777" w:rsidR="00AC6F14" w:rsidRPr="00A66C4C" w:rsidRDefault="00AC6F14" w:rsidP="00EA0C51">
      <w:pPr>
        <w:spacing w:after="120"/>
        <w:rPr>
          <w:lang w:val="fr-FR"/>
        </w:rPr>
      </w:pPr>
    </w:p>
    <w:p w14:paraId="72F5CF96" w14:textId="77777777" w:rsidR="00923CF1" w:rsidRPr="00A66C4C" w:rsidRDefault="00923CF1" w:rsidP="00935FF0">
      <w:pPr>
        <w:rPr>
          <w:lang w:val="fr-FR"/>
        </w:rPr>
      </w:pPr>
    </w:p>
    <w:p w14:paraId="5B29B2A3" w14:textId="77777777" w:rsidR="00923CF1" w:rsidRPr="00A66C4C" w:rsidRDefault="00923CF1">
      <w:pPr>
        <w:tabs>
          <w:tab w:val="clear" w:pos="794"/>
          <w:tab w:val="clear" w:pos="1191"/>
          <w:tab w:val="clear" w:pos="1588"/>
          <w:tab w:val="clear" w:pos="1985"/>
        </w:tabs>
        <w:overflowPunct/>
        <w:autoSpaceDE/>
        <w:autoSpaceDN/>
        <w:adjustRightInd/>
        <w:spacing w:before="0"/>
        <w:textAlignment w:val="auto"/>
        <w:rPr>
          <w:lang w:val="fr-FR"/>
        </w:rPr>
      </w:pPr>
      <w:r w:rsidRPr="00A66C4C">
        <w:rPr>
          <w:lang w:val="fr-FR"/>
        </w:rPr>
        <w:br w:type="page"/>
      </w:r>
    </w:p>
    <w:p w14:paraId="09669F71" w14:textId="287D27D9" w:rsidR="0041688D" w:rsidRPr="006C059C" w:rsidRDefault="0041688D" w:rsidP="00650B27">
      <w:pPr>
        <w:keepNext/>
        <w:keepLines/>
        <w:spacing w:after="120"/>
        <w:rPr>
          <w:rFonts w:cstheme="minorHAnsi"/>
          <w:b/>
          <w:szCs w:val="24"/>
          <w:lang w:val="fr-FR"/>
        </w:rPr>
      </w:pPr>
      <w:r w:rsidRPr="006C059C">
        <w:rPr>
          <w:rFonts w:cstheme="minorHAnsi"/>
          <w:b/>
          <w:szCs w:val="24"/>
          <w:lang w:val="fr-FR"/>
        </w:rPr>
        <w:lastRenderedPageBreak/>
        <w:t>I</w:t>
      </w:r>
      <w:r w:rsidR="00650B27">
        <w:rPr>
          <w:rFonts w:cstheme="minorHAnsi"/>
          <w:b/>
          <w:szCs w:val="24"/>
          <w:lang w:val="fr-FR"/>
        </w:rPr>
        <w:t>ntroduction</w:t>
      </w:r>
    </w:p>
    <w:p w14:paraId="40FF5F75" w14:textId="07744A21" w:rsidR="0041688D" w:rsidRPr="006C059C" w:rsidRDefault="0041688D" w:rsidP="006C059C">
      <w:pPr>
        <w:spacing w:after="120"/>
        <w:rPr>
          <w:rFonts w:cstheme="minorHAnsi"/>
          <w:szCs w:val="24"/>
          <w:lang w:val="fr-FR"/>
        </w:rPr>
      </w:pPr>
      <w:r w:rsidRPr="006C059C">
        <w:rPr>
          <w:rFonts w:cstheme="minorHAnsi"/>
          <w:szCs w:val="24"/>
          <w:lang w:val="fr-FR"/>
        </w:rPr>
        <w:t>Aujourd’hui, la question environnementale occupe une place prépondérante dans les milieux</w:t>
      </w:r>
      <w:r w:rsidRPr="006C059C">
        <w:rPr>
          <w:rFonts w:cstheme="minorHAnsi"/>
          <w:color w:val="FF0000"/>
          <w:szCs w:val="24"/>
          <w:lang w:val="fr-FR"/>
        </w:rPr>
        <w:t xml:space="preserve"> </w:t>
      </w:r>
      <w:r w:rsidRPr="006C059C">
        <w:rPr>
          <w:rFonts w:cstheme="minorHAnsi"/>
          <w:szCs w:val="24"/>
          <w:lang w:val="fr-FR"/>
        </w:rPr>
        <w:t>scientifiques, économiques et sociaux et suscite des débats profonds, y compris dans le domaine des technologies de l’information et de la communication.</w:t>
      </w:r>
      <w:r w:rsidR="00650B27">
        <w:rPr>
          <w:rFonts w:cstheme="minorHAnsi"/>
          <w:szCs w:val="24"/>
          <w:lang w:val="fr-FR"/>
        </w:rPr>
        <w:t xml:space="preserve"> S</w:t>
      </w:r>
      <w:r w:rsidRPr="006C059C">
        <w:rPr>
          <w:rFonts w:cstheme="minorHAnsi"/>
          <w:szCs w:val="24"/>
          <w:lang w:val="fr-FR"/>
        </w:rPr>
        <w:t>elon des sources dignes de confiance, le « </w:t>
      </w:r>
      <w:r w:rsidRPr="006C059C">
        <w:rPr>
          <w:rFonts w:cstheme="minorHAnsi"/>
          <w:i/>
          <w:szCs w:val="24"/>
          <w:lang w:val="fr-FR"/>
        </w:rPr>
        <w:t>numérique représenterait entre 3 à 4% des émissions des gaz à effet de serre (GES) dans le monde »</w:t>
      </w:r>
      <w:r w:rsidRPr="00C52CC3">
        <w:rPr>
          <w:rStyle w:val="FootnoteReference"/>
          <w:rFonts w:cstheme="minorHAnsi"/>
          <w:szCs w:val="18"/>
        </w:rPr>
        <w:footnoteReference w:id="2"/>
      </w:r>
      <w:r w:rsidRPr="006C059C">
        <w:rPr>
          <w:rFonts w:cstheme="minorHAnsi"/>
          <w:szCs w:val="24"/>
          <w:lang w:val="fr-FR"/>
        </w:rPr>
        <w:t xml:space="preserve">. Au-delà de ce constat, on estime qu’il est également nécessaire d’éclairer le public </w:t>
      </w:r>
      <w:r w:rsidR="00711532">
        <w:rPr>
          <w:rFonts w:cstheme="minorHAnsi"/>
          <w:szCs w:val="24"/>
          <w:lang w:val="fr-FR"/>
        </w:rPr>
        <w:t>sur les</w:t>
      </w:r>
      <w:r w:rsidRPr="006C059C">
        <w:rPr>
          <w:rFonts w:cstheme="minorHAnsi"/>
          <w:szCs w:val="24"/>
          <w:lang w:val="fr-FR"/>
        </w:rPr>
        <w:t xml:space="preserve"> degrés d’expositions aux champs électromagnétiques produits par les réseaux de télécommunications, informer des limites d'exposition, se doter d’instrument</w:t>
      </w:r>
      <w:r w:rsidR="00711532">
        <w:rPr>
          <w:rFonts w:cstheme="minorHAnsi"/>
          <w:szCs w:val="24"/>
          <w:lang w:val="fr-FR"/>
        </w:rPr>
        <w:t>s</w:t>
      </w:r>
      <w:r w:rsidRPr="006C059C">
        <w:rPr>
          <w:rFonts w:cstheme="minorHAnsi"/>
          <w:szCs w:val="24"/>
          <w:lang w:val="fr-FR"/>
        </w:rPr>
        <w:t xml:space="preserve"> de leur évaluation et renseigner sur leurs effets éventuels. </w:t>
      </w:r>
    </w:p>
    <w:p w14:paraId="1FFDE831" w14:textId="0FF60881" w:rsidR="0041688D" w:rsidRPr="006C059C" w:rsidRDefault="0041688D" w:rsidP="006C059C">
      <w:pPr>
        <w:spacing w:after="120"/>
        <w:rPr>
          <w:rFonts w:cstheme="minorHAnsi"/>
          <w:szCs w:val="24"/>
          <w:lang w:val="fr-FR"/>
        </w:rPr>
      </w:pPr>
      <w:r w:rsidRPr="006C059C">
        <w:rPr>
          <w:rFonts w:cstheme="minorHAnsi"/>
          <w:szCs w:val="24"/>
          <w:lang w:val="fr-FR"/>
        </w:rPr>
        <w:t xml:space="preserve">Pour une meilleure connectivité, pour </w:t>
      </w:r>
      <w:r w:rsidR="00711532">
        <w:rPr>
          <w:rFonts w:cstheme="minorHAnsi"/>
          <w:szCs w:val="24"/>
          <w:lang w:val="fr-FR"/>
        </w:rPr>
        <w:t xml:space="preserve">un </w:t>
      </w:r>
      <w:r w:rsidRPr="006C059C">
        <w:rPr>
          <w:rFonts w:cstheme="minorHAnsi"/>
          <w:szCs w:val="24"/>
          <w:lang w:val="fr-FR"/>
        </w:rPr>
        <w:t xml:space="preserve">plus haut débit et davantage de personnes connectées à travers le monde, la cadence des innovations au profit des populations est presque sans fin. Toutefois, la vigilance </w:t>
      </w:r>
      <w:r w:rsidR="00711532">
        <w:rPr>
          <w:rFonts w:cstheme="minorHAnsi"/>
          <w:szCs w:val="24"/>
          <w:lang w:val="fr-FR"/>
        </w:rPr>
        <w:t>sur l</w:t>
      </w:r>
      <w:r w:rsidRPr="006C059C">
        <w:rPr>
          <w:rFonts w:cstheme="minorHAnsi"/>
          <w:szCs w:val="24"/>
          <w:lang w:val="fr-FR"/>
        </w:rPr>
        <w:t>es effets de</w:t>
      </w:r>
      <w:r w:rsidR="00EC5BCD">
        <w:rPr>
          <w:rFonts w:cstheme="minorHAnsi"/>
          <w:szCs w:val="24"/>
          <w:lang w:val="fr-FR"/>
        </w:rPr>
        <w:t>s</w:t>
      </w:r>
      <w:r w:rsidRPr="006C059C">
        <w:rPr>
          <w:rFonts w:cstheme="minorHAnsi"/>
          <w:szCs w:val="24"/>
          <w:lang w:val="fr-FR"/>
        </w:rPr>
        <w:t xml:space="preserve"> réseaux des télécommunications, des équipements et des terminaux énergivores, est à examiner de près. Dans le même temps et incontestablement, les TIC servent d’accélérateur pour atteindre certains des objectifs de développement durable (ODD) à l’horizon 2030, notamment ceux liés aux questions environnementales et du climat. </w:t>
      </w:r>
    </w:p>
    <w:p w14:paraId="6AC16DB9" w14:textId="77777777" w:rsidR="0041688D" w:rsidRPr="006C059C" w:rsidRDefault="0041688D" w:rsidP="006C059C">
      <w:pPr>
        <w:spacing w:after="120"/>
        <w:rPr>
          <w:rFonts w:cstheme="minorHAnsi"/>
          <w:szCs w:val="24"/>
          <w:lang w:val="fr-FR"/>
        </w:rPr>
      </w:pPr>
      <w:r w:rsidRPr="006C059C">
        <w:rPr>
          <w:rFonts w:cstheme="minorHAnsi"/>
          <w:szCs w:val="24"/>
          <w:lang w:val="fr-FR"/>
        </w:rPr>
        <w:t xml:space="preserve">L'UIT, conscient de sa position de leader mondial dans la production des normes et la promotion des TIC, promeut activement la réalisation des ODD à travers ses travaux, en les intégrant dans ses stratégies, en alignant ses activités et ses actions en conséquence. L’UIT contribue directement à la mise en œuvre des objectifs 7, 12 et 13 sur les 17 prévus par les Nations Unies. </w:t>
      </w:r>
    </w:p>
    <w:p w14:paraId="199B4ED1" w14:textId="3FC28829" w:rsidR="0041688D" w:rsidRPr="006C059C" w:rsidRDefault="0041688D" w:rsidP="006C059C">
      <w:pPr>
        <w:spacing w:after="120"/>
        <w:rPr>
          <w:rFonts w:cstheme="minorHAnsi"/>
          <w:i/>
          <w:szCs w:val="24"/>
          <w:lang w:val="fr-FR"/>
        </w:rPr>
      </w:pPr>
      <w:r w:rsidRPr="006C059C">
        <w:rPr>
          <w:rFonts w:cstheme="minorHAnsi"/>
          <w:szCs w:val="24"/>
          <w:lang w:val="fr-FR"/>
        </w:rPr>
        <w:t>Au niveau stratégique, l’</w:t>
      </w:r>
      <w:r w:rsidR="00EC5BCD">
        <w:rPr>
          <w:rFonts w:cstheme="minorHAnsi"/>
          <w:szCs w:val="24"/>
          <w:lang w:val="fr-FR"/>
        </w:rPr>
        <w:t>UIT</w:t>
      </w:r>
      <w:r w:rsidRPr="006C059C">
        <w:rPr>
          <w:rFonts w:cstheme="minorHAnsi"/>
          <w:szCs w:val="24"/>
          <w:lang w:val="fr-FR"/>
        </w:rPr>
        <w:t xml:space="preserve"> inscrit comme but, les efforts à déployer </w:t>
      </w:r>
      <w:r w:rsidRPr="006C059C">
        <w:rPr>
          <w:rFonts w:cstheme="minorHAnsi"/>
          <w:i/>
          <w:szCs w:val="24"/>
          <w:lang w:val="fr-FR"/>
        </w:rPr>
        <w:t>« pour faire face à la double crise climatique et environnementale et favoriser</w:t>
      </w:r>
      <w:r w:rsidR="00650B27">
        <w:rPr>
          <w:rFonts w:cstheme="minorHAnsi"/>
          <w:i/>
          <w:szCs w:val="24"/>
          <w:lang w:val="fr-FR"/>
        </w:rPr>
        <w:t>…</w:t>
      </w:r>
      <w:r w:rsidRPr="006C059C">
        <w:rPr>
          <w:rFonts w:cstheme="minorHAnsi"/>
          <w:i/>
          <w:szCs w:val="24"/>
          <w:lang w:val="fr-FR"/>
        </w:rPr>
        <w:t>, l'exploration durable de la Terre, de l'espace et l'utilisation des ressources qui s'y rattachent, au profit de tous »</w:t>
      </w:r>
      <w:r w:rsidRPr="006C059C">
        <w:rPr>
          <w:rStyle w:val="FootnoteReference"/>
          <w:rFonts w:cstheme="minorHAnsi"/>
          <w:i/>
          <w:szCs w:val="18"/>
        </w:rPr>
        <w:footnoteReference w:id="3"/>
      </w:r>
      <w:r w:rsidRPr="006C059C">
        <w:rPr>
          <w:rFonts w:cstheme="minorHAnsi"/>
          <w:i/>
          <w:szCs w:val="24"/>
          <w:lang w:val="fr-FR"/>
        </w:rPr>
        <w:t xml:space="preserve">. </w:t>
      </w:r>
    </w:p>
    <w:p w14:paraId="762B5E05" w14:textId="2D1CDBA2" w:rsidR="0041688D" w:rsidRPr="006C059C" w:rsidRDefault="0041688D" w:rsidP="006C059C">
      <w:pPr>
        <w:spacing w:after="120"/>
        <w:rPr>
          <w:rFonts w:cstheme="minorHAnsi"/>
          <w:szCs w:val="24"/>
          <w:lang w:val="fr-FR"/>
        </w:rPr>
      </w:pPr>
      <w:r w:rsidRPr="006C059C">
        <w:rPr>
          <w:rFonts w:cstheme="minorHAnsi"/>
          <w:szCs w:val="24"/>
          <w:lang w:val="fr-FR"/>
        </w:rPr>
        <w:t xml:space="preserve">Ce dont il est question dans la présente contribution, c’est la déclinaison de l’objectif 7, se traduisant par « La garantie de l'accès de tous à des services énergétiques fiables, durables et modernes, à un coût abordable ». </w:t>
      </w:r>
      <w:r w:rsidRPr="006C059C">
        <w:rPr>
          <w:rFonts w:cstheme="minorHAnsi"/>
          <w:color w:val="000000" w:themeColor="text1"/>
          <w:szCs w:val="24"/>
          <w:lang w:val="fr-FR"/>
        </w:rPr>
        <w:t>L’</w:t>
      </w:r>
      <w:r w:rsidR="00EC5BCD">
        <w:rPr>
          <w:rFonts w:cstheme="minorHAnsi"/>
          <w:color w:val="000000" w:themeColor="text1"/>
          <w:szCs w:val="24"/>
          <w:lang w:val="fr-FR"/>
        </w:rPr>
        <w:t>UIT</w:t>
      </w:r>
      <w:r w:rsidRPr="006C059C">
        <w:rPr>
          <w:rFonts w:cstheme="minorHAnsi"/>
          <w:color w:val="000000" w:themeColor="text1"/>
          <w:szCs w:val="24"/>
          <w:lang w:val="fr-FR"/>
        </w:rPr>
        <w:t xml:space="preserve">-D s’emploie particulièrement à la mise en œuvre de la cible 7.b de l’ODD 7 </w:t>
      </w:r>
      <w:r w:rsidRPr="006C059C">
        <w:rPr>
          <w:rFonts w:cstheme="minorHAnsi"/>
          <w:i/>
          <w:color w:val="000000" w:themeColor="text1"/>
          <w:szCs w:val="24"/>
          <w:lang w:val="fr-FR"/>
        </w:rPr>
        <w:t>« </w:t>
      </w:r>
      <w:r w:rsidRPr="006C059C">
        <w:rPr>
          <w:rFonts w:cstheme="minorHAnsi"/>
          <w:bCs/>
          <w:i/>
          <w:color w:val="000000" w:themeColor="text1"/>
          <w:szCs w:val="24"/>
          <w:lang w:val="fr-FR"/>
        </w:rPr>
        <w:t>en aidant les pays à développer et mettre sur pied des télécentres écologiques qui permettront aux PMA, aux PEID et aux PDSL d'être connectés »</w:t>
      </w:r>
      <w:r w:rsidRPr="006C059C">
        <w:rPr>
          <w:rStyle w:val="FootnoteReference"/>
          <w:rFonts w:cstheme="minorHAnsi"/>
          <w:i/>
          <w:szCs w:val="18"/>
        </w:rPr>
        <w:footnoteReference w:id="4"/>
      </w:r>
      <w:r w:rsidRPr="006C059C">
        <w:rPr>
          <w:rFonts w:cstheme="minorHAnsi"/>
          <w:bCs/>
          <w:i/>
          <w:color w:val="000000" w:themeColor="text1"/>
          <w:szCs w:val="24"/>
          <w:lang w:val="fr-FR"/>
        </w:rPr>
        <w:t xml:space="preserve">. </w:t>
      </w:r>
    </w:p>
    <w:p w14:paraId="78C2EB8F" w14:textId="77777777" w:rsidR="0041688D" w:rsidRPr="006C059C" w:rsidRDefault="0041688D" w:rsidP="006C059C">
      <w:pPr>
        <w:spacing w:after="120"/>
        <w:rPr>
          <w:rFonts w:cstheme="minorHAnsi"/>
          <w:color w:val="000000" w:themeColor="text1"/>
          <w:szCs w:val="24"/>
          <w:lang w:val="fr-FR"/>
        </w:rPr>
      </w:pPr>
      <w:r w:rsidRPr="006C059C">
        <w:rPr>
          <w:rFonts w:cstheme="minorHAnsi"/>
          <w:color w:val="000000" w:themeColor="text1"/>
          <w:szCs w:val="24"/>
          <w:lang w:val="fr-FR"/>
        </w:rPr>
        <w:t xml:space="preserve">Pour participer à cet effort de surveillance des pratiques susceptibles de produire des impacts durables sur l’environnement, particulièrement, les expositions aux champs électromagnétiques et à l’approvisionnement énergétique par les opérateurs de réseaux (Comores Télécom et TELCO), le régulateur – ANRTIC s’inspire de plusieurs sources pour observer et minimiser lesdits impacts. Elle met en œuvre les dispositions de la loi-cadre comorien sur l’environnement (Loi N°94 -018 / AF portant loi cadre relative à l’environnement), du décret N°001 – 052 / CE du 19 avril 2001 relatif aux études d’impact sur l’environnement et les exigences inscrites aux cahiers de charges des opérateurs de réseaux de télécommunications. </w:t>
      </w:r>
    </w:p>
    <w:p w14:paraId="68D3D5FE" w14:textId="5B00A78D" w:rsidR="0041688D" w:rsidRPr="006C059C" w:rsidRDefault="00650B27" w:rsidP="00650B27">
      <w:pPr>
        <w:keepNext/>
        <w:keepLines/>
        <w:spacing w:after="120"/>
        <w:rPr>
          <w:rFonts w:cstheme="minorHAnsi"/>
          <w:b/>
          <w:color w:val="000000" w:themeColor="text1"/>
          <w:szCs w:val="24"/>
          <w:lang w:val="fr-FR"/>
        </w:rPr>
      </w:pPr>
      <w:r>
        <w:rPr>
          <w:rFonts w:cstheme="minorHAnsi"/>
          <w:b/>
          <w:color w:val="000000" w:themeColor="text1"/>
          <w:szCs w:val="24"/>
          <w:lang w:val="fr-FR"/>
        </w:rPr>
        <w:lastRenderedPageBreak/>
        <w:t xml:space="preserve">Surveillance des </w:t>
      </w:r>
      <w:r w:rsidR="007E1842">
        <w:rPr>
          <w:rFonts w:cstheme="minorHAnsi"/>
          <w:b/>
          <w:color w:val="000000" w:themeColor="text1"/>
          <w:szCs w:val="24"/>
          <w:lang w:val="fr-FR"/>
        </w:rPr>
        <w:t>énergies</w:t>
      </w:r>
      <w:r>
        <w:rPr>
          <w:rFonts w:cstheme="minorHAnsi"/>
          <w:b/>
          <w:color w:val="000000" w:themeColor="text1"/>
          <w:szCs w:val="24"/>
          <w:lang w:val="fr-FR"/>
        </w:rPr>
        <w:t xml:space="preserve"> utili</w:t>
      </w:r>
      <w:r w:rsidR="007E1842">
        <w:rPr>
          <w:rFonts w:cstheme="minorHAnsi"/>
          <w:b/>
          <w:color w:val="000000" w:themeColor="text1"/>
          <w:szCs w:val="24"/>
          <w:lang w:val="fr-FR"/>
        </w:rPr>
        <w:t>sées par les opérateurs de réseaux de télécommunications</w:t>
      </w:r>
      <w:r w:rsidR="0041688D" w:rsidRPr="006C059C">
        <w:rPr>
          <w:rFonts w:cstheme="minorHAnsi"/>
          <w:b/>
          <w:color w:val="000000" w:themeColor="text1"/>
          <w:szCs w:val="24"/>
          <w:lang w:val="fr-FR"/>
        </w:rPr>
        <w:t xml:space="preserve">– </w:t>
      </w:r>
      <w:r w:rsidR="007E1842">
        <w:rPr>
          <w:rFonts w:cstheme="minorHAnsi"/>
          <w:b/>
          <w:color w:val="000000" w:themeColor="text1"/>
          <w:szCs w:val="24"/>
          <w:lang w:val="fr-FR"/>
        </w:rPr>
        <w:t>Union des Comores</w:t>
      </w:r>
      <w:r w:rsidR="0041688D" w:rsidRPr="006C059C">
        <w:rPr>
          <w:rFonts w:cstheme="minorHAnsi"/>
          <w:b/>
          <w:color w:val="000000" w:themeColor="text1"/>
          <w:szCs w:val="24"/>
          <w:lang w:val="fr-FR"/>
        </w:rPr>
        <w:t xml:space="preserve"> </w:t>
      </w:r>
    </w:p>
    <w:p w14:paraId="21C553A8" w14:textId="77777777" w:rsidR="0041688D" w:rsidRPr="006C059C" w:rsidRDefault="0041688D" w:rsidP="006C059C">
      <w:pPr>
        <w:spacing w:after="120"/>
        <w:rPr>
          <w:rFonts w:cstheme="minorHAnsi"/>
          <w:szCs w:val="24"/>
          <w:bdr w:val="none" w:sz="0" w:space="0" w:color="auto" w:frame="1"/>
          <w:shd w:val="clear" w:color="auto" w:fill="FFFFFF"/>
          <w:lang w:val="fr-FR"/>
        </w:rPr>
      </w:pPr>
      <w:r w:rsidRPr="006C059C">
        <w:rPr>
          <w:rFonts w:cstheme="minorHAnsi"/>
          <w:szCs w:val="24"/>
          <w:bdr w:val="none" w:sz="0" w:space="0" w:color="auto" w:frame="1"/>
          <w:shd w:val="clear" w:color="auto" w:fill="FFFFFF"/>
          <w:lang w:val="fr-FR"/>
        </w:rPr>
        <w:t xml:space="preserve">Les Comores à travers l’ANRTIC, point focal national de l’UIT, s’emploie à intégrer dans ses activités de promotion et de développement des TIC, un volet prenant en compte, la question environnementale désormais érigée en politique globale de l’UIT. </w:t>
      </w:r>
    </w:p>
    <w:p w14:paraId="2A271A77" w14:textId="37C9A10C" w:rsidR="0041688D" w:rsidRPr="006C059C" w:rsidRDefault="0041688D" w:rsidP="006C059C">
      <w:pPr>
        <w:spacing w:after="120"/>
        <w:rPr>
          <w:rFonts w:cstheme="minorHAnsi"/>
          <w:szCs w:val="24"/>
          <w:bdr w:val="none" w:sz="0" w:space="0" w:color="auto" w:frame="1"/>
          <w:shd w:val="clear" w:color="auto" w:fill="FFFFFF"/>
          <w:lang w:val="fr-FR"/>
        </w:rPr>
      </w:pPr>
      <w:r w:rsidRPr="006C059C">
        <w:rPr>
          <w:rFonts w:cstheme="minorHAnsi"/>
          <w:szCs w:val="24"/>
          <w:bdr w:val="none" w:sz="0" w:space="0" w:color="auto" w:frame="1"/>
          <w:shd w:val="clear" w:color="auto" w:fill="FFFFFF"/>
          <w:lang w:val="fr-FR"/>
        </w:rPr>
        <w:t>Au-delà du caractère énergivore des réseaux, des équipements et des terminaux électroniques, l’ANRTIC s’intéresse à l’usage des différentes sources d’énergies utilisées par les opérateurs, en mettant en place un système d’évaluation, qui permettrait à terme, d’envisager des recommandations aussi bien sur les choix des stratégies énergétiques que sur leur proportion en faveur d’une réduction des gaz à effet de serre (GES).</w:t>
      </w:r>
      <w:r w:rsidR="000A6892">
        <w:rPr>
          <w:rFonts w:cstheme="minorHAnsi"/>
          <w:szCs w:val="24"/>
          <w:bdr w:val="none" w:sz="0" w:space="0" w:color="auto" w:frame="1"/>
          <w:shd w:val="clear" w:color="auto" w:fill="FFFFFF"/>
          <w:lang w:val="fr-FR"/>
        </w:rPr>
        <w:t xml:space="preserve"> </w:t>
      </w:r>
    </w:p>
    <w:p w14:paraId="392F172E" w14:textId="77777777" w:rsidR="0041688D" w:rsidRPr="006C059C" w:rsidRDefault="0041688D" w:rsidP="006C059C">
      <w:pPr>
        <w:spacing w:after="120"/>
        <w:rPr>
          <w:rFonts w:cstheme="minorHAnsi"/>
          <w:szCs w:val="24"/>
          <w:bdr w:val="none" w:sz="0" w:space="0" w:color="auto" w:frame="1"/>
          <w:shd w:val="clear" w:color="auto" w:fill="FFFFFF"/>
          <w:lang w:val="fr-FR"/>
        </w:rPr>
      </w:pPr>
      <w:r w:rsidRPr="006C059C">
        <w:rPr>
          <w:rFonts w:cstheme="minorHAnsi"/>
          <w:szCs w:val="24"/>
          <w:bdr w:val="none" w:sz="0" w:space="0" w:color="auto" w:frame="1"/>
          <w:shd w:val="clear" w:color="auto" w:fill="FFFFFF"/>
          <w:lang w:val="fr-FR"/>
        </w:rPr>
        <w:t xml:space="preserve">Aussi, à travers cette démarche, une volonté manifeste pour l’ANRTIC de faire preuve d’un suivi réfléchi aux engagements inscrits aux cahiers de charges des opérateurs respectivement, - chapitre 3, art 18.1 et 18.2 / cahier de charges Comores Télécom, - chapitre 3, art 18 / cahier de charges TELMA et chapitre 3 art 16 cahier de charges Comores Câbles. </w:t>
      </w:r>
    </w:p>
    <w:p w14:paraId="5E991248" w14:textId="762FC82B" w:rsidR="0041688D" w:rsidRPr="006C059C" w:rsidRDefault="0041688D" w:rsidP="006C059C">
      <w:pPr>
        <w:spacing w:after="120"/>
        <w:rPr>
          <w:rFonts w:cstheme="minorHAnsi"/>
          <w:szCs w:val="24"/>
          <w:lang w:val="fr-FR"/>
        </w:rPr>
      </w:pPr>
      <w:r w:rsidRPr="006C059C">
        <w:rPr>
          <w:rFonts w:cstheme="minorHAnsi"/>
          <w:szCs w:val="24"/>
          <w:bdr w:val="none" w:sz="0" w:space="0" w:color="auto" w:frame="1"/>
          <w:shd w:val="clear" w:color="auto" w:fill="FFFFFF"/>
          <w:lang w:val="fr-FR"/>
        </w:rPr>
        <w:t>Toutes ces dispositions pour lesquelles les opérateurs se sont engagés à respecter, font l’objet d’évaluation et de contrôle, afin d’apprécier le degré de respect et éventuellement formuler des avis en vue de leur amélioration. Une réponse appropriée à l’engagement en faveur de de la durabilité de l’environnement promu par l’</w:t>
      </w:r>
      <w:r w:rsidR="000A6892">
        <w:rPr>
          <w:rFonts w:cstheme="minorHAnsi"/>
          <w:szCs w:val="24"/>
          <w:bdr w:val="none" w:sz="0" w:space="0" w:color="auto" w:frame="1"/>
          <w:shd w:val="clear" w:color="auto" w:fill="FFFFFF"/>
          <w:lang w:val="fr-FR"/>
        </w:rPr>
        <w:t>UIT</w:t>
      </w:r>
      <w:r w:rsidRPr="006C059C">
        <w:rPr>
          <w:rFonts w:cstheme="minorHAnsi"/>
          <w:szCs w:val="24"/>
          <w:bdr w:val="none" w:sz="0" w:space="0" w:color="auto" w:frame="1"/>
          <w:shd w:val="clear" w:color="auto" w:fill="FFFFFF"/>
          <w:lang w:val="fr-FR"/>
        </w:rPr>
        <w:t xml:space="preserve">-D </w:t>
      </w:r>
      <w:r w:rsidRPr="006C059C">
        <w:rPr>
          <w:rFonts w:cstheme="minorHAnsi"/>
          <w:i/>
          <w:szCs w:val="24"/>
          <w:bdr w:val="none" w:sz="0" w:space="0" w:color="auto" w:frame="1"/>
          <w:shd w:val="clear" w:color="auto" w:fill="FFFFFF"/>
          <w:lang w:val="fr-FR"/>
        </w:rPr>
        <w:t>« </w:t>
      </w:r>
      <w:r w:rsidRPr="006C059C">
        <w:rPr>
          <w:rStyle w:val="fontstyle21"/>
          <w:rFonts w:asciiTheme="minorHAnsi" w:hAnsiTheme="minorHAnsi" w:cstheme="minorHAnsi"/>
          <w:i/>
          <w:sz w:val="24"/>
          <w:szCs w:val="24"/>
          <w:lang w:val="fr-FR"/>
        </w:rPr>
        <w:t>L'UIT est consciente que les télécommunications/TIC présentent des risques, s'accompagnent de</w:t>
      </w:r>
      <w:r w:rsidRPr="006C059C">
        <w:rPr>
          <w:rFonts w:cstheme="minorHAnsi"/>
          <w:i/>
          <w:szCs w:val="24"/>
          <w:lang w:val="fr-FR"/>
        </w:rPr>
        <w:t xml:space="preserve"> </w:t>
      </w:r>
      <w:r w:rsidRPr="006C059C">
        <w:rPr>
          <w:rStyle w:val="fontstyle21"/>
          <w:rFonts w:asciiTheme="minorHAnsi" w:hAnsiTheme="minorHAnsi" w:cstheme="minorHAnsi"/>
          <w:i/>
          <w:sz w:val="24"/>
          <w:szCs w:val="24"/>
          <w:lang w:val="fr-FR"/>
        </w:rPr>
        <w:t>défis et offrent des possibilités sur le plan environnemental. L'UIT est résolue à contribuer à</w:t>
      </w:r>
      <w:r w:rsidRPr="006C059C">
        <w:rPr>
          <w:rFonts w:cstheme="minorHAnsi"/>
          <w:i/>
          <w:szCs w:val="24"/>
          <w:lang w:val="fr-FR"/>
        </w:rPr>
        <w:t xml:space="preserve"> </w:t>
      </w:r>
      <w:r w:rsidRPr="006C059C">
        <w:rPr>
          <w:rStyle w:val="fontstyle21"/>
          <w:rFonts w:asciiTheme="minorHAnsi" w:hAnsiTheme="minorHAnsi" w:cstheme="minorHAnsi"/>
          <w:i/>
          <w:sz w:val="24"/>
          <w:szCs w:val="24"/>
          <w:lang w:val="fr-FR"/>
        </w:rPr>
        <w:t>l'utilisation des télécommunications/TIC au service de la surveillance »</w:t>
      </w:r>
      <w:r w:rsidRPr="009B4AE9">
        <w:rPr>
          <w:rStyle w:val="FootnoteReference"/>
          <w:rFonts w:cstheme="minorHAnsi"/>
          <w:szCs w:val="18"/>
        </w:rPr>
        <w:footnoteReference w:id="5"/>
      </w:r>
    </w:p>
    <w:p w14:paraId="315F3471" w14:textId="0E4F24DC" w:rsidR="0041688D" w:rsidRPr="006C059C" w:rsidRDefault="0041688D" w:rsidP="006C059C">
      <w:pPr>
        <w:spacing w:after="120"/>
        <w:rPr>
          <w:rFonts w:cstheme="minorHAnsi"/>
          <w:szCs w:val="24"/>
          <w:lang w:val="fr-FR"/>
        </w:rPr>
      </w:pPr>
      <w:r w:rsidRPr="006C059C">
        <w:rPr>
          <w:rFonts w:cstheme="minorHAnsi"/>
          <w:szCs w:val="24"/>
          <w:bdr w:val="none" w:sz="0" w:space="0" w:color="auto" w:frame="1"/>
          <w:shd w:val="clear" w:color="auto" w:fill="FFFFFF"/>
          <w:lang w:val="fr-FR"/>
        </w:rPr>
        <w:t xml:space="preserve">Le tableau présenté en annexe, est un recueil d’informations qui n’est pas suffisamment renseigné. Il nous indique les différentes sources d’énergie utilisées par TELCO </w:t>
      </w:r>
      <w:r w:rsidR="00511DE7">
        <w:rPr>
          <w:rFonts w:cstheme="minorHAnsi"/>
          <w:szCs w:val="24"/>
          <w:bdr w:val="none" w:sz="0" w:space="0" w:color="auto" w:frame="1"/>
          <w:shd w:val="clear" w:color="auto" w:fill="FFFFFF"/>
          <w:lang w:val="fr-FR"/>
        </w:rPr>
        <w:t>S</w:t>
      </w:r>
      <w:r w:rsidRPr="006C059C">
        <w:rPr>
          <w:rFonts w:cstheme="minorHAnsi"/>
          <w:szCs w:val="24"/>
          <w:bdr w:val="none" w:sz="0" w:space="0" w:color="auto" w:frame="1"/>
          <w:shd w:val="clear" w:color="auto" w:fill="FFFFFF"/>
          <w:lang w:val="fr-FR"/>
        </w:rPr>
        <w:t>.</w:t>
      </w:r>
      <w:r w:rsidR="00511DE7">
        <w:rPr>
          <w:rFonts w:cstheme="minorHAnsi"/>
          <w:szCs w:val="24"/>
          <w:bdr w:val="none" w:sz="0" w:space="0" w:color="auto" w:frame="1"/>
          <w:shd w:val="clear" w:color="auto" w:fill="FFFFFF"/>
          <w:lang w:val="fr-FR"/>
        </w:rPr>
        <w:t>A.</w:t>
      </w:r>
      <w:r w:rsidRPr="006C059C">
        <w:rPr>
          <w:rFonts w:cstheme="minorHAnsi"/>
          <w:szCs w:val="24"/>
          <w:bdr w:val="none" w:sz="0" w:space="0" w:color="auto" w:frame="1"/>
          <w:shd w:val="clear" w:color="auto" w:fill="FFFFFF"/>
          <w:lang w:val="fr-FR"/>
        </w:rPr>
        <w:t>, avec une proportion importante du non renouvelable, soit 547 085 KWh au titre de l’année 2022. La part du renouvelable représente près de la moitié du total de l’énergie consommée en 2022, soit 264 159 KWh. L’énergie consommée via de fournisseurs externe reste importante, soit 768 269 KWh.</w:t>
      </w:r>
      <w:r w:rsidR="000A6892">
        <w:rPr>
          <w:rFonts w:cstheme="minorHAnsi"/>
          <w:szCs w:val="24"/>
          <w:bdr w:val="none" w:sz="0" w:space="0" w:color="auto" w:frame="1"/>
          <w:shd w:val="clear" w:color="auto" w:fill="FFFFFF"/>
          <w:lang w:val="fr-FR"/>
        </w:rPr>
        <w:t xml:space="preserve"> </w:t>
      </w:r>
      <w:r w:rsidRPr="006C059C">
        <w:rPr>
          <w:rFonts w:cstheme="minorHAnsi"/>
          <w:szCs w:val="24"/>
          <w:bdr w:val="none" w:sz="0" w:space="0" w:color="auto" w:frame="1"/>
          <w:shd w:val="clear" w:color="auto" w:fill="FFFFFF"/>
          <w:lang w:val="fr-FR"/>
        </w:rPr>
        <w:t>Faute d’avoir reçu le rapport annuel de l’opérateur au titre de l’année 2023, nous n’avons pu renseigner le tableau de bord, effectuer une comparaison et dégager un début de tendance.</w:t>
      </w:r>
      <w:r w:rsidR="000A6892">
        <w:rPr>
          <w:rFonts w:cstheme="minorHAnsi"/>
          <w:szCs w:val="24"/>
          <w:bdr w:val="none" w:sz="0" w:space="0" w:color="auto" w:frame="1"/>
          <w:shd w:val="clear" w:color="auto" w:fill="FFFFFF"/>
          <w:lang w:val="fr-FR"/>
        </w:rPr>
        <w:t xml:space="preserve"> </w:t>
      </w:r>
    </w:p>
    <w:p w14:paraId="2C6B9630" w14:textId="6F4E4CB7" w:rsidR="0041688D" w:rsidRPr="006F5B8A" w:rsidRDefault="0041688D" w:rsidP="007E1842">
      <w:pPr>
        <w:keepNext/>
        <w:keepLines/>
        <w:spacing w:after="120"/>
        <w:rPr>
          <w:b/>
          <w:bCs/>
          <w:lang w:val="fr-FR"/>
        </w:rPr>
      </w:pPr>
      <w:r w:rsidRPr="006F5B8A">
        <w:rPr>
          <w:b/>
          <w:bCs/>
          <w:lang w:val="fr-FR"/>
        </w:rPr>
        <w:t>L</w:t>
      </w:r>
      <w:r w:rsidR="007E1842" w:rsidRPr="009E3CCA">
        <w:rPr>
          <w:b/>
          <w:bCs/>
          <w:lang w:val="fr-FR"/>
        </w:rPr>
        <w:t xml:space="preserve">a réalisation régulière des études d’impacts environnementaux sur les sites de télécommunications </w:t>
      </w:r>
    </w:p>
    <w:p w14:paraId="366D7FB0" w14:textId="28CDEF91" w:rsidR="0041688D" w:rsidRPr="00667608" w:rsidRDefault="0041688D" w:rsidP="006C059C">
      <w:pPr>
        <w:spacing w:after="120"/>
        <w:rPr>
          <w:lang w:val="fr-FR"/>
        </w:rPr>
      </w:pPr>
      <w:r w:rsidRPr="00667608">
        <w:rPr>
          <w:lang w:val="fr-FR"/>
        </w:rPr>
        <w:t>Sur cette question, nous nous sommes référé</w:t>
      </w:r>
      <w:r w:rsidR="00460515">
        <w:rPr>
          <w:lang w:val="fr-FR"/>
        </w:rPr>
        <w:t>s</w:t>
      </w:r>
      <w:r w:rsidRPr="00667608">
        <w:rPr>
          <w:lang w:val="fr-FR"/>
        </w:rPr>
        <w:t xml:space="preserve"> à la résolution 72 relative aux problèmes de mesure et d’évaluation liés à l’exposition des personnes aux champs électromagnétiques, dans laquelle l’</w:t>
      </w:r>
      <w:r w:rsidR="000A6892" w:rsidRPr="006F5B8A">
        <w:rPr>
          <w:lang w:val="fr-FR"/>
        </w:rPr>
        <w:t>UIT</w:t>
      </w:r>
      <w:r w:rsidRPr="00667608">
        <w:rPr>
          <w:lang w:val="fr-FR"/>
        </w:rPr>
        <w:t xml:space="preserve"> -T note « 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 »</w:t>
      </w:r>
      <w:r w:rsidRPr="00DE0840">
        <w:rPr>
          <w:vertAlign w:val="superscript"/>
        </w:rPr>
        <w:footnoteReference w:id="6"/>
      </w:r>
    </w:p>
    <w:p w14:paraId="21C84B05" w14:textId="6FFFE468" w:rsidR="0041688D" w:rsidRPr="00667608" w:rsidRDefault="0041688D" w:rsidP="006C059C">
      <w:pPr>
        <w:spacing w:after="120"/>
        <w:rPr>
          <w:lang w:val="fr-FR"/>
        </w:rPr>
      </w:pPr>
      <w:r w:rsidRPr="00667608">
        <w:rPr>
          <w:lang w:val="fr-FR"/>
        </w:rPr>
        <w:t>Pour ce faire et au-delà de cette notation par l’</w:t>
      </w:r>
      <w:r w:rsidR="000A6892" w:rsidRPr="009E3CCA">
        <w:rPr>
          <w:lang w:val="fr-FR"/>
        </w:rPr>
        <w:t>UIT</w:t>
      </w:r>
      <w:r w:rsidRPr="00667608">
        <w:rPr>
          <w:lang w:val="fr-FR"/>
        </w:rPr>
        <w:t xml:space="preserve">, le régulateur comorien, tenant compte des dispositions législatives et règlementaires, notamment l’article 12 de la loi N° 94 – 018 / AF portant loi-cadre relative à l’environnement, stipule en son article 12 que « L’étude d’impact qui </w:t>
      </w:r>
      <w:r w:rsidRPr="00667608">
        <w:rPr>
          <w:lang w:val="fr-FR"/>
        </w:rPr>
        <w:lastRenderedPageBreak/>
        <w:t>évalue les incidences sur l’Environnement des travaux et activités projetés doit obligatoirement contenir :</w:t>
      </w:r>
    </w:p>
    <w:p w14:paraId="1BF2CE9E" w14:textId="77777777" w:rsidR="0041688D" w:rsidRPr="00667608" w:rsidRDefault="0041688D" w:rsidP="007E1842">
      <w:pPr>
        <w:pStyle w:val="ListParagraph"/>
        <w:numPr>
          <w:ilvl w:val="0"/>
          <w:numId w:val="2"/>
        </w:numPr>
        <w:tabs>
          <w:tab w:val="clear" w:pos="1134"/>
          <w:tab w:val="clear" w:pos="1871"/>
          <w:tab w:val="clear" w:pos="2268"/>
          <w:tab w:val="left" w:pos="794"/>
          <w:tab w:val="left" w:pos="1191"/>
          <w:tab w:val="left" w:pos="1588"/>
          <w:tab w:val="left" w:pos="1985"/>
          <w:tab w:val="right" w:pos="9639"/>
        </w:tabs>
        <w:spacing w:before="60" w:after="60"/>
        <w:ind w:left="714" w:hanging="357"/>
        <w:contextualSpacing w:val="0"/>
        <w:rPr>
          <w:lang w:val="fr-FR"/>
        </w:rPr>
      </w:pPr>
      <w:r w:rsidRPr="00667608">
        <w:rPr>
          <w:lang w:val="fr-FR"/>
        </w:rPr>
        <w:t xml:space="preserve">Une analyse de l’état du site et de son environnement </w:t>
      </w:r>
    </w:p>
    <w:p w14:paraId="4CED4808" w14:textId="77777777" w:rsidR="0041688D" w:rsidRPr="00667608" w:rsidRDefault="0041688D" w:rsidP="007E1842">
      <w:pPr>
        <w:pStyle w:val="ListParagraph"/>
        <w:numPr>
          <w:ilvl w:val="0"/>
          <w:numId w:val="2"/>
        </w:numPr>
        <w:tabs>
          <w:tab w:val="clear" w:pos="1134"/>
          <w:tab w:val="clear" w:pos="1871"/>
          <w:tab w:val="clear" w:pos="2268"/>
          <w:tab w:val="left" w:pos="794"/>
          <w:tab w:val="left" w:pos="1191"/>
          <w:tab w:val="left" w:pos="1588"/>
          <w:tab w:val="left" w:pos="1985"/>
          <w:tab w:val="right" w:pos="9639"/>
        </w:tabs>
        <w:spacing w:before="60" w:after="60"/>
        <w:ind w:left="714" w:hanging="357"/>
        <w:contextualSpacing w:val="0"/>
        <w:rPr>
          <w:lang w:val="fr-FR"/>
        </w:rPr>
      </w:pPr>
      <w:r w:rsidRPr="00667608">
        <w:rPr>
          <w:lang w:val="fr-FR"/>
        </w:rPr>
        <w:t>Une évaluation des conséquences prévisibles de la mise en œuvre du projet pour son environnement naturel et humain</w:t>
      </w:r>
    </w:p>
    <w:p w14:paraId="45F1436E" w14:textId="775D48D0" w:rsidR="0041688D" w:rsidRPr="00667608" w:rsidRDefault="0041688D" w:rsidP="007E1842">
      <w:pPr>
        <w:pStyle w:val="ListParagraph"/>
        <w:numPr>
          <w:ilvl w:val="0"/>
          <w:numId w:val="2"/>
        </w:numPr>
        <w:tabs>
          <w:tab w:val="clear" w:pos="1134"/>
          <w:tab w:val="clear" w:pos="1871"/>
          <w:tab w:val="clear" w:pos="2268"/>
          <w:tab w:val="left" w:pos="794"/>
          <w:tab w:val="left" w:pos="1191"/>
          <w:tab w:val="left" w:pos="1588"/>
          <w:tab w:val="left" w:pos="1985"/>
          <w:tab w:val="right" w:pos="9639"/>
        </w:tabs>
        <w:spacing w:before="60" w:after="60"/>
        <w:ind w:left="714" w:hanging="357"/>
        <w:contextualSpacing w:val="0"/>
        <w:rPr>
          <w:lang w:val="fr-FR"/>
        </w:rPr>
      </w:pPr>
      <w:r w:rsidRPr="00667608">
        <w:rPr>
          <w:lang w:val="fr-FR"/>
        </w:rPr>
        <w:t>Une présentation des mesures prévues pour réduire ou supprimer les effets dommageables sur l’environnement et des autres possibilités, non retenu</w:t>
      </w:r>
      <w:r w:rsidR="00460515">
        <w:rPr>
          <w:lang w:val="fr-FR"/>
        </w:rPr>
        <w:t>es</w:t>
      </w:r>
      <w:r w:rsidRPr="00667608">
        <w:rPr>
          <w:lang w:val="fr-FR"/>
        </w:rPr>
        <w:t>, de mise en œuvre du projet »</w:t>
      </w:r>
      <w:r w:rsidRPr="00DE0840">
        <w:rPr>
          <w:vertAlign w:val="superscript"/>
        </w:rPr>
        <w:footnoteReference w:id="7"/>
      </w:r>
    </w:p>
    <w:p w14:paraId="53B4BBB6" w14:textId="733A22EF" w:rsidR="0041688D" w:rsidRPr="00667608" w:rsidRDefault="0041688D" w:rsidP="006C059C">
      <w:pPr>
        <w:tabs>
          <w:tab w:val="right" w:pos="9639"/>
        </w:tabs>
        <w:spacing w:after="120"/>
        <w:rPr>
          <w:lang w:val="fr-FR"/>
        </w:rPr>
      </w:pPr>
      <w:r w:rsidRPr="00667608">
        <w:rPr>
          <w:lang w:val="fr-FR"/>
        </w:rPr>
        <w:t xml:space="preserve">Hormis les considérations techniques, on voudrait aussi présenter ici, l’intérêt de la réalisation des études d’impact et leur finalité du point de vue des investisseurs. En effet, dans ce cas de figure, il s’agit de l’opérateur TELCO </w:t>
      </w:r>
      <w:r w:rsidR="00511DE7" w:rsidRPr="009E3CCA">
        <w:rPr>
          <w:lang w:val="fr-FR"/>
        </w:rPr>
        <w:t>S</w:t>
      </w:r>
      <w:r w:rsidRPr="00667608">
        <w:rPr>
          <w:lang w:val="fr-FR"/>
        </w:rPr>
        <w:t>.</w:t>
      </w:r>
      <w:r w:rsidR="00511DE7" w:rsidRPr="009E3CCA">
        <w:rPr>
          <w:lang w:val="fr-FR"/>
        </w:rPr>
        <w:t>A.</w:t>
      </w:r>
      <w:r w:rsidRPr="00667608">
        <w:rPr>
          <w:lang w:val="fr-FR"/>
        </w:rPr>
        <w:t xml:space="preserve"> dont le principal investisseur AXIAN souhaitait obtenir la certification environnementale – ISO 14000. Depuis 2022, des opérations de contrôle en vue de la certification sont organisées avec la participation du régulateur. </w:t>
      </w:r>
    </w:p>
    <w:p w14:paraId="57920C68" w14:textId="77777777" w:rsidR="0041688D" w:rsidRPr="00667608" w:rsidRDefault="0041688D" w:rsidP="006C059C">
      <w:pPr>
        <w:tabs>
          <w:tab w:val="right" w:pos="9639"/>
        </w:tabs>
        <w:spacing w:after="120"/>
        <w:rPr>
          <w:lang w:val="fr-FR"/>
        </w:rPr>
      </w:pPr>
      <w:r w:rsidRPr="00667608">
        <w:rPr>
          <w:lang w:val="fr-FR"/>
        </w:rPr>
        <w:t>Du point de vue du régulateur, les études d’impact se font sous une triple exigence :</w:t>
      </w:r>
    </w:p>
    <w:p w14:paraId="18F2E313" w14:textId="77777777" w:rsidR="0041688D" w:rsidRPr="00667608" w:rsidRDefault="0041688D" w:rsidP="007E1842">
      <w:pPr>
        <w:pStyle w:val="ListParagraph"/>
        <w:numPr>
          <w:ilvl w:val="0"/>
          <w:numId w:val="3"/>
        </w:numPr>
        <w:tabs>
          <w:tab w:val="clear" w:pos="1134"/>
          <w:tab w:val="clear" w:pos="1871"/>
          <w:tab w:val="clear" w:pos="2268"/>
          <w:tab w:val="left" w:pos="794"/>
          <w:tab w:val="left" w:pos="1191"/>
          <w:tab w:val="left" w:pos="1588"/>
          <w:tab w:val="left" w:pos="1985"/>
          <w:tab w:val="right" w:pos="9639"/>
        </w:tabs>
        <w:spacing w:before="60" w:after="60"/>
        <w:ind w:left="714" w:hanging="357"/>
        <w:contextualSpacing w:val="0"/>
        <w:rPr>
          <w:lang w:val="fr-FR"/>
        </w:rPr>
      </w:pPr>
      <w:r w:rsidRPr="00667608">
        <w:rPr>
          <w:lang w:val="fr-FR"/>
        </w:rPr>
        <w:t>Vérification d’éventuels effets d’érosion des sols</w:t>
      </w:r>
    </w:p>
    <w:p w14:paraId="38FE1BF5" w14:textId="77777777" w:rsidR="0041688D" w:rsidRPr="00667608" w:rsidRDefault="0041688D" w:rsidP="007E1842">
      <w:pPr>
        <w:pStyle w:val="ListParagraph"/>
        <w:numPr>
          <w:ilvl w:val="0"/>
          <w:numId w:val="3"/>
        </w:numPr>
        <w:tabs>
          <w:tab w:val="clear" w:pos="1134"/>
          <w:tab w:val="clear" w:pos="1871"/>
          <w:tab w:val="clear" w:pos="2268"/>
          <w:tab w:val="left" w:pos="794"/>
          <w:tab w:val="left" w:pos="1191"/>
          <w:tab w:val="left" w:pos="1588"/>
          <w:tab w:val="left" w:pos="1985"/>
          <w:tab w:val="right" w:pos="9639"/>
        </w:tabs>
        <w:spacing w:before="60" w:after="60"/>
        <w:ind w:left="714" w:hanging="357"/>
        <w:contextualSpacing w:val="0"/>
        <w:rPr>
          <w:lang w:val="fr-FR"/>
        </w:rPr>
      </w:pPr>
      <w:r w:rsidRPr="00667608">
        <w:rPr>
          <w:lang w:val="fr-FR"/>
        </w:rPr>
        <w:t>Vérification d’éventuels effets sur la faune et la flore</w:t>
      </w:r>
    </w:p>
    <w:p w14:paraId="0783477F" w14:textId="77777777" w:rsidR="0041688D" w:rsidRPr="00667608" w:rsidRDefault="0041688D" w:rsidP="007E1842">
      <w:pPr>
        <w:pStyle w:val="ListParagraph"/>
        <w:numPr>
          <w:ilvl w:val="0"/>
          <w:numId w:val="3"/>
        </w:numPr>
        <w:tabs>
          <w:tab w:val="clear" w:pos="1134"/>
          <w:tab w:val="clear" w:pos="1871"/>
          <w:tab w:val="clear" w:pos="2268"/>
          <w:tab w:val="left" w:pos="794"/>
          <w:tab w:val="left" w:pos="1191"/>
          <w:tab w:val="left" w:pos="1588"/>
          <w:tab w:val="left" w:pos="1985"/>
          <w:tab w:val="right" w:pos="9639"/>
        </w:tabs>
        <w:spacing w:before="60" w:after="60"/>
        <w:ind w:left="714" w:hanging="357"/>
        <w:contextualSpacing w:val="0"/>
        <w:rPr>
          <w:lang w:val="fr-FR"/>
        </w:rPr>
      </w:pPr>
      <w:r w:rsidRPr="00667608">
        <w:rPr>
          <w:lang w:val="fr-FR"/>
        </w:rPr>
        <w:t xml:space="preserve">Vérification d’éventuels effets dus au rayonnement sur les populations </w:t>
      </w:r>
    </w:p>
    <w:p w14:paraId="525A7D2C" w14:textId="5620EDA0" w:rsidR="0041688D" w:rsidRPr="00667608" w:rsidRDefault="0041688D" w:rsidP="006C059C">
      <w:pPr>
        <w:tabs>
          <w:tab w:val="right" w:pos="9639"/>
        </w:tabs>
        <w:spacing w:after="120"/>
        <w:rPr>
          <w:lang w:val="fr-FR"/>
        </w:rPr>
      </w:pPr>
      <w:r w:rsidRPr="00667608">
        <w:rPr>
          <w:lang w:val="fr-FR"/>
        </w:rPr>
        <w:t>Toutes ces vérifications donnent lieu à la délivrance d’études certifiées par la Direction de l’environnement. Entre 2022 et 2024, un certain nombre de sites a subi des contrôles conjointement menés par le régulateur, l’opérateur intéressé et la Direction de l’environnement. En 2022, le nombre de sites homologués était au nombre de 29. En 2023, 16 sites</w:t>
      </w:r>
      <w:r w:rsidR="006D0A6A">
        <w:rPr>
          <w:lang w:val="fr-FR"/>
        </w:rPr>
        <w:t xml:space="preserve"> étaient </w:t>
      </w:r>
      <w:r w:rsidRPr="00667608">
        <w:rPr>
          <w:lang w:val="fr-FR"/>
        </w:rPr>
        <w:t xml:space="preserve">homologués. En 2024, 6 </w:t>
      </w:r>
      <w:r w:rsidR="00D16D2D">
        <w:rPr>
          <w:lang w:val="fr-FR"/>
        </w:rPr>
        <w:t xml:space="preserve">sont </w:t>
      </w:r>
      <w:r w:rsidRPr="00667608">
        <w:rPr>
          <w:lang w:val="fr-FR"/>
        </w:rPr>
        <w:t xml:space="preserve">sites homologués. Les sites non homologués pour l’opérateur TELCO </w:t>
      </w:r>
      <w:r w:rsidR="006A68C9" w:rsidRPr="00D16D2D">
        <w:rPr>
          <w:lang w:val="fr-FR"/>
        </w:rPr>
        <w:t>S</w:t>
      </w:r>
      <w:r w:rsidRPr="00667608">
        <w:rPr>
          <w:lang w:val="fr-FR"/>
        </w:rPr>
        <w:t>.</w:t>
      </w:r>
      <w:r w:rsidR="006A68C9" w:rsidRPr="00D16D2D">
        <w:rPr>
          <w:lang w:val="fr-FR"/>
        </w:rPr>
        <w:t>A.</w:t>
      </w:r>
      <w:r w:rsidRPr="00667608">
        <w:rPr>
          <w:lang w:val="fr-FR"/>
        </w:rPr>
        <w:t xml:space="preserve"> sont au nombre de 94, toutefois, ils le seront progressivement puisque l’objectif est de certifier l’ensemble des sites. </w:t>
      </w:r>
    </w:p>
    <w:p w14:paraId="5AF40B31" w14:textId="015E50EB" w:rsidR="0041688D" w:rsidRPr="00667608" w:rsidRDefault="0041688D" w:rsidP="009B4AE9">
      <w:pPr>
        <w:tabs>
          <w:tab w:val="right" w:pos="9639"/>
        </w:tabs>
        <w:spacing w:after="120"/>
        <w:rPr>
          <w:lang w:val="fr-FR"/>
        </w:rPr>
      </w:pPr>
      <w:r w:rsidRPr="00667608">
        <w:rPr>
          <w:lang w:val="fr-FR"/>
        </w:rPr>
        <w:t>En définitif, les pratiques de régulation ne devraient pas se limiter aux seules considérations restreintes liées au marché des télécommunications. Au-delà des aspects économiques, techniques et réglementaires, le régulateur devra, compte</w:t>
      </w:r>
      <w:r w:rsidR="00E959D4">
        <w:rPr>
          <w:lang w:val="fr-FR"/>
        </w:rPr>
        <w:t xml:space="preserve"> tenu</w:t>
      </w:r>
      <w:r w:rsidRPr="00667608">
        <w:rPr>
          <w:lang w:val="fr-FR"/>
        </w:rPr>
        <w:t xml:space="preserve"> des moyens et des marges de manœuvre qu’il dispose, s’employer à la réalisation d’une transformation numérique durable. Mettre au cœur de sa stratégie et ses actions, un volet prenant en considération la question environnementale. L’urgence à atteindre les ODD à l’horizon 2030, devrait également lui pousser à participer activement à cet effort.</w:t>
      </w:r>
    </w:p>
    <w:p w14:paraId="56459A90" w14:textId="77777777" w:rsidR="006A68C9" w:rsidRDefault="006A68C9">
      <w:pPr>
        <w:tabs>
          <w:tab w:val="clear" w:pos="794"/>
          <w:tab w:val="clear" w:pos="1191"/>
          <w:tab w:val="clear" w:pos="1588"/>
          <w:tab w:val="clear" w:pos="1985"/>
        </w:tabs>
        <w:overflowPunct/>
        <w:autoSpaceDE/>
        <w:autoSpaceDN/>
        <w:adjustRightInd/>
        <w:spacing w:before="0"/>
        <w:textAlignment w:val="auto"/>
        <w:rPr>
          <w:rFonts w:cstheme="minorHAnsi"/>
          <w:color w:val="000000" w:themeColor="text1"/>
          <w:szCs w:val="24"/>
          <w:lang w:val="fr-FR"/>
        </w:rPr>
      </w:pPr>
      <w:r>
        <w:rPr>
          <w:rFonts w:cstheme="minorHAnsi"/>
          <w:color w:val="000000" w:themeColor="text1"/>
          <w:szCs w:val="24"/>
          <w:lang w:val="fr-FR"/>
        </w:rPr>
        <w:br w:type="page"/>
      </w:r>
    </w:p>
    <w:p w14:paraId="5F5E3F40" w14:textId="6A060039" w:rsidR="0041688D" w:rsidRPr="006A68C9" w:rsidRDefault="0041688D" w:rsidP="006C059C">
      <w:pPr>
        <w:spacing w:after="120"/>
        <w:rPr>
          <w:rFonts w:cstheme="minorHAnsi"/>
          <w:b/>
          <w:bCs/>
          <w:color w:val="000000" w:themeColor="text1"/>
          <w:szCs w:val="24"/>
          <w:lang w:val="fr-FR"/>
        </w:rPr>
      </w:pPr>
      <w:r w:rsidRPr="006A68C9">
        <w:rPr>
          <w:rFonts w:cstheme="minorHAnsi"/>
          <w:b/>
          <w:bCs/>
          <w:color w:val="000000" w:themeColor="text1"/>
          <w:szCs w:val="24"/>
          <w:lang w:val="fr-FR"/>
        </w:rPr>
        <w:lastRenderedPageBreak/>
        <w:t>A</w:t>
      </w:r>
      <w:r w:rsidR="006A68C9">
        <w:rPr>
          <w:rFonts w:cstheme="minorHAnsi"/>
          <w:b/>
          <w:bCs/>
          <w:color w:val="000000" w:themeColor="text1"/>
          <w:szCs w:val="24"/>
          <w:lang w:val="fr-FR"/>
        </w:rPr>
        <w:t>nnexe</w:t>
      </w:r>
    </w:p>
    <w:tbl>
      <w:tblPr>
        <w:tblpPr w:leftFromText="141" w:rightFromText="141" w:vertAnchor="text" w:horzAnchor="margin" w:tblpXSpec="center" w:tblpY="9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5200"/>
        <w:gridCol w:w="989"/>
        <w:gridCol w:w="1312"/>
        <w:gridCol w:w="817"/>
        <w:gridCol w:w="993"/>
      </w:tblGrid>
      <w:tr w:rsidR="00BE4FF7" w:rsidRPr="00BE4FF7" w14:paraId="5E52FECA" w14:textId="77777777" w:rsidTr="00BE4FF7">
        <w:trPr>
          <w:trHeight w:val="300"/>
        </w:trPr>
        <w:tc>
          <w:tcPr>
            <w:tcW w:w="1316" w:type="dxa"/>
            <w:shd w:val="clear" w:color="auto" w:fill="31849B" w:themeFill="accent5" w:themeFillShade="BF"/>
            <w:vAlign w:val="bottom"/>
            <w:hideMark/>
          </w:tcPr>
          <w:p w14:paraId="602AD698" w14:textId="77777777" w:rsidR="00266BC3" w:rsidRPr="00BE4FF7"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color w:val="FFFFFF" w:themeColor="background1"/>
                <w:sz w:val="22"/>
                <w:szCs w:val="22"/>
                <w:lang w:eastAsia="fr-FR"/>
              </w:rPr>
            </w:pPr>
            <w:r w:rsidRPr="00BE4FF7">
              <w:rPr>
                <w:rFonts w:cstheme="minorHAnsi"/>
                <w:b/>
                <w:bCs/>
                <w:color w:val="FFFFFF" w:themeColor="background1"/>
                <w:sz w:val="22"/>
                <w:szCs w:val="22"/>
                <w:lang w:eastAsia="fr-FR"/>
              </w:rPr>
              <w:t>KPI TC</w:t>
            </w:r>
          </w:p>
        </w:tc>
        <w:tc>
          <w:tcPr>
            <w:tcW w:w="5200" w:type="dxa"/>
            <w:shd w:val="clear" w:color="auto" w:fill="31849B" w:themeFill="accent5" w:themeFillShade="BF"/>
            <w:vAlign w:val="bottom"/>
            <w:hideMark/>
          </w:tcPr>
          <w:p w14:paraId="66777576" w14:textId="77777777" w:rsidR="00266BC3" w:rsidRPr="00BE4FF7"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color w:val="FFFFFF" w:themeColor="background1"/>
                <w:sz w:val="22"/>
                <w:szCs w:val="22"/>
                <w:lang w:eastAsia="fr-FR"/>
              </w:rPr>
            </w:pPr>
            <w:r w:rsidRPr="00BE4FF7">
              <w:rPr>
                <w:rFonts w:cstheme="minorHAnsi"/>
                <w:b/>
                <w:bCs/>
                <w:color w:val="FFFFFF" w:themeColor="background1"/>
                <w:sz w:val="22"/>
                <w:szCs w:val="22"/>
                <w:lang w:eastAsia="fr-FR"/>
              </w:rPr>
              <w:t xml:space="preserve">THEMES/INDICATEURS </w:t>
            </w:r>
          </w:p>
        </w:tc>
        <w:tc>
          <w:tcPr>
            <w:tcW w:w="0" w:type="auto"/>
            <w:shd w:val="clear" w:color="auto" w:fill="31849B" w:themeFill="accent5" w:themeFillShade="BF"/>
            <w:vAlign w:val="bottom"/>
            <w:hideMark/>
          </w:tcPr>
          <w:p w14:paraId="0FE20D75" w14:textId="77777777" w:rsidR="00266BC3" w:rsidRPr="00BE4FF7"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color w:val="FFFFFF" w:themeColor="background1"/>
                <w:sz w:val="22"/>
                <w:szCs w:val="22"/>
                <w:lang w:eastAsia="fr-FR"/>
              </w:rPr>
            </w:pPr>
            <w:r w:rsidRPr="00BE4FF7">
              <w:rPr>
                <w:rFonts w:cstheme="minorHAnsi"/>
                <w:b/>
                <w:bCs/>
                <w:color w:val="FFFFFF" w:themeColor="background1"/>
                <w:sz w:val="22"/>
                <w:szCs w:val="22"/>
                <w:lang w:eastAsia="fr-FR"/>
              </w:rPr>
              <w:t xml:space="preserve">UNITE </w:t>
            </w:r>
          </w:p>
        </w:tc>
        <w:tc>
          <w:tcPr>
            <w:tcW w:w="1312" w:type="dxa"/>
            <w:shd w:val="clear" w:color="auto" w:fill="31849B" w:themeFill="accent5" w:themeFillShade="BF"/>
            <w:vAlign w:val="bottom"/>
            <w:hideMark/>
          </w:tcPr>
          <w:p w14:paraId="6E2AEFF5" w14:textId="77777777" w:rsidR="00266BC3" w:rsidRPr="00BE4FF7"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color w:val="FFFFFF" w:themeColor="background1"/>
                <w:sz w:val="22"/>
                <w:szCs w:val="22"/>
                <w:lang w:eastAsia="fr-FR"/>
              </w:rPr>
            </w:pPr>
            <w:r w:rsidRPr="00BE4FF7">
              <w:rPr>
                <w:rFonts w:cstheme="minorHAnsi"/>
                <w:b/>
                <w:bCs/>
                <w:color w:val="FFFFFF" w:themeColor="background1"/>
                <w:sz w:val="22"/>
                <w:szCs w:val="22"/>
                <w:lang w:eastAsia="fr-FR"/>
              </w:rPr>
              <w:t>2022</w:t>
            </w:r>
          </w:p>
        </w:tc>
        <w:tc>
          <w:tcPr>
            <w:tcW w:w="817" w:type="dxa"/>
            <w:shd w:val="clear" w:color="auto" w:fill="31849B" w:themeFill="accent5" w:themeFillShade="BF"/>
            <w:vAlign w:val="bottom"/>
            <w:hideMark/>
          </w:tcPr>
          <w:p w14:paraId="00447B86" w14:textId="77777777" w:rsidR="00266BC3" w:rsidRPr="00BE4FF7"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color w:val="FFFFFF" w:themeColor="background1"/>
                <w:sz w:val="22"/>
                <w:szCs w:val="22"/>
                <w:lang w:eastAsia="fr-FR"/>
              </w:rPr>
            </w:pPr>
            <w:r w:rsidRPr="00BE4FF7">
              <w:rPr>
                <w:rFonts w:cstheme="minorHAnsi"/>
                <w:b/>
                <w:bCs/>
                <w:color w:val="FFFFFF" w:themeColor="background1"/>
                <w:sz w:val="22"/>
                <w:szCs w:val="22"/>
                <w:lang w:eastAsia="fr-FR"/>
              </w:rPr>
              <w:t>2023</w:t>
            </w:r>
          </w:p>
        </w:tc>
        <w:tc>
          <w:tcPr>
            <w:tcW w:w="993" w:type="dxa"/>
            <w:shd w:val="clear" w:color="auto" w:fill="31849B" w:themeFill="accent5" w:themeFillShade="BF"/>
            <w:vAlign w:val="bottom"/>
            <w:hideMark/>
          </w:tcPr>
          <w:p w14:paraId="5E437E59" w14:textId="77777777" w:rsidR="00266BC3" w:rsidRPr="00BE4FF7"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color w:val="FFFFFF" w:themeColor="background1"/>
                <w:sz w:val="22"/>
                <w:szCs w:val="22"/>
                <w:lang w:eastAsia="fr-FR"/>
              </w:rPr>
            </w:pPr>
            <w:r w:rsidRPr="00BE4FF7">
              <w:rPr>
                <w:rFonts w:cstheme="minorHAnsi"/>
                <w:b/>
                <w:bCs/>
                <w:color w:val="FFFFFF" w:themeColor="background1"/>
                <w:sz w:val="22"/>
                <w:szCs w:val="22"/>
                <w:lang w:eastAsia="fr-FR"/>
              </w:rPr>
              <w:t>2024</w:t>
            </w:r>
          </w:p>
        </w:tc>
      </w:tr>
      <w:tr w:rsidR="00266BC3" w:rsidRPr="00266BC3" w14:paraId="5A539EB2" w14:textId="77777777" w:rsidTr="00BE4FF7">
        <w:trPr>
          <w:trHeight w:val="330"/>
        </w:trPr>
        <w:tc>
          <w:tcPr>
            <w:tcW w:w="1316" w:type="dxa"/>
            <w:shd w:val="clear" w:color="auto" w:fill="B6DDE8" w:themeFill="accent5" w:themeFillTint="66"/>
            <w:noWrap/>
            <w:vAlign w:val="center"/>
            <w:hideMark/>
          </w:tcPr>
          <w:p w14:paraId="3105672C"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 xml:space="preserve">EE-C </w:t>
            </w:r>
          </w:p>
        </w:tc>
        <w:tc>
          <w:tcPr>
            <w:tcW w:w="5200" w:type="dxa"/>
            <w:shd w:val="clear" w:color="auto" w:fill="92CDDC" w:themeFill="accent5" w:themeFillTint="99"/>
            <w:noWrap/>
            <w:vAlign w:val="center"/>
            <w:hideMark/>
          </w:tcPr>
          <w:p w14:paraId="3753CA04"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eastAsia="fr-FR"/>
              </w:rPr>
            </w:pPr>
            <w:r w:rsidRPr="00266BC3">
              <w:rPr>
                <w:rFonts w:cstheme="minorHAnsi"/>
                <w:b/>
                <w:bCs/>
                <w:sz w:val="22"/>
                <w:szCs w:val="22"/>
                <w:lang w:eastAsia="fr-FR"/>
              </w:rPr>
              <w:t xml:space="preserve">EFFICACITE ENERGENTIQUE - CLIMAT </w:t>
            </w:r>
          </w:p>
        </w:tc>
        <w:tc>
          <w:tcPr>
            <w:tcW w:w="0" w:type="auto"/>
            <w:shd w:val="clear" w:color="auto" w:fill="92CDDC" w:themeFill="accent5" w:themeFillTint="99"/>
            <w:noWrap/>
            <w:vAlign w:val="center"/>
            <w:hideMark/>
          </w:tcPr>
          <w:p w14:paraId="2479DCC9" w14:textId="1F1E61E9"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eastAsia="fr-FR"/>
              </w:rPr>
            </w:pPr>
          </w:p>
        </w:tc>
        <w:tc>
          <w:tcPr>
            <w:tcW w:w="1312" w:type="dxa"/>
            <w:shd w:val="clear" w:color="auto" w:fill="92CDDC" w:themeFill="accent5" w:themeFillTint="99"/>
            <w:noWrap/>
            <w:vAlign w:val="bottom"/>
            <w:hideMark/>
          </w:tcPr>
          <w:p w14:paraId="7217E2FC" w14:textId="6B9EEB4D"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sz w:val="22"/>
                <w:szCs w:val="22"/>
                <w:lang w:eastAsia="fr-FR"/>
              </w:rPr>
            </w:pPr>
          </w:p>
        </w:tc>
        <w:tc>
          <w:tcPr>
            <w:tcW w:w="817" w:type="dxa"/>
            <w:shd w:val="clear" w:color="auto" w:fill="92CDDC" w:themeFill="accent5" w:themeFillTint="99"/>
            <w:noWrap/>
            <w:vAlign w:val="bottom"/>
            <w:hideMark/>
          </w:tcPr>
          <w:p w14:paraId="196BC0D4" w14:textId="4AB5EA00"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sz w:val="22"/>
                <w:szCs w:val="22"/>
                <w:lang w:eastAsia="fr-FR"/>
              </w:rPr>
            </w:pPr>
          </w:p>
        </w:tc>
        <w:tc>
          <w:tcPr>
            <w:tcW w:w="993" w:type="dxa"/>
            <w:shd w:val="clear" w:color="auto" w:fill="92CDDC" w:themeFill="accent5" w:themeFillTint="99"/>
            <w:noWrap/>
            <w:vAlign w:val="bottom"/>
            <w:hideMark/>
          </w:tcPr>
          <w:p w14:paraId="55D1526A" w14:textId="3FDED3BF"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sz w:val="22"/>
                <w:szCs w:val="22"/>
                <w:lang w:eastAsia="fr-FR"/>
              </w:rPr>
            </w:pPr>
          </w:p>
        </w:tc>
      </w:tr>
      <w:tr w:rsidR="00266BC3" w:rsidRPr="00266BC3" w14:paraId="41A631B7" w14:textId="77777777" w:rsidTr="00BE4FF7">
        <w:trPr>
          <w:trHeight w:val="315"/>
        </w:trPr>
        <w:tc>
          <w:tcPr>
            <w:tcW w:w="1316" w:type="dxa"/>
            <w:shd w:val="clear" w:color="auto" w:fill="B6DDE8" w:themeFill="accent5" w:themeFillTint="66"/>
            <w:noWrap/>
            <w:vAlign w:val="center"/>
            <w:hideMark/>
          </w:tcPr>
          <w:p w14:paraId="54FC0BF9" w14:textId="42C53AEB"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p>
        </w:tc>
        <w:tc>
          <w:tcPr>
            <w:tcW w:w="5200" w:type="dxa"/>
            <w:shd w:val="clear" w:color="auto" w:fill="B6DDE8" w:themeFill="accent5" w:themeFillTint="66"/>
            <w:noWrap/>
            <w:vAlign w:val="center"/>
            <w:hideMark/>
          </w:tcPr>
          <w:p w14:paraId="64642C37"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ENERGIE</w:t>
            </w:r>
          </w:p>
        </w:tc>
        <w:tc>
          <w:tcPr>
            <w:tcW w:w="0" w:type="auto"/>
            <w:shd w:val="clear" w:color="auto" w:fill="auto"/>
            <w:noWrap/>
            <w:vAlign w:val="bottom"/>
            <w:hideMark/>
          </w:tcPr>
          <w:p w14:paraId="7201353C" w14:textId="68F83EF6"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1312" w:type="dxa"/>
            <w:shd w:val="clear" w:color="auto" w:fill="auto"/>
            <w:noWrap/>
            <w:vAlign w:val="bottom"/>
            <w:hideMark/>
          </w:tcPr>
          <w:p w14:paraId="33643748" w14:textId="7D0CA3E3"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817" w:type="dxa"/>
            <w:shd w:val="clear" w:color="auto" w:fill="auto"/>
            <w:noWrap/>
            <w:vAlign w:val="bottom"/>
            <w:hideMark/>
          </w:tcPr>
          <w:p w14:paraId="26A9A1FF" w14:textId="6BB79644"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54B86922" w14:textId="626E26BE"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3AE55248" w14:textId="77777777" w:rsidTr="00BE4FF7">
        <w:trPr>
          <w:trHeight w:val="450"/>
        </w:trPr>
        <w:tc>
          <w:tcPr>
            <w:tcW w:w="1316" w:type="dxa"/>
            <w:shd w:val="clear" w:color="auto" w:fill="B6DDE8" w:themeFill="accent5" w:themeFillTint="66"/>
            <w:noWrap/>
            <w:vAlign w:val="center"/>
            <w:hideMark/>
          </w:tcPr>
          <w:p w14:paraId="1FCE16B2"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EE-C-ENV-01</w:t>
            </w:r>
          </w:p>
        </w:tc>
        <w:tc>
          <w:tcPr>
            <w:tcW w:w="5200" w:type="dxa"/>
            <w:shd w:val="clear" w:color="auto" w:fill="auto"/>
            <w:vAlign w:val="center"/>
            <w:hideMark/>
          </w:tcPr>
          <w:p w14:paraId="40495CA4"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val="fr-FR" w:eastAsia="fr-FR"/>
              </w:rPr>
            </w:pPr>
            <w:r w:rsidRPr="00266BC3">
              <w:rPr>
                <w:rFonts w:cstheme="minorHAnsi"/>
                <w:b/>
                <w:bCs/>
                <w:sz w:val="22"/>
                <w:szCs w:val="22"/>
                <w:lang w:val="fr-FR" w:eastAsia="fr-FR"/>
              </w:rPr>
              <w:t xml:space="preserve">Energie électrique consommée via fournisseur externe </w:t>
            </w:r>
          </w:p>
        </w:tc>
        <w:tc>
          <w:tcPr>
            <w:tcW w:w="0" w:type="auto"/>
            <w:shd w:val="clear" w:color="auto" w:fill="auto"/>
            <w:noWrap/>
            <w:vAlign w:val="bottom"/>
            <w:hideMark/>
          </w:tcPr>
          <w:p w14:paraId="5973DF56" w14:textId="62D919CF"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kwh </w:t>
            </w:r>
          </w:p>
        </w:tc>
        <w:tc>
          <w:tcPr>
            <w:tcW w:w="1312" w:type="dxa"/>
            <w:shd w:val="clear" w:color="auto" w:fill="auto"/>
            <w:noWrap/>
            <w:vAlign w:val="center"/>
            <w:hideMark/>
          </w:tcPr>
          <w:p w14:paraId="4D4BC553"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768 269</w:t>
            </w:r>
          </w:p>
        </w:tc>
        <w:tc>
          <w:tcPr>
            <w:tcW w:w="817" w:type="dxa"/>
            <w:shd w:val="clear" w:color="auto" w:fill="auto"/>
            <w:noWrap/>
            <w:vAlign w:val="bottom"/>
            <w:hideMark/>
          </w:tcPr>
          <w:p w14:paraId="6EDDEE3F" w14:textId="268587CD"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5309D2B5" w14:textId="36D1377E"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9E3CCA" w14:paraId="78E16FB1" w14:textId="77777777" w:rsidTr="00BE4FF7">
        <w:trPr>
          <w:trHeight w:val="300"/>
        </w:trPr>
        <w:tc>
          <w:tcPr>
            <w:tcW w:w="1316" w:type="dxa"/>
            <w:shd w:val="clear" w:color="auto" w:fill="B6DDE8" w:themeFill="accent5" w:themeFillTint="66"/>
            <w:noWrap/>
            <w:vAlign w:val="center"/>
            <w:hideMark/>
          </w:tcPr>
          <w:p w14:paraId="0A92568C" w14:textId="23721BB8"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5200" w:type="dxa"/>
            <w:shd w:val="clear" w:color="auto" w:fill="auto"/>
            <w:vAlign w:val="center"/>
            <w:hideMark/>
          </w:tcPr>
          <w:p w14:paraId="2B0EE9CA"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val="fr-FR" w:eastAsia="fr-FR"/>
              </w:rPr>
            </w:pPr>
            <w:r w:rsidRPr="00266BC3">
              <w:rPr>
                <w:rFonts w:cstheme="minorHAnsi"/>
                <w:b/>
                <w:bCs/>
                <w:sz w:val="22"/>
                <w:szCs w:val="22"/>
                <w:lang w:val="fr-FR" w:eastAsia="fr-FR"/>
              </w:rPr>
              <w:t xml:space="preserve">Energie électrique consommée via source </w:t>
            </w:r>
            <w:proofErr w:type="gramStart"/>
            <w:r w:rsidRPr="00266BC3">
              <w:rPr>
                <w:rFonts w:cstheme="minorHAnsi"/>
                <w:b/>
                <w:bCs/>
                <w:sz w:val="22"/>
                <w:szCs w:val="22"/>
                <w:lang w:val="fr-FR" w:eastAsia="fr-FR"/>
              </w:rPr>
              <w:t>interne:</w:t>
            </w:r>
            <w:proofErr w:type="gramEnd"/>
          </w:p>
        </w:tc>
        <w:tc>
          <w:tcPr>
            <w:tcW w:w="0" w:type="auto"/>
            <w:shd w:val="clear" w:color="auto" w:fill="auto"/>
            <w:noWrap/>
            <w:vAlign w:val="bottom"/>
            <w:hideMark/>
          </w:tcPr>
          <w:p w14:paraId="762BB54F" w14:textId="7F19E2CA"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c>
          <w:tcPr>
            <w:tcW w:w="1312" w:type="dxa"/>
            <w:shd w:val="clear" w:color="auto" w:fill="auto"/>
            <w:noWrap/>
            <w:vAlign w:val="bottom"/>
            <w:hideMark/>
          </w:tcPr>
          <w:p w14:paraId="05D78A1E" w14:textId="16945B2E"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c>
          <w:tcPr>
            <w:tcW w:w="817" w:type="dxa"/>
            <w:shd w:val="clear" w:color="auto" w:fill="auto"/>
            <w:noWrap/>
            <w:vAlign w:val="bottom"/>
            <w:hideMark/>
          </w:tcPr>
          <w:p w14:paraId="38DA6276" w14:textId="5F56F86E"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c>
          <w:tcPr>
            <w:tcW w:w="993" w:type="dxa"/>
            <w:shd w:val="clear" w:color="auto" w:fill="auto"/>
            <w:noWrap/>
            <w:vAlign w:val="bottom"/>
            <w:hideMark/>
          </w:tcPr>
          <w:p w14:paraId="2D00203C" w14:textId="134AA8E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r>
      <w:tr w:rsidR="00266BC3" w:rsidRPr="00266BC3" w14:paraId="3A49D881" w14:textId="77777777" w:rsidTr="00BE4FF7">
        <w:trPr>
          <w:trHeight w:val="300"/>
        </w:trPr>
        <w:tc>
          <w:tcPr>
            <w:tcW w:w="1316" w:type="dxa"/>
            <w:shd w:val="clear" w:color="auto" w:fill="B6DDE8" w:themeFill="accent5" w:themeFillTint="66"/>
            <w:noWrap/>
            <w:vAlign w:val="center"/>
            <w:hideMark/>
          </w:tcPr>
          <w:p w14:paraId="7B86C798"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EE-C-ENV-02</w:t>
            </w:r>
          </w:p>
        </w:tc>
        <w:tc>
          <w:tcPr>
            <w:tcW w:w="5200" w:type="dxa"/>
            <w:shd w:val="clear" w:color="auto" w:fill="auto"/>
            <w:vAlign w:val="center"/>
            <w:hideMark/>
          </w:tcPr>
          <w:p w14:paraId="7CA3FA71"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ind w:firstLineChars="100" w:firstLine="220"/>
              <w:textAlignment w:val="auto"/>
              <w:rPr>
                <w:rFonts w:cstheme="minorHAnsi"/>
                <w:sz w:val="22"/>
                <w:szCs w:val="22"/>
                <w:lang w:eastAsia="fr-FR"/>
              </w:rPr>
            </w:pPr>
            <w:r w:rsidRPr="00266BC3">
              <w:rPr>
                <w:rFonts w:cstheme="minorHAnsi"/>
                <w:sz w:val="22"/>
                <w:szCs w:val="22"/>
                <w:lang w:eastAsia="fr-FR"/>
              </w:rPr>
              <w:t xml:space="preserve">-via source </w:t>
            </w:r>
            <w:proofErr w:type="spellStart"/>
            <w:r w:rsidRPr="00266BC3">
              <w:rPr>
                <w:rFonts w:cstheme="minorHAnsi"/>
                <w:sz w:val="22"/>
                <w:szCs w:val="22"/>
                <w:lang w:eastAsia="fr-FR"/>
              </w:rPr>
              <w:t>renouvelable</w:t>
            </w:r>
            <w:proofErr w:type="spellEnd"/>
          </w:p>
        </w:tc>
        <w:tc>
          <w:tcPr>
            <w:tcW w:w="0" w:type="auto"/>
            <w:shd w:val="clear" w:color="auto" w:fill="auto"/>
            <w:noWrap/>
            <w:vAlign w:val="bottom"/>
            <w:hideMark/>
          </w:tcPr>
          <w:p w14:paraId="39CBB45E" w14:textId="3DBFF7C9"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kwh </w:t>
            </w:r>
          </w:p>
        </w:tc>
        <w:tc>
          <w:tcPr>
            <w:tcW w:w="1312" w:type="dxa"/>
            <w:shd w:val="clear" w:color="auto" w:fill="auto"/>
            <w:noWrap/>
            <w:vAlign w:val="center"/>
            <w:hideMark/>
          </w:tcPr>
          <w:p w14:paraId="56D3429A"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264159,17</w:t>
            </w:r>
          </w:p>
        </w:tc>
        <w:tc>
          <w:tcPr>
            <w:tcW w:w="817" w:type="dxa"/>
            <w:shd w:val="clear" w:color="auto" w:fill="auto"/>
            <w:noWrap/>
            <w:vAlign w:val="bottom"/>
            <w:hideMark/>
          </w:tcPr>
          <w:p w14:paraId="01AF0097" w14:textId="51C3CB31"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31B650E3" w14:textId="323E6E60"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5E9BAA99" w14:textId="77777777" w:rsidTr="00BE4FF7">
        <w:trPr>
          <w:trHeight w:val="300"/>
        </w:trPr>
        <w:tc>
          <w:tcPr>
            <w:tcW w:w="1316" w:type="dxa"/>
            <w:shd w:val="clear" w:color="auto" w:fill="B6DDE8" w:themeFill="accent5" w:themeFillTint="66"/>
            <w:noWrap/>
            <w:vAlign w:val="center"/>
            <w:hideMark/>
          </w:tcPr>
          <w:p w14:paraId="3E0394A5"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EE-C-ENV-03</w:t>
            </w:r>
          </w:p>
        </w:tc>
        <w:tc>
          <w:tcPr>
            <w:tcW w:w="5200" w:type="dxa"/>
            <w:shd w:val="clear" w:color="auto" w:fill="auto"/>
            <w:vAlign w:val="center"/>
            <w:hideMark/>
          </w:tcPr>
          <w:p w14:paraId="2A6A583B"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ind w:firstLineChars="100" w:firstLine="220"/>
              <w:textAlignment w:val="auto"/>
              <w:rPr>
                <w:rFonts w:cstheme="minorHAnsi"/>
                <w:sz w:val="22"/>
                <w:szCs w:val="22"/>
                <w:lang w:eastAsia="fr-FR"/>
              </w:rPr>
            </w:pPr>
            <w:r w:rsidRPr="00266BC3">
              <w:rPr>
                <w:rFonts w:cstheme="minorHAnsi"/>
                <w:sz w:val="22"/>
                <w:szCs w:val="22"/>
                <w:lang w:eastAsia="fr-FR"/>
              </w:rPr>
              <w:t>-via source non-</w:t>
            </w:r>
            <w:proofErr w:type="spellStart"/>
            <w:r w:rsidRPr="00266BC3">
              <w:rPr>
                <w:rFonts w:cstheme="minorHAnsi"/>
                <w:sz w:val="22"/>
                <w:szCs w:val="22"/>
                <w:lang w:eastAsia="fr-FR"/>
              </w:rPr>
              <w:t>renouvelable</w:t>
            </w:r>
            <w:proofErr w:type="spellEnd"/>
          </w:p>
        </w:tc>
        <w:tc>
          <w:tcPr>
            <w:tcW w:w="0" w:type="auto"/>
            <w:shd w:val="clear" w:color="auto" w:fill="auto"/>
            <w:noWrap/>
            <w:vAlign w:val="bottom"/>
            <w:hideMark/>
          </w:tcPr>
          <w:p w14:paraId="4CC7A48D" w14:textId="0891AED8"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kwh </w:t>
            </w:r>
          </w:p>
        </w:tc>
        <w:tc>
          <w:tcPr>
            <w:tcW w:w="1312" w:type="dxa"/>
            <w:shd w:val="clear" w:color="auto" w:fill="auto"/>
            <w:noWrap/>
            <w:vAlign w:val="center"/>
            <w:hideMark/>
          </w:tcPr>
          <w:p w14:paraId="22009C40"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547084,2689</w:t>
            </w:r>
          </w:p>
        </w:tc>
        <w:tc>
          <w:tcPr>
            <w:tcW w:w="817" w:type="dxa"/>
            <w:shd w:val="clear" w:color="auto" w:fill="auto"/>
            <w:noWrap/>
            <w:vAlign w:val="bottom"/>
            <w:hideMark/>
          </w:tcPr>
          <w:p w14:paraId="0C7713BA" w14:textId="5B6F23F8"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4F3C7D31" w14:textId="201D252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9E3CCA" w14:paraId="2B77707C" w14:textId="77777777" w:rsidTr="00BE4FF7">
        <w:trPr>
          <w:trHeight w:val="450"/>
        </w:trPr>
        <w:tc>
          <w:tcPr>
            <w:tcW w:w="1316" w:type="dxa"/>
            <w:shd w:val="clear" w:color="auto" w:fill="B6DDE8" w:themeFill="accent5" w:themeFillTint="66"/>
            <w:noWrap/>
            <w:vAlign w:val="center"/>
            <w:hideMark/>
          </w:tcPr>
          <w:p w14:paraId="14EC9BB5" w14:textId="3A50A48B"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5200" w:type="dxa"/>
            <w:shd w:val="clear" w:color="auto" w:fill="auto"/>
            <w:vAlign w:val="center"/>
            <w:hideMark/>
          </w:tcPr>
          <w:p w14:paraId="541E265A"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val="fr-FR" w:eastAsia="fr-FR"/>
              </w:rPr>
            </w:pPr>
            <w:r w:rsidRPr="00266BC3">
              <w:rPr>
                <w:rFonts w:cstheme="minorHAnsi"/>
                <w:b/>
                <w:bCs/>
                <w:sz w:val="22"/>
                <w:szCs w:val="22"/>
                <w:lang w:val="fr-FR" w:eastAsia="fr-FR"/>
              </w:rPr>
              <w:t xml:space="preserve">Energie électrique vendue (produite) à un client </w:t>
            </w:r>
            <w:proofErr w:type="gramStart"/>
            <w:r w:rsidRPr="00266BC3">
              <w:rPr>
                <w:rFonts w:cstheme="minorHAnsi"/>
                <w:b/>
                <w:bCs/>
                <w:sz w:val="22"/>
                <w:szCs w:val="22"/>
                <w:lang w:val="fr-FR" w:eastAsia="fr-FR"/>
              </w:rPr>
              <w:t>externe:</w:t>
            </w:r>
            <w:proofErr w:type="gramEnd"/>
          </w:p>
        </w:tc>
        <w:tc>
          <w:tcPr>
            <w:tcW w:w="0" w:type="auto"/>
            <w:shd w:val="clear" w:color="auto" w:fill="auto"/>
            <w:noWrap/>
            <w:vAlign w:val="bottom"/>
            <w:hideMark/>
          </w:tcPr>
          <w:p w14:paraId="23B21BFF" w14:textId="2CD026BE"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c>
          <w:tcPr>
            <w:tcW w:w="1312" w:type="dxa"/>
            <w:shd w:val="clear" w:color="auto" w:fill="auto"/>
            <w:noWrap/>
            <w:vAlign w:val="bottom"/>
            <w:hideMark/>
          </w:tcPr>
          <w:p w14:paraId="02E8BC30" w14:textId="7B1C57CD"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c>
          <w:tcPr>
            <w:tcW w:w="817" w:type="dxa"/>
            <w:shd w:val="clear" w:color="auto" w:fill="auto"/>
            <w:noWrap/>
            <w:vAlign w:val="bottom"/>
            <w:hideMark/>
          </w:tcPr>
          <w:p w14:paraId="358839E8" w14:textId="19793EE9"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c>
          <w:tcPr>
            <w:tcW w:w="993" w:type="dxa"/>
            <w:shd w:val="clear" w:color="auto" w:fill="auto"/>
            <w:noWrap/>
            <w:vAlign w:val="bottom"/>
            <w:hideMark/>
          </w:tcPr>
          <w:p w14:paraId="4622432A" w14:textId="19271F90"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val="fr-FR" w:eastAsia="fr-FR"/>
              </w:rPr>
            </w:pPr>
          </w:p>
        </w:tc>
      </w:tr>
      <w:tr w:rsidR="00266BC3" w:rsidRPr="00266BC3" w14:paraId="569E1978" w14:textId="77777777" w:rsidTr="00BE4FF7">
        <w:trPr>
          <w:trHeight w:val="300"/>
        </w:trPr>
        <w:tc>
          <w:tcPr>
            <w:tcW w:w="1316" w:type="dxa"/>
            <w:shd w:val="clear" w:color="auto" w:fill="B6DDE8" w:themeFill="accent5" w:themeFillTint="66"/>
            <w:noWrap/>
            <w:vAlign w:val="center"/>
            <w:hideMark/>
          </w:tcPr>
          <w:p w14:paraId="202310CD"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EE-C-ENV-04</w:t>
            </w:r>
          </w:p>
        </w:tc>
        <w:tc>
          <w:tcPr>
            <w:tcW w:w="5200" w:type="dxa"/>
            <w:shd w:val="clear" w:color="auto" w:fill="auto"/>
            <w:vAlign w:val="center"/>
            <w:hideMark/>
          </w:tcPr>
          <w:p w14:paraId="7C485472"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ind w:firstLineChars="100" w:firstLine="220"/>
              <w:textAlignment w:val="auto"/>
              <w:rPr>
                <w:rFonts w:cstheme="minorHAnsi"/>
                <w:sz w:val="22"/>
                <w:szCs w:val="22"/>
                <w:lang w:eastAsia="fr-FR"/>
              </w:rPr>
            </w:pPr>
            <w:r w:rsidRPr="00266BC3">
              <w:rPr>
                <w:rFonts w:cstheme="minorHAnsi"/>
                <w:sz w:val="22"/>
                <w:szCs w:val="22"/>
                <w:lang w:eastAsia="fr-FR"/>
              </w:rPr>
              <w:t xml:space="preserve">-via source </w:t>
            </w:r>
            <w:proofErr w:type="spellStart"/>
            <w:r w:rsidRPr="00266BC3">
              <w:rPr>
                <w:rFonts w:cstheme="minorHAnsi"/>
                <w:sz w:val="22"/>
                <w:szCs w:val="22"/>
                <w:lang w:eastAsia="fr-FR"/>
              </w:rPr>
              <w:t>renouvelable</w:t>
            </w:r>
            <w:proofErr w:type="spellEnd"/>
          </w:p>
        </w:tc>
        <w:tc>
          <w:tcPr>
            <w:tcW w:w="0" w:type="auto"/>
            <w:shd w:val="clear" w:color="auto" w:fill="auto"/>
            <w:noWrap/>
            <w:vAlign w:val="bottom"/>
            <w:hideMark/>
          </w:tcPr>
          <w:p w14:paraId="7DDCA0A8" w14:textId="57ED3942"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kwh </w:t>
            </w:r>
          </w:p>
        </w:tc>
        <w:tc>
          <w:tcPr>
            <w:tcW w:w="1312" w:type="dxa"/>
            <w:shd w:val="clear" w:color="auto" w:fill="auto"/>
            <w:noWrap/>
            <w:vAlign w:val="center"/>
            <w:hideMark/>
          </w:tcPr>
          <w:p w14:paraId="140C47FE"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0</w:t>
            </w:r>
          </w:p>
        </w:tc>
        <w:tc>
          <w:tcPr>
            <w:tcW w:w="817" w:type="dxa"/>
            <w:shd w:val="clear" w:color="auto" w:fill="auto"/>
            <w:noWrap/>
            <w:vAlign w:val="bottom"/>
            <w:hideMark/>
          </w:tcPr>
          <w:p w14:paraId="36329199" w14:textId="774B2938"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4D086882" w14:textId="0CF29B5A"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6E76223B" w14:textId="77777777" w:rsidTr="00BE4FF7">
        <w:trPr>
          <w:trHeight w:val="300"/>
        </w:trPr>
        <w:tc>
          <w:tcPr>
            <w:tcW w:w="1316" w:type="dxa"/>
            <w:shd w:val="clear" w:color="auto" w:fill="B6DDE8" w:themeFill="accent5" w:themeFillTint="66"/>
            <w:noWrap/>
            <w:vAlign w:val="center"/>
            <w:hideMark/>
          </w:tcPr>
          <w:p w14:paraId="0A43ED0F"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EE-C-ENV-05</w:t>
            </w:r>
          </w:p>
        </w:tc>
        <w:tc>
          <w:tcPr>
            <w:tcW w:w="5200" w:type="dxa"/>
            <w:shd w:val="clear" w:color="auto" w:fill="auto"/>
            <w:vAlign w:val="center"/>
            <w:hideMark/>
          </w:tcPr>
          <w:p w14:paraId="6AEA1178"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ind w:firstLineChars="100" w:firstLine="220"/>
              <w:textAlignment w:val="auto"/>
              <w:rPr>
                <w:rFonts w:cstheme="minorHAnsi"/>
                <w:sz w:val="22"/>
                <w:szCs w:val="22"/>
                <w:lang w:eastAsia="fr-FR"/>
              </w:rPr>
            </w:pPr>
            <w:r w:rsidRPr="00266BC3">
              <w:rPr>
                <w:rFonts w:cstheme="minorHAnsi"/>
                <w:sz w:val="22"/>
                <w:szCs w:val="22"/>
                <w:lang w:eastAsia="fr-FR"/>
              </w:rPr>
              <w:t>-via source non-</w:t>
            </w:r>
            <w:proofErr w:type="spellStart"/>
            <w:r w:rsidRPr="00266BC3">
              <w:rPr>
                <w:rFonts w:cstheme="minorHAnsi"/>
                <w:sz w:val="22"/>
                <w:szCs w:val="22"/>
                <w:lang w:eastAsia="fr-FR"/>
              </w:rPr>
              <w:t>renouvelable</w:t>
            </w:r>
            <w:proofErr w:type="spellEnd"/>
          </w:p>
        </w:tc>
        <w:tc>
          <w:tcPr>
            <w:tcW w:w="0" w:type="auto"/>
            <w:shd w:val="clear" w:color="auto" w:fill="auto"/>
            <w:noWrap/>
            <w:vAlign w:val="bottom"/>
            <w:hideMark/>
          </w:tcPr>
          <w:p w14:paraId="30AD0B33" w14:textId="42BA79EF"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kwh </w:t>
            </w:r>
          </w:p>
        </w:tc>
        <w:tc>
          <w:tcPr>
            <w:tcW w:w="1312" w:type="dxa"/>
            <w:shd w:val="clear" w:color="auto" w:fill="auto"/>
            <w:noWrap/>
            <w:vAlign w:val="center"/>
            <w:hideMark/>
          </w:tcPr>
          <w:p w14:paraId="79937EDD"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0</w:t>
            </w:r>
          </w:p>
        </w:tc>
        <w:tc>
          <w:tcPr>
            <w:tcW w:w="817" w:type="dxa"/>
            <w:shd w:val="clear" w:color="auto" w:fill="auto"/>
            <w:noWrap/>
            <w:vAlign w:val="bottom"/>
            <w:hideMark/>
          </w:tcPr>
          <w:p w14:paraId="2A76CE3C" w14:textId="71B9930C"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2AD2A7A5" w14:textId="523E7C79"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651AB2C1" w14:textId="77777777" w:rsidTr="00BE4FF7">
        <w:trPr>
          <w:trHeight w:val="300"/>
        </w:trPr>
        <w:tc>
          <w:tcPr>
            <w:tcW w:w="1316" w:type="dxa"/>
            <w:shd w:val="clear" w:color="auto" w:fill="B6DDE8" w:themeFill="accent5" w:themeFillTint="66"/>
            <w:noWrap/>
            <w:vAlign w:val="center"/>
            <w:hideMark/>
          </w:tcPr>
          <w:p w14:paraId="450C219A"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EE-C-ENV-06</w:t>
            </w:r>
          </w:p>
        </w:tc>
        <w:tc>
          <w:tcPr>
            <w:tcW w:w="5200" w:type="dxa"/>
            <w:shd w:val="clear" w:color="auto" w:fill="auto"/>
            <w:vAlign w:val="center"/>
            <w:hideMark/>
          </w:tcPr>
          <w:p w14:paraId="7D71E7A2"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eastAsia="fr-FR"/>
              </w:rPr>
            </w:pPr>
            <w:proofErr w:type="spellStart"/>
            <w:r w:rsidRPr="00266BC3">
              <w:rPr>
                <w:rFonts w:cstheme="minorHAnsi"/>
                <w:b/>
                <w:bCs/>
                <w:sz w:val="22"/>
                <w:szCs w:val="22"/>
                <w:lang w:eastAsia="fr-FR"/>
              </w:rPr>
              <w:t>Energie</w:t>
            </w:r>
            <w:proofErr w:type="spellEnd"/>
            <w:r w:rsidRPr="00266BC3">
              <w:rPr>
                <w:rFonts w:cstheme="minorHAnsi"/>
                <w:b/>
                <w:bCs/>
                <w:sz w:val="22"/>
                <w:szCs w:val="22"/>
                <w:lang w:eastAsia="fr-FR"/>
              </w:rPr>
              <w:t xml:space="preserve"> </w:t>
            </w:r>
            <w:proofErr w:type="spellStart"/>
            <w:r w:rsidRPr="00266BC3">
              <w:rPr>
                <w:rFonts w:cstheme="minorHAnsi"/>
                <w:b/>
                <w:bCs/>
                <w:sz w:val="22"/>
                <w:szCs w:val="22"/>
                <w:lang w:eastAsia="fr-FR"/>
              </w:rPr>
              <w:t>électrique</w:t>
            </w:r>
            <w:proofErr w:type="spellEnd"/>
            <w:r w:rsidRPr="00266BC3">
              <w:rPr>
                <w:rFonts w:cstheme="minorHAnsi"/>
                <w:b/>
                <w:bCs/>
                <w:sz w:val="22"/>
                <w:szCs w:val="22"/>
                <w:lang w:eastAsia="fr-FR"/>
              </w:rPr>
              <w:t xml:space="preserve"> </w:t>
            </w:r>
            <w:proofErr w:type="spellStart"/>
            <w:r w:rsidRPr="00266BC3">
              <w:rPr>
                <w:rFonts w:cstheme="minorHAnsi"/>
                <w:b/>
                <w:bCs/>
                <w:sz w:val="22"/>
                <w:szCs w:val="22"/>
                <w:lang w:eastAsia="fr-FR"/>
              </w:rPr>
              <w:t>totale</w:t>
            </w:r>
            <w:proofErr w:type="spellEnd"/>
            <w:r w:rsidRPr="00266BC3">
              <w:rPr>
                <w:rFonts w:cstheme="minorHAnsi"/>
                <w:b/>
                <w:bCs/>
                <w:sz w:val="22"/>
                <w:szCs w:val="22"/>
                <w:lang w:eastAsia="fr-FR"/>
              </w:rPr>
              <w:t xml:space="preserve"> </w:t>
            </w:r>
            <w:proofErr w:type="spellStart"/>
            <w:r w:rsidRPr="00266BC3">
              <w:rPr>
                <w:rFonts w:cstheme="minorHAnsi"/>
                <w:b/>
                <w:bCs/>
                <w:sz w:val="22"/>
                <w:szCs w:val="22"/>
                <w:lang w:eastAsia="fr-FR"/>
              </w:rPr>
              <w:t>consommée</w:t>
            </w:r>
            <w:proofErr w:type="spellEnd"/>
          </w:p>
        </w:tc>
        <w:tc>
          <w:tcPr>
            <w:tcW w:w="0" w:type="auto"/>
            <w:shd w:val="clear" w:color="auto" w:fill="auto"/>
            <w:noWrap/>
            <w:vAlign w:val="bottom"/>
            <w:hideMark/>
          </w:tcPr>
          <w:p w14:paraId="15D03820" w14:textId="06E4A151"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kwh </w:t>
            </w:r>
          </w:p>
        </w:tc>
        <w:tc>
          <w:tcPr>
            <w:tcW w:w="1312" w:type="dxa"/>
            <w:shd w:val="clear" w:color="auto" w:fill="auto"/>
            <w:noWrap/>
            <w:vAlign w:val="bottom"/>
            <w:hideMark/>
          </w:tcPr>
          <w:p w14:paraId="7005EA48" w14:textId="6091A935"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817" w:type="dxa"/>
            <w:shd w:val="clear" w:color="auto" w:fill="auto"/>
            <w:noWrap/>
            <w:vAlign w:val="bottom"/>
            <w:hideMark/>
          </w:tcPr>
          <w:p w14:paraId="2DF9B103" w14:textId="5DE6939B"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5F088672" w14:textId="423A1150"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6845D373" w14:textId="77777777" w:rsidTr="00BE4FF7">
        <w:trPr>
          <w:trHeight w:val="315"/>
        </w:trPr>
        <w:tc>
          <w:tcPr>
            <w:tcW w:w="1316" w:type="dxa"/>
            <w:shd w:val="clear" w:color="auto" w:fill="B6DDE8" w:themeFill="accent5" w:themeFillTint="66"/>
            <w:noWrap/>
            <w:vAlign w:val="center"/>
            <w:hideMark/>
          </w:tcPr>
          <w:p w14:paraId="4C48932B" w14:textId="285EE136"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5200" w:type="dxa"/>
            <w:shd w:val="clear" w:color="auto" w:fill="B6DDE8" w:themeFill="accent5" w:themeFillTint="66"/>
            <w:noWrap/>
            <w:vAlign w:val="center"/>
            <w:hideMark/>
          </w:tcPr>
          <w:p w14:paraId="1742B888"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CARBURANT</w:t>
            </w:r>
          </w:p>
        </w:tc>
        <w:tc>
          <w:tcPr>
            <w:tcW w:w="0" w:type="auto"/>
            <w:shd w:val="clear" w:color="auto" w:fill="auto"/>
            <w:noWrap/>
            <w:vAlign w:val="bottom"/>
            <w:hideMark/>
          </w:tcPr>
          <w:p w14:paraId="75AE0010" w14:textId="116BBB6E"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1312" w:type="dxa"/>
            <w:shd w:val="clear" w:color="auto" w:fill="auto"/>
            <w:noWrap/>
            <w:vAlign w:val="bottom"/>
            <w:hideMark/>
          </w:tcPr>
          <w:p w14:paraId="2F454AAB" w14:textId="4F15319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817" w:type="dxa"/>
            <w:shd w:val="clear" w:color="auto" w:fill="auto"/>
            <w:noWrap/>
            <w:vAlign w:val="bottom"/>
            <w:hideMark/>
          </w:tcPr>
          <w:p w14:paraId="104E487B" w14:textId="0B1FCC20"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263F5FAA" w14:textId="48B6FE5B"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60180A13" w14:textId="77777777" w:rsidTr="00BE4FF7">
        <w:trPr>
          <w:trHeight w:val="300"/>
        </w:trPr>
        <w:tc>
          <w:tcPr>
            <w:tcW w:w="1316" w:type="dxa"/>
            <w:shd w:val="clear" w:color="auto" w:fill="B6DDE8" w:themeFill="accent5" w:themeFillTint="66"/>
            <w:noWrap/>
            <w:vAlign w:val="center"/>
            <w:hideMark/>
          </w:tcPr>
          <w:p w14:paraId="59CDC2AF"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EE-C-ENV-06</w:t>
            </w:r>
          </w:p>
        </w:tc>
        <w:tc>
          <w:tcPr>
            <w:tcW w:w="5200" w:type="dxa"/>
            <w:shd w:val="clear" w:color="auto" w:fill="auto"/>
            <w:vAlign w:val="center"/>
            <w:hideMark/>
          </w:tcPr>
          <w:p w14:paraId="45B2A098"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eastAsia="fr-FR"/>
              </w:rPr>
            </w:pPr>
            <w:proofErr w:type="spellStart"/>
            <w:r w:rsidRPr="00266BC3">
              <w:rPr>
                <w:rFonts w:cstheme="minorHAnsi"/>
                <w:b/>
                <w:bCs/>
                <w:sz w:val="22"/>
                <w:szCs w:val="22"/>
                <w:lang w:eastAsia="fr-FR"/>
              </w:rPr>
              <w:t>Consommation</w:t>
            </w:r>
            <w:proofErr w:type="spellEnd"/>
            <w:r w:rsidRPr="00266BC3">
              <w:rPr>
                <w:rFonts w:cstheme="minorHAnsi"/>
                <w:b/>
                <w:bCs/>
                <w:sz w:val="22"/>
                <w:szCs w:val="22"/>
                <w:lang w:eastAsia="fr-FR"/>
              </w:rPr>
              <w:t xml:space="preserve"> carburant des </w:t>
            </w:r>
            <w:proofErr w:type="spellStart"/>
            <w:r w:rsidRPr="00266BC3">
              <w:rPr>
                <w:rFonts w:cstheme="minorHAnsi"/>
                <w:b/>
                <w:bCs/>
                <w:sz w:val="22"/>
                <w:szCs w:val="22"/>
                <w:lang w:eastAsia="fr-FR"/>
              </w:rPr>
              <w:t>véhicules</w:t>
            </w:r>
            <w:proofErr w:type="spellEnd"/>
          </w:p>
        </w:tc>
        <w:tc>
          <w:tcPr>
            <w:tcW w:w="0" w:type="auto"/>
            <w:shd w:val="clear" w:color="auto" w:fill="auto"/>
            <w:noWrap/>
            <w:vAlign w:val="bottom"/>
            <w:hideMark/>
          </w:tcPr>
          <w:p w14:paraId="70C7CC12" w14:textId="6D023822"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L </w:t>
            </w:r>
          </w:p>
        </w:tc>
        <w:tc>
          <w:tcPr>
            <w:tcW w:w="1312" w:type="dxa"/>
            <w:shd w:val="clear" w:color="auto" w:fill="auto"/>
            <w:noWrap/>
            <w:vAlign w:val="center"/>
            <w:hideMark/>
          </w:tcPr>
          <w:p w14:paraId="3BECBB1C"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64701</w:t>
            </w:r>
          </w:p>
        </w:tc>
        <w:tc>
          <w:tcPr>
            <w:tcW w:w="817" w:type="dxa"/>
            <w:shd w:val="clear" w:color="auto" w:fill="auto"/>
            <w:noWrap/>
            <w:vAlign w:val="bottom"/>
            <w:hideMark/>
          </w:tcPr>
          <w:p w14:paraId="03D302A8" w14:textId="7FE18E5F"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5119A692" w14:textId="2F48D029"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512125A2" w14:textId="77777777" w:rsidTr="00BE4FF7">
        <w:trPr>
          <w:trHeight w:val="300"/>
        </w:trPr>
        <w:tc>
          <w:tcPr>
            <w:tcW w:w="1316" w:type="dxa"/>
            <w:shd w:val="clear" w:color="auto" w:fill="B6DDE8" w:themeFill="accent5" w:themeFillTint="66"/>
            <w:noWrap/>
            <w:vAlign w:val="center"/>
            <w:hideMark/>
          </w:tcPr>
          <w:p w14:paraId="15476F58"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EE-C-ENV-07</w:t>
            </w:r>
          </w:p>
        </w:tc>
        <w:tc>
          <w:tcPr>
            <w:tcW w:w="5200" w:type="dxa"/>
            <w:shd w:val="clear" w:color="auto" w:fill="auto"/>
            <w:vAlign w:val="center"/>
            <w:hideMark/>
          </w:tcPr>
          <w:p w14:paraId="708740C8"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val="fr-FR" w:eastAsia="fr-FR"/>
              </w:rPr>
            </w:pPr>
            <w:r w:rsidRPr="00266BC3">
              <w:rPr>
                <w:rFonts w:cstheme="minorHAnsi"/>
                <w:b/>
                <w:bCs/>
                <w:sz w:val="22"/>
                <w:szCs w:val="22"/>
                <w:lang w:val="fr-FR" w:eastAsia="fr-FR"/>
              </w:rPr>
              <w:t>Consommation carburant des groupes électrogènes</w:t>
            </w:r>
          </w:p>
        </w:tc>
        <w:tc>
          <w:tcPr>
            <w:tcW w:w="0" w:type="auto"/>
            <w:shd w:val="clear" w:color="auto" w:fill="auto"/>
            <w:noWrap/>
            <w:vAlign w:val="bottom"/>
            <w:hideMark/>
          </w:tcPr>
          <w:p w14:paraId="0FCD333E" w14:textId="09307401"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L </w:t>
            </w:r>
          </w:p>
        </w:tc>
        <w:tc>
          <w:tcPr>
            <w:tcW w:w="1312" w:type="dxa"/>
            <w:shd w:val="clear" w:color="auto" w:fill="auto"/>
            <w:noWrap/>
            <w:vAlign w:val="center"/>
            <w:hideMark/>
          </w:tcPr>
          <w:p w14:paraId="4E338B4B"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529297,97</w:t>
            </w:r>
          </w:p>
        </w:tc>
        <w:tc>
          <w:tcPr>
            <w:tcW w:w="817" w:type="dxa"/>
            <w:shd w:val="clear" w:color="auto" w:fill="auto"/>
            <w:noWrap/>
            <w:vAlign w:val="bottom"/>
            <w:hideMark/>
          </w:tcPr>
          <w:p w14:paraId="2A7397CF" w14:textId="761ADEC8"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2F93B8B1" w14:textId="17668C5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r w:rsidR="00266BC3" w:rsidRPr="00266BC3" w14:paraId="391EBB17" w14:textId="77777777" w:rsidTr="00BE4FF7">
        <w:trPr>
          <w:trHeight w:val="300"/>
        </w:trPr>
        <w:tc>
          <w:tcPr>
            <w:tcW w:w="1316" w:type="dxa"/>
            <w:shd w:val="clear" w:color="auto" w:fill="B6DDE8" w:themeFill="accent5" w:themeFillTint="66"/>
            <w:noWrap/>
            <w:vAlign w:val="center"/>
            <w:hideMark/>
          </w:tcPr>
          <w:p w14:paraId="7FAD8EB1"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EE-C-ENV-08</w:t>
            </w:r>
          </w:p>
        </w:tc>
        <w:tc>
          <w:tcPr>
            <w:tcW w:w="5200" w:type="dxa"/>
            <w:shd w:val="clear" w:color="auto" w:fill="auto"/>
            <w:vAlign w:val="center"/>
            <w:hideMark/>
          </w:tcPr>
          <w:p w14:paraId="40480A25"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textAlignment w:val="auto"/>
              <w:rPr>
                <w:rFonts w:cstheme="minorHAnsi"/>
                <w:b/>
                <w:bCs/>
                <w:sz w:val="22"/>
                <w:szCs w:val="22"/>
                <w:lang w:val="fr-FR" w:eastAsia="fr-FR"/>
              </w:rPr>
            </w:pPr>
            <w:proofErr w:type="gramStart"/>
            <w:r w:rsidRPr="00266BC3">
              <w:rPr>
                <w:rFonts w:cstheme="minorHAnsi"/>
                <w:b/>
                <w:bCs/>
                <w:sz w:val="22"/>
                <w:szCs w:val="22"/>
                <w:lang w:val="fr-FR" w:eastAsia="fr-FR"/>
              </w:rPr>
              <w:t>Autres consommation</w:t>
            </w:r>
            <w:proofErr w:type="gramEnd"/>
            <w:r w:rsidRPr="00266BC3">
              <w:rPr>
                <w:rFonts w:cstheme="minorHAnsi"/>
                <w:b/>
                <w:bCs/>
                <w:sz w:val="22"/>
                <w:szCs w:val="22"/>
                <w:lang w:val="fr-FR" w:eastAsia="fr-FR"/>
              </w:rPr>
              <w:t xml:space="preserve"> de carburant (à préciser)</w:t>
            </w:r>
          </w:p>
        </w:tc>
        <w:tc>
          <w:tcPr>
            <w:tcW w:w="0" w:type="auto"/>
            <w:shd w:val="clear" w:color="auto" w:fill="auto"/>
            <w:noWrap/>
            <w:vAlign w:val="bottom"/>
            <w:hideMark/>
          </w:tcPr>
          <w:p w14:paraId="26BA125F" w14:textId="22DF0363"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r w:rsidRPr="00266BC3">
              <w:rPr>
                <w:rFonts w:cstheme="minorHAnsi"/>
                <w:sz w:val="22"/>
                <w:szCs w:val="22"/>
                <w:lang w:eastAsia="fr-FR"/>
              </w:rPr>
              <w:t xml:space="preserve">L </w:t>
            </w:r>
          </w:p>
        </w:tc>
        <w:tc>
          <w:tcPr>
            <w:tcW w:w="1312" w:type="dxa"/>
            <w:shd w:val="clear" w:color="auto" w:fill="auto"/>
            <w:noWrap/>
            <w:vAlign w:val="center"/>
            <w:hideMark/>
          </w:tcPr>
          <w:p w14:paraId="4B5F93B0" w14:textId="77777777"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b/>
                <w:bCs/>
                <w:sz w:val="22"/>
                <w:szCs w:val="22"/>
                <w:lang w:eastAsia="fr-FR"/>
              </w:rPr>
            </w:pPr>
            <w:r w:rsidRPr="00266BC3">
              <w:rPr>
                <w:rFonts w:cstheme="minorHAnsi"/>
                <w:b/>
                <w:bCs/>
                <w:sz w:val="22"/>
                <w:szCs w:val="22"/>
                <w:lang w:eastAsia="fr-FR"/>
              </w:rPr>
              <w:t>18101</w:t>
            </w:r>
          </w:p>
        </w:tc>
        <w:tc>
          <w:tcPr>
            <w:tcW w:w="817" w:type="dxa"/>
            <w:shd w:val="clear" w:color="auto" w:fill="auto"/>
            <w:noWrap/>
            <w:vAlign w:val="bottom"/>
            <w:hideMark/>
          </w:tcPr>
          <w:p w14:paraId="2CB1A43A" w14:textId="4E322DFB"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c>
          <w:tcPr>
            <w:tcW w:w="993" w:type="dxa"/>
            <w:shd w:val="clear" w:color="auto" w:fill="auto"/>
            <w:noWrap/>
            <w:vAlign w:val="bottom"/>
            <w:hideMark/>
          </w:tcPr>
          <w:p w14:paraId="35F5FE04" w14:textId="5422981B" w:rsidR="00266BC3" w:rsidRPr="00266BC3" w:rsidRDefault="00266BC3" w:rsidP="00BE4FF7">
            <w:pPr>
              <w:tabs>
                <w:tab w:val="clear" w:pos="794"/>
                <w:tab w:val="clear" w:pos="1191"/>
                <w:tab w:val="clear" w:pos="1588"/>
                <w:tab w:val="clear" w:pos="1985"/>
              </w:tabs>
              <w:overflowPunct/>
              <w:autoSpaceDE/>
              <w:autoSpaceDN/>
              <w:adjustRightInd/>
              <w:spacing w:before="40" w:after="40"/>
              <w:jc w:val="center"/>
              <w:textAlignment w:val="auto"/>
              <w:rPr>
                <w:rFonts w:cstheme="minorHAnsi"/>
                <w:sz w:val="22"/>
                <w:szCs w:val="22"/>
                <w:lang w:eastAsia="fr-FR"/>
              </w:rPr>
            </w:pPr>
          </w:p>
        </w:tc>
      </w:tr>
    </w:tbl>
    <w:p w14:paraId="3DAD5C08" w14:textId="185B3179" w:rsidR="0041688D" w:rsidRPr="006A68C9" w:rsidRDefault="0041688D" w:rsidP="006C059C">
      <w:pPr>
        <w:spacing w:after="120"/>
        <w:rPr>
          <w:rFonts w:cstheme="minorHAnsi"/>
          <w:b/>
          <w:bCs/>
          <w:color w:val="000000" w:themeColor="text1"/>
          <w:szCs w:val="24"/>
          <w:lang w:val="fr-FR"/>
        </w:rPr>
      </w:pPr>
      <w:r w:rsidRPr="006A68C9">
        <w:rPr>
          <w:rFonts w:cstheme="minorHAnsi"/>
          <w:b/>
          <w:bCs/>
          <w:color w:val="000000" w:themeColor="text1"/>
          <w:szCs w:val="24"/>
          <w:lang w:val="fr-FR"/>
        </w:rPr>
        <w:t>A</w:t>
      </w:r>
      <w:r w:rsidR="006A68C9">
        <w:rPr>
          <w:rFonts w:cstheme="minorHAnsi"/>
          <w:b/>
          <w:bCs/>
          <w:color w:val="000000" w:themeColor="text1"/>
          <w:szCs w:val="24"/>
          <w:lang w:val="fr-FR"/>
        </w:rPr>
        <w:t xml:space="preserve">nnexe </w:t>
      </w:r>
      <w:r w:rsidRPr="006A68C9">
        <w:rPr>
          <w:rFonts w:cstheme="minorHAnsi"/>
          <w:b/>
          <w:bCs/>
          <w:color w:val="000000" w:themeColor="text1"/>
          <w:szCs w:val="24"/>
          <w:lang w:val="fr-FR"/>
        </w:rPr>
        <w:t>1 : T</w:t>
      </w:r>
      <w:r w:rsidR="006A68C9">
        <w:rPr>
          <w:rFonts w:cstheme="minorHAnsi"/>
          <w:b/>
          <w:bCs/>
          <w:color w:val="000000" w:themeColor="text1"/>
          <w:szCs w:val="24"/>
          <w:lang w:val="fr-FR"/>
        </w:rPr>
        <w:t xml:space="preserve">ableau récapitulatif des renseignements sur les sources et utilisation </w:t>
      </w:r>
      <w:r w:rsidR="004A61D1">
        <w:rPr>
          <w:rFonts w:cstheme="minorHAnsi"/>
          <w:b/>
          <w:bCs/>
          <w:color w:val="000000" w:themeColor="text1"/>
          <w:szCs w:val="24"/>
          <w:lang w:val="fr-FR"/>
        </w:rPr>
        <w:t xml:space="preserve">des énergies chez </w:t>
      </w:r>
      <w:r w:rsidRPr="006A68C9">
        <w:rPr>
          <w:rFonts w:cstheme="minorHAnsi"/>
          <w:b/>
          <w:bCs/>
          <w:color w:val="000000" w:themeColor="text1"/>
          <w:szCs w:val="24"/>
          <w:lang w:val="fr-FR"/>
        </w:rPr>
        <w:t>TELCO S.A</w:t>
      </w:r>
      <w:r w:rsidR="00511DE7">
        <w:rPr>
          <w:rFonts w:cstheme="minorHAnsi"/>
          <w:b/>
          <w:bCs/>
          <w:color w:val="000000" w:themeColor="text1"/>
          <w:szCs w:val="24"/>
          <w:lang w:val="fr-FR"/>
        </w:rPr>
        <w:t>.</w:t>
      </w:r>
    </w:p>
    <w:p w14:paraId="7759C759" w14:textId="33A1F62B" w:rsidR="00821996" w:rsidRPr="00A66C4C" w:rsidRDefault="003C58BF" w:rsidP="00266BC3">
      <w:pPr>
        <w:tabs>
          <w:tab w:val="clear" w:pos="794"/>
          <w:tab w:val="clear" w:pos="1191"/>
          <w:tab w:val="clear" w:pos="1588"/>
          <w:tab w:val="clear" w:pos="1985"/>
        </w:tabs>
        <w:spacing w:after="120"/>
        <w:jc w:val="center"/>
        <w:rPr>
          <w:lang w:val="fr-FR"/>
        </w:rPr>
      </w:pPr>
      <w:bookmarkStart w:id="5" w:name="Proposal"/>
      <w:bookmarkEnd w:id="5"/>
      <w:r w:rsidRPr="00A66C4C">
        <w:rPr>
          <w:lang w:val="fr-FR"/>
        </w:rPr>
        <w:t>_____________</w:t>
      </w:r>
      <w:r w:rsidR="004122C5" w:rsidRPr="00A66C4C">
        <w:rPr>
          <w:lang w:val="fr-FR"/>
        </w:rPr>
        <w:t>_</w:t>
      </w:r>
      <w:r w:rsidR="00922EC1" w:rsidRPr="00A66C4C">
        <w:rPr>
          <w:lang w:val="fr-FR"/>
        </w:rPr>
        <w:t>_</w:t>
      </w:r>
    </w:p>
    <w:sectPr w:rsidR="00821996" w:rsidRPr="00A66C4C"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9500" w14:textId="77777777" w:rsidR="00003C43" w:rsidRDefault="00003C43">
      <w:r>
        <w:separator/>
      </w:r>
    </w:p>
  </w:endnote>
  <w:endnote w:type="continuationSeparator" w:id="0">
    <w:p w14:paraId="42B370EF" w14:textId="77777777" w:rsidR="00003C43" w:rsidRDefault="00003C43">
      <w:r>
        <w:continuationSeparator/>
      </w:r>
    </w:p>
  </w:endnote>
  <w:endnote w:type="continuationNotice" w:id="1">
    <w:p w14:paraId="0B7BE436" w14:textId="77777777" w:rsidR="008D7D5F" w:rsidRDefault="008D7D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237A6" w:rsidRPr="009E3CCA" w14:paraId="695D1810" w14:textId="77777777" w:rsidTr="005237A6">
      <w:tc>
        <w:tcPr>
          <w:tcW w:w="1526" w:type="dxa"/>
          <w:tcBorders>
            <w:top w:val="single" w:sz="4" w:space="0" w:color="000000"/>
          </w:tcBorders>
          <w:shd w:val="clear" w:color="auto" w:fill="auto"/>
        </w:tcPr>
        <w:p w14:paraId="746E5A61" w14:textId="77777777" w:rsidR="005237A6" w:rsidRPr="001011EB" w:rsidRDefault="005237A6" w:rsidP="005237A6">
          <w:pPr>
            <w:pStyle w:val="FirstFooter"/>
            <w:tabs>
              <w:tab w:val="left" w:pos="1559"/>
              <w:tab w:val="left" w:pos="3828"/>
            </w:tabs>
            <w:rPr>
              <w:sz w:val="18"/>
              <w:szCs w:val="18"/>
              <w:lang w:val="fr-CH"/>
            </w:rPr>
          </w:pPr>
          <w:proofErr w:type="gramStart"/>
          <w:r w:rsidRPr="001011EB">
            <w:rPr>
              <w:sz w:val="18"/>
              <w:szCs w:val="18"/>
              <w:lang w:val="fr-CH"/>
            </w:rPr>
            <w:t>Contact:</w:t>
          </w:r>
          <w:proofErr w:type="gramEnd"/>
        </w:p>
      </w:tc>
      <w:tc>
        <w:tcPr>
          <w:tcW w:w="2410" w:type="dxa"/>
          <w:tcBorders>
            <w:top w:val="single" w:sz="4" w:space="0" w:color="000000"/>
          </w:tcBorders>
          <w:shd w:val="clear" w:color="auto" w:fill="auto"/>
        </w:tcPr>
        <w:p w14:paraId="488E41E2" w14:textId="7F38F7F7" w:rsidR="005237A6" w:rsidRPr="001011EB" w:rsidRDefault="005237A6" w:rsidP="005237A6">
          <w:pPr>
            <w:pStyle w:val="FirstFooter"/>
            <w:tabs>
              <w:tab w:val="left" w:pos="2302"/>
            </w:tabs>
            <w:ind w:left="2302" w:hanging="2302"/>
            <w:rPr>
              <w:sz w:val="18"/>
              <w:szCs w:val="18"/>
              <w:lang w:val="fr-CH"/>
            </w:rPr>
          </w:pPr>
          <w:r w:rsidRPr="001011EB">
            <w:rPr>
              <w:sz w:val="18"/>
              <w:szCs w:val="18"/>
              <w:lang w:val="fr-CH"/>
            </w:rPr>
            <w:t>Nom/Organisation/</w:t>
          </w:r>
          <w:proofErr w:type="gramStart"/>
          <w:r w:rsidRPr="001011EB">
            <w:rPr>
              <w:sz w:val="18"/>
              <w:szCs w:val="18"/>
              <w:lang w:val="fr-CH"/>
            </w:rPr>
            <w:t>Entité:</w:t>
          </w:r>
          <w:proofErr w:type="gramEnd"/>
        </w:p>
      </w:tc>
      <w:tc>
        <w:tcPr>
          <w:tcW w:w="5987" w:type="dxa"/>
          <w:tcBorders>
            <w:top w:val="single" w:sz="4" w:space="0" w:color="000000"/>
          </w:tcBorders>
        </w:tcPr>
        <w:p w14:paraId="56A584B9" w14:textId="1C5C205F" w:rsidR="005237A6" w:rsidRPr="001011EB" w:rsidRDefault="008163CD" w:rsidP="005237A6">
          <w:pPr>
            <w:pStyle w:val="FirstFooter"/>
            <w:tabs>
              <w:tab w:val="left" w:pos="2302"/>
            </w:tabs>
            <w:rPr>
              <w:sz w:val="18"/>
              <w:szCs w:val="18"/>
              <w:lang w:val="fr-CH"/>
            </w:rPr>
          </w:pPr>
          <w:r>
            <w:rPr>
              <w:sz w:val="18"/>
              <w:szCs w:val="18"/>
            </w:rPr>
            <w:t>M</w:t>
          </w:r>
          <w:r w:rsidR="00C53C18">
            <w:rPr>
              <w:sz w:val="18"/>
              <w:szCs w:val="18"/>
            </w:rPr>
            <w:t>.</w:t>
          </w:r>
          <w:r>
            <w:rPr>
              <w:sz w:val="18"/>
              <w:szCs w:val="18"/>
            </w:rPr>
            <w:t xml:space="preserve"> Youssouf Soule</w:t>
          </w:r>
          <w:r w:rsidR="005237A6" w:rsidRPr="008E5A46">
            <w:rPr>
              <w:sz w:val="18"/>
              <w:szCs w:val="18"/>
            </w:rPr>
            <w:t>, Autorité Nationale de Régulation des Technologies de l'Information et de la Communication (ANRTIC)</w:t>
          </w:r>
          <w:r>
            <w:rPr>
              <w:sz w:val="18"/>
              <w:szCs w:val="18"/>
            </w:rPr>
            <w:t xml:space="preserve">, </w:t>
          </w:r>
          <w:r w:rsidRPr="008163CD">
            <w:rPr>
              <w:sz w:val="18"/>
              <w:szCs w:val="18"/>
            </w:rPr>
            <w:t>Comor</w:t>
          </w:r>
          <w:r>
            <w:rPr>
              <w:sz w:val="18"/>
              <w:szCs w:val="18"/>
            </w:rPr>
            <w:t>e</w:t>
          </w:r>
          <w:r w:rsidRPr="008163CD">
            <w:rPr>
              <w:sz w:val="18"/>
              <w:szCs w:val="18"/>
            </w:rPr>
            <w:t>s</w:t>
          </w:r>
        </w:p>
      </w:tc>
      <w:bookmarkStart w:id="6" w:name="OrgName"/>
      <w:bookmarkEnd w:id="6"/>
    </w:tr>
    <w:tr w:rsidR="005237A6" w:rsidRPr="001011EB" w14:paraId="61167678" w14:textId="77777777" w:rsidTr="005237A6">
      <w:tc>
        <w:tcPr>
          <w:tcW w:w="1526" w:type="dxa"/>
          <w:shd w:val="clear" w:color="auto" w:fill="auto"/>
        </w:tcPr>
        <w:p w14:paraId="33710823" w14:textId="77777777" w:rsidR="005237A6" w:rsidRPr="001011EB" w:rsidRDefault="005237A6" w:rsidP="005237A6">
          <w:pPr>
            <w:pStyle w:val="FirstFooter"/>
            <w:tabs>
              <w:tab w:val="left" w:pos="1559"/>
              <w:tab w:val="left" w:pos="3828"/>
            </w:tabs>
            <w:rPr>
              <w:sz w:val="20"/>
              <w:lang w:val="fr-CH"/>
            </w:rPr>
          </w:pPr>
        </w:p>
      </w:tc>
      <w:tc>
        <w:tcPr>
          <w:tcW w:w="2410" w:type="dxa"/>
          <w:shd w:val="clear" w:color="auto" w:fill="auto"/>
        </w:tcPr>
        <w:p w14:paraId="1251F6E4" w14:textId="7949FD7A" w:rsidR="005237A6" w:rsidRPr="001011EB" w:rsidRDefault="005237A6" w:rsidP="005237A6">
          <w:pPr>
            <w:pStyle w:val="FirstFooter"/>
            <w:tabs>
              <w:tab w:val="left" w:pos="2302"/>
            </w:tabs>
            <w:rPr>
              <w:sz w:val="18"/>
              <w:szCs w:val="18"/>
              <w:lang w:val="fr-CH"/>
            </w:rPr>
          </w:pPr>
          <w:r>
            <w:rPr>
              <w:sz w:val="18"/>
              <w:szCs w:val="18"/>
              <w:lang w:val="fr-CH"/>
            </w:rPr>
            <w:t xml:space="preserve">Numéro de </w:t>
          </w:r>
          <w:proofErr w:type="gramStart"/>
          <w:r>
            <w:rPr>
              <w:sz w:val="18"/>
              <w:szCs w:val="18"/>
              <w:lang w:val="fr-CH"/>
            </w:rPr>
            <w:t>téléphone</w:t>
          </w:r>
          <w:r w:rsidRPr="001011EB">
            <w:rPr>
              <w:sz w:val="18"/>
              <w:szCs w:val="18"/>
              <w:lang w:val="fr-CH"/>
            </w:rPr>
            <w:t>:</w:t>
          </w:r>
          <w:proofErr w:type="gramEnd"/>
        </w:p>
      </w:tc>
      <w:tc>
        <w:tcPr>
          <w:tcW w:w="5987" w:type="dxa"/>
        </w:tcPr>
        <w:p w14:paraId="18263C7F" w14:textId="155290AA" w:rsidR="005237A6" w:rsidRPr="001011EB" w:rsidRDefault="005237A6" w:rsidP="005237A6">
          <w:pPr>
            <w:pStyle w:val="FirstFooter"/>
            <w:tabs>
              <w:tab w:val="left" w:pos="2302"/>
            </w:tabs>
            <w:rPr>
              <w:sz w:val="18"/>
              <w:szCs w:val="18"/>
              <w:lang w:val="fr-CH"/>
            </w:rPr>
          </w:pPr>
          <w:r>
            <w:rPr>
              <w:sz w:val="18"/>
              <w:szCs w:val="18"/>
              <w:lang w:val="en-US"/>
            </w:rPr>
            <w:t>+269</w:t>
          </w:r>
          <w:r w:rsidR="00C53C18">
            <w:rPr>
              <w:sz w:val="18"/>
              <w:szCs w:val="18"/>
              <w:lang w:val="en-US"/>
            </w:rPr>
            <w:t xml:space="preserve"> </w:t>
          </w:r>
          <w:r>
            <w:rPr>
              <w:sz w:val="18"/>
              <w:szCs w:val="18"/>
              <w:lang w:val="en-US"/>
            </w:rPr>
            <w:t>3341376</w:t>
          </w:r>
        </w:p>
      </w:tc>
      <w:bookmarkStart w:id="7" w:name="PhoneNo"/>
      <w:bookmarkEnd w:id="7"/>
    </w:tr>
    <w:tr w:rsidR="005237A6" w:rsidRPr="001011EB" w14:paraId="0299A231" w14:textId="77777777" w:rsidTr="005237A6">
      <w:tc>
        <w:tcPr>
          <w:tcW w:w="1526" w:type="dxa"/>
          <w:shd w:val="clear" w:color="auto" w:fill="auto"/>
        </w:tcPr>
        <w:p w14:paraId="35CBC438" w14:textId="77777777" w:rsidR="005237A6" w:rsidRPr="001011EB" w:rsidRDefault="005237A6" w:rsidP="005237A6">
          <w:pPr>
            <w:pStyle w:val="FirstFooter"/>
            <w:tabs>
              <w:tab w:val="left" w:pos="1559"/>
              <w:tab w:val="left" w:pos="3828"/>
            </w:tabs>
            <w:rPr>
              <w:sz w:val="20"/>
              <w:lang w:val="fr-CH"/>
            </w:rPr>
          </w:pPr>
        </w:p>
      </w:tc>
      <w:tc>
        <w:tcPr>
          <w:tcW w:w="2410" w:type="dxa"/>
          <w:shd w:val="clear" w:color="auto" w:fill="auto"/>
        </w:tcPr>
        <w:p w14:paraId="65335E06" w14:textId="490F0FC2" w:rsidR="005237A6" w:rsidRPr="001011EB" w:rsidRDefault="005237A6" w:rsidP="005237A6">
          <w:pPr>
            <w:pStyle w:val="FirstFooter"/>
            <w:tabs>
              <w:tab w:val="left" w:pos="2302"/>
            </w:tabs>
            <w:rPr>
              <w:sz w:val="18"/>
              <w:szCs w:val="18"/>
              <w:lang w:val="fr-CH"/>
            </w:rPr>
          </w:pPr>
          <w:proofErr w:type="gramStart"/>
          <w:r>
            <w:rPr>
              <w:sz w:val="18"/>
              <w:szCs w:val="18"/>
              <w:lang w:val="fr-CH"/>
            </w:rPr>
            <w:t>Courriel</w:t>
          </w:r>
          <w:r w:rsidRPr="001011EB">
            <w:rPr>
              <w:sz w:val="18"/>
              <w:szCs w:val="18"/>
              <w:lang w:val="fr-CH"/>
            </w:rPr>
            <w:t>:</w:t>
          </w:r>
          <w:proofErr w:type="gramEnd"/>
        </w:p>
      </w:tc>
      <w:tc>
        <w:tcPr>
          <w:tcW w:w="5987" w:type="dxa"/>
        </w:tcPr>
        <w:p w14:paraId="6190AAF0" w14:textId="5DC33D8D" w:rsidR="005237A6" w:rsidRPr="001011EB" w:rsidRDefault="009E3CCA" w:rsidP="005237A6">
          <w:pPr>
            <w:pStyle w:val="FirstFooter"/>
            <w:tabs>
              <w:tab w:val="left" w:pos="2302"/>
            </w:tabs>
            <w:rPr>
              <w:sz w:val="18"/>
              <w:szCs w:val="18"/>
              <w:lang w:val="fr-CH"/>
            </w:rPr>
          </w:pPr>
          <w:hyperlink r:id="rId1" w:history="1">
            <w:r w:rsidR="00C53C18" w:rsidRPr="006033FF">
              <w:rPr>
                <w:rStyle w:val="Hyperlink"/>
                <w:sz w:val="18"/>
                <w:szCs w:val="18"/>
                <w:lang w:val="en-US"/>
              </w:rPr>
              <w:t>youssoufsoule1971@gmail.com</w:t>
            </w:r>
          </w:hyperlink>
          <w:r w:rsidR="00C53C18">
            <w:rPr>
              <w:sz w:val="18"/>
              <w:szCs w:val="18"/>
              <w:lang w:val="en-US"/>
            </w:rPr>
            <w:t xml:space="preserve"> </w:t>
          </w:r>
        </w:p>
      </w:tc>
      <w:bookmarkStart w:id="8" w:name="Email"/>
      <w:bookmarkEnd w:id="8"/>
    </w:tr>
  </w:tbl>
  <w:p w14:paraId="5AEFE7F9" w14:textId="77777777" w:rsidR="0059420B" w:rsidRPr="001011EB" w:rsidRDefault="0059420B" w:rsidP="0041688D">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5AE7" w14:textId="77777777" w:rsidR="00003C43" w:rsidRDefault="00003C43">
      <w:r>
        <w:t>____________________</w:t>
      </w:r>
    </w:p>
  </w:footnote>
  <w:footnote w:type="continuationSeparator" w:id="0">
    <w:p w14:paraId="503CE0E3" w14:textId="77777777" w:rsidR="00003C43" w:rsidRDefault="00003C43">
      <w:r>
        <w:continuationSeparator/>
      </w:r>
    </w:p>
  </w:footnote>
  <w:footnote w:type="continuationNotice" w:id="1">
    <w:p w14:paraId="212D6271" w14:textId="77777777" w:rsidR="008D7D5F" w:rsidRDefault="008D7D5F">
      <w:pPr>
        <w:spacing w:before="0"/>
      </w:pPr>
    </w:p>
  </w:footnote>
  <w:footnote w:id="2">
    <w:p w14:paraId="09ECB742" w14:textId="70870431" w:rsidR="0041688D" w:rsidRPr="008163CD" w:rsidRDefault="0041688D" w:rsidP="008163CD">
      <w:pPr>
        <w:spacing w:before="0"/>
        <w:rPr>
          <w:rFonts w:cstheme="minorHAnsi"/>
          <w:sz w:val="20"/>
        </w:rPr>
      </w:pPr>
      <w:r w:rsidRPr="008163CD">
        <w:rPr>
          <w:rStyle w:val="FootnoteReference"/>
          <w:rFonts w:cstheme="minorHAnsi"/>
          <w:sz w:val="20"/>
        </w:rPr>
        <w:footnoteRef/>
      </w:r>
      <w:r w:rsidRPr="008163CD">
        <w:rPr>
          <w:rFonts w:cstheme="minorHAnsi"/>
          <w:sz w:val="20"/>
        </w:rPr>
        <w:t xml:space="preserve"> </w:t>
      </w:r>
      <w:hyperlink r:id="rId1" w:anchor=":~:text=L'impact%20des%20r%C3%A9seaux%20de,empreinte%20carbone%20nationale%20%5B4%5D" w:history="1">
        <w:r w:rsidR="008163CD" w:rsidRPr="006033FF">
          <w:rPr>
            <w:rStyle w:val="Hyperlink"/>
            <w:rFonts w:cstheme="minorHAnsi"/>
            <w:sz w:val="20"/>
          </w:rPr>
          <w:t>https://www.arcep.fr/la-regulation/grands-dossiers-thematiques-transverses/lempreinte-environnementale-du-numerique.html#:~:text=L'impact%20des%20r%C3%A9seaux%20de,empreinte%20carbone%20nationale%20%5B4%5D</w:t>
        </w:r>
      </w:hyperlink>
      <w:r w:rsidR="008163CD">
        <w:rPr>
          <w:rFonts w:cstheme="minorHAnsi"/>
          <w:sz w:val="20"/>
        </w:rPr>
        <w:t xml:space="preserve"> </w:t>
      </w:r>
    </w:p>
  </w:footnote>
  <w:footnote w:id="3">
    <w:p w14:paraId="593F021E" w14:textId="75DC8921" w:rsidR="0041688D" w:rsidRPr="008163CD" w:rsidRDefault="0041688D" w:rsidP="008163CD">
      <w:pPr>
        <w:pStyle w:val="FootnoteText"/>
        <w:spacing w:before="0"/>
        <w:ind w:left="0" w:firstLine="0"/>
        <w:rPr>
          <w:rFonts w:cstheme="minorHAnsi"/>
          <w:sz w:val="20"/>
          <w:lang w:val="fr-FR"/>
        </w:rPr>
      </w:pPr>
      <w:r w:rsidRPr="008163CD">
        <w:rPr>
          <w:rStyle w:val="FootnoteReference"/>
          <w:rFonts w:cstheme="minorHAnsi"/>
          <w:sz w:val="20"/>
        </w:rPr>
        <w:footnoteRef/>
      </w:r>
      <w:r w:rsidRPr="008163CD">
        <w:rPr>
          <w:rFonts w:cstheme="minorHAnsi"/>
          <w:sz w:val="20"/>
          <w:lang w:val="fr-FR"/>
        </w:rPr>
        <w:t xml:space="preserve"> </w:t>
      </w:r>
      <w:r w:rsidRPr="008163CD">
        <w:rPr>
          <w:rFonts w:cstheme="minorHAnsi"/>
          <w:bCs/>
          <w:sz w:val="20"/>
          <w:lang w:val="fr-FR"/>
        </w:rPr>
        <w:t>Document CWG-SFP-4/2</w:t>
      </w:r>
    </w:p>
  </w:footnote>
  <w:footnote w:id="4">
    <w:p w14:paraId="61411A01" w14:textId="77777777" w:rsidR="0041688D" w:rsidRPr="008163CD" w:rsidRDefault="0041688D" w:rsidP="008163CD">
      <w:pPr>
        <w:pStyle w:val="FootnoteText"/>
        <w:spacing w:before="0"/>
        <w:ind w:left="0" w:firstLine="0"/>
        <w:rPr>
          <w:rFonts w:cstheme="minorHAnsi"/>
          <w:sz w:val="20"/>
          <w:lang w:val="fr-FR"/>
        </w:rPr>
      </w:pPr>
      <w:r w:rsidRPr="008163CD">
        <w:rPr>
          <w:rStyle w:val="FootnoteReference"/>
          <w:rFonts w:cstheme="minorHAnsi"/>
          <w:sz w:val="20"/>
        </w:rPr>
        <w:footnoteRef/>
      </w:r>
      <w:r w:rsidRPr="008163CD">
        <w:rPr>
          <w:rFonts w:cstheme="minorHAnsi"/>
          <w:sz w:val="20"/>
          <w:lang w:val="fr-FR"/>
        </w:rPr>
        <w:t xml:space="preserve"> Rapport CMDT 22 Kigali</w:t>
      </w:r>
    </w:p>
  </w:footnote>
  <w:footnote w:id="5">
    <w:p w14:paraId="198F81CA" w14:textId="530F6167" w:rsidR="0041688D" w:rsidRPr="008163CD" w:rsidRDefault="0041688D" w:rsidP="008163CD">
      <w:pPr>
        <w:spacing w:before="0"/>
        <w:rPr>
          <w:rFonts w:cstheme="minorHAnsi"/>
          <w:b/>
          <w:sz w:val="20"/>
          <w:lang w:val="fr-FR"/>
        </w:rPr>
      </w:pPr>
      <w:r w:rsidRPr="008163CD">
        <w:rPr>
          <w:rStyle w:val="FootnoteReference"/>
          <w:rFonts w:cstheme="minorHAnsi"/>
          <w:sz w:val="20"/>
        </w:rPr>
        <w:footnoteRef/>
      </w:r>
      <w:r w:rsidRPr="008163CD">
        <w:rPr>
          <w:rFonts w:cstheme="minorHAnsi"/>
          <w:sz w:val="20"/>
          <w:lang w:val="fr-FR"/>
        </w:rPr>
        <w:t xml:space="preserve"> Rapport CMDT 22 Kigali. </w:t>
      </w:r>
      <w:r w:rsidRPr="008163CD">
        <w:rPr>
          <w:rStyle w:val="fontstyle01"/>
          <w:rFonts w:asciiTheme="minorHAnsi" w:hAnsiTheme="minorHAnsi" w:cstheme="minorHAnsi"/>
          <w:b w:val="0"/>
          <w:bCs w:val="0"/>
          <w:sz w:val="20"/>
          <w:szCs w:val="20"/>
          <w:lang w:val="fr-FR"/>
        </w:rPr>
        <w:t>Catalyseur pour les priorités de l’</w:t>
      </w:r>
      <w:r w:rsidR="000A6892">
        <w:rPr>
          <w:rStyle w:val="fontstyle01"/>
          <w:rFonts w:asciiTheme="minorHAnsi" w:hAnsiTheme="minorHAnsi" w:cstheme="minorHAnsi"/>
          <w:b w:val="0"/>
          <w:bCs w:val="0"/>
          <w:sz w:val="20"/>
          <w:szCs w:val="20"/>
          <w:lang w:val="fr-FR"/>
        </w:rPr>
        <w:t>UIT</w:t>
      </w:r>
      <w:r w:rsidRPr="008163CD">
        <w:rPr>
          <w:rStyle w:val="fontstyle01"/>
          <w:rFonts w:asciiTheme="minorHAnsi" w:hAnsiTheme="minorHAnsi" w:cstheme="minorHAnsi"/>
          <w:b w:val="0"/>
          <w:bCs w:val="0"/>
          <w:sz w:val="20"/>
          <w:szCs w:val="20"/>
          <w:lang w:val="fr-FR"/>
        </w:rPr>
        <w:t>-D</w:t>
      </w:r>
    </w:p>
  </w:footnote>
  <w:footnote w:id="6">
    <w:p w14:paraId="3172EBAA" w14:textId="77777777" w:rsidR="0041688D" w:rsidRPr="008163CD" w:rsidRDefault="0041688D" w:rsidP="008163CD">
      <w:pPr>
        <w:pStyle w:val="FootnoteText"/>
        <w:spacing w:before="0"/>
        <w:ind w:left="0" w:firstLine="0"/>
        <w:rPr>
          <w:rFonts w:cstheme="minorHAnsi"/>
          <w:sz w:val="20"/>
          <w:lang w:val="fr-FR"/>
        </w:rPr>
      </w:pPr>
      <w:r w:rsidRPr="008163CD">
        <w:rPr>
          <w:rStyle w:val="FootnoteReference"/>
          <w:rFonts w:cstheme="minorHAnsi"/>
          <w:sz w:val="20"/>
        </w:rPr>
        <w:footnoteRef/>
      </w:r>
      <w:r w:rsidRPr="008163CD">
        <w:rPr>
          <w:rFonts w:cstheme="minorHAnsi"/>
          <w:sz w:val="20"/>
          <w:lang w:val="fr-FR"/>
        </w:rPr>
        <w:t xml:space="preserve"> Résolution 72 - Assemblée Mondiale de Normalisation des Télécommunications / mars 2022. </w:t>
      </w:r>
    </w:p>
  </w:footnote>
  <w:footnote w:id="7">
    <w:p w14:paraId="20C7A4F6" w14:textId="77777777" w:rsidR="0041688D" w:rsidRPr="008163CD" w:rsidRDefault="0041688D" w:rsidP="008163CD">
      <w:pPr>
        <w:pStyle w:val="FootnoteText"/>
        <w:spacing w:before="0"/>
        <w:ind w:left="0" w:firstLine="0"/>
        <w:rPr>
          <w:rFonts w:cstheme="minorHAnsi"/>
          <w:sz w:val="20"/>
          <w:lang w:val="fr-FR"/>
        </w:rPr>
      </w:pPr>
      <w:r w:rsidRPr="008163CD">
        <w:rPr>
          <w:rStyle w:val="FootnoteReference"/>
          <w:rFonts w:cstheme="minorHAnsi"/>
          <w:sz w:val="20"/>
        </w:rPr>
        <w:footnoteRef/>
      </w:r>
      <w:r w:rsidRPr="008163CD">
        <w:rPr>
          <w:rFonts w:cstheme="minorHAnsi"/>
          <w:sz w:val="20"/>
          <w:lang w:val="fr-FR"/>
        </w:rPr>
        <w:t xml:space="preserve"> Loi N° 94 – 018 / AF portant loi-cadre relative à l’environnement – Union des Comores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692C4A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8163CD">
      <w:rPr>
        <w:sz w:val="22"/>
        <w:szCs w:val="22"/>
        <w:lang w:val="de-CH"/>
      </w:rPr>
      <w:t>28</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6F81"/>
    <w:multiLevelType w:val="hybridMultilevel"/>
    <w:tmpl w:val="ED428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173BF1"/>
    <w:multiLevelType w:val="hybridMultilevel"/>
    <w:tmpl w:val="06FAF5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701174529">
    <w:abstractNumId w:val="2"/>
  </w:num>
  <w:num w:numId="2" w16cid:durableId="1402370816">
    <w:abstractNumId w:val="1"/>
  </w:num>
  <w:num w:numId="3" w16cid:durableId="24630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81F47"/>
    <w:rsid w:val="0009076F"/>
    <w:rsid w:val="0009225C"/>
    <w:rsid w:val="000A17C4"/>
    <w:rsid w:val="000A36A4"/>
    <w:rsid w:val="000A6892"/>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5900"/>
    <w:rsid w:val="0022754A"/>
    <w:rsid w:val="00236560"/>
    <w:rsid w:val="0023662E"/>
    <w:rsid w:val="00245D0F"/>
    <w:rsid w:val="002548C3"/>
    <w:rsid w:val="00257ACD"/>
    <w:rsid w:val="00262908"/>
    <w:rsid w:val="002650F4"/>
    <w:rsid w:val="00266BC3"/>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D5506"/>
    <w:rsid w:val="003E26B0"/>
    <w:rsid w:val="003F2DD8"/>
    <w:rsid w:val="003F3F2D"/>
    <w:rsid w:val="003F50B2"/>
    <w:rsid w:val="00400CCF"/>
    <w:rsid w:val="00401BFF"/>
    <w:rsid w:val="00404424"/>
    <w:rsid w:val="0041156B"/>
    <w:rsid w:val="004122C5"/>
    <w:rsid w:val="00413B78"/>
    <w:rsid w:val="0041688D"/>
    <w:rsid w:val="00416DDE"/>
    <w:rsid w:val="0044411E"/>
    <w:rsid w:val="00453435"/>
    <w:rsid w:val="00460089"/>
    <w:rsid w:val="00460515"/>
    <w:rsid w:val="00466398"/>
    <w:rsid w:val="0047306D"/>
    <w:rsid w:val="00473791"/>
    <w:rsid w:val="00476E48"/>
    <w:rsid w:val="00481DE9"/>
    <w:rsid w:val="0049128B"/>
    <w:rsid w:val="00493B49"/>
    <w:rsid w:val="00495501"/>
    <w:rsid w:val="004A070A"/>
    <w:rsid w:val="004A320E"/>
    <w:rsid w:val="004A4E9C"/>
    <w:rsid w:val="004A61D1"/>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1DE7"/>
    <w:rsid w:val="00514D2F"/>
    <w:rsid w:val="005237A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0B27"/>
    <w:rsid w:val="00651CE8"/>
    <w:rsid w:val="0065521B"/>
    <w:rsid w:val="00663428"/>
    <w:rsid w:val="00667608"/>
    <w:rsid w:val="00671EF6"/>
    <w:rsid w:val="0067205B"/>
    <w:rsid w:val="006748F8"/>
    <w:rsid w:val="00680489"/>
    <w:rsid w:val="00683C32"/>
    <w:rsid w:val="00690BB2"/>
    <w:rsid w:val="00693D09"/>
    <w:rsid w:val="006A6549"/>
    <w:rsid w:val="006A68C9"/>
    <w:rsid w:val="006A7710"/>
    <w:rsid w:val="006A7A61"/>
    <w:rsid w:val="006B1E59"/>
    <w:rsid w:val="006B2FFB"/>
    <w:rsid w:val="006C059C"/>
    <w:rsid w:val="006C10A2"/>
    <w:rsid w:val="006C1F18"/>
    <w:rsid w:val="006D0A6A"/>
    <w:rsid w:val="006D40D5"/>
    <w:rsid w:val="006F009A"/>
    <w:rsid w:val="006F3D93"/>
    <w:rsid w:val="006F5B8A"/>
    <w:rsid w:val="00700F2B"/>
    <w:rsid w:val="007019B1"/>
    <w:rsid w:val="00703CE5"/>
    <w:rsid w:val="00711532"/>
    <w:rsid w:val="00721657"/>
    <w:rsid w:val="00722292"/>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1842"/>
    <w:rsid w:val="007E2DC5"/>
    <w:rsid w:val="007F1CC7"/>
    <w:rsid w:val="008027AC"/>
    <w:rsid w:val="008028CE"/>
    <w:rsid w:val="0080332E"/>
    <w:rsid w:val="00806250"/>
    <w:rsid w:val="008141E0"/>
    <w:rsid w:val="008163CD"/>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7D5F"/>
    <w:rsid w:val="008E34F0"/>
    <w:rsid w:val="008F14F5"/>
    <w:rsid w:val="008F71C1"/>
    <w:rsid w:val="00900B47"/>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4AE9"/>
    <w:rsid w:val="009C110B"/>
    <w:rsid w:val="009C5441"/>
    <w:rsid w:val="009D119F"/>
    <w:rsid w:val="009D49A2"/>
    <w:rsid w:val="009E3CCA"/>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0C2C"/>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E4FF7"/>
    <w:rsid w:val="00C015F8"/>
    <w:rsid w:val="00C02C2A"/>
    <w:rsid w:val="00C07E26"/>
    <w:rsid w:val="00C1011C"/>
    <w:rsid w:val="00C12F94"/>
    <w:rsid w:val="00C177C5"/>
    <w:rsid w:val="00C34EC3"/>
    <w:rsid w:val="00C4038C"/>
    <w:rsid w:val="00C42BA2"/>
    <w:rsid w:val="00C44066"/>
    <w:rsid w:val="00C44E13"/>
    <w:rsid w:val="00C52CC3"/>
    <w:rsid w:val="00C53C18"/>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D785C"/>
    <w:rsid w:val="00CE0422"/>
    <w:rsid w:val="00CE0DBE"/>
    <w:rsid w:val="00CE5E4D"/>
    <w:rsid w:val="00CF02C4"/>
    <w:rsid w:val="00CF167F"/>
    <w:rsid w:val="00CF72E5"/>
    <w:rsid w:val="00D013EE"/>
    <w:rsid w:val="00D01F54"/>
    <w:rsid w:val="00D040F7"/>
    <w:rsid w:val="00D04A76"/>
    <w:rsid w:val="00D10FC7"/>
    <w:rsid w:val="00D1519F"/>
    <w:rsid w:val="00D16D2D"/>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0840"/>
    <w:rsid w:val="00DE1972"/>
    <w:rsid w:val="00DE27AB"/>
    <w:rsid w:val="00DE595A"/>
    <w:rsid w:val="00DF2AB3"/>
    <w:rsid w:val="00DF7021"/>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9D4"/>
    <w:rsid w:val="00E9605B"/>
    <w:rsid w:val="00E97298"/>
    <w:rsid w:val="00E97753"/>
    <w:rsid w:val="00EA0C51"/>
    <w:rsid w:val="00EA7DE7"/>
    <w:rsid w:val="00EB7A8A"/>
    <w:rsid w:val="00EC5BCD"/>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3738"/>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ntstyle01">
    <w:name w:val="fontstyle01"/>
    <w:basedOn w:val="DefaultParagraphFont"/>
    <w:rsid w:val="0041688D"/>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1688D"/>
    <w:rPr>
      <w:rFonts w:ascii="TimesNewRomanPSMT" w:hAnsi="TimesNewRomanPSMT" w:hint="default"/>
      <w:b w:val="0"/>
      <w:bCs w:val="0"/>
      <w:i w:val="0"/>
      <w:iCs w:val="0"/>
      <w:color w:val="000000"/>
      <w:sz w:val="22"/>
      <w:szCs w:val="22"/>
    </w:rPr>
  </w:style>
  <w:style w:type="character" w:customStyle="1" w:styleId="FootnoteTextChar">
    <w:name w:val="Footnote Text Char"/>
    <w:basedOn w:val="DefaultParagraphFont"/>
    <w:link w:val="FootnoteText"/>
    <w:uiPriority w:val="99"/>
    <w:rsid w:val="0041688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16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youssoufsoule1971@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ep.fr/la-regulation/grands-dossiers-thematiques-transverses/lempreinte-environnementale-du-numeriqu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A587-C939-499E-A485-6E5A4FDF07FF}">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2</cp:revision>
  <cp:lastPrinted>2014-11-04T09:22:00Z</cp:lastPrinted>
  <dcterms:created xsi:type="dcterms:W3CDTF">2024-04-15T08:42:00Z</dcterms:created>
  <dcterms:modified xsi:type="dcterms:W3CDTF">2024-04-15T08:42:00Z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