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100790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Pr="00100790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100790">
              <w:t xml:space="preserve">Консультативная группа </w:t>
            </w:r>
            <w:r w:rsidRPr="00100790">
              <w:br/>
              <w:t>по развитию электросвязи (</w:t>
            </w:r>
            <w:proofErr w:type="spellStart"/>
            <w:r w:rsidRPr="00100790">
              <w:t>КГРЭ</w:t>
            </w:r>
            <w:proofErr w:type="spellEnd"/>
            <w:r w:rsidRPr="00100790">
              <w:t>)</w:t>
            </w:r>
          </w:p>
          <w:p w14:paraId="33DF924A" w14:textId="08925CA0" w:rsidR="00982196" w:rsidRPr="00100790" w:rsidRDefault="00982196" w:rsidP="00C677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100790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5B429D" w:rsidRPr="00100790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100790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-е собрание, Женева, Швейцария</w:t>
            </w:r>
            <w:r w:rsidRPr="00100790">
              <w:rPr>
                <w:b/>
                <w:bCs/>
                <w:sz w:val="24"/>
                <w:szCs w:val="24"/>
              </w:rPr>
              <w:t xml:space="preserve">, </w:t>
            </w:r>
            <w:r w:rsidR="005B429D" w:rsidRPr="00100790">
              <w:rPr>
                <w:b/>
                <w:bCs/>
                <w:sz w:val="24"/>
                <w:szCs w:val="24"/>
              </w:rPr>
              <w:t>20</w:t>
            </w:r>
            <w:r w:rsidR="003C01D0" w:rsidRPr="00100790">
              <w:rPr>
                <w:b/>
                <w:bCs/>
                <w:sz w:val="24"/>
                <w:szCs w:val="24"/>
              </w:rPr>
              <w:t>–23</w:t>
            </w:r>
            <w:r w:rsidRPr="00100790">
              <w:rPr>
                <w:b/>
                <w:bCs/>
                <w:sz w:val="24"/>
                <w:szCs w:val="24"/>
              </w:rPr>
              <w:t xml:space="preserve"> </w:t>
            </w:r>
            <w:r w:rsidR="005B429D" w:rsidRPr="00100790">
              <w:rPr>
                <w:b/>
                <w:bCs/>
                <w:sz w:val="24"/>
                <w:szCs w:val="24"/>
              </w:rPr>
              <w:t>мая</w:t>
            </w:r>
            <w:r w:rsidRPr="00100790">
              <w:rPr>
                <w:b/>
                <w:bCs/>
                <w:sz w:val="24"/>
                <w:szCs w:val="24"/>
              </w:rPr>
              <w:t xml:space="preserve"> 202</w:t>
            </w:r>
            <w:r w:rsidR="005B429D" w:rsidRPr="00100790">
              <w:rPr>
                <w:b/>
                <w:bCs/>
                <w:sz w:val="24"/>
                <w:szCs w:val="24"/>
              </w:rPr>
              <w:t>4</w:t>
            </w:r>
            <w:r w:rsidRPr="00100790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100790" w:rsidRDefault="00982196" w:rsidP="00C677D2">
            <w:pPr>
              <w:widowControl w:val="0"/>
              <w:spacing w:after="120"/>
              <w:jc w:val="center"/>
            </w:pPr>
            <w:r w:rsidRPr="00100790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100790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100790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100790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100790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100790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6439E247" w:rsidR="00F105F5" w:rsidRPr="00100790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100790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10079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100790">
              <w:rPr>
                <w:rFonts w:cstheme="minorHAnsi"/>
                <w:b/>
                <w:bCs/>
              </w:rPr>
              <w:t>TDAG</w:t>
            </w:r>
            <w:proofErr w:type="spellEnd"/>
            <w:r w:rsidRPr="00100790">
              <w:rPr>
                <w:rFonts w:cstheme="minorHAnsi"/>
                <w:b/>
                <w:bCs/>
              </w:rPr>
              <w:t>-2</w:t>
            </w:r>
            <w:r w:rsidR="005E2554" w:rsidRPr="00100790">
              <w:rPr>
                <w:rFonts w:cstheme="minorHAnsi"/>
                <w:b/>
                <w:bCs/>
              </w:rPr>
              <w:t>4</w:t>
            </w:r>
            <w:r w:rsidRPr="00100790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5E2554" w:rsidRPr="00100790">
              <w:rPr>
                <w:rFonts w:cstheme="minorHAnsi"/>
                <w:b/>
                <w:bCs/>
              </w:rPr>
              <w:t>26</w:t>
            </w:r>
            <w:r w:rsidRPr="00100790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100790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100790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5A17977D" w:rsidR="00F105F5" w:rsidRPr="00100790" w:rsidRDefault="005E2554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100790">
              <w:rPr>
                <w:b/>
                <w:bCs/>
              </w:rPr>
              <w:t>3 апреля</w:t>
            </w:r>
            <w:r w:rsidR="00F105F5" w:rsidRPr="00100790">
              <w:rPr>
                <w:b/>
                <w:bCs/>
              </w:rPr>
              <w:t xml:space="preserve"> 202</w:t>
            </w:r>
            <w:r w:rsidR="005B429D" w:rsidRPr="00100790">
              <w:rPr>
                <w:b/>
                <w:bCs/>
              </w:rPr>
              <w:t>4</w:t>
            </w:r>
            <w:r w:rsidR="00F105F5" w:rsidRPr="00100790">
              <w:rPr>
                <w:b/>
                <w:bCs/>
              </w:rPr>
              <w:t xml:space="preserve"> года</w:t>
            </w:r>
          </w:p>
        </w:tc>
      </w:tr>
      <w:tr w:rsidR="00F105F5" w:rsidRPr="00100790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100790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2D8EF1C0" w:rsidR="00F105F5" w:rsidRPr="00100790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100790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100790">
              <w:rPr>
                <w:rFonts w:cstheme="minorHAnsi"/>
                <w:b/>
                <w:bCs/>
              </w:rPr>
              <w:t xml:space="preserve"> </w:t>
            </w:r>
            <w:r w:rsidR="005E2554" w:rsidRPr="00100790">
              <w:rPr>
                <w:rFonts w:cstheme="minorHAnsi"/>
                <w:b/>
                <w:bCs/>
              </w:rPr>
              <w:t>арабский</w:t>
            </w:r>
          </w:p>
        </w:tc>
      </w:tr>
      <w:tr w:rsidR="00CD34AE" w:rsidRPr="00100790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69DC56BE" w:rsidR="00CD34AE" w:rsidRPr="00100790" w:rsidRDefault="00237B3A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100790">
              <w:t>Государство Палестина</w:t>
            </w:r>
          </w:p>
        </w:tc>
      </w:tr>
      <w:tr w:rsidR="00CD34AE" w:rsidRPr="00100790" w14:paraId="7E911F3C" w14:textId="77777777" w:rsidTr="00270876">
        <w:tc>
          <w:tcPr>
            <w:tcW w:w="9923" w:type="dxa"/>
            <w:gridSpan w:val="3"/>
          </w:tcPr>
          <w:p w14:paraId="027C889A" w14:textId="41F0914D" w:rsidR="00CD34AE" w:rsidRPr="00100790" w:rsidRDefault="005E2554" w:rsidP="00FA6BDB">
            <w:pPr>
              <w:pStyle w:val="Title1"/>
            </w:pPr>
            <w:bookmarkStart w:id="5" w:name="Title"/>
            <w:bookmarkStart w:id="6" w:name="lt_pId016"/>
            <w:bookmarkEnd w:id="5"/>
            <w:r w:rsidRPr="00100790">
              <w:rPr>
                <w:lang w:bidi="ru-RU"/>
              </w:rPr>
              <w:t xml:space="preserve">Система электронного правительства </w:t>
            </w:r>
            <w:proofErr w:type="spellStart"/>
            <w:r w:rsidRPr="00100790">
              <w:rPr>
                <w:lang w:bidi="ru-RU"/>
              </w:rPr>
              <w:t>Hukumati</w:t>
            </w:r>
            <w:bookmarkEnd w:id="6"/>
            <w:proofErr w:type="spellEnd"/>
          </w:p>
        </w:tc>
      </w:tr>
      <w:tr w:rsidR="00CD34AE" w:rsidRPr="00100790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100790" w:rsidRDefault="00CD34AE" w:rsidP="00CD34AE"/>
        </w:tc>
      </w:tr>
      <w:tr w:rsidR="00CD34AE" w:rsidRPr="00100790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77777777" w:rsidR="00F105F5" w:rsidRPr="00100790" w:rsidRDefault="00F105F5" w:rsidP="00F105F5">
            <w:pPr>
              <w:pStyle w:val="Headingb"/>
              <w:jc w:val="both"/>
            </w:pPr>
            <w:r w:rsidRPr="00100790">
              <w:t>Резюме</w:t>
            </w:r>
          </w:p>
          <w:p w14:paraId="4751683A" w14:textId="3DEE4C63" w:rsidR="00F105F5" w:rsidRPr="00100790" w:rsidRDefault="005E2554" w:rsidP="00F105F5">
            <w:proofErr w:type="spellStart"/>
            <w:r w:rsidRPr="00100790">
              <w:rPr>
                <w:lang w:bidi="ru-RU"/>
              </w:rPr>
              <w:t>Hukumati</w:t>
            </w:r>
            <w:proofErr w:type="spellEnd"/>
            <w:r w:rsidRPr="00100790">
              <w:rPr>
                <w:lang w:bidi="ru-RU"/>
              </w:rPr>
              <w:t xml:space="preserve"> (</w:t>
            </w:r>
            <w:proofErr w:type="spellStart"/>
            <w:r w:rsidRPr="00100790">
              <w:rPr>
                <w:lang w:bidi="ru-RU"/>
              </w:rPr>
              <w:t>my</w:t>
            </w:r>
            <w:proofErr w:type="spellEnd"/>
            <w:r w:rsidRPr="00100790">
              <w:rPr>
                <w:lang w:bidi="ru-RU"/>
              </w:rPr>
              <w:t xml:space="preserve"> Government) — это единая система электронного правительства со схемой аутентификации, предполагающей однократный вход в систему (</w:t>
            </w:r>
            <w:proofErr w:type="spellStart"/>
            <w:r w:rsidRPr="00100790">
              <w:rPr>
                <w:lang w:bidi="ru-RU"/>
              </w:rPr>
              <w:t>SSO</w:t>
            </w:r>
            <w:proofErr w:type="spellEnd"/>
            <w:r w:rsidRPr="00100790">
              <w:rPr>
                <w:lang w:bidi="ru-RU"/>
              </w:rPr>
              <w:t xml:space="preserve">), которая служит </w:t>
            </w:r>
            <w:r w:rsidR="00087306" w:rsidRPr="00100790">
              <w:rPr>
                <w:lang w:bidi="ru-RU"/>
              </w:rPr>
              <w:t>единым</w:t>
            </w:r>
            <w:r w:rsidRPr="00100790">
              <w:rPr>
                <w:lang w:bidi="ru-RU"/>
              </w:rPr>
              <w:t xml:space="preserve"> порталом для государственных учреждений и ведомств, предоставляющих электронные услуги гражданам и другим секторам. Она позволяет гражданам получать доступ к государственным услугам в электронном виде и оплачивать их с помощью доступных способов оплаты, лицензированных </w:t>
            </w:r>
            <w:r w:rsidR="00087306" w:rsidRPr="00100790">
              <w:rPr>
                <w:lang w:bidi="ru-RU"/>
              </w:rPr>
              <w:t>У</w:t>
            </w:r>
            <w:r w:rsidRPr="00100790">
              <w:rPr>
                <w:lang w:bidi="ru-RU"/>
              </w:rPr>
              <w:t xml:space="preserve">правлением </w:t>
            </w:r>
            <w:r w:rsidR="00087306" w:rsidRPr="00100790">
              <w:rPr>
                <w:lang w:bidi="ru-RU"/>
              </w:rPr>
              <w:t xml:space="preserve">Палестины </w:t>
            </w:r>
            <w:r w:rsidRPr="00100790">
              <w:rPr>
                <w:lang w:bidi="ru-RU"/>
              </w:rPr>
              <w:t xml:space="preserve">по регулированию денежного обращения. Система состоит из четырех основных компонентов (схема </w:t>
            </w:r>
            <w:proofErr w:type="spellStart"/>
            <w:r w:rsidRPr="00100790">
              <w:rPr>
                <w:lang w:bidi="ru-RU"/>
              </w:rPr>
              <w:t>SSO</w:t>
            </w:r>
            <w:proofErr w:type="spellEnd"/>
            <w:r w:rsidRPr="00100790">
              <w:rPr>
                <w:lang w:bidi="ru-RU"/>
              </w:rPr>
              <w:t xml:space="preserve">, </w:t>
            </w:r>
            <w:r w:rsidR="00087306" w:rsidRPr="00100790">
              <w:rPr>
                <w:lang w:bidi="ru-RU"/>
              </w:rPr>
              <w:t>единый</w:t>
            </w:r>
            <w:r w:rsidRPr="00100790">
              <w:rPr>
                <w:lang w:bidi="ru-RU"/>
              </w:rPr>
              <w:t xml:space="preserve"> портал электронного правительства </w:t>
            </w:r>
            <w:proofErr w:type="spellStart"/>
            <w:r w:rsidRPr="00100790">
              <w:rPr>
                <w:lang w:bidi="ru-RU"/>
              </w:rPr>
              <w:t>Hukumati</w:t>
            </w:r>
            <w:proofErr w:type="spellEnd"/>
            <w:r w:rsidRPr="00100790">
              <w:rPr>
                <w:lang w:bidi="ru-RU"/>
              </w:rPr>
              <w:t xml:space="preserve">, приложение для мобильных телефонов </w:t>
            </w:r>
            <w:proofErr w:type="spellStart"/>
            <w:r w:rsidRPr="00100790">
              <w:rPr>
                <w:lang w:bidi="ru-RU"/>
              </w:rPr>
              <w:t>Hukumati</w:t>
            </w:r>
            <w:proofErr w:type="spellEnd"/>
            <w:r w:rsidRPr="00100790">
              <w:rPr>
                <w:lang w:bidi="ru-RU"/>
              </w:rPr>
              <w:t xml:space="preserve"> и портал электронных платежей), которые интегрированы друг с другом и с системами государственных учреждений и ведомств, предоставляющих государственные услуги, посредством обмена данными на национальном уровне, позволяющего безопасно и легко обмениваться данными государственных органов и служащего базовой инфраструктурой для предоставления электронных услуг. </w:t>
            </w:r>
            <w:r w:rsidR="00473B7A" w:rsidRPr="00100790">
              <w:rPr>
                <w:lang w:bidi="ru-RU"/>
              </w:rPr>
              <w:t xml:space="preserve">15 января 2023 года система </w:t>
            </w:r>
            <w:r w:rsidRPr="00100790">
              <w:rPr>
                <w:lang w:bidi="ru-RU"/>
              </w:rPr>
              <w:t xml:space="preserve">электронного правительства </w:t>
            </w:r>
            <w:proofErr w:type="spellStart"/>
            <w:r w:rsidRPr="00100790">
              <w:rPr>
                <w:lang w:bidi="ru-RU"/>
              </w:rPr>
              <w:t>Hukumati</w:t>
            </w:r>
            <w:proofErr w:type="spellEnd"/>
            <w:r w:rsidRPr="00100790">
              <w:rPr>
                <w:lang w:bidi="ru-RU"/>
              </w:rPr>
              <w:t xml:space="preserve"> была введена в действие для широкой </w:t>
            </w:r>
            <w:r w:rsidR="00473B7A" w:rsidRPr="00100790">
              <w:rPr>
                <w:lang w:bidi="ru-RU"/>
              </w:rPr>
              <w:t>общественности</w:t>
            </w:r>
            <w:r w:rsidRPr="00100790">
              <w:rPr>
                <w:lang w:bidi="ru-RU"/>
              </w:rPr>
              <w:t xml:space="preserve">, что позволило всем гражданам пройти процесс регистрации с использованием схемы аутентификации и проверки </w:t>
            </w:r>
            <w:proofErr w:type="spellStart"/>
            <w:r w:rsidRPr="00100790">
              <w:rPr>
                <w:lang w:bidi="ru-RU"/>
              </w:rPr>
              <w:t>SSO</w:t>
            </w:r>
            <w:proofErr w:type="spellEnd"/>
            <w:r w:rsidRPr="00100790">
              <w:rPr>
                <w:lang w:bidi="ru-RU"/>
              </w:rPr>
              <w:t xml:space="preserve"> соответствующими подразделениями Министерства внутренних дел и Почтовой службы Палестины, чтобы получить имя пользователя и пароль для доступа к системе и услугам, предоставляемым через нее.</w:t>
            </w:r>
          </w:p>
          <w:p w14:paraId="19185981" w14:textId="77777777" w:rsidR="00F105F5" w:rsidRPr="00100790" w:rsidRDefault="00F105F5" w:rsidP="00135135">
            <w:pPr>
              <w:pStyle w:val="Headingb"/>
            </w:pPr>
            <w:r w:rsidRPr="00100790">
              <w:t>Необходимые действия</w:t>
            </w:r>
          </w:p>
          <w:p w14:paraId="562E7AEF" w14:textId="6EAD349E" w:rsidR="00F105F5" w:rsidRPr="00100790" w:rsidRDefault="005E2554" w:rsidP="00F105F5">
            <w:r w:rsidRPr="00100790">
              <w:rPr>
                <w:lang w:bidi="ru-RU"/>
              </w:rPr>
              <w:t>Представление документа на собрании Консультативной группы по развитию электросвязи в 2024</w:t>
            </w:r>
            <w:r w:rsidR="006C180E">
              <w:rPr>
                <w:lang w:val="en-US" w:bidi="ru-RU"/>
              </w:rPr>
              <w:t> </w:t>
            </w:r>
            <w:r w:rsidRPr="00100790">
              <w:rPr>
                <w:lang w:bidi="ru-RU"/>
              </w:rPr>
              <w:t>году.</w:t>
            </w:r>
          </w:p>
          <w:p w14:paraId="502F1131" w14:textId="77777777" w:rsidR="00F105F5" w:rsidRPr="00100790" w:rsidRDefault="00F105F5" w:rsidP="00F105F5">
            <w:pPr>
              <w:pStyle w:val="Headingb"/>
              <w:jc w:val="both"/>
            </w:pPr>
            <w:r w:rsidRPr="00100790">
              <w:t>Справочные материалы</w:t>
            </w:r>
          </w:p>
          <w:p w14:paraId="1E7E0297" w14:textId="3D0A2BD6" w:rsidR="00CD34AE" w:rsidRPr="00100790" w:rsidRDefault="00473B7A" w:rsidP="00F105F5">
            <w:pPr>
              <w:spacing w:after="120"/>
            </w:pPr>
            <w:r w:rsidRPr="00100790">
              <w:t>Отсутствуют.</w:t>
            </w:r>
          </w:p>
        </w:tc>
      </w:tr>
    </w:tbl>
    <w:p w14:paraId="6839E72B" w14:textId="77777777" w:rsidR="002931FA" w:rsidRPr="00100790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100790">
        <w:br w:type="page"/>
      </w:r>
    </w:p>
    <w:p w14:paraId="12DFF262" w14:textId="5EBBFA42" w:rsidR="005E2554" w:rsidRPr="00100790" w:rsidRDefault="00473B7A" w:rsidP="005E2554">
      <w:bookmarkStart w:id="7" w:name="lt_pId024"/>
      <w:r w:rsidRPr="00100790">
        <w:rPr>
          <w:lang w:bidi="ru-RU"/>
        </w:rPr>
        <w:lastRenderedPageBreak/>
        <w:t>В рамках министерского комитета, в состав которого вошли Министерство электросвязи и информационных технологий в качестве докладчика и Министерство финансов, Министерство внутренних дел, Генеральный секретариат Правительства и Управление Палестины по регулированию денежного обращения в качестве членов, п</w:t>
      </w:r>
      <w:r w:rsidR="005E2554" w:rsidRPr="00100790">
        <w:rPr>
          <w:lang w:bidi="ru-RU"/>
        </w:rPr>
        <w:t xml:space="preserve">равительство Палестины изучило </w:t>
      </w:r>
      <w:r w:rsidRPr="00100790">
        <w:rPr>
          <w:lang w:bidi="ru-RU"/>
        </w:rPr>
        <w:t xml:space="preserve">вопрос о проведении </w:t>
      </w:r>
      <w:r w:rsidR="005E2554" w:rsidRPr="00100790">
        <w:rPr>
          <w:lang w:bidi="ru-RU"/>
        </w:rPr>
        <w:t>тендер</w:t>
      </w:r>
      <w:r w:rsidRPr="00100790">
        <w:rPr>
          <w:lang w:bidi="ru-RU"/>
        </w:rPr>
        <w:t>а</w:t>
      </w:r>
      <w:r w:rsidR="005E2554" w:rsidRPr="00100790">
        <w:rPr>
          <w:lang w:bidi="ru-RU"/>
        </w:rPr>
        <w:t xml:space="preserve"> на создание системы электронных платежей в целях развития системы электронного правительства. Правительство также провело работу в рамках комитетов, созданных для утверждения и принятия финансовой политики электронных платежей и документа по управлению системой электронного правительства </w:t>
      </w:r>
      <w:proofErr w:type="spellStart"/>
      <w:r w:rsidR="005E2554" w:rsidRPr="00100790">
        <w:rPr>
          <w:lang w:bidi="ru-RU"/>
        </w:rPr>
        <w:t>Hukumati</w:t>
      </w:r>
      <w:proofErr w:type="spellEnd"/>
      <w:r w:rsidR="005E2554" w:rsidRPr="00100790">
        <w:rPr>
          <w:lang w:bidi="ru-RU"/>
        </w:rPr>
        <w:t>.</w:t>
      </w:r>
      <w:bookmarkEnd w:id="7"/>
    </w:p>
    <w:p w14:paraId="34626235" w14:textId="1D566E9B" w:rsidR="005E2554" w:rsidRPr="00100790" w:rsidRDefault="005E2554" w:rsidP="005E2554">
      <w:pPr>
        <w:pStyle w:val="enumlev1"/>
      </w:pPr>
      <w:bookmarkStart w:id="8" w:name="_Hlk164156472"/>
      <w:bookmarkStart w:id="9" w:name="lt_pId025"/>
      <w:r w:rsidRPr="00100790">
        <w:rPr>
          <w:lang w:bidi="ru-RU"/>
        </w:rPr>
        <w:t>•</w:t>
      </w:r>
      <w:r w:rsidRPr="00100790">
        <w:rPr>
          <w:lang w:bidi="ru-RU"/>
        </w:rPr>
        <w:tab/>
      </w:r>
      <w:bookmarkEnd w:id="8"/>
      <w:proofErr w:type="spellStart"/>
      <w:r w:rsidRPr="00100790">
        <w:rPr>
          <w:lang w:bidi="ru-RU"/>
        </w:rPr>
        <w:t>Hukumati</w:t>
      </w:r>
      <w:proofErr w:type="spellEnd"/>
      <w:r w:rsidRPr="00100790">
        <w:rPr>
          <w:lang w:bidi="ru-RU"/>
        </w:rPr>
        <w:t xml:space="preserve"> (</w:t>
      </w:r>
      <w:proofErr w:type="spellStart"/>
      <w:r w:rsidRPr="00100790">
        <w:rPr>
          <w:lang w:bidi="ru-RU"/>
        </w:rPr>
        <w:t>my</w:t>
      </w:r>
      <w:proofErr w:type="spellEnd"/>
      <w:r w:rsidRPr="00100790">
        <w:rPr>
          <w:lang w:bidi="ru-RU"/>
        </w:rPr>
        <w:t xml:space="preserve"> Government) </w:t>
      </w:r>
      <w:proofErr w:type="gramStart"/>
      <w:r w:rsidR="006C180E">
        <w:rPr>
          <w:lang w:bidi="ru-RU"/>
        </w:rPr>
        <w:t>−</w:t>
      </w:r>
      <w:r w:rsidRPr="00100790">
        <w:rPr>
          <w:lang w:bidi="ru-RU"/>
        </w:rPr>
        <w:t xml:space="preserve"> это</w:t>
      </w:r>
      <w:proofErr w:type="gramEnd"/>
      <w:r w:rsidRPr="00100790">
        <w:rPr>
          <w:lang w:bidi="ru-RU"/>
        </w:rPr>
        <w:t xml:space="preserve"> единая система электронного правительства со схемой аутентификации, предполагающей однократный вход в систему (</w:t>
      </w:r>
      <w:proofErr w:type="spellStart"/>
      <w:r w:rsidRPr="00100790">
        <w:rPr>
          <w:lang w:bidi="ru-RU"/>
        </w:rPr>
        <w:t>SSO</w:t>
      </w:r>
      <w:proofErr w:type="spellEnd"/>
      <w:r w:rsidRPr="00100790">
        <w:rPr>
          <w:lang w:bidi="ru-RU"/>
        </w:rPr>
        <w:t xml:space="preserve">), которая служит </w:t>
      </w:r>
      <w:r w:rsidR="00830256" w:rsidRPr="00100790">
        <w:rPr>
          <w:lang w:bidi="ru-RU"/>
        </w:rPr>
        <w:t>единым</w:t>
      </w:r>
      <w:r w:rsidRPr="00100790">
        <w:rPr>
          <w:lang w:bidi="ru-RU"/>
        </w:rPr>
        <w:t xml:space="preserve"> порталом для государственных учреждений и ведомств, предоставляющих электронные услуги гражданам и другим секторам. Она позволяет гражданам получать доступ к государственным услугам в электронном виде и оплачивать их с помощью доступных способов оплаты, лицензированных </w:t>
      </w:r>
      <w:r w:rsidR="00830256" w:rsidRPr="00100790">
        <w:rPr>
          <w:lang w:bidi="ru-RU"/>
        </w:rPr>
        <w:t>У</w:t>
      </w:r>
      <w:r w:rsidRPr="00100790">
        <w:rPr>
          <w:lang w:bidi="ru-RU"/>
        </w:rPr>
        <w:t xml:space="preserve">правлением </w:t>
      </w:r>
      <w:r w:rsidR="00830256" w:rsidRPr="00100790">
        <w:rPr>
          <w:lang w:bidi="ru-RU"/>
        </w:rPr>
        <w:t xml:space="preserve">Палестины </w:t>
      </w:r>
      <w:r w:rsidRPr="00100790">
        <w:rPr>
          <w:lang w:bidi="ru-RU"/>
        </w:rPr>
        <w:t xml:space="preserve">по регулированию денежного обращения. Система состоит из четырех основных компонентов (схема </w:t>
      </w:r>
      <w:proofErr w:type="spellStart"/>
      <w:r w:rsidRPr="00100790">
        <w:rPr>
          <w:lang w:bidi="ru-RU"/>
        </w:rPr>
        <w:t>SSO</w:t>
      </w:r>
      <w:proofErr w:type="spellEnd"/>
      <w:r w:rsidRPr="00100790">
        <w:rPr>
          <w:lang w:bidi="ru-RU"/>
        </w:rPr>
        <w:t xml:space="preserve">, </w:t>
      </w:r>
      <w:proofErr w:type="spellStart"/>
      <w:r w:rsidR="00782177" w:rsidRPr="00100790">
        <w:rPr>
          <w:lang w:bidi="ru-RU"/>
        </w:rPr>
        <w:t>tlbysq</w:t>
      </w:r>
      <w:proofErr w:type="spellEnd"/>
      <w:r w:rsidRPr="00100790">
        <w:rPr>
          <w:lang w:bidi="ru-RU"/>
        </w:rPr>
        <w:t xml:space="preserve"> портал электронного правительства </w:t>
      </w:r>
      <w:proofErr w:type="spellStart"/>
      <w:r w:rsidRPr="00100790">
        <w:rPr>
          <w:lang w:bidi="ru-RU"/>
        </w:rPr>
        <w:t>Hukumati</w:t>
      </w:r>
      <w:proofErr w:type="spellEnd"/>
      <w:r w:rsidRPr="00100790">
        <w:rPr>
          <w:lang w:bidi="ru-RU"/>
        </w:rPr>
        <w:t xml:space="preserve">, приложение для мобильных телефонов </w:t>
      </w:r>
      <w:proofErr w:type="spellStart"/>
      <w:r w:rsidRPr="00100790">
        <w:rPr>
          <w:lang w:bidi="ru-RU"/>
        </w:rPr>
        <w:t>Hukumati</w:t>
      </w:r>
      <w:proofErr w:type="spellEnd"/>
      <w:r w:rsidRPr="00100790">
        <w:rPr>
          <w:lang w:bidi="ru-RU"/>
        </w:rPr>
        <w:t xml:space="preserve"> и портал электронных платежей), которые интегрированы друг с другом и</w:t>
      </w:r>
      <w:r w:rsidR="006C180E">
        <w:rPr>
          <w:lang w:bidi="ru-RU"/>
        </w:rPr>
        <w:t> </w:t>
      </w:r>
      <w:r w:rsidRPr="00100790">
        <w:rPr>
          <w:lang w:bidi="ru-RU"/>
        </w:rPr>
        <w:t>с</w:t>
      </w:r>
      <w:r w:rsidR="006C180E">
        <w:rPr>
          <w:lang w:bidi="ru-RU"/>
        </w:rPr>
        <w:t> </w:t>
      </w:r>
      <w:r w:rsidRPr="00100790">
        <w:rPr>
          <w:lang w:bidi="ru-RU"/>
        </w:rPr>
        <w:t>системами государственных учреждений и ведомств, предоставляющих государственные услуги, посредством обмена данными на национальном уровне, позволяющего безопасно и</w:t>
      </w:r>
      <w:r w:rsidR="006C180E">
        <w:rPr>
          <w:lang w:bidi="ru-RU"/>
        </w:rPr>
        <w:t> </w:t>
      </w:r>
      <w:r w:rsidRPr="00100790">
        <w:rPr>
          <w:lang w:bidi="ru-RU"/>
        </w:rPr>
        <w:t>легко обмениваться данными государственных органов и служащего базовой инфраструктурой для предоставления электронных услуг.</w:t>
      </w:r>
      <w:bookmarkEnd w:id="9"/>
    </w:p>
    <w:p w14:paraId="3D5E6578" w14:textId="592D65AF" w:rsidR="005E2554" w:rsidRPr="00100790" w:rsidRDefault="00473B7A" w:rsidP="005E2554">
      <w:pPr>
        <w:rPr>
          <w:u w:val="single"/>
        </w:rPr>
      </w:pPr>
      <w:bookmarkStart w:id="10" w:name="lt_pId026"/>
      <w:r w:rsidRPr="00100790">
        <w:rPr>
          <w:lang w:bidi="ru-RU"/>
        </w:rPr>
        <w:t xml:space="preserve">15 января 2023 года система </w:t>
      </w:r>
      <w:r w:rsidR="005E2554" w:rsidRPr="00100790">
        <w:rPr>
          <w:lang w:bidi="ru-RU"/>
        </w:rPr>
        <w:t xml:space="preserve">электронного правительства </w:t>
      </w:r>
      <w:proofErr w:type="spellStart"/>
      <w:r w:rsidR="005E2554" w:rsidRPr="00100790">
        <w:rPr>
          <w:lang w:bidi="ru-RU"/>
        </w:rPr>
        <w:t>Hukumati</w:t>
      </w:r>
      <w:proofErr w:type="spellEnd"/>
      <w:r w:rsidR="005E2554" w:rsidRPr="00100790">
        <w:rPr>
          <w:lang w:bidi="ru-RU"/>
        </w:rPr>
        <w:t xml:space="preserve"> была введена в действие для</w:t>
      </w:r>
      <w:r w:rsidR="006C180E">
        <w:rPr>
          <w:lang w:bidi="ru-RU"/>
        </w:rPr>
        <w:t> </w:t>
      </w:r>
      <w:r w:rsidR="005E2554" w:rsidRPr="00100790">
        <w:rPr>
          <w:lang w:bidi="ru-RU"/>
        </w:rPr>
        <w:t xml:space="preserve">широкой </w:t>
      </w:r>
      <w:r w:rsidRPr="00100790">
        <w:rPr>
          <w:lang w:bidi="ru-RU"/>
        </w:rPr>
        <w:t>общественности</w:t>
      </w:r>
      <w:r w:rsidR="005E2554" w:rsidRPr="00100790">
        <w:rPr>
          <w:lang w:bidi="ru-RU"/>
        </w:rPr>
        <w:t>, что позволило всем гражданам пройти процесс регистрации с</w:t>
      </w:r>
      <w:r w:rsidR="006C180E">
        <w:rPr>
          <w:lang w:bidi="ru-RU"/>
        </w:rPr>
        <w:t> </w:t>
      </w:r>
      <w:r w:rsidR="005E2554" w:rsidRPr="00100790">
        <w:rPr>
          <w:lang w:bidi="ru-RU"/>
        </w:rPr>
        <w:t xml:space="preserve">использованием схемы аутентификации и проверки </w:t>
      </w:r>
      <w:proofErr w:type="spellStart"/>
      <w:r w:rsidR="005E2554" w:rsidRPr="00100790">
        <w:rPr>
          <w:lang w:bidi="ru-RU"/>
        </w:rPr>
        <w:t>SSO</w:t>
      </w:r>
      <w:proofErr w:type="spellEnd"/>
      <w:r w:rsidR="005E2554" w:rsidRPr="00100790">
        <w:rPr>
          <w:lang w:bidi="ru-RU"/>
        </w:rPr>
        <w:t xml:space="preserve"> соответствующими подразделениями Министерства внутренних дел и Почтовой службы Палестины, чтобы получить имя пользователя и</w:t>
      </w:r>
      <w:r w:rsidR="006C180E">
        <w:rPr>
          <w:lang w:bidi="ru-RU"/>
        </w:rPr>
        <w:t> </w:t>
      </w:r>
      <w:r w:rsidR="005E2554" w:rsidRPr="00100790">
        <w:rPr>
          <w:lang w:bidi="ru-RU"/>
        </w:rPr>
        <w:t xml:space="preserve">пароль для доступа к системе и услугам, предоставляемым через нее. </w:t>
      </w:r>
      <w:r w:rsidR="00782177" w:rsidRPr="00100790">
        <w:rPr>
          <w:lang w:bidi="ru-RU"/>
        </w:rPr>
        <w:t>Предусмотрено</w:t>
      </w:r>
      <w:r w:rsidR="005E2554" w:rsidRPr="00100790">
        <w:rPr>
          <w:lang w:bidi="ru-RU"/>
        </w:rPr>
        <w:t xml:space="preserve"> </w:t>
      </w:r>
      <w:r w:rsidR="005E2554" w:rsidRPr="00100790">
        <w:rPr>
          <w:u w:val="single"/>
          <w:lang w:bidi="ru-RU"/>
        </w:rPr>
        <w:t>42</w:t>
      </w:r>
      <w:r w:rsidR="006C180E">
        <w:rPr>
          <w:u w:val="single"/>
          <w:lang w:bidi="ru-RU"/>
        </w:rPr>
        <w:t> </w:t>
      </w:r>
      <w:r w:rsidR="005E2554" w:rsidRPr="00100790">
        <w:rPr>
          <w:u w:val="single"/>
          <w:lang w:bidi="ru-RU"/>
        </w:rPr>
        <w:t>государственных электронных услуги, включая 22 платные услуги и 20 информационных услуг в</w:t>
      </w:r>
      <w:r w:rsidR="006C180E">
        <w:rPr>
          <w:u w:val="single"/>
          <w:lang w:bidi="ru-RU"/>
        </w:rPr>
        <w:t> </w:t>
      </w:r>
      <w:r w:rsidR="005E2554" w:rsidRPr="00100790">
        <w:rPr>
          <w:u w:val="single"/>
          <w:lang w:bidi="ru-RU"/>
        </w:rPr>
        <w:t>13</w:t>
      </w:r>
      <w:r w:rsidR="006C180E">
        <w:rPr>
          <w:u w:val="single"/>
          <w:lang w:bidi="ru-RU"/>
        </w:rPr>
        <w:t> </w:t>
      </w:r>
      <w:r w:rsidR="005E2554" w:rsidRPr="00100790">
        <w:rPr>
          <w:u w:val="single"/>
          <w:lang w:bidi="ru-RU"/>
        </w:rPr>
        <w:t>правительственных департаментах</w:t>
      </w:r>
      <w:r w:rsidR="005E2554" w:rsidRPr="00100790">
        <w:rPr>
          <w:lang w:bidi="ru-RU"/>
        </w:rPr>
        <w:t>.</w:t>
      </w:r>
      <w:bookmarkEnd w:id="10"/>
    </w:p>
    <w:p w14:paraId="69677ABE" w14:textId="3B1E7227" w:rsidR="005E2554" w:rsidRPr="00100790" w:rsidRDefault="005E2554" w:rsidP="005E2554">
      <w:bookmarkStart w:id="11" w:name="lt_pId027"/>
      <w:r w:rsidRPr="00100790">
        <w:rPr>
          <w:lang w:bidi="ru-RU"/>
        </w:rPr>
        <w:t>Что касается доступных способов оплаты, то в рамках системы установлены связи с операторами кредитных и дебетовых карт, компаниями, осуществляющими электронные денежные платежи с</w:t>
      </w:r>
      <w:r w:rsidR="006C180E">
        <w:rPr>
          <w:lang w:bidi="ru-RU"/>
        </w:rPr>
        <w:t> </w:t>
      </w:r>
      <w:r w:rsidRPr="00100790">
        <w:rPr>
          <w:lang w:bidi="ru-RU"/>
        </w:rPr>
        <w:t xml:space="preserve">помощью </w:t>
      </w:r>
      <w:proofErr w:type="spellStart"/>
      <w:r w:rsidRPr="00100790">
        <w:rPr>
          <w:lang w:bidi="ru-RU"/>
        </w:rPr>
        <w:t>PoS</w:t>
      </w:r>
      <w:proofErr w:type="spellEnd"/>
      <w:r w:rsidRPr="00100790">
        <w:rPr>
          <w:lang w:bidi="ru-RU"/>
        </w:rPr>
        <w:t xml:space="preserve">, а также с системами и программами </w:t>
      </w:r>
      <w:r w:rsidR="00A1453C" w:rsidRPr="00100790">
        <w:rPr>
          <w:lang w:bidi="ru-RU"/>
        </w:rPr>
        <w:t>У</w:t>
      </w:r>
      <w:r w:rsidRPr="00100790">
        <w:rPr>
          <w:lang w:bidi="ru-RU"/>
        </w:rPr>
        <w:t xml:space="preserve">правления </w:t>
      </w:r>
      <w:r w:rsidR="00A1453C" w:rsidRPr="00100790">
        <w:rPr>
          <w:lang w:bidi="ru-RU"/>
        </w:rPr>
        <w:t xml:space="preserve">Палестины </w:t>
      </w:r>
      <w:r w:rsidRPr="00100790">
        <w:rPr>
          <w:lang w:bidi="ru-RU"/>
        </w:rPr>
        <w:t xml:space="preserve">по регулированию денежного обращения, позволяющими осуществлять оплату другими способами, лицензированными и одобренными </w:t>
      </w:r>
      <w:r w:rsidR="00782177" w:rsidRPr="00100790">
        <w:rPr>
          <w:lang w:bidi="ru-RU"/>
        </w:rPr>
        <w:t>У</w:t>
      </w:r>
      <w:r w:rsidRPr="00100790">
        <w:rPr>
          <w:lang w:bidi="ru-RU"/>
        </w:rPr>
        <w:t xml:space="preserve">правлением </w:t>
      </w:r>
      <w:r w:rsidR="00782177" w:rsidRPr="00100790">
        <w:rPr>
          <w:lang w:bidi="ru-RU"/>
        </w:rPr>
        <w:t xml:space="preserve">Палестины </w:t>
      </w:r>
      <w:r w:rsidRPr="00100790">
        <w:rPr>
          <w:lang w:bidi="ru-RU"/>
        </w:rPr>
        <w:t>по регулированию денежного обращения, например с банковских счетов и электронных кошельков.</w:t>
      </w:r>
      <w:bookmarkEnd w:id="11"/>
    </w:p>
    <w:p w14:paraId="41DCB62C" w14:textId="77777777" w:rsidR="005E2554" w:rsidRPr="00100790" w:rsidRDefault="005E2554" w:rsidP="005E2554">
      <w:pPr>
        <w:pStyle w:val="Headingb"/>
      </w:pPr>
      <w:bookmarkStart w:id="12" w:name="lt_pId028"/>
      <w:r w:rsidRPr="00100790">
        <w:rPr>
          <w:lang w:bidi="ru-RU"/>
        </w:rPr>
        <w:t xml:space="preserve">Компоненты системы </w:t>
      </w:r>
      <w:proofErr w:type="spellStart"/>
      <w:r w:rsidRPr="00100790">
        <w:rPr>
          <w:lang w:bidi="ru-RU"/>
        </w:rPr>
        <w:t>Hukumati</w:t>
      </w:r>
      <w:bookmarkEnd w:id="12"/>
      <w:proofErr w:type="spellEnd"/>
    </w:p>
    <w:p w14:paraId="4B458615" w14:textId="77777777" w:rsidR="005E2554" w:rsidRPr="00100790" w:rsidRDefault="005E2554" w:rsidP="006C180E">
      <w:pPr>
        <w:pStyle w:val="enumlev1"/>
      </w:pPr>
      <w:bookmarkStart w:id="13" w:name="lt_pId029"/>
      <w:r w:rsidRPr="00100790">
        <w:rPr>
          <w:lang w:bidi="ru-RU"/>
        </w:rPr>
        <w:t>•</w:t>
      </w:r>
      <w:r w:rsidRPr="00100790">
        <w:rPr>
          <w:lang w:bidi="ru-RU"/>
        </w:rPr>
        <w:tab/>
        <w:t xml:space="preserve">Схема </w:t>
      </w:r>
      <w:proofErr w:type="spellStart"/>
      <w:r w:rsidRPr="00100790">
        <w:rPr>
          <w:lang w:bidi="ru-RU"/>
        </w:rPr>
        <w:t>SSO</w:t>
      </w:r>
      <w:bookmarkEnd w:id="13"/>
      <w:proofErr w:type="spellEnd"/>
    </w:p>
    <w:p w14:paraId="4535B423" w14:textId="41488A0F" w:rsidR="005E2554" w:rsidRPr="00100790" w:rsidRDefault="005E2554" w:rsidP="005E2554">
      <w:bookmarkStart w:id="14" w:name="lt_pId030"/>
      <w:r w:rsidRPr="00100790">
        <w:rPr>
          <w:lang w:bidi="ru-RU"/>
        </w:rPr>
        <w:t>Это</w:t>
      </w:r>
      <w:r w:rsidR="006C180E">
        <w:rPr>
          <w:lang w:bidi="ru-RU"/>
        </w:rPr>
        <w:t xml:space="preserve"> −</w:t>
      </w:r>
      <w:r w:rsidRPr="00100790">
        <w:rPr>
          <w:lang w:bidi="ru-RU"/>
        </w:rPr>
        <w:t xml:space="preserve"> интерфейс, позволяющий гражданам создавать учетные записи и вводить свои данные. Данные сопоставляются с реестром актов гражданского состояния Министерства внутренних дел, а затем поступают в соответствующие отделения Министерства внутренних дел и Почтовой службы Палестины для проверки личности гражданина, активации учетной записи и предоставления имени пользователя и пароля.</w:t>
      </w:r>
      <w:bookmarkEnd w:id="14"/>
    </w:p>
    <w:p w14:paraId="384C7AC2" w14:textId="77777777" w:rsidR="005E2554" w:rsidRPr="00100790" w:rsidRDefault="005E2554" w:rsidP="006C180E">
      <w:pPr>
        <w:pStyle w:val="enumlev1"/>
      </w:pPr>
      <w:bookmarkStart w:id="15" w:name="lt_pId031"/>
      <w:r w:rsidRPr="00100790">
        <w:rPr>
          <w:lang w:bidi="ru-RU"/>
        </w:rPr>
        <w:t>•</w:t>
      </w:r>
      <w:r w:rsidRPr="00100790">
        <w:rPr>
          <w:lang w:bidi="ru-RU"/>
        </w:rPr>
        <w:tab/>
        <w:t xml:space="preserve">Единый портал электронного правительства </w:t>
      </w:r>
      <w:bookmarkEnd w:id="15"/>
    </w:p>
    <w:p w14:paraId="690E285C" w14:textId="06775402" w:rsidR="005E2554" w:rsidRPr="00100790" w:rsidRDefault="005E2554" w:rsidP="005E2554">
      <w:bookmarkStart w:id="16" w:name="lt_pId032"/>
      <w:r w:rsidRPr="00100790">
        <w:rPr>
          <w:lang w:bidi="ru-RU"/>
        </w:rPr>
        <w:t>Этот интерфейс позволяет гражданам получать доступ к электронным государственным информационным услугам, а также запрашивать и оплачивать другие государственные услуги в электронном виде. Это экономит время, усилия и деньги, повышает эффективность и результативность работы учреждений и качество услуг, предоставляемых населению, которое может получить доступ к порталу после активации учетной записи по ссылке</w:t>
      </w:r>
      <w:r w:rsidR="006C180E">
        <w:rPr>
          <w:lang w:bidi="ru-RU"/>
        </w:rPr>
        <w:t>:</w:t>
      </w:r>
      <w:r w:rsidRPr="00100790">
        <w:rPr>
          <w:lang w:bidi="ru-RU"/>
        </w:rPr>
        <w:t xml:space="preserve"> </w:t>
      </w:r>
      <w:hyperlink r:id="rId8" w:history="1">
        <w:r w:rsidRPr="00100790">
          <w:rPr>
            <w:rStyle w:val="Hyperlink"/>
            <w:lang w:bidi="ru-RU"/>
          </w:rPr>
          <w:t>www.hukumati.ps</w:t>
        </w:r>
      </w:hyperlink>
      <w:r w:rsidRPr="00100790">
        <w:rPr>
          <w:lang w:bidi="ru-RU"/>
        </w:rPr>
        <w:t>.</w:t>
      </w:r>
      <w:bookmarkEnd w:id="16"/>
    </w:p>
    <w:p w14:paraId="5F2F40FD" w14:textId="77777777" w:rsidR="005E2554" w:rsidRPr="00100790" w:rsidRDefault="005E2554" w:rsidP="006C180E">
      <w:pPr>
        <w:pStyle w:val="enumlev1"/>
        <w:keepNext/>
        <w:keepLines/>
      </w:pPr>
      <w:bookmarkStart w:id="17" w:name="lt_pId033"/>
      <w:r w:rsidRPr="00100790">
        <w:rPr>
          <w:lang w:bidi="ru-RU"/>
        </w:rPr>
        <w:lastRenderedPageBreak/>
        <w:t>•</w:t>
      </w:r>
      <w:r w:rsidRPr="00100790">
        <w:rPr>
          <w:lang w:bidi="ru-RU"/>
        </w:rPr>
        <w:tab/>
        <w:t xml:space="preserve">Приложение для мобильных телефонов </w:t>
      </w:r>
      <w:proofErr w:type="spellStart"/>
      <w:r w:rsidRPr="00100790">
        <w:rPr>
          <w:lang w:bidi="ru-RU"/>
        </w:rPr>
        <w:t>Hukumati</w:t>
      </w:r>
      <w:proofErr w:type="spellEnd"/>
      <w:r w:rsidRPr="00100790">
        <w:rPr>
          <w:lang w:bidi="ru-RU"/>
        </w:rPr>
        <w:t xml:space="preserve"> </w:t>
      </w:r>
      <w:bookmarkEnd w:id="17"/>
    </w:p>
    <w:p w14:paraId="32DD1582" w14:textId="77777777" w:rsidR="005E2554" w:rsidRPr="00100790" w:rsidRDefault="005E2554" w:rsidP="005E2554">
      <w:bookmarkStart w:id="18" w:name="lt_pId034"/>
      <w:r w:rsidRPr="00100790">
        <w:rPr>
          <w:lang w:bidi="ru-RU"/>
        </w:rPr>
        <w:t xml:space="preserve">Приложение содержит все функции и компоненты, доступные на едином портале электронных государственных услуг, и доступно для пользователей смартфонов на базе </w:t>
      </w:r>
      <w:proofErr w:type="spellStart"/>
      <w:r w:rsidRPr="00100790">
        <w:rPr>
          <w:lang w:bidi="ru-RU"/>
        </w:rPr>
        <w:t>iOS</w:t>
      </w:r>
      <w:proofErr w:type="spellEnd"/>
      <w:r w:rsidRPr="00100790">
        <w:rPr>
          <w:lang w:bidi="ru-RU"/>
        </w:rPr>
        <w:t xml:space="preserve"> и </w:t>
      </w:r>
      <w:proofErr w:type="spellStart"/>
      <w:r w:rsidRPr="00100790">
        <w:rPr>
          <w:lang w:bidi="ru-RU"/>
        </w:rPr>
        <w:t>Android</w:t>
      </w:r>
      <w:proofErr w:type="spellEnd"/>
      <w:r w:rsidRPr="00100790">
        <w:rPr>
          <w:lang w:bidi="ru-RU"/>
        </w:rPr>
        <w:t>.</w:t>
      </w:r>
      <w:bookmarkEnd w:id="18"/>
    </w:p>
    <w:p w14:paraId="668EEFC5" w14:textId="77777777" w:rsidR="005E2554" w:rsidRPr="00100790" w:rsidRDefault="005E2554" w:rsidP="006C180E">
      <w:pPr>
        <w:pStyle w:val="enumlev1"/>
      </w:pPr>
      <w:bookmarkStart w:id="19" w:name="lt_pId035"/>
      <w:r w:rsidRPr="00100790">
        <w:rPr>
          <w:lang w:bidi="ru-RU"/>
        </w:rPr>
        <w:t>•</w:t>
      </w:r>
      <w:r w:rsidRPr="00100790">
        <w:rPr>
          <w:lang w:bidi="ru-RU"/>
        </w:rPr>
        <w:tab/>
        <w:t>Портал электронных платежей</w:t>
      </w:r>
      <w:bookmarkEnd w:id="19"/>
    </w:p>
    <w:p w14:paraId="149146B7" w14:textId="3634C88C" w:rsidR="005E2554" w:rsidRPr="00100790" w:rsidRDefault="005E2554" w:rsidP="005E2554">
      <w:bookmarkStart w:id="20" w:name="lt_pId036"/>
      <w:r w:rsidRPr="00100790">
        <w:rPr>
          <w:lang w:bidi="ru-RU"/>
        </w:rPr>
        <w:t xml:space="preserve">Этот портал позволяет персоналу </w:t>
      </w:r>
      <w:r w:rsidR="008C7FB7" w:rsidRPr="00100790">
        <w:rPr>
          <w:lang w:bidi="ru-RU"/>
        </w:rPr>
        <w:t xml:space="preserve">финансовых подразделений </w:t>
      </w:r>
      <w:r w:rsidRPr="00100790">
        <w:rPr>
          <w:lang w:bidi="ru-RU"/>
        </w:rPr>
        <w:t>различных государственных учреждений и ведомств отслеживать все финансовые движения и получать подробные отчеты о</w:t>
      </w:r>
      <w:r w:rsidR="006C180E">
        <w:rPr>
          <w:lang w:bidi="ru-RU"/>
        </w:rPr>
        <w:t> </w:t>
      </w:r>
      <w:r w:rsidRPr="00100790">
        <w:rPr>
          <w:lang w:bidi="ru-RU"/>
        </w:rPr>
        <w:t xml:space="preserve">клиринговых и расчетных операциях и банковских счетах, связанных с услугами каждого государственного учреждения или ведомства. </w:t>
      </w:r>
      <w:bookmarkEnd w:id="20"/>
    </w:p>
    <w:p w14:paraId="01418C90" w14:textId="77777777" w:rsidR="00100790" w:rsidRDefault="00100790" w:rsidP="00100790">
      <w:pPr>
        <w:spacing w:before="720"/>
        <w:jc w:val="center"/>
      </w:pPr>
      <w:r>
        <w:t>______________</w:t>
      </w:r>
    </w:p>
    <w:sectPr w:rsidR="00100790" w:rsidSect="00100790">
      <w:headerReference w:type="default" r:id="rId9"/>
      <w:footerReference w:type="first" r:id="rId10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0431" w14:textId="77777777" w:rsidR="0008354E" w:rsidRDefault="0008354E" w:rsidP="00E54FD2">
      <w:pPr>
        <w:spacing w:before="0"/>
      </w:pPr>
      <w:r>
        <w:separator/>
      </w:r>
    </w:p>
  </w:endnote>
  <w:endnote w:type="continuationSeparator" w:id="0">
    <w:p w14:paraId="11C5C037" w14:textId="77777777" w:rsidR="0008354E" w:rsidRDefault="0008354E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100790" w14:paraId="3A450548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BD2C91" w:rsidRPr="00100790" w:rsidRDefault="0056204A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00790">
            <w:rPr>
              <w:sz w:val="18"/>
              <w:szCs w:val="18"/>
            </w:rPr>
            <w:t>Для контактов</w:t>
          </w:r>
          <w:r w:rsidR="00BD2C91" w:rsidRPr="00100790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BD2C91" w:rsidRPr="0010079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10079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30D6C4B4" w14:textId="3A65EF1C" w:rsidR="00BD2C91" w:rsidRPr="00100790" w:rsidRDefault="005E2554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100790">
            <w:rPr>
              <w:sz w:val="18"/>
              <w:szCs w:val="18"/>
              <w:lang w:bidi="ru-RU"/>
            </w:rPr>
            <w:t>Фади Морджан (Fadi Morjanh), Министерство электросвязи и</w:t>
          </w:r>
          <w:r w:rsidR="006C180E">
            <w:rPr>
              <w:sz w:val="18"/>
              <w:szCs w:val="18"/>
              <w:lang w:val="en-US" w:bidi="ru-RU"/>
            </w:rPr>
            <w:t> </w:t>
          </w:r>
          <w:r w:rsidRPr="00100790">
            <w:rPr>
              <w:sz w:val="18"/>
              <w:szCs w:val="18"/>
              <w:lang w:bidi="ru-RU"/>
            </w:rPr>
            <w:t>информационных технологий, Государство Палестина</w:t>
          </w:r>
        </w:p>
      </w:tc>
    </w:tr>
    <w:tr w:rsidR="00BD2C91" w:rsidRPr="00100790" w14:paraId="59221345" w14:textId="77777777" w:rsidTr="004E3CF5">
      <w:tc>
        <w:tcPr>
          <w:tcW w:w="1418" w:type="dxa"/>
          <w:shd w:val="clear" w:color="auto" w:fill="auto"/>
        </w:tcPr>
        <w:p w14:paraId="04E87779" w14:textId="77777777" w:rsidR="00BD2C91" w:rsidRPr="00100790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53C080A" w14:textId="77777777" w:rsidR="00BD2C91" w:rsidRPr="00100790" w:rsidRDefault="00BD2C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10079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4B0D527B" w14:textId="6F698FA8" w:rsidR="00BD2C91" w:rsidRPr="00100790" w:rsidRDefault="005E2554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00790">
            <w:rPr>
              <w:sz w:val="18"/>
              <w:szCs w:val="18"/>
              <w:lang w:bidi="ru-RU"/>
            </w:rPr>
            <w:t>+970599372736</w:t>
          </w:r>
        </w:p>
      </w:tc>
    </w:tr>
    <w:tr w:rsidR="00BD2C91" w:rsidRPr="00100790" w14:paraId="00A1C1CA" w14:textId="77777777" w:rsidTr="004E3CF5">
      <w:tc>
        <w:tcPr>
          <w:tcW w:w="1418" w:type="dxa"/>
          <w:shd w:val="clear" w:color="auto" w:fill="auto"/>
        </w:tcPr>
        <w:p w14:paraId="0B4A2F10" w14:textId="77777777" w:rsidR="00BD2C91" w:rsidRPr="00100790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37FC28FE" w14:textId="77777777" w:rsidR="00BD2C91" w:rsidRPr="00100790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00790">
            <w:rPr>
              <w:sz w:val="18"/>
              <w:szCs w:val="18"/>
            </w:rPr>
            <w:t>Эл. почта</w:t>
          </w:r>
          <w:r w:rsidRPr="0010079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5FBD6A3E" w14:textId="1E179467" w:rsidR="00BD2C91" w:rsidRPr="00100790" w:rsidRDefault="006C180E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5E2554" w:rsidRPr="00100790">
              <w:rPr>
                <w:rStyle w:val="Hyperlink"/>
                <w:position w:val="2"/>
                <w:sz w:val="18"/>
                <w:szCs w:val="18"/>
                <w:lang w:bidi="ru-RU"/>
              </w:rPr>
              <w:t>fmorjanh@mtit.gov.ps</w:t>
            </w:r>
          </w:hyperlink>
        </w:p>
      </w:tc>
    </w:tr>
  </w:tbl>
  <w:p w14:paraId="026EBCE3" w14:textId="77777777" w:rsidR="00F320E9" w:rsidRPr="00F320E9" w:rsidRDefault="00F320E9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45A138E1" w14:textId="3B032351" w:rsidR="00B52E6E" w:rsidRPr="00F320E9" w:rsidRDefault="006C180E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proofErr w:type="spellStart"/>
      <w:r w:rsidR="004143D5" w:rsidRPr="00F320E9">
        <w:rPr>
          <w:color w:val="0000FF"/>
          <w:sz w:val="18"/>
          <w:szCs w:val="18"/>
          <w:u w:val="single"/>
        </w:rPr>
        <w:t>КГРЭ</w:t>
      </w:r>
      <w:proofErr w:type="spellEnd"/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84E6" w14:textId="77777777" w:rsidR="0008354E" w:rsidRDefault="0008354E" w:rsidP="00E54FD2">
      <w:pPr>
        <w:spacing w:before="0"/>
      </w:pPr>
      <w:r>
        <w:separator/>
      </w:r>
    </w:p>
  </w:footnote>
  <w:footnote w:type="continuationSeparator" w:id="0">
    <w:p w14:paraId="0C044065" w14:textId="77777777" w:rsidR="0008354E" w:rsidRDefault="0008354E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7EF3A1BE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proofErr w:type="spellStart"/>
    <w:r w:rsidRPr="004D0E96">
      <w:t>TDAG</w:t>
    </w:r>
    <w:proofErr w:type="spellEnd"/>
    <w:r w:rsidR="0040328D" w:rsidRPr="004D0E96">
      <w:t>-</w:t>
    </w:r>
    <w:r w:rsidR="002931FA" w:rsidRPr="004D0E96">
      <w:rPr>
        <w:lang w:val="en-US"/>
      </w:rPr>
      <w:t>2</w:t>
    </w:r>
    <w:r w:rsidR="005B429D">
      <w:t>4</w:t>
    </w:r>
    <w:r w:rsidR="00F105F5">
      <w:rPr>
        <w:lang w:val="en-GB"/>
      </w:rPr>
      <w:t>/</w:t>
    </w:r>
    <w:r w:rsidR="005E2554">
      <w:t>26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8354E"/>
    <w:rsid w:val="00087306"/>
    <w:rsid w:val="000C09B0"/>
    <w:rsid w:val="00100790"/>
    <w:rsid w:val="00107E03"/>
    <w:rsid w:val="00111662"/>
    <w:rsid w:val="00134D3C"/>
    <w:rsid w:val="00135135"/>
    <w:rsid w:val="001530FB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37B3A"/>
    <w:rsid w:val="00240F57"/>
    <w:rsid w:val="002502FE"/>
    <w:rsid w:val="00251664"/>
    <w:rsid w:val="00257C2C"/>
    <w:rsid w:val="00270876"/>
    <w:rsid w:val="002717CC"/>
    <w:rsid w:val="002931FA"/>
    <w:rsid w:val="002D48F4"/>
    <w:rsid w:val="00316454"/>
    <w:rsid w:val="00366978"/>
    <w:rsid w:val="003A294B"/>
    <w:rsid w:val="003C01D0"/>
    <w:rsid w:val="003C6E83"/>
    <w:rsid w:val="003E6E87"/>
    <w:rsid w:val="0040328D"/>
    <w:rsid w:val="004138D7"/>
    <w:rsid w:val="004143D5"/>
    <w:rsid w:val="00422053"/>
    <w:rsid w:val="004713B8"/>
    <w:rsid w:val="00473B7A"/>
    <w:rsid w:val="00492670"/>
    <w:rsid w:val="004D0E96"/>
    <w:rsid w:val="004E4490"/>
    <w:rsid w:val="00525DEF"/>
    <w:rsid w:val="0056204A"/>
    <w:rsid w:val="005773D4"/>
    <w:rsid w:val="005B429D"/>
    <w:rsid w:val="005C0551"/>
    <w:rsid w:val="005D4DF3"/>
    <w:rsid w:val="005E006A"/>
    <w:rsid w:val="005E2554"/>
    <w:rsid w:val="0061777D"/>
    <w:rsid w:val="00631202"/>
    <w:rsid w:val="00655923"/>
    <w:rsid w:val="00694764"/>
    <w:rsid w:val="006C180E"/>
    <w:rsid w:val="006F5E91"/>
    <w:rsid w:val="00701E31"/>
    <w:rsid w:val="00782177"/>
    <w:rsid w:val="007E6B3A"/>
    <w:rsid w:val="008112E9"/>
    <w:rsid w:val="00830256"/>
    <w:rsid w:val="0083056D"/>
    <w:rsid w:val="00875722"/>
    <w:rsid w:val="008C576E"/>
    <w:rsid w:val="008C7FB7"/>
    <w:rsid w:val="009135B4"/>
    <w:rsid w:val="00916B10"/>
    <w:rsid w:val="00933E0E"/>
    <w:rsid w:val="00965DE3"/>
    <w:rsid w:val="00982196"/>
    <w:rsid w:val="009C5B8E"/>
    <w:rsid w:val="00A1453C"/>
    <w:rsid w:val="00A30897"/>
    <w:rsid w:val="00A44602"/>
    <w:rsid w:val="00A64F9D"/>
    <w:rsid w:val="00A7273A"/>
    <w:rsid w:val="00A73D91"/>
    <w:rsid w:val="00AA42F8"/>
    <w:rsid w:val="00AC2E0E"/>
    <w:rsid w:val="00AC5A99"/>
    <w:rsid w:val="00AC6023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C15500"/>
    <w:rsid w:val="00C3333A"/>
    <w:rsid w:val="00C33388"/>
    <w:rsid w:val="00C62E82"/>
    <w:rsid w:val="00C677D2"/>
    <w:rsid w:val="00C71A6F"/>
    <w:rsid w:val="00C84CCD"/>
    <w:rsid w:val="00C85F0C"/>
    <w:rsid w:val="00CD1F3E"/>
    <w:rsid w:val="00CD34AE"/>
    <w:rsid w:val="00CE37A1"/>
    <w:rsid w:val="00CE5E7B"/>
    <w:rsid w:val="00D16175"/>
    <w:rsid w:val="00D712FE"/>
    <w:rsid w:val="00D923CD"/>
    <w:rsid w:val="00D93FCC"/>
    <w:rsid w:val="00DA4610"/>
    <w:rsid w:val="00DC354B"/>
    <w:rsid w:val="00DD19E1"/>
    <w:rsid w:val="00DD5D8C"/>
    <w:rsid w:val="00E06A7D"/>
    <w:rsid w:val="00E30170"/>
    <w:rsid w:val="00E54FD2"/>
    <w:rsid w:val="00E82D31"/>
    <w:rsid w:val="00EE153D"/>
    <w:rsid w:val="00F105F5"/>
    <w:rsid w:val="00F320E9"/>
    <w:rsid w:val="00F72A94"/>
    <w:rsid w:val="00F746B3"/>
    <w:rsid w:val="00F961B7"/>
    <w:rsid w:val="00FA2BC3"/>
    <w:rsid w:val="00FA6BDB"/>
    <w:rsid w:val="00FC1008"/>
    <w:rsid w:val="00FC5ABC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kumati.p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fmorjanh@mtit.gov.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1134C-0BB8-49A4-A4D3-2B279A8FD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8C7E5A-C3CC-4268-915D-FF07B657E3B9}"/>
</file>

<file path=customXml/itemProps3.xml><?xml version="1.0" encoding="utf-8"?>
<ds:datastoreItem xmlns:ds="http://schemas.openxmlformats.org/officeDocument/2006/customXml" ds:itemID="{958E5DEA-B21B-41FF-B7C2-A0E93A9484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Maloletkova, Svetlana</cp:lastModifiedBy>
  <cp:revision>4</cp:revision>
  <cp:lastPrinted>2023-01-16T12:34:00Z</cp:lastPrinted>
  <dcterms:created xsi:type="dcterms:W3CDTF">2024-04-25T08:31:00Z</dcterms:created>
  <dcterms:modified xsi:type="dcterms:W3CDTF">2024-04-25T09:25:00Z</dcterms:modified>
</cp:coreProperties>
</file>