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E12E3D" w14:paraId="3F0E9EC4" w14:textId="77777777" w:rsidTr="00952667">
        <w:trPr>
          <w:cantSplit/>
          <w:trHeight w:val="1134"/>
        </w:trPr>
        <w:tc>
          <w:tcPr>
            <w:tcW w:w="6379" w:type="dxa"/>
          </w:tcPr>
          <w:p w14:paraId="68FE8375" w14:textId="60D4E501" w:rsidR="00307769" w:rsidRPr="00E12E3D" w:rsidRDefault="001011EB" w:rsidP="00307769">
            <w:pPr>
              <w:tabs>
                <w:tab w:val="clear" w:pos="1191"/>
                <w:tab w:val="clear" w:pos="1588"/>
                <w:tab w:val="clear" w:pos="1985"/>
              </w:tabs>
              <w:ind w:left="34"/>
              <w:rPr>
                <w:b/>
                <w:bCs/>
                <w:sz w:val="32"/>
                <w:szCs w:val="32"/>
                <w:lang w:val="fr-FR"/>
              </w:rPr>
            </w:pPr>
            <w:r w:rsidRPr="00E12E3D">
              <w:rPr>
                <w:b/>
                <w:bCs/>
                <w:sz w:val="32"/>
                <w:szCs w:val="32"/>
                <w:lang w:val="fr-FR"/>
              </w:rPr>
              <w:t xml:space="preserve">Groupe consultatif pour le développement </w:t>
            </w:r>
            <w:r w:rsidR="00307769" w:rsidRPr="00E12E3D">
              <w:rPr>
                <w:b/>
                <w:bCs/>
                <w:sz w:val="32"/>
                <w:szCs w:val="32"/>
                <w:lang w:val="fr-FR"/>
              </w:rPr>
              <w:br/>
            </w:r>
            <w:r w:rsidRPr="00E12E3D">
              <w:rPr>
                <w:b/>
                <w:bCs/>
                <w:sz w:val="32"/>
                <w:szCs w:val="32"/>
                <w:lang w:val="fr-FR"/>
              </w:rPr>
              <w:t>des télécommunications (GCDT</w:t>
            </w:r>
            <w:r w:rsidR="00307769" w:rsidRPr="00E12E3D">
              <w:rPr>
                <w:b/>
                <w:bCs/>
                <w:sz w:val="32"/>
                <w:szCs w:val="32"/>
                <w:lang w:val="fr-FR"/>
              </w:rPr>
              <w:t>)</w:t>
            </w:r>
          </w:p>
          <w:p w14:paraId="5F5F590A" w14:textId="114AEE46" w:rsidR="00307769" w:rsidRPr="00E12E3D" w:rsidRDefault="00307769" w:rsidP="001011EB">
            <w:pPr>
              <w:tabs>
                <w:tab w:val="clear" w:pos="1191"/>
                <w:tab w:val="clear" w:pos="1588"/>
                <w:tab w:val="clear" w:pos="1985"/>
              </w:tabs>
              <w:spacing w:after="120"/>
              <w:ind w:left="34"/>
              <w:rPr>
                <w:rFonts w:ascii="Verdana" w:hAnsi="Verdana"/>
                <w:sz w:val="28"/>
                <w:szCs w:val="28"/>
                <w:lang w:val="fr-FR"/>
              </w:rPr>
            </w:pPr>
            <w:r w:rsidRPr="00E12E3D">
              <w:rPr>
                <w:b/>
                <w:bCs/>
                <w:sz w:val="26"/>
                <w:szCs w:val="26"/>
                <w:lang w:val="fr-FR"/>
              </w:rPr>
              <w:t>3</w:t>
            </w:r>
            <w:r w:rsidR="00873313" w:rsidRPr="00E12E3D">
              <w:rPr>
                <w:b/>
                <w:bCs/>
                <w:sz w:val="26"/>
                <w:szCs w:val="26"/>
                <w:lang w:val="fr-FR"/>
              </w:rPr>
              <w:t>1</w:t>
            </w:r>
            <w:r w:rsidR="001011EB" w:rsidRPr="00E12E3D">
              <w:rPr>
                <w:b/>
                <w:bCs/>
                <w:sz w:val="26"/>
                <w:szCs w:val="26"/>
                <w:lang w:val="fr-FR"/>
              </w:rPr>
              <w:t>ème réunion</w:t>
            </w:r>
            <w:r w:rsidRPr="00E12E3D">
              <w:rPr>
                <w:b/>
                <w:bCs/>
                <w:sz w:val="26"/>
                <w:szCs w:val="26"/>
                <w:lang w:val="fr-FR"/>
              </w:rPr>
              <w:t xml:space="preserve">, </w:t>
            </w:r>
            <w:r w:rsidR="001011EB" w:rsidRPr="00E12E3D">
              <w:rPr>
                <w:b/>
                <w:bCs/>
                <w:sz w:val="26"/>
                <w:szCs w:val="26"/>
                <w:lang w:val="fr-FR"/>
              </w:rPr>
              <w:t>Genève</w:t>
            </w:r>
            <w:r w:rsidR="00D47E23" w:rsidRPr="00E12E3D">
              <w:rPr>
                <w:b/>
                <w:bCs/>
                <w:sz w:val="26"/>
                <w:szCs w:val="26"/>
                <w:lang w:val="fr-FR"/>
              </w:rPr>
              <w:t xml:space="preserve">, </w:t>
            </w:r>
            <w:r w:rsidR="001011EB" w:rsidRPr="00E12E3D">
              <w:rPr>
                <w:b/>
                <w:bCs/>
                <w:sz w:val="26"/>
                <w:szCs w:val="26"/>
                <w:lang w:val="fr-FR"/>
              </w:rPr>
              <w:t>Suisse</w:t>
            </w:r>
            <w:r w:rsidRPr="00E12E3D">
              <w:rPr>
                <w:b/>
                <w:bCs/>
                <w:sz w:val="26"/>
                <w:szCs w:val="26"/>
                <w:lang w:val="fr-FR"/>
              </w:rPr>
              <w:t xml:space="preserve">, </w:t>
            </w:r>
            <w:r w:rsidR="00873313" w:rsidRPr="00E12E3D">
              <w:rPr>
                <w:b/>
                <w:bCs/>
                <w:sz w:val="26"/>
                <w:szCs w:val="26"/>
                <w:lang w:val="fr-FR"/>
              </w:rPr>
              <w:t>20</w:t>
            </w:r>
            <w:r w:rsidRPr="00E12E3D">
              <w:rPr>
                <w:b/>
                <w:bCs/>
                <w:sz w:val="26"/>
                <w:szCs w:val="26"/>
                <w:lang w:val="fr-FR"/>
              </w:rPr>
              <w:t>-</w:t>
            </w:r>
            <w:r w:rsidR="00873313" w:rsidRPr="00E12E3D">
              <w:rPr>
                <w:b/>
                <w:bCs/>
                <w:sz w:val="26"/>
                <w:szCs w:val="26"/>
                <w:lang w:val="fr-FR"/>
              </w:rPr>
              <w:t>2</w:t>
            </w:r>
            <w:r w:rsidR="00930514" w:rsidRPr="00E12E3D">
              <w:rPr>
                <w:b/>
                <w:bCs/>
                <w:sz w:val="26"/>
                <w:szCs w:val="26"/>
                <w:lang w:val="fr-FR"/>
              </w:rPr>
              <w:t>3</w:t>
            </w:r>
            <w:r w:rsidR="00873313" w:rsidRPr="00E12E3D">
              <w:rPr>
                <w:b/>
                <w:bCs/>
                <w:sz w:val="26"/>
                <w:szCs w:val="26"/>
                <w:lang w:val="fr-FR"/>
              </w:rPr>
              <w:t xml:space="preserve"> mai</w:t>
            </w:r>
            <w:r w:rsidRPr="00E12E3D">
              <w:rPr>
                <w:b/>
                <w:bCs/>
                <w:sz w:val="26"/>
                <w:szCs w:val="26"/>
                <w:lang w:val="fr-FR"/>
              </w:rPr>
              <w:t xml:space="preserve"> 202</w:t>
            </w:r>
            <w:r w:rsidR="00873313" w:rsidRPr="00E12E3D">
              <w:rPr>
                <w:b/>
                <w:bCs/>
                <w:sz w:val="26"/>
                <w:szCs w:val="26"/>
                <w:lang w:val="fr-FR"/>
              </w:rPr>
              <w:t>4</w:t>
            </w:r>
          </w:p>
        </w:tc>
        <w:tc>
          <w:tcPr>
            <w:tcW w:w="3509" w:type="dxa"/>
          </w:tcPr>
          <w:p w14:paraId="67E7B4C4" w14:textId="0F52E4CC" w:rsidR="00307769" w:rsidRPr="00E12E3D" w:rsidRDefault="00307769" w:rsidP="00952667">
            <w:pPr>
              <w:spacing w:after="120"/>
              <w:ind w:right="142"/>
              <w:jc w:val="right"/>
              <w:rPr>
                <w:lang w:val="fr-FR"/>
              </w:rPr>
            </w:pPr>
            <w:r w:rsidRPr="00E12E3D">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12E3D" w14:paraId="3C13197B" w14:textId="77777777" w:rsidTr="0009076F">
        <w:trPr>
          <w:cantSplit/>
        </w:trPr>
        <w:tc>
          <w:tcPr>
            <w:tcW w:w="6379" w:type="dxa"/>
            <w:tcBorders>
              <w:top w:val="single" w:sz="12" w:space="0" w:color="auto"/>
            </w:tcBorders>
          </w:tcPr>
          <w:p w14:paraId="2EED9DB2" w14:textId="77777777" w:rsidR="00683C32" w:rsidRPr="00E12E3D"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E12E3D" w:rsidRDefault="00683C32" w:rsidP="00107E85">
            <w:pPr>
              <w:spacing w:before="0"/>
              <w:rPr>
                <w:b/>
                <w:bCs/>
                <w:sz w:val="20"/>
                <w:lang w:val="fr-FR"/>
              </w:rPr>
            </w:pPr>
          </w:p>
        </w:tc>
      </w:tr>
      <w:tr w:rsidR="00E80874" w:rsidRPr="00E12E3D" w14:paraId="0BB3FBC4" w14:textId="77777777" w:rsidTr="0009076F">
        <w:trPr>
          <w:cantSplit/>
        </w:trPr>
        <w:tc>
          <w:tcPr>
            <w:tcW w:w="6379" w:type="dxa"/>
          </w:tcPr>
          <w:p w14:paraId="43C54B3D" w14:textId="77777777" w:rsidR="00E80874" w:rsidRPr="00E12E3D" w:rsidRDefault="00E80874" w:rsidP="00E80874">
            <w:pPr>
              <w:pStyle w:val="Committee"/>
              <w:spacing w:before="0"/>
              <w:rPr>
                <w:b w:val="0"/>
                <w:szCs w:val="24"/>
                <w:lang w:val="fr-FR"/>
              </w:rPr>
            </w:pPr>
          </w:p>
        </w:tc>
        <w:tc>
          <w:tcPr>
            <w:tcW w:w="3509" w:type="dxa"/>
          </w:tcPr>
          <w:p w14:paraId="02E44EE9" w14:textId="06E925FF" w:rsidR="00E80874" w:rsidRPr="00E12E3D" w:rsidRDefault="00E80874" w:rsidP="00E80874">
            <w:pPr>
              <w:spacing w:before="0"/>
              <w:jc w:val="both"/>
              <w:rPr>
                <w:bCs/>
                <w:szCs w:val="24"/>
                <w:lang w:val="fr-FR"/>
              </w:rPr>
            </w:pPr>
            <w:r w:rsidRPr="00E12E3D">
              <w:rPr>
                <w:b/>
                <w:bCs/>
                <w:lang w:val="fr-FR"/>
              </w:rPr>
              <w:t>Révision 1 du</w:t>
            </w:r>
            <w:r w:rsidRPr="00E12E3D">
              <w:rPr>
                <w:b/>
                <w:bCs/>
                <w:lang w:val="fr-FR"/>
              </w:rPr>
              <w:br/>
            </w:r>
            <w:r w:rsidRPr="00E12E3D">
              <w:rPr>
                <w:b/>
                <w:bCs/>
                <w:lang w:val="fr-FR"/>
              </w:rPr>
              <w:t xml:space="preserve">Document </w:t>
            </w:r>
            <w:bookmarkStart w:id="0" w:name="DocRef1"/>
            <w:bookmarkEnd w:id="0"/>
            <w:r w:rsidRPr="00E12E3D">
              <w:rPr>
                <w:b/>
                <w:bCs/>
                <w:lang w:val="fr-FR"/>
              </w:rPr>
              <w:t>TDAG-2</w:t>
            </w:r>
            <w:bookmarkStart w:id="1" w:name="DocNo1"/>
            <w:bookmarkEnd w:id="1"/>
            <w:r w:rsidRPr="00E12E3D">
              <w:rPr>
                <w:b/>
                <w:bCs/>
                <w:lang w:val="fr-FR"/>
              </w:rPr>
              <w:t>4/23-F</w:t>
            </w:r>
          </w:p>
        </w:tc>
      </w:tr>
      <w:tr w:rsidR="00E80874" w:rsidRPr="00E12E3D" w14:paraId="24D04936" w14:textId="77777777" w:rsidTr="0009076F">
        <w:trPr>
          <w:cantSplit/>
        </w:trPr>
        <w:tc>
          <w:tcPr>
            <w:tcW w:w="6379" w:type="dxa"/>
          </w:tcPr>
          <w:p w14:paraId="12CE4DBF" w14:textId="77777777" w:rsidR="00E80874" w:rsidRPr="00E12E3D" w:rsidRDefault="00E80874" w:rsidP="00E80874">
            <w:pPr>
              <w:spacing w:before="0"/>
              <w:rPr>
                <w:b/>
                <w:bCs/>
                <w:smallCaps/>
                <w:szCs w:val="24"/>
                <w:lang w:val="fr-FR"/>
              </w:rPr>
            </w:pPr>
          </w:p>
        </w:tc>
        <w:tc>
          <w:tcPr>
            <w:tcW w:w="3509" w:type="dxa"/>
          </w:tcPr>
          <w:p w14:paraId="0F89640F" w14:textId="13D02998" w:rsidR="00E80874" w:rsidRPr="00E12E3D" w:rsidRDefault="00E80874" w:rsidP="00E80874">
            <w:pPr>
              <w:spacing w:before="0"/>
              <w:rPr>
                <w:b/>
                <w:szCs w:val="24"/>
                <w:lang w:val="fr-FR"/>
              </w:rPr>
            </w:pPr>
            <w:bookmarkStart w:id="2" w:name="CreationDate"/>
            <w:bookmarkEnd w:id="2"/>
            <w:r w:rsidRPr="00E12E3D">
              <w:rPr>
                <w:b/>
                <w:bCs/>
                <w:szCs w:val="28"/>
                <w:lang w:val="fr-FR"/>
              </w:rPr>
              <w:t>15 mai 2024</w:t>
            </w:r>
          </w:p>
        </w:tc>
      </w:tr>
      <w:tr w:rsidR="00E80874" w:rsidRPr="00E12E3D" w14:paraId="7B96545F" w14:textId="77777777" w:rsidTr="0009076F">
        <w:trPr>
          <w:cantSplit/>
        </w:trPr>
        <w:tc>
          <w:tcPr>
            <w:tcW w:w="6379" w:type="dxa"/>
          </w:tcPr>
          <w:p w14:paraId="65956FD3" w14:textId="77777777" w:rsidR="00E80874" w:rsidRPr="00E12E3D" w:rsidRDefault="00E80874" w:rsidP="00E80874">
            <w:pPr>
              <w:spacing w:before="0"/>
              <w:rPr>
                <w:b/>
                <w:bCs/>
                <w:smallCaps/>
                <w:szCs w:val="24"/>
                <w:lang w:val="fr-FR"/>
              </w:rPr>
            </w:pPr>
          </w:p>
        </w:tc>
        <w:tc>
          <w:tcPr>
            <w:tcW w:w="3509" w:type="dxa"/>
          </w:tcPr>
          <w:p w14:paraId="30EFD39F" w14:textId="71A40CA8" w:rsidR="00E80874" w:rsidRPr="00E12E3D" w:rsidRDefault="00E80874" w:rsidP="00E80874">
            <w:pPr>
              <w:spacing w:before="0"/>
              <w:rPr>
                <w:szCs w:val="24"/>
                <w:lang w:val="fr-FR"/>
              </w:rPr>
            </w:pPr>
            <w:r w:rsidRPr="00E12E3D">
              <w:rPr>
                <w:b/>
                <w:lang w:val="fr-FR"/>
              </w:rPr>
              <w:t>Original:</w:t>
            </w:r>
            <w:bookmarkStart w:id="3" w:name="Original"/>
            <w:bookmarkEnd w:id="3"/>
            <w:r w:rsidRPr="00E12E3D">
              <w:rPr>
                <w:b/>
                <w:lang w:val="fr-FR"/>
              </w:rPr>
              <w:t xml:space="preserve"> anglais</w:t>
            </w:r>
          </w:p>
        </w:tc>
      </w:tr>
      <w:tr w:rsidR="00E80874" w:rsidRPr="00E12E3D" w14:paraId="31656E31" w14:textId="77777777" w:rsidTr="00107E85">
        <w:trPr>
          <w:cantSplit/>
          <w:trHeight w:val="852"/>
        </w:trPr>
        <w:tc>
          <w:tcPr>
            <w:tcW w:w="9888" w:type="dxa"/>
            <w:gridSpan w:val="2"/>
          </w:tcPr>
          <w:p w14:paraId="512FCA01" w14:textId="510762C6" w:rsidR="00E80874" w:rsidRPr="00E12E3D" w:rsidRDefault="00E80874" w:rsidP="00E80874">
            <w:pPr>
              <w:pStyle w:val="Source"/>
              <w:rPr>
                <w:lang w:val="fr-FR"/>
              </w:rPr>
            </w:pPr>
            <w:bookmarkStart w:id="4" w:name="Source"/>
            <w:bookmarkEnd w:id="4"/>
            <w:r w:rsidRPr="00E12E3D">
              <w:rPr>
                <w:lang w:val="fr-FR"/>
              </w:rPr>
              <w:t>Directeur du Bureau de développement des télécommunications</w:t>
            </w:r>
          </w:p>
        </w:tc>
      </w:tr>
      <w:tr w:rsidR="00E80874" w:rsidRPr="00E12E3D" w14:paraId="2CBD3A36" w14:textId="77777777" w:rsidTr="00107E85">
        <w:trPr>
          <w:cantSplit/>
        </w:trPr>
        <w:tc>
          <w:tcPr>
            <w:tcW w:w="9888" w:type="dxa"/>
            <w:gridSpan w:val="2"/>
          </w:tcPr>
          <w:p w14:paraId="1B4121DF" w14:textId="7BAB6146" w:rsidR="00E80874" w:rsidRPr="00E12E3D" w:rsidRDefault="00E80874" w:rsidP="00E80874">
            <w:pPr>
              <w:pStyle w:val="Title1"/>
              <w:rPr>
                <w:lang w:val="fr-FR"/>
              </w:rPr>
            </w:pPr>
            <w:bookmarkStart w:id="5" w:name="Title"/>
            <w:bookmarkEnd w:id="5"/>
            <w:r w:rsidRPr="00E12E3D">
              <w:rPr>
                <w:lang w:val="fr-FR"/>
              </w:rPr>
              <w:t>Travaux préparatoires en vue de la Conférence mondiale de développement</w:t>
            </w:r>
            <w:r w:rsidRPr="00E12E3D">
              <w:rPr>
                <w:lang w:val="fr-FR"/>
              </w:rPr>
              <w:br/>
              <w:t>des télécommunications de 2025 (CMDT-25)</w:t>
            </w:r>
          </w:p>
        </w:tc>
      </w:tr>
      <w:tr w:rsidR="00A721F4" w:rsidRPr="00E12E3D" w14:paraId="23A30231" w14:textId="77777777" w:rsidTr="00A721F4">
        <w:trPr>
          <w:cantSplit/>
        </w:trPr>
        <w:tc>
          <w:tcPr>
            <w:tcW w:w="9888" w:type="dxa"/>
            <w:gridSpan w:val="2"/>
            <w:tcBorders>
              <w:bottom w:val="single" w:sz="4" w:space="0" w:color="auto"/>
            </w:tcBorders>
          </w:tcPr>
          <w:p w14:paraId="726EE70E" w14:textId="77777777" w:rsidR="00A721F4" w:rsidRPr="00E12E3D" w:rsidRDefault="00A721F4" w:rsidP="0030353C">
            <w:pPr>
              <w:rPr>
                <w:lang w:val="fr-FR"/>
              </w:rPr>
            </w:pPr>
          </w:p>
        </w:tc>
      </w:tr>
      <w:tr w:rsidR="00A721F4" w:rsidRPr="00E12E3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E12E3D" w:rsidRDefault="001011EB" w:rsidP="00EA0C51">
            <w:pPr>
              <w:spacing w:after="120"/>
              <w:rPr>
                <w:b/>
                <w:bCs/>
                <w:szCs w:val="24"/>
                <w:lang w:val="fr-FR"/>
              </w:rPr>
            </w:pPr>
            <w:r w:rsidRPr="00E12E3D">
              <w:rPr>
                <w:b/>
                <w:bCs/>
                <w:szCs w:val="24"/>
                <w:lang w:val="fr-FR"/>
              </w:rPr>
              <w:t>Résumé</w:t>
            </w:r>
            <w:r w:rsidR="00A721F4" w:rsidRPr="00E12E3D">
              <w:rPr>
                <w:b/>
                <w:bCs/>
                <w:szCs w:val="24"/>
                <w:lang w:val="fr-FR"/>
              </w:rPr>
              <w:t>:</w:t>
            </w:r>
          </w:p>
          <w:p w14:paraId="4082D7E8" w14:textId="08139F91" w:rsidR="00A721F4" w:rsidRPr="00E12E3D" w:rsidRDefault="00E80874" w:rsidP="00EA0C51">
            <w:pPr>
              <w:spacing w:after="120"/>
              <w:rPr>
                <w:szCs w:val="24"/>
                <w:lang w:val="fr-FR"/>
              </w:rPr>
            </w:pPr>
            <w:r w:rsidRPr="00E12E3D">
              <w:rPr>
                <w:lang w:val="fr-FR"/>
              </w:rPr>
              <w:t>Le présent document rend compte des travaux préparatoires menés à ce jour dans le cadre de l'organisation de la Conférence mondiale de développement des télécommunications de 2025 (CMDT-25), qui devrait se tenir du 17 au 28 novembre 2025 à Bakou (Azerbaïdjan).</w:t>
            </w:r>
          </w:p>
          <w:p w14:paraId="76A1C541" w14:textId="23209CDB" w:rsidR="00A721F4" w:rsidRPr="00E12E3D" w:rsidRDefault="001011EB" w:rsidP="00EA0C51">
            <w:pPr>
              <w:spacing w:after="120"/>
              <w:rPr>
                <w:b/>
                <w:bCs/>
                <w:szCs w:val="24"/>
                <w:lang w:val="fr-FR"/>
              </w:rPr>
            </w:pPr>
            <w:r w:rsidRPr="00E12E3D">
              <w:rPr>
                <w:b/>
                <w:bCs/>
                <w:lang w:val="fr-FR"/>
              </w:rPr>
              <w:t>Suite à donner</w:t>
            </w:r>
            <w:r w:rsidR="00A721F4" w:rsidRPr="00E12E3D">
              <w:rPr>
                <w:b/>
                <w:bCs/>
                <w:lang w:val="fr-FR"/>
              </w:rPr>
              <w:t>:</w:t>
            </w:r>
          </w:p>
          <w:p w14:paraId="371956FC" w14:textId="49604845" w:rsidR="00A721F4" w:rsidRPr="00E12E3D" w:rsidRDefault="00E80874" w:rsidP="00EA0C51">
            <w:pPr>
              <w:spacing w:after="120"/>
              <w:rPr>
                <w:szCs w:val="24"/>
                <w:lang w:val="fr-FR"/>
              </w:rPr>
            </w:pPr>
            <w:r w:rsidRPr="00E12E3D">
              <w:rPr>
                <w:lang w:val="fr-FR"/>
              </w:rPr>
              <w:t>Le GCDT est invité à prendre note du présent document et à fournir les indications qu'il jugera nécessaires.</w:t>
            </w:r>
          </w:p>
          <w:p w14:paraId="622ACB80" w14:textId="39EE560D" w:rsidR="00A721F4" w:rsidRPr="00E12E3D" w:rsidRDefault="00A721F4" w:rsidP="00EA0C51">
            <w:pPr>
              <w:spacing w:after="120"/>
              <w:rPr>
                <w:b/>
                <w:bCs/>
                <w:szCs w:val="24"/>
                <w:lang w:val="fr-FR"/>
              </w:rPr>
            </w:pPr>
            <w:r w:rsidRPr="00E12E3D">
              <w:rPr>
                <w:b/>
                <w:bCs/>
                <w:szCs w:val="24"/>
                <w:lang w:val="fr-FR"/>
              </w:rPr>
              <w:t>R</w:t>
            </w:r>
            <w:r w:rsidR="001011EB" w:rsidRPr="00E12E3D">
              <w:rPr>
                <w:b/>
                <w:bCs/>
                <w:szCs w:val="24"/>
                <w:lang w:val="fr-FR"/>
              </w:rPr>
              <w:t>é</w:t>
            </w:r>
            <w:r w:rsidRPr="00E12E3D">
              <w:rPr>
                <w:b/>
                <w:bCs/>
                <w:szCs w:val="24"/>
                <w:lang w:val="fr-FR"/>
              </w:rPr>
              <w:t>f</w:t>
            </w:r>
            <w:r w:rsidR="001011EB" w:rsidRPr="00E12E3D">
              <w:rPr>
                <w:b/>
                <w:bCs/>
                <w:szCs w:val="24"/>
                <w:lang w:val="fr-FR"/>
              </w:rPr>
              <w:t>é</w:t>
            </w:r>
            <w:r w:rsidRPr="00E12E3D">
              <w:rPr>
                <w:b/>
                <w:bCs/>
                <w:szCs w:val="24"/>
                <w:lang w:val="fr-FR"/>
              </w:rPr>
              <w:t>rences:</w:t>
            </w:r>
          </w:p>
          <w:p w14:paraId="1ECDD20E" w14:textId="4830356E" w:rsidR="00A721F4" w:rsidRPr="00E12E3D" w:rsidRDefault="00E80874" w:rsidP="00EA0C51">
            <w:pPr>
              <w:spacing w:after="120"/>
              <w:rPr>
                <w:lang w:val="fr-FR"/>
              </w:rPr>
            </w:pPr>
            <w:r w:rsidRPr="00E12E3D">
              <w:rPr>
                <w:lang w:val="fr-FR"/>
              </w:rPr>
              <w:t>Aucune</w:t>
            </w:r>
          </w:p>
        </w:tc>
      </w:tr>
    </w:tbl>
    <w:p w14:paraId="5B29B2A3" w14:textId="77777777" w:rsidR="00923CF1" w:rsidRPr="00E12E3D" w:rsidRDefault="00923CF1">
      <w:pPr>
        <w:tabs>
          <w:tab w:val="clear" w:pos="794"/>
          <w:tab w:val="clear" w:pos="1191"/>
          <w:tab w:val="clear" w:pos="1588"/>
          <w:tab w:val="clear" w:pos="1985"/>
        </w:tabs>
        <w:overflowPunct/>
        <w:autoSpaceDE/>
        <w:autoSpaceDN/>
        <w:adjustRightInd/>
        <w:spacing w:before="0"/>
        <w:textAlignment w:val="auto"/>
        <w:rPr>
          <w:lang w:val="fr-FR"/>
        </w:rPr>
      </w:pPr>
      <w:r w:rsidRPr="00E12E3D">
        <w:rPr>
          <w:lang w:val="fr-FR"/>
        </w:rPr>
        <w:br w:type="page"/>
      </w:r>
    </w:p>
    <w:p w14:paraId="20C5B5F9" w14:textId="6E270AFF" w:rsidR="00E80874" w:rsidRPr="00E12E3D" w:rsidRDefault="00E80874" w:rsidP="00E80874">
      <w:pPr>
        <w:pStyle w:val="Heading1"/>
        <w:tabs>
          <w:tab w:val="center" w:pos="4819"/>
        </w:tabs>
        <w:rPr>
          <w:lang w:val="fr-FR"/>
        </w:rPr>
      </w:pPr>
      <w:r w:rsidRPr="00E12E3D">
        <w:rPr>
          <w:lang w:val="fr-FR"/>
        </w:rPr>
        <w:lastRenderedPageBreak/>
        <w:t>1</w:t>
      </w:r>
      <w:r w:rsidRPr="00E12E3D">
        <w:rPr>
          <w:lang w:val="fr-FR"/>
        </w:rPr>
        <w:tab/>
        <w:t>Considérations générales</w:t>
      </w:r>
    </w:p>
    <w:p w14:paraId="5BE2D15F" w14:textId="77777777" w:rsidR="00E80874" w:rsidRPr="00E12E3D" w:rsidRDefault="00E80874" w:rsidP="00E80874">
      <w:pPr>
        <w:rPr>
          <w:lang w:val="fr-FR"/>
        </w:rPr>
      </w:pPr>
      <w:r w:rsidRPr="00E12E3D">
        <w:rPr>
          <w:lang w:val="fr-FR"/>
        </w:rPr>
        <w:t>1.1</w:t>
      </w:r>
      <w:r w:rsidRPr="00E12E3D">
        <w:rPr>
          <w:lang w:val="fr-FR"/>
        </w:rPr>
        <w:tab/>
        <w:t>Le numéro 141 de la Constitution de l'UIT dispose qu'il se tient entre deux Conférences de plénipotentiaires une Conférence mondiale de développement des télécommunications (CMDT).</w:t>
      </w:r>
    </w:p>
    <w:p w14:paraId="27871808" w14:textId="77777777" w:rsidR="00E80874" w:rsidRPr="00E12E3D" w:rsidRDefault="00E80874" w:rsidP="00E80874">
      <w:pPr>
        <w:rPr>
          <w:lang w:val="fr-FR"/>
        </w:rPr>
      </w:pPr>
      <w:r w:rsidRPr="00E12E3D">
        <w:rPr>
          <w:lang w:val="fr-FR"/>
        </w:rPr>
        <w:t>1.2</w:t>
      </w:r>
      <w:r w:rsidRPr="00E12E3D">
        <w:rPr>
          <w:lang w:val="fr-FR"/>
        </w:rPr>
        <w:tab/>
        <w:t>Conformément à la Résolution 77 (Rév. Bucarest, 2022) de la Conférence de plénipotentiaires, il a été décidé de tenir la CMDT au dernier trimestre de 2025.</w:t>
      </w:r>
    </w:p>
    <w:p w14:paraId="04B1C1AD" w14:textId="77777777" w:rsidR="00E80874" w:rsidRPr="00E12E3D" w:rsidRDefault="00E80874" w:rsidP="00E80874">
      <w:pPr>
        <w:rPr>
          <w:lang w:val="fr-FR"/>
        </w:rPr>
      </w:pPr>
      <w:r w:rsidRPr="00E12E3D">
        <w:rPr>
          <w:lang w:val="fr-FR"/>
        </w:rPr>
        <w:t>1.3</w:t>
      </w:r>
      <w:r w:rsidRPr="00E12E3D">
        <w:rPr>
          <w:lang w:val="fr-FR"/>
        </w:rPr>
        <w:tab/>
        <w:t>Dans sa Résolution 31 (Rév. Kigali, 2022), la CMDT a exprimé la ferme conviction que la coordination des travaux préparatoires du Secteur du développement des télécommunications de l'UIT (UIT-D) au niveau régional pour les six régions constitue un grand avantage pour les États Membres.</w:t>
      </w:r>
    </w:p>
    <w:p w14:paraId="325FCA5D" w14:textId="77777777" w:rsidR="00E80874" w:rsidRPr="00E12E3D" w:rsidRDefault="00E80874" w:rsidP="00E80874">
      <w:pPr>
        <w:pStyle w:val="Heading1"/>
        <w:rPr>
          <w:lang w:val="fr-FR"/>
        </w:rPr>
      </w:pPr>
      <w:r w:rsidRPr="00E12E3D">
        <w:rPr>
          <w:lang w:val="fr-FR"/>
        </w:rPr>
        <w:t>2</w:t>
      </w:r>
      <w:r w:rsidRPr="00E12E3D">
        <w:rPr>
          <w:lang w:val="fr-FR"/>
        </w:rPr>
        <w:tab/>
        <w:t>Lieu, durée, dates et site de la CMDT</w:t>
      </w:r>
    </w:p>
    <w:p w14:paraId="1FE31453" w14:textId="77777777" w:rsidR="00E80874" w:rsidRPr="00E12E3D" w:rsidRDefault="00E80874" w:rsidP="00E80874">
      <w:pPr>
        <w:rPr>
          <w:lang w:val="fr-FR"/>
        </w:rPr>
      </w:pPr>
      <w:r w:rsidRPr="00E12E3D">
        <w:rPr>
          <w:lang w:val="fr-FR"/>
        </w:rPr>
        <w:t>2.1</w:t>
      </w:r>
      <w:r w:rsidRPr="00E12E3D">
        <w:rPr>
          <w:lang w:val="fr-FR"/>
        </w:rPr>
        <w:tab/>
        <w:t xml:space="preserve">Pendant la Conférence de plénipotentiaires de 2022 (PP-22), le Gouvernement de la Thaïlande a envoyé une lettre à l'UIT pour indiquer qu'il souhaitait accueillir la CMDT-25 à Bangkok. Cette lettre a été publiée sous la cote </w:t>
      </w:r>
      <w:hyperlink r:id="rId11" w:history="1">
        <w:r w:rsidRPr="00E12E3D">
          <w:rPr>
            <w:rStyle w:val="Hyperlink"/>
            <w:lang w:val="fr-FR"/>
          </w:rPr>
          <w:t>PP-22/136</w:t>
        </w:r>
      </w:hyperlink>
      <w:r w:rsidRPr="00E12E3D">
        <w:rPr>
          <w:lang w:val="fr-FR"/>
        </w:rPr>
        <w:t>.</w:t>
      </w:r>
    </w:p>
    <w:p w14:paraId="658F7304" w14:textId="77777777" w:rsidR="00E80874" w:rsidRPr="00E12E3D" w:rsidRDefault="00E80874" w:rsidP="00E80874">
      <w:pPr>
        <w:rPr>
          <w:lang w:val="fr-FR"/>
        </w:rPr>
      </w:pPr>
      <w:r w:rsidRPr="00E12E3D">
        <w:rPr>
          <w:lang w:val="fr-FR"/>
        </w:rPr>
        <w:t>2.2</w:t>
      </w:r>
      <w:r w:rsidRPr="00E12E3D">
        <w:rPr>
          <w:lang w:val="fr-FR"/>
        </w:rPr>
        <w:tab/>
        <w:t>Le Gouvernement thaïlandais a envoyé une lettre le 7 décembre 2023 pour indiquer qu'il n'était malheureusement pas en mesure d'accueillir la conférence comme indiqué précédemment.</w:t>
      </w:r>
    </w:p>
    <w:p w14:paraId="4B3C4981" w14:textId="77777777" w:rsidR="00E80874" w:rsidRPr="00E12E3D" w:rsidRDefault="00E80874" w:rsidP="00E80874">
      <w:pPr>
        <w:rPr>
          <w:lang w:val="fr-FR"/>
        </w:rPr>
      </w:pPr>
      <w:r w:rsidRPr="00E12E3D">
        <w:rPr>
          <w:lang w:val="fr-FR"/>
        </w:rPr>
        <w:t>2.3</w:t>
      </w:r>
      <w:r w:rsidRPr="00E12E3D">
        <w:rPr>
          <w:lang w:val="fr-FR"/>
        </w:rPr>
        <w:tab/>
        <w:t xml:space="preserve">Le 19 décembre, l'UIT a envoyé la lettre </w:t>
      </w:r>
      <w:hyperlink r:id="rId12" w:history="1">
        <w:r w:rsidRPr="00E12E3D">
          <w:rPr>
            <w:rStyle w:val="Hyperlink"/>
            <w:lang w:val="fr-FR"/>
          </w:rPr>
          <w:t>CL-23/51</w:t>
        </w:r>
      </w:hyperlink>
      <w:r w:rsidRPr="00E12E3D">
        <w:rPr>
          <w:lang w:val="fr-FR"/>
        </w:rPr>
        <w:t xml:space="preserve"> à tous les États Membres de l'Union pour les informer de la situation concernant la tenue de la CMDT-25 et les inviter à prendre contact avec la Secrétaire générale.</w:t>
      </w:r>
    </w:p>
    <w:p w14:paraId="62DCA6AA" w14:textId="77777777" w:rsidR="00E80874" w:rsidRPr="00E12E3D" w:rsidRDefault="00E80874" w:rsidP="00E80874">
      <w:pPr>
        <w:rPr>
          <w:lang w:val="fr-FR"/>
        </w:rPr>
      </w:pPr>
      <w:r w:rsidRPr="00E12E3D">
        <w:rPr>
          <w:lang w:val="fr-FR"/>
        </w:rPr>
        <w:t>2.4</w:t>
      </w:r>
      <w:r w:rsidRPr="00E12E3D">
        <w:rPr>
          <w:lang w:val="fr-FR"/>
        </w:rPr>
        <w:tab/>
        <w:t>À la suite de cette lettre circulaire, l'Australie, la Jordanie, Oman, l'Azerbaïdjan et l'Égypte ont fait part de leur intérêt à l'UIT afin d'obtenir des informations sur les besoins et le coût de l'accueil de la CMDT. Le BDT a fourni les informations sollicitées et a demandé que la décision des différentes administrations des États Membres soit communiquée d'ici au 31 mars 2024.</w:t>
      </w:r>
    </w:p>
    <w:p w14:paraId="45F2A891" w14:textId="77777777" w:rsidR="00E80874" w:rsidRPr="00E12E3D" w:rsidRDefault="00E80874" w:rsidP="00E80874">
      <w:pPr>
        <w:rPr>
          <w:lang w:val="fr-FR"/>
        </w:rPr>
      </w:pPr>
      <w:r w:rsidRPr="00E12E3D">
        <w:rPr>
          <w:lang w:val="fr-FR"/>
        </w:rPr>
        <w:t>2.5</w:t>
      </w:r>
      <w:r w:rsidRPr="00E12E3D">
        <w:rPr>
          <w:lang w:val="fr-FR"/>
        </w:rPr>
        <w:tab/>
        <w:t>Dans l'intervalle, une réservation a été effectuée au CICG, à Genève, du 1er au 12 décembre 2025. Elle doit être confirmée avant le 14 juin.</w:t>
      </w:r>
    </w:p>
    <w:p w14:paraId="0939903B" w14:textId="77777777" w:rsidR="00E80874" w:rsidRPr="00E12E3D" w:rsidRDefault="00E80874" w:rsidP="00E80874">
      <w:pPr>
        <w:rPr>
          <w:lang w:val="fr-FR"/>
        </w:rPr>
      </w:pPr>
      <w:r w:rsidRPr="00E12E3D">
        <w:rPr>
          <w:lang w:val="fr-FR"/>
        </w:rPr>
        <w:t>2.6</w:t>
      </w:r>
      <w:r w:rsidRPr="00E12E3D">
        <w:rPr>
          <w:lang w:val="fr-FR"/>
        </w:rPr>
        <w:tab/>
        <w:t>Le 15 mars 2024, l'Azerbaïdjan a soumis sa candidature en vue d'accueillir la CMDT-25, par voie de la lettre circulaire BDT/DDR/12554 (voir l'</w:t>
      </w:r>
      <w:r w:rsidRPr="00E12E3D">
        <w:rPr>
          <w:b/>
          <w:bCs/>
          <w:lang w:val="fr-FR"/>
        </w:rPr>
        <w:t>Annexe 1</w:t>
      </w:r>
      <w:r w:rsidRPr="00E12E3D">
        <w:rPr>
          <w:lang w:val="fr-FR"/>
        </w:rPr>
        <w:t>).</w:t>
      </w:r>
    </w:p>
    <w:p w14:paraId="005EDAD7" w14:textId="77777777" w:rsidR="00E80874" w:rsidRPr="00E12E3D" w:rsidRDefault="00E80874" w:rsidP="00E80874">
      <w:pPr>
        <w:rPr>
          <w:lang w:val="fr-FR"/>
        </w:rPr>
      </w:pPr>
      <w:r w:rsidRPr="00E12E3D">
        <w:rPr>
          <w:lang w:val="fr-FR"/>
        </w:rPr>
        <w:t>2.7</w:t>
      </w:r>
      <w:r w:rsidRPr="00E12E3D">
        <w:rPr>
          <w:lang w:val="fr-FR"/>
        </w:rPr>
        <w:tab/>
        <w:t>Le 22 mars 2024, le Directeur du BDT a répondu à l'Administration de l'Azerbaïdjan par voie de la lettre BDT/DDR/12554 (voir l'</w:t>
      </w:r>
      <w:r w:rsidRPr="00E12E3D">
        <w:rPr>
          <w:b/>
          <w:bCs/>
          <w:lang w:val="fr-FR"/>
        </w:rPr>
        <w:t>Annexe 2</w:t>
      </w:r>
      <w:r w:rsidRPr="00E12E3D">
        <w:rPr>
          <w:lang w:val="fr-FR"/>
        </w:rPr>
        <w:t>), et l'Azerbaïdjan a répondu à cette lettre par voie de la lettre 3-24/2-2278/2024 datée du 3 avril 2024, confirmant sa proposition d'accueillir la CMDT-25 à Bakou, à la fin novembre 2025 (</w:t>
      </w:r>
      <w:r w:rsidRPr="00E12E3D">
        <w:rPr>
          <w:b/>
          <w:bCs/>
          <w:lang w:val="fr-FR"/>
        </w:rPr>
        <w:t>Annexe 3</w:t>
      </w:r>
      <w:r w:rsidRPr="00E12E3D">
        <w:rPr>
          <w:lang w:val="fr-FR"/>
        </w:rPr>
        <w:t>).</w:t>
      </w:r>
    </w:p>
    <w:p w14:paraId="51FE0E72" w14:textId="77777777" w:rsidR="00E80874" w:rsidRPr="00E12E3D" w:rsidRDefault="00E80874" w:rsidP="00E80874">
      <w:pPr>
        <w:rPr>
          <w:lang w:val="fr-FR"/>
        </w:rPr>
      </w:pPr>
      <w:r w:rsidRPr="00E12E3D">
        <w:rPr>
          <w:lang w:val="fr-FR"/>
        </w:rPr>
        <w:t>2.8</w:t>
      </w:r>
      <w:r w:rsidRPr="00E12E3D">
        <w:rPr>
          <w:lang w:val="fr-FR"/>
        </w:rPr>
        <w:tab/>
        <w:t>Dans une autre lettre (3-27/2-2991/2024) en date du 26 avril 2024, l'Azerbaïdjan a indiqué les dates exactes proposées: 17-28 novembre 2025 (</w:t>
      </w:r>
      <w:r w:rsidRPr="00E12E3D">
        <w:rPr>
          <w:b/>
          <w:bCs/>
          <w:lang w:val="fr-FR"/>
        </w:rPr>
        <w:t>Annexe 4</w:t>
      </w:r>
      <w:r w:rsidRPr="00E12E3D">
        <w:rPr>
          <w:lang w:val="fr-FR"/>
        </w:rPr>
        <w:t>).</w:t>
      </w:r>
    </w:p>
    <w:p w14:paraId="1A7D08EE" w14:textId="77777777" w:rsidR="00E80874" w:rsidRPr="00E12E3D" w:rsidRDefault="00E80874" w:rsidP="00E80874">
      <w:pPr>
        <w:rPr>
          <w:lang w:val="fr-FR"/>
        </w:rPr>
      </w:pPr>
      <w:r w:rsidRPr="00E12E3D">
        <w:rPr>
          <w:lang w:val="fr-FR"/>
        </w:rPr>
        <w:t>2.9</w:t>
      </w:r>
      <w:r w:rsidRPr="00E12E3D">
        <w:rPr>
          <w:lang w:val="fr-FR"/>
        </w:rPr>
        <w:tab/>
        <w:t xml:space="preserve">Un document contenant le projet d'ordre du jour proposé pour la CMDT-25 est soumis au GCDT à sa réunion de 2024, pour approbation (Document </w:t>
      </w:r>
      <w:hyperlink r:id="rId13" w:history="1">
        <w:r w:rsidRPr="00E12E3D">
          <w:rPr>
            <w:rStyle w:val="Hyperlink"/>
            <w:lang w:val="fr-FR"/>
          </w:rPr>
          <w:t>TDAG-24/24</w:t>
        </w:r>
      </w:hyperlink>
      <w:r w:rsidRPr="00E12E3D">
        <w:rPr>
          <w:lang w:val="fr-FR"/>
        </w:rPr>
        <w:t>).</w:t>
      </w:r>
    </w:p>
    <w:p w14:paraId="49CC4856" w14:textId="77777777" w:rsidR="00E80874" w:rsidRPr="00E12E3D" w:rsidRDefault="00E80874" w:rsidP="00E80874">
      <w:pPr>
        <w:rPr>
          <w:lang w:val="fr-FR"/>
        </w:rPr>
      </w:pPr>
      <w:r w:rsidRPr="00E12E3D">
        <w:rPr>
          <w:lang w:val="fr-FR"/>
        </w:rPr>
        <w:t>2.10</w:t>
      </w:r>
      <w:r w:rsidRPr="00E12E3D">
        <w:rPr>
          <w:lang w:val="fr-FR"/>
        </w:rPr>
        <w:tab/>
        <w:t xml:space="preserve">Un document indiquant le lieu et les dates ci-dessus, ainsi que le projet d'ordre du jour, est soumis au Conseil à sa session de 2024, pour approbation (Document </w:t>
      </w:r>
      <w:hyperlink r:id="rId14" w:history="1">
        <w:r w:rsidRPr="00E12E3D">
          <w:rPr>
            <w:rStyle w:val="Hyperlink"/>
            <w:lang w:val="fr-FR"/>
          </w:rPr>
          <w:t>C-24/30</w:t>
        </w:r>
      </w:hyperlink>
      <w:r w:rsidRPr="00E12E3D">
        <w:rPr>
          <w:lang w:val="fr-FR"/>
        </w:rPr>
        <w:t>).</w:t>
      </w:r>
    </w:p>
    <w:p w14:paraId="3CFFD5B9" w14:textId="77777777" w:rsidR="00E80874" w:rsidRPr="00E12E3D" w:rsidRDefault="00E80874" w:rsidP="00E80874">
      <w:pPr>
        <w:pStyle w:val="Heading1"/>
        <w:rPr>
          <w:lang w:val="fr-FR"/>
        </w:rPr>
      </w:pPr>
      <w:r w:rsidRPr="00E12E3D">
        <w:rPr>
          <w:lang w:val="fr-FR"/>
        </w:rPr>
        <w:t>3</w:t>
      </w:r>
      <w:r w:rsidRPr="00E12E3D">
        <w:rPr>
          <w:lang w:val="fr-FR"/>
        </w:rPr>
        <w:tab/>
        <w:t>Travaux préparatoires en vue de la Conférence</w:t>
      </w:r>
    </w:p>
    <w:p w14:paraId="3DB6E2D0" w14:textId="77777777" w:rsidR="00E80874" w:rsidRPr="00E12E3D" w:rsidRDefault="00E80874" w:rsidP="00E80874">
      <w:pPr>
        <w:rPr>
          <w:lang w:val="fr-FR"/>
        </w:rPr>
      </w:pPr>
      <w:r w:rsidRPr="00E12E3D">
        <w:rPr>
          <w:lang w:val="fr-FR"/>
        </w:rPr>
        <w:t>3.1</w:t>
      </w:r>
      <w:r w:rsidRPr="00E12E3D">
        <w:rPr>
          <w:lang w:val="fr-FR"/>
        </w:rPr>
        <w:tab/>
        <w:t>Les négociations avec l'Azerbaïdjan concernant l'accord de pays hôte débuteront prochainement.</w:t>
      </w:r>
    </w:p>
    <w:p w14:paraId="2C281FC7" w14:textId="77777777" w:rsidR="00E80874" w:rsidRPr="00E12E3D" w:rsidRDefault="00E80874" w:rsidP="00E80874">
      <w:pPr>
        <w:pStyle w:val="Heading1"/>
        <w:rPr>
          <w:lang w:val="fr-FR"/>
        </w:rPr>
      </w:pPr>
      <w:r w:rsidRPr="00E12E3D">
        <w:rPr>
          <w:lang w:val="fr-FR"/>
        </w:rPr>
        <w:lastRenderedPageBreak/>
        <w:t>4</w:t>
      </w:r>
      <w:r w:rsidRPr="00E12E3D">
        <w:rPr>
          <w:lang w:val="fr-FR"/>
        </w:rPr>
        <w:tab/>
        <w:t>Processus préparatoire</w:t>
      </w:r>
    </w:p>
    <w:p w14:paraId="1A57E372" w14:textId="77777777" w:rsidR="00E80874" w:rsidRPr="00E12E3D" w:rsidRDefault="00E80874" w:rsidP="00E80874">
      <w:pPr>
        <w:rPr>
          <w:lang w:val="fr-FR"/>
        </w:rPr>
      </w:pPr>
      <w:r w:rsidRPr="00E12E3D">
        <w:rPr>
          <w:lang w:val="fr-FR"/>
        </w:rPr>
        <w:t>4.1</w:t>
      </w:r>
      <w:r w:rsidRPr="00E12E3D">
        <w:rPr>
          <w:lang w:val="fr-FR"/>
        </w:rPr>
        <w:tab/>
        <w:t xml:space="preserve">Conformément à la Résolution 31, six </w:t>
      </w:r>
      <w:r w:rsidRPr="00E12E3D">
        <w:rPr>
          <w:b/>
          <w:bCs/>
          <w:lang w:val="fr-FR"/>
        </w:rPr>
        <w:t>réunions préparatoires régionales (RPM)</w:t>
      </w:r>
      <w:r w:rsidRPr="00E12E3D">
        <w:rPr>
          <w:lang w:val="fr-FR"/>
        </w:rPr>
        <w:t xml:space="preserve"> sont organisées dans chacune des six régions, parallèlement à un Forum régional sur le développement (RDF) d'une journée.</w:t>
      </w:r>
    </w:p>
    <w:p w14:paraId="38BD5133" w14:textId="77777777" w:rsidR="00E80874" w:rsidRPr="00E12E3D" w:rsidRDefault="00E80874" w:rsidP="00E80874">
      <w:pPr>
        <w:rPr>
          <w:lang w:val="fr-FR"/>
        </w:rPr>
      </w:pPr>
      <w:r w:rsidRPr="00E12E3D">
        <w:rPr>
          <w:lang w:val="fr-FR"/>
        </w:rPr>
        <w:t>Les RPM visent à associer les membres de chaque région au processus de la CMDT, afin d'encourager une coordination au niveau régional avant la tenue de la conférence. Les RPM ont également pour tâche de recenser les sujets d'intérêt et les enjeux au niveau régional qui doivent être abordés, afin d'encourager le développement des télécommunications/TIC et d'aider les États Membres et les Membres de Secteur à fixer des priorités communes.</w:t>
      </w:r>
    </w:p>
    <w:p w14:paraId="51E0E1A0" w14:textId="77777777" w:rsidR="00E80874" w:rsidRPr="00E12E3D" w:rsidRDefault="00E80874" w:rsidP="00E80874">
      <w:pPr>
        <w:spacing w:after="120"/>
        <w:rPr>
          <w:lang w:val="fr-FR"/>
        </w:rPr>
      </w:pPr>
      <w:r w:rsidRPr="00E12E3D">
        <w:rPr>
          <w:lang w:val="fr-FR"/>
        </w:rPr>
        <w:t>Les dates du RDF et des RPM dans chaque région sont les suivantes: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4394"/>
        <w:gridCol w:w="2693"/>
      </w:tblGrid>
      <w:tr w:rsidR="00E80874" w:rsidRPr="00E12E3D" w14:paraId="04B9EA79" w14:textId="77777777" w:rsidTr="002D6A8F">
        <w:tc>
          <w:tcPr>
            <w:tcW w:w="1980" w:type="dxa"/>
          </w:tcPr>
          <w:p w14:paraId="3B3C97A2" w14:textId="77777777" w:rsidR="00E80874" w:rsidRPr="00E12E3D" w:rsidRDefault="00E80874" w:rsidP="002D6A8F">
            <w:pPr>
              <w:pStyle w:val="Tablehead"/>
              <w:rPr>
                <w:lang w:val="fr-FR"/>
              </w:rPr>
            </w:pPr>
            <w:r w:rsidRPr="00E12E3D">
              <w:rPr>
                <w:lang w:val="fr-FR"/>
              </w:rPr>
              <w:t>Région</w:t>
            </w:r>
          </w:p>
        </w:tc>
        <w:tc>
          <w:tcPr>
            <w:tcW w:w="4394" w:type="dxa"/>
          </w:tcPr>
          <w:p w14:paraId="1E91F9E5" w14:textId="77777777" w:rsidR="00E80874" w:rsidRPr="00E12E3D" w:rsidRDefault="00E80874" w:rsidP="002D6A8F">
            <w:pPr>
              <w:pStyle w:val="Tablehead"/>
              <w:rPr>
                <w:lang w:val="fr-FR"/>
              </w:rPr>
            </w:pPr>
            <w:r w:rsidRPr="00E12E3D">
              <w:rPr>
                <w:lang w:val="fr-FR"/>
              </w:rPr>
              <w:t>Dates proposées par le BDT</w:t>
            </w:r>
          </w:p>
        </w:tc>
        <w:tc>
          <w:tcPr>
            <w:tcW w:w="2693" w:type="dxa"/>
          </w:tcPr>
          <w:p w14:paraId="612C8A13" w14:textId="77777777" w:rsidR="00E80874" w:rsidRPr="00E12E3D" w:rsidRDefault="00E80874" w:rsidP="002D6A8F">
            <w:pPr>
              <w:pStyle w:val="Tablehead"/>
              <w:rPr>
                <w:lang w:val="fr-FR"/>
              </w:rPr>
            </w:pPr>
            <w:r w:rsidRPr="00E12E3D">
              <w:rPr>
                <w:lang w:val="fr-FR"/>
              </w:rPr>
              <w:t>Pays hôte</w:t>
            </w:r>
          </w:p>
        </w:tc>
      </w:tr>
      <w:tr w:rsidR="00E80874" w:rsidRPr="00E12E3D" w14:paraId="099A48B3" w14:textId="77777777" w:rsidTr="002D6A8F">
        <w:tc>
          <w:tcPr>
            <w:tcW w:w="1980" w:type="dxa"/>
            <w:vAlign w:val="center"/>
          </w:tcPr>
          <w:p w14:paraId="6B64E930" w14:textId="77777777" w:rsidR="00E80874" w:rsidRPr="00E12E3D" w:rsidRDefault="00E80874" w:rsidP="002D6A8F">
            <w:pPr>
              <w:pStyle w:val="Tabletext"/>
              <w:jc w:val="center"/>
              <w:rPr>
                <w:lang w:val="fr-FR"/>
              </w:rPr>
            </w:pPr>
            <w:r w:rsidRPr="00E12E3D">
              <w:rPr>
                <w:lang w:val="fr-FR"/>
              </w:rPr>
              <w:t>ARB</w:t>
            </w:r>
          </w:p>
        </w:tc>
        <w:tc>
          <w:tcPr>
            <w:tcW w:w="4394" w:type="dxa"/>
            <w:vAlign w:val="center"/>
          </w:tcPr>
          <w:p w14:paraId="1952D059" w14:textId="77777777" w:rsidR="00E80874" w:rsidRPr="00E12E3D" w:rsidRDefault="00E80874" w:rsidP="002D6A8F">
            <w:pPr>
              <w:pStyle w:val="Tabletext"/>
              <w:jc w:val="center"/>
              <w:rPr>
                <w:lang w:val="fr-FR"/>
              </w:rPr>
            </w:pPr>
            <w:r w:rsidRPr="00E12E3D">
              <w:rPr>
                <w:lang w:val="fr-FR"/>
              </w:rPr>
              <w:t>3-5 février (à confirmer)</w:t>
            </w:r>
          </w:p>
        </w:tc>
        <w:tc>
          <w:tcPr>
            <w:tcW w:w="2693" w:type="dxa"/>
            <w:vAlign w:val="center"/>
          </w:tcPr>
          <w:p w14:paraId="190FAE31" w14:textId="77777777" w:rsidR="00E80874" w:rsidRPr="00E12E3D" w:rsidRDefault="00E80874" w:rsidP="002D6A8F">
            <w:pPr>
              <w:pStyle w:val="Tabletext"/>
              <w:jc w:val="center"/>
              <w:rPr>
                <w:lang w:val="fr-FR"/>
              </w:rPr>
            </w:pPr>
          </w:p>
        </w:tc>
      </w:tr>
      <w:tr w:rsidR="00E80874" w:rsidRPr="00E12E3D" w14:paraId="0C1A7446" w14:textId="77777777" w:rsidTr="002D6A8F">
        <w:tc>
          <w:tcPr>
            <w:tcW w:w="1980" w:type="dxa"/>
            <w:vAlign w:val="center"/>
          </w:tcPr>
          <w:p w14:paraId="7EE3A5A8" w14:textId="77777777" w:rsidR="00E80874" w:rsidRPr="00E12E3D" w:rsidRDefault="00E80874" w:rsidP="002D6A8F">
            <w:pPr>
              <w:pStyle w:val="Tabletext"/>
              <w:jc w:val="center"/>
              <w:rPr>
                <w:lang w:val="fr-FR"/>
              </w:rPr>
            </w:pPr>
            <w:r w:rsidRPr="00E12E3D">
              <w:rPr>
                <w:lang w:val="fr-FR"/>
              </w:rPr>
              <w:t>EUR</w:t>
            </w:r>
          </w:p>
        </w:tc>
        <w:tc>
          <w:tcPr>
            <w:tcW w:w="4394" w:type="dxa"/>
            <w:vAlign w:val="center"/>
          </w:tcPr>
          <w:p w14:paraId="7E572BCB" w14:textId="77777777" w:rsidR="00E80874" w:rsidRPr="00E12E3D" w:rsidRDefault="00E80874" w:rsidP="002D6A8F">
            <w:pPr>
              <w:pStyle w:val="Tabletext"/>
              <w:jc w:val="center"/>
              <w:rPr>
                <w:lang w:val="fr-FR"/>
              </w:rPr>
            </w:pPr>
            <w:r w:rsidRPr="00E12E3D">
              <w:rPr>
                <w:lang w:val="fr-FR"/>
              </w:rPr>
              <w:t>24-26 février</w:t>
            </w:r>
          </w:p>
        </w:tc>
        <w:tc>
          <w:tcPr>
            <w:tcW w:w="2693" w:type="dxa"/>
            <w:vAlign w:val="center"/>
          </w:tcPr>
          <w:p w14:paraId="7137FE0F" w14:textId="77777777" w:rsidR="00E80874" w:rsidRPr="00E12E3D" w:rsidRDefault="00E80874" w:rsidP="002D6A8F">
            <w:pPr>
              <w:pStyle w:val="Tabletext"/>
              <w:jc w:val="center"/>
              <w:rPr>
                <w:lang w:val="fr-FR"/>
              </w:rPr>
            </w:pPr>
          </w:p>
        </w:tc>
      </w:tr>
      <w:tr w:rsidR="00E80874" w:rsidRPr="00E12E3D" w14:paraId="5FB07F73" w14:textId="77777777" w:rsidTr="002D6A8F">
        <w:tc>
          <w:tcPr>
            <w:tcW w:w="1980" w:type="dxa"/>
            <w:vAlign w:val="center"/>
          </w:tcPr>
          <w:p w14:paraId="6DEB476A" w14:textId="77777777" w:rsidR="00E80874" w:rsidRPr="00E12E3D" w:rsidRDefault="00E80874" w:rsidP="002D6A8F">
            <w:pPr>
              <w:pStyle w:val="Tabletext"/>
              <w:jc w:val="center"/>
              <w:rPr>
                <w:lang w:val="fr-FR"/>
              </w:rPr>
            </w:pPr>
            <w:r w:rsidRPr="00E12E3D">
              <w:rPr>
                <w:lang w:val="fr-FR"/>
              </w:rPr>
              <w:t>ASP</w:t>
            </w:r>
          </w:p>
        </w:tc>
        <w:tc>
          <w:tcPr>
            <w:tcW w:w="4394" w:type="dxa"/>
            <w:vAlign w:val="center"/>
          </w:tcPr>
          <w:p w14:paraId="761FB13B" w14:textId="77777777" w:rsidR="00E80874" w:rsidRPr="00E12E3D" w:rsidRDefault="00E80874" w:rsidP="002D6A8F">
            <w:pPr>
              <w:pStyle w:val="Tabletext"/>
              <w:jc w:val="center"/>
              <w:rPr>
                <w:lang w:val="fr-FR"/>
              </w:rPr>
            </w:pPr>
            <w:r w:rsidRPr="00E12E3D">
              <w:rPr>
                <w:lang w:val="fr-FR"/>
              </w:rPr>
              <w:t>17-19 mars (à confirmer)</w:t>
            </w:r>
          </w:p>
        </w:tc>
        <w:tc>
          <w:tcPr>
            <w:tcW w:w="2693" w:type="dxa"/>
            <w:vAlign w:val="center"/>
          </w:tcPr>
          <w:p w14:paraId="38DF0ADD" w14:textId="77777777" w:rsidR="00E80874" w:rsidRPr="00E12E3D" w:rsidRDefault="00E80874" w:rsidP="002D6A8F">
            <w:pPr>
              <w:pStyle w:val="Tabletext"/>
              <w:jc w:val="center"/>
              <w:rPr>
                <w:lang w:val="fr-FR"/>
              </w:rPr>
            </w:pPr>
          </w:p>
        </w:tc>
      </w:tr>
      <w:tr w:rsidR="00E80874" w:rsidRPr="00E12E3D" w14:paraId="69D98375" w14:textId="77777777" w:rsidTr="002D6A8F">
        <w:tc>
          <w:tcPr>
            <w:tcW w:w="1980" w:type="dxa"/>
            <w:vAlign w:val="center"/>
          </w:tcPr>
          <w:p w14:paraId="11163D57" w14:textId="77777777" w:rsidR="00E80874" w:rsidRPr="00E12E3D" w:rsidRDefault="00E80874" w:rsidP="002D6A8F">
            <w:pPr>
              <w:pStyle w:val="Tabletext"/>
              <w:jc w:val="center"/>
              <w:rPr>
                <w:lang w:val="fr-FR"/>
              </w:rPr>
            </w:pPr>
            <w:r w:rsidRPr="00E12E3D">
              <w:rPr>
                <w:lang w:val="fr-FR"/>
              </w:rPr>
              <w:t>AMS</w:t>
            </w:r>
          </w:p>
        </w:tc>
        <w:tc>
          <w:tcPr>
            <w:tcW w:w="4394" w:type="dxa"/>
            <w:vAlign w:val="center"/>
          </w:tcPr>
          <w:p w14:paraId="1D3BEEED" w14:textId="77777777" w:rsidR="00E80874" w:rsidRPr="00E12E3D" w:rsidRDefault="00E80874" w:rsidP="002D6A8F">
            <w:pPr>
              <w:pStyle w:val="Tabletext"/>
              <w:jc w:val="center"/>
              <w:rPr>
                <w:lang w:val="fr-FR"/>
              </w:rPr>
            </w:pPr>
            <w:r w:rsidRPr="00E12E3D">
              <w:rPr>
                <w:lang w:val="fr-FR"/>
              </w:rPr>
              <w:t>31 mars – 2 avril (à confirmer)</w:t>
            </w:r>
          </w:p>
        </w:tc>
        <w:tc>
          <w:tcPr>
            <w:tcW w:w="2693" w:type="dxa"/>
            <w:vAlign w:val="center"/>
          </w:tcPr>
          <w:p w14:paraId="1F49B60B" w14:textId="77777777" w:rsidR="00E80874" w:rsidRPr="00E12E3D" w:rsidRDefault="00E80874" w:rsidP="002D6A8F">
            <w:pPr>
              <w:pStyle w:val="Tabletext"/>
              <w:jc w:val="center"/>
              <w:rPr>
                <w:lang w:val="fr-FR"/>
              </w:rPr>
            </w:pPr>
            <w:r w:rsidRPr="00E12E3D">
              <w:rPr>
                <w:lang w:val="fr-FR"/>
              </w:rPr>
              <w:t>À déterminer</w:t>
            </w:r>
          </w:p>
        </w:tc>
      </w:tr>
      <w:tr w:rsidR="00E80874" w:rsidRPr="00E12E3D" w14:paraId="32172286" w14:textId="77777777" w:rsidTr="002D6A8F">
        <w:tc>
          <w:tcPr>
            <w:tcW w:w="1980" w:type="dxa"/>
            <w:vAlign w:val="center"/>
          </w:tcPr>
          <w:p w14:paraId="589519F0" w14:textId="77777777" w:rsidR="00E80874" w:rsidRPr="00E12E3D" w:rsidRDefault="00E80874" w:rsidP="002D6A8F">
            <w:pPr>
              <w:pStyle w:val="Tabletext"/>
              <w:jc w:val="center"/>
              <w:rPr>
                <w:lang w:val="fr-FR"/>
              </w:rPr>
            </w:pPr>
            <w:r w:rsidRPr="00E12E3D">
              <w:rPr>
                <w:lang w:val="fr-FR"/>
              </w:rPr>
              <w:t>AFR</w:t>
            </w:r>
          </w:p>
        </w:tc>
        <w:tc>
          <w:tcPr>
            <w:tcW w:w="4394" w:type="dxa"/>
            <w:vAlign w:val="center"/>
          </w:tcPr>
          <w:p w14:paraId="6B10DE62" w14:textId="77777777" w:rsidR="00E80874" w:rsidRPr="00E12E3D" w:rsidRDefault="00E80874" w:rsidP="002D6A8F">
            <w:pPr>
              <w:pStyle w:val="Tabletext"/>
              <w:jc w:val="center"/>
              <w:rPr>
                <w:lang w:val="fr-FR"/>
              </w:rPr>
            </w:pPr>
            <w:r w:rsidRPr="00E12E3D">
              <w:rPr>
                <w:lang w:val="fr-FR"/>
              </w:rPr>
              <w:t>7-11 avril (à confirmer)</w:t>
            </w:r>
          </w:p>
        </w:tc>
        <w:tc>
          <w:tcPr>
            <w:tcW w:w="2693" w:type="dxa"/>
            <w:vAlign w:val="center"/>
          </w:tcPr>
          <w:p w14:paraId="01303969" w14:textId="77777777" w:rsidR="00E80874" w:rsidRPr="00E12E3D" w:rsidRDefault="00E80874" w:rsidP="002D6A8F">
            <w:pPr>
              <w:pStyle w:val="Tabletext"/>
              <w:jc w:val="center"/>
              <w:rPr>
                <w:lang w:val="fr-FR"/>
              </w:rPr>
            </w:pPr>
          </w:p>
        </w:tc>
      </w:tr>
      <w:tr w:rsidR="00E80874" w:rsidRPr="00E12E3D" w14:paraId="05F78D55" w14:textId="77777777" w:rsidTr="002D6A8F">
        <w:tc>
          <w:tcPr>
            <w:tcW w:w="1980" w:type="dxa"/>
            <w:vAlign w:val="center"/>
          </w:tcPr>
          <w:p w14:paraId="3C943D0E" w14:textId="77777777" w:rsidR="00E80874" w:rsidRPr="00E12E3D" w:rsidRDefault="00E80874" w:rsidP="002D6A8F">
            <w:pPr>
              <w:pStyle w:val="Tabletext"/>
              <w:jc w:val="center"/>
              <w:rPr>
                <w:lang w:val="fr-FR"/>
              </w:rPr>
            </w:pPr>
            <w:r w:rsidRPr="00E12E3D">
              <w:rPr>
                <w:lang w:val="fr-FR"/>
              </w:rPr>
              <w:t>CIS</w:t>
            </w:r>
          </w:p>
        </w:tc>
        <w:tc>
          <w:tcPr>
            <w:tcW w:w="4394" w:type="dxa"/>
            <w:vAlign w:val="center"/>
          </w:tcPr>
          <w:p w14:paraId="1DF72747" w14:textId="77777777" w:rsidR="00E80874" w:rsidRPr="00E12E3D" w:rsidRDefault="00E80874" w:rsidP="002D6A8F">
            <w:pPr>
              <w:pStyle w:val="Tabletext"/>
              <w:jc w:val="center"/>
              <w:rPr>
                <w:lang w:val="fr-FR"/>
              </w:rPr>
            </w:pPr>
            <w:r w:rsidRPr="00E12E3D">
              <w:rPr>
                <w:lang w:val="fr-FR"/>
              </w:rPr>
              <w:t>23-24 avril (à confirmer)</w:t>
            </w:r>
          </w:p>
        </w:tc>
        <w:tc>
          <w:tcPr>
            <w:tcW w:w="2693" w:type="dxa"/>
            <w:vAlign w:val="center"/>
          </w:tcPr>
          <w:p w14:paraId="2DAAA137" w14:textId="77777777" w:rsidR="00E80874" w:rsidRPr="00E12E3D" w:rsidRDefault="00E80874" w:rsidP="002D6A8F">
            <w:pPr>
              <w:pStyle w:val="Tabletext"/>
              <w:jc w:val="center"/>
              <w:rPr>
                <w:lang w:val="fr-FR"/>
              </w:rPr>
            </w:pPr>
          </w:p>
        </w:tc>
      </w:tr>
    </w:tbl>
    <w:p w14:paraId="04F59AE6" w14:textId="77777777" w:rsidR="00E80874" w:rsidRPr="00E12E3D" w:rsidRDefault="00E80874" w:rsidP="00E80874">
      <w:pPr>
        <w:rPr>
          <w:lang w:val="fr-FR"/>
        </w:rPr>
      </w:pPr>
      <w:r w:rsidRPr="00E12E3D">
        <w:rPr>
          <w:lang w:val="fr-FR"/>
        </w:rPr>
        <w:t>4.2</w:t>
      </w:r>
      <w:r w:rsidRPr="00E12E3D">
        <w:rPr>
          <w:lang w:val="fr-FR"/>
        </w:rPr>
        <w:tab/>
        <w:t xml:space="preserve">Une </w:t>
      </w:r>
      <w:r w:rsidRPr="00E12E3D">
        <w:rPr>
          <w:b/>
          <w:bCs/>
          <w:lang w:val="fr-FR"/>
        </w:rPr>
        <w:t>réunion de coordination des RPM</w:t>
      </w:r>
      <w:r w:rsidRPr="00E12E3D">
        <w:rPr>
          <w:lang w:val="fr-FR"/>
        </w:rPr>
        <w:t xml:space="preserve"> aura lieu le 12 mai 2025, conformément à la Résolution 31, en parallèle à la réunion du Groupe consultatif pour le développement des télécommunications (GCDT), qui doit se tenir du 12 au 16 mai 2025, au siège de l'UIT, à Genève.</w:t>
      </w:r>
    </w:p>
    <w:p w14:paraId="5D4412B0" w14:textId="77777777" w:rsidR="00E80874" w:rsidRPr="00E12E3D" w:rsidRDefault="00E80874" w:rsidP="00E80874">
      <w:pPr>
        <w:spacing w:after="120"/>
        <w:rPr>
          <w:lang w:val="fr-FR"/>
        </w:rPr>
      </w:pPr>
      <w:r w:rsidRPr="00E12E3D">
        <w:rPr>
          <w:lang w:val="fr-FR"/>
        </w:rPr>
        <w:t>4.3</w:t>
      </w:r>
      <w:r w:rsidRPr="00E12E3D">
        <w:rPr>
          <w:lang w:val="fr-FR"/>
        </w:rPr>
        <w:tab/>
        <w:t>Sur la base de la pratique largement acceptée qui a été suivie pendant la période 2017</w:t>
      </w:r>
      <w:r w:rsidRPr="00E12E3D">
        <w:rPr>
          <w:lang w:val="fr-FR"/>
        </w:rPr>
        <w:noBreakHyphen/>
        <w:t>2022 et compte tenu des retours d'informations positifs des membres, deux </w:t>
      </w:r>
      <w:r w:rsidRPr="00E12E3D">
        <w:rPr>
          <w:b/>
          <w:bCs/>
          <w:lang w:val="fr-FR"/>
        </w:rPr>
        <w:t>réunions interrégionales</w:t>
      </w:r>
      <w:r w:rsidRPr="00E12E3D">
        <w:rPr>
          <w:lang w:val="fr-FR"/>
        </w:rPr>
        <w:t xml:space="preserve"> en vue de la CMDT-25 sont prévues comme suit:</w:t>
      </w:r>
    </w:p>
    <w:tbl>
      <w:tblPr>
        <w:tblStyle w:val="TableGrid"/>
        <w:tblW w:w="0" w:type="auto"/>
        <w:tblInd w:w="14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6"/>
        <w:gridCol w:w="4819"/>
      </w:tblGrid>
      <w:tr w:rsidR="00E80874" w:rsidRPr="00E12E3D" w14:paraId="65A4D0C6" w14:textId="77777777" w:rsidTr="002D6A8F">
        <w:tc>
          <w:tcPr>
            <w:tcW w:w="1276" w:type="dxa"/>
          </w:tcPr>
          <w:p w14:paraId="178DDF6E" w14:textId="77777777" w:rsidR="00E80874" w:rsidRPr="00E12E3D" w:rsidRDefault="00E80874" w:rsidP="002D6A8F">
            <w:pPr>
              <w:pStyle w:val="Tabletext"/>
              <w:jc w:val="center"/>
              <w:rPr>
                <w:lang w:val="fr-FR"/>
              </w:rPr>
            </w:pPr>
            <w:r w:rsidRPr="00E12E3D">
              <w:rPr>
                <w:lang w:val="fr-FR"/>
              </w:rPr>
              <w:t>IRM-1</w:t>
            </w:r>
          </w:p>
        </w:tc>
        <w:tc>
          <w:tcPr>
            <w:tcW w:w="4819" w:type="dxa"/>
          </w:tcPr>
          <w:p w14:paraId="38C12B3F" w14:textId="77777777" w:rsidR="00E80874" w:rsidRPr="00E12E3D" w:rsidRDefault="00E80874" w:rsidP="002D6A8F">
            <w:pPr>
              <w:pStyle w:val="Tabletext"/>
              <w:jc w:val="center"/>
              <w:rPr>
                <w:lang w:val="fr-FR"/>
              </w:rPr>
            </w:pPr>
            <w:r w:rsidRPr="00E12E3D">
              <w:rPr>
                <w:lang w:val="fr-FR"/>
              </w:rPr>
              <w:t>14-15 juillet 2025, Genève, Suisse</w:t>
            </w:r>
          </w:p>
        </w:tc>
      </w:tr>
      <w:tr w:rsidR="00E80874" w:rsidRPr="00E12E3D" w14:paraId="3B08C8B6" w14:textId="77777777" w:rsidTr="002D6A8F">
        <w:tc>
          <w:tcPr>
            <w:tcW w:w="1276" w:type="dxa"/>
          </w:tcPr>
          <w:p w14:paraId="7EEA214E" w14:textId="77777777" w:rsidR="00E80874" w:rsidRPr="00E12E3D" w:rsidRDefault="00E80874" w:rsidP="002D6A8F">
            <w:pPr>
              <w:pStyle w:val="Tabletext"/>
              <w:jc w:val="center"/>
              <w:rPr>
                <w:lang w:val="fr-FR"/>
              </w:rPr>
            </w:pPr>
            <w:r w:rsidRPr="00E12E3D">
              <w:rPr>
                <w:lang w:val="fr-FR"/>
              </w:rPr>
              <w:t>IRM-2</w:t>
            </w:r>
          </w:p>
        </w:tc>
        <w:tc>
          <w:tcPr>
            <w:tcW w:w="4819" w:type="dxa"/>
          </w:tcPr>
          <w:p w14:paraId="770CA452" w14:textId="77777777" w:rsidR="00E80874" w:rsidRPr="00E12E3D" w:rsidRDefault="00E80874" w:rsidP="002D6A8F">
            <w:pPr>
              <w:pStyle w:val="Tabletext"/>
              <w:jc w:val="center"/>
              <w:rPr>
                <w:lang w:val="fr-FR"/>
              </w:rPr>
            </w:pPr>
            <w:r w:rsidRPr="00E12E3D">
              <w:rPr>
                <w:lang w:val="fr-FR"/>
              </w:rPr>
              <w:t>29-30 septembre 2025, Genève, Suisse</w:t>
            </w:r>
          </w:p>
        </w:tc>
      </w:tr>
    </w:tbl>
    <w:p w14:paraId="5B08CFBF" w14:textId="77777777" w:rsidR="00E80874" w:rsidRPr="00E12E3D" w:rsidRDefault="00E80874" w:rsidP="00E80874">
      <w:pPr>
        <w:rPr>
          <w:lang w:val="fr-FR"/>
        </w:rPr>
      </w:pPr>
      <w:r w:rsidRPr="00E12E3D">
        <w:rPr>
          <w:lang w:val="fr-FR"/>
        </w:rPr>
        <w:t>La participation aux réunions interrégionales est ouverte à tous les membres de l'UIT-D. Les États Membres sont invités à inclure dans leur délégation, notamment, des représentants de régulateurs, de décideurs, de la société civile, d'établissements universitaires, des milieux techniques de l'Internet, d'organisations œuvrant pour l'égalité entre les femmes et les hommes et des jeunes.</w:t>
      </w:r>
    </w:p>
    <w:p w14:paraId="7C16C639" w14:textId="77777777" w:rsidR="00E80874" w:rsidRPr="00E12E3D" w:rsidRDefault="00E80874" w:rsidP="00E80874">
      <w:pPr>
        <w:rPr>
          <w:lang w:val="fr-FR"/>
        </w:rPr>
      </w:pPr>
      <w:r w:rsidRPr="00E12E3D">
        <w:rPr>
          <w:lang w:val="fr-FR"/>
        </w:rPr>
        <w:t>L'ordre du jour des réunions interrégionales est établi sur la base des débats de fond qui ont lieu pendant les RPM et peut comprendre des propositions des États Membres, des Membres de Secteur, des organisations régionales de télécommunication (RTO), du BDT et d'autres parties prenantes. Les discussions portent sur des questions essentielles qui nécessitent une coordination et appellent un consensus entre les différentes régions.</w:t>
      </w:r>
    </w:p>
    <w:p w14:paraId="10BF71DF" w14:textId="77777777" w:rsidR="00E80874" w:rsidRPr="00E12E3D" w:rsidRDefault="00E80874" w:rsidP="00E80874">
      <w:pPr>
        <w:rPr>
          <w:lang w:val="fr-FR"/>
        </w:rPr>
      </w:pPr>
      <w:r w:rsidRPr="00E12E3D">
        <w:rPr>
          <w:lang w:val="fr-FR"/>
        </w:rPr>
        <w:t>4.4</w:t>
      </w:r>
      <w:r w:rsidRPr="00E12E3D">
        <w:rPr>
          <w:lang w:val="fr-FR"/>
        </w:rPr>
        <w:tab/>
        <w:t>À sa réunion de 2023, le GCDT a créé deux groupes de travail pour entamer les travaux préparatoires en vue de la CMDT-25:</w:t>
      </w:r>
    </w:p>
    <w:p w14:paraId="1B80208D" w14:textId="77777777" w:rsidR="00E80874" w:rsidRPr="00E12E3D" w:rsidRDefault="00E80874" w:rsidP="00E80874">
      <w:pPr>
        <w:pStyle w:val="enumlev1"/>
        <w:rPr>
          <w:lang w:val="fr-FR"/>
        </w:rPr>
      </w:pPr>
      <w:r w:rsidRPr="00E12E3D">
        <w:rPr>
          <w:lang w:val="fr-FR"/>
        </w:rPr>
        <w:t>•</w:t>
      </w:r>
      <w:r w:rsidRPr="00E12E3D">
        <w:rPr>
          <w:lang w:val="fr-FR"/>
        </w:rPr>
        <w:tab/>
      </w:r>
      <w:r w:rsidRPr="00E12E3D">
        <w:rPr>
          <w:b/>
          <w:bCs/>
          <w:lang w:val="fr-FR"/>
        </w:rPr>
        <w:t>Groupe de travail du GCDT sur l'avenir des Questions confiées aux Commissions d'études (</w:t>
      </w:r>
      <w:hyperlink r:id="rId15" w:anchor="/fr" w:history="1">
        <w:r w:rsidRPr="00E12E3D">
          <w:rPr>
            <w:rStyle w:val="Hyperlink"/>
            <w:b/>
            <w:bCs/>
            <w:lang w:val="fr-FR"/>
          </w:rPr>
          <w:t>GT-GCDT-futurSGQ</w:t>
        </w:r>
      </w:hyperlink>
      <w:r w:rsidRPr="00E12E3D">
        <w:rPr>
          <w:b/>
          <w:bCs/>
          <w:lang w:val="fr-FR"/>
        </w:rPr>
        <w:t>)</w:t>
      </w:r>
      <w:r w:rsidRPr="00E12E3D">
        <w:rPr>
          <w:lang w:val="fr-FR"/>
        </w:rPr>
        <w:t xml:space="preserve">, présidé par M. Ahmad R. Sharafat (Iran). Le Groupe a tenu sa première réunion le 4 mars et a approuvé son mandat, qui sera soumis au GCDT à sa </w:t>
      </w:r>
      <w:r w:rsidRPr="00E12E3D">
        <w:rPr>
          <w:lang w:val="fr-FR"/>
        </w:rPr>
        <w:lastRenderedPageBreak/>
        <w:t xml:space="preserve">réunion de 2024, pour approbation. Le Groupe a également approuvé un calendrier des réunions pour faire avancer ses travaux. Le Document </w:t>
      </w:r>
      <w:hyperlink r:id="rId16" w:history="1">
        <w:r w:rsidRPr="00E12E3D">
          <w:rPr>
            <w:rStyle w:val="Hyperlink"/>
            <w:lang w:val="fr-FR"/>
          </w:rPr>
          <w:t>TDAG-24/25</w:t>
        </w:r>
      </w:hyperlink>
      <w:r w:rsidRPr="00E12E3D">
        <w:rPr>
          <w:lang w:val="fr-FR"/>
        </w:rPr>
        <w:t>, qui rend compte de l'état d'avancement des travaux, est présenté au GCDT à sa réunion de 2024.</w:t>
      </w:r>
    </w:p>
    <w:p w14:paraId="1D6D7EF7" w14:textId="77777777" w:rsidR="00E80874" w:rsidRPr="00E12E3D" w:rsidRDefault="00E80874" w:rsidP="00E80874">
      <w:pPr>
        <w:pStyle w:val="enumlev1"/>
        <w:rPr>
          <w:lang w:val="fr-FR"/>
        </w:rPr>
      </w:pPr>
      <w:r w:rsidRPr="00E12E3D">
        <w:rPr>
          <w:lang w:val="fr-FR"/>
        </w:rPr>
        <w:t>•</w:t>
      </w:r>
      <w:r w:rsidRPr="00E12E3D">
        <w:rPr>
          <w:lang w:val="fr-FR"/>
        </w:rPr>
        <w:tab/>
      </w:r>
      <w:r w:rsidRPr="00E12E3D">
        <w:rPr>
          <w:b/>
          <w:bCs/>
          <w:lang w:val="fr-FR"/>
        </w:rPr>
        <w:t>Groupe de travail du GCDT sur la rationalisation des Résolutions (</w:t>
      </w:r>
      <w:hyperlink r:id="rId17" w:anchor="/fr" w:history="1">
        <w:r w:rsidRPr="00E12E3D">
          <w:rPr>
            <w:rStyle w:val="Hyperlink"/>
            <w:b/>
            <w:bCs/>
            <w:lang w:val="fr-FR"/>
          </w:rPr>
          <w:t>GT-GCDT-StreamRes</w:t>
        </w:r>
      </w:hyperlink>
      <w:r w:rsidRPr="00E12E3D">
        <w:rPr>
          <w:b/>
          <w:bCs/>
          <w:lang w:val="fr-FR"/>
        </w:rPr>
        <w:t>)</w:t>
      </w:r>
      <w:r w:rsidRPr="00E12E3D">
        <w:rPr>
          <w:lang w:val="fr-FR"/>
        </w:rPr>
        <w:t>, présidé par Mme Andrea Grippa (Brésil). Le Groupe a tenu sa première réunion le 18 avril, au cours de laquelle il a approuvé son mandat et le calendrier des réunions. Le mandat du Groupe sera soumis au GCDT à sa réunion de 2024, pour approbation. Le Document </w:t>
      </w:r>
      <w:hyperlink r:id="rId18" w:history="1">
        <w:r w:rsidRPr="00E12E3D">
          <w:rPr>
            <w:rStyle w:val="Hyperlink"/>
            <w:lang w:val="fr-FR"/>
          </w:rPr>
          <w:t>TDAG-24/19</w:t>
        </w:r>
      </w:hyperlink>
      <w:r w:rsidRPr="00E12E3D">
        <w:rPr>
          <w:lang w:val="fr-FR"/>
        </w:rPr>
        <w:t>, qui rend compte de l'état d'avancement des travaux, est présenté au GCDT à sa réunion de 2024.</w:t>
      </w:r>
    </w:p>
    <w:p w14:paraId="0CAC96FC" w14:textId="77777777" w:rsidR="00E80874" w:rsidRPr="00E12E3D" w:rsidRDefault="00E80874" w:rsidP="00E80874">
      <w:pPr>
        <w:rPr>
          <w:lang w:val="fr-FR"/>
        </w:rPr>
      </w:pPr>
      <w:r w:rsidRPr="00E12E3D">
        <w:rPr>
          <w:lang w:val="fr-FR"/>
        </w:rPr>
        <w:t>4.5</w:t>
      </w:r>
      <w:r w:rsidRPr="00E12E3D">
        <w:rPr>
          <w:lang w:val="fr-FR"/>
        </w:rPr>
        <w:tab/>
        <w:t>En plus de ce qui précède, le GCDT peut décider de créer d'autres groupes.</w:t>
      </w:r>
    </w:p>
    <w:p w14:paraId="5428FF70" w14:textId="77777777" w:rsidR="00E80874" w:rsidRPr="00E12E3D" w:rsidRDefault="00E80874" w:rsidP="00E80874">
      <w:pPr>
        <w:tabs>
          <w:tab w:val="clear" w:pos="794"/>
          <w:tab w:val="clear" w:pos="1191"/>
          <w:tab w:val="clear" w:pos="1588"/>
          <w:tab w:val="clear" w:pos="1985"/>
        </w:tabs>
        <w:overflowPunct/>
        <w:autoSpaceDE/>
        <w:autoSpaceDN/>
        <w:adjustRightInd/>
        <w:spacing w:before="0"/>
        <w:textAlignment w:val="auto"/>
        <w:rPr>
          <w:lang w:val="fr-FR"/>
        </w:rPr>
      </w:pPr>
      <w:r w:rsidRPr="00E12E3D">
        <w:rPr>
          <w:lang w:val="fr-FR"/>
        </w:rPr>
        <w:br w:type="page"/>
      </w:r>
    </w:p>
    <w:p w14:paraId="43DC46E0"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jc w:val="center"/>
        <w:rPr>
          <w:lang w:val="fr-FR"/>
        </w:rPr>
      </w:pPr>
      <w:r w:rsidRPr="00E12E3D">
        <w:rPr>
          <w:lang w:val="fr-FR"/>
        </w:rPr>
        <w:lastRenderedPageBreak/>
        <w:t>Annex 1</w:t>
      </w:r>
    </w:p>
    <w:p w14:paraId="7497DB62"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rPr>
          <w:lang w:val="fr-FR"/>
        </w:rPr>
      </w:pPr>
      <w:r w:rsidRPr="00E12E3D">
        <w:rPr>
          <w:noProof/>
          <w:lang w:val="fr-FR"/>
        </w:rPr>
        <w:drawing>
          <wp:inline distT="0" distB="0" distL="0" distR="0" wp14:anchorId="505B5277" wp14:editId="5A7771BA">
            <wp:extent cx="6116320" cy="8238490"/>
            <wp:effectExtent l="0" t="0" r="0" b="0"/>
            <wp:docPr id="2081598439"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98439" name="Picture 1" descr="A close-up of a let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8238490"/>
                    </a:xfrm>
                    <a:prstGeom prst="rect">
                      <a:avLst/>
                    </a:prstGeom>
                    <a:noFill/>
                    <a:ln>
                      <a:noFill/>
                    </a:ln>
                  </pic:spPr>
                </pic:pic>
              </a:graphicData>
            </a:graphic>
          </wp:inline>
        </w:drawing>
      </w:r>
    </w:p>
    <w:p w14:paraId="00C840E8" w14:textId="77777777" w:rsidR="00E80874" w:rsidRPr="00E12E3D" w:rsidRDefault="00E80874" w:rsidP="00E80874">
      <w:pPr>
        <w:tabs>
          <w:tab w:val="clear" w:pos="794"/>
          <w:tab w:val="clear" w:pos="1191"/>
          <w:tab w:val="clear" w:pos="1588"/>
          <w:tab w:val="clear" w:pos="1985"/>
        </w:tabs>
        <w:overflowPunct/>
        <w:autoSpaceDE/>
        <w:autoSpaceDN/>
        <w:adjustRightInd/>
        <w:spacing w:before="0"/>
        <w:textAlignment w:val="auto"/>
        <w:rPr>
          <w:lang w:val="fr-FR"/>
        </w:rPr>
      </w:pPr>
      <w:r w:rsidRPr="00E12E3D">
        <w:rPr>
          <w:lang w:val="fr-FR"/>
        </w:rPr>
        <w:br w:type="page"/>
      </w:r>
    </w:p>
    <w:p w14:paraId="1D6EB2F7"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jc w:val="center"/>
        <w:rPr>
          <w:lang w:val="fr-FR"/>
        </w:rPr>
      </w:pPr>
      <w:r w:rsidRPr="00E12E3D">
        <w:rPr>
          <w:lang w:val="fr-FR"/>
        </w:rPr>
        <w:lastRenderedPageBreak/>
        <w:t>Annex 2</w:t>
      </w:r>
    </w:p>
    <w:p w14:paraId="3AD4676D"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rPr>
          <w:lang w:val="fr-FR"/>
        </w:rPr>
      </w:pPr>
      <w:r w:rsidRPr="00E12E3D">
        <w:rPr>
          <w:noProof/>
          <w:lang w:val="fr-FR"/>
        </w:rPr>
        <w:drawing>
          <wp:inline distT="0" distB="0" distL="0" distR="0" wp14:anchorId="3352C5E3" wp14:editId="097E5CBA">
            <wp:extent cx="6120765" cy="8464550"/>
            <wp:effectExtent l="0" t="0" r="0" b="0"/>
            <wp:docPr id="495640650"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0650" name="Picture 1" descr="A close-up of a letter&#10;&#10;Description automatically generated"/>
                    <pic:cNvPicPr/>
                  </pic:nvPicPr>
                  <pic:blipFill>
                    <a:blip r:embed="rId20"/>
                    <a:stretch>
                      <a:fillRect/>
                    </a:stretch>
                  </pic:blipFill>
                  <pic:spPr>
                    <a:xfrm>
                      <a:off x="0" y="0"/>
                      <a:ext cx="6120765" cy="8464550"/>
                    </a:xfrm>
                    <a:prstGeom prst="rect">
                      <a:avLst/>
                    </a:prstGeom>
                  </pic:spPr>
                </pic:pic>
              </a:graphicData>
            </a:graphic>
          </wp:inline>
        </w:drawing>
      </w:r>
    </w:p>
    <w:p w14:paraId="0190A0B3"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jc w:val="center"/>
        <w:rPr>
          <w:lang w:val="fr-FR"/>
        </w:rPr>
      </w:pPr>
      <w:r w:rsidRPr="00E12E3D">
        <w:rPr>
          <w:lang w:val="fr-FR"/>
        </w:rPr>
        <w:lastRenderedPageBreak/>
        <w:t>Annex 3</w:t>
      </w:r>
    </w:p>
    <w:p w14:paraId="2471919A"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rPr>
          <w:lang w:val="fr-FR"/>
        </w:rPr>
      </w:pPr>
      <w:r w:rsidRPr="00E12E3D">
        <w:rPr>
          <w:noProof/>
          <w:lang w:val="fr-FR"/>
        </w:rPr>
        <w:drawing>
          <wp:inline distT="0" distB="0" distL="0" distR="0" wp14:anchorId="4FB7F514" wp14:editId="5F41F23B">
            <wp:extent cx="6120765" cy="8006080"/>
            <wp:effectExtent l="0" t="0" r="0" b="0"/>
            <wp:docPr id="2113979224" name="Picture 1" descr="A letter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79224" name="Picture 1" descr="A letter of a company&#10;&#10;Description automatically generated with medium confidence"/>
                    <pic:cNvPicPr/>
                  </pic:nvPicPr>
                  <pic:blipFill>
                    <a:blip r:embed="rId21"/>
                    <a:stretch>
                      <a:fillRect/>
                    </a:stretch>
                  </pic:blipFill>
                  <pic:spPr>
                    <a:xfrm>
                      <a:off x="0" y="0"/>
                      <a:ext cx="6120765" cy="8006080"/>
                    </a:xfrm>
                    <a:prstGeom prst="rect">
                      <a:avLst/>
                    </a:prstGeom>
                  </pic:spPr>
                </pic:pic>
              </a:graphicData>
            </a:graphic>
          </wp:inline>
        </w:drawing>
      </w:r>
    </w:p>
    <w:p w14:paraId="33EB789F" w14:textId="77777777" w:rsidR="00E80874" w:rsidRPr="00E12E3D" w:rsidRDefault="00E80874" w:rsidP="00E80874">
      <w:pPr>
        <w:tabs>
          <w:tab w:val="clear" w:pos="794"/>
          <w:tab w:val="clear" w:pos="1191"/>
          <w:tab w:val="clear" w:pos="1588"/>
          <w:tab w:val="clear" w:pos="1985"/>
        </w:tabs>
        <w:overflowPunct/>
        <w:autoSpaceDE/>
        <w:autoSpaceDN/>
        <w:adjustRightInd/>
        <w:spacing w:before="0"/>
        <w:textAlignment w:val="auto"/>
        <w:rPr>
          <w:lang w:val="fr-FR"/>
        </w:rPr>
      </w:pPr>
      <w:r w:rsidRPr="00E12E3D">
        <w:rPr>
          <w:lang w:val="fr-FR"/>
        </w:rPr>
        <w:br w:type="page"/>
      </w:r>
    </w:p>
    <w:p w14:paraId="6B7F292A"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jc w:val="center"/>
        <w:rPr>
          <w:lang w:val="fr-FR"/>
        </w:rPr>
      </w:pPr>
      <w:r w:rsidRPr="00E12E3D">
        <w:rPr>
          <w:lang w:val="fr-FR"/>
        </w:rPr>
        <w:lastRenderedPageBreak/>
        <w:t>Annex 4</w:t>
      </w:r>
    </w:p>
    <w:p w14:paraId="085B17B3" w14:textId="77777777" w:rsidR="00E80874" w:rsidRPr="00E12E3D" w:rsidRDefault="00E80874" w:rsidP="00E80874">
      <w:pPr>
        <w:tabs>
          <w:tab w:val="clear" w:pos="794"/>
          <w:tab w:val="clear" w:pos="1191"/>
          <w:tab w:val="clear" w:pos="1588"/>
          <w:tab w:val="clear" w:pos="1985"/>
          <w:tab w:val="left" w:pos="567"/>
          <w:tab w:val="left" w:pos="1134"/>
          <w:tab w:val="left" w:pos="1701"/>
          <w:tab w:val="left" w:pos="2268"/>
        </w:tabs>
        <w:jc w:val="center"/>
        <w:rPr>
          <w:lang w:val="fr-FR"/>
        </w:rPr>
      </w:pPr>
      <w:r w:rsidRPr="00E12E3D">
        <w:rPr>
          <w:noProof/>
          <w:lang w:val="fr-FR"/>
        </w:rPr>
        <w:drawing>
          <wp:inline distT="0" distB="0" distL="0" distR="0" wp14:anchorId="7FF6A5D5" wp14:editId="3444EBDE">
            <wp:extent cx="5907819" cy="8309193"/>
            <wp:effectExtent l="0" t="0" r="0" b="0"/>
            <wp:docPr id="1359672724"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72724" name="Picture 1" descr="A close-up of a letter&#10;&#10;Description automatically generated"/>
                    <pic:cNvPicPr/>
                  </pic:nvPicPr>
                  <pic:blipFill>
                    <a:blip r:embed="rId22"/>
                    <a:stretch>
                      <a:fillRect/>
                    </a:stretch>
                  </pic:blipFill>
                  <pic:spPr>
                    <a:xfrm>
                      <a:off x="0" y="0"/>
                      <a:ext cx="5911768" cy="8314748"/>
                    </a:xfrm>
                    <a:prstGeom prst="rect">
                      <a:avLst/>
                    </a:prstGeom>
                  </pic:spPr>
                </pic:pic>
              </a:graphicData>
            </a:graphic>
          </wp:inline>
        </w:drawing>
      </w:r>
    </w:p>
    <w:p w14:paraId="69B70EE0" w14:textId="0AEA807B" w:rsidR="00EC6FED" w:rsidRPr="00E12E3D" w:rsidRDefault="00E80874" w:rsidP="00E80874">
      <w:pPr>
        <w:tabs>
          <w:tab w:val="clear" w:pos="794"/>
          <w:tab w:val="clear" w:pos="1191"/>
          <w:tab w:val="clear" w:pos="1588"/>
          <w:tab w:val="clear" w:pos="1985"/>
        </w:tabs>
        <w:spacing w:after="120"/>
        <w:jc w:val="center"/>
        <w:rPr>
          <w:lang w:val="fr-FR"/>
        </w:rPr>
      </w:pPr>
      <w:r w:rsidRPr="00E12E3D">
        <w:rPr>
          <w:lang w:val="fr-FR"/>
        </w:rPr>
        <w:t>_______________</w:t>
      </w:r>
    </w:p>
    <w:sectPr w:rsidR="00EC6FED" w:rsidRPr="00E12E3D" w:rsidSect="00473791">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80874" w:rsidRPr="00E80874" w14:paraId="695D1810" w14:textId="77777777" w:rsidTr="00E80874">
      <w:tc>
        <w:tcPr>
          <w:tcW w:w="1526" w:type="dxa"/>
          <w:tcBorders>
            <w:top w:val="single" w:sz="4" w:space="0" w:color="000000"/>
          </w:tcBorders>
          <w:shd w:val="clear" w:color="auto" w:fill="auto"/>
        </w:tcPr>
        <w:p w14:paraId="746E5A61" w14:textId="77777777" w:rsidR="00E80874" w:rsidRPr="001011EB" w:rsidRDefault="00E80874" w:rsidP="00E80874">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E80874" w:rsidRPr="001011EB" w:rsidRDefault="00E80874" w:rsidP="00E80874">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B8AB2E0" w14:textId="0584365E" w:rsidR="00E80874" w:rsidRPr="001011EB" w:rsidRDefault="00E80874" w:rsidP="00E80874">
          <w:pPr>
            <w:pStyle w:val="FirstFooter"/>
            <w:tabs>
              <w:tab w:val="left" w:pos="2302"/>
            </w:tabs>
            <w:rPr>
              <w:sz w:val="18"/>
              <w:szCs w:val="18"/>
              <w:lang w:val="fr-CH"/>
            </w:rPr>
          </w:pPr>
          <w:r w:rsidRPr="00212B7F">
            <w:rPr>
              <w:sz w:val="18"/>
              <w:szCs w:val="22"/>
            </w:rPr>
            <w:t>M. Bruno Ramos, Adjoint par intérim au Directeur du Bureau de développement des télécommunications</w:t>
          </w:r>
        </w:p>
      </w:tc>
      <w:bookmarkStart w:id="6" w:name="OrgName"/>
      <w:bookmarkEnd w:id="6"/>
    </w:tr>
    <w:tr w:rsidR="00E80874" w:rsidRPr="001011EB" w14:paraId="61167678" w14:textId="77777777" w:rsidTr="00E80874">
      <w:tc>
        <w:tcPr>
          <w:tcW w:w="1526" w:type="dxa"/>
          <w:shd w:val="clear" w:color="auto" w:fill="auto"/>
        </w:tcPr>
        <w:p w14:paraId="33710823" w14:textId="77777777" w:rsidR="00E80874" w:rsidRPr="001011EB" w:rsidRDefault="00E80874" w:rsidP="00E80874">
          <w:pPr>
            <w:pStyle w:val="FirstFooter"/>
            <w:tabs>
              <w:tab w:val="left" w:pos="1559"/>
              <w:tab w:val="left" w:pos="3828"/>
            </w:tabs>
            <w:rPr>
              <w:sz w:val="20"/>
              <w:lang w:val="fr-CH"/>
            </w:rPr>
          </w:pPr>
        </w:p>
      </w:tc>
      <w:tc>
        <w:tcPr>
          <w:tcW w:w="2410" w:type="dxa"/>
          <w:shd w:val="clear" w:color="auto" w:fill="auto"/>
        </w:tcPr>
        <w:p w14:paraId="1251F6E4" w14:textId="7949FD7A" w:rsidR="00E80874" w:rsidRPr="001011EB" w:rsidRDefault="00E80874" w:rsidP="00E80874">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2EEAB5C5" w14:textId="3C266DB2" w:rsidR="00E80874" w:rsidRPr="001011EB" w:rsidRDefault="00E80874" w:rsidP="00E80874">
          <w:pPr>
            <w:pStyle w:val="FirstFooter"/>
            <w:tabs>
              <w:tab w:val="left" w:pos="2302"/>
            </w:tabs>
            <w:rPr>
              <w:sz w:val="18"/>
              <w:szCs w:val="18"/>
              <w:lang w:val="fr-CH"/>
            </w:rPr>
          </w:pPr>
          <w:r w:rsidRPr="00212B7F">
            <w:rPr>
              <w:sz w:val="18"/>
              <w:szCs w:val="22"/>
            </w:rPr>
            <w:t>Sans objet</w:t>
          </w:r>
        </w:p>
      </w:tc>
      <w:bookmarkStart w:id="7" w:name="PhoneNo"/>
      <w:bookmarkEnd w:id="7"/>
    </w:tr>
    <w:tr w:rsidR="00E80874" w:rsidRPr="001011EB" w14:paraId="0299A231" w14:textId="77777777" w:rsidTr="00E80874">
      <w:tc>
        <w:tcPr>
          <w:tcW w:w="1526" w:type="dxa"/>
          <w:shd w:val="clear" w:color="auto" w:fill="auto"/>
        </w:tcPr>
        <w:p w14:paraId="35CBC438" w14:textId="77777777" w:rsidR="00E80874" w:rsidRPr="001011EB" w:rsidRDefault="00E80874" w:rsidP="00E80874">
          <w:pPr>
            <w:pStyle w:val="FirstFooter"/>
            <w:tabs>
              <w:tab w:val="left" w:pos="1559"/>
              <w:tab w:val="left" w:pos="3828"/>
            </w:tabs>
            <w:rPr>
              <w:sz w:val="20"/>
              <w:lang w:val="fr-CH"/>
            </w:rPr>
          </w:pPr>
        </w:p>
      </w:tc>
      <w:tc>
        <w:tcPr>
          <w:tcW w:w="2410" w:type="dxa"/>
          <w:shd w:val="clear" w:color="auto" w:fill="auto"/>
        </w:tcPr>
        <w:p w14:paraId="65335E06" w14:textId="490F0FC2" w:rsidR="00E80874" w:rsidRPr="001011EB" w:rsidRDefault="00E80874" w:rsidP="00E80874">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6B78B37A" w14:textId="294B0C53" w:rsidR="00E80874" w:rsidRPr="001011EB" w:rsidRDefault="00E80874" w:rsidP="00E80874">
          <w:pPr>
            <w:pStyle w:val="FirstFooter"/>
            <w:tabs>
              <w:tab w:val="left" w:pos="2302"/>
            </w:tabs>
            <w:rPr>
              <w:sz w:val="18"/>
              <w:szCs w:val="18"/>
              <w:lang w:val="fr-CH"/>
            </w:rPr>
          </w:pPr>
          <w:hyperlink r:id="rId1" w:history="1">
            <w:r w:rsidRPr="00BA53EE">
              <w:rPr>
                <w:rStyle w:val="Hyperlink"/>
                <w:sz w:val="18"/>
                <w:szCs w:val="22"/>
              </w:rPr>
              <w:t>bruno.ramos</w:t>
            </w:r>
            <w:r w:rsidRPr="00BA53EE">
              <w:rPr>
                <w:rStyle w:val="Hyperlink"/>
                <w:sz w:val="18"/>
                <w:szCs w:val="22"/>
              </w:rPr>
              <w:t>@</w:t>
            </w:r>
            <w:r w:rsidRPr="00BA53EE">
              <w:rPr>
                <w:rStyle w:val="Hyperlink"/>
                <w:sz w:val="18"/>
                <w:szCs w:val="22"/>
              </w:rPr>
              <w:t>itu.int</w:t>
            </w:r>
          </w:hyperlink>
        </w:p>
      </w:tc>
      <w:bookmarkStart w:id="8" w:name="Email"/>
      <w:bookmarkEnd w:id="8"/>
    </w:tr>
  </w:tbl>
  <w:p w14:paraId="5AEFE7F9" w14:textId="77777777" w:rsidR="0059420B" w:rsidRPr="001011EB" w:rsidRDefault="0059420B" w:rsidP="00B80157">
    <w:pPr>
      <w:pStyle w:val="Footer"/>
      <w:jc w:val="center"/>
      <w:rPr>
        <w:lang w:val="fr-CH"/>
      </w:rPr>
    </w:pPr>
  </w:p>
  <w:p w14:paraId="40A321D0" w14:textId="50FEB05F" w:rsidR="00721657" w:rsidRPr="001011EB" w:rsidRDefault="008D78AE" w:rsidP="00B80157">
    <w:pPr>
      <w:pStyle w:val="Footer"/>
      <w:jc w:val="center"/>
      <w:rPr>
        <w:lang w:val="fr-CH"/>
      </w:rPr>
    </w:pPr>
    <w:hyperlink r:id="rId2" w:history="1">
      <w:r w:rsidR="008B47C7" w:rsidRPr="001011EB">
        <w:rPr>
          <w:rStyle w:val="Hyperlink"/>
          <w:caps w:val="0"/>
          <w:noProof w:val="0"/>
          <w:sz w:val="18"/>
          <w:szCs w:val="18"/>
          <w:lang w:val="fr-CH"/>
        </w:rPr>
        <w:t>TDA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40D398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E80874">
      <w:rPr>
        <w:sz w:val="22"/>
        <w:szCs w:val="22"/>
        <w:lang w:val="de-CH"/>
      </w:rPr>
      <w:t>23(Rév.1)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82276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78AE"/>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2E3D"/>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874"/>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31-C-0024/fr" TargetMode="External"/><Relationship Id="rId18" Type="http://schemas.openxmlformats.org/officeDocument/2006/relationships/hyperlink" Target="https://www.itu.int/md/D22-TDAG31-C-0019/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itu.int/md/S23-SG-CIR-0051/fr" TargetMode="External"/><Relationship Id="rId17" Type="http://schemas.openxmlformats.org/officeDocument/2006/relationships/hyperlink" Target="https://www.itu.int/en/ITU-D/Conferences/TDAG/Pages/2024/TDAG_WG_SR.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22-TDAG31-C-0025/f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136/fr"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ITU-D/Conferences/TDAG/Pages/2024/TDAG_WG_futureSGQ.aspx"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fr&amp;parent=" TargetMode="Externa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1174</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2024-05-16T11:38:00Z</dcterms:created>
  <dcterms:modified xsi:type="dcterms:W3CDTF">2024-05-16T12:02:00Z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