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C80A08"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FF1F3C7" w14:textId="435A693B" w:rsidR="00C80A08" w:rsidRPr="00C80A08" w:rsidRDefault="00C80A08" w:rsidP="00B648C7">
            <w:pPr>
              <w:spacing w:before="0"/>
              <w:jc w:val="both"/>
              <w:rPr>
                <w:b/>
                <w:bCs/>
                <w:lang w:val="fr-FR"/>
              </w:rPr>
            </w:pPr>
            <w:proofErr w:type="spellStart"/>
            <w:r w:rsidRPr="00C80A08">
              <w:rPr>
                <w:b/>
                <w:bCs/>
                <w:lang w:val="fr-FR"/>
              </w:rPr>
              <w:t>Revision</w:t>
            </w:r>
            <w:proofErr w:type="spellEnd"/>
            <w:r w:rsidRPr="00C80A08">
              <w:rPr>
                <w:b/>
                <w:bCs/>
                <w:lang w:val="fr-FR"/>
              </w:rPr>
              <w:t xml:space="preserve"> 1 t</w:t>
            </w:r>
            <w:r>
              <w:rPr>
                <w:b/>
                <w:bCs/>
                <w:lang w:val="fr-FR"/>
              </w:rPr>
              <w:t>o</w:t>
            </w:r>
          </w:p>
          <w:p w14:paraId="02E44EE9" w14:textId="24208DF0" w:rsidR="00683C32" w:rsidRPr="00C80A08" w:rsidRDefault="0096201B" w:rsidP="00B648C7">
            <w:pPr>
              <w:spacing w:before="0"/>
              <w:jc w:val="both"/>
              <w:rPr>
                <w:bCs/>
                <w:szCs w:val="24"/>
                <w:lang w:val="fr-FR"/>
              </w:rPr>
            </w:pPr>
            <w:r w:rsidRPr="00C80A08">
              <w:rPr>
                <w:b/>
                <w:bCs/>
                <w:lang w:val="fr-FR"/>
              </w:rPr>
              <w:t xml:space="preserve">Document </w:t>
            </w:r>
            <w:bookmarkStart w:id="0" w:name="DocRef1"/>
            <w:bookmarkEnd w:id="0"/>
            <w:r w:rsidRPr="00C80A08">
              <w:rPr>
                <w:b/>
                <w:bCs/>
                <w:lang w:val="fr-FR"/>
              </w:rPr>
              <w:t>TDAG</w:t>
            </w:r>
            <w:r w:rsidR="003242AB" w:rsidRPr="00C80A08">
              <w:rPr>
                <w:b/>
                <w:bCs/>
                <w:lang w:val="fr-FR"/>
              </w:rPr>
              <w:t>-</w:t>
            </w:r>
            <w:r w:rsidR="00B648C7" w:rsidRPr="00C80A08">
              <w:rPr>
                <w:b/>
                <w:bCs/>
                <w:lang w:val="fr-FR"/>
              </w:rPr>
              <w:t>2</w:t>
            </w:r>
            <w:bookmarkStart w:id="1" w:name="DocNo1"/>
            <w:bookmarkEnd w:id="1"/>
            <w:r w:rsidR="006F24AF" w:rsidRPr="00C80A08">
              <w:rPr>
                <w:b/>
                <w:bCs/>
                <w:lang w:val="fr-FR"/>
              </w:rPr>
              <w:t>4</w:t>
            </w:r>
            <w:r w:rsidR="0009076F" w:rsidRPr="00C80A08">
              <w:rPr>
                <w:b/>
                <w:bCs/>
                <w:lang w:val="fr-FR"/>
              </w:rPr>
              <w:t>/</w:t>
            </w:r>
            <w:r w:rsidR="00D20804" w:rsidRPr="00C80A08">
              <w:rPr>
                <w:b/>
                <w:bCs/>
                <w:lang w:val="fr-FR"/>
              </w:rPr>
              <w:t>23</w:t>
            </w:r>
            <w:r w:rsidRPr="00C80A08">
              <w:rPr>
                <w:b/>
                <w:bCs/>
                <w:lang w:val="fr-FR"/>
              </w:rPr>
              <w:t>-E</w:t>
            </w:r>
          </w:p>
        </w:tc>
      </w:tr>
      <w:tr w:rsidR="00683C32" w14:paraId="24D04936" w14:textId="77777777" w:rsidTr="0009076F">
        <w:trPr>
          <w:cantSplit/>
        </w:trPr>
        <w:tc>
          <w:tcPr>
            <w:tcW w:w="6379" w:type="dxa"/>
          </w:tcPr>
          <w:p w14:paraId="12CE4DBF" w14:textId="77777777" w:rsidR="00683C32" w:rsidRPr="00C80A08" w:rsidRDefault="00683C32" w:rsidP="00400CCF">
            <w:pPr>
              <w:spacing w:before="0"/>
              <w:rPr>
                <w:b/>
                <w:bCs/>
                <w:smallCaps/>
                <w:szCs w:val="24"/>
                <w:lang w:val="fr-FR"/>
              </w:rPr>
            </w:pPr>
          </w:p>
        </w:tc>
        <w:tc>
          <w:tcPr>
            <w:tcW w:w="3509" w:type="dxa"/>
          </w:tcPr>
          <w:p w14:paraId="0F89640F" w14:textId="252BE5AC" w:rsidR="00683C32" w:rsidRPr="007F1CC7" w:rsidRDefault="00C80A08" w:rsidP="00B648C7">
            <w:pPr>
              <w:spacing w:before="0"/>
              <w:rPr>
                <w:b/>
                <w:szCs w:val="24"/>
              </w:rPr>
            </w:pPr>
            <w:bookmarkStart w:id="2" w:name="CreationDate"/>
            <w:bookmarkEnd w:id="2"/>
            <w:r>
              <w:rPr>
                <w:b/>
                <w:bCs/>
                <w:szCs w:val="28"/>
              </w:rPr>
              <w:t>15 May</w:t>
            </w:r>
            <w:r w:rsidR="00A1100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0BF1F51F" w:rsidR="00514D2F" w:rsidRPr="007F1CC7" w:rsidRDefault="0096201B" w:rsidP="00400CCF">
            <w:pPr>
              <w:spacing w:before="0"/>
              <w:rPr>
                <w:szCs w:val="24"/>
              </w:rPr>
            </w:pPr>
            <w:r>
              <w:rPr>
                <w:b/>
              </w:rPr>
              <w:t>Original:</w:t>
            </w:r>
            <w:bookmarkStart w:id="3" w:name="Original"/>
            <w:bookmarkEnd w:id="3"/>
            <w:r w:rsidR="00CE0422">
              <w:rPr>
                <w:b/>
              </w:rPr>
              <w:t xml:space="preserve"> </w:t>
            </w:r>
            <w:r w:rsidR="00AD4677">
              <w:rPr>
                <w:b/>
              </w:rPr>
              <w:t>English</w:t>
            </w:r>
          </w:p>
        </w:tc>
      </w:tr>
      <w:tr w:rsidR="00A13162" w14:paraId="31656E31" w14:textId="77777777" w:rsidTr="00107E85">
        <w:trPr>
          <w:cantSplit/>
          <w:trHeight w:val="852"/>
        </w:trPr>
        <w:tc>
          <w:tcPr>
            <w:tcW w:w="9888" w:type="dxa"/>
            <w:gridSpan w:val="2"/>
          </w:tcPr>
          <w:p w14:paraId="512FCA01" w14:textId="3E81AA32" w:rsidR="00A13162" w:rsidRPr="0030353C" w:rsidRDefault="00D20804" w:rsidP="0030353C">
            <w:pPr>
              <w:pStyle w:val="Source"/>
            </w:pPr>
            <w:bookmarkStart w:id="4" w:name="Source"/>
            <w:bookmarkEnd w:id="4"/>
            <w:r>
              <w:t>Director, Telecommunication Development Bureau</w:t>
            </w:r>
          </w:p>
        </w:tc>
      </w:tr>
      <w:tr w:rsidR="00AC6F14" w:rsidRPr="002E6963" w14:paraId="2CBD3A36" w14:textId="77777777" w:rsidTr="00107E85">
        <w:trPr>
          <w:cantSplit/>
        </w:trPr>
        <w:tc>
          <w:tcPr>
            <w:tcW w:w="9888" w:type="dxa"/>
            <w:gridSpan w:val="2"/>
          </w:tcPr>
          <w:p w14:paraId="1B4121DF" w14:textId="63F024B0" w:rsidR="00AC6F14" w:rsidRPr="00642C3C" w:rsidRDefault="00D20804" w:rsidP="0030353C">
            <w:pPr>
              <w:pStyle w:val="Title1"/>
              <w:rPr>
                <w:rFonts w:cs="Times New Roman"/>
                <w:bCs/>
              </w:rPr>
            </w:pPr>
            <w:bookmarkStart w:id="5" w:name="Title"/>
            <w:bookmarkEnd w:id="5"/>
            <w:r w:rsidRPr="00D20804">
              <w:rPr>
                <w:rFonts w:cs="Times New Roman"/>
                <w:bCs/>
              </w:rPr>
              <w:t xml:space="preserve">Preparations for the 2025 World Telecommunication </w:t>
            </w:r>
            <w:r w:rsidR="00A5265C">
              <w:rPr>
                <w:rFonts w:cs="Times New Roman"/>
                <w:bCs/>
              </w:rPr>
              <w:br/>
            </w:r>
            <w:r w:rsidRPr="00D20804">
              <w:rPr>
                <w:rFonts w:cs="Times New Roman"/>
                <w:bCs/>
              </w:rPr>
              <w:t>Development Conference (WTDC-25)</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EA0C51">
            <w:pPr>
              <w:spacing w:after="120"/>
              <w:rPr>
                <w:b/>
                <w:bCs/>
                <w:szCs w:val="24"/>
              </w:rPr>
            </w:pPr>
            <w:r w:rsidRPr="00D9621A">
              <w:rPr>
                <w:b/>
                <w:bCs/>
                <w:szCs w:val="24"/>
              </w:rPr>
              <w:t>Summary:</w:t>
            </w:r>
          </w:p>
          <w:p w14:paraId="4082D7E8" w14:textId="12F81799" w:rsidR="00A721F4" w:rsidRPr="00D9621A" w:rsidRDefault="00C538E8" w:rsidP="00EA0C51">
            <w:pPr>
              <w:spacing w:after="120"/>
              <w:rPr>
                <w:szCs w:val="24"/>
              </w:rPr>
            </w:pPr>
            <w:r w:rsidRPr="00C538E8">
              <w:t xml:space="preserve">This document covers the preparations so far for the organization of the World Telecommunication Development Conference 2025 (WTDC-25) that is scheduled to take place in </w:t>
            </w:r>
            <w:r w:rsidR="00220FA3">
              <w:t>Baku</w:t>
            </w:r>
            <w:r w:rsidRPr="00C538E8">
              <w:t xml:space="preserve">, </w:t>
            </w:r>
            <w:r w:rsidR="00220FA3">
              <w:t>Azerbaijan</w:t>
            </w:r>
            <w:r w:rsidRPr="00C538E8">
              <w:t xml:space="preserve">, </w:t>
            </w:r>
            <w:r w:rsidR="001127F5">
              <w:t>on 17-28</w:t>
            </w:r>
            <w:r w:rsidR="00FB4852">
              <w:t xml:space="preserve"> November</w:t>
            </w:r>
            <w:r w:rsidRPr="00C538E8">
              <w:t xml:space="preserve"> 2025.</w:t>
            </w:r>
          </w:p>
          <w:p w14:paraId="76A1C541" w14:textId="77777777" w:rsidR="00A721F4" w:rsidRPr="00D9621A" w:rsidRDefault="00A721F4" w:rsidP="00EA0C51">
            <w:pPr>
              <w:spacing w:after="120"/>
              <w:rPr>
                <w:b/>
                <w:bCs/>
                <w:szCs w:val="24"/>
              </w:rPr>
            </w:pPr>
            <w:r w:rsidRPr="005E090D">
              <w:rPr>
                <w:b/>
                <w:bCs/>
              </w:rPr>
              <w:t>Action required:</w:t>
            </w:r>
          </w:p>
          <w:p w14:paraId="371956FC" w14:textId="125608D3" w:rsidR="00A721F4" w:rsidRPr="00D9621A" w:rsidRDefault="00C538E8" w:rsidP="00EA0C51">
            <w:pPr>
              <w:spacing w:after="120"/>
              <w:rPr>
                <w:szCs w:val="24"/>
              </w:rPr>
            </w:pPr>
            <w:r>
              <w:rPr>
                <w:szCs w:val="24"/>
              </w:rPr>
              <w:t>TDAG is invited to note this document and provide guidance as deemed necessary.</w:t>
            </w:r>
          </w:p>
          <w:p w14:paraId="622ACB80" w14:textId="77777777" w:rsidR="00A721F4" w:rsidRPr="00D9621A" w:rsidRDefault="00A721F4" w:rsidP="00EA0C51">
            <w:pPr>
              <w:spacing w:after="120"/>
              <w:rPr>
                <w:b/>
                <w:bCs/>
                <w:szCs w:val="24"/>
              </w:rPr>
            </w:pPr>
            <w:r w:rsidRPr="00D9621A">
              <w:rPr>
                <w:b/>
                <w:bCs/>
                <w:szCs w:val="24"/>
              </w:rPr>
              <w:t>References:</w:t>
            </w:r>
          </w:p>
          <w:p w14:paraId="1ECDD20E" w14:textId="2FE1044B" w:rsidR="00A721F4" w:rsidRPr="00D9621A" w:rsidRDefault="00C538E8" w:rsidP="00EA0C51">
            <w:pPr>
              <w:spacing w:after="120"/>
            </w:pPr>
            <w:r>
              <w:t>N/A</w:t>
            </w:r>
          </w:p>
        </w:tc>
      </w:tr>
    </w:tbl>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134E606A" w14:textId="77777777" w:rsidR="00EB3346" w:rsidRPr="00EB3346" w:rsidRDefault="00EB3346" w:rsidP="00853716">
      <w:pPr>
        <w:keepNext/>
        <w:numPr>
          <w:ilvl w:val="0"/>
          <w:numId w:val="4"/>
        </w:numPr>
        <w:tabs>
          <w:tab w:val="clear" w:pos="794"/>
          <w:tab w:val="clear" w:pos="1191"/>
          <w:tab w:val="clear" w:pos="1588"/>
          <w:tab w:val="clear" w:pos="1985"/>
          <w:tab w:val="left" w:pos="567"/>
          <w:tab w:val="left" w:pos="1134"/>
          <w:tab w:val="left" w:pos="1701"/>
          <w:tab w:val="left" w:pos="2268"/>
        </w:tabs>
        <w:spacing w:before="100" w:after="100"/>
        <w:ind w:left="567" w:hanging="567"/>
        <w:rPr>
          <w:b/>
        </w:rPr>
      </w:pPr>
      <w:r w:rsidRPr="00EB3346">
        <w:rPr>
          <w:b/>
        </w:rPr>
        <w:lastRenderedPageBreak/>
        <w:t>Background</w:t>
      </w:r>
    </w:p>
    <w:p w14:paraId="40D5717D" w14:textId="77777777" w:rsidR="00EB3346" w:rsidRPr="00EB3346" w:rsidRDefault="00EB3346" w:rsidP="00853716">
      <w:pPr>
        <w:numPr>
          <w:ilvl w:val="1"/>
          <w:numId w:val="3"/>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sidRPr="00EB3346">
        <w:rPr>
          <w:lang w:val="en-US"/>
        </w:rPr>
        <w:t>No. 141 of the ITU Constitution stipulates that there shall be a World Telecommunication Development Conference (WTDC) between two Plenipotentiary Conferences.</w:t>
      </w:r>
    </w:p>
    <w:p w14:paraId="576F9DFA" w14:textId="48567ED1" w:rsidR="00EB3346" w:rsidRPr="00EB3346" w:rsidRDefault="00EB3346" w:rsidP="00853716">
      <w:pPr>
        <w:numPr>
          <w:ilvl w:val="1"/>
          <w:numId w:val="3"/>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sidRPr="00EB3346">
        <w:rPr>
          <w:lang w:val="en-US"/>
        </w:rPr>
        <w:t xml:space="preserve">Resolution 77 (Rev. </w:t>
      </w:r>
      <w:r w:rsidR="00074C2F">
        <w:rPr>
          <w:lang w:val="en-US"/>
        </w:rPr>
        <w:t>Bucharest, 2022</w:t>
      </w:r>
      <w:r w:rsidRPr="00EB3346">
        <w:rPr>
          <w:lang w:val="en-US"/>
        </w:rPr>
        <w:t>) resolves to hold the WTDC in the last quarter of 202</w:t>
      </w:r>
      <w:r w:rsidR="00521152">
        <w:rPr>
          <w:lang w:val="en-US"/>
        </w:rPr>
        <w:t>5</w:t>
      </w:r>
      <w:r w:rsidRPr="00EB3346">
        <w:rPr>
          <w:lang w:val="en-US"/>
        </w:rPr>
        <w:t xml:space="preserve">. </w:t>
      </w:r>
    </w:p>
    <w:p w14:paraId="700C6A4A" w14:textId="222D5BBB" w:rsidR="00EB3346" w:rsidRPr="00EB3346" w:rsidRDefault="00EB3346" w:rsidP="00853716">
      <w:pPr>
        <w:numPr>
          <w:ilvl w:val="1"/>
          <w:numId w:val="3"/>
        </w:numPr>
        <w:tabs>
          <w:tab w:val="clear" w:pos="794"/>
          <w:tab w:val="clear" w:pos="1191"/>
          <w:tab w:val="clear" w:pos="1588"/>
          <w:tab w:val="clear" w:pos="1985"/>
          <w:tab w:val="left" w:pos="567"/>
          <w:tab w:val="left" w:pos="1134"/>
          <w:tab w:val="left" w:pos="1701"/>
          <w:tab w:val="left" w:pos="2268"/>
        </w:tabs>
        <w:spacing w:before="100" w:after="100"/>
        <w:ind w:left="567" w:hanging="567"/>
        <w:rPr>
          <w:iCs/>
          <w:lang w:val="en-US"/>
        </w:rPr>
      </w:pPr>
      <w:r w:rsidRPr="00EB3346">
        <w:rPr>
          <w:lang w:val="en-US"/>
        </w:rPr>
        <w:t xml:space="preserve">WTDC Resolution </w:t>
      </w:r>
      <w:r w:rsidRPr="003432D0">
        <w:rPr>
          <w:lang w:val="en-US"/>
        </w:rPr>
        <w:t>31 (</w:t>
      </w:r>
      <w:r w:rsidRPr="00EB3346">
        <w:rPr>
          <w:lang w:val="en-US"/>
        </w:rPr>
        <w:t xml:space="preserve">Rev. </w:t>
      </w:r>
      <w:r w:rsidR="00E44D60">
        <w:rPr>
          <w:lang w:val="en-US"/>
        </w:rPr>
        <w:t>Kigali, 2022</w:t>
      </w:r>
      <w:r w:rsidRPr="00EB3346">
        <w:rPr>
          <w:lang w:val="en-US"/>
        </w:rPr>
        <w:t>)</w:t>
      </w:r>
      <w:r w:rsidRPr="00EB3346">
        <w:rPr>
          <w:iCs/>
          <w:lang w:val="en-US"/>
        </w:rPr>
        <w:t xml:space="preserve"> expresses the firm conviction</w:t>
      </w:r>
      <w:r w:rsidRPr="00EB3346">
        <w:rPr>
          <w:i/>
          <w:lang w:val="en-US"/>
        </w:rPr>
        <w:t xml:space="preserve"> </w:t>
      </w:r>
      <w:r w:rsidRPr="00EB3346">
        <w:rPr>
          <w:lang w:val="en-US"/>
        </w:rPr>
        <w:t>that the coordination of preparations at regional level for the six regions of the ITU Telecommunication Development Sector (ITU-D) are of great benefit to Member States.</w:t>
      </w:r>
    </w:p>
    <w:p w14:paraId="27569D5C" w14:textId="77777777" w:rsidR="00EB3346" w:rsidRPr="00EB3346" w:rsidRDefault="00EB3346" w:rsidP="00853716">
      <w:pPr>
        <w:keepNext/>
        <w:numPr>
          <w:ilvl w:val="0"/>
          <w:numId w:val="4"/>
        </w:numPr>
        <w:tabs>
          <w:tab w:val="clear" w:pos="794"/>
          <w:tab w:val="clear" w:pos="1191"/>
          <w:tab w:val="clear" w:pos="1588"/>
          <w:tab w:val="clear" w:pos="1985"/>
          <w:tab w:val="left" w:pos="567"/>
          <w:tab w:val="left" w:pos="1134"/>
          <w:tab w:val="left" w:pos="1701"/>
          <w:tab w:val="left" w:pos="2268"/>
        </w:tabs>
        <w:spacing w:before="100" w:after="100"/>
        <w:ind w:left="567" w:hanging="567"/>
        <w:rPr>
          <w:b/>
        </w:rPr>
      </w:pPr>
      <w:r w:rsidRPr="00EB3346">
        <w:rPr>
          <w:b/>
        </w:rPr>
        <w:t xml:space="preserve">Place, duration, dates, and venue for </w:t>
      </w:r>
      <w:proofErr w:type="gramStart"/>
      <w:r w:rsidRPr="00EB3346">
        <w:rPr>
          <w:b/>
        </w:rPr>
        <w:t>WTDC</w:t>
      </w:r>
      <w:proofErr w:type="gramEnd"/>
    </w:p>
    <w:p w14:paraId="40DF8B4B" w14:textId="62038D31" w:rsidR="00EB3346" w:rsidRDefault="00DF1E30"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During </w:t>
      </w:r>
      <w:r w:rsidR="00D0096B">
        <w:rPr>
          <w:lang w:val="en-US"/>
        </w:rPr>
        <w:t>the 2022 Plenipotentiary Conference (</w:t>
      </w:r>
      <w:r>
        <w:rPr>
          <w:lang w:val="en-US"/>
        </w:rPr>
        <w:t>PP-22</w:t>
      </w:r>
      <w:r w:rsidR="00D0096B">
        <w:rPr>
          <w:lang w:val="en-US"/>
        </w:rPr>
        <w:t xml:space="preserve">), the Government of Thailand sent a letter to ITU indicating its interest to host </w:t>
      </w:r>
      <w:r w:rsidR="006D3C80">
        <w:rPr>
          <w:lang w:val="en-US"/>
        </w:rPr>
        <w:t>WTDC-25 in Bangkok.</w:t>
      </w:r>
      <w:r w:rsidR="00004C53">
        <w:rPr>
          <w:lang w:val="en-US"/>
        </w:rPr>
        <w:t xml:space="preserve"> </w:t>
      </w:r>
      <w:r w:rsidR="006D3C80">
        <w:rPr>
          <w:lang w:val="en-US"/>
        </w:rPr>
        <w:t xml:space="preserve">This letter was published as </w:t>
      </w:r>
      <w:hyperlink r:id="rId12" w:history="1">
        <w:r w:rsidR="006D3C80" w:rsidRPr="006D3C80">
          <w:rPr>
            <w:rStyle w:val="Hyperlink"/>
            <w:lang w:val="en-US"/>
          </w:rPr>
          <w:t>document PP-22/136</w:t>
        </w:r>
      </w:hyperlink>
      <w:r w:rsidR="006D3C80">
        <w:rPr>
          <w:lang w:val="en-US"/>
        </w:rPr>
        <w:t>.</w:t>
      </w:r>
    </w:p>
    <w:p w14:paraId="5A5C2C41" w14:textId="4E12D3F2" w:rsidR="00C65127" w:rsidRDefault="002051C3"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T</w:t>
      </w:r>
      <w:r w:rsidR="00C65127">
        <w:rPr>
          <w:lang w:val="en-US"/>
        </w:rPr>
        <w:t xml:space="preserve">he Government of Thailand sent a letter on </w:t>
      </w:r>
      <w:r w:rsidR="00803A19">
        <w:rPr>
          <w:lang w:val="en-US"/>
        </w:rPr>
        <w:t>7 December</w:t>
      </w:r>
      <w:r w:rsidR="00C65127">
        <w:rPr>
          <w:lang w:val="en-US"/>
        </w:rPr>
        <w:t xml:space="preserve"> 202</w:t>
      </w:r>
      <w:r w:rsidR="00803A19">
        <w:rPr>
          <w:lang w:val="en-US"/>
        </w:rPr>
        <w:t>3</w:t>
      </w:r>
      <w:r w:rsidR="00C65127">
        <w:rPr>
          <w:lang w:val="en-US"/>
        </w:rPr>
        <w:t xml:space="preserve"> indicating that it was </w:t>
      </w:r>
      <w:r>
        <w:rPr>
          <w:lang w:val="en-US"/>
        </w:rPr>
        <w:t xml:space="preserve">unfortunately </w:t>
      </w:r>
      <w:r w:rsidR="00C65127">
        <w:rPr>
          <w:lang w:val="en-US"/>
        </w:rPr>
        <w:t>unable to host the conference as previously indicated</w:t>
      </w:r>
      <w:r w:rsidR="00211957">
        <w:rPr>
          <w:lang w:val="en-US"/>
        </w:rPr>
        <w:t xml:space="preserve">. </w:t>
      </w:r>
    </w:p>
    <w:p w14:paraId="68D18378" w14:textId="796FE027" w:rsidR="00803A19" w:rsidRDefault="002051C3"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ITU s</w:t>
      </w:r>
      <w:r w:rsidR="00710AB0">
        <w:rPr>
          <w:lang w:val="en-US"/>
        </w:rPr>
        <w:t xml:space="preserve">ent </w:t>
      </w:r>
      <w:hyperlink r:id="rId13" w:history="1">
        <w:r w:rsidR="00710AB0" w:rsidRPr="00924AEB">
          <w:rPr>
            <w:rStyle w:val="Hyperlink"/>
            <w:lang w:val="en-US"/>
          </w:rPr>
          <w:t>letter CL-23/51</w:t>
        </w:r>
      </w:hyperlink>
      <w:r w:rsidR="00710AB0">
        <w:rPr>
          <w:lang w:val="en-US"/>
        </w:rPr>
        <w:t xml:space="preserve"> to all Member States of the Union on 19 December informing them of the </w:t>
      </w:r>
      <w:r w:rsidR="00A634C1">
        <w:rPr>
          <w:lang w:val="en-US"/>
        </w:rPr>
        <w:t xml:space="preserve">situation with the hosting of WTDC-25 and inviting </w:t>
      </w:r>
      <w:r w:rsidR="00FC5D42">
        <w:rPr>
          <w:lang w:val="en-US"/>
        </w:rPr>
        <w:t xml:space="preserve">interested </w:t>
      </w:r>
      <w:r w:rsidR="00A634C1">
        <w:rPr>
          <w:lang w:val="en-US"/>
        </w:rPr>
        <w:t xml:space="preserve">countries </w:t>
      </w:r>
      <w:r w:rsidR="00FC5D42">
        <w:rPr>
          <w:lang w:val="en-US"/>
        </w:rPr>
        <w:t xml:space="preserve">to contact </w:t>
      </w:r>
      <w:r w:rsidR="008B1DA1">
        <w:rPr>
          <w:lang w:val="en-US"/>
        </w:rPr>
        <w:t>the Secretary-General</w:t>
      </w:r>
      <w:r w:rsidR="00FC5D42">
        <w:rPr>
          <w:lang w:val="en-US"/>
        </w:rPr>
        <w:t>.</w:t>
      </w:r>
    </w:p>
    <w:p w14:paraId="2C17D922" w14:textId="51F42518" w:rsidR="00FC5D42" w:rsidRDefault="00924AEB"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Further to this circular letter, Australia, Jordan, Oman, </w:t>
      </w:r>
      <w:proofErr w:type="gramStart"/>
      <w:r>
        <w:rPr>
          <w:lang w:val="en-US"/>
        </w:rPr>
        <w:t>Azerbaijan</w:t>
      </w:r>
      <w:proofErr w:type="gramEnd"/>
      <w:r w:rsidR="00542F05">
        <w:rPr>
          <w:lang w:val="en-US"/>
        </w:rPr>
        <w:t xml:space="preserve"> and </w:t>
      </w:r>
      <w:r>
        <w:rPr>
          <w:lang w:val="en-US"/>
        </w:rPr>
        <w:t xml:space="preserve">Egypt </w:t>
      </w:r>
      <w:r w:rsidR="00A425E1">
        <w:rPr>
          <w:lang w:val="en-US"/>
        </w:rPr>
        <w:t xml:space="preserve">expressed </w:t>
      </w:r>
      <w:r w:rsidR="00AC2DFC">
        <w:rPr>
          <w:lang w:val="en-US"/>
        </w:rPr>
        <w:t xml:space="preserve">their </w:t>
      </w:r>
      <w:r w:rsidR="00A425E1">
        <w:rPr>
          <w:lang w:val="en-US"/>
        </w:rPr>
        <w:t>interest</w:t>
      </w:r>
      <w:r w:rsidR="0057068D">
        <w:rPr>
          <w:lang w:val="en-US"/>
        </w:rPr>
        <w:t xml:space="preserve"> to</w:t>
      </w:r>
      <w:r w:rsidR="0065141E">
        <w:rPr>
          <w:lang w:val="en-US"/>
        </w:rPr>
        <w:t xml:space="preserve"> ITU </w:t>
      </w:r>
      <w:r w:rsidR="00AC2DFC">
        <w:rPr>
          <w:lang w:val="en-US"/>
        </w:rPr>
        <w:t xml:space="preserve">in order </w:t>
      </w:r>
      <w:r w:rsidR="0065141E">
        <w:rPr>
          <w:lang w:val="en-US"/>
        </w:rPr>
        <w:t>to obtain information on the requirements and cost to host the Development Conference.</w:t>
      </w:r>
      <w:r w:rsidR="00004C53">
        <w:rPr>
          <w:lang w:val="en-US"/>
        </w:rPr>
        <w:t xml:space="preserve"> </w:t>
      </w:r>
      <w:r w:rsidR="0065141E">
        <w:rPr>
          <w:lang w:val="en-US"/>
        </w:rPr>
        <w:t xml:space="preserve">BDT provided the </w:t>
      </w:r>
      <w:r w:rsidR="00C30DBD">
        <w:rPr>
          <w:lang w:val="en-US"/>
        </w:rPr>
        <w:t>requested</w:t>
      </w:r>
      <w:r w:rsidR="0065141E">
        <w:rPr>
          <w:lang w:val="en-US"/>
        </w:rPr>
        <w:t xml:space="preserve"> information</w:t>
      </w:r>
      <w:r w:rsidR="002531DC">
        <w:rPr>
          <w:lang w:val="en-US"/>
        </w:rPr>
        <w:t xml:space="preserve"> and requested that </w:t>
      </w:r>
      <w:r w:rsidR="00945C54">
        <w:rPr>
          <w:lang w:val="en-US"/>
        </w:rPr>
        <w:t>the decision by the various Member State Administrations be communicated by 31 March 2024</w:t>
      </w:r>
      <w:r w:rsidR="0065141E">
        <w:rPr>
          <w:lang w:val="en-US"/>
        </w:rPr>
        <w:t>.</w:t>
      </w:r>
    </w:p>
    <w:p w14:paraId="701B4651" w14:textId="4B6F9E2C" w:rsidR="00C30DBD" w:rsidRDefault="00AD030D"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In the meantime, a booking was made at CICG in Geneva for </w:t>
      </w:r>
      <w:r w:rsidR="00443B73">
        <w:rPr>
          <w:lang w:val="en-US"/>
        </w:rPr>
        <w:t>1-12 December 2025</w:t>
      </w:r>
      <w:r w:rsidR="00A870DF">
        <w:rPr>
          <w:lang w:val="en-US"/>
        </w:rPr>
        <w:t>, which needs to be confirmed by 14 June.</w:t>
      </w:r>
    </w:p>
    <w:p w14:paraId="105A983F" w14:textId="65FD16D2" w:rsidR="00926CF0" w:rsidRDefault="00FC3562"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On 15 March 2024, letter </w:t>
      </w:r>
      <w:r w:rsidR="00011214">
        <w:rPr>
          <w:lang w:val="en-US"/>
        </w:rPr>
        <w:t>3-27/2-1902/2024</w:t>
      </w:r>
      <w:r w:rsidR="000553B6">
        <w:rPr>
          <w:lang w:val="en-US"/>
        </w:rPr>
        <w:t xml:space="preserve">, </w:t>
      </w:r>
      <w:r>
        <w:rPr>
          <w:lang w:val="en-US"/>
        </w:rPr>
        <w:t xml:space="preserve">was received from Azerbaijan </w:t>
      </w:r>
      <w:r w:rsidR="003C5EB1">
        <w:rPr>
          <w:lang w:val="en-US"/>
        </w:rPr>
        <w:t xml:space="preserve">submitting its candidacy to host WTDC-25 (please see </w:t>
      </w:r>
      <w:r w:rsidR="003C5EB1" w:rsidRPr="000553B6">
        <w:rPr>
          <w:b/>
          <w:bCs/>
          <w:lang w:val="en-US"/>
        </w:rPr>
        <w:t>Annex 1</w:t>
      </w:r>
      <w:r w:rsidR="003C5EB1">
        <w:rPr>
          <w:lang w:val="en-US"/>
        </w:rPr>
        <w:t>).</w:t>
      </w:r>
    </w:p>
    <w:p w14:paraId="434026E6" w14:textId="161784EE" w:rsidR="00EC443C" w:rsidRPr="00236C7B" w:rsidRDefault="00847431"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On 22 March 2024, the BDT Director replied to the Administration of Azerbaijan</w:t>
      </w:r>
      <w:r w:rsidR="0037120C">
        <w:rPr>
          <w:lang w:val="en-US"/>
        </w:rPr>
        <w:t xml:space="preserve"> with letter BDT/DDR/12554</w:t>
      </w:r>
      <w:r w:rsidR="004F150E">
        <w:rPr>
          <w:lang w:val="en-US"/>
        </w:rPr>
        <w:t xml:space="preserve"> (please see </w:t>
      </w:r>
      <w:r w:rsidR="004F150E">
        <w:rPr>
          <w:b/>
          <w:bCs/>
          <w:lang w:val="en-US"/>
        </w:rPr>
        <w:t>Annex 2</w:t>
      </w:r>
      <w:r w:rsidR="004F150E">
        <w:rPr>
          <w:lang w:val="en-US"/>
        </w:rPr>
        <w:t>), and Azerbaijan replied to this letter on 3</w:t>
      </w:r>
      <w:r w:rsidR="00675FAB">
        <w:rPr>
          <w:lang w:val="en-US"/>
        </w:rPr>
        <w:t> </w:t>
      </w:r>
      <w:r w:rsidR="004F150E">
        <w:rPr>
          <w:lang w:val="en-US"/>
        </w:rPr>
        <w:t>April</w:t>
      </w:r>
      <w:r w:rsidR="00675FAB">
        <w:rPr>
          <w:lang w:val="en-US"/>
        </w:rPr>
        <w:t> </w:t>
      </w:r>
      <w:r w:rsidR="004F150E">
        <w:rPr>
          <w:lang w:val="en-US"/>
        </w:rPr>
        <w:t xml:space="preserve">2024 confirming its </w:t>
      </w:r>
      <w:r w:rsidR="00FB4852">
        <w:rPr>
          <w:lang w:val="en-US"/>
        </w:rPr>
        <w:t xml:space="preserve">hosting proposal </w:t>
      </w:r>
      <w:r w:rsidR="00F846BD">
        <w:rPr>
          <w:lang w:val="en-US"/>
        </w:rPr>
        <w:t xml:space="preserve">in Baku, </w:t>
      </w:r>
      <w:r w:rsidR="00FB4852">
        <w:rPr>
          <w:lang w:val="en-US"/>
        </w:rPr>
        <w:t>for the end of November 2025</w:t>
      </w:r>
      <w:r w:rsidR="007C6919">
        <w:rPr>
          <w:lang w:val="en-US"/>
        </w:rPr>
        <w:t xml:space="preserve"> with letter 3-24/2-</w:t>
      </w:r>
      <w:r w:rsidR="007C6919" w:rsidRPr="00236C7B">
        <w:rPr>
          <w:lang w:val="en-US"/>
        </w:rPr>
        <w:t>2278/2024</w:t>
      </w:r>
      <w:r w:rsidR="00FB4852" w:rsidRPr="00236C7B">
        <w:rPr>
          <w:lang w:val="en-US"/>
        </w:rPr>
        <w:t xml:space="preserve"> (</w:t>
      </w:r>
      <w:r w:rsidR="00FB4852" w:rsidRPr="00236C7B">
        <w:rPr>
          <w:b/>
          <w:bCs/>
          <w:lang w:val="en-US"/>
        </w:rPr>
        <w:t>Annex 3</w:t>
      </w:r>
      <w:r w:rsidR="00FB4852" w:rsidRPr="00236C7B">
        <w:rPr>
          <w:lang w:val="en-US"/>
        </w:rPr>
        <w:t>).</w:t>
      </w:r>
    </w:p>
    <w:p w14:paraId="47BFEAFD" w14:textId="0786F15A" w:rsidR="0035772D" w:rsidRPr="00236C7B" w:rsidRDefault="0035772D"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sidRPr="00236C7B">
        <w:rPr>
          <w:lang w:val="en-US"/>
        </w:rPr>
        <w:t xml:space="preserve">In a further letter </w:t>
      </w:r>
      <w:r w:rsidR="00236C7B" w:rsidRPr="00236C7B">
        <w:rPr>
          <w:lang w:val="en-US"/>
        </w:rPr>
        <w:t xml:space="preserve">referenced 3-27/2-2991/2024 and </w:t>
      </w:r>
      <w:r w:rsidR="00E61144" w:rsidRPr="00236C7B">
        <w:rPr>
          <w:lang w:val="en-US"/>
        </w:rPr>
        <w:t>dated 26 April 2024</w:t>
      </w:r>
      <w:r w:rsidRPr="00236C7B">
        <w:rPr>
          <w:lang w:val="en-US"/>
        </w:rPr>
        <w:t xml:space="preserve">, Azerbaijan indicated the exact dates proposed: </w:t>
      </w:r>
      <w:r w:rsidR="00BF121E" w:rsidRPr="00236C7B">
        <w:rPr>
          <w:lang w:val="en-US"/>
        </w:rPr>
        <w:t xml:space="preserve">17-28 November </w:t>
      </w:r>
      <w:r w:rsidR="005B1587" w:rsidRPr="00236C7B">
        <w:rPr>
          <w:lang w:val="en-US"/>
        </w:rPr>
        <w:t xml:space="preserve">2025 </w:t>
      </w:r>
      <w:r w:rsidR="00190DB7" w:rsidRPr="00236C7B">
        <w:rPr>
          <w:lang w:val="en-US"/>
        </w:rPr>
        <w:t>(</w:t>
      </w:r>
      <w:r w:rsidR="00190DB7" w:rsidRPr="00236C7B">
        <w:rPr>
          <w:b/>
          <w:bCs/>
          <w:lang w:val="en-US"/>
        </w:rPr>
        <w:t>Annex 4</w:t>
      </w:r>
      <w:r w:rsidR="00190DB7" w:rsidRPr="00236C7B">
        <w:rPr>
          <w:lang w:val="en-US"/>
        </w:rPr>
        <w:t>)</w:t>
      </w:r>
      <w:r w:rsidR="00F846BD" w:rsidRPr="00236C7B">
        <w:rPr>
          <w:lang w:val="en-US"/>
        </w:rPr>
        <w:t>.</w:t>
      </w:r>
    </w:p>
    <w:p w14:paraId="01D85CDE" w14:textId="77777777" w:rsidR="0019783F" w:rsidRPr="00236C7B" w:rsidRDefault="0019783F"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sidRPr="00236C7B">
        <w:rPr>
          <w:lang w:val="en-US"/>
        </w:rPr>
        <w:t xml:space="preserve">A document is being submitted to TDAG-24 containing the draft agenda proposed for WTDC-25, for TDAG’s endorsement (document </w:t>
      </w:r>
      <w:hyperlink r:id="rId14" w:history="1">
        <w:r w:rsidRPr="00236C7B">
          <w:rPr>
            <w:rStyle w:val="Hyperlink"/>
            <w:lang w:val="en-US"/>
          </w:rPr>
          <w:t>TDAG-24/24</w:t>
        </w:r>
      </w:hyperlink>
      <w:r w:rsidRPr="00236C7B">
        <w:rPr>
          <w:lang w:val="en-US"/>
        </w:rPr>
        <w:t>).</w:t>
      </w:r>
    </w:p>
    <w:p w14:paraId="36554D47" w14:textId="51C0ED3A" w:rsidR="00F846BD" w:rsidRPr="00236C7B" w:rsidRDefault="00F846BD"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sidRPr="00236C7B">
        <w:rPr>
          <w:lang w:val="en-US"/>
        </w:rPr>
        <w:t xml:space="preserve">A document with the above place and dates, as well as with </w:t>
      </w:r>
      <w:r w:rsidR="00B84741" w:rsidRPr="00236C7B">
        <w:rPr>
          <w:lang w:val="en-US"/>
        </w:rPr>
        <w:t xml:space="preserve">the draft agenda </w:t>
      </w:r>
      <w:r w:rsidR="0019783F" w:rsidRPr="00236C7B">
        <w:rPr>
          <w:lang w:val="en-US"/>
        </w:rPr>
        <w:t xml:space="preserve">is being submitted to the 2024 session of Council </w:t>
      </w:r>
      <w:r w:rsidR="006832E9" w:rsidRPr="00236C7B">
        <w:rPr>
          <w:lang w:val="en-US"/>
        </w:rPr>
        <w:t xml:space="preserve">for its </w:t>
      </w:r>
      <w:r w:rsidR="00190DB7" w:rsidRPr="00236C7B">
        <w:rPr>
          <w:lang w:val="en-US"/>
        </w:rPr>
        <w:t>approval (</w:t>
      </w:r>
      <w:hyperlink r:id="rId15" w:history="1">
        <w:r w:rsidR="00190DB7" w:rsidRPr="00236C7B">
          <w:rPr>
            <w:rStyle w:val="Hyperlink"/>
            <w:lang w:val="en-US"/>
          </w:rPr>
          <w:t>document C-24/</w:t>
        </w:r>
        <w:r w:rsidR="00062BBE" w:rsidRPr="00236C7B">
          <w:rPr>
            <w:rStyle w:val="Hyperlink"/>
            <w:lang w:val="en-US"/>
          </w:rPr>
          <w:t>30</w:t>
        </w:r>
      </w:hyperlink>
      <w:r w:rsidR="00190DB7" w:rsidRPr="00236C7B">
        <w:rPr>
          <w:lang w:val="en-US"/>
        </w:rPr>
        <w:t>)</w:t>
      </w:r>
    </w:p>
    <w:p w14:paraId="4921169C" w14:textId="27D08F5A" w:rsidR="0028638E" w:rsidRPr="00236C7B" w:rsidRDefault="0028638E" w:rsidP="00853716">
      <w:pPr>
        <w:keepNext/>
        <w:numPr>
          <w:ilvl w:val="0"/>
          <w:numId w:val="2"/>
        </w:numPr>
        <w:tabs>
          <w:tab w:val="clear" w:pos="795"/>
          <w:tab w:val="clear" w:pos="1191"/>
          <w:tab w:val="clear" w:pos="1588"/>
          <w:tab w:val="clear" w:pos="1985"/>
          <w:tab w:val="left" w:pos="567"/>
          <w:tab w:val="left" w:pos="1134"/>
          <w:tab w:val="left" w:pos="1701"/>
          <w:tab w:val="left" w:pos="2268"/>
        </w:tabs>
        <w:spacing w:before="100" w:after="100"/>
        <w:rPr>
          <w:b/>
        </w:rPr>
      </w:pPr>
      <w:r w:rsidRPr="00236C7B">
        <w:rPr>
          <w:b/>
        </w:rPr>
        <w:t>Preparations for the Conference</w:t>
      </w:r>
    </w:p>
    <w:p w14:paraId="156D3870" w14:textId="16500C13" w:rsidR="0028638E" w:rsidRDefault="00A21C8E"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Negotiations with Azerbaijan on the host country agreement will start </w:t>
      </w:r>
      <w:r w:rsidR="001969FB">
        <w:rPr>
          <w:lang w:val="en-US"/>
        </w:rPr>
        <w:t>shortly.</w:t>
      </w:r>
      <w:r>
        <w:rPr>
          <w:lang w:val="en-US"/>
        </w:rPr>
        <w:t xml:space="preserve"> </w:t>
      </w:r>
    </w:p>
    <w:p w14:paraId="09BF08A2" w14:textId="0AC4FB6E" w:rsidR="001861F9" w:rsidRPr="00EB3346" w:rsidRDefault="001861F9" w:rsidP="00853716">
      <w:pPr>
        <w:keepNext/>
        <w:numPr>
          <w:ilvl w:val="0"/>
          <w:numId w:val="2"/>
        </w:numPr>
        <w:tabs>
          <w:tab w:val="clear" w:pos="795"/>
          <w:tab w:val="clear" w:pos="1191"/>
          <w:tab w:val="clear" w:pos="1588"/>
          <w:tab w:val="clear" w:pos="1985"/>
          <w:tab w:val="left" w:pos="567"/>
          <w:tab w:val="left" w:pos="1134"/>
          <w:tab w:val="left" w:pos="1701"/>
          <w:tab w:val="left" w:pos="2268"/>
        </w:tabs>
        <w:spacing w:before="100" w:after="100"/>
        <w:rPr>
          <w:b/>
        </w:rPr>
      </w:pPr>
      <w:r>
        <w:rPr>
          <w:b/>
        </w:rPr>
        <w:t>Preparatory process</w:t>
      </w:r>
    </w:p>
    <w:p w14:paraId="00BAE973" w14:textId="6DD6447B" w:rsidR="001861F9" w:rsidRDefault="005D6350" w:rsidP="00853716">
      <w:pPr>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As per Resolution 31, six </w:t>
      </w:r>
      <w:r>
        <w:rPr>
          <w:b/>
          <w:bCs/>
          <w:lang w:val="en-US"/>
        </w:rPr>
        <w:t xml:space="preserve">Regional Preparatory Meetings (RPMs) </w:t>
      </w:r>
      <w:r>
        <w:rPr>
          <w:lang w:val="en-US"/>
        </w:rPr>
        <w:t>are being organized in each of the six regions</w:t>
      </w:r>
      <w:r w:rsidR="0087753D">
        <w:rPr>
          <w:lang w:val="en-US"/>
        </w:rPr>
        <w:t>, back-to-back with a one-day Regional Development Forum (RDF)</w:t>
      </w:r>
      <w:r>
        <w:rPr>
          <w:lang w:val="en-US"/>
        </w:rPr>
        <w:t>.</w:t>
      </w:r>
    </w:p>
    <w:p w14:paraId="3231954D" w14:textId="1276EA6F" w:rsidR="004A30C1" w:rsidRDefault="007F5ADF" w:rsidP="00853716">
      <w:pPr>
        <w:tabs>
          <w:tab w:val="clear" w:pos="794"/>
          <w:tab w:val="clear" w:pos="1191"/>
          <w:tab w:val="clear" w:pos="1588"/>
          <w:tab w:val="clear" w:pos="1985"/>
          <w:tab w:val="left" w:pos="567"/>
          <w:tab w:val="left" w:pos="1134"/>
          <w:tab w:val="left" w:pos="1701"/>
          <w:tab w:val="left" w:pos="2268"/>
        </w:tabs>
        <w:spacing w:before="100" w:after="100"/>
        <w:ind w:left="567"/>
        <w:rPr>
          <w:lang w:val="en-US"/>
        </w:rPr>
      </w:pPr>
      <w:r w:rsidRPr="007F5ADF">
        <w:rPr>
          <w:lang w:val="en-US"/>
        </w:rPr>
        <w:t xml:space="preserve">RPMs </w:t>
      </w:r>
      <w:r>
        <w:rPr>
          <w:lang w:val="en-US"/>
        </w:rPr>
        <w:t xml:space="preserve">seek to </w:t>
      </w:r>
      <w:r w:rsidRPr="007F5ADF">
        <w:rPr>
          <w:lang w:val="en-US"/>
        </w:rPr>
        <w:t xml:space="preserve">engage the membership in each region in the WTDC process, to encourage regional coordination before the conference. RPMs also </w:t>
      </w:r>
      <w:r>
        <w:rPr>
          <w:lang w:val="en-US"/>
        </w:rPr>
        <w:t>aim</w:t>
      </w:r>
      <w:r w:rsidRPr="007F5ADF">
        <w:rPr>
          <w:lang w:val="en-US"/>
        </w:rPr>
        <w:t xml:space="preserve"> to identify regional topics of </w:t>
      </w:r>
      <w:r w:rsidRPr="007F5ADF">
        <w:rPr>
          <w:lang w:val="en-US"/>
        </w:rPr>
        <w:lastRenderedPageBreak/>
        <w:t>interest and challenges that need to be addressed to foster the development of telecommunications/ICTs and help Member States and Sector Members set common priorities.</w:t>
      </w:r>
    </w:p>
    <w:p w14:paraId="234DA460" w14:textId="5DFA82B0" w:rsidR="0087753D" w:rsidRDefault="0087753D" w:rsidP="00853716">
      <w:pPr>
        <w:keepNext/>
        <w:tabs>
          <w:tab w:val="clear" w:pos="794"/>
          <w:tab w:val="clear" w:pos="1191"/>
          <w:tab w:val="clear" w:pos="1588"/>
          <w:tab w:val="clear" w:pos="1985"/>
          <w:tab w:val="left" w:pos="567"/>
          <w:tab w:val="left" w:pos="1134"/>
          <w:tab w:val="left" w:pos="1701"/>
          <w:tab w:val="left" w:pos="2268"/>
        </w:tabs>
        <w:spacing w:before="100" w:after="100"/>
        <w:ind w:left="567"/>
        <w:rPr>
          <w:lang w:val="en-US"/>
        </w:rPr>
      </w:pPr>
      <w:r>
        <w:rPr>
          <w:lang w:val="en-US"/>
        </w:rPr>
        <w:t xml:space="preserve">The </w:t>
      </w:r>
      <w:r w:rsidR="00A55D39">
        <w:rPr>
          <w:lang w:val="en-US"/>
        </w:rPr>
        <w:t>dates for the RDF and RPMs in each region are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3686"/>
        <w:gridCol w:w="2976"/>
      </w:tblGrid>
      <w:tr w:rsidR="00A61BE1" w:rsidRPr="00324E71" w14:paraId="7683B288" w14:textId="53BA320F" w:rsidTr="005817E8">
        <w:trPr>
          <w:jc w:val="center"/>
        </w:trPr>
        <w:tc>
          <w:tcPr>
            <w:tcW w:w="1838" w:type="dxa"/>
          </w:tcPr>
          <w:p w14:paraId="73734BC3" w14:textId="77777777" w:rsidR="00A61BE1" w:rsidRPr="00324E71" w:rsidRDefault="00A61BE1" w:rsidP="00853716">
            <w:pPr>
              <w:spacing w:before="20" w:after="20"/>
              <w:jc w:val="center"/>
              <w:rPr>
                <w:b/>
                <w:bCs/>
              </w:rPr>
            </w:pPr>
            <w:r w:rsidRPr="00324E71">
              <w:rPr>
                <w:b/>
                <w:bCs/>
              </w:rPr>
              <w:t>Region</w:t>
            </w:r>
          </w:p>
        </w:tc>
        <w:tc>
          <w:tcPr>
            <w:tcW w:w="3686" w:type="dxa"/>
          </w:tcPr>
          <w:p w14:paraId="292E7678" w14:textId="77777777" w:rsidR="00A61BE1" w:rsidRPr="00324E71" w:rsidRDefault="00A61BE1" w:rsidP="00853716">
            <w:pPr>
              <w:spacing w:before="20" w:after="20"/>
              <w:jc w:val="center"/>
              <w:rPr>
                <w:b/>
                <w:bCs/>
              </w:rPr>
            </w:pPr>
            <w:r w:rsidRPr="00324E71">
              <w:rPr>
                <w:b/>
                <w:bCs/>
              </w:rPr>
              <w:t>Dates proposed by BDT</w:t>
            </w:r>
          </w:p>
        </w:tc>
        <w:tc>
          <w:tcPr>
            <w:tcW w:w="2976" w:type="dxa"/>
          </w:tcPr>
          <w:p w14:paraId="291F47A3" w14:textId="1207E39E" w:rsidR="00A61BE1" w:rsidRPr="00324E71" w:rsidRDefault="00C37CA3" w:rsidP="00853716">
            <w:pPr>
              <w:spacing w:before="20" w:after="20"/>
              <w:jc w:val="center"/>
              <w:rPr>
                <w:b/>
                <w:bCs/>
              </w:rPr>
            </w:pPr>
            <w:r>
              <w:rPr>
                <w:b/>
                <w:bCs/>
              </w:rPr>
              <w:t>Host country</w:t>
            </w:r>
          </w:p>
        </w:tc>
      </w:tr>
      <w:tr w:rsidR="00A61BE1" w14:paraId="11FD1EB3" w14:textId="5FD1B604" w:rsidTr="005817E8">
        <w:trPr>
          <w:jc w:val="center"/>
        </w:trPr>
        <w:tc>
          <w:tcPr>
            <w:tcW w:w="1838" w:type="dxa"/>
          </w:tcPr>
          <w:p w14:paraId="796E30D2" w14:textId="77777777" w:rsidR="00A61BE1" w:rsidRPr="00360B0C" w:rsidRDefault="00A61BE1" w:rsidP="00853716">
            <w:pPr>
              <w:spacing w:before="20" w:after="20"/>
              <w:jc w:val="center"/>
              <w:rPr>
                <w:sz w:val="22"/>
                <w:szCs w:val="22"/>
              </w:rPr>
            </w:pPr>
            <w:r w:rsidRPr="00360B0C">
              <w:rPr>
                <w:sz w:val="22"/>
                <w:szCs w:val="22"/>
              </w:rPr>
              <w:t>ARB</w:t>
            </w:r>
          </w:p>
        </w:tc>
        <w:tc>
          <w:tcPr>
            <w:tcW w:w="3686" w:type="dxa"/>
          </w:tcPr>
          <w:p w14:paraId="1353D41D" w14:textId="66B7D669" w:rsidR="00A61BE1" w:rsidRPr="00360B0C" w:rsidRDefault="000E2E8F" w:rsidP="00853716">
            <w:pPr>
              <w:spacing w:before="20" w:after="20"/>
              <w:jc w:val="center"/>
              <w:rPr>
                <w:sz w:val="22"/>
                <w:szCs w:val="22"/>
              </w:rPr>
            </w:pPr>
            <w:r w:rsidRPr="00360B0C">
              <w:rPr>
                <w:sz w:val="22"/>
                <w:szCs w:val="22"/>
              </w:rPr>
              <w:t>3-5 February (tbc)</w:t>
            </w:r>
          </w:p>
        </w:tc>
        <w:tc>
          <w:tcPr>
            <w:tcW w:w="2976" w:type="dxa"/>
          </w:tcPr>
          <w:p w14:paraId="0B40963E" w14:textId="77777777" w:rsidR="00A61BE1" w:rsidRPr="00360B0C" w:rsidRDefault="00A61BE1" w:rsidP="00853716">
            <w:pPr>
              <w:spacing w:before="20" w:after="20"/>
              <w:jc w:val="center"/>
              <w:rPr>
                <w:sz w:val="22"/>
                <w:szCs w:val="22"/>
              </w:rPr>
            </w:pPr>
          </w:p>
        </w:tc>
      </w:tr>
      <w:tr w:rsidR="00A61BE1" w14:paraId="41874B67" w14:textId="1E705773" w:rsidTr="005817E8">
        <w:trPr>
          <w:jc w:val="center"/>
        </w:trPr>
        <w:tc>
          <w:tcPr>
            <w:tcW w:w="1838" w:type="dxa"/>
          </w:tcPr>
          <w:p w14:paraId="368F7B6A" w14:textId="77777777" w:rsidR="00A61BE1" w:rsidRPr="00360B0C" w:rsidRDefault="00A61BE1" w:rsidP="00853716">
            <w:pPr>
              <w:spacing w:before="20" w:after="20"/>
              <w:jc w:val="center"/>
              <w:rPr>
                <w:sz w:val="22"/>
                <w:szCs w:val="22"/>
              </w:rPr>
            </w:pPr>
            <w:r w:rsidRPr="00360B0C">
              <w:rPr>
                <w:sz w:val="22"/>
                <w:szCs w:val="22"/>
              </w:rPr>
              <w:t>EUR</w:t>
            </w:r>
          </w:p>
        </w:tc>
        <w:tc>
          <w:tcPr>
            <w:tcW w:w="3686" w:type="dxa"/>
          </w:tcPr>
          <w:p w14:paraId="397E68CD" w14:textId="77777777" w:rsidR="00A61BE1" w:rsidRPr="00360B0C" w:rsidRDefault="00A61BE1" w:rsidP="00853716">
            <w:pPr>
              <w:spacing w:before="20" w:after="20"/>
              <w:jc w:val="center"/>
              <w:rPr>
                <w:sz w:val="22"/>
                <w:szCs w:val="22"/>
              </w:rPr>
            </w:pPr>
            <w:r w:rsidRPr="00360B0C">
              <w:rPr>
                <w:sz w:val="22"/>
                <w:szCs w:val="22"/>
              </w:rPr>
              <w:t>24-26 February</w:t>
            </w:r>
          </w:p>
        </w:tc>
        <w:tc>
          <w:tcPr>
            <w:tcW w:w="2976" w:type="dxa"/>
          </w:tcPr>
          <w:p w14:paraId="56D7A048" w14:textId="77777777" w:rsidR="00A61BE1" w:rsidRPr="00360B0C" w:rsidRDefault="00A61BE1" w:rsidP="00853716">
            <w:pPr>
              <w:spacing w:before="20" w:after="20"/>
              <w:jc w:val="center"/>
              <w:rPr>
                <w:sz w:val="22"/>
                <w:szCs w:val="22"/>
              </w:rPr>
            </w:pPr>
          </w:p>
        </w:tc>
      </w:tr>
      <w:tr w:rsidR="00A61BE1" w14:paraId="7BFE26F5" w14:textId="359CD27C" w:rsidTr="005817E8">
        <w:trPr>
          <w:jc w:val="center"/>
        </w:trPr>
        <w:tc>
          <w:tcPr>
            <w:tcW w:w="1838" w:type="dxa"/>
          </w:tcPr>
          <w:p w14:paraId="7E647A77" w14:textId="77777777" w:rsidR="00A61BE1" w:rsidRPr="00360B0C" w:rsidRDefault="00A61BE1" w:rsidP="00853716">
            <w:pPr>
              <w:spacing w:before="20" w:after="20"/>
              <w:jc w:val="center"/>
              <w:rPr>
                <w:sz w:val="22"/>
                <w:szCs w:val="22"/>
              </w:rPr>
            </w:pPr>
            <w:r w:rsidRPr="00360B0C">
              <w:rPr>
                <w:sz w:val="22"/>
                <w:szCs w:val="22"/>
              </w:rPr>
              <w:t>ASP</w:t>
            </w:r>
          </w:p>
        </w:tc>
        <w:tc>
          <w:tcPr>
            <w:tcW w:w="3686" w:type="dxa"/>
          </w:tcPr>
          <w:p w14:paraId="6FBB3571" w14:textId="35A96897" w:rsidR="00A61BE1" w:rsidRPr="00360B0C" w:rsidRDefault="00633B9F" w:rsidP="00853716">
            <w:pPr>
              <w:spacing w:before="20" w:after="20"/>
              <w:jc w:val="center"/>
              <w:rPr>
                <w:sz w:val="22"/>
                <w:szCs w:val="22"/>
              </w:rPr>
            </w:pPr>
            <w:r w:rsidRPr="00360B0C">
              <w:rPr>
                <w:sz w:val="22"/>
                <w:szCs w:val="22"/>
              </w:rPr>
              <w:t>17-19 March (tbc)</w:t>
            </w:r>
          </w:p>
        </w:tc>
        <w:tc>
          <w:tcPr>
            <w:tcW w:w="2976" w:type="dxa"/>
          </w:tcPr>
          <w:p w14:paraId="5C43AB3F" w14:textId="77777777" w:rsidR="00A61BE1" w:rsidRPr="00360B0C" w:rsidRDefault="00A61BE1" w:rsidP="00853716">
            <w:pPr>
              <w:spacing w:before="20" w:after="20"/>
              <w:jc w:val="center"/>
              <w:rPr>
                <w:sz w:val="22"/>
                <w:szCs w:val="22"/>
              </w:rPr>
            </w:pPr>
          </w:p>
        </w:tc>
      </w:tr>
      <w:tr w:rsidR="00423424" w14:paraId="2AD56BCF" w14:textId="77777777" w:rsidTr="00DA56F6">
        <w:trPr>
          <w:jc w:val="center"/>
        </w:trPr>
        <w:tc>
          <w:tcPr>
            <w:tcW w:w="1838" w:type="dxa"/>
          </w:tcPr>
          <w:p w14:paraId="7C95E89B" w14:textId="1CF233AA" w:rsidR="00423424" w:rsidRPr="00360B0C" w:rsidRDefault="00423424" w:rsidP="00853716">
            <w:pPr>
              <w:spacing w:before="20" w:after="20"/>
              <w:jc w:val="center"/>
              <w:rPr>
                <w:sz w:val="22"/>
                <w:szCs w:val="22"/>
              </w:rPr>
            </w:pPr>
            <w:r w:rsidRPr="00360B0C">
              <w:rPr>
                <w:sz w:val="22"/>
                <w:szCs w:val="22"/>
              </w:rPr>
              <w:t>AMS</w:t>
            </w:r>
          </w:p>
        </w:tc>
        <w:tc>
          <w:tcPr>
            <w:tcW w:w="3686" w:type="dxa"/>
          </w:tcPr>
          <w:p w14:paraId="1E096A63" w14:textId="057049AB" w:rsidR="00423424" w:rsidRPr="00360B0C" w:rsidRDefault="00423424" w:rsidP="00853716">
            <w:pPr>
              <w:spacing w:before="20" w:after="20"/>
              <w:jc w:val="center"/>
              <w:rPr>
                <w:sz w:val="22"/>
                <w:szCs w:val="22"/>
              </w:rPr>
            </w:pPr>
            <w:r w:rsidRPr="00360B0C">
              <w:rPr>
                <w:sz w:val="22"/>
                <w:szCs w:val="22"/>
              </w:rPr>
              <w:t>31 March-2 April (tbc)</w:t>
            </w:r>
          </w:p>
        </w:tc>
        <w:tc>
          <w:tcPr>
            <w:tcW w:w="2976" w:type="dxa"/>
          </w:tcPr>
          <w:p w14:paraId="6A4316FA" w14:textId="51A7A916" w:rsidR="00423424" w:rsidRPr="00360B0C" w:rsidRDefault="00F95681" w:rsidP="00853716">
            <w:pPr>
              <w:spacing w:before="20" w:after="20"/>
              <w:jc w:val="center"/>
              <w:rPr>
                <w:sz w:val="22"/>
                <w:szCs w:val="22"/>
              </w:rPr>
            </w:pPr>
            <w:r>
              <w:rPr>
                <w:sz w:val="22"/>
                <w:szCs w:val="22"/>
              </w:rPr>
              <w:t>To be determined</w:t>
            </w:r>
          </w:p>
        </w:tc>
      </w:tr>
      <w:tr w:rsidR="00F95681" w14:paraId="768EB112" w14:textId="77777777" w:rsidTr="00DA56F6">
        <w:trPr>
          <w:jc w:val="center"/>
        </w:trPr>
        <w:tc>
          <w:tcPr>
            <w:tcW w:w="1838" w:type="dxa"/>
          </w:tcPr>
          <w:p w14:paraId="4A7DAAA2" w14:textId="1E73F370" w:rsidR="00F95681" w:rsidRPr="00360B0C" w:rsidRDefault="00F95681" w:rsidP="00853716">
            <w:pPr>
              <w:spacing w:before="20" w:after="20"/>
              <w:jc w:val="center"/>
              <w:rPr>
                <w:sz w:val="22"/>
                <w:szCs w:val="22"/>
              </w:rPr>
            </w:pPr>
            <w:r w:rsidRPr="00360B0C">
              <w:rPr>
                <w:sz w:val="22"/>
                <w:szCs w:val="22"/>
              </w:rPr>
              <w:t>AFR</w:t>
            </w:r>
          </w:p>
        </w:tc>
        <w:tc>
          <w:tcPr>
            <w:tcW w:w="3686" w:type="dxa"/>
          </w:tcPr>
          <w:p w14:paraId="5207D4D4" w14:textId="3FC6E748" w:rsidR="00F95681" w:rsidRPr="00360B0C" w:rsidRDefault="00F95681" w:rsidP="00853716">
            <w:pPr>
              <w:spacing w:before="20" w:after="20"/>
              <w:jc w:val="center"/>
              <w:rPr>
                <w:sz w:val="22"/>
                <w:szCs w:val="22"/>
              </w:rPr>
            </w:pPr>
            <w:r w:rsidRPr="00360B0C">
              <w:rPr>
                <w:sz w:val="22"/>
                <w:szCs w:val="22"/>
              </w:rPr>
              <w:t>7-11 April (tbc)</w:t>
            </w:r>
          </w:p>
        </w:tc>
        <w:tc>
          <w:tcPr>
            <w:tcW w:w="2976" w:type="dxa"/>
          </w:tcPr>
          <w:p w14:paraId="117CA9E7" w14:textId="77777777" w:rsidR="00F95681" w:rsidRPr="00360B0C" w:rsidRDefault="00F95681" w:rsidP="00853716">
            <w:pPr>
              <w:spacing w:before="20" w:after="20"/>
              <w:jc w:val="center"/>
              <w:rPr>
                <w:sz w:val="22"/>
                <w:szCs w:val="22"/>
              </w:rPr>
            </w:pPr>
          </w:p>
        </w:tc>
      </w:tr>
      <w:tr w:rsidR="00F95681" w14:paraId="7EBC657C" w14:textId="3AC92B22" w:rsidTr="005817E8">
        <w:trPr>
          <w:jc w:val="center"/>
        </w:trPr>
        <w:tc>
          <w:tcPr>
            <w:tcW w:w="1838" w:type="dxa"/>
          </w:tcPr>
          <w:p w14:paraId="60298F65" w14:textId="77777777" w:rsidR="00F95681" w:rsidRPr="00360B0C" w:rsidRDefault="00F95681" w:rsidP="00853716">
            <w:pPr>
              <w:spacing w:before="20" w:after="20"/>
              <w:jc w:val="center"/>
              <w:rPr>
                <w:sz w:val="22"/>
                <w:szCs w:val="22"/>
              </w:rPr>
            </w:pPr>
            <w:r w:rsidRPr="00360B0C">
              <w:rPr>
                <w:sz w:val="22"/>
                <w:szCs w:val="22"/>
              </w:rPr>
              <w:t>CIS</w:t>
            </w:r>
          </w:p>
        </w:tc>
        <w:tc>
          <w:tcPr>
            <w:tcW w:w="3686" w:type="dxa"/>
          </w:tcPr>
          <w:p w14:paraId="356F026A" w14:textId="4CA39DE8" w:rsidR="00F95681" w:rsidRPr="00360B0C" w:rsidRDefault="00F95681" w:rsidP="00853716">
            <w:pPr>
              <w:spacing w:before="20" w:after="20"/>
              <w:jc w:val="center"/>
              <w:rPr>
                <w:sz w:val="22"/>
                <w:szCs w:val="22"/>
              </w:rPr>
            </w:pPr>
            <w:r w:rsidRPr="00360B0C">
              <w:rPr>
                <w:sz w:val="22"/>
                <w:szCs w:val="22"/>
              </w:rPr>
              <w:t>23-24 April (tbc)</w:t>
            </w:r>
          </w:p>
        </w:tc>
        <w:tc>
          <w:tcPr>
            <w:tcW w:w="2976" w:type="dxa"/>
          </w:tcPr>
          <w:p w14:paraId="528877DD" w14:textId="77777777" w:rsidR="00F95681" w:rsidRPr="00360B0C" w:rsidRDefault="00F95681" w:rsidP="00853716">
            <w:pPr>
              <w:spacing w:before="20" w:after="20"/>
              <w:jc w:val="center"/>
              <w:rPr>
                <w:sz w:val="22"/>
                <w:szCs w:val="22"/>
              </w:rPr>
            </w:pPr>
          </w:p>
        </w:tc>
      </w:tr>
    </w:tbl>
    <w:p w14:paraId="0146C16C" w14:textId="219697E3" w:rsidR="00A86A5D" w:rsidRDefault="00A86A5D" w:rsidP="00853716">
      <w:pPr>
        <w:numPr>
          <w:ilvl w:val="1"/>
          <w:numId w:val="2"/>
        </w:numPr>
        <w:tabs>
          <w:tab w:val="clear" w:pos="794"/>
          <w:tab w:val="clear" w:pos="1191"/>
          <w:tab w:val="clear" w:pos="1588"/>
          <w:tab w:val="clear" w:pos="1985"/>
          <w:tab w:val="left" w:pos="567"/>
          <w:tab w:val="left" w:pos="1134"/>
          <w:tab w:val="left" w:pos="1701"/>
          <w:tab w:val="left" w:pos="2268"/>
        </w:tabs>
        <w:spacing w:after="120"/>
        <w:ind w:left="567" w:hanging="567"/>
        <w:rPr>
          <w:lang w:val="en-US"/>
        </w:rPr>
      </w:pPr>
      <w:r>
        <w:rPr>
          <w:lang w:val="en-US"/>
        </w:rPr>
        <w:t xml:space="preserve">An </w:t>
      </w:r>
      <w:r w:rsidRPr="0028638E">
        <w:rPr>
          <w:b/>
          <w:bCs/>
          <w:lang w:val="en-US"/>
        </w:rPr>
        <w:t>RPM Coordination Meeting</w:t>
      </w:r>
      <w:r>
        <w:rPr>
          <w:lang w:val="en-US"/>
        </w:rPr>
        <w:t xml:space="preserve"> will be held</w:t>
      </w:r>
      <w:r w:rsidR="009E3F2A">
        <w:rPr>
          <w:lang w:val="en-US"/>
        </w:rPr>
        <w:t xml:space="preserve"> on </w:t>
      </w:r>
      <w:r w:rsidR="00C96F79">
        <w:rPr>
          <w:lang w:val="en-US"/>
        </w:rPr>
        <w:t xml:space="preserve">12 May 2025, </w:t>
      </w:r>
      <w:r w:rsidR="00DB0619">
        <w:rPr>
          <w:lang w:val="en-US"/>
        </w:rPr>
        <w:t xml:space="preserve">also in accordance with Resolution 31, </w:t>
      </w:r>
      <w:r w:rsidR="00C96F79">
        <w:rPr>
          <w:lang w:val="en-US"/>
        </w:rPr>
        <w:t xml:space="preserve">back-to-back with the Telecommunication </w:t>
      </w:r>
      <w:r w:rsidR="00330126">
        <w:rPr>
          <w:lang w:val="en-US"/>
        </w:rPr>
        <w:t>Development Advisory Group (TDAG)</w:t>
      </w:r>
      <w:r w:rsidR="00DB0619">
        <w:rPr>
          <w:lang w:val="en-US"/>
        </w:rPr>
        <w:t>, which is scheduled for 12-16 May 2025</w:t>
      </w:r>
      <w:r w:rsidR="00330126">
        <w:rPr>
          <w:lang w:val="en-US"/>
        </w:rPr>
        <w:t>, in ITU headquarters, in Geneva</w:t>
      </w:r>
      <w:r w:rsidR="00B401F6">
        <w:rPr>
          <w:lang w:val="en-US"/>
        </w:rPr>
        <w:t>.</w:t>
      </w:r>
      <w:r w:rsidR="00C23F76">
        <w:rPr>
          <w:lang w:val="en-US"/>
        </w:rPr>
        <w:t xml:space="preserve"> </w:t>
      </w:r>
    </w:p>
    <w:p w14:paraId="4E4FB42A" w14:textId="0BE63B2A" w:rsidR="00B401F6" w:rsidRDefault="00B401F6" w:rsidP="00853716">
      <w:pPr>
        <w:keepNext/>
        <w:numPr>
          <w:ilvl w:val="1"/>
          <w:numId w:val="2"/>
        </w:numPr>
        <w:tabs>
          <w:tab w:val="clear" w:pos="794"/>
          <w:tab w:val="clear" w:pos="1191"/>
          <w:tab w:val="clear" w:pos="1588"/>
          <w:tab w:val="clear" w:pos="1985"/>
          <w:tab w:val="left" w:pos="567"/>
          <w:tab w:val="left" w:pos="1134"/>
          <w:tab w:val="left" w:pos="1701"/>
          <w:tab w:val="left" w:pos="2268"/>
        </w:tabs>
        <w:spacing w:after="120"/>
        <w:ind w:left="567" w:hanging="567"/>
        <w:rPr>
          <w:lang w:val="en-US"/>
        </w:rPr>
      </w:pPr>
      <w:r>
        <w:rPr>
          <w:lang w:val="en-US"/>
        </w:rPr>
        <w:t xml:space="preserve">Based on </w:t>
      </w:r>
      <w:r w:rsidR="00DB0619">
        <w:rPr>
          <w:lang w:val="en-US"/>
        </w:rPr>
        <w:t xml:space="preserve">well-accepted </w:t>
      </w:r>
      <w:r>
        <w:rPr>
          <w:lang w:val="en-US"/>
        </w:rPr>
        <w:t xml:space="preserve">practice during the 2017-2022 cycle and further to the good feedback from membership, </w:t>
      </w:r>
      <w:r w:rsidR="00AE5B8F">
        <w:rPr>
          <w:lang w:val="en-US"/>
        </w:rPr>
        <w:t xml:space="preserve">two </w:t>
      </w:r>
      <w:r w:rsidR="00AE5B8F">
        <w:rPr>
          <w:b/>
          <w:bCs/>
          <w:lang w:val="en-US"/>
        </w:rPr>
        <w:t>Inter-Regional Meetings (IRMs)</w:t>
      </w:r>
      <w:r w:rsidR="00AE5B8F">
        <w:rPr>
          <w:lang w:val="en-US"/>
        </w:rPr>
        <w:t xml:space="preserve"> to prepare for WTDC-25 are scheduled to take place as follows: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4677"/>
      </w:tblGrid>
      <w:tr w:rsidR="00074A83" w14:paraId="7538A431" w14:textId="77777777" w:rsidTr="003C6164">
        <w:trPr>
          <w:jc w:val="center"/>
        </w:trPr>
        <w:tc>
          <w:tcPr>
            <w:tcW w:w="1555" w:type="dxa"/>
          </w:tcPr>
          <w:p w14:paraId="45BE876E" w14:textId="360B6730" w:rsidR="00074A83" w:rsidRPr="003373E4" w:rsidRDefault="00257273" w:rsidP="00046449">
            <w:pPr>
              <w:keepNext/>
              <w:tabs>
                <w:tab w:val="clear" w:pos="794"/>
                <w:tab w:val="clear" w:pos="1191"/>
                <w:tab w:val="clear" w:pos="1588"/>
                <w:tab w:val="clear" w:pos="1985"/>
                <w:tab w:val="left" w:pos="567"/>
                <w:tab w:val="left" w:pos="1134"/>
                <w:tab w:val="left" w:pos="1701"/>
                <w:tab w:val="left" w:pos="2268"/>
              </w:tabs>
              <w:spacing w:before="40" w:after="40"/>
              <w:rPr>
                <w:sz w:val="22"/>
                <w:szCs w:val="22"/>
                <w:lang w:val="en-US"/>
              </w:rPr>
            </w:pPr>
            <w:r w:rsidRPr="003373E4">
              <w:rPr>
                <w:sz w:val="22"/>
                <w:szCs w:val="22"/>
                <w:lang w:val="en-US"/>
              </w:rPr>
              <w:t>IRM-1</w:t>
            </w:r>
          </w:p>
        </w:tc>
        <w:tc>
          <w:tcPr>
            <w:tcW w:w="4677" w:type="dxa"/>
          </w:tcPr>
          <w:p w14:paraId="395E643F" w14:textId="0D4823CF" w:rsidR="00074A83" w:rsidRPr="003373E4" w:rsidRDefault="00257273" w:rsidP="00046449">
            <w:pPr>
              <w:keepNext/>
              <w:tabs>
                <w:tab w:val="clear" w:pos="794"/>
                <w:tab w:val="clear" w:pos="1191"/>
                <w:tab w:val="clear" w:pos="1588"/>
                <w:tab w:val="clear" w:pos="1985"/>
                <w:tab w:val="left" w:pos="567"/>
                <w:tab w:val="left" w:pos="1134"/>
                <w:tab w:val="left" w:pos="1701"/>
                <w:tab w:val="left" w:pos="2268"/>
              </w:tabs>
              <w:spacing w:before="40" w:after="40"/>
              <w:rPr>
                <w:sz w:val="22"/>
                <w:szCs w:val="22"/>
                <w:lang w:val="en-US"/>
              </w:rPr>
            </w:pPr>
            <w:r w:rsidRPr="003373E4">
              <w:rPr>
                <w:sz w:val="22"/>
                <w:szCs w:val="22"/>
                <w:lang w:val="en-US"/>
              </w:rPr>
              <w:t>14-15 July 202</w:t>
            </w:r>
            <w:r w:rsidR="003C6164" w:rsidRPr="003373E4">
              <w:rPr>
                <w:sz w:val="22"/>
                <w:szCs w:val="22"/>
                <w:lang w:val="en-US"/>
              </w:rPr>
              <w:t>5</w:t>
            </w:r>
            <w:r w:rsidR="008345A9" w:rsidRPr="003373E4">
              <w:rPr>
                <w:sz w:val="22"/>
                <w:szCs w:val="22"/>
                <w:lang w:val="en-US"/>
              </w:rPr>
              <w:t>, Geneva, Switzerland</w:t>
            </w:r>
          </w:p>
        </w:tc>
      </w:tr>
      <w:tr w:rsidR="00074A83" w14:paraId="585D63E8" w14:textId="77777777" w:rsidTr="003C6164">
        <w:trPr>
          <w:jc w:val="center"/>
        </w:trPr>
        <w:tc>
          <w:tcPr>
            <w:tcW w:w="1555" w:type="dxa"/>
          </w:tcPr>
          <w:p w14:paraId="18FFEDCE" w14:textId="0397065C" w:rsidR="00074A83" w:rsidRPr="003373E4" w:rsidRDefault="008345A9" w:rsidP="00046449">
            <w:pPr>
              <w:tabs>
                <w:tab w:val="clear" w:pos="794"/>
                <w:tab w:val="clear" w:pos="1191"/>
                <w:tab w:val="clear" w:pos="1588"/>
                <w:tab w:val="clear" w:pos="1985"/>
                <w:tab w:val="left" w:pos="567"/>
                <w:tab w:val="left" w:pos="1134"/>
                <w:tab w:val="left" w:pos="1701"/>
                <w:tab w:val="left" w:pos="2268"/>
              </w:tabs>
              <w:spacing w:before="40" w:after="40"/>
              <w:rPr>
                <w:sz w:val="22"/>
                <w:szCs w:val="22"/>
                <w:lang w:val="en-US"/>
              </w:rPr>
            </w:pPr>
            <w:r w:rsidRPr="003373E4">
              <w:rPr>
                <w:sz w:val="22"/>
                <w:szCs w:val="22"/>
                <w:lang w:val="en-US"/>
              </w:rPr>
              <w:t>IRM-2</w:t>
            </w:r>
          </w:p>
        </w:tc>
        <w:tc>
          <w:tcPr>
            <w:tcW w:w="4677" w:type="dxa"/>
          </w:tcPr>
          <w:p w14:paraId="2D52B102" w14:textId="2A624DDB" w:rsidR="00074A83" w:rsidRPr="003373E4" w:rsidRDefault="003C6164" w:rsidP="00046449">
            <w:pPr>
              <w:tabs>
                <w:tab w:val="clear" w:pos="794"/>
                <w:tab w:val="clear" w:pos="1191"/>
                <w:tab w:val="clear" w:pos="1588"/>
                <w:tab w:val="clear" w:pos="1985"/>
                <w:tab w:val="left" w:pos="567"/>
                <w:tab w:val="left" w:pos="1134"/>
                <w:tab w:val="left" w:pos="1701"/>
                <w:tab w:val="left" w:pos="2268"/>
              </w:tabs>
              <w:spacing w:before="40" w:after="40"/>
              <w:rPr>
                <w:sz w:val="22"/>
                <w:szCs w:val="22"/>
                <w:lang w:val="en-US"/>
              </w:rPr>
            </w:pPr>
            <w:r w:rsidRPr="003373E4">
              <w:rPr>
                <w:sz w:val="22"/>
                <w:szCs w:val="22"/>
                <w:lang w:val="en-US"/>
              </w:rPr>
              <w:t>29-30 September 2025, Geneva, Switzerland</w:t>
            </w:r>
          </w:p>
        </w:tc>
      </w:tr>
    </w:tbl>
    <w:p w14:paraId="04178A23" w14:textId="77777777" w:rsidR="0043109E" w:rsidRPr="0043109E" w:rsidRDefault="0043109E" w:rsidP="00853716">
      <w:pPr>
        <w:tabs>
          <w:tab w:val="clear" w:pos="794"/>
          <w:tab w:val="clear" w:pos="1191"/>
          <w:tab w:val="clear" w:pos="1588"/>
          <w:tab w:val="clear" w:pos="1985"/>
          <w:tab w:val="left" w:pos="567"/>
          <w:tab w:val="left" w:pos="1134"/>
          <w:tab w:val="left" w:pos="1701"/>
          <w:tab w:val="left" w:pos="2268"/>
        </w:tabs>
        <w:spacing w:before="100" w:after="100"/>
        <w:ind w:left="567"/>
      </w:pPr>
      <w:r w:rsidRPr="0043109E">
        <w:t xml:space="preserve">IRMs are open to all ITU-D membership. Member States are encouraged to include in their delegations, representatives from regulators, </w:t>
      </w:r>
      <w:proofErr w:type="gramStart"/>
      <w:r w:rsidRPr="0043109E">
        <w:t>policy-makers</w:t>
      </w:r>
      <w:proofErr w:type="gramEnd"/>
      <w:r w:rsidRPr="0043109E">
        <w:t>, civil society, academia, Internet technical community, youth, gender equality organizations, and others.</w:t>
      </w:r>
    </w:p>
    <w:p w14:paraId="69B70EE0" w14:textId="161B08CE" w:rsidR="00EC6FED" w:rsidRDefault="0043109E" w:rsidP="00853716">
      <w:pPr>
        <w:tabs>
          <w:tab w:val="clear" w:pos="794"/>
          <w:tab w:val="clear" w:pos="1191"/>
          <w:tab w:val="clear" w:pos="1588"/>
          <w:tab w:val="clear" w:pos="1985"/>
          <w:tab w:val="left" w:pos="567"/>
          <w:tab w:val="left" w:pos="1134"/>
          <w:tab w:val="left" w:pos="1701"/>
          <w:tab w:val="left" w:pos="2268"/>
        </w:tabs>
        <w:spacing w:before="100" w:after="100"/>
        <w:ind w:left="567"/>
        <w:rPr>
          <w:bCs/>
          <w:lang w:val="en-US"/>
        </w:rPr>
      </w:pPr>
      <w:r w:rsidRPr="0043109E">
        <w:rPr>
          <w:lang w:val="en-US"/>
        </w:rPr>
        <w:t xml:space="preserve">IRM </w:t>
      </w:r>
      <w:r w:rsidRPr="0043109E">
        <w:rPr>
          <w:bCs/>
          <w:lang w:val="en-US"/>
        </w:rPr>
        <w:t>agendas are built around key discussions taking place during RPMs, and may include proposals from Member States, Sector Members, Regional Telecommunication Organizations (RTOs), BDT and other stakeholders. Discussions focus on key topics that require coordination and consensus between the different regions.</w:t>
      </w:r>
    </w:p>
    <w:p w14:paraId="2F190BD1" w14:textId="33AF5CC0" w:rsidR="00FB4D7D" w:rsidRDefault="00FB6E77" w:rsidP="00853716">
      <w:pPr>
        <w:keepNext/>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At its 2023 meeting, TDAG created</w:t>
      </w:r>
      <w:r w:rsidR="0016328F">
        <w:rPr>
          <w:lang w:val="en-US"/>
        </w:rPr>
        <w:t xml:space="preserve"> two working groups to start the preparations for WTDC-25:</w:t>
      </w:r>
    </w:p>
    <w:p w14:paraId="55803CA6" w14:textId="64B0658E" w:rsidR="0016328F" w:rsidRDefault="0016328F" w:rsidP="00853716">
      <w:pPr>
        <w:pStyle w:val="ListParagraph"/>
        <w:numPr>
          <w:ilvl w:val="0"/>
          <w:numId w:val="5"/>
        </w:numPr>
        <w:tabs>
          <w:tab w:val="left" w:pos="567"/>
          <w:tab w:val="left" w:pos="1701"/>
        </w:tabs>
        <w:spacing w:before="100" w:after="100"/>
        <w:ind w:left="1134" w:hanging="567"/>
        <w:contextualSpacing w:val="0"/>
        <w:rPr>
          <w:lang w:val="en-US"/>
        </w:rPr>
      </w:pPr>
      <w:r w:rsidRPr="002C50F2">
        <w:rPr>
          <w:b/>
          <w:bCs/>
          <w:lang w:val="en-US"/>
        </w:rPr>
        <w:t>TDAG</w:t>
      </w:r>
      <w:r w:rsidR="00055E66" w:rsidRPr="002C50F2">
        <w:rPr>
          <w:b/>
          <w:bCs/>
          <w:lang w:val="en-US"/>
        </w:rPr>
        <w:t xml:space="preserve"> Working Group on the future of Study Group Questions (</w:t>
      </w:r>
      <w:hyperlink r:id="rId16" w:history="1">
        <w:r w:rsidR="00055E66" w:rsidRPr="002C50F2">
          <w:rPr>
            <w:rStyle w:val="Hyperlink"/>
            <w:b/>
            <w:bCs/>
            <w:lang w:val="en-US"/>
          </w:rPr>
          <w:t>TDAG-WG-</w:t>
        </w:r>
        <w:proofErr w:type="spellStart"/>
        <w:r w:rsidR="00055E66" w:rsidRPr="002C50F2">
          <w:rPr>
            <w:rStyle w:val="Hyperlink"/>
            <w:b/>
            <w:bCs/>
            <w:lang w:val="en-US"/>
          </w:rPr>
          <w:t>futureSGQ</w:t>
        </w:r>
        <w:proofErr w:type="spellEnd"/>
      </w:hyperlink>
      <w:r w:rsidR="00055E66" w:rsidRPr="002C50F2">
        <w:rPr>
          <w:b/>
          <w:bCs/>
          <w:lang w:val="en-US"/>
        </w:rPr>
        <w:t>)</w:t>
      </w:r>
      <w:r w:rsidR="00055E66">
        <w:rPr>
          <w:lang w:val="en-US"/>
        </w:rPr>
        <w:t>, chaired by Dr Ahmad R. Sharafat (Iran).</w:t>
      </w:r>
      <w:r w:rsidR="00004C53">
        <w:rPr>
          <w:lang w:val="en-US"/>
        </w:rPr>
        <w:t xml:space="preserve"> </w:t>
      </w:r>
      <w:r w:rsidR="00055E66">
        <w:rPr>
          <w:lang w:val="en-US"/>
        </w:rPr>
        <w:t xml:space="preserve">The </w:t>
      </w:r>
      <w:r w:rsidR="002D7097">
        <w:rPr>
          <w:lang w:val="en-US"/>
        </w:rPr>
        <w:t>G</w:t>
      </w:r>
      <w:r w:rsidR="00055E66">
        <w:rPr>
          <w:lang w:val="en-US"/>
        </w:rPr>
        <w:t>roup held its first meeting on 4</w:t>
      </w:r>
      <w:r w:rsidR="00F233BF">
        <w:rPr>
          <w:lang w:val="en-US"/>
        </w:rPr>
        <w:t> </w:t>
      </w:r>
      <w:r w:rsidR="00055E66">
        <w:rPr>
          <w:lang w:val="en-US"/>
        </w:rPr>
        <w:t xml:space="preserve">March and agreed the </w:t>
      </w:r>
      <w:r w:rsidR="002D7097">
        <w:rPr>
          <w:lang w:val="en-US"/>
        </w:rPr>
        <w:t>Terms of Reference, which will be submitted to TDAG-24 for approval.</w:t>
      </w:r>
      <w:r w:rsidR="00004C53">
        <w:rPr>
          <w:lang w:val="en-US"/>
        </w:rPr>
        <w:t xml:space="preserve"> </w:t>
      </w:r>
      <w:r w:rsidR="002D7097">
        <w:rPr>
          <w:lang w:val="en-US"/>
        </w:rPr>
        <w:t xml:space="preserve">The Group </w:t>
      </w:r>
      <w:r w:rsidR="00B37CE7">
        <w:rPr>
          <w:lang w:val="en-US"/>
        </w:rPr>
        <w:t>has also agreed a calendar of meetings to advance its work.</w:t>
      </w:r>
      <w:r w:rsidR="00004C53">
        <w:rPr>
          <w:lang w:val="en-US"/>
        </w:rPr>
        <w:t xml:space="preserve"> </w:t>
      </w:r>
      <w:r w:rsidR="00F233BF">
        <w:rPr>
          <w:lang w:val="en-US"/>
        </w:rPr>
        <w:t>D</w:t>
      </w:r>
      <w:r w:rsidR="00B37CE7">
        <w:rPr>
          <w:lang w:val="en-US"/>
        </w:rPr>
        <w:t xml:space="preserve">ocument </w:t>
      </w:r>
      <w:hyperlink r:id="rId17" w:history="1">
        <w:r w:rsidR="00F233BF" w:rsidRPr="00F233BF">
          <w:rPr>
            <w:rStyle w:val="Hyperlink"/>
            <w:lang w:val="en-US"/>
          </w:rPr>
          <w:t>TDAG-24/25</w:t>
        </w:r>
      </w:hyperlink>
      <w:r w:rsidR="00F233BF">
        <w:rPr>
          <w:lang w:val="en-US"/>
        </w:rPr>
        <w:t xml:space="preserve"> </w:t>
      </w:r>
      <w:r w:rsidR="00B37CE7">
        <w:rPr>
          <w:lang w:val="en-US"/>
        </w:rPr>
        <w:t xml:space="preserve">with the progress of the work is presented to </w:t>
      </w:r>
      <w:r w:rsidR="00F233BF">
        <w:rPr>
          <w:lang w:val="en-US"/>
        </w:rPr>
        <w:t xml:space="preserve">the </w:t>
      </w:r>
      <w:r w:rsidR="008410BD">
        <w:rPr>
          <w:lang w:val="en-US"/>
        </w:rPr>
        <w:t xml:space="preserve">2024 </w:t>
      </w:r>
      <w:r w:rsidR="00B37CE7">
        <w:rPr>
          <w:lang w:val="en-US"/>
        </w:rPr>
        <w:t>TDAG.</w:t>
      </w:r>
    </w:p>
    <w:p w14:paraId="18866781" w14:textId="5772ECDD" w:rsidR="00F233BF" w:rsidRPr="0016328F" w:rsidRDefault="00E42EF6" w:rsidP="00853716">
      <w:pPr>
        <w:pStyle w:val="ListParagraph"/>
        <w:numPr>
          <w:ilvl w:val="0"/>
          <w:numId w:val="5"/>
        </w:numPr>
        <w:tabs>
          <w:tab w:val="left" w:pos="567"/>
          <w:tab w:val="left" w:pos="1701"/>
        </w:tabs>
        <w:spacing w:before="100" w:after="100"/>
        <w:ind w:left="1134" w:hanging="567"/>
        <w:contextualSpacing w:val="0"/>
        <w:rPr>
          <w:lang w:val="en-US"/>
        </w:rPr>
      </w:pPr>
      <w:r w:rsidRPr="002C50F2">
        <w:rPr>
          <w:b/>
          <w:bCs/>
          <w:lang w:val="en-US"/>
        </w:rPr>
        <w:t>TDAG Working Group on Streamlining Resolutions (</w:t>
      </w:r>
      <w:hyperlink r:id="rId18" w:history="1">
        <w:r w:rsidRPr="002C50F2">
          <w:rPr>
            <w:rStyle w:val="Hyperlink"/>
            <w:b/>
            <w:bCs/>
            <w:lang w:val="en-US"/>
          </w:rPr>
          <w:t>TDAG-WG-</w:t>
        </w:r>
        <w:proofErr w:type="spellStart"/>
        <w:r w:rsidRPr="002C50F2">
          <w:rPr>
            <w:rStyle w:val="Hyperlink"/>
            <w:b/>
            <w:bCs/>
            <w:lang w:val="en-US"/>
          </w:rPr>
          <w:t>StreamRes</w:t>
        </w:r>
        <w:proofErr w:type="spellEnd"/>
      </w:hyperlink>
      <w:r w:rsidRPr="002C50F2">
        <w:rPr>
          <w:b/>
          <w:bCs/>
          <w:lang w:val="en-US"/>
        </w:rPr>
        <w:t>)</w:t>
      </w:r>
      <w:r>
        <w:rPr>
          <w:lang w:val="en-US"/>
        </w:rPr>
        <w:t xml:space="preserve">, chaired by </w:t>
      </w:r>
      <w:proofErr w:type="spellStart"/>
      <w:r>
        <w:rPr>
          <w:lang w:val="en-US"/>
        </w:rPr>
        <w:t>Ms</w:t>
      </w:r>
      <w:proofErr w:type="spellEnd"/>
      <w:r>
        <w:rPr>
          <w:lang w:val="en-US"/>
        </w:rPr>
        <w:t> Andrea Grippa (Brazil).</w:t>
      </w:r>
      <w:r w:rsidR="00004C53">
        <w:rPr>
          <w:lang w:val="en-US"/>
        </w:rPr>
        <w:t xml:space="preserve"> </w:t>
      </w:r>
      <w:r>
        <w:rPr>
          <w:lang w:val="en-US"/>
        </w:rPr>
        <w:t xml:space="preserve">The Group held its first meeting on </w:t>
      </w:r>
      <w:r w:rsidR="00267F99">
        <w:rPr>
          <w:lang w:val="en-US"/>
        </w:rPr>
        <w:t>18 April where it agreed its Terms of Reference and calendar of meetings.</w:t>
      </w:r>
      <w:r w:rsidR="00004C53">
        <w:rPr>
          <w:lang w:val="en-US"/>
        </w:rPr>
        <w:t xml:space="preserve"> </w:t>
      </w:r>
      <w:r w:rsidR="00267F99">
        <w:rPr>
          <w:lang w:val="en-US"/>
        </w:rPr>
        <w:t xml:space="preserve">The </w:t>
      </w:r>
      <w:proofErr w:type="spellStart"/>
      <w:r w:rsidR="00267F99">
        <w:rPr>
          <w:lang w:val="en-US"/>
        </w:rPr>
        <w:t>ToRs</w:t>
      </w:r>
      <w:proofErr w:type="spellEnd"/>
      <w:r w:rsidR="00267F99">
        <w:rPr>
          <w:lang w:val="en-US"/>
        </w:rPr>
        <w:t xml:space="preserve"> will be submitted to TDAG-24 for approval.</w:t>
      </w:r>
      <w:r w:rsidR="00004C53">
        <w:rPr>
          <w:lang w:val="en-US"/>
        </w:rPr>
        <w:t xml:space="preserve"> </w:t>
      </w:r>
      <w:r w:rsidR="008410BD">
        <w:rPr>
          <w:lang w:val="en-US"/>
        </w:rPr>
        <w:t xml:space="preserve">Document </w:t>
      </w:r>
      <w:hyperlink r:id="rId19" w:history="1">
        <w:r w:rsidR="008410BD" w:rsidRPr="00F233BF">
          <w:rPr>
            <w:rStyle w:val="Hyperlink"/>
            <w:lang w:val="en-US"/>
          </w:rPr>
          <w:t>TDAG-24/</w:t>
        </w:r>
        <w:r w:rsidR="008410BD">
          <w:rPr>
            <w:rStyle w:val="Hyperlink"/>
            <w:lang w:val="en-US"/>
          </w:rPr>
          <w:t>19</w:t>
        </w:r>
      </w:hyperlink>
      <w:r w:rsidR="008410BD">
        <w:rPr>
          <w:lang w:val="en-US"/>
        </w:rPr>
        <w:t xml:space="preserve"> with the progress of the work is presented to the 2024 TDAG meeting.</w:t>
      </w:r>
    </w:p>
    <w:p w14:paraId="5A955BFC" w14:textId="06AB920A" w:rsidR="00A20292" w:rsidRPr="00853716" w:rsidRDefault="00A065D1" w:rsidP="00853716">
      <w:pPr>
        <w:keepNext/>
        <w:numPr>
          <w:ilvl w:val="1"/>
          <w:numId w:val="2"/>
        </w:numPr>
        <w:tabs>
          <w:tab w:val="clear" w:pos="794"/>
          <w:tab w:val="clear" w:pos="1191"/>
          <w:tab w:val="clear" w:pos="1588"/>
          <w:tab w:val="clear" w:pos="1985"/>
          <w:tab w:val="left" w:pos="567"/>
          <w:tab w:val="left" w:pos="1134"/>
          <w:tab w:val="left" w:pos="1701"/>
          <w:tab w:val="left" w:pos="2268"/>
        </w:tabs>
        <w:spacing w:before="100" w:after="100"/>
        <w:ind w:left="567" w:hanging="567"/>
        <w:rPr>
          <w:lang w:val="en-US"/>
        </w:rPr>
      </w:pPr>
      <w:r>
        <w:rPr>
          <w:lang w:val="en-US"/>
        </w:rPr>
        <w:t xml:space="preserve">In addition to the above, </w:t>
      </w:r>
      <w:r w:rsidR="00E96C0B">
        <w:rPr>
          <w:lang w:val="en-US"/>
        </w:rPr>
        <w:t>TDAG</w:t>
      </w:r>
      <w:r w:rsidR="00640910" w:rsidRPr="00640910">
        <w:rPr>
          <w:lang w:val="en-US"/>
        </w:rPr>
        <w:t xml:space="preserve"> </w:t>
      </w:r>
      <w:r w:rsidR="00640910">
        <w:rPr>
          <w:lang w:val="en-US"/>
        </w:rPr>
        <w:t>may decide to create additional groups.</w:t>
      </w:r>
    </w:p>
    <w:p w14:paraId="2967A37E" w14:textId="2EAEDA7E" w:rsidR="00011214" w:rsidRDefault="00011214">
      <w:pPr>
        <w:tabs>
          <w:tab w:val="clear" w:pos="794"/>
          <w:tab w:val="clear" w:pos="1191"/>
          <w:tab w:val="clear" w:pos="1588"/>
          <w:tab w:val="clear" w:pos="1985"/>
        </w:tabs>
        <w:overflowPunct/>
        <w:autoSpaceDE/>
        <w:autoSpaceDN/>
        <w:adjustRightInd/>
        <w:spacing w:before="0"/>
        <w:textAlignment w:val="auto"/>
      </w:pPr>
      <w:r>
        <w:br w:type="page"/>
      </w:r>
    </w:p>
    <w:p w14:paraId="0500D304" w14:textId="4B291164" w:rsidR="003D4189" w:rsidRDefault="00011214" w:rsidP="00011214">
      <w:pPr>
        <w:tabs>
          <w:tab w:val="clear" w:pos="794"/>
          <w:tab w:val="clear" w:pos="1191"/>
          <w:tab w:val="clear" w:pos="1588"/>
          <w:tab w:val="clear" w:pos="1985"/>
          <w:tab w:val="left" w:pos="567"/>
          <w:tab w:val="left" w:pos="1134"/>
          <w:tab w:val="left" w:pos="1701"/>
          <w:tab w:val="left" w:pos="2268"/>
        </w:tabs>
        <w:jc w:val="center"/>
      </w:pPr>
      <w:r>
        <w:lastRenderedPageBreak/>
        <w:t>Annex 1</w:t>
      </w:r>
    </w:p>
    <w:p w14:paraId="607A2EF5" w14:textId="0D5A695D" w:rsidR="00011214" w:rsidRDefault="00011214" w:rsidP="00871810">
      <w:pPr>
        <w:tabs>
          <w:tab w:val="clear" w:pos="794"/>
          <w:tab w:val="clear" w:pos="1191"/>
          <w:tab w:val="clear" w:pos="1588"/>
          <w:tab w:val="clear" w:pos="1985"/>
          <w:tab w:val="left" w:pos="567"/>
          <w:tab w:val="left" w:pos="1134"/>
          <w:tab w:val="left" w:pos="1701"/>
          <w:tab w:val="left" w:pos="2268"/>
        </w:tabs>
      </w:pPr>
      <w:r>
        <w:rPr>
          <w:noProof/>
        </w:rPr>
        <w:drawing>
          <wp:inline distT="0" distB="0" distL="0" distR="0" wp14:anchorId="542A1CF9" wp14:editId="743E1938">
            <wp:extent cx="6116320" cy="8238490"/>
            <wp:effectExtent l="0" t="0" r="0" b="0"/>
            <wp:docPr id="2081598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320" cy="8238490"/>
                    </a:xfrm>
                    <a:prstGeom prst="rect">
                      <a:avLst/>
                    </a:prstGeom>
                    <a:noFill/>
                    <a:ln>
                      <a:noFill/>
                    </a:ln>
                  </pic:spPr>
                </pic:pic>
              </a:graphicData>
            </a:graphic>
          </wp:inline>
        </w:drawing>
      </w:r>
    </w:p>
    <w:p w14:paraId="68C66AFD" w14:textId="1F0353D7" w:rsidR="00B1251D" w:rsidRDefault="00B1251D">
      <w:pPr>
        <w:tabs>
          <w:tab w:val="clear" w:pos="794"/>
          <w:tab w:val="clear" w:pos="1191"/>
          <w:tab w:val="clear" w:pos="1588"/>
          <w:tab w:val="clear" w:pos="1985"/>
        </w:tabs>
        <w:overflowPunct/>
        <w:autoSpaceDE/>
        <w:autoSpaceDN/>
        <w:adjustRightInd/>
        <w:spacing w:before="0"/>
        <w:textAlignment w:val="auto"/>
      </w:pPr>
      <w:r>
        <w:br w:type="page"/>
      </w:r>
    </w:p>
    <w:p w14:paraId="5DB4101B" w14:textId="77C3866A" w:rsidR="00B1251D" w:rsidRDefault="00B1251D" w:rsidP="00B1251D">
      <w:pPr>
        <w:tabs>
          <w:tab w:val="clear" w:pos="794"/>
          <w:tab w:val="clear" w:pos="1191"/>
          <w:tab w:val="clear" w:pos="1588"/>
          <w:tab w:val="clear" w:pos="1985"/>
          <w:tab w:val="left" w:pos="567"/>
          <w:tab w:val="left" w:pos="1134"/>
          <w:tab w:val="left" w:pos="1701"/>
          <w:tab w:val="left" w:pos="2268"/>
        </w:tabs>
        <w:jc w:val="center"/>
      </w:pPr>
      <w:r>
        <w:lastRenderedPageBreak/>
        <w:t>Annex 2</w:t>
      </w:r>
    </w:p>
    <w:p w14:paraId="69067E78" w14:textId="3900BC80" w:rsidR="00B1251D" w:rsidRDefault="00DD5335" w:rsidP="00871810">
      <w:pPr>
        <w:tabs>
          <w:tab w:val="clear" w:pos="794"/>
          <w:tab w:val="clear" w:pos="1191"/>
          <w:tab w:val="clear" w:pos="1588"/>
          <w:tab w:val="clear" w:pos="1985"/>
          <w:tab w:val="left" w:pos="567"/>
          <w:tab w:val="left" w:pos="1134"/>
          <w:tab w:val="left" w:pos="1701"/>
          <w:tab w:val="left" w:pos="2268"/>
        </w:tabs>
      </w:pPr>
      <w:r>
        <w:rPr>
          <w:noProof/>
        </w:rPr>
        <w:drawing>
          <wp:inline distT="0" distB="0" distL="0" distR="0" wp14:anchorId="6C4C4055" wp14:editId="23766FED">
            <wp:extent cx="6120765" cy="8464550"/>
            <wp:effectExtent l="0" t="0" r="0" b="0"/>
            <wp:docPr id="495640650"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40650" name="Picture 1" descr="A close-up of a letter&#10;&#10;Description automatically generated"/>
                    <pic:cNvPicPr/>
                  </pic:nvPicPr>
                  <pic:blipFill>
                    <a:blip r:embed="rId21"/>
                    <a:stretch>
                      <a:fillRect/>
                    </a:stretch>
                  </pic:blipFill>
                  <pic:spPr>
                    <a:xfrm>
                      <a:off x="0" y="0"/>
                      <a:ext cx="6120765" cy="8464550"/>
                    </a:xfrm>
                    <a:prstGeom prst="rect">
                      <a:avLst/>
                    </a:prstGeom>
                  </pic:spPr>
                </pic:pic>
              </a:graphicData>
            </a:graphic>
          </wp:inline>
        </w:drawing>
      </w:r>
    </w:p>
    <w:p w14:paraId="4B5C435E" w14:textId="4BD0BF35" w:rsidR="003B1581" w:rsidRDefault="003B1581" w:rsidP="003B1581">
      <w:pPr>
        <w:tabs>
          <w:tab w:val="clear" w:pos="794"/>
          <w:tab w:val="clear" w:pos="1191"/>
          <w:tab w:val="clear" w:pos="1588"/>
          <w:tab w:val="clear" w:pos="1985"/>
          <w:tab w:val="left" w:pos="567"/>
          <w:tab w:val="left" w:pos="1134"/>
          <w:tab w:val="left" w:pos="1701"/>
          <w:tab w:val="left" w:pos="2268"/>
        </w:tabs>
        <w:jc w:val="center"/>
      </w:pPr>
      <w:r>
        <w:lastRenderedPageBreak/>
        <w:t>Annex 3</w:t>
      </w:r>
    </w:p>
    <w:p w14:paraId="4E35AA2A" w14:textId="3C22D66C" w:rsidR="00B1251D" w:rsidRDefault="005A4A2F" w:rsidP="00871810">
      <w:pPr>
        <w:tabs>
          <w:tab w:val="clear" w:pos="794"/>
          <w:tab w:val="clear" w:pos="1191"/>
          <w:tab w:val="clear" w:pos="1588"/>
          <w:tab w:val="clear" w:pos="1985"/>
          <w:tab w:val="left" w:pos="567"/>
          <w:tab w:val="left" w:pos="1134"/>
          <w:tab w:val="left" w:pos="1701"/>
          <w:tab w:val="left" w:pos="2268"/>
        </w:tabs>
      </w:pPr>
      <w:r>
        <w:rPr>
          <w:noProof/>
        </w:rPr>
        <w:drawing>
          <wp:inline distT="0" distB="0" distL="0" distR="0" wp14:anchorId="1F88C401" wp14:editId="06AABC2F">
            <wp:extent cx="6120765" cy="8006080"/>
            <wp:effectExtent l="0" t="0" r="0" b="0"/>
            <wp:docPr id="2113979224" name="Picture 1" descr="A letter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79224" name="Picture 1" descr="A letter of a company&#10;&#10;Description automatically generated with medium confidence"/>
                    <pic:cNvPicPr/>
                  </pic:nvPicPr>
                  <pic:blipFill>
                    <a:blip r:embed="rId22"/>
                    <a:stretch>
                      <a:fillRect/>
                    </a:stretch>
                  </pic:blipFill>
                  <pic:spPr>
                    <a:xfrm>
                      <a:off x="0" y="0"/>
                      <a:ext cx="6120765" cy="8006080"/>
                    </a:xfrm>
                    <a:prstGeom prst="rect">
                      <a:avLst/>
                    </a:prstGeom>
                  </pic:spPr>
                </pic:pic>
              </a:graphicData>
            </a:graphic>
          </wp:inline>
        </w:drawing>
      </w:r>
    </w:p>
    <w:p w14:paraId="2A6A3A42" w14:textId="31887200" w:rsidR="00190DB7" w:rsidRDefault="00190DB7">
      <w:pPr>
        <w:tabs>
          <w:tab w:val="clear" w:pos="794"/>
          <w:tab w:val="clear" w:pos="1191"/>
          <w:tab w:val="clear" w:pos="1588"/>
          <w:tab w:val="clear" w:pos="1985"/>
        </w:tabs>
        <w:overflowPunct/>
        <w:autoSpaceDE/>
        <w:autoSpaceDN/>
        <w:adjustRightInd/>
        <w:spacing w:before="0"/>
        <w:textAlignment w:val="auto"/>
      </w:pPr>
      <w:r>
        <w:br w:type="page"/>
      </w:r>
    </w:p>
    <w:p w14:paraId="5A8A3693" w14:textId="5B6DBC82" w:rsidR="003B1581" w:rsidRDefault="00190DB7" w:rsidP="00190DB7">
      <w:pPr>
        <w:tabs>
          <w:tab w:val="clear" w:pos="794"/>
          <w:tab w:val="clear" w:pos="1191"/>
          <w:tab w:val="clear" w:pos="1588"/>
          <w:tab w:val="clear" w:pos="1985"/>
          <w:tab w:val="left" w:pos="567"/>
          <w:tab w:val="left" w:pos="1134"/>
          <w:tab w:val="left" w:pos="1701"/>
          <w:tab w:val="left" w:pos="2268"/>
        </w:tabs>
        <w:jc w:val="center"/>
      </w:pPr>
      <w:r>
        <w:lastRenderedPageBreak/>
        <w:t>Annex 4</w:t>
      </w:r>
    </w:p>
    <w:p w14:paraId="1233550A" w14:textId="4AF55F7E" w:rsidR="00190DB7" w:rsidRDefault="001C5CA7" w:rsidP="008E6007">
      <w:pPr>
        <w:tabs>
          <w:tab w:val="clear" w:pos="794"/>
          <w:tab w:val="clear" w:pos="1191"/>
          <w:tab w:val="clear" w:pos="1588"/>
          <w:tab w:val="clear" w:pos="1985"/>
          <w:tab w:val="left" w:pos="567"/>
          <w:tab w:val="left" w:pos="1134"/>
          <w:tab w:val="left" w:pos="1701"/>
          <w:tab w:val="left" w:pos="2268"/>
        </w:tabs>
        <w:jc w:val="center"/>
      </w:pPr>
      <w:r>
        <w:rPr>
          <w:noProof/>
        </w:rPr>
        <w:drawing>
          <wp:inline distT="0" distB="0" distL="0" distR="0" wp14:anchorId="425D4090" wp14:editId="00BEE045">
            <wp:extent cx="5907819" cy="8309193"/>
            <wp:effectExtent l="0" t="0" r="0" b="0"/>
            <wp:docPr id="1359672724"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72724" name="Picture 1" descr="A close-up of a letter&#10;&#10;Description automatically generated"/>
                    <pic:cNvPicPr/>
                  </pic:nvPicPr>
                  <pic:blipFill>
                    <a:blip r:embed="rId23"/>
                    <a:stretch>
                      <a:fillRect/>
                    </a:stretch>
                  </pic:blipFill>
                  <pic:spPr>
                    <a:xfrm>
                      <a:off x="0" y="0"/>
                      <a:ext cx="5911768" cy="8314748"/>
                    </a:xfrm>
                    <a:prstGeom prst="rect">
                      <a:avLst/>
                    </a:prstGeom>
                  </pic:spPr>
                </pic:pic>
              </a:graphicData>
            </a:graphic>
          </wp:inline>
        </w:drawing>
      </w:r>
    </w:p>
    <w:p w14:paraId="7759C759" w14:textId="5273EA1D" w:rsidR="00821996" w:rsidRDefault="003C58BF" w:rsidP="008341EC">
      <w:pPr>
        <w:tabs>
          <w:tab w:val="clear" w:pos="794"/>
          <w:tab w:val="clear" w:pos="1191"/>
          <w:tab w:val="clear" w:pos="1588"/>
          <w:tab w:val="clear" w:pos="1985"/>
        </w:tabs>
        <w:spacing w:after="120"/>
        <w:jc w:val="center"/>
      </w:pPr>
      <w:r>
        <w:t>_____________</w:t>
      </w:r>
      <w:r w:rsidR="004122C5">
        <w:t>_</w:t>
      </w:r>
      <w:r w:rsidR="00922EC1">
        <w:t>_</w:t>
      </w:r>
    </w:p>
    <w:sectPr w:rsidR="00821996" w:rsidSect="00AD21B6">
      <w:headerReference w:type="default" r:id="rId24"/>
      <w:footerReference w:type="first" r:id="rId2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E664" w14:textId="77777777" w:rsidR="00AD21B6" w:rsidRDefault="00AD21B6">
      <w:r>
        <w:separator/>
      </w:r>
    </w:p>
  </w:endnote>
  <w:endnote w:type="continuationSeparator" w:id="0">
    <w:p w14:paraId="79279DAF" w14:textId="77777777" w:rsidR="00AD21B6" w:rsidRDefault="00AD21B6">
      <w:r>
        <w:continuationSeparator/>
      </w:r>
    </w:p>
  </w:endnote>
  <w:endnote w:type="continuationNotice" w:id="1">
    <w:p w14:paraId="4E61ECC4" w14:textId="77777777" w:rsidR="00AD21B6" w:rsidRDefault="00AD21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D495C" w14:paraId="695D1810" w14:textId="77777777">
      <w:tc>
        <w:tcPr>
          <w:tcW w:w="1526" w:type="dxa"/>
          <w:tcBorders>
            <w:top w:val="single" w:sz="4" w:space="0" w:color="000000"/>
          </w:tcBorders>
          <w:shd w:val="clear" w:color="auto" w:fill="auto"/>
        </w:tcPr>
        <w:p w14:paraId="746E5A61" w14:textId="77777777" w:rsidR="0059420B" w:rsidRPr="004D495C" w:rsidRDefault="0059420B"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88E41E2" w14:textId="77777777" w:rsidR="0059420B" w:rsidRPr="004D495C" w:rsidRDefault="0059420B"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148264AE" w14:textId="7C1E28D2" w:rsidR="0059420B" w:rsidRPr="00AF7A97" w:rsidRDefault="00C538E8" w:rsidP="0059420B">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Bruno Ramos, </w:t>
          </w:r>
          <w:r w:rsidR="00A41EB6">
            <w:rPr>
              <w:sz w:val="18"/>
              <w:szCs w:val="18"/>
              <w:lang w:val="en-US"/>
            </w:rPr>
            <w:t xml:space="preserve">Deputy to the BDT Director, </w:t>
          </w:r>
          <w:proofErr w:type="spellStart"/>
          <w:r w:rsidR="00A41EB6">
            <w:rPr>
              <w:sz w:val="18"/>
              <w:szCs w:val="18"/>
              <w:lang w:val="en-US"/>
            </w:rPr>
            <w:t>a.i</w:t>
          </w:r>
          <w:r w:rsidR="00F07DF2">
            <w:rPr>
              <w:sz w:val="18"/>
              <w:szCs w:val="18"/>
              <w:lang w:val="en-US"/>
            </w:rPr>
            <w:t>.</w:t>
          </w:r>
          <w:proofErr w:type="spellEnd"/>
          <w:r w:rsidR="00F07DF2">
            <w:rPr>
              <w:sz w:val="18"/>
              <w:szCs w:val="18"/>
              <w:lang w:val="en-US"/>
            </w:rPr>
            <w:t>, Telecommunication Development Bureau</w:t>
          </w:r>
        </w:p>
      </w:tc>
      <w:bookmarkStart w:id="6" w:name="OrgName"/>
      <w:bookmarkEnd w:id="6"/>
    </w:tr>
    <w:tr w:rsidR="0059420B" w:rsidRPr="004D495C" w14:paraId="61167678" w14:textId="77777777">
      <w:tc>
        <w:tcPr>
          <w:tcW w:w="1526" w:type="dxa"/>
          <w:shd w:val="clear" w:color="auto" w:fill="auto"/>
        </w:tcPr>
        <w:p w14:paraId="33710823"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1251F6E4" w14:textId="77777777" w:rsidR="0059420B" w:rsidRPr="004D495C" w:rsidRDefault="0059420B"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D7949F0" w14:textId="29FDB29B" w:rsidR="0059420B" w:rsidRPr="00AF7A97" w:rsidRDefault="005A1857" w:rsidP="0059420B">
          <w:pPr>
            <w:pStyle w:val="FirstFooter"/>
            <w:tabs>
              <w:tab w:val="left" w:pos="2302"/>
            </w:tabs>
            <w:rPr>
              <w:sz w:val="18"/>
              <w:szCs w:val="18"/>
              <w:lang w:val="en-US"/>
            </w:rPr>
          </w:pPr>
          <w:r>
            <w:rPr>
              <w:sz w:val="18"/>
              <w:szCs w:val="18"/>
              <w:lang w:val="en-US"/>
            </w:rPr>
            <w:t>n/a</w:t>
          </w:r>
        </w:p>
      </w:tc>
      <w:bookmarkStart w:id="7" w:name="PhoneNo"/>
      <w:bookmarkEnd w:id="7"/>
    </w:tr>
    <w:tr w:rsidR="0059420B" w:rsidRPr="004D495C" w14:paraId="0299A231" w14:textId="77777777">
      <w:tc>
        <w:tcPr>
          <w:tcW w:w="1526" w:type="dxa"/>
          <w:shd w:val="clear" w:color="auto" w:fill="auto"/>
        </w:tcPr>
        <w:p w14:paraId="35CBC438"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5335E06" w14:textId="77777777" w:rsidR="0059420B" w:rsidRPr="004D495C" w:rsidRDefault="0059420B" w:rsidP="0059420B">
          <w:pPr>
            <w:pStyle w:val="FirstFooter"/>
            <w:tabs>
              <w:tab w:val="left" w:pos="2302"/>
            </w:tabs>
            <w:rPr>
              <w:sz w:val="18"/>
              <w:szCs w:val="18"/>
              <w:lang w:val="en-US"/>
            </w:rPr>
          </w:pPr>
          <w:r w:rsidRPr="004D495C">
            <w:rPr>
              <w:sz w:val="18"/>
              <w:szCs w:val="18"/>
              <w:lang w:val="en-US"/>
            </w:rPr>
            <w:t>E-mail:</w:t>
          </w:r>
        </w:p>
      </w:tc>
      <w:tc>
        <w:tcPr>
          <w:tcW w:w="5987" w:type="dxa"/>
        </w:tcPr>
        <w:p w14:paraId="7EAB0988" w14:textId="57FF3FD6" w:rsidR="0059420B" w:rsidRPr="00AF7A97" w:rsidRDefault="003F164B" w:rsidP="0059420B">
          <w:pPr>
            <w:pStyle w:val="FirstFooter"/>
            <w:tabs>
              <w:tab w:val="left" w:pos="2302"/>
            </w:tabs>
            <w:rPr>
              <w:sz w:val="18"/>
              <w:szCs w:val="18"/>
              <w:lang w:val="en-US"/>
            </w:rPr>
          </w:pPr>
          <w:hyperlink r:id="rId1" w:history="1">
            <w:r w:rsidR="005A1857" w:rsidRPr="00576C13">
              <w:rPr>
                <w:rStyle w:val="Hyperlink"/>
                <w:sz w:val="18"/>
                <w:szCs w:val="18"/>
                <w:lang w:val="en-US"/>
              </w:rPr>
              <w:t>bruno.ramos@itu.int</w:t>
            </w:r>
          </w:hyperlink>
          <w:r w:rsidR="005A1857">
            <w:rPr>
              <w:sz w:val="18"/>
              <w:szCs w:val="18"/>
              <w:lang w:val="en-US"/>
            </w:rPr>
            <w:t xml:space="preserve"> </w:t>
          </w:r>
        </w:p>
      </w:tc>
      <w:bookmarkStart w:id="8" w:name="Email"/>
      <w:bookmarkEnd w:id="8"/>
    </w:tr>
  </w:tbl>
  <w:p w14:paraId="40A321D0" w14:textId="1C276101" w:rsidR="00721657" w:rsidRPr="004146FD"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D775" w14:textId="77777777" w:rsidR="00AD21B6" w:rsidRDefault="00AD21B6">
      <w:r>
        <w:t>____________________</w:t>
      </w:r>
    </w:p>
  </w:footnote>
  <w:footnote w:type="continuationSeparator" w:id="0">
    <w:p w14:paraId="25E1A071" w14:textId="77777777" w:rsidR="00AD21B6" w:rsidRDefault="00AD21B6">
      <w:r>
        <w:continuationSeparator/>
      </w:r>
    </w:p>
  </w:footnote>
  <w:footnote w:type="continuationNotice" w:id="1">
    <w:p w14:paraId="101A19F9" w14:textId="77777777" w:rsidR="00AD21B6" w:rsidRDefault="00AD21B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0D6E41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C538E8">
      <w:rPr>
        <w:sz w:val="22"/>
        <w:szCs w:val="22"/>
        <w:lang w:val="de-CH"/>
      </w:rPr>
      <w:t>23</w:t>
    </w:r>
    <w:r w:rsidR="00C80A08">
      <w:rPr>
        <w:sz w:val="22"/>
        <w:szCs w:val="22"/>
        <w:lang w:val="de-CH"/>
      </w:rPr>
      <w:t>(Rev.1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79A6"/>
    <w:multiLevelType w:val="hybridMultilevel"/>
    <w:tmpl w:val="620E2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221"/>
        </w:tabs>
        <w:ind w:left="1221"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554197629">
    <w:abstractNumId w:val="3"/>
  </w:num>
  <w:num w:numId="2" w16cid:durableId="1011834853">
    <w:abstractNumId w:val="1"/>
  </w:num>
  <w:num w:numId="3" w16cid:durableId="901064663">
    <w:abstractNumId w:val="2"/>
  </w:num>
  <w:num w:numId="4" w16cid:durableId="1344165972">
    <w:abstractNumId w:val="4"/>
  </w:num>
  <w:num w:numId="5" w16cid:durableId="50922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xNjc0MDIxNzExMzdW0lEKTi0uzszPAykwrAUAagotmCwAAAA="/>
  </w:docVars>
  <w:rsids>
    <w:rsidRoot w:val="00003C43"/>
    <w:rsid w:val="00002716"/>
    <w:rsid w:val="00003629"/>
    <w:rsid w:val="00003C43"/>
    <w:rsid w:val="00004C53"/>
    <w:rsid w:val="00005791"/>
    <w:rsid w:val="00010827"/>
    <w:rsid w:val="00011214"/>
    <w:rsid w:val="00015089"/>
    <w:rsid w:val="00024140"/>
    <w:rsid w:val="0002520B"/>
    <w:rsid w:val="00030397"/>
    <w:rsid w:val="00037A9E"/>
    <w:rsid w:val="00037F91"/>
    <w:rsid w:val="00046449"/>
    <w:rsid w:val="000539F1"/>
    <w:rsid w:val="00054747"/>
    <w:rsid w:val="000553B6"/>
    <w:rsid w:val="00055A2A"/>
    <w:rsid w:val="00055E66"/>
    <w:rsid w:val="000615C1"/>
    <w:rsid w:val="00061675"/>
    <w:rsid w:val="00061B92"/>
    <w:rsid w:val="00062BBE"/>
    <w:rsid w:val="000743AA"/>
    <w:rsid w:val="00074A83"/>
    <w:rsid w:val="00074C2F"/>
    <w:rsid w:val="0009076F"/>
    <w:rsid w:val="0009225C"/>
    <w:rsid w:val="000A17C4"/>
    <w:rsid w:val="000A36A4"/>
    <w:rsid w:val="000B2352"/>
    <w:rsid w:val="000C31E6"/>
    <w:rsid w:val="000C7B84"/>
    <w:rsid w:val="000D261B"/>
    <w:rsid w:val="000D58A3"/>
    <w:rsid w:val="000E2E8F"/>
    <w:rsid w:val="000E3ED4"/>
    <w:rsid w:val="000E3F9C"/>
    <w:rsid w:val="000F1550"/>
    <w:rsid w:val="000F251B"/>
    <w:rsid w:val="000F5FE8"/>
    <w:rsid w:val="000F6644"/>
    <w:rsid w:val="00100833"/>
    <w:rsid w:val="001013A0"/>
    <w:rsid w:val="00102F72"/>
    <w:rsid w:val="00107E85"/>
    <w:rsid w:val="001127F5"/>
    <w:rsid w:val="00113EE8"/>
    <w:rsid w:val="0011455A"/>
    <w:rsid w:val="00114A65"/>
    <w:rsid w:val="00115614"/>
    <w:rsid w:val="00133061"/>
    <w:rsid w:val="00141699"/>
    <w:rsid w:val="00144D39"/>
    <w:rsid w:val="00147000"/>
    <w:rsid w:val="00150997"/>
    <w:rsid w:val="00150C25"/>
    <w:rsid w:val="00163091"/>
    <w:rsid w:val="0016328F"/>
    <w:rsid w:val="001645CB"/>
    <w:rsid w:val="00166305"/>
    <w:rsid w:val="00167545"/>
    <w:rsid w:val="001703C6"/>
    <w:rsid w:val="00173781"/>
    <w:rsid w:val="00175ADF"/>
    <w:rsid w:val="00175CAE"/>
    <w:rsid w:val="001828DB"/>
    <w:rsid w:val="001850FE"/>
    <w:rsid w:val="00185135"/>
    <w:rsid w:val="001861F9"/>
    <w:rsid w:val="0019037C"/>
    <w:rsid w:val="001905A9"/>
    <w:rsid w:val="00190DB7"/>
    <w:rsid w:val="00191273"/>
    <w:rsid w:val="001942A7"/>
    <w:rsid w:val="0019587B"/>
    <w:rsid w:val="001969FB"/>
    <w:rsid w:val="0019783F"/>
    <w:rsid w:val="001A163D"/>
    <w:rsid w:val="001A2247"/>
    <w:rsid w:val="001A441E"/>
    <w:rsid w:val="001A5967"/>
    <w:rsid w:val="001A6733"/>
    <w:rsid w:val="001A7FA6"/>
    <w:rsid w:val="001B20F0"/>
    <w:rsid w:val="001B357F"/>
    <w:rsid w:val="001C3444"/>
    <w:rsid w:val="001C3702"/>
    <w:rsid w:val="001C4656"/>
    <w:rsid w:val="001C46BC"/>
    <w:rsid w:val="001C5CA7"/>
    <w:rsid w:val="001D1E06"/>
    <w:rsid w:val="001F23E6"/>
    <w:rsid w:val="001F4238"/>
    <w:rsid w:val="00200A38"/>
    <w:rsid w:val="00200A46"/>
    <w:rsid w:val="002051C3"/>
    <w:rsid w:val="00211957"/>
    <w:rsid w:val="00211B6F"/>
    <w:rsid w:val="00217CC3"/>
    <w:rsid w:val="00220AB6"/>
    <w:rsid w:val="00220FA3"/>
    <w:rsid w:val="0022120F"/>
    <w:rsid w:val="0022754A"/>
    <w:rsid w:val="00236560"/>
    <w:rsid w:val="0023662E"/>
    <w:rsid w:val="00236C7B"/>
    <w:rsid w:val="0023714E"/>
    <w:rsid w:val="002403F2"/>
    <w:rsid w:val="00245D0F"/>
    <w:rsid w:val="002531DC"/>
    <w:rsid w:val="002548C3"/>
    <w:rsid w:val="00257273"/>
    <w:rsid w:val="00257ACD"/>
    <w:rsid w:val="00262908"/>
    <w:rsid w:val="002650F4"/>
    <w:rsid w:val="00267F99"/>
    <w:rsid w:val="002715FD"/>
    <w:rsid w:val="0027275C"/>
    <w:rsid w:val="002770B1"/>
    <w:rsid w:val="00285B33"/>
    <w:rsid w:val="0028638E"/>
    <w:rsid w:val="00287A3C"/>
    <w:rsid w:val="00297B4F"/>
    <w:rsid w:val="002A2FC6"/>
    <w:rsid w:val="002C1EC7"/>
    <w:rsid w:val="002C3015"/>
    <w:rsid w:val="002C4342"/>
    <w:rsid w:val="002C50F2"/>
    <w:rsid w:val="002C7EA3"/>
    <w:rsid w:val="002D20AE"/>
    <w:rsid w:val="002D6C61"/>
    <w:rsid w:val="002D7097"/>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27EDB"/>
    <w:rsid w:val="00330126"/>
    <w:rsid w:val="0033130E"/>
    <w:rsid w:val="0033269C"/>
    <w:rsid w:val="003373E4"/>
    <w:rsid w:val="003432D0"/>
    <w:rsid w:val="00351C79"/>
    <w:rsid w:val="0035516C"/>
    <w:rsid w:val="00355A4C"/>
    <w:rsid w:val="0035772D"/>
    <w:rsid w:val="003604FB"/>
    <w:rsid w:val="00360B0C"/>
    <w:rsid w:val="00360B73"/>
    <w:rsid w:val="00370BC4"/>
    <w:rsid w:val="0037120C"/>
    <w:rsid w:val="00380B71"/>
    <w:rsid w:val="0038365A"/>
    <w:rsid w:val="00386A89"/>
    <w:rsid w:val="0039648E"/>
    <w:rsid w:val="003A5AFE"/>
    <w:rsid w:val="003A5D5F"/>
    <w:rsid w:val="003A7FFE"/>
    <w:rsid w:val="003B0A63"/>
    <w:rsid w:val="003B1581"/>
    <w:rsid w:val="003B50E1"/>
    <w:rsid w:val="003C1746"/>
    <w:rsid w:val="003C2AA9"/>
    <w:rsid w:val="003C3A57"/>
    <w:rsid w:val="003C58BF"/>
    <w:rsid w:val="003C5EB1"/>
    <w:rsid w:val="003C6164"/>
    <w:rsid w:val="003D4189"/>
    <w:rsid w:val="003D451D"/>
    <w:rsid w:val="003D5E07"/>
    <w:rsid w:val="003F164B"/>
    <w:rsid w:val="003F2DD8"/>
    <w:rsid w:val="003F3F2D"/>
    <w:rsid w:val="003F50B2"/>
    <w:rsid w:val="00400CCF"/>
    <w:rsid w:val="00401BFF"/>
    <w:rsid w:val="00404424"/>
    <w:rsid w:val="0041156B"/>
    <w:rsid w:val="004122C5"/>
    <w:rsid w:val="00413B78"/>
    <w:rsid w:val="004146FD"/>
    <w:rsid w:val="00416DDE"/>
    <w:rsid w:val="00423424"/>
    <w:rsid w:val="00424DF0"/>
    <w:rsid w:val="0043109E"/>
    <w:rsid w:val="00443B73"/>
    <w:rsid w:val="0044411E"/>
    <w:rsid w:val="00453435"/>
    <w:rsid w:val="00460089"/>
    <w:rsid w:val="0046228C"/>
    <w:rsid w:val="00466398"/>
    <w:rsid w:val="004712A4"/>
    <w:rsid w:val="0047306D"/>
    <w:rsid w:val="00473791"/>
    <w:rsid w:val="00476E48"/>
    <w:rsid w:val="00481DE9"/>
    <w:rsid w:val="0048776C"/>
    <w:rsid w:val="004906AF"/>
    <w:rsid w:val="0049128B"/>
    <w:rsid w:val="00493B49"/>
    <w:rsid w:val="00495501"/>
    <w:rsid w:val="004A070A"/>
    <w:rsid w:val="004A30C1"/>
    <w:rsid w:val="004A320E"/>
    <w:rsid w:val="004A4E9C"/>
    <w:rsid w:val="004A6E26"/>
    <w:rsid w:val="004B1A3C"/>
    <w:rsid w:val="004C6F7F"/>
    <w:rsid w:val="004D2CC3"/>
    <w:rsid w:val="004D35CB"/>
    <w:rsid w:val="004D7DAB"/>
    <w:rsid w:val="004E20E5"/>
    <w:rsid w:val="004E64EA"/>
    <w:rsid w:val="004E7828"/>
    <w:rsid w:val="004F150E"/>
    <w:rsid w:val="004F46AA"/>
    <w:rsid w:val="004F6A70"/>
    <w:rsid w:val="00500AD7"/>
    <w:rsid w:val="00501EA4"/>
    <w:rsid w:val="00502ABF"/>
    <w:rsid w:val="00504DB0"/>
    <w:rsid w:val="00507C35"/>
    <w:rsid w:val="00510735"/>
    <w:rsid w:val="00514D2F"/>
    <w:rsid w:val="00517A26"/>
    <w:rsid w:val="00521152"/>
    <w:rsid w:val="00537FC5"/>
    <w:rsid w:val="00542F05"/>
    <w:rsid w:val="0054420E"/>
    <w:rsid w:val="00544D1B"/>
    <w:rsid w:val="00545DC0"/>
    <w:rsid w:val="00545F6C"/>
    <w:rsid w:val="005477D9"/>
    <w:rsid w:val="00551C33"/>
    <w:rsid w:val="0055720C"/>
    <w:rsid w:val="00557C36"/>
    <w:rsid w:val="00561796"/>
    <w:rsid w:val="005632DD"/>
    <w:rsid w:val="0056423B"/>
    <w:rsid w:val="0057068D"/>
    <w:rsid w:val="00573424"/>
    <w:rsid w:val="0057402F"/>
    <w:rsid w:val="00581653"/>
    <w:rsid w:val="005817E8"/>
    <w:rsid w:val="005849D6"/>
    <w:rsid w:val="00585367"/>
    <w:rsid w:val="005871A1"/>
    <w:rsid w:val="0058737E"/>
    <w:rsid w:val="00592518"/>
    <w:rsid w:val="0059299B"/>
    <w:rsid w:val="00592E87"/>
    <w:rsid w:val="0059420B"/>
    <w:rsid w:val="00594C4D"/>
    <w:rsid w:val="005A1857"/>
    <w:rsid w:val="005A33B0"/>
    <w:rsid w:val="005A4A2F"/>
    <w:rsid w:val="005B1587"/>
    <w:rsid w:val="005C2DC2"/>
    <w:rsid w:val="005C304A"/>
    <w:rsid w:val="005C3D69"/>
    <w:rsid w:val="005C7C98"/>
    <w:rsid w:val="005D2C3A"/>
    <w:rsid w:val="005D55A4"/>
    <w:rsid w:val="005D57C8"/>
    <w:rsid w:val="005D6350"/>
    <w:rsid w:val="005D7761"/>
    <w:rsid w:val="005E0278"/>
    <w:rsid w:val="005E090D"/>
    <w:rsid w:val="005E3CA0"/>
    <w:rsid w:val="005E44B1"/>
    <w:rsid w:val="005E67B0"/>
    <w:rsid w:val="005E7047"/>
    <w:rsid w:val="005E777F"/>
    <w:rsid w:val="005F0B0D"/>
    <w:rsid w:val="005F1CA7"/>
    <w:rsid w:val="005F43DD"/>
    <w:rsid w:val="005F51A9"/>
    <w:rsid w:val="005F6BE1"/>
    <w:rsid w:val="005F7416"/>
    <w:rsid w:val="00600C11"/>
    <w:rsid w:val="00606B89"/>
    <w:rsid w:val="00611EAF"/>
    <w:rsid w:val="006239A2"/>
    <w:rsid w:val="00623F30"/>
    <w:rsid w:val="00625FB8"/>
    <w:rsid w:val="006261BD"/>
    <w:rsid w:val="00633B9F"/>
    <w:rsid w:val="00633F58"/>
    <w:rsid w:val="00635EDB"/>
    <w:rsid w:val="00640910"/>
    <w:rsid w:val="0064158B"/>
    <w:rsid w:val="00642C3C"/>
    <w:rsid w:val="0064734E"/>
    <w:rsid w:val="00650137"/>
    <w:rsid w:val="006509D7"/>
    <w:rsid w:val="0065141E"/>
    <w:rsid w:val="00651CE8"/>
    <w:rsid w:val="0065521B"/>
    <w:rsid w:val="00671EF6"/>
    <w:rsid w:val="0067205B"/>
    <w:rsid w:val="006748F8"/>
    <w:rsid w:val="00675FAB"/>
    <w:rsid w:val="00680489"/>
    <w:rsid w:val="006832E9"/>
    <w:rsid w:val="00683C32"/>
    <w:rsid w:val="00690BB2"/>
    <w:rsid w:val="00693D09"/>
    <w:rsid w:val="006A2859"/>
    <w:rsid w:val="006A56CB"/>
    <w:rsid w:val="006A6549"/>
    <w:rsid w:val="006A7710"/>
    <w:rsid w:val="006A7A61"/>
    <w:rsid w:val="006B1E59"/>
    <w:rsid w:val="006B2FFB"/>
    <w:rsid w:val="006C10A2"/>
    <w:rsid w:val="006C1F18"/>
    <w:rsid w:val="006C3D6F"/>
    <w:rsid w:val="006D3C80"/>
    <w:rsid w:val="006D40D5"/>
    <w:rsid w:val="006E0BAA"/>
    <w:rsid w:val="006F009A"/>
    <w:rsid w:val="006F24AF"/>
    <w:rsid w:val="006F3D93"/>
    <w:rsid w:val="007019B1"/>
    <w:rsid w:val="00710AB0"/>
    <w:rsid w:val="00721657"/>
    <w:rsid w:val="007279A8"/>
    <w:rsid w:val="00727B1A"/>
    <w:rsid w:val="00736103"/>
    <w:rsid w:val="00741337"/>
    <w:rsid w:val="00751CA8"/>
    <w:rsid w:val="00752258"/>
    <w:rsid w:val="007529E1"/>
    <w:rsid w:val="0075442B"/>
    <w:rsid w:val="00762880"/>
    <w:rsid w:val="00762AD6"/>
    <w:rsid w:val="00762E02"/>
    <w:rsid w:val="00772290"/>
    <w:rsid w:val="00776B13"/>
    <w:rsid w:val="00777265"/>
    <w:rsid w:val="007805E7"/>
    <w:rsid w:val="0078222A"/>
    <w:rsid w:val="00787D48"/>
    <w:rsid w:val="00795294"/>
    <w:rsid w:val="007A4E50"/>
    <w:rsid w:val="007B18A7"/>
    <w:rsid w:val="007B250E"/>
    <w:rsid w:val="007C27FC"/>
    <w:rsid w:val="007C51FF"/>
    <w:rsid w:val="007C6919"/>
    <w:rsid w:val="007D50E4"/>
    <w:rsid w:val="007E2DC5"/>
    <w:rsid w:val="007E54C9"/>
    <w:rsid w:val="007F1CC7"/>
    <w:rsid w:val="007F5ADF"/>
    <w:rsid w:val="008027AC"/>
    <w:rsid w:val="008028CE"/>
    <w:rsid w:val="0080332E"/>
    <w:rsid w:val="00803A19"/>
    <w:rsid w:val="0081036E"/>
    <w:rsid w:val="008141E0"/>
    <w:rsid w:val="00816EE1"/>
    <w:rsid w:val="00816F88"/>
    <w:rsid w:val="00821996"/>
    <w:rsid w:val="00822323"/>
    <w:rsid w:val="00827BC6"/>
    <w:rsid w:val="008300AD"/>
    <w:rsid w:val="00833024"/>
    <w:rsid w:val="008341EC"/>
    <w:rsid w:val="008345A9"/>
    <w:rsid w:val="008410BD"/>
    <w:rsid w:val="008419B1"/>
    <w:rsid w:val="008429C8"/>
    <w:rsid w:val="00844A56"/>
    <w:rsid w:val="00845B11"/>
    <w:rsid w:val="00847431"/>
    <w:rsid w:val="00852081"/>
    <w:rsid w:val="00853716"/>
    <w:rsid w:val="00871810"/>
    <w:rsid w:val="00872B6E"/>
    <w:rsid w:val="00874DFD"/>
    <w:rsid w:val="0087753D"/>
    <w:rsid w:val="008802F9"/>
    <w:rsid w:val="00883086"/>
    <w:rsid w:val="008879FD"/>
    <w:rsid w:val="00894C37"/>
    <w:rsid w:val="008A00EA"/>
    <w:rsid w:val="008A2E51"/>
    <w:rsid w:val="008A3F93"/>
    <w:rsid w:val="008A6236"/>
    <w:rsid w:val="008A6E1C"/>
    <w:rsid w:val="008A72FD"/>
    <w:rsid w:val="008B1DA1"/>
    <w:rsid w:val="008B2EDF"/>
    <w:rsid w:val="008B47C7"/>
    <w:rsid w:val="008B54CB"/>
    <w:rsid w:val="008B5A3D"/>
    <w:rsid w:val="008B6A5D"/>
    <w:rsid w:val="008C4010"/>
    <w:rsid w:val="008C4FDF"/>
    <w:rsid w:val="008C6B1F"/>
    <w:rsid w:val="008D5E4F"/>
    <w:rsid w:val="008E34F0"/>
    <w:rsid w:val="008E6007"/>
    <w:rsid w:val="008F14F5"/>
    <w:rsid w:val="008F71C1"/>
    <w:rsid w:val="00902D41"/>
    <w:rsid w:val="00902F49"/>
    <w:rsid w:val="00904230"/>
    <w:rsid w:val="00914004"/>
    <w:rsid w:val="00922EC1"/>
    <w:rsid w:val="00923CF1"/>
    <w:rsid w:val="00924AEB"/>
    <w:rsid w:val="00926CF0"/>
    <w:rsid w:val="009301F1"/>
    <w:rsid w:val="009307DF"/>
    <w:rsid w:val="009359B8"/>
    <w:rsid w:val="00935FF0"/>
    <w:rsid w:val="00942A9B"/>
    <w:rsid w:val="009431F8"/>
    <w:rsid w:val="00945C54"/>
    <w:rsid w:val="009473E6"/>
    <w:rsid w:val="00947A35"/>
    <w:rsid w:val="00952667"/>
    <w:rsid w:val="0096201B"/>
    <w:rsid w:val="00962081"/>
    <w:rsid w:val="00966CB5"/>
    <w:rsid w:val="00975786"/>
    <w:rsid w:val="00981CB7"/>
    <w:rsid w:val="00983E1F"/>
    <w:rsid w:val="00993003"/>
    <w:rsid w:val="00993F46"/>
    <w:rsid w:val="00997358"/>
    <w:rsid w:val="009A452B"/>
    <w:rsid w:val="009B050C"/>
    <w:rsid w:val="009B087F"/>
    <w:rsid w:val="009B1979"/>
    <w:rsid w:val="009B2AF4"/>
    <w:rsid w:val="009C110B"/>
    <w:rsid w:val="009C5441"/>
    <w:rsid w:val="009D119F"/>
    <w:rsid w:val="009D49A2"/>
    <w:rsid w:val="009E3F2A"/>
    <w:rsid w:val="009E7715"/>
    <w:rsid w:val="009F3940"/>
    <w:rsid w:val="009F3EB2"/>
    <w:rsid w:val="009F6EB1"/>
    <w:rsid w:val="00A065D1"/>
    <w:rsid w:val="00A11004"/>
    <w:rsid w:val="00A11D05"/>
    <w:rsid w:val="00A13162"/>
    <w:rsid w:val="00A15C98"/>
    <w:rsid w:val="00A20267"/>
    <w:rsid w:val="00A20292"/>
    <w:rsid w:val="00A21C8E"/>
    <w:rsid w:val="00A3158C"/>
    <w:rsid w:val="00A32DF3"/>
    <w:rsid w:val="00A33E32"/>
    <w:rsid w:val="00A35E20"/>
    <w:rsid w:val="00A36F6D"/>
    <w:rsid w:val="00A41EB6"/>
    <w:rsid w:val="00A425E1"/>
    <w:rsid w:val="00A50CA0"/>
    <w:rsid w:val="00A525CC"/>
    <w:rsid w:val="00A5265C"/>
    <w:rsid w:val="00A53E7C"/>
    <w:rsid w:val="00A55D39"/>
    <w:rsid w:val="00A60087"/>
    <w:rsid w:val="00A61BE1"/>
    <w:rsid w:val="00A634C1"/>
    <w:rsid w:val="00A705E8"/>
    <w:rsid w:val="00A721F4"/>
    <w:rsid w:val="00A76A56"/>
    <w:rsid w:val="00A83F46"/>
    <w:rsid w:val="00A86A5D"/>
    <w:rsid w:val="00A870DF"/>
    <w:rsid w:val="00A9392C"/>
    <w:rsid w:val="00A9462B"/>
    <w:rsid w:val="00A97D59"/>
    <w:rsid w:val="00AA3E09"/>
    <w:rsid w:val="00AA4BEF"/>
    <w:rsid w:val="00AB1659"/>
    <w:rsid w:val="00AB4962"/>
    <w:rsid w:val="00AB734E"/>
    <w:rsid w:val="00AB740F"/>
    <w:rsid w:val="00AC2DFC"/>
    <w:rsid w:val="00AC6F14"/>
    <w:rsid w:val="00AC7221"/>
    <w:rsid w:val="00AD030D"/>
    <w:rsid w:val="00AD21B6"/>
    <w:rsid w:val="00AD4677"/>
    <w:rsid w:val="00AE0901"/>
    <w:rsid w:val="00AE5961"/>
    <w:rsid w:val="00AE5B8F"/>
    <w:rsid w:val="00AF0745"/>
    <w:rsid w:val="00AF4971"/>
    <w:rsid w:val="00AF5276"/>
    <w:rsid w:val="00AF7C86"/>
    <w:rsid w:val="00B01046"/>
    <w:rsid w:val="00B1251D"/>
    <w:rsid w:val="00B15EDF"/>
    <w:rsid w:val="00B300F6"/>
    <w:rsid w:val="00B310F9"/>
    <w:rsid w:val="00B37866"/>
    <w:rsid w:val="00B37CE7"/>
    <w:rsid w:val="00B401F6"/>
    <w:rsid w:val="00B412FB"/>
    <w:rsid w:val="00B456A0"/>
    <w:rsid w:val="00B4576B"/>
    <w:rsid w:val="00B46350"/>
    <w:rsid w:val="00B46DF3"/>
    <w:rsid w:val="00B5163C"/>
    <w:rsid w:val="00B648C7"/>
    <w:rsid w:val="00B660F4"/>
    <w:rsid w:val="00B66E8F"/>
    <w:rsid w:val="00B80157"/>
    <w:rsid w:val="00B83007"/>
    <w:rsid w:val="00B83D5E"/>
    <w:rsid w:val="00B8460A"/>
    <w:rsid w:val="00B84741"/>
    <w:rsid w:val="00B85472"/>
    <w:rsid w:val="00B8650D"/>
    <w:rsid w:val="00B879B4"/>
    <w:rsid w:val="00B90F07"/>
    <w:rsid w:val="00B97BB9"/>
    <w:rsid w:val="00BA0009"/>
    <w:rsid w:val="00BA4474"/>
    <w:rsid w:val="00BB02B5"/>
    <w:rsid w:val="00BB1863"/>
    <w:rsid w:val="00BB25EE"/>
    <w:rsid w:val="00BB363A"/>
    <w:rsid w:val="00BB4765"/>
    <w:rsid w:val="00BC10A0"/>
    <w:rsid w:val="00BC7BA2"/>
    <w:rsid w:val="00BD426B"/>
    <w:rsid w:val="00BD79F0"/>
    <w:rsid w:val="00BE2B4D"/>
    <w:rsid w:val="00BF0374"/>
    <w:rsid w:val="00BF121E"/>
    <w:rsid w:val="00C015F8"/>
    <w:rsid w:val="00C02C2A"/>
    <w:rsid w:val="00C07E26"/>
    <w:rsid w:val="00C1011C"/>
    <w:rsid w:val="00C12F94"/>
    <w:rsid w:val="00C177C5"/>
    <w:rsid w:val="00C23F76"/>
    <w:rsid w:val="00C30DBD"/>
    <w:rsid w:val="00C34EC3"/>
    <w:rsid w:val="00C35DB4"/>
    <w:rsid w:val="00C37CA3"/>
    <w:rsid w:val="00C4038C"/>
    <w:rsid w:val="00C42BA2"/>
    <w:rsid w:val="00C44066"/>
    <w:rsid w:val="00C44E13"/>
    <w:rsid w:val="00C538E8"/>
    <w:rsid w:val="00C60A41"/>
    <w:rsid w:val="00C62DE8"/>
    <w:rsid w:val="00C62DFB"/>
    <w:rsid w:val="00C630E6"/>
    <w:rsid w:val="00C63812"/>
    <w:rsid w:val="00C64AF3"/>
    <w:rsid w:val="00C65127"/>
    <w:rsid w:val="00C66F4D"/>
    <w:rsid w:val="00C67BB5"/>
    <w:rsid w:val="00C72713"/>
    <w:rsid w:val="00C80A08"/>
    <w:rsid w:val="00C83640"/>
    <w:rsid w:val="00C848EF"/>
    <w:rsid w:val="00C86600"/>
    <w:rsid w:val="00C87BCA"/>
    <w:rsid w:val="00C87EED"/>
    <w:rsid w:val="00C94506"/>
    <w:rsid w:val="00C954BC"/>
    <w:rsid w:val="00C96F79"/>
    <w:rsid w:val="00CA1F0B"/>
    <w:rsid w:val="00CB110F"/>
    <w:rsid w:val="00CB2A2E"/>
    <w:rsid w:val="00CB338A"/>
    <w:rsid w:val="00CB79C5"/>
    <w:rsid w:val="00CC411F"/>
    <w:rsid w:val="00CC4B75"/>
    <w:rsid w:val="00CC732E"/>
    <w:rsid w:val="00CD2FCD"/>
    <w:rsid w:val="00CD7207"/>
    <w:rsid w:val="00CE0422"/>
    <w:rsid w:val="00CE0DBE"/>
    <w:rsid w:val="00CE4532"/>
    <w:rsid w:val="00CE5E4D"/>
    <w:rsid w:val="00CF02C4"/>
    <w:rsid w:val="00CF167F"/>
    <w:rsid w:val="00CF72E5"/>
    <w:rsid w:val="00D0096B"/>
    <w:rsid w:val="00D013EE"/>
    <w:rsid w:val="00D01F54"/>
    <w:rsid w:val="00D040F7"/>
    <w:rsid w:val="00D04A76"/>
    <w:rsid w:val="00D10FC7"/>
    <w:rsid w:val="00D1519F"/>
    <w:rsid w:val="00D1703C"/>
    <w:rsid w:val="00D20804"/>
    <w:rsid w:val="00D20E99"/>
    <w:rsid w:val="00D2162A"/>
    <w:rsid w:val="00D21C83"/>
    <w:rsid w:val="00D35BDD"/>
    <w:rsid w:val="00D63006"/>
    <w:rsid w:val="00D72301"/>
    <w:rsid w:val="00D911DE"/>
    <w:rsid w:val="00D91B97"/>
    <w:rsid w:val="00D9204D"/>
    <w:rsid w:val="00D93ACC"/>
    <w:rsid w:val="00D93C08"/>
    <w:rsid w:val="00D95DAC"/>
    <w:rsid w:val="00DA0B53"/>
    <w:rsid w:val="00DA56F6"/>
    <w:rsid w:val="00DB0619"/>
    <w:rsid w:val="00DB1171"/>
    <w:rsid w:val="00DB1519"/>
    <w:rsid w:val="00DB2840"/>
    <w:rsid w:val="00DC1BD3"/>
    <w:rsid w:val="00DC2C1A"/>
    <w:rsid w:val="00DD5335"/>
    <w:rsid w:val="00DD586B"/>
    <w:rsid w:val="00DD66B4"/>
    <w:rsid w:val="00DE1972"/>
    <w:rsid w:val="00DE27AB"/>
    <w:rsid w:val="00DF1E30"/>
    <w:rsid w:val="00DF2AB3"/>
    <w:rsid w:val="00DF7250"/>
    <w:rsid w:val="00E00A44"/>
    <w:rsid w:val="00E00CAA"/>
    <w:rsid w:val="00E03EBF"/>
    <w:rsid w:val="00E05209"/>
    <w:rsid w:val="00E05AC1"/>
    <w:rsid w:val="00E11BCF"/>
    <w:rsid w:val="00E15D8E"/>
    <w:rsid w:val="00E2258E"/>
    <w:rsid w:val="00E260C2"/>
    <w:rsid w:val="00E32596"/>
    <w:rsid w:val="00E368F7"/>
    <w:rsid w:val="00E36EB8"/>
    <w:rsid w:val="00E37FB8"/>
    <w:rsid w:val="00E40B07"/>
    <w:rsid w:val="00E42326"/>
    <w:rsid w:val="00E42EF6"/>
    <w:rsid w:val="00E43544"/>
    <w:rsid w:val="00E43672"/>
    <w:rsid w:val="00E44D60"/>
    <w:rsid w:val="00E44D89"/>
    <w:rsid w:val="00E477EA"/>
    <w:rsid w:val="00E52F48"/>
    <w:rsid w:val="00E55807"/>
    <w:rsid w:val="00E61144"/>
    <w:rsid w:val="00E63B14"/>
    <w:rsid w:val="00E65CA0"/>
    <w:rsid w:val="00E70D9F"/>
    <w:rsid w:val="00E83810"/>
    <w:rsid w:val="00E86933"/>
    <w:rsid w:val="00E95926"/>
    <w:rsid w:val="00E9605B"/>
    <w:rsid w:val="00E96C0B"/>
    <w:rsid w:val="00E97298"/>
    <w:rsid w:val="00E97753"/>
    <w:rsid w:val="00EA0C51"/>
    <w:rsid w:val="00EA4BBA"/>
    <w:rsid w:val="00EA7DE7"/>
    <w:rsid w:val="00EB3346"/>
    <w:rsid w:val="00EB7A8A"/>
    <w:rsid w:val="00EC443C"/>
    <w:rsid w:val="00EC6FED"/>
    <w:rsid w:val="00EC7F3B"/>
    <w:rsid w:val="00ED5299"/>
    <w:rsid w:val="00EE3A64"/>
    <w:rsid w:val="00EE50E5"/>
    <w:rsid w:val="00EF01CF"/>
    <w:rsid w:val="00EF67C9"/>
    <w:rsid w:val="00F03590"/>
    <w:rsid w:val="00F03622"/>
    <w:rsid w:val="00F077FD"/>
    <w:rsid w:val="00F07DF2"/>
    <w:rsid w:val="00F204F3"/>
    <w:rsid w:val="00F218AB"/>
    <w:rsid w:val="00F233BF"/>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106A"/>
    <w:rsid w:val="00F736F9"/>
    <w:rsid w:val="00F73833"/>
    <w:rsid w:val="00F846BD"/>
    <w:rsid w:val="00F9211C"/>
    <w:rsid w:val="00F95681"/>
    <w:rsid w:val="00FA095D"/>
    <w:rsid w:val="00FA6C8B"/>
    <w:rsid w:val="00FA6CDA"/>
    <w:rsid w:val="00FA7C89"/>
    <w:rsid w:val="00FB4139"/>
    <w:rsid w:val="00FB476E"/>
    <w:rsid w:val="00FB4852"/>
    <w:rsid w:val="00FB4D7D"/>
    <w:rsid w:val="00FB6E77"/>
    <w:rsid w:val="00FC0D90"/>
    <w:rsid w:val="00FC3562"/>
    <w:rsid w:val="00FC5D42"/>
    <w:rsid w:val="00FC7D8C"/>
    <w:rsid w:val="00FD3980"/>
    <w:rsid w:val="00FD431E"/>
    <w:rsid w:val="00FD5A2C"/>
    <w:rsid w:val="00FE0D47"/>
    <w:rsid w:val="00FE1D5C"/>
    <w:rsid w:val="00FE2F8B"/>
    <w:rsid w:val="00FE3669"/>
    <w:rsid w:val="00FE5204"/>
    <w:rsid w:val="00FF287F"/>
    <w:rsid w:val="00FF74A8"/>
    <w:rsid w:val="418F9C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016CF214-B507-4865-8FE3-FD66FE25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5A1857"/>
    <w:rPr>
      <w:color w:val="605E5C"/>
      <w:shd w:val="clear" w:color="auto" w:fill="E1DFDD"/>
    </w:rPr>
  </w:style>
  <w:style w:type="character" w:styleId="CommentReference">
    <w:name w:val="annotation reference"/>
    <w:basedOn w:val="DefaultParagraphFont"/>
    <w:semiHidden/>
    <w:unhideWhenUsed/>
    <w:rsid w:val="00B85472"/>
    <w:rPr>
      <w:sz w:val="16"/>
      <w:szCs w:val="16"/>
    </w:rPr>
  </w:style>
  <w:style w:type="paragraph" w:styleId="CommentText">
    <w:name w:val="annotation text"/>
    <w:basedOn w:val="Normal"/>
    <w:link w:val="CommentTextChar"/>
    <w:unhideWhenUsed/>
    <w:rsid w:val="00B85472"/>
    <w:rPr>
      <w:sz w:val="20"/>
    </w:rPr>
  </w:style>
  <w:style w:type="character" w:customStyle="1" w:styleId="CommentTextChar">
    <w:name w:val="Comment Text Char"/>
    <w:basedOn w:val="DefaultParagraphFont"/>
    <w:link w:val="CommentText"/>
    <w:rsid w:val="00B8547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85472"/>
    <w:rPr>
      <w:b/>
      <w:bCs/>
    </w:rPr>
  </w:style>
  <w:style w:type="character" w:customStyle="1" w:styleId="CommentSubjectChar">
    <w:name w:val="Comment Subject Char"/>
    <w:basedOn w:val="CommentTextChar"/>
    <w:link w:val="CommentSubject"/>
    <w:semiHidden/>
    <w:rsid w:val="00B85472"/>
    <w:rPr>
      <w:rFonts w:asciiTheme="minorHAnsi" w:hAnsiTheme="minorHAnsi"/>
      <w:b/>
      <w:bCs/>
      <w:lang w:val="en-GB" w:eastAsia="en-US"/>
    </w:rPr>
  </w:style>
  <w:style w:type="paragraph" w:styleId="Revision">
    <w:name w:val="Revision"/>
    <w:hidden/>
    <w:uiPriority w:val="99"/>
    <w:semiHidden/>
    <w:rsid w:val="005B158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SG-CIR-0051/en" TargetMode="External"/><Relationship Id="rId18" Type="http://schemas.openxmlformats.org/officeDocument/2006/relationships/hyperlink" Target="https://www.itu.int/en/ITU-D/Conferences/TDAG/Pages/2024/TDAG_WG_SR.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itu.int/md/meetingdoc.asp?lang=en&amp;parent=S22-PP-C-0136" TargetMode="External"/><Relationship Id="rId17" Type="http://schemas.openxmlformats.org/officeDocument/2006/relationships/hyperlink" Target="https://www.itu.int/md/meetingdoc.asp?lang=en&amp;parent=D22-TDAG31-C-002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D/Conferences/TDAG/Pages/2024/TDAG_WG_futureSGQ.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meetingdoc.asp?lang=en&amp;parent=S24-CL-C-0030"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itu.int/md/meetingdoc.asp?lang=en&amp;parent=D22-TDAG31-C-0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4/en"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runo.ramo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2A0F6C24-7247-4DA1-8A82-1D2BD99A7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8C648-AB2E-4983-9CB3-D6A28171DF11}">
  <ds:schemaRefs>
    <ds:schemaRef ds:uri="http://schemas.openxmlformats.org/officeDocument/2006/bibliography"/>
  </ds:schemaRefs>
</ds:datastoreItem>
</file>

<file path=customXml/itemProps4.xml><?xml version="1.0" encoding="utf-8"?>
<ds:datastoreItem xmlns:ds="http://schemas.openxmlformats.org/officeDocument/2006/customXml" ds:itemID="{55137748-048B-4D24-B229-4D8B58308DF2}">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6732</CharactersWithSpaces>
  <SharedDoc>false</SharedDoc>
  <HLinks>
    <vt:vector size="60" baseType="variant">
      <vt:variant>
        <vt:i4>1245214</vt:i4>
      </vt:variant>
      <vt:variant>
        <vt:i4>24</vt:i4>
      </vt:variant>
      <vt:variant>
        <vt:i4>0</vt:i4>
      </vt:variant>
      <vt:variant>
        <vt:i4>5</vt:i4>
      </vt:variant>
      <vt:variant>
        <vt:lpwstr>https://www.itu.int/en/ITU-D/Conferences/TDAG/Pages/2024/TDAG_WG_futureSGQ.aspx</vt:lpwstr>
      </vt:variant>
      <vt:variant>
        <vt:lpwstr/>
      </vt:variant>
      <vt:variant>
        <vt:i4>7340069</vt:i4>
      </vt:variant>
      <vt:variant>
        <vt:i4>21</vt:i4>
      </vt:variant>
      <vt:variant>
        <vt:i4>0</vt:i4>
      </vt:variant>
      <vt:variant>
        <vt:i4>5</vt:i4>
      </vt:variant>
      <vt:variant>
        <vt:lpwstr>https://www.itu.int/md/meetingdoc.asp?lang=en&amp;parent=D22-TDAG31-C-0019</vt:lpwstr>
      </vt:variant>
      <vt:variant>
        <vt:lpwstr/>
      </vt:variant>
      <vt:variant>
        <vt:i4>3538978</vt:i4>
      </vt:variant>
      <vt:variant>
        <vt:i4>18</vt:i4>
      </vt:variant>
      <vt:variant>
        <vt:i4>0</vt:i4>
      </vt:variant>
      <vt:variant>
        <vt:i4>5</vt:i4>
      </vt:variant>
      <vt:variant>
        <vt:lpwstr>https://www.itu.int/en/ITU-D/Conferences/TDAG/Pages/2024/TDAG_WG_SR.aspx</vt:lpwstr>
      </vt:variant>
      <vt:variant>
        <vt:lpwstr/>
      </vt:variant>
      <vt:variant>
        <vt:i4>8126502</vt:i4>
      </vt:variant>
      <vt:variant>
        <vt:i4>15</vt:i4>
      </vt:variant>
      <vt:variant>
        <vt:i4>0</vt:i4>
      </vt:variant>
      <vt:variant>
        <vt:i4>5</vt:i4>
      </vt:variant>
      <vt:variant>
        <vt:lpwstr>https://www.itu.int/md/meetingdoc.asp?lang=en&amp;parent=D22-TDAG31-C-0025</vt:lpwstr>
      </vt:variant>
      <vt:variant>
        <vt:lpwstr/>
      </vt:variant>
      <vt:variant>
        <vt:i4>1245214</vt:i4>
      </vt:variant>
      <vt:variant>
        <vt:i4>12</vt:i4>
      </vt:variant>
      <vt:variant>
        <vt:i4>0</vt:i4>
      </vt:variant>
      <vt:variant>
        <vt:i4>5</vt:i4>
      </vt:variant>
      <vt:variant>
        <vt:lpwstr>https://www.itu.int/en/ITU-D/Conferences/TDAG/Pages/2024/TDAG_WG_futureSGQ.aspx</vt:lpwstr>
      </vt:variant>
      <vt:variant>
        <vt:lpwstr/>
      </vt:variant>
      <vt:variant>
        <vt:i4>2949241</vt:i4>
      </vt:variant>
      <vt:variant>
        <vt:i4>9</vt:i4>
      </vt:variant>
      <vt:variant>
        <vt:i4>0</vt:i4>
      </vt:variant>
      <vt:variant>
        <vt:i4>5</vt:i4>
      </vt:variant>
      <vt:variant>
        <vt:lpwstr>https://www.itu.int/md/meetingdoc.asp?lang=en&amp;parent=S24-CL-C-0030</vt:lpwstr>
      </vt:variant>
      <vt:variant>
        <vt:lpwstr/>
      </vt:variant>
      <vt:variant>
        <vt:i4>2490464</vt:i4>
      </vt:variant>
      <vt:variant>
        <vt:i4>6</vt:i4>
      </vt:variant>
      <vt:variant>
        <vt:i4>0</vt:i4>
      </vt:variant>
      <vt:variant>
        <vt:i4>5</vt:i4>
      </vt:variant>
      <vt:variant>
        <vt:lpwstr>https://www.itu.int/md/D22-TDAG31-C-0024/en</vt:lpwstr>
      </vt:variant>
      <vt:variant>
        <vt:lpwstr/>
      </vt:variant>
      <vt:variant>
        <vt:i4>589888</vt:i4>
      </vt:variant>
      <vt:variant>
        <vt:i4>3</vt:i4>
      </vt:variant>
      <vt:variant>
        <vt:i4>0</vt:i4>
      </vt:variant>
      <vt:variant>
        <vt:i4>5</vt:i4>
      </vt:variant>
      <vt:variant>
        <vt:lpwstr>https://www.itu.int/md/S23-SG-CIR-0051/en</vt:lpwstr>
      </vt:variant>
      <vt:variant>
        <vt:lpwstr/>
      </vt:variant>
      <vt:variant>
        <vt:i4>4128869</vt:i4>
      </vt:variant>
      <vt:variant>
        <vt:i4>0</vt:i4>
      </vt:variant>
      <vt:variant>
        <vt:i4>0</vt:i4>
      </vt:variant>
      <vt:variant>
        <vt:i4>5</vt:i4>
      </vt:variant>
      <vt:variant>
        <vt:lpwstr>https://www.itu.int/md/meetingdoc.asp?lang=en&amp;parent=S22-PP-C-0136</vt:lpwstr>
      </vt:variant>
      <vt:variant>
        <vt:lpwstr/>
      </vt:variant>
      <vt:variant>
        <vt:i4>7798786</vt:i4>
      </vt:variant>
      <vt:variant>
        <vt:i4>3</vt:i4>
      </vt:variant>
      <vt:variant>
        <vt:i4>0</vt:i4>
      </vt:variant>
      <vt:variant>
        <vt:i4>5</vt:i4>
      </vt:variant>
      <vt:variant>
        <vt:lpwstr>mailto:bruno.ramos@itu.int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Comas Barnes, Maite</cp:lastModifiedBy>
  <cp:revision>3</cp:revision>
  <cp:lastPrinted>2014-11-04T18:22:00Z</cp:lastPrinted>
  <dcterms:created xsi:type="dcterms:W3CDTF">2024-05-15T19:17:00Z</dcterms:created>
  <dcterms:modified xsi:type="dcterms:W3CDTF">2024-05-15T19:17:00Z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