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9"/>
        <w:gridCol w:w="3509"/>
      </w:tblGrid>
      <w:tr w:rsidR="004C062F" w14:paraId="65E59A36" w14:textId="77777777">
        <w:trPr>
          <w:cantSplit/>
          <w:trHeight w:val="1134"/>
        </w:trPr>
        <w:tc>
          <w:tcPr>
            <w:tcW w:w="6379" w:type="dxa"/>
          </w:tcPr>
          <w:p w14:paraId="3B9E5C78" w14:textId="77777777" w:rsidR="004C062F" w:rsidRDefault="005945A8">
            <w:pPr>
              <w:tabs>
                <w:tab w:val="clear" w:pos="1191"/>
                <w:tab w:val="clear" w:pos="1588"/>
                <w:tab w:val="clear" w:pos="1985"/>
              </w:tabs>
              <w:spacing w:before="280" w:after="120"/>
              <w:ind w:left="34"/>
              <w:rPr>
                <w:b/>
                <w:bCs/>
                <w:sz w:val="32"/>
                <w:szCs w:val="32"/>
                <w:lang w:eastAsia="zh-CN"/>
              </w:rPr>
            </w:pPr>
            <w:r>
              <w:rPr>
                <w:rFonts w:eastAsia="SimSun" w:hint="eastAsia"/>
                <w:b/>
                <w:bCs/>
                <w:sz w:val="32"/>
                <w:szCs w:val="32"/>
                <w:lang w:eastAsia="zh-CN"/>
              </w:rPr>
              <w:t>电信发展顾问组（</w:t>
            </w:r>
            <w:r>
              <w:rPr>
                <w:rFonts w:eastAsia="SimSun"/>
                <w:b/>
                <w:bCs/>
                <w:sz w:val="32"/>
                <w:szCs w:val="32"/>
                <w:lang w:eastAsia="zh-CN"/>
              </w:rPr>
              <w:t>TDAG</w:t>
            </w:r>
            <w:r>
              <w:rPr>
                <w:rFonts w:eastAsia="SimSun" w:hint="eastAsia"/>
                <w:b/>
                <w:bCs/>
                <w:sz w:val="32"/>
                <w:szCs w:val="32"/>
                <w:lang w:eastAsia="zh-CN"/>
              </w:rPr>
              <w:t>）</w:t>
            </w:r>
          </w:p>
          <w:p w14:paraId="454E3FEF" w14:textId="77777777" w:rsidR="004C062F" w:rsidRDefault="005945A8">
            <w:pPr>
              <w:tabs>
                <w:tab w:val="clear" w:pos="1191"/>
                <w:tab w:val="clear" w:pos="1588"/>
                <w:tab w:val="clear" w:pos="1985"/>
              </w:tabs>
              <w:spacing w:before="100" w:after="120"/>
              <w:ind w:left="34"/>
              <w:rPr>
                <w:rFonts w:ascii="Verdana" w:hAnsi="Verdana"/>
                <w:sz w:val="28"/>
                <w:szCs w:val="28"/>
                <w:lang w:eastAsia="zh-CN"/>
              </w:rPr>
            </w:pPr>
            <w:r>
              <w:rPr>
                <w:rFonts w:eastAsia="SimSun" w:hint="eastAsia"/>
                <w:b/>
                <w:bCs/>
                <w:sz w:val="26"/>
                <w:szCs w:val="26"/>
                <w:lang w:eastAsia="zh-CN"/>
              </w:rPr>
              <w:t>第</w:t>
            </w:r>
            <w:r>
              <w:rPr>
                <w:rFonts w:eastAsia="SimSun" w:hint="eastAsia"/>
                <w:b/>
                <w:bCs/>
                <w:sz w:val="26"/>
                <w:szCs w:val="26"/>
                <w:lang w:eastAsia="zh-CN"/>
              </w:rPr>
              <w:t>31</w:t>
            </w:r>
            <w:r>
              <w:rPr>
                <w:rFonts w:eastAsia="SimSun" w:hint="eastAsia"/>
                <w:b/>
                <w:bCs/>
                <w:sz w:val="26"/>
                <w:szCs w:val="26"/>
                <w:lang w:eastAsia="zh-CN"/>
              </w:rPr>
              <w:t>次会议，瑞士日内瓦，</w:t>
            </w:r>
            <w:r>
              <w:rPr>
                <w:rFonts w:eastAsia="SimSun" w:hint="eastAsia"/>
                <w:b/>
                <w:bCs/>
                <w:sz w:val="26"/>
                <w:szCs w:val="26"/>
                <w:lang w:eastAsia="zh-CN"/>
              </w:rPr>
              <w:t>2024</w:t>
            </w:r>
            <w:r>
              <w:rPr>
                <w:rFonts w:eastAsia="SimSun" w:hint="eastAsia"/>
                <w:b/>
                <w:bCs/>
                <w:sz w:val="26"/>
                <w:szCs w:val="26"/>
                <w:lang w:eastAsia="zh-CN"/>
              </w:rPr>
              <w:t>年</w:t>
            </w:r>
            <w:r>
              <w:rPr>
                <w:rFonts w:eastAsia="SimSun" w:hint="eastAsia"/>
                <w:b/>
                <w:bCs/>
                <w:sz w:val="26"/>
                <w:szCs w:val="26"/>
                <w:lang w:eastAsia="zh-CN"/>
              </w:rPr>
              <w:t>5</w:t>
            </w:r>
            <w:r>
              <w:rPr>
                <w:rFonts w:eastAsia="SimSun" w:hint="eastAsia"/>
                <w:b/>
                <w:bCs/>
                <w:sz w:val="26"/>
                <w:szCs w:val="26"/>
                <w:lang w:eastAsia="zh-CN"/>
              </w:rPr>
              <w:t>月</w:t>
            </w:r>
            <w:r>
              <w:rPr>
                <w:rFonts w:eastAsia="SimSun" w:hint="eastAsia"/>
                <w:b/>
                <w:bCs/>
                <w:sz w:val="26"/>
                <w:szCs w:val="26"/>
                <w:lang w:eastAsia="zh-CN"/>
              </w:rPr>
              <w:t>20-23</w:t>
            </w:r>
            <w:r>
              <w:rPr>
                <w:rFonts w:eastAsia="SimSun" w:hint="eastAsia"/>
                <w:b/>
                <w:bCs/>
                <w:sz w:val="26"/>
                <w:szCs w:val="26"/>
                <w:lang w:eastAsia="zh-CN"/>
              </w:rPr>
              <w:t>日</w:t>
            </w:r>
          </w:p>
        </w:tc>
        <w:tc>
          <w:tcPr>
            <w:tcW w:w="3509" w:type="dxa"/>
          </w:tcPr>
          <w:p w14:paraId="65F79395" w14:textId="77777777" w:rsidR="004C062F" w:rsidRDefault="005945A8">
            <w:pPr>
              <w:spacing w:after="120"/>
              <w:ind w:right="142"/>
              <w:jc w:val="right"/>
            </w:pPr>
            <w:r>
              <w:rPr>
                <w:noProof/>
                <w:lang w:val="fr-FR" w:eastAsia="fr-FR"/>
              </w:rPr>
              <w:drawing>
                <wp:inline distT="0" distB="0" distL="0" distR="0" wp14:anchorId="5F365EF6" wp14:editId="43E5E0C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C062F" w14:paraId="7F50D2A2" w14:textId="77777777">
        <w:trPr>
          <w:cantSplit/>
        </w:trPr>
        <w:tc>
          <w:tcPr>
            <w:tcW w:w="6379" w:type="dxa"/>
            <w:tcBorders>
              <w:top w:val="single" w:sz="12" w:space="0" w:color="auto"/>
            </w:tcBorders>
          </w:tcPr>
          <w:p w14:paraId="3459F6B7" w14:textId="77777777" w:rsidR="004C062F" w:rsidRDefault="004C062F">
            <w:pPr>
              <w:spacing w:before="0"/>
              <w:rPr>
                <w:rFonts w:cs="Arial"/>
                <w:b/>
                <w:bCs/>
                <w:sz w:val="20"/>
              </w:rPr>
            </w:pPr>
          </w:p>
        </w:tc>
        <w:tc>
          <w:tcPr>
            <w:tcW w:w="3509" w:type="dxa"/>
            <w:tcBorders>
              <w:top w:val="single" w:sz="12" w:space="0" w:color="auto"/>
            </w:tcBorders>
          </w:tcPr>
          <w:p w14:paraId="7A5A8FF0" w14:textId="77777777" w:rsidR="004C062F" w:rsidRDefault="004C062F">
            <w:pPr>
              <w:spacing w:before="0"/>
              <w:rPr>
                <w:b/>
                <w:bCs/>
                <w:sz w:val="20"/>
              </w:rPr>
            </w:pPr>
          </w:p>
        </w:tc>
      </w:tr>
      <w:tr w:rsidR="004C062F" w14:paraId="315C52EE" w14:textId="77777777">
        <w:trPr>
          <w:cantSplit/>
        </w:trPr>
        <w:tc>
          <w:tcPr>
            <w:tcW w:w="6379" w:type="dxa"/>
          </w:tcPr>
          <w:p w14:paraId="5AAD9925" w14:textId="77777777" w:rsidR="004C062F" w:rsidRDefault="004C062F">
            <w:pPr>
              <w:pStyle w:val="Committee"/>
              <w:spacing w:before="0"/>
              <w:rPr>
                <w:b w:val="0"/>
                <w:szCs w:val="24"/>
              </w:rPr>
            </w:pPr>
          </w:p>
        </w:tc>
        <w:tc>
          <w:tcPr>
            <w:tcW w:w="3509" w:type="dxa"/>
          </w:tcPr>
          <w:p w14:paraId="50D909DD" w14:textId="77777777" w:rsidR="004C062F" w:rsidRDefault="005945A8">
            <w:pPr>
              <w:spacing w:before="0"/>
              <w:jc w:val="both"/>
              <w:rPr>
                <w:bCs/>
                <w:szCs w:val="24"/>
                <w:lang w:val="en-US"/>
              </w:rPr>
            </w:pPr>
            <w:proofErr w:type="spellStart"/>
            <w:r>
              <w:rPr>
                <w:rFonts w:hint="eastAsia"/>
                <w:b/>
                <w:bCs/>
                <w:lang w:val="en-US"/>
              </w:rPr>
              <w:t>文件</w:t>
            </w:r>
            <w:proofErr w:type="spellEnd"/>
            <w:r>
              <w:rPr>
                <w:b/>
                <w:bCs/>
                <w:lang w:val="en-US"/>
              </w:rPr>
              <w:t xml:space="preserve"> </w:t>
            </w:r>
            <w:bookmarkStart w:id="0" w:name="DocRef1"/>
            <w:bookmarkEnd w:id="0"/>
            <w:r>
              <w:rPr>
                <w:b/>
                <w:bCs/>
                <w:lang w:val="en-US"/>
              </w:rPr>
              <w:t>TDAG-2</w:t>
            </w:r>
            <w:bookmarkStart w:id="1" w:name="DocNo1"/>
            <w:bookmarkEnd w:id="1"/>
            <w:r>
              <w:rPr>
                <w:rFonts w:hint="eastAsia"/>
                <w:b/>
                <w:bCs/>
                <w:lang w:val="en-US" w:eastAsia="zh-CN"/>
              </w:rPr>
              <w:t>4</w:t>
            </w:r>
            <w:r>
              <w:rPr>
                <w:b/>
                <w:bCs/>
                <w:lang w:val="en-US"/>
              </w:rPr>
              <w:t>/</w:t>
            </w:r>
            <w:r>
              <w:rPr>
                <w:rFonts w:hint="eastAsia"/>
                <w:b/>
                <w:bCs/>
                <w:lang w:val="en-US" w:eastAsia="zh-CN"/>
              </w:rPr>
              <w:t>16</w:t>
            </w:r>
            <w:r>
              <w:rPr>
                <w:b/>
                <w:bCs/>
                <w:lang w:val="en-US"/>
              </w:rPr>
              <w:t>-</w:t>
            </w:r>
            <w:r>
              <w:rPr>
                <w:rFonts w:hint="eastAsia"/>
                <w:b/>
                <w:bCs/>
                <w:lang w:val="en-US" w:eastAsia="zh-CN"/>
              </w:rPr>
              <w:t>C</w:t>
            </w:r>
          </w:p>
        </w:tc>
      </w:tr>
      <w:tr w:rsidR="004C062F" w14:paraId="7DDA983A" w14:textId="77777777">
        <w:trPr>
          <w:cantSplit/>
        </w:trPr>
        <w:tc>
          <w:tcPr>
            <w:tcW w:w="6379" w:type="dxa"/>
          </w:tcPr>
          <w:p w14:paraId="3DE640AA" w14:textId="77777777" w:rsidR="004C062F" w:rsidRDefault="004C062F">
            <w:pPr>
              <w:spacing w:before="0"/>
              <w:rPr>
                <w:b/>
                <w:bCs/>
                <w:smallCaps/>
                <w:szCs w:val="24"/>
                <w:lang w:val="en-US"/>
              </w:rPr>
            </w:pPr>
          </w:p>
        </w:tc>
        <w:tc>
          <w:tcPr>
            <w:tcW w:w="3509" w:type="dxa"/>
          </w:tcPr>
          <w:p w14:paraId="454B892F" w14:textId="77777777" w:rsidR="004C062F" w:rsidRDefault="005945A8">
            <w:pPr>
              <w:spacing w:before="0"/>
              <w:rPr>
                <w:b/>
                <w:szCs w:val="24"/>
              </w:rPr>
            </w:pPr>
            <w:bookmarkStart w:id="2" w:name="CreationDate"/>
            <w:bookmarkEnd w:id="2"/>
            <w:r>
              <w:rPr>
                <w:rFonts w:eastAsia="SimSun"/>
                <w:b/>
                <w:bCs/>
                <w:szCs w:val="24"/>
              </w:rPr>
              <w:t>2024</w:t>
            </w:r>
            <w:r>
              <w:rPr>
                <w:rFonts w:eastAsia="SimSun"/>
                <w:b/>
                <w:bCs/>
                <w:szCs w:val="24"/>
              </w:rPr>
              <w:t>年</w:t>
            </w:r>
            <w:r>
              <w:rPr>
                <w:rFonts w:eastAsia="SimSun"/>
                <w:b/>
                <w:bCs/>
                <w:szCs w:val="24"/>
              </w:rPr>
              <w:t>4</w:t>
            </w:r>
            <w:r>
              <w:rPr>
                <w:rFonts w:eastAsia="SimSun"/>
                <w:b/>
                <w:bCs/>
                <w:szCs w:val="24"/>
              </w:rPr>
              <w:t>月</w:t>
            </w:r>
            <w:r>
              <w:rPr>
                <w:rFonts w:eastAsia="SimSun"/>
                <w:b/>
                <w:bCs/>
                <w:szCs w:val="24"/>
              </w:rPr>
              <w:t>29</w:t>
            </w:r>
            <w:r>
              <w:rPr>
                <w:rFonts w:eastAsia="SimSun"/>
                <w:b/>
                <w:bCs/>
                <w:szCs w:val="24"/>
              </w:rPr>
              <w:t>日</w:t>
            </w:r>
          </w:p>
        </w:tc>
      </w:tr>
      <w:tr w:rsidR="004C062F" w14:paraId="19BB2D10" w14:textId="77777777">
        <w:trPr>
          <w:cantSplit/>
        </w:trPr>
        <w:tc>
          <w:tcPr>
            <w:tcW w:w="6379" w:type="dxa"/>
          </w:tcPr>
          <w:p w14:paraId="460EE633" w14:textId="77777777" w:rsidR="004C062F" w:rsidRDefault="004C062F">
            <w:pPr>
              <w:spacing w:before="0"/>
              <w:rPr>
                <w:b/>
                <w:bCs/>
                <w:smallCaps/>
                <w:szCs w:val="24"/>
              </w:rPr>
            </w:pPr>
          </w:p>
        </w:tc>
        <w:tc>
          <w:tcPr>
            <w:tcW w:w="3509" w:type="dxa"/>
          </w:tcPr>
          <w:p w14:paraId="44A2198E" w14:textId="77777777" w:rsidR="004C062F" w:rsidRDefault="005945A8">
            <w:pPr>
              <w:spacing w:before="0"/>
              <w:rPr>
                <w:szCs w:val="24"/>
              </w:rPr>
            </w:pPr>
            <w:r>
              <w:rPr>
                <w:rFonts w:hint="eastAsia"/>
                <w:b/>
                <w:lang w:eastAsia="zh-CN"/>
              </w:rPr>
              <w:t>原文：英文</w:t>
            </w:r>
          </w:p>
        </w:tc>
      </w:tr>
      <w:tr w:rsidR="004C062F" w14:paraId="24F20D20" w14:textId="77777777">
        <w:trPr>
          <w:cantSplit/>
          <w:trHeight w:val="852"/>
        </w:trPr>
        <w:tc>
          <w:tcPr>
            <w:tcW w:w="9888" w:type="dxa"/>
            <w:gridSpan w:val="2"/>
          </w:tcPr>
          <w:p w14:paraId="3CBC7570" w14:textId="77777777" w:rsidR="004C062F" w:rsidRDefault="005945A8">
            <w:pPr>
              <w:pStyle w:val="Source"/>
            </w:pPr>
            <w:bookmarkStart w:id="3" w:name="Source"/>
            <w:bookmarkEnd w:id="3"/>
            <w:r>
              <w:rPr>
                <w:rFonts w:hint="eastAsia"/>
                <w:lang w:eastAsia="zh-CN"/>
              </w:rPr>
              <w:t>电信发展局主任</w:t>
            </w:r>
          </w:p>
        </w:tc>
      </w:tr>
      <w:tr w:rsidR="004C062F" w14:paraId="74A86F8F" w14:textId="77777777">
        <w:trPr>
          <w:cantSplit/>
        </w:trPr>
        <w:tc>
          <w:tcPr>
            <w:tcW w:w="9888" w:type="dxa"/>
            <w:gridSpan w:val="2"/>
          </w:tcPr>
          <w:p w14:paraId="74EE4A61" w14:textId="77777777" w:rsidR="004C062F" w:rsidRDefault="005945A8">
            <w:pPr>
              <w:pStyle w:val="Title1"/>
              <w:rPr>
                <w:lang w:eastAsia="zh-CN"/>
              </w:rPr>
            </w:pPr>
            <w:bookmarkStart w:id="4" w:name="Title"/>
            <w:bookmarkEnd w:id="4"/>
            <w:r>
              <w:rPr>
                <w:rFonts w:hint="eastAsia"/>
                <w:lang w:eastAsia="zh-CN"/>
              </w:rPr>
              <w:t>数字</w:t>
            </w:r>
            <w:r>
              <w:rPr>
                <w:rFonts w:hint="eastAsia"/>
                <w:lang w:val="en-US" w:eastAsia="zh-CN"/>
              </w:rPr>
              <w:t>化</w:t>
            </w:r>
            <w:r>
              <w:rPr>
                <w:rFonts w:hint="eastAsia"/>
                <w:lang w:eastAsia="zh-CN"/>
              </w:rPr>
              <w:t>发展创新</w:t>
            </w:r>
            <w:r>
              <w:rPr>
                <w:rFonts w:hint="eastAsia"/>
                <w:lang w:val="en-US" w:eastAsia="zh-CN"/>
              </w:rPr>
              <w:t>和</w:t>
            </w:r>
            <w:r>
              <w:rPr>
                <w:rFonts w:hint="eastAsia"/>
                <w:lang w:eastAsia="zh-CN"/>
              </w:rPr>
              <w:t>创业联盟</w:t>
            </w:r>
          </w:p>
        </w:tc>
      </w:tr>
      <w:tr w:rsidR="004C062F" w14:paraId="54D8D566" w14:textId="77777777">
        <w:trPr>
          <w:cantSplit/>
        </w:trPr>
        <w:tc>
          <w:tcPr>
            <w:tcW w:w="9888" w:type="dxa"/>
            <w:gridSpan w:val="2"/>
            <w:tcBorders>
              <w:bottom w:val="single" w:sz="4" w:space="0" w:color="auto"/>
            </w:tcBorders>
          </w:tcPr>
          <w:p w14:paraId="7CCCB8C2" w14:textId="77777777" w:rsidR="004C062F" w:rsidRDefault="004C062F">
            <w:pPr>
              <w:rPr>
                <w:lang w:eastAsia="zh-CN"/>
              </w:rPr>
            </w:pPr>
          </w:p>
        </w:tc>
      </w:tr>
      <w:tr w:rsidR="004C062F" w14:paraId="6FF6EB66"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1D7F8BB0" w14:textId="77777777" w:rsidR="004C062F" w:rsidRDefault="005945A8">
            <w:pPr>
              <w:spacing w:after="120"/>
              <w:rPr>
                <w:b/>
                <w:bCs/>
                <w:szCs w:val="24"/>
                <w:lang w:eastAsia="zh-CN"/>
              </w:rPr>
            </w:pPr>
            <w:r>
              <w:rPr>
                <w:rFonts w:hint="eastAsia"/>
                <w:b/>
                <w:bCs/>
                <w:szCs w:val="24"/>
                <w:lang w:eastAsia="zh-CN"/>
              </w:rPr>
              <w:t>概要：</w:t>
            </w:r>
          </w:p>
          <w:p w14:paraId="411EAC6A" w14:textId="77777777" w:rsidR="004C062F" w:rsidRDefault="005945A8" w:rsidP="009D4A9C">
            <w:pPr>
              <w:spacing w:after="120"/>
              <w:ind w:firstLineChars="200" w:firstLine="480"/>
              <w:rPr>
                <w:szCs w:val="24"/>
                <w:lang w:eastAsia="zh-CN"/>
              </w:rPr>
            </w:pPr>
            <w:r>
              <w:rPr>
                <w:rFonts w:hint="eastAsia"/>
                <w:szCs w:val="24"/>
                <w:lang w:eastAsia="zh-CN"/>
              </w:rPr>
              <w:t>如</w:t>
            </w:r>
            <w:r>
              <w:rPr>
                <w:rFonts w:hint="eastAsia"/>
                <w:szCs w:val="24"/>
                <w:lang w:eastAsia="zh-CN"/>
              </w:rPr>
              <w:t>2022</w:t>
            </w:r>
            <w:r>
              <w:rPr>
                <w:rFonts w:hint="eastAsia"/>
                <w:szCs w:val="24"/>
                <w:lang w:eastAsia="zh-CN"/>
              </w:rPr>
              <w:t>年世界电信发展大会（</w:t>
            </w:r>
            <w:r>
              <w:rPr>
                <w:rFonts w:hint="eastAsia"/>
                <w:szCs w:val="24"/>
                <w:lang w:eastAsia="zh-CN"/>
              </w:rPr>
              <w:t>WTDC-22</w:t>
            </w:r>
            <w:r>
              <w:rPr>
                <w:rFonts w:hint="eastAsia"/>
                <w:szCs w:val="24"/>
                <w:lang w:eastAsia="zh-CN"/>
              </w:rPr>
              <w:t>）通过的《基加利行动计划》以及下述国际电联</w:t>
            </w:r>
            <w:r>
              <w:rPr>
                <w:rFonts w:hint="eastAsia"/>
                <w:szCs w:val="24"/>
                <w:lang w:eastAsia="zh-CN"/>
              </w:rPr>
              <w:t>2022</w:t>
            </w:r>
            <w:r>
              <w:rPr>
                <w:rFonts w:hint="eastAsia"/>
                <w:szCs w:val="24"/>
                <w:lang w:eastAsia="zh-CN"/>
              </w:rPr>
              <w:t>年全权代表大会（</w:t>
            </w:r>
            <w:r>
              <w:rPr>
                <w:rFonts w:hint="eastAsia"/>
                <w:szCs w:val="24"/>
                <w:lang w:eastAsia="zh-CN"/>
              </w:rPr>
              <w:t>PP-22</w:t>
            </w:r>
            <w:r>
              <w:rPr>
                <w:rFonts w:hint="eastAsia"/>
                <w:szCs w:val="24"/>
                <w:lang w:eastAsia="zh-CN"/>
              </w:rPr>
              <w:t>）的相关决议所述，本文件介绍了为应对国际电联成员在创新领域大量未得到满足的需求而成立的</w:t>
            </w:r>
            <w:r>
              <w:fldChar w:fldCharType="begin"/>
            </w:r>
            <w:r>
              <w:rPr>
                <w:lang w:eastAsia="zh-CN"/>
              </w:rPr>
              <w:instrText xml:space="preserve"> HYPERLINK "https://www.itu.int/itu-d/sites/innovation-alliance/" </w:instrText>
            </w:r>
            <w:r>
              <w:fldChar w:fldCharType="separate"/>
            </w:r>
            <w:r>
              <w:rPr>
                <w:rStyle w:val="s23"/>
                <w:rFonts w:hint="eastAsia"/>
                <w:color w:val="0000FF"/>
                <w:szCs w:val="24"/>
                <w:u w:val="single"/>
                <w:lang w:eastAsia="zh-CN"/>
              </w:rPr>
              <w:t>数字化发展创新和创业联盟</w:t>
            </w:r>
            <w:r>
              <w:rPr>
                <w:rStyle w:val="s23"/>
                <w:color w:val="0000FF"/>
                <w:szCs w:val="24"/>
                <w:u w:val="single"/>
              </w:rPr>
              <w:fldChar w:fldCharType="end"/>
            </w:r>
            <w:r>
              <w:rPr>
                <w:rFonts w:hint="eastAsia"/>
                <w:szCs w:val="24"/>
                <w:lang w:eastAsia="zh-CN"/>
              </w:rPr>
              <w:t>的最新情况。</w:t>
            </w:r>
          </w:p>
          <w:p w14:paraId="50C9314E" w14:textId="77777777" w:rsidR="004C062F" w:rsidRDefault="005945A8" w:rsidP="009D4A9C">
            <w:pPr>
              <w:spacing w:after="120"/>
              <w:ind w:firstLineChars="200" w:firstLine="480"/>
              <w:rPr>
                <w:szCs w:val="24"/>
                <w:lang w:eastAsia="zh-CN"/>
              </w:rPr>
            </w:pPr>
            <w:r>
              <w:rPr>
                <w:rFonts w:hint="eastAsia"/>
                <w:szCs w:val="24"/>
                <w:lang w:eastAsia="zh-CN"/>
              </w:rPr>
              <w:t>该联盟将为落实</w:t>
            </w:r>
            <w:r>
              <w:rPr>
                <w:rFonts w:hint="eastAsia"/>
                <w:szCs w:val="24"/>
                <w:lang w:eastAsia="zh-CN"/>
              </w:rPr>
              <w:t>WTDC-22</w:t>
            </w:r>
            <w:r>
              <w:rPr>
                <w:rFonts w:hint="eastAsia"/>
                <w:szCs w:val="24"/>
                <w:lang w:eastAsia="zh-CN"/>
              </w:rPr>
              <w:t>的五个优先领域和</w:t>
            </w:r>
            <w:r>
              <w:rPr>
                <w:rStyle w:val="s22"/>
                <w:rFonts w:eastAsia="SimSun"/>
                <w:color w:val="000000"/>
                <w:szCs w:val="24"/>
                <w:lang w:eastAsia="zh-CN"/>
              </w:rPr>
              <w:t>数字化转型</w:t>
            </w:r>
            <w:r>
              <w:rPr>
                <w:rFonts w:hint="eastAsia"/>
                <w:szCs w:val="24"/>
                <w:lang w:eastAsia="zh-CN"/>
              </w:rPr>
              <w:t>领域贡献力量。</w:t>
            </w:r>
          </w:p>
          <w:p w14:paraId="51754C29" w14:textId="77777777" w:rsidR="004C062F" w:rsidRDefault="005945A8" w:rsidP="009D4A9C">
            <w:pPr>
              <w:spacing w:after="120"/>
              <w:ind w:firstLineChars="200" w:firstLine="480"/>
              <w:rPr>
                <w:szCs w:val="24"/>
                <w:lang w:eastAsia="zh-CN"/>
              </w:rPr>
            </w:pPr>
            <w:r>
              <w:rPr>
                <w:rFonts w:hint="eastAsia"/>
                <w:szCs w:val="24"/>
                <w:lang w:val="en-US" w:eastAsia="zh-CN"/>
              </w:rPr>
              <w:t>本</w:t>
            </w:r>
            <w:r>
              <w:rPr>
                <w:rFonts w:hint="eastAsia"/>
                <w:szCs w:val="24"/>
                <w:lang w:eastAsia="zh-CN"/>
              </w:rPr>
              <w:t>文件介绍了与数字</w:t>
            </w:r>
            <w:r>
              <w:rPr>
                <w:rFonts w:hint="eastAsia"/>
                <w:szCs w:val="24"/>
                <w:lang w:val="en-US" w:eastAsia="zh-CN"/>
              </w:rPr>
              <w:t>化</w:t>
            </w:r>
            <w:r>
              <w:rPr>
                <w:rFonts w:hint="eastAsia"/>
                <w:szCs w:val="24"/>
                <w:lang w:eastAsia="zh-CN"/>
              </w:rPr>
              <w:t>发展创新</w:t>
            </w:r>
            <w:r>
              <w:rPr>
                <w:rFonts w:hint="eastAsia"/>
                <w:szCs w:val="24"/>
                <w:lang w:val="en-US" w:eastAsia="zh-CN"/>
              </w:rPr>
              <w:t>和</w:t>
            </w:r>
            <w:r>
              <w:rPr>
                <w:rFonts w:hint="eastAsia"/>
                <w:szCs w:val="24"/>
                <w:lang w:eastAsia="zh-CN"/>
              </w:rPr>
              <w:t>创业联盟合作取得的进展，并对即将开展的落实活动给出了深刻见解。该举措将有助于成功实施与创新和创业相关的区域性举措</w:t>
            </w:r>
            <w:r>
              <w:rPr>
                <w:rStyle w:val="s22"/>
                <w:rFonts w:eastAsia="SimSun"/>
                <w:color w:val="000000"/>
                <w:szCs w:val="24"/>
                <w:lang w:eastAsia="zh-CN"/>
              </w:rPr>
              <w:t>下的</w:t>
            </w:r>
            <w:r>
              <w:rPr>
                <w:rFonts w:hint="eastAsia"/>
                <w:szCs w:val="24"/>
                <w:lang w:eastAsia="zh-CN"/>
              </w:rPr>
              <w:t>项目。</w:t>
            </w:r>
          </w:p>
          <w:p w14:paraId="1BF79E08" w14:textId="77777777" w:rsidR="004C062F" w:rsidRDefault="005945A8">
            <w:pPr>
              <w:spacing w:after="120"/>
              <w:rPr>
                <w:b/>
                <w:bCs/>
                <w:szCs w:val="24"/>
                <w:lang w:eastAsia="zh-CN"/>
              </w:rPr>
            </w:pPr>
            <w:r>
              <w:rPr>
                <w:rFonts w:hint="eastAsia"/>
                <w:b/>
                <w:bCs/>
                <w:szCs w:val="24"/>
                <w:lang w:eastAsia="zh-CN"/>
              </w:rPr>
              <w:t>需采取的行动：</w:t>
            </w:r>
          </w:p>
          <w:p w14:paraId="05766A48" w14:textId="77777777" w:rsidR="004C062F" w:rsidRDefault="005945A8" w:rsidP="009D4A9C">
            <w:pPr>
              <w:spacing w:after="120"/>
              <w:ind w:firstLineChars="200" w:firstLine="480"/>
              <w:rPr>
                <w:szCs w:val="24"/>
                <w:lang w:eastAsia="zh-CN"/>
              </w:rPr>
            </w:pPr>
            <w:r>
              <w:rPr>
                <w:szCs w:val="24"/>
                <w:lang w:val="zh-CN" w:eastAsia="zh-CN"/>
              </w:rPr>
              <w:t>请</w:t>
            </w:r>
            <w:r>
              <w:rPr>
                <w:szCs w:val="24"/>
                <w:lang w:val="zh-CN" w:eastAsia="zh-CN"/>
              </w:rPr>
              <w:t>TDAG</w:t>
            </w:r>
            <w:r>
              <w:rPr>
                <w:szCs w:val="24"/>
                <w:lang w:val="zh-CN" w:eastAsia="zh-CN"/>
              </w:rPr>
              <w:t>将本文件记录在案并酌情提供指导。</w:t>
            </w:r>
          </w:p>
          <w:p w14:paraId="2AD809AD" w14:textId="77777777" w:rsidR="004C062F" w:rsidRDefault="005945A8">
            <w:pPr>
              <w:spacing w:after="120"/>
              <w:rPr>
                <w:b/>
                <w:bCs/>
                <w:szCs w:val="24"/>
                <w:lang w:eastAsia="zh-CN"/>
              </w:rPr>
            </w:pPr>
            <w:r>
              <w:rPr>
                <w:rFonts w:hint="eastAsia"/>
                <w:b/>
                <w:bCs/>
                <w:szCs w:val="24"/>
                <w:lang w:eastAsia="zh-CN"/>
              </w:rPr>
              <w:t>参考文件：</w:t>
            </w:r>
          </w:p>
          <w:p w14:paraId="3CF7EA32" w14:textId="77777777" w:rsidR="004C062F" w:rsidRDefault="005945A8" w:rsidP="009D4A9C">
            <w:pPr>
              <w:pStyle w:val="s21"/>
              <w:spacing w:before="120" w:beforeAutospacing="0" w:after="120" w:afterAutospacing="0"/>
              <w:ind w:firstLineChars="200" w:firstLine="480"/>
              <w:rPr>
                <w:color w:val="000000"/>
                <w:sz w:val="24"/>
                <w:szCs w:val="24"/>
                <w:lang w:eastAsia="zh-CN"/>
              </w:rPr>
            </w:pPr>
            <w:r>
              <w:rPr>
                <w:sz w:val="24"/>
                <w:szCs w:val="24"/>
                <w:lang w:val="zh-CN" w:eastAsia="zh-CN"/>
              </w:rPr>
              <w:t>WTDC</w:t>
            </w:r>
            <w:r>
              <w:rPr>
                <w:sz w:val="24"/>
                <w:szCs w:val="24"/>
                <w:lang w:val="zh-CN" w:eastAsia="zh-CN"/>
              </w:rPr>
              <w:t>第</w:t>
            </w:r>
            <w:r>
              <w:rPr>
                <w:sz w:val="24"/>
                <w:szCs w:val="24"/>
                <w:lang w:val="zh-CN" w:eastAsia="zh-CN"/>
              </w:rPr>
              <w:t>90</w:t>
            </w:r>
            <w:r>
              <w:rPr>
                <w:sz w:val="24"/>
                <w:szCs w:val="24"/>
                <w:lang w:val="zh-CN" w:eastAsia="zh-CN"/>
              </w:rPr>
              <w:t>、</w:t>
            </w:r>
            <w:r>
              <w:rPr>
                <w:sz w:val="24"/>
                <w:szCs w:val="24"/>
                <w:lang w:val="zh-CN" w:eastAsia="zh-CN"/>
              </w:rPr>
              <w:t>89</w:t>
            </w:r>
            <w:r>
              <w:rPr>
                <w:sz w:val="24"/>
                <w:szCs w:val="24"/>
                <w:lang w:val="zh-CN" w:eastAsia="zh-CN"/>
              </w:rPr>
              <w:t>和</w:t>
            </w:r>
            <w:r>
              <w:rPr>
                <w:sz w:val="24"/>
                <w:szCs w:val="24"/>
                <w:lang w:val="zh-CN" w:eastAsia="zh-CN"/>
              </w:rPr>
              <w:t>85</w:t>
            </w:r>
            <w:r>
              <w:rPr>
                <w:sz w:val="24"/>
                <w:szCs w:val="24"/>
                <w:lang w:val="zh-CN" w:eastAsia="zh-CN"/>
              </w:rPr>
              <w:t>号决议（</w:t>
            </w:r>
            <w:r>
              <w:rPr>
                <w:sz w:val="24"/>
                <w:szCs w:val="24"/>
                <w:lang w:val="zh-CN" w:eastAsia="zh-CN"/>
              </w:rPr>
              <w:t>2022</w:t>
            </w:r>
            <w:r>
              <w:rPr>
                <w:sz w:val="24"/>
                <w:szCs w:val="24"/>
                <w:lang w:val="zh-CN" w:eastAsia="zh-CN"/>
              </w:rPr>
              <w:t>年，基加利）</w:t>
            </w:r>
          </w:p>
          <w:p w14:paraId="0DE04A6C" w14:textId="77777777" w:rsidR="004C062F" w:rsidRDefault="005945A8" w:rsidP="009D4A9C">
            <w:pPr>
              <w:pStyle w:val="s21"/>
              <w:spacing w:before="120" w:beforeAutospacing="0" w:after="120" w:afterAutospacing="0"/>
              <w:ind w:firstLineChars="200" w:firstLine="480"/>
              <w:rPr>
                <w:color w:val="000000"/>
                <w:sz w:val="24"/>
                <w:szCs w:val="24"/>
                <w:lang w:eastAsia="zh-CN"/>
              </w:rPr>
            </w:pPr>
            <w:r>
              <w:rPr>
                <w:sz w:val="24"/>
                <w:szCs w:val="24"/>
                <w:lang w:val="zh-CN" w:eastAsia="zh-CN"/>
              </w:rPr>
              <w:t>国际电联区域性举措</w:t>
            </w:r>
            <w:r>
              <w:rPr>
                <w:sz w:val="24"/>
                <w:szCs w:val="24"/>
                <w:lang w:val="zh-CN" w:eastAsia="zh-CN"/>
              </w:rPr>
              <w:t xml:space="preserve"> AFR4</w:t>
            </w:r>
            <w:r>
              <w:rPr>
                <w:sz w:val="24"/>
                <w:szCs w:val="24"/>
                <w:lang w:val="zh-CN" w:eastAsia="zh-CN"/>
              </w:rPr>
              <w:t>、</w:t>
            </w:r>
            <w:r>
              <w:rPr>
                <w:sz w:val="24"/>
                <w:szCs w:val="24"/>
                <w:lang w:val="zh-CN" w:eastAsia="zh-CN"/>
              </w:rPr>
              <w:t>AMS3</w:t>
            </w:r>
            <w:r>
              <w:rPr>
                <w:sz w:val="24"/>
                <w:szCs w:val="24"/>
                <w:lang w:val="zh-CN" w:eastAsia="zh-CN"/>
              </w:rPr>
              <w:t>、</w:t>
            </w:r>
            <w:r>
              <w:rPr>
                <w:sz w:val="24"/>
                <w:szCs w:val="24"/>
                <w:lang w:val="zh-CN" w:eastAsia="zh-CN"/>
              </w:rPr>
              <w:t>ARB4</w:t>
            </w:r>
            <w:r>
              <w:rPr>
                <w:sz w:val="24"/>
                <w:szCs w:val="24"/>
                <w:lang w:val="zh-CN" w:eastAsia="zh-CN"/>
              </w:rPr>
              <w:t>、</w:t>
            </w:r>
            <w:r>
              <w:rPr>
                <w:sz w:val="24"/>
                <w:szCs w:val="24"/>
                <w:lang w:val="zh-CN" w:eastAsia="zh-CN"/>
              </w:rPr>
              <w:t>ASP4</w:t>
            </w:r>
            <w:r>
              <w:rPr>
                <w:sz w:val="24"/>
                <w:szCs w:val="24"/>
                <w:lang w:val="zh-CN" w:eastAsia="zh-CN"/>
              </w:rPr>
              <w:t>、</w:t>
            </w:r>
            <w:r>
              <w:rPr>
                <w:sz w:val="24"/>
                <w:szCs w:val="24"/>
                <w:lang w:val="zh-CN" w:eastAsia="zh-CN"/>
              </w:rPr>
              <w:t>CIS3</w:t>
            </w:r>
            <w:r>
              <w:rPr>
                <w:sz w:val="24"/>
                <w:szCs w:val="24"/>
                <w:lang w:val="zh-CN" w:eastAsia="zh-CN"/>
              </w:rPr>
              <w:t>、</w:t>
            </w:r>
            <w:r>
              <w:rPr>
                <w:sz w:val="24"/>
                <w:szCs w:val="24"/>
                <w:lang w:val="zh-CN" w:eastAsia="zh-CN"/>
              </w:rPr>
              <w:t>CIS5</w:t>
            </w:r>
            <w:r>
              <w:rPr>
                <w:sz w:val="24"/>
                <w:szCs w:val="24"/>
                <w:lang w:val="zh-CN" w:eastAsia="zh-CN"/>
              </w:rPr>
              <w:t>、</w:t>
            </w:r>
            <w:r>
              <w:rPr>
                <w:sz w:val="24"/>
                <w:szCs w:val="24"/>
                <w:lang w:val="zh-CN" w:eastAsia="zh-CN"/>
              </w:rPr>
              <w:t>EUR5</w:t>
            </w:r>
          </w:p>
          <w:p w14:paraId="7093C4EF" w14:textId="77777777" w:rsidR="004C062F" w:rsidRDefault="005945A8" w:rsidP="009D4A9C">
            <w:pPr>
              <w:spacing w:after="120"/>
              <w:ind w:firstLineChars="200" w:firstLine="480"/>
              <w:rPr>
                <w:szCs w:val="24"/>
                <w:lang w:eastAsia="zh-CN"/>
              </w:rPr>
            </w:pPr>
            <w:r>
              <w:rPr>
                <w:szCs w:val="24"/>
                <w:lang w:val="zh-CN" w:eastAsia="zh-CN"/>
              </w:rPr>
              <w:t>全权代表大会第</w:t>
            </w:r>
            <w:r>
              <w:rPr>
                <w:szCs w:val="24"/>
                <w:lang w:val="zh-CN" w:eastAsia="zh-CN"/>
              </w:rPr>
              <w:t>205</w:t>
            </w:r>
            <w:r>
              <w:rPr>
                <w:szCs w:val="24"/>
                <w:lang w:val="zh-CN" w:eastAsia="zh-CN"/>
              </w:rPr>
              <w:t>号决议</w:t>
            </w:r>
            <w:r>
              <w:rPr>
                <w:rFonts w:hint="eastAsia"/>
                <w:szCs w:val="24"/>
                <w:lang w:val="zh-CN" w:eastAsia="zh-CN"/>
              </w:rPr>
              <w:t>；</w:t>
            </w:r>
            <w:r>
              <w:rPr>
                <w:szCs w:val="24"/>
                <w:lang w:val="zh-CN" w:eastAsia="zh-CN"/>
              </w:rPr>
              <w:t>国际电联战略规划（全权代表大会第</w:t>
            </w:r>
            <w:r>
              <w:rPr>
                <w:szCs w:val="24"/>
                <w:lang w:val="zh-CN" w:eastAsia="zh-CN"/>
              </w:rPr>
              <w:t>71</w:t>
            </w:r>
            <w:r>
              <w:rPr>
                <w:szCs w:val="24"/>
                <w:lang w:val="zh-CN" w:eastAsia="zh-CN"/>
              </w:rPr>
              <w:t>号决议，</w:t>
            </w:r>
            <w:r>
              <w:rPr>
                <w:szCs w:val="24"/>
                <w:lang w:val="zh-CN" w:eastAsia="zh-CN"/>
              </w:rPr>
              <w:t>2022</w:t>
            </w:r>
            <w:r>
              <w:rPr>
                <w:szCs w:val="24"/>
                <w:lang w:val="zh-CN" w:eastAsia="zh-CN"/>
              </w:rPr>
              <w:t>年，布加勒斯特，修订版）</w:t>
            </w:r>
          </w:p>
        </w:tc>
      </w:tr>
    </w:tbl>
    <w:p w14:paraId="6EB19B84" w14:textId="77777777" w:rsidR="004C062F" w:rsidRDefault="005945A8">
      <w:pPr>
        <w:rPr>
          <w:lang w:eastAsia="zh-CN"/>
        </w:rPr>
      </w:pPr>
      <w:r>
        <w:rPr>
          <w:lang w:eastAsia="zh-CN"/>
        </w:rPr>
        <w:br w:type="page"/>
      </w:r>
    </w:p>
    <w:p w14:paraId="2EA813B6" w14:textId="65985C07" w:rsidR="004C062F" w:rsidRDefault="009D4A9C" w:rsidP="009D4A9C">
      <w:pPr>
        <w:pStyle w:val="Heading1"/>
        <w:rPr>
          <w:lang w:eastAsia="zh-CN"/>
        </w:rPr>
      </w:pPr>
      <w:r>
        <w:rPr>
          <w:lang w:eastAsia="zh-CN"/>
        </w:rPr>
        <w:lastRenderedPageBreak/>
        <w:t>1</w:t>
      </w:r>
      <w:r>
        <w:rPr>
          <w:lang w:eastAsia="zh-CN"/>
        </w:rPr>
        <w:tab/>
      </w:r>
      <w:r w:rsidR="005945A8">
        <w:rPr>
          <w:lang w:eastAsia="zh-CN"/>
        </w:rPr>
        <w:t>背景</w:t>
      </w:r>
    </w:p>
    <w:p w14:paraId="0108F13B" w14:textId="77777777" w:rsidR="004C062F" w:rsidRPr="009D4A9C" w:rsidRDefault="005945A8" w:rsidP="009D4A9C">
      <w:pPr>
        <w:ind w:firstLineChars="200" w:firstLine="480"/>
        <w:rPr>
          <w:lang w:eastAsia="zh-CN"/>
        </w:rPr>
      </w:pPr>
      <w:r w:rsidRPr="009D4A9C">
        <w:rPr>
          <w:lang w:eastAsia="zh-CN"/>
        </w:rPr>
        <w:t>电信发展局</w:t>
      </w:r>
      <w:r w:rsidRPr="009D4A9C">
        <w:rPr>
          <w:rFonts w:hint="eastAsia"/>
          <w:lang w:eastAsia="zh-CN"/>
        </w:rPr>
        <w:t>（</w:t>
      </w:r>
      <w:r w:rsidRPr="009D4A9C">
        <w:rPr>
          <w:lang w:eastAsia="zh-CN"/>
        </w:rPr>
        <w:t>BDT</w:t>
      </w:r>
      <w:r w:rsidRPr="009D4A9C">
        <w:rPr>
          <w:rFonts w:hint="eastAsia"/>
          <w:lang w:eastAsia="zh-CN"/>
        </w:rPr>
        <w:t>）</w:t>
      </w:r>
      <w:r w:rsidRPr="009D4A9C">
        <w:rPr>
          <w:lang w:eastAsia="zh-CN"/>
        </w:rPr>
        <w:t>主任于</w:t>
      </w:r>
      <w:r w:rsidRPr="009D4A9C">
        <w:rPr>
          <w:lang w:eastAsia="zh-CN"/>
        </w:rPr>
        <w:t>2023</w:t>
      </w:r>
      <w:r w:rsidRPr="009D4A9C">
        <w:rPr>
          <w:lang w:eastAsia="zh-CN"/>
        </w:rPr>
        <w:t>年</w:t>
      </w:r>
      <w:r w:rsidRPr="009D4A9C">
        <w:rPr>
          <w:lang w:eastAsia="zh-CN"/>
        </w:rPr>
        <w:t>1</w:t>
      </w:r>
      <w:r w:rsidRPr="009D4A9C">
        <w:rPr>
          <w:lang w:eastAsia="zh-CN"/>
        </w:rPr>
        <w:t>月</w:t>
      </w:r>
      <w:r w:rsidRPr="009D4A9C">
        <w:rPr>
          <w:lang w:eastAsia="zh-CN"/>
        </w:rPr>
        <w:t>25</w:t>
      </w:r>
      <w:r w:rsidRPr="009D4A9C">
        <w:rPr>
          <w:lang w:eastAsia="zh-CN"/>
        </w:rPr>
        <w:t>日成立了</w:t>
      </w:r>
      <w:r w:rsidRPr="009D4A9C">
        <w:rPr>
          <w:rFonts w:hint="eastAsia"/>
          <w:lang w:eastAsia="zh-CN"/>
        </w:rPr>
        <w:t>数字化发展创新</w:t>
      </w:r>
      <w:r w:rsidRPr="009D4A9C">
        <w:rPr>
          <w:lang w:eastAsia="zh-CN"/>
        </w:rPr>
        <w:t>和</w:t>
      </w:r>
      <w:r w:rsidRPr="009D4A9C">
        <w:rPr>
          <w:rFonts w:hint="eastAsia"/>
          <w:lang w:eastAsia="zh-CN"/>
        </w:rPr>
        <w:t>创业联盟</w:t>
      </w:r>
      <w:r w:rsidRPr="009D4A9C">
        <w:rPr>
          <w:lang w:eastAsia="zh-CN"/>
        </w:rPr>
        <w:t>，</w:t>
      </w:r>
      <w:r w:rsidRPr="009D4A9C">
        <w:rPr>
          <w:lang w:eastAsia="zh-CN"/>
        </w:rPr>
        <w:t>以应对</w:t>
      </w:r>
      <w:r w:rsidRPr="009D4A9C">
        <w:rPr>
          <w:lang w:eastAsia="zh-CN"/>
        </w:rPr>
        <w:t>2022</w:t>
      </w:r>
      <w:r w:rsidRPr="009D4A9C">
        <w:rPr>
          <w:lang w:eastAsia="zh-CN"/>
        </w:rPr>
        <w:t>年世界电信发展大会（</w:t>
      </w:r>
      <w:r w:rsidRPr="009D4A9C">
        <w:rPr>
          <w:lang w:eastAsia="zh-CN"/>
        </w:rPr>
        <w:t>WTDC-22</w:t>
      </w:r>
      <w:r w:rsidRPr="009D4A9C">
        <w:rPr>
          <w:lang w:eastAsia="zh-CN"/>
        </w:rPr>
        <w:t>）通过的《基加利行动计划》和国际电联</w:t>
      </w:r>
      <w:r w:rsidRPr="009D4A9C">
        <w:rPr>
          <w:lang w:eastAsia="zh-CN"/>
        </w:rPr>
        <w:t>2022</w:t>
      </w:r>
      <w:r w:rsidRPr="009D4A9C">
        <w:rPr>
          <w:lang w:eastAsia="zh-CN"/>
        </w:rPr>
        <w:t>年全权代表大会（</w:t>
      </w:r>
      <w:r w:rsidRPr="009D4A9C">
        <w:rPr>
          <w:lang w:eastAsia="zh-CN"/>
        </w:rPr>
        <w:t>PP-22</w:t>
      </w:r>
      <w:r w:rsidRPr="009D4A9C">
        <w:rPr>
          <w:lang w:eastAsia="zh-CN"/>
        </w:rPr>
        <w:t>）成果中所述的、国际电联成员在创新领域尚未得到满足的重大需求。</w:t>
      </w:r>
    </w:p>
    <w:p w14:paraId="4F1B1C2E" w14:textId="77777777" w:rsidR="004C062F" w:rsidRPr="009D4A9C" w:rsidRDefault="005945A8" w:rsidP="009D4A9C">
      <w:pPr>
        <w:ind w:firstLineChars="200" w:firstLine="480"/>
      </w:pPr>
      <w:r w:rsidRPr="009D4A9C">
        <w:rPr>
          <w:lang w:eastAsia="zh-CN"/>
        </w:rPr>
        <w:t>该联盟旨在</w:t>
      </w:r>
      <w:r w:rsidRPr="009D4A9C">
        <w:rPr>
          <w:rFonts w:hint="eastAsia"/>
          <w:lang w:eastAsia="zh-CN"/>
        </w:rPr>
        <w:t>“</w:t>
      </w:r>
      <w:r w:rsidRPr="009D4A9C">
        <w:rPr>
          <w:lang w:eastAsia="zh-CN"/>
        </w:rPr>
        <w:t>为所有人创造一个更加公平的数字化未来</w:t>
      </w:r>
      <w:r w:rsidRPr="009D4A9C">
        <w:rPr>
          <w:rFonts w:hint="eastAsia"/>
          <w:lang w:eastAsia="zh-CN"/>
        </w:rPr>
        <w:t>”，</w:t>
      </w:r>
      <w:r w:rsidRPr="009D4A9C">
        <w:rPr>
          <w:lang w:eastAsia="zh-CN"/>
        </w:rPr>
        <w:t>并实现</w:t>
      </w:r>
      <w:r w:rsidRPr="009D4A9C">
        <w:rPr>
          <w:lang w:eastAsia="zh-CN"/>
        </w:rPr>
        <w:t>ITU-D</w:t>
      </w:r>
      <w:r w:rsidRPr="009D4A9C">
        <w:rPr>
          <w:lang w:eastAsia="zh-CN"/>
        </w:rPr>
        <w:t>优先领域的两项成果：</w:t>
      </w:r>
    </w:p>
    <w:p w14:paraId="5E14EFF2" w14:textId="4C252A37" w:rsidR="004C062F" w:rsidRPr="009D4A9C" w:rsidRDefault="009D4A9C" w:rsidP="009D4A9C">
      <w:pPr>
        <w:pStyle w:val="enumlev1"/>
        <w:rPr>
          <w:lang w:eastAsia="zh-CN"/>
        </w:rPr>
      </w:pPr>
      <w:r>
        <w:rPr>
          <w:lang w:eastAsia="zh-CN"/>
        </w:rPr>
        <w:t>–</w:t>
      </w:r>
      <w:r>
        <w:rPr>
          <w:lang w:val="en-US" w:eastAsia="zh-CN"/>
        </w:rPr>
        <w:tab/>
      </w:r>
      <w:r w:rsidR="005945A8" w:rsidRPr="009D4A9C">
        <w:rPr>
          <w:lang w:eastAsia="zh-CN"/>
        </w:rPr>
        <w:t>增强国际电联成员将电信</w:t>
      </w:r>
      <w:r w:rsidR="005945A8" w:rsidRPr="009D4A9C">
        <w:rPr>
          <w:lang w:eastAsia="zh-CN"/>
        </w:rPr>
        <w:t>/</w:t>
      </w:r>
      <w:r w:rsidR="005945A8" w:rsidRPr="009D4A9C">
        <w:rPr>
          <w:rFonts w:hint="eastAsia"/>
          <w:lang w:eastAsia="zh-CN"/>
        </w:rPr>
        <w:t>信息通信技术（</w:t>
      </w:r>
      <w:r w:rsidR="005945A8" w:rsidRPr="009D4A9C">
        <w:rPr>
          <w:lang w:eastAsia="zh-CN"/>
        </w:rPr>
        <w:t>ICT</w:t>
      </w:r>
      <w:r w:rsidR="005945A8" w:rsidRPr="009D4A9C">
        <w:rPr>
          <w:rFonts w:hint="eastAsia"/>
          <w:lang w:eastAsia="zh-CN"/>
        </w:rPr>
        <w:t>）</w:t>
      </w:r>
      <w:r w:rsidR="005945A8" w:rsidRPr="009D4A9C">
        <w:rPr>
          <w:lang w:eastAsia="zh-CN"/>
        </w:rPr>
        <w:t>创新和数字化纳入其国家发展议程并制定战略（包括通过公有、私营和公私伙伴关系）推进创新举措的能力。</w:t>
      </w:r>
    </w:p>
    <w:p w14:paraId="6445F70C" w14:textId="62CEE74A" w:rsidR="004C062F" w:rsidRPr="009D4A9C" w:rsidRDefault="009D4A9C" w:rsidP="009D4A9C">
      <w:pPr>
        <w:pStyle w:val="enumlev1"/>
        <w:rPr>
          <w:lang w:eastAsia="zh-CN"/>
        </w:rPr>
      </w:pPr>
      <w:r>
        <w:rPr>
          <w:lang w:eastAsia="zh-CN"/>
        </w:rPr>
        <w:t>–</w:t>
      </w:r>
      <w:r>
        <w:rPr>
          <w:lang w:val="en-US" w:eastAsia="zh-CN"/>
        </w:rPr>
        <w:tab/>
      </w:r>
      <w:r w:rsidR="005945A8" w:rsidRPr="009D4A9C">
        <w:rPr>
          <w:lang w:eastAsia="zh-CN"/>
        </w:rPr>
        <w:t>加强国际电联成员在电信</w:t>
      </w:r>
      <w:r w:rsidR="005945A8" w:rsidRPr="009D4A9C">
        <w:rPr>
          <w:lang w:eastAsia="zh-CN"/>
        </w:rPr>
        <w:t>/ICT</w:t>
      </w:r>
      <w:r w:rsidR="005945A8" w:rsidRPr="009D4A9C">
        <w:rPr>
          <w:lang w:eastAsia="zh-CN"/>
        </w:rPr>
        <w:t>领域的人力和机构能力，</w:t>
      </w:r>
      <w:r w:rsidR="005945A8" w:rsidRPr="009D4A9C">
        <w:rPr>
          <w:lang w:eastAsia="zh-CN"/>
        </w:rPr>
        <w:t>以促进数字</w:t>
      </w:r>
      <w:r w:rsidR="005945A8" w:rsidRPr="009D4A9C">
        <w:rPr>
          <w:rFonts w:hint="eastAsia"/>
          <w:lang w:eastAsia="zh-CN"/>
        </w:rPr>
        <w:t>化</w:t>
      </w:r>
      <w:r w:rsidR="005945A8" w:rsidRPr="009D4A9C">
        <w:rPr>
          <w:lang w:eastAsia="zh-CN"/>
        </w:rPr>
        <w:t>转型。</w:t>
      </w:r>
    </w:p>
    <w:p w14:paraId="6B2362EB" w14:textId="77777777" w:rsidR="004C062F" w:rsidRPr="009D4A9C" w:rsidRDefault="005945A8" w:rsidP="009D4A9C">
      <w:pPr>
        <w:ind w:firstLineChars="200" w:firstLine="480"/>
        <w:rPr>
          <w:lang w:eastAsia="zh-CN"/>
        </w:rPr>
      </w:pPr>
      <w:r w:rsidRPr="009D4A9C">
        <w:rPr>
          <w:lang w:eastAsia="zh-CN"/>
        </w:rPr>
        <w:t>联盟的工作与下列各项保持一致：</w:t>
      </w:r>
    </w:p>
    <w:p w14:paraId="4796D039" w14:textId="471CD23D" w:rsidR="004C062F" w:rsidRPr="009D4A9C" w:rsidRDefault="009D4A9C" w:rsidP="009D4A9C">
      <w:pPr>
        <w:pStyle w:val="enumlev1"/>
        <w:rPr>
          <w:lang w:eastAsia="zh-CN"/>
        </w:rPr>
      </w:pPr>
      <w:r>
        <w:rPr>
          <w:lang w:eastAsia="zh-CN"/>
        </w:rPr>
        <w:t>–</w:t>
      </w:r>
      <w:r>
        <w:rPr>
          <w:lang w:val="en-US" w:eastAsia="zh-CN"/>
        </w:rPr>
        <w:tab/>
      </w:r>
      <w:r w:rsidR="005945A8" w:rsidRPr="009D4A9C">
        <w:rPr>
          <w:lang w:eastAsia="zh-CN"/>
        </w:rPr>
        <w:t>WTDC</w:t>
      </w:r>
      <w:r w:rsidR="005945A8" w:rsidRPr="009D4A9C">
        <w:rPr>
          <w:lang w:eastAsia="zh-CN"/>
        </w:rPr>
        <w:t>第</w:t>
      </w:r>
      <w:r w:rsidR="005945A8" w:rsidRPr="009D4A9C">
        <w:rPr>
          <w:lang w:eastAsia="zh-CN"/>
        </w:rPr>
        <w:t>90</w:t>
      </w:r>
      <w:r w:rsidR="005945A8" w:rsidRPr="009D4A9C">
        <w:rPr>
          <w:lang w:eastAsia="zh-CN"/>
        </w:rPr>
        <w:t>、</w:t>
      </w:r>
      <w:r w:rsidR="005945A8" w:rsidRPr="009D4A9C">
        <w:rPr>
          <w:lang w:eastAsia="zh-CN"/>
        </w:rPr>
        <w:t>89</w:t>
      </w:r>
      <w:r w:rsidR="005945A8" w:rsidRPr="009D4A9C">
        <w:rPr>
          <w:lang w:eastAsia="zh-CN"/>
        </w:rPr>
        <w:t>和</w:t>
      </w:r>
      <w:r w:rsidR="005945A8" w:rsidRPr="009D4A9C">
        <w:rPr>
          <w:lang w:eastAsia="zh-CN"/>
        </w:rPr>
        <w:t>85</w:t>
      </w:r>
      <w:r w:rsidR="005945A8" w:rsidRPr="009D4A9C">
        <w:rPr>
          <w:lang w:eastAsia="zh-CN"/>
        </w:rPr>
        <w:t>号决议（</w:t>
      </w:r>
      <w:r w:rsidR="005945A8" w:rsidRPr="009D4A9C">
        <w:rPr>
          <w:lang w:eastAsia="zh-CN"/>
        </w:rPr>
        <w:t>2022</w:t>
      </w:r>
      <w:r w:rsidR="005945A8" w:rsidRPr="009D4A9C">
        <w:rPr>
          <w:lang w:eastAsia="zh-CN"/>
        </w:rPr>
        <w:t>年，基加利）</w:t>
      </w:r>
      <w:proofErr w:type="gramStart"/>
      <w:r w:rsidR="005945A8" w:rsidRPr="009D4A9C">
        <w:rPr>
          <w:lang w:eastAsia="zh-CN"/>
        </w:rPr>
        <w:t>为创新在社会数字化转型中的作用提供了明确的指导</w:t>
      </w:r>
      <w:r w:rsidR="005945A8" w:rsidRPr="009D4A9C">
        <w:rPr>
          <w:rFonts w:hint="eastAsia"/>
          <w:lang w:eastAsia="zh-CN"/>
        </w:rPr>
        <w:t>；</w:t>
      </w:r>
      <w:proofErr w:type="gramEnd"/>
    </w:p>
    <w:p w14:paraId="7FBF0879" w14:textId="37BA363E" w:rsidR="004C062F" w:rsidRPr="009D4A9C" w:rsidRDefault="009D4A9C" w:rsidP="009D4A9C">
      <w:pPr>
        <w:pStyle w:val="enumlev1"/>
        <w:rPr>
          <w:lang w:eastAsia="zh-CN"/>
        </w:rPr>
      </w:pPr>
      <w:r>
        <w:rPr>
          <w:lang w:eastAsia="zh-CN"/>
        </w:rPr>
        <w:t>–</w:t>
      </w:r>
      <w:r>
        <w:rPr>
          <w:lang w:val="en-US" w:eastAsia="zh-CN"/>
        </w:rPr>
        <w:tab/>
      </w:r>
      <w:proofErr w:type="gramStart"/>
      <w:r w:rsidR="005945A8" w:rsidRPr="009D4A9C">
        <w:rPr>
          <w:lang w:eastAsia="zh-CN"/>
        </w:rPr>
        <w:t>国际电联针对各区域的区域性举措进一步呼吁对这一领域的更多关注</w:t>
      </w:r>
      <w:r w:rsidR="005945A8" w:rsidRPr="009D4A9C">
        <w:rPr>
          <w:rFonts w:hint="eastAsia"/>
          <w:lang w:eastAsia="zh-CN"/>
        </w:rPr>
        <w:t>；</w:t>
      </w:r>
      <w:proofErr w:type="gramEnd"/>
    </w:p>
    <w:p w14:paraId="5EB50E21" w14:textId="7DBFB852" w:rsidR="004C062F" w:rsidRPr="009D4A9C" w:rsidRDefault="009D4A9C" w:rsidP="009D4A9C">
      <w:pPr>
        <w:pStyle w:val="enumlev1"/>
        <w:rPr>
          <w:lang w:eastAsia="zh-CN"/>
        </w:rPr>
      </w:pPr>
      <w:r>
        <w:rPr>
          <w:lang w:eastAsia="zh-CN"/>
        </w:rPr>
        <w:t>–</w:t>
      </w:r>
      <w:r>
        <w:rPr>
          <w:lang w:val="en-US" w:eastAsia="zh-CN"/>
        </w:rPr>
        <w:tab/>
      </w:r>
      <w:r w:rsidR="005945A8" w:rsidRPr="009D4A9C">
        <w:rPr>
          <w:lang w:eastAsia="zh-CN"/>
        </w:rPr>
        <w:t>全权代表大会第</w:t>
      </w:r>
      <w:r w:rsidR="005945A8" w:rsidRPr="009D4A9C">
        <w:rPr>
          <w:lang w:eastAsia="zh-CN"/>
        </w:rPr>
        <w:t>205</w:t>
      </w:r>
      <w:proofErr w:type="gramStart"/>
      <w:r w:rsidR="005945A8" w:rsidRPr="009D4A9C">
        <w:rPr>
          <w:lang w:eastAsia="zh-CN"/>
        </w:rPr>
        <w:t>号决议</w:t>
      </w:r>
      <w:r w:rsidR="005945A8" w:rsidRPr="009D4A9C">
        <w:rPr>
          <w:rFonts w:hint="eastAsia"/>
          <w:lang w:eastAsia="zh-CN"/>
        </w:rPr>
        <w:t>“</w:t>
      </w:r>
      <w:proofErr w:type="gramEnd"/>
      <w:r w:rsidR="005945A8" w:rsidRPr="009D4A9C">
        <w:rPr>
          <w:lang w:eastAsia="zh-CN"/>
        </w:rPr>
        <w:t>促进以</w:t>
      </w:r>
      <w:r w:rsidR="005945A8" w:rsidRPr="009D4A9C">
        <w:rPr>
          <w:lang w:eastAsia="zh-CN"/>
        </w:rPr>
        <w:t>ICT</w:t>
      </w:r>
      <w:r w:rsidR="005945A8" w:rsidRPr="009D4A9C">
        <w:rPr>
          <w:lang w:eastAsia="zh-CN"/>
        </w:rPr>
        <w:t>为中心的创新，支持数字经济和社会</w:t>
      </w:r>
      <w:r w:rsidR="005945A8" w:rsidRPr="009D4A9C">
        <w:rPr>
          <w:rFonts w:hint="eastAsia"/>
          <w:lang w:eastAsia="zh-CN"/>
        </w:rPr>
        <w:t>”</w:t>
      </w:r>
      <w:r w:rsidR="005945A8" w:rsidRPr="009D4A9C">
        <w:rPr>
          <w:lang w:eastAsia="zh-CN"/>
        </w:rPr>
        <w:t>重申了电信发展局在促进数字</w:t>
      </w:r>
      <w:r w:rsidR="005945A8" w:rsidRPr="009D4A9C">
        <w:rPr>
          <w:rFonts w:hint="eastAsia"/>
          <w:lang w:eastAsia="zh-CN"/>
        </w:rPr>
        <w:t>化</w:t>
      </w:r>
      <w:r w:rsidR="005945A8" w:rsidRPr="009D4A9C">
        <w:rPr>
          <w:lang w:eastAsia="zh-CN"/>
        </w:rPr>
        <w:t>发展的创新中的主导作用</w:t>
      </w:r>
      <w:r w:rsidR="005945A8" w:rsidRPr="009D4A9C">
        <w:rPr>
          <w:rFonts w:hint="eastAsia"/>
          <w:lang w:eastAsia="zh-CN"/>
        </w:rPr>
        <w:t>；</w:t>
      </w:r>
    </w:p>
    <w:p w14:paraId="62EBF1B6" w14:textId="3F0F0CC9" w:rsidR="004C062F" w:rsidRPr="009D4A9C" w:rsidRDefault="009D4A9C" w:rsidP="009D4A9C">
      <w:pPr>
        <w:pStyle w:val="enumlev1"/>
        <w:rPr>
          <w:lang w:eastAsia="zh-CN"/>
        </w:rPr>
      </w:pPr>
      <w:r>
        <w:rPr>
          <w:lang w:eastAsia="zh-CN"/>
        </w:rPr>
        <w:t>–</w:t>
      </w:r>
      <w:r>
        <w:rPr>
          <w:lang w:val="en-US" w:eastAsia="zh-CN"/>
        </w:rPr>
        <w:tab/>
      </w:r>
      <w:r w:rsidR="005945A8" w:rsidRPr="009D4A9C">
        <w:rPr>
          <w:lang w:eastAsia="zh-CN"/>
        </w:rPr>
        <w:t>国际电联战略规划（全权代表大会第</w:t>
      </w:r>
      <w:r w:rsidR="005945A8" w:rsidRPr="009D4A9C">
        <w:rPr>
          <w:lang w:eastAsia="zh-CN"/>
        </w:rPr>
        <w:t>71</w:t>
      </w:r>
      <w:r w:rsidR="005945A8" w:rsidRPr="009D4A9C">
        <w:rPr>
          <w:lang w:eastAsia="zh-CN"/>
        </w:rPr>
        <w:t>号决议，</w:t>
      </w:r>
      <w:r w:rsidR="005945A8" w:rsidRPr="009D4A9C">
        <w:rPr>
          <w:lang w:eastAsia="zh-CN"/>
        </w:rPr>
        <w:t>2022</w:t>
      </w:r>
      <w:r w:rsidR="005945A8" w:rsidRPr="009D4A9C">
        <w:rPr>
          <w:lang w:eastAsia="zh-CN"/>
        </w:rPr>
        <w:t>年，布加勒斯特，修订版）</w:t>
      </w:r>
    </w:p>
    <w:p w14:paraId="10A4B846" w14:textId="5B132CF3" w:rsidR="004C062F" w:rsidRPr="009D4A9C" w:rsidRDefault="005945A8" w:rsidP="009D4A9C">
      <w:pPr>
        <w:ind w:firstLineChars="200" w:firstLine="480"/>
        <w:rPr>
          <w:lang w:eastAsia="zh-CN"/>
        </w:rPr>
      </w:pPr>
      <w:r w:rsidRPr="009D4A9C">
        <w:rPr>
          <w:lang w:eastAsia="zh-CN"/>
        </w:rPr>
        <w:t>联盟</w:t>
      </w:r>
      <w:proofErr w:type="gramStart"/>
      <w:r w:rsidRPr="009D4A9C">
        <w:rPr>
          <w:rFonts w:hint="eastAsia"/>
          <w:lang w:eastAsia="zh-CN"/>
        </w:rPr>
        <w:t>的</w:t>
      </w:r>
      <w:r w:rsidRPr="009D4A9C">
        <w:rPr>
          <w:b/>
          <w:bCs/>
          <w:lang w:eastAsia="zh-CN"/>
        </w:rPr>
        <w:t>愿景</w:t>
      </w:r>
      <w:r w:rsidRPr="009D4A9C">
        <w:rPr>
          <w:lang w:eastAsia="zh-CN"/>
        </w:rPr>
        <w:t>是</w:t>
      </w:r>
      <w:proofErr w:type="gramEnd"/>
      <w:r w:rsidRPr="009D4A9C">
        <w:rPr>
          <w:rFonts w:hint="eastAsia"/>
          <w:lang w:eastAsia="zh-CN"/>
        </w:rPr>
        <w:t>“</w:t>
      </w:r>
      <w:r w:rsidRPr="009D4A9C">
        <w:rPr>
          <w:lang w:eastAsia="zh-CN"/>
        </w:rPr>
        <w:t>以新的、更具弹性和前瞻性的方法支持</w:t>
      </w:r>
      <w:r w:rsidRPr="009D4A9C">
        <w:rPr>
          <w:lang w:eastAsia="zh-CN"/>
        </w:rPr>
        <w:t>ITU-D</w:t>
      </w:r>
      <w:r w:rsidRPr="009D4A9C">
        <w:rPr>
          <w:lang w:eastAsia="zh-CN"/>
        </w:rPr>
        <w:t>成员，</w:t>
      </w:r>
      <w:r w:rsidRPr="009D4A9C">
        <w:rPr>
          <w:rFonts w:hint="eastAsia"/>
          <w:lang w:eastAsia="zh-CN"/>
        </w:rPr>
        <w:t>以</w:t>
      </w:r>
      <w:r w:rsidRPr="009D4A9C">
        <w:rPr>
          <w:lang w:eastAsia="zh-CN"/>
        </w:rPr>
        <w:t>确保</w:t>
      </w:r>
      <w:r w:rsidRPr="009D4A9C">
        <w:rPr>
          <w:rFonts w:hint="eastAsia"/>
          <w:lang w:eastAsia="zh-CN"/>
        </w:rPr>
        <w:t>其</w:t>
      </w:r>
      <w:r w:rsidRPr="009D4A9C">
        <w:rPr>
          <w:lang w:eastAsia="zh-CN"/>
        </w:rPr>
        <w:t>能够安全地</w:t>
      </w:r>
      <w:r w:rsidRPr="009D4A9C">
        <w:rPr>
          <w:lang w:eastAsia="zh-CN"/>
        </w:rPr>
        <w:t>应对</w:t>
      </w:r>
      <w:r w:rsidRPr="009D4A9C">
        <w:rPr>
          <w:lang w:eastAsia="zh-CN"/>
        </w:rPr>
        <w:t>日益动荡、不确定、复杂和模糊的数字世界（</w:t>
      </w:r>
      <w:r w:rsidRPr="009D4A9C">
        <w:rPr>
          <w:lang w:eastAsia="zh-CN"/>
        </w:rPr>
        <w:t>VUCA</w:t>
      </w:r>
      <w:r w:rsidRPr="009D4A9C">
        <w:rPr>
          <w:lang w:eastAsia="zh-CN"/>
        </w:rPr>
        <w:t>），并实现</w:t>
      </w:r>
      <w:r w:rsidRPr="009D4A9C">
        <w:rPr>
          <w:rFonts w:hint="eastAsia"/>
          <w:lang w:eastAsia="zh-CN"/>
        </w:rPr>
        <w:t>《</w:t>
      </w:r>
      <w:r w:rsidRPr="009D4A9C">
        <w:rPr>
          <w:lang w:eastAsia="zh-CN"/>
        </w:rPr>
        <w:t>基加利行动计划</w:t>
      </w:r>
      <w:r w:rsidRPr="009D4A9C">
        <w:rPr>
          <w:rFonts w:hint="eastAsia"/>
          <w:lang w:eastAsia="zh-CN"/>
        </w:rPr>
        <w:t>》</w:t>
      </w:r>
      <w:r w:rsidRPr="009D4A9C">
        <w:rPr>
          <w:lang w:eastAsia="zh-CN"/>
        </w:rPr>
        <w:t>的成果。</w:t>
      </w:r>
      <w:r w:rsidRPr="009D4A9C">
        <w:rPr>
          <w:rFonts w:hint="eastAsia"/>
          <w:lang w:eastAsia="zh-CN"/>
        </w:rPr>
        <w:t>”</w:t>
      </w:r>
    </w:p>
    <w:p w14:paraId="1A3E1126" w14:textId="77777777" w:rsidR="004C062F" w:rsidRPr="009D4A9C" w:rsidRDefault="005945A8" w:rsidP="009D4A9C">
      <w:pPr>
        <w:ind w:firstLineChars="200" w:firstLine="480"/>
      </w:pPr>
      <w:r w:rsidRPr="009D4A9C">
        <w:rPr>
          <w:lang w:eastAsia="zh-CN"/>
        </w:rPr>
        <w:t>联盟的</w:t>
      </w:r>
      <w:r w:rsidRPr="009D4A9C">
        <w:rPr>
          <w:b/>
          <w:bCs/>
          <w:lang w:eastAsia="zh-CN"/>
        </w:rPr>
        <w:t>使命</w:t>
      </w:r>
      <w:r w:rsidRPr="009D4A9C">
        <w:rPr>
          <w:lang w:eastAsia="zh-CN"/>
        </w:rPr>
        <w:t>是</w:t>
      </w:r>
      <w:r w:rsidRPr="009D4A9C">
        <w:rPr>
          <w:rFonts w:hint="eastAsia"/>
          <w:lang w:eastAsia="zh-CN"/>
        </w:rPr>
        <w:t>“</w:t>
      </w:r>
      <w:r w:rsidRPr="009D4A9C">
        <w:rPr>
          <w:lang w:eastAsia="zh-CN"/>
        </w:rPr>
        <w:t>弥合数字创新鸿沟，</w:t>
      </w:r>
      <w:r w:rsidRPr="009D4A9C">
        <w:rPr>
          <w:lang w:eastAsia="zh-CN"/>
        </w:rPr>
        <w:t>使</w:t>
      </w:r>
      <w:r w:rsidRPr="009D4A9C">
        <w:rPr>
          <w:lang w:eastAsia="zh-CN"/>
        </w:rPr>
        <w:t>ITU-D</w:t>
      </w:r>
      <w:r w:rsidRPr="009D4A9C">
        <w:rPr>
          <w:lang w:eastAsia="zh-CN"/>
        </w:rPr>
        <w:t>成员能够通过数字化转型克服前进道路上的挑战，并加快其生态系统对</w:t>
      </w:r>
      <w:r w:rsidRPr="009D4A9C">
        <w:rPr>
          <w:lang w:eastAsia="zh-CN"/>
        </w:rPr>
        <w:t>各行各业</w:t>
      </w:r>
      <w:r w:rsidRPr="009D4A9C">
        <w:rPr>
          <w:lang w:eastAsia="zh-CN"/>
        </w:rPr>
        <w:t>的影响，以实现包容和</w:t>
      </w:r>
      <w:proofErr w:type="gramStart"/>
      <w:r w:rsidRPr="009D4A9C">
        <w:rPr>
          <w:lang w:eastAsia="zh-CN"/>
        </w:rPr>
        <w:t>可</w:t>
      </w:r>
      <w:proofErr w:type="gramEnd"/>
      <w:r w:rsidRPr="009D4A9C">
        <w:rPr>
          <w:lang w:eastAsia="zh-CN"/>
        </w:rPr>
        <w:t>持续的社会。</w:t>
      </w:r>
      <w:r w:rsidRPr="009D4A9C">
        <w:rPr>
          <w:rFonts w:hint="eastAsia"/>
        </w:rPr>
        <w:t>”</w:t>
      </w:r>
    </w:p>
    <w:p w14:paraId="5A24AFBA" w14:textId="77777777" w:rsidR="004C062F" w:rsidRDefault="005945A8" w:rsidP="009D4A9C">
      <w:pPr>
        <w:spacing w:after="120"/>
        <w:ind w:firstLineChars="200" w:firstLine="480"/>
        <w:rPr>
          <w:szCs w:val="24"/>
          <w:lang w:val="zh-CN" w:eastAsia="zh-CN"/>
        </w:rPr>
      </w:pPr>
      <w:r w:rsidRPr="009D4A9C">
        <w:rPr>
          <w:lang w:eastAsia="zh-CN"/>
        </w:rPr>
        <w:t>该联盟将支持各国建设本地创新和创业能力，以实现五项战略目标：</w:t>
      </w:r>
    </w:p>
    <w:tbl>
      <w:tblPr>
        <w:tblStyle w:val="TableGrid"/>
        <w:tblW w:w="0" w:type="auto"/>
        <w:tblLook w:val="04A0" w:firstRow="1" w:lastRow="0" w:firstColumn="1" w:lastColumn="0" w:noHBand="0" w:noVBand="1"/>
      </w:tblPr>
      <w:tblGrid>
        <w:gridCol w:w="2695"/>
        <w:gridCol w:w="6321"/>
      </w:tblGrid>
      <w:tr w:rsidR="004C062F" w14:paraId="2CAB76B2" w14:textId="77777777">
        <w:tc>
          <w:tcPr>
            <w:tcW w:w="2695" w:type="dxa"/>
          </w:tcPr>
          <w:p w14:paraId="4C765301" w14:textId="77777777" w:rsidR="004C062F" w:rsidRDefault="005945A8">
            <w:pPr>
              <w:spacing w:before="40" w:after="40"/>
              <w:rPr>
                <w:rFonts w:eastAsia="SimSun"/>
                <w:b/>
                <w:bCs/>
                <w:szCs w:val="24"/>
                <w:lang w:val="en-US" w:eastAsia="zh-CN"/>
              </w:rPr>
            </w:pPr>
            <w:proofErr w:type="spellStart"/>
            <w:r>
              <w:rPr>
                <w:rFonts w:eastAsia="SimSun"/>
                <w:b/>
                <w:bCs/>
                <w:szCs w:val="24"/>
              </w:rPr>
              <w:t>趋势研究</w:t>
            </w:r>
            <w:proofErr w:type="spellEnd"/>
            <w:r>
              <w:rPr>
                <w:rFonts w:eastAsia="SimSun" w:hint="eastAsia"/>
                <w:b/>
                <w:bCs/>
                <w:szCs w:val="24"/>
                <w:lang w:val="en-US" w:eastAsia="zh-CN"/>
              </w:rPr>
              <w:t>工作准备</w:t>
            </w:r>
          </w:p>
        </w:tc>
        <w:tc>
          <w:tcPr>
            <w:tcW w:w="6321" w:type="dxa"/>
          </w:tcPr>
          <w:p w14:paraId="725B1E6F" w14:textId="77777777" w:rsidR="004C062F" w:rsidRDefault="005945A8">
            <w:pPr>
              <w:spacing w:before="40" w:after="40"/>
              <w:rPr>
                <w:rFonts w:eastAsia="SimSun"/>
                <w:szCs w:val="24"/>
                <w:lang w:eastAsia="zh-CN"/>
              </w:rPr>
            </w:pPr>
            <w:r>
              <w:rPr>
                <w:rFonts w:eastAsia="SimSun"/>
                <w:szCs w:val="24"/>
                <w:lang w:eastAsia="zh-CN"/>
              </w:rPr>
              <w:t>使各国能够抢先一步，了解技术、政策和创新动态的演变。</w:t>
            </w:r>
          </w:p>
        </w:tc>
      </w:tr>
      <w:tr w:rsidR="004C062F" w14:paraId="70C937DE" w14:textId="77777777">
        <w:tc>
          <w:tcPr>
            <w:tcW w:w="2695" w:type="dxa"/>
          </w:tcPr>
          <w:p w14:paraId="48F55392" w14:textId="77777777" w:rsidR="004C062F" w:rsidRDefault="005945A8">
            <w:pPr>
              <w:spacing w:before="40" w:after="40"/>
              <w:rPr>
                <w:rFonts w:eastAsia="SimSun"/>
                <w:b/>
                <w:bCs/>
                <w:szCs w:val="24"/>
              </w:rPr>
            </w:pPr>
            <w:proofErr w:type="spellStart"/>
            <w:r>
              <w:rPr>
                <w:rFonts w:eastAsia="SimSun"/>
                <w:b/>
                <w:bCs/>
                <w:szCs w:val="24"/>
              </w:rPr>
              <w:t>开放式技术创新</w:t>
            </w:r>
            <w:proofErr w:type="spellEnd"/>
          </w:p>
        </w:tc>
        <w:tc>
          <w:tcPr>
            <w:tcW w:w="6321" w:type="dxa"/>
          </w:tcPr>
          <w:p w14:paraId="0693D7C4" w14:textId="77777777" w:rsidR="004C062F" w:rsidRDefault="005945A8">
            <w:pPr>
              <w:spacing w:before="40" w:after="40"/>
              <w:rPr>
                <w:rFonts w:eastAsia="SimSun"/>
                <w:szCs w:val="24"/>
                <w:lang w:eastAsia="zh-CN"/>
              </w:rPr>
            </w:pPr>
            <w:r>
              <w:rPr>
                <w:rFonts w:eastAsia="SimSun"/>
                <w:szCs w:val="24"/>
                <w:lang w:eastAsia="zh-CN"/>
              </w:rPr>
              <w:t>通过开放式创新和</w:t>
            </w:r>
            <w:proofErr w:type="gramStart"/>
            <w:r>
              <w:rPr>
                <w:szCs w:val="24"/>
                <w:lang w:val="zh-CN" w:eastAsia="zh-CN"/>
              </w:rPr>
              <w:t>多利益</w:t>
            </w:r>
            <w:proofErr w:type="gramEnd"/>
            <w:r>
              <w:rPr>
                <w:szCs w:val="24"/>
                <w:lang w:val="zh-CN" w:eastAsia="zh-CN"/>
              </w:rPr>
              <w:t>攸关方机制</w:t>
            </w:r>
            <w:r>
              <w:rPr>
                <w:rFonts w:eastAsia="SimSun"/>
                <w:szCs w:val="24"/>
                <w:lang w:eastAsia="zh-CN"/>
              </w:rPr>
              <w:t>，将技术诀窍</w:t>
            </w:r>
            <w:r>
              <w:rPr>
                <w:szCs w:val="24"/>
                <w:lang w:val="zh-CN" w:eastAsia="zh-CN"/>
              </w:rPr>
              <w:t>转化为</w:t>
            </w:r>
            <w:r>
              <w:rPr>
                <w:rFonts w:eastAsia="SimSun"/>
                <w:szCs w:val="24"/>
                <w:lang w:eastAsia="zh-CN"/>
              </w:rPr>
              <w:t>全球商品，加快所有人</w:t>
            </w:r>
            <w:r>
              <w:rPr>
                <w:szCs w:val="24"/>
                <w:lang w:val="zh-CN" w:eastAsia="zh-CN"/>
              </w:rPr>
              <w:t>对新兴技术的获取。</w:t>
            </w:r>
          </w:p>
        </w:tc>
      </w:tr>
      <w:tr w:rsidR="004C062F" w14:paraId="44C56B64" w14:textId="77777777">
        <w:tc>
          <w:tcPr>
            <w:tcW w:w="2695" w:type="dxa"/>
          </w:tcPr>
          <w:p w14:paraId="72712C4B" w14:textId="77777777" w:rsidR="004C062F" w:rsidRDefault="005945A8">
            <w:pPr>
              <w:spacing w:before="40" w:after="40"/>
              <w:rPr>
                <w:rFonts w:eastAsia="SimSun"/>
                <w:b/>
                <w:bCs/>
                <w:szCs w:val="24"/>
                <w:lang w:eastAsia="zh-CN"/>
              </w:rPr>
            </w:pPr>
            <w:r>
              <w:rPr>
                <w:b/>
                <w:bCs/>
                <w:szCs w:val="24"/>
                <w:lang w:val="zh-CN" w:eastAsia="zh-CN"/>
              </w:rPr>
              <w:t>创业精神和中小企业成长</w:t>
            </w:r>
          </w:p>
        </w:tc>
        <w:tc>
          <w:tcPr>
            <w:tcW w:w="6321" w:type="dxa"/>
          </w:tcPr>
          <w:p w14:paraId="7ABD21C5" w14:textId="77777777" w:rsidR="004C062F" w:rsidRDefault="005945A8">
            <w:pPr>
              <w:spacing w:before="40" w:after="40"/>
              <w:rPr>
                <w:rFonts w:eastAsia="SimSun"/>
                <w:szCs w:val="24"/>
                <w:lang w:eastAsia="zh-CN"/>
              </w:rPr>
            </w:pPr>
            <w:r>
              <w:rPr>
                <w:rFonts w:eastAsia="SimSun"/>
                <w:szCs w:val="24"/>
                <w:lang w:eastAsia="zh-CN"/>
              </w:rPr>
              <w:t>加快吸收数字创新驱动的创业精神和人才机会，以实现其社区的社会经济包容。</w:t>
            </w:r>
          </w:p>
        </w:tc>
      </w:tr>
      <w:tr w:rsidR="004C062F" w14:paraId="69D65C13" w14:textId="77777777">
        <w:tc>
          <w:tcPr>
            <w:tcW w:w="2695" w:type="dxa"/>
          </w:tcPr>
          <w:p w14:paraId="64B5B9A9" w14:textId="77777777" w:rsidR="004C062F" w:rsidRDefault="005945A8">
            <w:pPr>
              <w:spacing w:before="40" w:after="40"/>
              <w:rPr>
                <w:rFonts w:eastAsia="SimSun"/>
                <w:b/>
                <w:bCs/>
                <w:szCs w:val="24"/>
              </w:rPr>
            </w:pPr>
            <w:proofErr w:type="spellStart"/>
            <w:r>
              <w:rPr>
                <w:rFonts w:eastAsia="SimSun"/>
                <w:b/>
                <w:bCs/>
                <w:szCs w:val="24"/>
              </w:rPr>
              <w:t>政策实验</w:t>
            </w:r>
            <w:proofErr w:type="spellEnd"/>
          </w:p>
        </w:tc>
        <w:tc>
          <w:tcPr>
            <w:tcW w:w="6321" w:type="dxa"/>
          </w:tcPr>
          <w:p w14:paraId="2AA07C89" w14:textId="77777777" w:rsidR="004C062F" w:rsidRDefault="005945A8">
            <w:pPr>
              <w:spacing w:before="40" w:after="40"/>
              <w:rPr>
                <w:rFonts w:eastAsia="SimSun"/>
                <w:szCs w:val="24"/>
                <w:lang w:eastAsia="zh-CN"/>
              </w:rPr>
            </w:pPr>
            <w:r>
              <w:rPr>
                <w:rFonts w:eastAsia="SimSun"/>
                <w:szCs w:val="24"/>
                <w:lang w:eastAsia="zh-CN"/>
              </w:rPr>
              <w:t>制定灵活的政策，为利益</w:t>
            </w:r>
            <w:r>
              <w:rPr>
                <w:rFonts w:eastAsia="SimSun" w:hint="eastAsia"/>
                <w:szCs w:val="24"/>
                <w:lang w:val="en-US" w:eastAsia="zh-CN"/>
              </w:rPr>
              <w:t>攸关方</w:t>
            </w:r>
            <w:r>
              <w:rPr>
                <w:rFonts w:eastAsia="SimSun"/>
                <w:szCs w:val="24"/>
                <w:lang w:eastAsia="zh-CN"/>
              </w:rPr>
              <w:t>提供安全的实验空间，鼓励创新并吸引对数字生态系统的投资。</w:t>
            </w:r>
          </w:p>
        </w:tc>
      </w:tr>
      <w:tr w:rsidR="004C062F" w14:paraId="10D1F034" w14:textId="77777777">
        <w:tc>
          <w:tcPr>
            <w:tcW w:w="2695" w:type="dxa"/>
          </w:tcPr>
          <w:p w14:paraId="5F97299B" w14:textId="77777777" w:rsidR="004C062F" w:rsidRDefault="005945A8">
            <w:pPr>
              <w:spacing w:before="40" w:after="40"/>
              <w:rPr>
                <w:rFonts w:eastAsia="SimSun"/>
                <w:b/>
                <w:bCs/>
                <w:szCs w:val="24"/>
              </w:rPr>
            </w:pPr>
            <w:proofErr w:type="spellStart"/>
            <w:r>
              <w:rPr>
                <w:rFonts w:eastAsia="SimSun"/>
                <w:b/>
                <w:bCs/>
                <w:szCs w:val="24"/>
              </w:rPr>
              <w:t>生态系统</w:t>
            </w:r>
            <w:r>
              <w:rPr>
                <w:b/>
                <w:bCs/>
                <w:szCs w:val="24"/>
                <w:lang w:val="zh-CN"/>
              </w:rPr>
              <w:t>举措</w:t>
            </w:r>
            <w:r>
              <w:rPr>
                <w:rFonts w:eastAsia="SimSun"/>
                <w:b/>
                <w:bCs/>
                <w:szCs w:val="24"/>
              </w:rPr>
              <w:t>加速</w:t>
            </w:r>
            <w:proofErr w:type="spellEnd"/>
          </w:p>
        </w:tc>
        <w:tc>
          <w:tcPr>
            <w:tcW w:w="6321" w:type="dxa"/>
          </w:tcPr>
          <w:p w14:paraId="4523FDF1" w14:textId="77777777" w:rsidR="004C062F" w:rsidRDefault="005945A8">
            <w:pPr>
              <w:spacing w:before="40" w:after="40"/>
              <w:rPr>
                <w:rFonts w:eastAsia="SimSun"/>
                <w:szCs w:val="24"/>
                <w:lang w:eastAsia="zh-CN"/>
              </w:rPr>
            </w:pPr>
            <w:r>
              <w:rPr>
                <w:rFonts w:eastAsia="SimSun"/>
                <w:szCs w:val="24"/>
                <w:lang w:eastAsia="zh-CN"/>
              </w:rPr>
              <w:t>促进协作和协同增效，扩大数字创新规模，并在各经济部门创造价值，打造具有竞争力的数字经济。</w:t>
            </w:r>
          </w:p>
        </w:tc>
      </w:tr>
    </w:tbl>
    <w:p w14:paraId="60F8B2B6" w14:textId="77777777" w:rsidR="004C062F" w:rsidRDefault="005945A8" w:rsidP="009D4A9C">
      <w:pPr>
        <w:keepNext/>
        <w:keepLines/>
        <w:spacing w:after="120"/>
        <w:ind w:firstLineChars="200" w:firstLine="480"/>
        <w:rPr>
          <w:rFonts w:eastAsia="SimSun" w:cstheme="minorHAnsi"/>
          <w:szCs w:val="24"/>
          <w:lang w:eastAsia="zh-CN"/>
        </w:rPr>
      </w:pPr>
      <w:r>
        <w:rPr>
          <w:szCs w:val="24"/>
          <w:lang w:val="zh-CN" w:eastAsia="zh-CN"/>
        </w:rPr>
        <w:lastRenderedPageBreak/>
        <w:t>联盟致力于通过三种手段实现上述成果：</w:t>
      </w:r>
    </w:p>
    <w:p w14:paraId="3FECD652" w14:textId="656794FF" w:rsidR="004C062F" w:rsidRDefault="009D4A9C" w:rsidP="009D4A9C">
      <w:pPr>
        <w:pStyle w:val="enumlev1"/>
        <w:keepNext/>
        <w:keepLines/>
        <w:rPr>
          <w:lang w:eastAsia="zh-CN"/>
        </w:rPr>
      </w:pPr>
      <w:r>
        <w:rPr>
          <w:lang w:eastAsia="zh-CN"/>
        </w:rPr>
        <w:t>–</w:t>
      </w:r>
      <w:r>
        <w:rPr>
          <w:lang w:eastAsia="zh-CN"/>
        </w:rPr>
        <w:tab/>
      </w:r>
      <w:proofErr w:type="gramStart"/>
      <w:r w:rsidR="005945A8">
        <w:rPr>
          <w:lang w:eastAsia="zh-CN"/>
        </w:rPr>
        <w:t>数字化转型实验室</w:t>
      </w:r>
      <w:r w:rsidR="005945A8">
        <w:rPr>
          <w:rFonts w:hint="eastAsia"/>
          <w:lang w:eastAsia="zh-CN"/>
        </w:rPr>
        <w:t>；</w:t>
      </w:r>
      <w:proofErr w:type="gramEnd"/>
    </w:p>
    <w:p w14:paraId="7BE6D855" w14:textId="578D7F61" w:rsidR="004C062F" w:rsidRDefault="009D4A9C" w:rsidP="009D4A9C">
      <w:pPr>
        <w:pStyle w:val="enumlev1"/>
        <w:keepNext/>
        <w:keepLines/>
        <w:rPr>
          <w:lang w:eastAsia="zh-CN"/>
        </w:rPr>
      </w:pPr>
      <w:r>
        <w:rPr>
          <w:lang w:eastAsia="zh-CN"/>
        </w:rPr>
        <w:t>–</w:t>
      </w:r>
      <w:r>
        <w:rPr>
          <w:lang w:eastAsia="zh-CN"/>
        </w:rPr>
        <w:tab/>
      </w:r>
      <w:proofErr w:type="gramStart"/>
      <w:r w:rsidR="005945A8">
        <w:rPr>
          <w:lang w:eastAsia="zh-CN"/>
        </w:rPr>
        <w:t>国际电联加速中心网络；</w:t>
      </w:r>
      <w:proofErr w:type="gramEnd"/>
    </w:p>
    <w:p w14:paraId="62063F32" w14:textId="6A5C8720" w:rsidR="004C062F" w:rsidRDefault="009D4A9C" w:rsidP="009D4A9C">
      <w:pPr>
        <w:pStyle w:val="enumlev1"/>
        <w:keepNext/>
        <w:keepLines/>
      </w:pPr>
      <w:r>
        <w:t>–</w:t>
      </w:r>
      <w:r>
        <w:tab/>
      </w:r>
      <w:proofErr w:type="spellStart"/>
      <w:r w:rsidR="005945A8">
        <w:t>数字</w:t>
      </w:r>
      <w:proofErr w:type="spellEnd"/>
      <w:r w:rsidR="005945A8">
        <w:rPr>
          <w:rFonts w:hint="eastAsia"/>
          <w:lang w:val="en-US" w:eastAsia="zh-CN"/>
        </w:rPr>
        <w:t>化</w:t>
      </w:r>
      <w:proofErr w:type="spellStart"/>
      <w:r w:rsidR="005945A8">
        <w:t>创新委员会</w:t>
      </w:r>
      <w:proofErr w:type="spellEnd"/>
      <w:r w:rsidR="005945A8">
        <w:t>。</w:t>
      </w:r>
    </w:p>
    <w:p w14:paraId="24B346FE" w14:textId="77777777" w:rsidR="004C062F" w:rsidRDefault="005945A8" w:rsidP="009D4A9C">
      <w:pPr>
        <w:ind w:firstLineChars="200" w:firstLine="480"/>
        <w:rPr>
          <w:rFonts w:cstheme="minorHAnsi"/>
          <w:szCs w:val="24"/>
          <w:lang w:eastAsia="zh-CN"/>
        </w:rPr>
      </w:pPr>
      <w:r>
        <w:rPr>
          <w:rFonts w:eastAsia="SimSun" w:cstheme="minorHAnsi"/>
          <w:szCs w:val="24"/>
          <w:lang w:eastAsia="zh-CN"/>
        </w:rPr>
        <w:t>这些工具共同有效地为国际电联成员提供新产品和服务，</w:t>
      </w:r>
      <w:r>
        <w:rPr>
          <w:szCs w:val="24"/>
          <w:lang w:val="zh-CN" w:eastAsia="zh-CN"/>
        </w:rPr>
        <w:t>使其更加灵敏</w:t>
      </w:r>
      <w:r>
        <w:rPr>
          <w:rFonts w:eastAsia="SimSun" w:cstheme="minorHAnsi" w:hint="eastAsia"/>
          <w:szCs w:val="24"/>
          <w:lang w:eastAsia="zh-CN"/>
        </w:rPr>
        <w:t>、</w:t>
      </w:r>
      <w:r>
        <w:rPr>
          <w:rFonts w:eastAsia="SimSun" w:cstheme="minorHAnsi"/>
          <w:szCs w:val="24"/>
          <w:lang w:eastAsia="zh-CN"/>
        </w:rPr>
        <w:t>适应不断变化的数字环境并获取其价值。</w:t>
      </w:r>
    </w:p>
    <w:p w14:paraId="0CB75259" w14:textId="6D732C6B" w:rsidR="004C062F" w:rsidRDefault="009D4A9C" w:rsidP="009D4A9C">
      <w:pPr>
        <w:pStyle w:val="Heading1"/>
      </w:pPr>
      <w:r>
        <w:t>2</w:t>
      </w:r>
      <w:r>
        <w:tab/>
      </w:r>
      <w:proofErr w:type="spellStart"/>
      <w:r w:rsidR="005945A8">
        <w:t>主要</w:t>
      </w:r>
      <w:proofErr w:type="spellEnd"/>
      <w:r w:rsidR="005945A8">
        <w:rPr>
          <w:rFonts w:hint="eastAsia"/>
          <w:lang w:val="en-US" w:eastAsia="zh-CN"/>
        </w:rPr>
        <w:t>工具</w:t>
      </w:r>
    </w:p>
    <w:p w14:paraId="6FDECC2A" w14:textId="77777777" w:rsidR="004C062F" w:rsidRDefault="005945A8" w:rsidP="009D4A9C">
      <w:pPr>
        <w:ind w:firstLineChars="200" w:firstLine="480"/>
        <w:rPr>
          <w:rFonts w:eastAsia="SimSun" w:cstheme="minorHAnsi"/>
          <w:szCs w:val="24"/>
          <w:lang w:eastAsia="zh-CN"/>
        </w:rPr>
      </w:pPr>
      <w:r>
        <w:rPr>
          <w:rFonts w:eastAsia="SimSun" w:cstheme="minorHAnsi"/>
          <w:szCs w:val="24"/>
          <w:lang w:eastAsia="zh-CN"/>
        </w:rPr>
        <w:t>BDT</w:t>
      </w:r>
      <w:r>
        <w:rPr>
          <w:rFonts w:eastAsia="SimSun" w:cstheme="minorHAnsi"/>
          <w:szCs w:val="24"/>
          <w:lang w:eastAsia="zh-CN"/>
        </w:rPr>
        <w:t>在过去一年里通过一个学习模型实施了三种</w:t>
      </w:r>
      <w:r>
        <w:rPr>
          <w:rFonts w:eastAsia="SimSun" w:cstheme="minorHAnsi" w:hint="eastAsia"/>
          <w:szCs w:val="24"/>
          <w:lang w:eastAsia="zh-CN"/>
        </w:rPr>
        <w:t>工具</w:t>
      </w:r>
      <w:r>
        <w:rPr>
          <w:rFonts w:eastAsia="SimSun" w:cstheme="minorHAnsi"/>
          <w:szCs w:val="24"/>
          <w:lang w:eastAsia="zh-CN"/>
        </w:rPr>
        <w:t>，以确保每种</w:t>
      </w:r>
      <w:r>
        <w:rPr>
          <w:rFonts w:eastAsia="SimSun" w:cstheme="minorHAnsi" w:hint="eastAsia"/>
          <w:szCs w:val="24"/>
          <w:lang w:eastAsia="zh-CN"/>
        </w:rPr>
        <w:t>工具</w:t>
      </w:r>
      <w:r>
        <w:rPr>
          <w:rFonts w:eastAsia="SimSun" w:cstheme="minorHAnsi" w:hint="eastAsia"/>
          <w:szCs w:val="24"/>
          <w:lang w:val="en-US" w:eastAsia="zh-CN"/>
        </w:rPr>
        <w:t>均</w:t>
      </w:r>
      <w:r>
        <w:rPr>
          <w:szCs w:val="24"/>
          <w:lang w:val="zh-CN" w:eastAsia="zh-CN"/>
        </w:rPr>
        <w:t>能产生影响</w:t>
      </w:r>
      <w:r>
        <w:rPr>
          <w:rFonts w:eastAsia="SimSun" w:cstheme="minorHAnsi"/>
          <w:szCs w:val="24"/>
          <w:lang w:eastAsia="zh-CN"/>
        </w:rPr>
        <w:t>。本节重点介绍</w:t>
      </w:r>
      <w:r>
        <w:rPr>
          <w:rFonts w:eastAsia="SimSun" w:cstheme="minorHAnsi" w:hint="eastAsia"/>
          <w:szCs w:val="24"/>
          <w:lang w:eastAsia="zh-CN"/>
        </w:rPr>
        <w:t>每种工具</w:t>
      </w:r>
      <w:r>
        <w:rPr>
          <w:rFonts w:eastAsia="SimSun" w:cstheme="minorHAnsi"/>
          <w:szCs w:val="24"/>
          <w:lang w:eastAsia="zh-CN"/>
        </w:rPr>
        <w:t>的基本原理及其当前</w:t>
      </w:r>
      <w:r>
        <w:rPr>
          <w:rFonts w:eastAsia="SimSun" w:cstheme="minorHAnsi" w:hint="eastAsia"/>
          <w:szCs w:val="24"/>
          <w:lang w:val="en-US" w:eastAsia="zh-CN"/>
        </w:rPr>
        <w:t>就绪</w:t>
      </w:r>
      <w:r>
        <w:rPr>
          <w:rFonts w:eastAsia="SimSun" w:cstheme="minorHAnsi"/>
          <w:szCs w:val="24"/>
          <w:lang w:eastAsia="zh-CN"/>
        </w:rPr>
        <w:t>情况、学习和实验目标以及后续步骤。</w:t>
      </w:r>
    </w:p>
    <w:p w14:paraId="514B4B10" w14:textId="5C41C085" w:rsidR="004C062F" w:rsidRDefault="009D4A9C" w:rsidP="009D4A9C">
      <w:pPr>
        <w:pStyle w:val="Heading2"/>
      </w:pPr>
      <w:r>
        <w:t>2.1</w:t>
      </w:r>
      <w:r>
        <w:tab/>
      </w:r>
      <w:proofErr w:type="spellStart"/>
      <w:r w:rsidR="005945A8">
        <w:t>数字化转型实验室</w:t>
      </w:r>
      <w:proofErr w:type="spellEnd"/>
    </w:p>
    <w:p w14:paraId="508B7C8E" w14:textId="77777777" w:rsidR="004C062F" w:rsidRPr="009D4A9C" w:rsidRDefault="005945A8" w:rsidP="009D4A9C">
      <w:pPr>
        <w:ind w:firstLineChars="200" w:firstLine="480"/>
        <w:rPr>
          <w:lang w:eastAsia="zh-CN"/>
        </w:rPr>
      </w:pPr>
      <w:r w:rsidRPr="009D4A9C">
        <w:rPr>
          <w:lang w:eastAsia="zh-CN"/>
        </w:rPr>
        <w:t>数字</w:t>
      </w:r>
      <w:r w:rsidRPr="009D4A9C">
        <w:rPr>
          <w:rFonts w:hint="eastAsia"/>
        </w:rPr>
        <w:t>化</w:t>
      </w:r>
      <w:r w:rsidRPr="009D4A9C">
        <w:rPr>
          <w:lang w:eastAsia="zh-CN"/>
        </w:rPr>
        <w:t>转型实验室（</w:t>
      </w:r>
      <w:r w:rsidRPr="009D4A9C">
        <w:rPr>
          <w:lang w:eastAsia="zh-CN"/>
        </w:rPr>
        <w:t>DT Lab</w:t>
      </w:r>
      <w:r w:rsidRPr="009D4A9C">
        <w:rPr>
          <w:lang w:eastAsia="zh-CN"/>
        </w:rPr>
        <w:t>）具有双重作用，一方面支持加速中心网络的设计和实施，另一方面提供技术援助，帮助目前缺乏实验和</w:t>
      </w:r>
      <w:proofErr w:type="spellStart"/>
      <w:r w:rsidRPr="009D4A9C">
        <w:rPr>
          <w:rFonts w:hint="eastAsia"/>
        </w:rPr>
        <w:t>举措</w:t>
      </w:r>
      <w:proofErr w:type="spellEnd"/>
      <w:r w:rsidRPr="009D4A9C">
        <w:rPr>
          <w:lang w:eastAsia="zh-CN"/>
        </w:rPr>
        <w:t>开发能力的国家通过创新和创业加速数字生态系统建设。</w:t>
      </w:r>
    </w:p>
    <w:p w14:paraId="123621F7" w14:textId="77777777" w:rsidR="004C062F" w:rsidRPr="009D4A9C" w:rsidRDefault="005945A8" w:rsidP="009D4A9C">
      <w:pPr>
        <w:ind w:firstLineChars="200" w:firstLine="480"/>
      </w:pPr>
      <w:r w:rsidRPr="009D4A9C">
        <w:rPr>
          <w:lang w:eastAsia="zh-CN"/>
        </w:rPr>
        <w:t>迄今为止，</w:t>
      </w:r>
      <w:r w:rsidRPr="009D4A9C">
        <w:rPr>
          <w:lang w:eastAsia="zh-CN"/>
        </w:rPr>
        <w:t>BDT</w:t>
      </w:r>
      <w:r w:rsidRPr="009D4A9C">
        <w:rPr>
          <w:lang w:eastAsia="zh-CN"/>
        </w:rPr>
        <w:t>已通过以下方式</w:t>
      </w:r>
      <w:r w:rsidRPr="009D4A9C">
        <w:rPr>
          <w:lang w:eastAsia="zh-CN"/>
        </w:rPr>
        <w:t>实施</w:t>
      </w:r>
      <w:r w:rsidRPr="009D4A9C">
        <w:rPr>
          <w:lang w:eastAsia="zh-CN"/>
        </w:rPr>
        <w:t>了</w:t>
      </w:r>
      <w:r w:rsidRPr="009D4A9C">
        <w:rPr>
          <w:lang w:eastAsia="zh-CN"/>
        </w:rPr>
        <w:t>DT Lab</w:t>
      </w:r>
      <w:r w:rsidRPr="009D4A9C">
        <w:rPr>
          <w:rFonts w:hint="eastAsia"/>
        </w:rPr>
        <w:t>：</w:t>
      </w:r>
    </w:p>
    <w:p w14:paraId="41C1B40E" w14:textId="0A4D3A57" w:rsidR="004C062F" w:rsidRDefault="009D4A9C" w:rsidP="009D4A9C">
      <w:pPr>
        <w:pStyle w:val="enumlev1"/>
        <w:rPr>
          <w:lang w:eastAsia="zh-CN"/>
        </w:rPr>
      </w:pPr>
      <w:r>
        <w:rPr>
          <w:lang w:val="en-US" w:eastAsia="zh-CN"/>
        </w:rPr>
        <w:t>1)</w:t>
      </w:r>
      <w:r>
        <w:rPr>
          <w:lang w:val="en-US" w:eastAsia="zh-CN"/>
        </w:rPr>
        <w:tab/>
      </w:r>
      <w:r w:rsidR="005945A8">
        <w:rPr>
          <w:lang w:eastAsia="zh-CN"/>
        </w:rPr>
        <w:t>在国际电联总部创建一个实体空间，用于开发和开展与利益攸关方的面对面或混合式</w:t>
      </w:r>
      <w:r w:rsidR="005945A8">
        <w:rPr>
          <w:rFonts w:hint="eastAsia"/>
          <w:lang w:eastAsia="zh-CN"/>
        </w:rPr>
        <w:t>共创</w:t>
      </w:r>
      <w:r w:rsidR="005945A8">
        <w:rPr>
          <w:lang w:eastAsia="zh-CN"/>
        </w:rPr>
        <w:t>和会议，以提供与</w:t>
      </w:r>
      <w:r w:rsidR="005945A8">
        <w:rPr>
          <w:lang w:val="zh-CN" w:eastAsia="zh-CN"/>
        </w:rPr>
        <w:t>联盟</w:t>
      </w:r>
      <w:r w:rsidR="005945A8">
        <w:rPr>
          <w:lang w:eastAsia="zh-CN"/>
        </w:rPr>
        <w:t>目标相关的服务（日内瓦</w:t>
      </w:r>
      <w:r w:rsidR="005945A8">
        <w:rPr>
          <w:lang w:eastAsia="zh-CN"/>
        </w:rPr>
        <w:t>T306</w:t>
      </w:r>
      <w:r w:rsidR="005945A8">
        <w:rPr>
          <w:lang w:eastAsia="zh-CN"/>
        </w:rPr>
        <w:t>办公室）；以及</w:t>
      </w:r>
    </w:p>
    <w:p w14:paraId="3F25672F" w14:textId="496C9A48" w:rsidR="004C062F" w:rsidRDefault="009D4A9C" w:rsidP="009D4A9C">
      <w:pPr>
        <w:pStyle w:val="enumlev1"/>
        <w:rPr>
          <w:lang w:eastAsia="zh-CN"/>
        </w:rPr>
      </w:pPr>
      <w:r>
        <w:rPr>
          <w:lang w:val="en-US" w:eastAsia="zh-CN"/>
        </w:rPr>
        <w:t>2</w:t>
      </w:r>
      <w:r>
        <w:rPr>
          <w:lang w:val="en-US" w:eastAsia="zh-CN"/>
        </w:rPr>
        <w:t>)</w:t>
      </w:r>
      <w:r>
        <w:rPr>
          <w:lang w:val="en-US" w:eastAsia="zh-CN"/>
        </w:rPr>
        <w:tab/>
      </w:r>
      <w:r w:rsidR="005945A8">
        <w:rPr>
          <w:lang w:eastAsia="zh-CN"/>
        </w:rPr>
        <w:t>将框架、工具和流程作为知识产品进行开发、测试和运营，例如</w:t>
      </w:r>
      <w:r w:rsidR="005945A8">
        <w:rPr>
          <w:lang w:val="zh-CN" w:eastAsia="zh-CN"/>
        </w:rPr>
        <w:t>联盟及其</w:t>
      </w:r>
      <w:r w:rsidR="005945A8">
        <w:rPr>
          <w:rFonts w:hint="eastAsia"/>
          <w:lang w:val="en-US" w:eastAsia="zh-CN"/>
        </w:rPr>
        <w:t>工具</w:t>
      </w:r>
      <w:r w:rsidR="005945A8">
        <w:rPr>
          <w:lang w:eastAsia="zh-CN"/>
        </w:rPr>
        <w:t>的行动手册。</w:t>
      </w:r>
    </w:p>
    <w:p w14:paraId="18F457B5" w14:textId="3665F6C5" w:rsidR="004C062F" w:rsidRDefault="009D4A9C" w:rsidP="009D4A9C">
      <w:pPr>
        <w:pStyle w:val="enumlev1"/>
        <w:rPr>
          <w:lang w:eastAsia="zh-CN"/>
        </w:rPr>
      </w:pPr>
      <w:r>
        <w:rPr>
          <w:lang w:val="en-US" w:eastAsia="zh-CN"/>
        </w:rPr>
        <w:t>3</w:t>
      </w:r>
      <w:r>
        <w:rPr>
          <w:lang w:val="en-US" w:eastAsia="zh-CN"/>
        </w:rPr>
        <w:t>)</w:t>
      </w:r>
      <w:r>
        <w:rPr>
          <w:lang w:val="en-US" w:eastAsia="zh-CN"/>
        </w:rPr>
        <w:tab/>
      </w:r>
      <w:r w:rsidR="005945A8">
        <w:rPr>
          <w:lang w:eastAsia="zh-CN"/>
        </w:rPr>
        <w:t>帮助提供与行动手册相关的服务，以支持在加速中心网络之外提供技术援助。</w:t>
      </w:r>
    </w:p>
    <w:p w14:paraId="70D5883A" w14:textId="4C8DB5CD" w:rsidR="004C062F" w:rsidRDefault="009D4A9C" w:rsidP="009D4A9C">
      <w:pPr>
        <w:pStyle w:val="enumlev1"/>
        <w:rPr>
          <w:lang w:eastAsia="zh-CN"/>
        </w:rPr>
      </w:pPr>
      <w:r>
        <w:rPr>
          <w:lang w:val="en-US" w:eastAsia="zh-CN"/>
        </w:rPr>
        <w:t>4</w:t>
      </w:r>
      <w:r>
        <w:rPr>
          <w:lang w:val="en-US" w:eastAsia="zh-CN"/>
        </w:rPr>
        <w:t>)</w:t>
      </w:r>
      <w:r>
        <w:rPr>
          <w:lang w:val="en-US" w:eastAsia="zh-CN"/>
        </w:rPr>
        <w:tab/>
      </w:r>
      <w:r w:rsidR="005945A8">
        <w:rPr>
          <w:lang w:eastAsia="zh-CN"/>
        </w:rPr>
        <w:t>帮助支持</w:t>
      </w:r>
      <w:r w:rsidR="005945A8">
        <w:rPr>
          <w:rFonts w:hint="eastAsia"/>
          <w:lang w:val="en-US" w:eastAsia="zh-CN"/>
        </w:rPr>
        <w:t>联盟</w:t>
      </w:r>
      <w:r w:rsidR="005945A8">
        <w:rPr>
          <w:lang w:eastAsia="zh-CN"/>
        </w:rPr>
        <w:t>中心知识产品的能力建设。</w:t>
      </w:r>
    </w:p>
    <w:p w14:paraId="4AD8123B" w14:textId="77777777" w:rsidR="004C062F" w:rsidRDefault="005945A8" w:rsidP="009D4A9C">
      <w:pPr>
        <w:ind w:firstLineChars="200" w:firstLine="480"/>
        <w:rPr>
          <w:lang w:eastAsia="zh-CN"/>
        </w:rPr>
      </w:pPr>
      <w:r>
        <w:rPr>
          <w:lang w:eastAsia="zh-CN"/>
        </w:rPr>
        <w:t>DT Lab</w:t>
      </w:r>
      <w:r>
        <w:rPr>
          <w:lang w:eastAsia="zh-CN"/>
        </w:rPr>
        <w:t>团队正在</w:t>
      </w:r>
      <w:r>
        <w:rPr>
          <w:lang w:val="zh-CN" w:eastAsia="zh-CN"/>
        </w:rPr>
        <w:t>制定与五项</w:t>
      </w:r>
      <w:r>
        <w:rPr>
          <w:lang w:eastAsia="zh-CN"/>
        </w:rPr>
        <w:t>战略目标相关的</w:t>
      </w:r>
      <w:r>
        <w:rPr>
          <w:lang w:val="zh-CN" w:eastAsia="zh-CN"/>
        </w:rPr>
        <w:t>几</w:t>
      </w:r>
      <w:r>
        <w:rPr>
          <w:rFonts w:hint="eastAsia"/>
          <w:lang w:val="en-US" w:eastAsia="zh-CN"/>
        </w:rPr>
        <w:t>个</w:t>
      </w:r>
      <w:r>
        <w:rPr>
          <w:lang w:eastAsia="zh-CN"/>
        </w:rPr>
        <w:t>主题行动手册，以确保每个中心</w:t>
      </w:r>
      <w:r>
        <w:rPr>
          <w:rFonts w:hint="eastAsia"/>
          <w:lang w:eastAsia="zh-CN"/>
        </w:rPr>
        <w:t>均</w:t>
      </w:r>
      <w:r>
        <w:rPr>
          <w:lang w:eastAsia="zh-CN"/>
        </w:rPr>
        <w:t>有实现其愿景和使命的机构。此外，</w:t>
      </w:r>
      <w:r>
        <w:rPr>
          <w:rFonts w:hint="eastAsia"/>
          <w:lang w:eastAsia="zh-CN"/>
        </w:rPr>
        <w:t>DT Lab</w:t>
      </w:r>
      <w:r>
        <w:rPr>
          <w:lang w:eastAsia="zh-CN"/>
        </w:rPr>
        <w:t>正在</w:t>
      </w:r>
      <w:r>
        <w:rPr>
          <w:rFonts w:hint="eastAsia"/>
          <w:lang w:val="en-US" w:eastAsia="zh-CN"/>
        </w:rPr>
        <w:t>制定</w:t>
      </w:r>
      <w:r>
        <w:rPr>
          <w:lang w:eastAsia="zh-CN"/>
        </w:rPr>
        <w:t>配套的</w:t>
      </w:r>
      <w:r>
        <w:rPr>
          <w:rFonts w:hint="eastAsia"/>
          <w:lang w:val="en-US" w:eastAsia="zh-CN"/>
        </w:rPr>
        <w:t>运营</w:t>
      </w:r>
      <w:r>
        <w:rPr>
          <w:lang w:eastAsia="zh-CN"/>
        </w:rPr>
        <w:t>推进手册，以</w:t>
      </w:r>
      <w:r>
        <w:rPr>
          <w:rFonts w:hint="eastAsia"/>
          <w:lang w:val="en-US" w:eastAsia="zh-CN"/>
        </w:rPr>
        <w:t>在各中心实现</w:t>
      </w:r>
      <w:r>
        <w:rPr>
          <w:lang w:eastAsia="zh-CN"/>
        </w:rPr>
        <w:t>敏捷、透明和有效的管理。行动手册是根据</w:t>
      </w:r>
      <w:r>
        <w:rPr>
          <w:rFonts w:hint="eastAsia"/>
          <w:lang w:val="en-US" w:eastAsia="zh-CN"/>
        </w:rPr>
        <w:t>其</w:t>
      </w:r>
      <w:r>
        <w:rPr>
          <w:lang w:eastAsia="zh-CN"/>
        </w:rPr>
        <w:t>目标交付相关服务的标准操作程序（</w:t>
      </w:r>
      <w:r>
        <w:rPr>
          <w:lang w:eastAsia="zh-CN"/>
        </w:rPr>
        <w:t>SOP</w:t>
      </w:r>
      <w:r>
        <w:rPr>
          <w:lang w:eastAsia="zh-CN"/>
        </w:rPr>
        <w:t>）。以下行动手册已经制定和</w:t>
      </w:r>
      <w:r>
        <w:rPr>
          <w:lang w:eastAsia="zh-CN"/>
        </w:rPr>
        <w:t>/</w:t>
      </w:r>
      <w:r>
        <w:rPr>
          <w:lang w:eastAsia="zh-CN"/>
        </w:rPr>
        <w:t>或正在制定和测试过程中，</w:t>
      </w:r>
      <w:r>
        <w:rPr>
          <w:rFonts w:hint="eastAsia"/>
          <w:lang w:val="en-US" w:eastAsia="zh-CN"/>
        </w:rPr>
        <w:t>并会在随后</w:t>
      </w:r>
      <w:r>
        <w:rPr>
          <w:lang w:eastAsia="zh-CN"/>
        </w:rPr>
        <w:t>付诸实施</w:t>
      </w:r>
      <w:r>
        <w:rPr>
          <w:rFonts w:hint="eastAsia"/>
          <w:lang w:eastAsia="zh-CN"/>
        </w:rPr>
        <w:t>：</w:t>
      </w:r>
      <w:r>
        <w:rPr>
          <w:lang w:eastAsia="zh-CN"/>
        </w:rPr>
        <w:t>战略</w:t>
      </w:r>
      <w:r>
        <w:rPr>
          <w:rFonts w:hint="eastAsia"/>
          <w:lang w:val="en-US" w:eastAsia="zh-CN"/>
        </w:rPr>
        <w:t>远见</w:t>
      </w:r>
      <w:r>
        <w:rPr>
          <w:lang w:eastAsia="zh-CN"/>
        </w:rPr>
        <w:t>行动手册、中小企业</w:t>
      </w:r>
      <w:r>
        <w:rPr>
          <w:rFonts w:hint="eastAsia"/>
          <w:lang w:val="en-US" w:eastAsia="zh-CN"/>
        </w:rPr>
        <w:t>和</w:t>
      </w:r>
      <w:r>
        <w:rPr>
          <w:lang w:eastAsia="zh-CN"/>
        </w:rPr>
        <w:t>扩大</w:t>
      </w:r>
      <w:r>
        <w:rPr>
          <w:lang w:val="zh-CN" w:eastAsia="zh-CN"/>
        </w:rPr>
        <w:t>创业</w:t>
      </w:r>
      <w:r>
        <w:rPr>
          <w:lang w:eastAsia="zh-CN"/>
        </w:rPr>
        <w:t>规模行动手册、生态系统</w:t>
      </w:r>
      <w:r>
        <w:rPr>
          <w:rFonts w:hint="eastAsia"/>
          <w:lang w:eastAsia="zh-CN"/>
        </w:rPr>
        <w:t>举措</w:t>
      </w:r>
      <w:r>
        <w:rPr>
          <w:lang w:val="zh-CN" w:eastAsia="zh-CN"/>
        </w:rPr>
        <w:t>制定</w:t>
      </w:r>
      <w:r>
        <w:rPr>
          <w:lang w:eastAsia="zh-CN"/>
        </w:rPr>
        <w:t>行动手册、开放技术创新行动手册、政策实验行动手册、联合</w:t>
      </w:r>
      <w:r>
        <w:rPr>
          <w:rFonts w:hint="eastAsia"/>
          <w:lang w:val="en-US" w:eastAsia="zh-CN"/>
        </w:rPr>
        <w:t>计划</w:t>
      </w:r>
      <w:r>
        <w:rPr>
          <w:lang w:eastAsia="zh-CN"/>
        </w:rPr>
        <w:t>设计行动手册、资源调动和伙伴关系行动手册以及沟通</w:t>
      </w:r>
      <w:r>
        <w:rPr>
          <w:rFonts w:hint="eastAsia"/>
          <w:lang w:eastAsia="zh-CN"/>
        </w:rPr>
        <w:t>、</w:t>
      </w:r>
      <w:r>
        <w:rPr>
          <w:lang w:eastAsia="zh-CN"/>
        </w:rPr>
        <w:t>外联和</w:t>
      </w:r>
      <w:r>
        <w:rPr>
          <w:rFonts w:hint="eastAsia"/>
          <w:lang w:val="en-US" w:eastAsia="zh-CN"/>
        </w:rPr>
        <w:t>参与</w:t>
      </w:r>
      <w:r>
        <w:rPr>
          <w:lang w:eastAsia="zh-CN"/>
        </w:rPr>
        <w:t>行动手册。</w:t>
      </w:r>
    </w:p>
    <w:p w14:paraId="5E403055" w14:textId="77777777" w:rsidR="004C062F" w:rsidRDefault="005945A8" w:rsidP="009D4A9C">
      <w:pPr>
        <w:ind w:firstLineChars="200" w:firstLine="480"/>
        <w:rPr>
          <w:lang w:eastAsia="zh-CN"/>
        </w:rPr>
      </w:pPr>
      <w:r>
        <w:rPr>
          <w:lang w:eastAsia="zh-CN"/>
        </w:rPr>
        <w:t>每个行动手册</w:t>
      </w:r>
      <w:r>
        <w:rPr>
          <w:rFonts w:hint="eastAsia"/>
          <w:lang w:eastAsia="zh-CN"/>
        </w:rPr>
        <w:t>均</w:t>
      </w:r>
      <w:r>
        <w:rPr>
          <w:lang w:eastAsia="zh-CN"/>
        </w:rPr>
        <w:t>附有明确的关键绩效指标，这将有助于衡量</w:t>
      </w:r>
      <w:r>
        <w:rPr>
          <w:rFonts w:hint="eastAsia"/>
          <w:lang w:val="en-US" w:eastAsia="zh-CN"/>
        </w:rPr>
        <w:t>各</w:t>
      </w:r>
      <w:r>
        <w:rPr>
          <w:lang w:eastAsia="zh-CN"/>
        </w:rPr>
        <w:t>中心在运营期间的绩效。</w:t>
      </w:r>
    </w:p>
    <w:p w14:paraId="5F8B10FB" w14:textId="77777777" w:rsidR="004C062F" w:rsidRDefault="005945A8" w:rsidP="009D4A9C">
      <w:pPr>
        <w:ind w:firstLineChars="200" w:firstLine="480"/>
        <w:rPr>
          <w:lang w:eastAsia="zh-CN"/>
        </w:rPr>
      </w:pPr>
      <w:r>
        <w:rPr>
          <w:rFonts w:hint="eastAsia"/>
          <w:lang w:eastAsia="zh-CN"/>
        </w:rPr>
        <w:t>DT Lab</w:t>
      </w:r>
      <w:r>
        <w:rPr>
          <w:lang w:eastAsia="zh-CN"/>
        </w:rPr>
        <w:t>举办了两次趋势研究</w:t>
      </w:r>
      <w:r>
        <w:rPr>
          <w:rFonts w:hint="eastAsia"/>
          <w:lang w:val="en-US" w:eastAsia="zh-CN"/>
        </w:rPr>
        <w:t>工作准备讲习班</w:t>
      </w:r>
      <w:r>
        <w:rPr>
          <w:lang w:eastAsia="zh-CN"/>
        </w:rPr>
        <w:t>（</w:t>
      </w:r>
      <w:r>
        <w:rPr>
          <w:lang w:eastAsia="zh-CN"/>
        </w:rPr>
        <w:t>2023</w:t>
      </w:r>
      <w:r>
        <w:rPr>
          <w:lang w:eastAsia="zh-CN"/>
        </w:rPr>
        <w:t>年</w:t>
      </w:r>
      <w:r>
        <w:rPr>
          <w:lang w:eastAsia="zh-CN"/>
        </w:rPr>
        <w:t>7</w:t>
      </w:r>
      <w:proofErr w:type="gramStart"/>
      <w:r>
        <w:rPr>
          <w:lang w:eastAsia="zh-CN"/>
        </w:rPr>
        <w:t>月在勒克瑙举办的</w:t>
      </w:r>
      <w:r>
        <w:rPr>
          <w:rFonts w:hint="eastAsia"/>
          <w:lang w:eastAsia="zh-CN"/>
        </w:rPr>
        <w:t>“</w:t>
      </w:r>
      <w:proofErr w:type="gramEnd"/>
      <w:r>
        <w:rPr>
          <w:lang w:eastAsia="zh-CN"/>
        </w:rPr>
        <w:t>最后一英里医疗</w:t>
      </w:r>
      <w:r>
        <w:rPr>
          <w:rFonts w:hint="eastAsia"/>
          <w:lang w:eastAsia="zh-CN"/>
        </w:rPr>
        <w:t>”</w:t>
      </w:r>
      <w:r>
        <w:rPr>
          <w:rFonts w:hint="eastAsia"/>
          <w:lang w:val="en-US" w:eastAsia="zh-CN"/>
        </w:rPr>
        <w:t>工作准备</w:t>
      </w:r>
      <w:r>
        <w:rPr>
          <w:lang w:eastAsia="zh-CN"/>
        </w:rPr>
        <w:t>战略</w:t>
      </w:r>
      <w:r>
        <w:rPr>
          <w:rFonts w:hint="eastAsia"/>
          <w:lang w:val="en-US" w:eastAsia="zh-CN"/>
        </w:rPr>
        <w:t>远见</w:t>
      </w:r>
      <w:r>
        <w:rPr>
          <w:rFonts w:hint="eastAsia"/>
          <w:lang w:val="en-US" w:eastAsia="zh-CN"/>
        </w:rPr>
        <w:t>讲习班</w:t>
      </w:r>
      <w:r>
        <w:rPr>
          <w:rFonts w:hint="eastAsia"/>
          <w:lang w:eastAsia="zh-CN"/>
        </w:rPr>
        <w:t>；</w:t>
      </w:r>
      <w:r>
        <w:rPr>
          <w:lang w:eastAsia="zh-CN"/>
        </w:rPr>
        <w:t>2023</w:t>
      </w:r>
      <w:r>
        <w:rPr>
          <w:lang w:eastAsia="zh-CN"/>
        </w:rPr>
        <w:t>年</w:t>
      </w:r>
      <w:r>
        <w:rPr>
          <w:lang w:eastAsia="zh-CN"/>
        </w:rPr>
        <w:t>10</w:t>
      </w:r>
      <w:r>
        <w:rPr>
          <w:lang w:eastAsia="zh-CN"/>
        </w:rPr>
        <w:t>月在新德里举办的实现可持续发展目标的战略</w:t>
      </w:r>
      <w:r>
        <w:rPr>
          <w:rFonts w:hint="eastAsia"/>
          <w:lang w:val="en-US" w:eastAsia="zh-CN"/>
        </w:rPr>
        <w:t>远见</w:t>
      </w:r>
      <w:r>
        <w:rPr>
          <w:rFonts w:hint="eastAsia"/>
          <w:lang w:val="en-US" w:eastAsia="zh-CN"/>
        </w:rPr>
        <w:t>讲习班</w:t>
      </w:r>
      <w:r>
        <w:rPr>
          <w:lang w:eastAsia="zh-CN"/>
        </w:rPr>
        <w:t>），并在印度移动通信大会上帮助</w:t>
      </w:r>
      <w:r>
        <w:rPr>
          <w:rFonts w:hint="eastAsia"/>
          <w:lang w:val="en-US" w:eastAsia="zh-CN"/>
        </w:rPr>
        <w:t>设立</w:t>
      </w:r>
      <w:r>
        <w:rPr>
          <w:lang w:eastAsia="zh-CN"/>
        </w:rPr>
        <w:t>了一个展示活动</w:t>
      </w:r>
      <w:r>
        <w:rPr>
          <w:rFonts w:hint="eastAsia"/>
          <w:lang w:val="en-US" w:eastAsia="zh-CN"/>
        </w:rPr>
        <w:t>主题会议</w:t>
      </w:r>
      <w:r>
        <w:rPr>
          <w:lang w:eastAsia="zh-CN"/>
        </w:rPr>
        <w:t>（</w:t>
      </w:r>
      <w:r>
        <w:rPr>
          <w:rFonts w:hint="eastAsia"/>
          <w:lang w:eastAsia="zh-CN"/>
        </w:rPr>
        <w:t>“</w:t>
      </w:r>
      <w:r>
        <w:rPr>
          <w:rFonts w:hint="eastAsia"/>
          <w:lang w:val="en-US" w:eastAsia="zh-CN"/>
        </w:rPr>
        <w:t>面向</w:t>
      </w:r>
      <w:r>
        <w:rPr>
          <w:lang w:eastAsia="zh-CN"/>
        </w:rPr>
        <w:t>可持续发展目标</w:t>
      </w:r>
      <w:r>
        <w:rPr>
          <w:rFonts w:hint="eastAsia"/>
          <w:lang w:val="en-US" w:eastAsia="zh-CN"/>
        </w:rPr>
        <w:t>的</w:t>
      </w:r>
      <w:r>
        <w:rPr>
          <w:lang w:eastAsia="zh-CN"/>
        </w:rPr>
        <w:t>创新和创业</w:t>
      </w:r>
      <w:r>
        <w:rPr>
          <w:rFonts w:hint="eastAsia"/>
          <w:lang w:eastAsia="zh-CN"/>
        </w:rPr>
        <w:t>”</w:t>
      </w:r>
      <w:r>
        <w:rPr>
          <w:lang w:eastAsia="zh-CN"/>
        </w:rPr>
        <w:t>）。</w:t>
      </w:r>
    </w:p>
    <w:p w14:paraId="751760CC" w14:textId="77777777" w:rsidR="004C062F" w:rsidRDefault="005945A8" w:rsidP="009D4A9C">
      <w:pPr>
        <w:ind w:firstLineChars="200" w:firstLine="480"/>
        <w:rPr>
          <w:lang w:eastAsia="zh-CN"/>
        </w:rPr>
      </w:pPr>
      <w:r>
        <w:rPr>
          <w:rFonts w:hint="eastAsia"/>
          <w:lang w:eastAsia="zh-CN"/>
        </w:rPr>
        <w:t>DT Lab</w:t>
      </w:r>
      <w:r>
        <w:rPr>
          <w:lang w:eastAsia="zh-CN"/>
        </w:rPr>
        <w:t>还</w:t>
      </w:r>
      <w:r>
        <w:rPr>
          <w:rFonts w:hint="eastAsia"/>
          <w:lang w:val="en-US" w:eastAsia="zh-CN"/>
        </w:rPr>
        <w:t>有意向</w:t>
      </w:r>
      <w:r>
        <w:rPr>
          <w:lang w:eastAsia="zh-CN"/>
        </w:rPr>
        <w:t>BDT</w:t>
      </w:r>
      <w:r>
        <w:rPr>
          <w:lang w:eastAsia="zh-CN"/>
        </w:rPr>
        <w:t>秘书处提供</w:t>
      </w:r>
      <w:r>
        <w:rPr>
          <w:lang w:val="zh-CN" w:eastAsia="zh-CN"/>
        </w:rPr>
        <w:t>该联盟</w:t>
      </w:r>
      <w:r>
        <w:rPr>
          <w:rFonts w:hint="eastAsia"/>
          <w:lang w:val="en-US" w:eastAsia="zh-CN"/>
        </w:rPr>
        <w:t>所</w:t>
      </w:r>
      <w:r>
        <w:rPr>
          <w:lang w:eastAsia="zh-CN"/>
        </w:rPr>
        <w:t>设计的产品和服务，</w:t>
      </w:r>
      <w:r>
        <w:rPr>
          <w:lang w:val="zh-CN" w:eastAsia="zh-CN"/>
        </w:rPr>
        <w:t>以加强对各国的技术援助交付</w:t>
      </w:r>
      <w:r>
        <w:rPr>
          <w:rFonts w:hint="eastAsia"/>
          <w:lang w:val="en-US" w:eastAsia="zh-CN"/>
        </w:rPr>
        <w:t>工作</w:t>
      </w:r>
      <w:r>
        <w:rPr>
          <w:lang w:val="zh-CN" w:eastAsia="zh-CN"/>
        </w:rPr>
        <w:t>。</w:t>
      </w:r>
      <w:r>
        <w:rPr>
          <w:lang w:eastAsia="zh-CN"/>
        </w:rPr>
        <w:t>在</w:t>
      </w:r>
      <w:r>
        <w:rPr>
          <w:rFonts w:hint="eastAsia"/>
          <w:lang w:val="en-US" w:eastAsia="zh-CN"/>
        </w:rPr>
        <w:t>此</w:t>
      </w:r>
      <w:r>
        <w:rPr>
          <w:lang w:eastAsia="zh-CN"/>
        </w:rPr>
        <w:t>方面，一些区域同事已开始</w:t>
      </w:r>
      <w:r>
        <w:rPr>
          <w:rFonts w:hint="eastAsia"/>
          <w:lang w:val="en-US" w:eastAsia="zh-CN"/>
        </w:rPr>
        <w:t>研究</w:t>
      </w:r>
      <w:r>
        <w:rPr>
          <w:rFonts w:hint="eastAsia"/>
          <w:lang w:eastAsia="zh-CN"/>
        </w:rPr>
        <w:t>DT Lab</w:t>
      </w:r>
      <w:r>
        <w:rPr>
          <w:lang w:eastAsia="zh-CN"/>
        </w:rPr>
        <w:t>的</w:t>
      </w:r>
      <w:r>
        <w:rPr>
          <w:rFonts w:hint="eastAsia"/>
          <w:lang w:val="en-US" w:eastAsia="zh-CN"/>
        </w:rPr>
        <w:t>益处</w:t>
      </w:r>
      <w:r>
        <w:rPr>
          <w:lang w:eastAsia="zh-CN"/>
        </w:rPr>
        <w:t>，以便为国际电联成员提供更好的服务。例如，阿拉伯国家区域</w:t>
      </w:r>
      <w:r>
        <w:rPr>
          <w:lang w:val="zh-CN" w:eastAsia="zh-CN"/>
        </w:rPr>
        <w:t>代表处已</w:t>
      </w:r>
      <w:r>
        <w:rPr>
          <w:lang w:eastAsia="zh-CN"/>
        </w:rPr>
        <w:t>委托</w:t>
      </w:r>
      <w:r>
        <w:rPr>
          <w:rFonts w:hint="eastAsia"/>
          <w:lang w:eastAsia="zh-CN"/>
        </w:rPr>
        <w:t>DT Lab</w:t>
      </w:r>
      <w:r>
        <w:rPr>
          <w:lang w:eastAsia="zh-CN"/>
        </w:rPr>
        <w:t>与联合国国家工作队和埃及政府各部门</w:t>
      </w:r>
      <w:r>
        <w:rPr>
          <w:lang w:val="zh-CN" w:eastAsia="zh-CN"/>
        </w:rPr>
        <w:t>合作，</w:t>
      </w:r>
      <w:r>
        <w:rPr>
          <w:rFonts w:hint="eastAsia"/>
          <w:lang w:val="en-US" w:eastAsia="zh-CN"/>
        </w:rPr>
        <w:t>以</w:t>
      </w:r>
      <w:r>
        <w:rPr>
          <w:lang w:val="zh-CN" w:eastAsia="zh-CN"/>
        </w:rPr>
        <w:t>支持国家层面项目的发展。</w:t>
      </w:r>
    </w:p>
    <w:p w14:paraId="1CE9565E" w14:textId="77777777" w:rsidR="004C062F" w:rsidRDefault="005945A8" w:rsidP="009D4A9C">
      <w:pPr>
        <w:ind w:firstLineChars="200" w:firstLine="480"/>
        <w:rPr>
          <w:lang w:eastAsia="zh-CN"/>
        </w:rPr>
      </w:pPr>
      <w:r>
        <w:rPr>
          <w:lang w:eastAsia="zh-CN"/>
        </w:rPr>
        <w:lastRenderedPageBreak/>
        <w:t>一个名为</w:t>
      </w:r>
      <w:r>
        <w:rPr>
          <w:rFonts w:hint="eastAsia"/>
          <w:lang w:eastAsia="zh-CN"/>
        </w:rPr>
        <w:t>“</w:t>
      </w:r>
      <w:r>
        <w:rPr>
          <w:lang w:eastAsia="zh-CN"/>
        </w:rPr>
        <w:t>区域</w:t>
      </w:r>
      <w:r>
        <w:rPr>
          <w:rFonts w:hint="eastAsia"/>
          <w:lang w:val="en-US" w:eastAsia="zh-CN"/>
        </w:rPr>
        <w:t>性</w:t>
      </w:r>
      <w:r>
        <w:rPr>
          <w:lang w:eastAsia="zh-CN"/>
        </w:rPr>
        <w:t>创新</w:t>
      </w:r>
      <w:r>
        <w:rPr>
          <w:rFonts w:hint="eastAsia"/>
          <w:lang w:eastAsia="zh-CN"/>
        </w:rPr>
        <w:t>举措</w:t>
      </w:r>
      <w:r>
        <w:rPr>
          <w:lang w:eastAsia="zh-CN"/>
        </w:rPr>
        <w:t>加速器</w:t>
      </w:r>
      <w:r>
        <w:rPr>
          <w:rFonts w:hint="eastAsia"/>
          <w:lang w:eastAsia="zh-CN"/>
        </w:rPr>
        <w:t>”</w:t>
      </w:r>
      <w:r>
        <w:rPr>
          <w:lang w:eastAsia="zh-CN"/>
        </w:rPr>
        <w:t>的新项目从中国</w:t>
      </w:r>
      <w:r>
        <w:rPr>
          <w:lang w:val="zh-CN" w:eastAsia="zh-CN"/>
        </w:rPr>
        <w:t>工信部</w:t>
      </w:r>
      <w:r>
        <w:rPr>
          <w:lang w:eastAsia="zh-CN"/>
        </w:rPr>
        <w:t>获得了</w:t>
      </w:r>
      <w:r>
        <w:rPr>
          <w:lang w:eastAsia="zh-CN"/>
        </w:rPr>
        <w:t>25</w:t>
      </w:r>
      <w:r>
        <w:rPr>
          <w:lang w:eastAsia="zh-CN"/>
        </w:rPr>
        <w:t>万美元的资金。通过</w:t>
      </w:r>
      <w:r>
        <w:rPr>
          <w:rFonts w:hint="eastAsia"/>
          <w:lang w:eastAsia="zh-CN"/>
        </w:rPr>
        <w:t>DT Lab</w:t>
      </w:r>
      <w:r>
        <w:rPr>
          <w:lang w:eastAsia="zh-CN"/>
        </w:rPr>
        <w:t>，加速器将汇集相关内部利益攸关方（例如来自国际电联</w:t>
      </w:r>
      <w:r>
        <w:rPr>
          <w:rFonts w:hint="eastAsia"/>
          <w:lang w:val="en-US" w:eastAsia="zh-CN"/>
        </w:rPr>
        <w:t>各</w:t>
      </w:r>
      <w:r>
        <w:rPr>
          <w:lang w:eastAsia="zh-CN"/>
        </w:rPr>
        <w:t>部门、总部和区域</w:t>
      </w:r>
      <w:r>
        <w:rPr>
          <w:lang w:val="zh-CN" w:eastAsia="zh-CN"/>
        </w:rPr>
        <w:t>代表</w:t>
      </w:r>
      <w:r>
        <w:rPr>
          <w:lang w:eastAsia="zh-CN"/>
        </w:rPr>
        <w:t>处的主题专家）和国家利益攸关方，特别是来自发展中国家、最不发达国家和小岛屿发展中国家的利益攸关方（例如政府部委、监管机构、创新中心和其他相关生态系统利益攸关方），</w:t>
      </w:r>
      <w:r>
        <w:rPr>
          <w:lang w:val="zh-CN" w:eastAsia="zh-CN"/>
        </w:rPr>
        <w:t>以释放国际电联区域性举措在创新方面的潜力，</w:t>
      </w:r>
      <w:r>
        <w:rPr>
          <w:rFonts w:hint="eastAsia"/>
          <w:lang w:val="en-US" w:eastAsia="zh-CN"/>
        </w:rPr>
        <w:t>并</w:t>
      </w:r>
      <w:r>
        <w:rPr>
          <w:lang w:val="zh-CN" w:eastAsia="zh-CN"/>
        </w:rPr>
        <w:t>将其转化为极具影响力的数字</w:t>
      </w:r>
      <w:r>
        <w:rPr>
          <w:rFonts w:hint="eastAsia"/>
          <w:lang w:val="en-US" w:eastAsia="zh-CN"/>
        </w:rPr>
        <w:t>化</w:t>
      </w:r>
      <w:r>
        <w:rPr>
          <w:lang w:val="zh-CN" w:eastAsia="zh-CN"/>
        </w:rPr>
        <w:t>发展举措。</w:t>
      </w:r>
    </w:p>
    <w:p w14:paraId="3EA30920" w14:textId="593BD4C1" w:rsidR="004C062F" w:rsidRDefault="009D4A9C" w:rsidP="009D4A9C">
      <w:pPr>
        <w:pStyle w:val="Heading2"/>
      </w:pPr>
      <w:r>
        <w:t>2.2</w:t>
      </w:r>
      <w:r>
        <w:tab/>
      </w:r>
      <w:proofErr w:type="spellStart"/>
      <w:r w:rsidR="005945A8">
        <w:t>加速中心网络</w:t>
      </w:r>
      <w:proofErr w:type="spellEnd"/>
    </w:p>
    <w:p w14:paraId="0FA1D437" w14:textId="77777777" w:rsidR="004C062F" w:rsidRDefault="005945A8" w:rsidP="009D4A9C">
      <w:pPr>
        <w:ind w:firstLineChars="200" w:firstLine="480"/>
        <w:rPr>
          <w:lang w:eastAsia="zh-CN"/>
        </w:rPr>
      </w:pPr>
      <w:r>
        <w:rPr>
          <w:lang w:eastAsia="zh-CN"/>
        </w:rPr>
        <w:t>该网络将联合国家、区域和全球加速中心，</w:t>
      </w:r>
      <w:r>
        <w:rPr>
          <w:lang w:val="zh-CN" w:eastAsia="zh-CN"/>
        </w:rPr>
        <w:t>以提高地方</w:t>
      </w:r>
      <w:r>
        <w:rPr>
          <w:lang w:eastAsia="zh-CN"/>
        </w:rPr>
        <w:t>在技术、政策和旗舰</w:t>
      </w:r>
      <w:r>
        <w:rPr>
          <w:rFonts w:hint="eastAsia"/>
          <w:lang w:eastAsia="zh-CN"/>
        </w:rPr>
        <w:t>举措</w:t>
      </w:r>
      <w:r>
        <w:rPr>
          <w:lang w:eastAsia="zh-CN"/>
        </w:rPr>
        <w:t>开发方面的创新能力。各个中心将</w:t>
      </w:r>
      <w:r>
        <w:rPr>
          <w:lang w:val="zh-CN" w:eastAsia="zh-CN"/>
        </w:rPr>
        <w:t>增强</w:t>
      </w:r>
      <w:r>
        <w:rPr>
          <w:lang w:eastAsia="zh-CN"/>
        </w:rPr>
        <w:t>国内能力，以加快地方创新、创业和经济数字化，从而提高经济部门的竞争力。</w:t>
      </w:r>
    </w:p>
    <w:p w14:paraId="4E56EF50" w14:textId="77777777" w:rsidR="004C062F" w:rsidRDefault="005945A8" w:rsidP="009D4A9C">
      <w:pPr>
        <w:ind w:firstLineChars="200" w:firstLine="480"/>
        <w:rPr>
          <w:lang w:eastAsia="zh-CN"/>
        </w:rPr>
      </w:pPr>
      <w:hyperlink r:id="rId9" w:history="1">
        <w:r>
          <w:rPr>
            <w:rStyle w:val="Hyperlink"/>
            <w:rFonts w:eastAsia="SimSun" w:cstheme="minorHAnsi" w:hint="eastAsia"/>
            <w:szCs w:val="24"/>
            <w:lang w:val="en-US" w:eastAsia="zh-CN"/>
          </w:rPr>
          <w:t>已选定全球的</w:t>
        </w:r>
        <w:r>
          <w:rPr>
            <w:rStyle w:val="Hyperlink"/>
            <w:rFonts w:eastAsia="SimSun" w:cstheme="minorHAnsi"/>
            <w:szCs w:val="24"/>
            <w:lang w:eastAsia="zh-CN"/>
          </w:rPr>
          <w:t>17</w:t>
        </w:r>
        <w:r>
          <w:rPr>
            <w:rStyle w:val="Hyperlink"/>
            <w:rFonts w:eastAsia="SimSun" w:cstheme="minorHAnsi"/>
            <w:szCs w:val="24"/>
            <w:lang w:eastAsia="zh-CN"/>
          </w:rPr>
          <w:t>个组织</w:t>
        </w:r>
        <w:r>
          <w:rPr>
            <w:rStyle w:val="Hyperlink"/>
            <w:rFonts w:eastAsia="SimSun" w:cstheme="minorHAnsi" w:hint="eastAsia"/>
            <w:szCs w:val="24"/>
            <w:lang w:val="en-US" w:eastAsia="zh-CN"/>
          </w:rPr>
          <w:t>作为上述</w:t>
        </w:r>
        <w:r>
          <w:rPr>
            <w:rStyle w:val="Hyperlink"/>
            <w:rFonts w:eastAsia="SimSun" w:cstheme="minorHAnsi"/>
            <w:szCs w:val="24"/>
            <w:lang w:eastAsia="zh-CN"/>
          </w:rPr>
          <w:t>中心</w:t>
        </w:r>
      </w:hyperlink>
      <w:r>
        <w:rPr>
          <w:rStyle w:val="Hyperlink"/>
          <w:rFonts w:eastAsia="SimSun" w:cstheme="minorHAnsi" w:hint="eastAsia"/>
          <w:szCs w:val="24"/>
          <w:lang w:val="en-US" w:eastAsia="zh-CN"/>
        </w:rPr>
        <w:t>的承办机构</w:t>
      </w:r>
      <w:r>
        <w:rPr>
          <w:rFonts w:hint="eastAsia"/>
          <w:lang w:eastAsia="zh-CN"/>
        </w:rPr>
        <w:t>，</w:t>
      </w:r>
      <w:r>
        <w:rPr>
          <w:rFonts w:hint="eastAsia"/>
          <w:lang w:val="en-US" w:eastAsia="zh-CN"/>
        </w:rPr>
        <w:t>这些组织</w:t>
      </w:r>
      <w:r>
        <w:rPr>
          <w:lang w:eastAsia="zh-CN"/>
        </w:rPr>
        <w:t>来自</w:t>
      </w:r>
      <w:r>
        <w:rPr>
          <w:lang w:eastAsia="zh-CN"/>
        </w:rPr>
        <w:t>16</w:t>
      </w:r>
      <w:r>
        <w:rPr>
          <w:lang w:eastAsia="zh-CN"/>
        </w:rPr>
        <w:t>个国家。</w:t>
      </w:r>
    </w:p>
    <w:p w14:paraId="7827A5C7" w14:textId="77777777" w:rsidR="004C062F" w:rsidRDefault="005945A8" w:rsidP="009D4A9C">
      <w:pPr>
        <w:ind w:firstLineChars="200" w:firstLine="480"/>
        <w:rPr>
          <w:lang w:eastAsia="zh-CN"/>
        </w:rPr>
      </w:pPr>
      <w:r>
        <w:rPr>
          <w:lang w:eastAsia="zh-CN"/>
        </w:rPr>
        <w:t>每个加速中心</w:t>
      </w:r>
      <w:r>
        <w:rPr>
          <w:rFonts w:hint="eastAsia"/>
          <w:lang w:eastAsia="zh-CN"/>
        </w:rPr>
        <w:t>均</w:t>
      </w:r>
      <w:r>
        <w:rPr>
          <w:lang w:eastAsia="zh-CN"/>
        </w:rPr>
        <w:t>旨在实现特定的战略目标。中心提供的产品和服</w:t>
      </w:r>
      <w:proofErr w:type="gramStart"/>
      <w:r>
        <w:rPr>
          <w:lang w:eastAsia="zh-CN"/>
        </w:rPr>
        <w:t>务需</w:t>
      </w:r>
      <w:proofErr w:type="gramEnd"/>
      <w:r>
        <w:rPr>
          <w:lang w:eastAsia="zh-CN"/>
        </w:rPr>
        <w:t>使用</w:t>
      </w:r>
      <w:r>
        <w:rPr>
          <w:rFonts w:hint="eastAsia"/>
          <w:lang w:eastAsia="zh-CN"/>
        </w:rPr>
        <w:t>DT Lab</w:t>
      </w:r>
      <w:r>
        <w:rPr>
          <w:lang w:val="zh-CN" w:eastAsia="zh-CN"/>
        </w:rPr>
        <w:t>制定</w:t>
      </w:r>
      <w:r>
        <w:rPr>
          <w:lang w:eastAsia="zh-CN"/>
        </w:rPr>
        <w:t>的标准主题行动手册进行设计和定制。</w:t>
      </w:r>
    </w:p>
    <w:p w14:paraId="240FBBB4" w14:textId="77777777" w:rsidR="004C062F" w:rsidRDefault="005945A8" w:rsidP="009D4A9C">
      <w:pPr>
        <w:ind w:firstLineChars="200" w:firstLine="480"/>
        <w:rPr>
          <w:lang w:eastAsia="zh-CN"/>
        </w:rPr>
      </w:pPr>
      <w:r>
        <w:rPr>
          <w:lang w:val="zh-CN" w:eastAsia="zh-CN"/>
        </w:rPr>
        <w:t>为在国际电联和参与的国际电联加速中心之间开展协作提供框架，现已制定了一项操作指南。该</w:t>
      </w:r>
      <w:r>
        <w:rPr>
          <w:rFonts w:hint="eastAsia"/>
          <w:lang w:val="en-US" w:eastAsia="zh-CN"/>
        </w:rPr>
        <w:t>指南</w:t>
      </w:r>
      <w:r>
        <w:rPr>
          <w:lang w:val="zh-CN" w:eastAsia="zh-CN"/>
        </w:rPr>
        <w:t>是每个中心在开始运营前需与国际电</w:t>
      </w:r>
      <w:proofErr w:type="gramStart"/>
      <w:r>
        <w:rPr>
          <w:lang w:val="zh-CN" w:eastAsia="zh-CN"/>
        </w:rPr>
        <w:t>联签署</w:t>
      </w:r>
      <w:proofErr w:type="gramEnd"/>
      <w:r>
        <w:rPr>
          <w:lang w:val="zh-CN" w:eastAsia="zh-CN"/>
        </w:rPr>
        <w:t>的合作协议的一部分。</w:t>
      </w:r>
      <w:r>
        <w:rPr>
          <w:lang w:eastAsia="zh-CN"/>
        </w:rPr>
        <w:t>与</w:t>
      </w:r>
      <w:r>
        <w:rPr>
          <w:lang w:val="zh-CN" w:eastAsia="zh-CN"/>
        </w:rPr>
        <w:t>国际电联</w:t>
      </w:r>
      <w:r>
        <w:rPr>
          <w:lang w:eastAsia="zh-CN"/>
        </w:rPr>
        <w:t>的其他计划类似</w:t>
      </w:r>
      <w:r>
        <w:rPr>
          <w:rFonts w:hint="eastAsia"/>
          <w:lang w:eastAsia="zh-CN"/>
        </w:rPr>
        <w:t>，</w:t>
      </w:r>
      <w:r>
        <w:rPr>
          <w:lang w:eastAsia="zh-CN"/>
        </w:rPr>
        <w:t>该指南涵盖了许多内容，</w:t>
      </w:r>
      <w:r>
        <w:rPr>
          <w:rFonts w:hint="eastAsia"/>
          <w:lang w:val="en-US" w:eastAsia="zh-CN"/>
        </w:rPr>
        <w:t>其中</w:t>
      </w:r>
      <w:r>
        <w:rPr>
          <w:lang w:eastAsia="zh-CN"/>
        </w:rPr>
        <w:t>包括</w:t>
      </w:r>
      <w:r>
        <w:rPr>
          <w:lang w:val="zh-CN" w:eastAsia="zh-CN"/>
        </w:rPr>
        <w:t>国际电联的质量</w:t>
      </w:r>
      <w:r>
        <w:rPr>
          <w:rFonts w:hint="eastAsia"/>
          <w:lang w:val="en-US" w:eastAsia="zh-CN"/>
        </w:rPr>
        <w:t>保证</w:t>
      </w:r>
      <w:r>
        <w:rPr>
          <w:lang w:val="zh-CN" w:eastAsia="zh-CN"/>
        </w:rPr>
        <w:t>和绩效评估</w:t>
      </w:r>
      <w:r>
        <w:rPr>
          <w:lang w:eastAsia="zh-CN"/>
        </w:rPr>
        <w:t>。</w:t>
      </w:r>
    </w:p>
    <w:p w14:paraId="0AA0BE56" w14:textId="77777777" w:rsidR="004C062F" w:rsidRDefault="005945A8" w:rsidP="009D4A9C">
      <w:pPr>
        <w:ind w:firstLineChars="200" w:firstLine="480"/>
        <w:rPr>
          <w:lang w:eastAsia="zh-CN"/>
        </w:rPr>
      </w:pPr>
      <w:r>
        <w:rPr>
          <w:rFonts w:ascii="Calibri" w:hAnsi="Calibri" w:cs="Calibri"/>
          <w:lang w:val="zh-CN" w:eastAsia="zh-CN"/>
        </w:rPr>
        <w:t>国际电联于</w:t>
      </w:r>
      <w:r>
        <w:rPr>
          <w:rFonts w:ascii="Calibri" w:hAnsi="Calibri" w:cs="Calibri"/>
          <w:lang w:val="zh-CN" w:eastAsia="zh-CN"/>
        </w:rPr>
        <w:t>2024</w:t>
      </w:r>
      <w:r>
        <w:rPr>
          <w:rFonts w:ascii="Calibri" w:hAnsi="Calibri" w:cs="Calibri"/>
          <w:lang w:val="zh-CN" w:eastAsia="zh-CN"/>
        </w:rPr>
        <w:t>年</w:t>
      </w:r>
      <w:r>
        <w:rPr>
          <w:rFonts w:ascii="Calibri" w:hAnsi="Calibri" w:cs="Calibri"/>
          <w:lang w:val="zh-CN" w:eastAsia="zh-CN"/>
        </w:rPr>
        <w:t>3</w:t>
      </w:r>
      <w:r>
        <w:rPr>
          <w:rFonts w:ascii="Calibri" w:hAnsi="Calibri" w:cs="Calibri"/>
          <w:lang w:val="zh-CN" w:eastAsia="zh-CN"/>
        </w:rPr>
        <w:t>月</w:t>
      </w:r>
      <w:r>
        <w:rPr>
          <w:rFonts w:ascii="Calibri" w:hAnsi="Calibri" w:cs="Calibri"/>
          <w:lang w:val="zh-CN" w:eastAsia="zh-CN"/>
        </w:rPr>
        <w:t>4-8</w:t>
      </w:r>
      <w:r>
        <w:rPr>
          <w:rFonts w:ascii="Calibri" w:hAnsi="Calibri" w:cs="Calibri"/>
          <w:lang w:val="zh-CN" w:eastAsia="zh-CN"/>
        </w:rPr>
        <w:t>日在阿联酋迪拜</w:t>
      </w:r>
      <w:r>
        <w:rPr>
          <w:rFonts w:ascii="Calibri" w:hAnsi="Calibri" w:cs="Calibri" w:hint="eastAsia"/>
          <w:lang w:val="en-US" w:eastAsia="zh-CN"/>
        </w:rPr>
        <w:t>举行</w:t>
      </w:r>
      <w:r>
        <w:rPr>
          <w:rFonts w:ascii="Calibri" w:hAnsi="Calibri" w:cs="Calibri"/>
          <w:lang w:val="zh-CN" w:eastAsia="zh-CN"/>
        </w:rPr>
        <w:t>了</w:t>
      </w:r>
      <w:hyperlink r:id="rId10" w:history="1">
        <w:proofErr w:type="spellStart"/>
        <w:r w:rsidRPr="009D4A9C">
          <w:rPr>
            <w:rStyle w:val="Hyperlink"/>
            <w:rFonts w:hint="eastAsia"/>
          </w:rPr>
          <w:t>加速中心网络</w:t>
        </w:r>
        <w:r w:rsidRPr="009D4A9C">
          <w:rPr>
            <w:rStyle w:val="Hyperlink"/>
            <w:rFonts w:hint="eastAsia"/>
          </w:rPr>
          <w:t>首次</w:t>
        </w:r>
        <w:r w:rsidRPr="009D4A9C">
          <w:rPr>
            <w:rStyle w:val="Hyperlink"/>
            <w:rFonts w:hint="eastAsia"/>
          </w:rPr>
          <w:t>会议</w:t>
        </w:r>
        <w:proofErr w:type="spellEnd"/>
      </w:hyperlink>
      <w:r>
        <w:rPr>
          <w:rFonts w:ascii="Calibri" w:hAnsi="Calibri" w:cs="Calibri"/>
          <w:lang w:val="zh-CN" w:eastAsia="zh-CN"/>
        </w:rPr>
        <w:t>。此次</w:t>
      </w:r>
      <w:r>
        <w:rPr>
          <w:rFonts w:ascii="Calibri" w:hAnsi="Calibri" w:cs="Calibri" w:hint="eastAsia"/>
          <w:lang w:val="en-US" w:eastAsia="zh-CN"/>
        </w:rPr>
        <w:t>会议旨在</w:t>
      </w:r>
      <w:r>
        <w:rPr>
          <w:rFonts w:ascii="Calibri" w:hAnsi="Calibri" w:cs="Calibri"/>
          <w:lang w:val="zh-CN" w:eastAsia="zh-CN"/>
        </w:rPr>
        <w:t>落实阿联酋电信和数字</w:t>
      </w:r>
      <w:r>
        <w:rPr>
          <w:rFonts w:ascii="Calibri" w:hAnsi="Calibri" w:cs="Calibri" w:hint="eastAsia"/>
          <w:lang w:val="en-US" w:eastAsia="zh-CN"/>
        </w:rPr>
        <w:t>政务</w:t>
      </w:r>
      <w:r>
        <w:rPr>
          <w:rFonts w:ascii="Calibri" w:hAnsi="Calibri" w:cs="Calibri"/>
          <w:lang w:val="zh-CN" w:eastAsia="zh-CN"/>
        </w:rPr>
        <w:t>监管局（</w:t>
      </w:r>
      <w:r>
        <w:rPr>
          <w:rFonts w:ascii="Calibri" w:hAnsi="Calibri" w:cs="Calibri"/>
          <w:lang w:val="zh-CN" w:eastAsia="zh-CN"/>
        </w:rPr>
        <w:t>TDRA</w:t>
      </w:r>
      <w:r>
        <w:rPr>
          <w:rFonts w:ascii="Calibri" w:hAnsi="Calibri" w:cs="Calibri"/>
          <w:lang w:val="zh-CN" w:eastAsia="zh-CN"/>
        </w:rPr>
        <w:t>）的伙伴关系促进互联互通</w:t>
      </w:r>
      <w:r>
        <w:rPr>
          <w:rFonts w:ascii="Calibri" w:hAnsi="Calibri" w:cs="Calibri" w:hint="eastAsia"/>
          <w:lang w:val="zh-CN" w:eastAsia="zh-CN"/>
        </w:rPr>
        <w:t>（</w:t>
      </w:r>
      <w:r>
        <w:rPr>
          <w:rFonts w:ascii="Calibri" w:hAnsi="Calibri" w:cs="Calibri"/>
          <w:lang w:val="zh-CN" w:eastAsia="zh-CN"/>
        </w:rPr>
        <w:t>Partner2Connect</w:t>
      </w:r>
      <w:r>
        <w:rPr>
          <w:rFonts w:ascii="Calibri" w:hAnsi="Calibri" w:cs="Calibri" w:hint="eastAsia"/>
          <w:lang w:val="zh-CN" w:eastAsia="zh-CN"/>
        </w:rPr>
        <w:t>）</w:t>
      </w:r>
      <w:r>
        <w:rPr>
          <w:rFonts w:ascii="Calibri" w:hAnsi="Calibri" w:cs="Calibri"/>
          <w:lang w:val="zh-CN" w:eastAsia="zh-CN"/>
        </w:rPr>
        <w:t>承诺，即通过全球数字化创新国际中心</w:t>
      </w:r>
      <w:r>
        <w:rPr>
          <w:rFonts w:ascii="Calibri" w:hAnsi="Calibri" w:cs="Calibri" w:hint="eastAsia"/>
          <w:lang w:val="zh-CN" w:eastAsia="zh-CN"/>
        </w:rPr>
        <w:t>（</w:t>
      </w:r>
      <w:r>
        <w:rPr>
          <w:rFonts w:ascii="Calibri" w:hAnsi="Calibri" w:cs="Calibri"/>
          <w:lang w:val="zh-CN" w:eastAsia="zh-CN"/>
        </w:rPr>
        <w:t>ICODI</w:t>
      </w:r>
      <w:r>
        <w:rPr>
          <w:rFonts w:ascii="Calibri" w:hAnsi="Calibri" w:cs="Calibri" w:hint="eastAsia"/>
          <w:lang w:val="zh-CN" w:eastAsia="zh-CN"/>
        </w:rPr>
        <w:t>）</w:t>
      </w:r>
      <w:r>
        <w:rPr>
          <w:rFonts w:ascii="Calibri" w:hAnsi="Calibri" w:cs="Calibri"/>
          <w:lang w:val="zh-CN" w:eastAsia="zh-CN"/>
        </w:rPr>
        <w:t>讲习班投资</w:t>
      </w:r>
      <w:r>
        <w:rPr>
          <w:rFonts w:ascii="Calibri" w:hAnsi="Calibri" w:cs="Calibri"/>
          <w:lang w:val="zh-CN" w:eastAsia="zh-CN"/>
        </w:rPr>
        <w:t>500</w:t>
      </w:r>
      <w:r>
        <w:rPr>
          <w:rFonts w:ascii="Calibri" w:hAnsi="Calibri" w:cs="Calibri"/>
          <w:lang w:val="zh-CN" w:eastAsia="zh-CN"/>
        </w:rPr>
        <w:t>万</w:t>
      </w:r>
      <w:proofErr w:type="gramStart"/>
      <w:r>
        <w:rPr>
          <w:rFonts w:ascii="Calibri" w:hAnsi="Calibri" w:cs="Calibri"/>
          <w:lang w:val="zh-CN" w:eastAsia="zh-CN"/>
        </w:rPr>
        <w:t>迪</w:t>
      </w:r>
      <w:proofErr w:type="gramEnd"/>
      <w:r>
        <w:rPr>
          <w:rFonts w:ascii="Calibri" w:hAnsi="Calibri" w:cs="Calibri"/>
          <w:lang w:val="zh-CN" w:eastAsia="zh-CN"/>
        </w:rPr>
        <w:t>拉</w:t>
      </w:r>
      <w:proofErr w:type="gramStart"/>
      <w:r>
        <w:rPr>
          <w:rFonts w:ascii="Calibri" w:hAnsi="Calibri" w:cs="Calibri"/>
          <w:lang w:val="zh-CN" w:eastAsia="zh-CN"/>
        </w:rPr>
        <w:t>姆</w:t>
      </w:r>
      <w:proofErr w:type="gramEnd"/>
      <w:r>
        <w:rPr>
          <w:rFonts w:ascii="Calibri" w:hAnsi="Calibri" w:cs="Calibri"/>
          <w:lang w:val="zh-CN" w:eastAsia="zh-CN"/>
        </w:rPr>
        <w:t>用于能力建设。来自</w:t>
      </w:r>
      <w:r>
        <w:rPr>
          <w:rFonts w:ascii="Calibri" w:hAnsi="Calibri" w:cs="Calibri"/>
          <w:lang w:val="zh-CN" w:eastAsia="zh-CN"/>
        </w:rPr>
        <w:t>15</w:t>
      </w:r>
      <w:r>
        <w:rPr>
          <w:rFonts w:ascii="Calibri" w:hAnsi="Calibri" w:cs="Calibri"/>
          <w:lang w:val="zh-CN" w:eastAsia="zh-CN"/>
        </w:rPr>
        <w:t>个中心和</w:t>
      </w:r>
      <w:r>
        <w:rPr>
          <w:rFonts w:ascii="Calibri" w:hAnsi="Calibri" w:cs="Calibri"/>
          <w:lang w:val="zh-CN" w:eastAsia="zh-CN"/>
        </w:rPr>
        <w:t>14</w:t>
      </w:r>
      <w:r>
        <w:rPr>
          <w:rFonts w:ascii="Calibri" w:hAnsi="Calibri" w:cs="Calibri"/>
          <w:lang w:val="zh-CN" w:eastAsia="zh-CN"/>
        </w:rPr>
        <w:t>个国家的</w:t>
      </w:r>
      <w:r>
        <w:rPr>
          <w:rFonts w:ascii="Calibri" w:hAnsi="Calibri" w:cs="Calibri"/>
          <w:lang w:val="zh-CN" w:eastAsia="zh-CN"/>
        </w:rPr>
        <w:t>35</w:t>
      </w:r>
      <w:r>
        <w:rPr>
          <w:rFonts w:ascii="Calibri" w:hAnsi="Calibri" w:cs="Calibri"/>
          <w:lang w:val="zh-CN" w:eastAsia="zh-CN"/>
        </w:rPr>
        <w:t>名与会者在讲习班期间参加了互动和</w:t>
      </w:r>
      <w:r>
        <w:rPr>
          <w:rFonts w:ascii="Calibri" w:hAnsi="Calibri" w:cs="Calibri" w:hint="eastAsia"/>
          <w:lang w:val="en-US" w:eastAsia="zh-CN"/>
        </w:rPr>
        <w:t>实操</w:t>
      </w:r>
      <w:r>
        <w:rPr>
          <w:rFonts w:ascii="Calibri" w:hAnsi="Calibri" w:cs="Calibri"/>
          <w:lang w:val="zh-CN" w:eastAsia="zh-CN"/>
        </w:rPr>
        <w:t>体验，</w:t>
      </w:r>
      <w:r>
        <w:rPr>
          <w:rFonts w:ascii="Calibri" w:hAnsi="Calibri" w:cs="Calibri" w:hint="eastAsia"/>
          <w:lang w:val="en-US" w:eastAsia="zh-CN"/>
        </w:rPr>
        <w:t>并</w:t>
      </w:r>
      <w:r>
        <w:rPr>
          <w:lang w:eastAsia="zh-CN"/>
        </w:rPr>
        <w:t>学习了</w:t>
      </w:r>
      <w:r>
        <w:rPr>
          <w:rFonts w:hint="eastAsia"/>
          <w:lang w:eastAsia="zh-CN"/>
        </w:rPr>
        <w:t>国际电联</w:t>
      </w:r>
      <w:r>
        <w:rPr>
          <w:lang w:eastAsia="zh-CN"/>
        </w:rPr>
        <w:t>的两</w:t>
      </w:r>
      <w:r>
        <w:rPr>
          <w:rFonts w:hint="eastAsia"/>
          <w:lang w:val="en-US" w:eastAsia="zh-CN"/>
        </w:rPr>
        <w:t>个行动</w:t>
      </w:r>
      <w:r>
        <w:rPr>
          <w:lang w:eastAsia="zh-CN"/>
        </w:rPr>
        <w:t>手册</w:t>
      </w:r>
      <w:r>
        <w:rPr>
          <w:rFonts w:hint="eastAsia"/>
          <w:lang w:eastAsia="zh-CN"/>
        </w:rPr>
        <w:t>：</w:t>
      </w:r>
      <w:r>
        <w:rPr>
          <w:lang w:eastAsia="zh-CN"/>
        </w:rPr>
        <w:t>《战略</w:t>
      </w:r>
      <w:r>
        <w:rPr>
          <w:rFonts w:hint="eastAsia"/>
          <w:lang w:val="en-US" w:eastAsia="zh-CN"/>
        </w:rPr>
        <w:t>远见</w:t>
      </w:r>
      <w:r>
        <w:rPr>
          <w:lang w:eastAsia="zh-CN"/>
        </w:rPr>
        <w:t>》和《生态系统</w:t>
      </w:r>
      <w:r>
        <w:rPr>
          <w:rFonts w:hint="eastAsia"/>
          <w:lang w:eastAsia="zh-CN"/>
        </w:rPr>
        <w:t>举措</w:t>
      </w:r>
      <w:r>
        <w:rPr>
          <w:rFonts w:hint="eastAsia"/>
          <w:lang w:val="en-US" w:eastAsia="zh-CN"/>
        </w:rPr>
        <w:t>的制定</w:t>
      </w:r>
      <w:r>
        <w:rPr>
          <w:lang w:eastAsia="zh-CN"/>
        </w:rPr>
        <w:t>》。</w:t>
      </w:r>
    </w:p>
    <w:p w14:paraId="53B2A9D4" w14:textId="77777777" w:rsidR="004C062F" w:rsidRDefault="005945A8" w:rsidP="009D4A9C">
      <w:pPr>
        <w:ind w:firstLineChars="200" w:firstLine="480"/>
        <w:rPr>
          <w:lang w:eastAsia="zh-CN"/>
        </w:rPr>
      </w:pPr>
      <w:r>
        <w:rPr>
          <w:lang w:eastAsia="zh-CN"/>
        </w:rPr>
        <w:t>为进一步支持各中心的能力建设，</w:t>
      </w:r>
      <w:r>
        <w:rPr>
          <w:lang w:eastAsia="zh-CN"/>
        </w:rPr>
        <w:t>BDT</w:t>
      </w:r>
      <w:r>
        <w:rPr>
          <w:lang w:eastAsia="zh-CN"/>
        </w:rPr>
        <w:t>正在支持</w:t>
      </w:r>
      <w:r>
        <w:rPr>
          <w:rFonts w:ascii="Calibri" w:hAnsi="Calibri" w:cs="Calibri"/>
          <w:lang w:val="zh-CN" w:eastAsia="zh-CN"/>
        </w:rPr>
        <w:t>联盟</w:t>
      </w:r>
      <w:r>
        <w:rPr>
          <w:lang w:eastAsia="zh-CN"/>
        </w:rPr>
        <w:t>所需能力的能力框架</w:t>
      </w:r>
      <w:r>
        <w:rPr>
          <w:rFonts w:ascii="Calibri" w:hAnsi="Calibri" w:cs="Calibri"/>
          <w:lang w:val="zh-CN" w:eastAsia="zh-CN"/>
        </w:rPr>
        <w:t>基础上</w:t>
      </w:r>
      <w:r>
        <w:rPr>
          <w:lang w:eastAsia="zh-CN"/>
        </w:rPr>
        <w:t>开发一系列课程。</w:t>
      </w:r>
      <w:r>
        <w:rPr>
          <w:rFonts w:ascii="Calibri" w:hAnsi="Calibri" w:cs="Calibri"/>
          <w:lang w:val="zh-CN" w:eastAsia="zh-CN"/>
        </w:rPr>
        <w:t>2024</w:t>
      </w:r>
      <w:r>
        <w:rPr>
          <w:rFonts w:ascii="Calibri" w:hAnsi="Calibri" w:cs="Calibri"/>
          <w:lang w:val="zh-CN" w:eastAsia="zh-CN"/>
        </w:rPr>
        <w:t>年</w:t>
      </w:r>
      <w:r>
        <w:rPr>
          <w:rFonts w:ascii="Calibri" w:hAnsi="Calibri" w:cs="Calibri"/>
          <w:lang w:val="zh-CN" w:eastAsia="zh-CN"/>
        </w:rPr>
        <w:t>3</w:t>
      </w:r>
      <w:r>
        <w:rPr>
          <w:rFonts w:ascii="Calibri" w:hAnsi="Calibri" w:cs="Calibri"/>
          <w:lang w:val="zh-CN" w:eastAsia="zh-CN"/>
        </w:rPr>
        <w:t>月</w:t>
      </w:r>
      <w:r>
        <w:rPr>
          <w:rFonts w:ascii="Calibri" w:hAnsi="Calibri" w:cs="Calibri"/>
          <w:lang w:val="zh-CN" w:eastAsia="zh-CN"/>
        </w:rPr>
        <w:t>15</w:t>
      </w:r>
      <w:r>
        <w:rPr>
          <w:rFonts w:ascii="Calibri" w:hAnsi="Calibri" w:cs="Calibri"/>
          <w:lang w:val="zh-CN" w:eastAsia="zh-CN"/>
        </w:rPr>
        <w:t>日，</w:t>
      </w:r>
      <w:r>
        <w:rPr>
          <w:rFonts w:hint="eastAsia"/>
          <w:lang w:val="en-US" w:eastAsia="zh-CN"/>
        </w:rPr>
        <w:t>推出了</w:t>
      </w:r>
      <w:r>
        <w:rPr>
          <w:lang w:eastAsia="zh-CN"/>
        </w:rPr>
        <w:t>旨在向公众教授趋势</w:t>
      </w:r>
      <w:r>
        <w:rPr>
          <w:rFonts w:ascii="Calibri" w:hAnsi="Calibri" w:cs="Calibri"/>
          <w:lang w:val="zh-CN" w:eastAsia="zh-CN"/>
        </w:rPr>
        <w:t>研究</w:t>
      </w:r>
      <w:r>
        <w:rPr>
          <w:rFonts w:hint="eastAsia"/>
          <w:lang w:val="en-US" w:eastAsia="zh-CN"/>
        </w:rPr>
        <w:t>工作</w:t>
      </w:r>
      <w:r>
        <w:rPr>
          <w:lang w:eastAsia="zh-CN"/>
        </w:rPr>
        <w:t>准备情况</w:t>
      </w:r>
      <w:r>
        <w:rPr>
          <w:rFonts w:hint="eastAsia"/>
          <w:lang w:val="en-US" w:eastAsia="zh-CN"/>
        </w:rPr>
        <w:t>的</w:t>
      </w:r>
      <w:hyperlink r:id="rId11" w:history="1">
        <w:proofErr w:type="spellStart"/>
        <w:r w:rsidRPr="00966B9A">
          <w:rPr>
            <w:rStyle w:val="Hyperlink"/>
            <w:rFonts w:hint="eastAsia"/>
          </w:rPr>
          <w:t>战略远见</w:t>
        </w:r>
        <w:proofErr w:type="spellEnd"/>
        <w:r w:rsidRPr="00966B9A">
          <w:rPr>
            <w:rStyle w:val="Hyperlink"/>
          </w:rPr>
          <w:t>101</w:t>
        </w:r>
      </w:hyperlink>
      <w:r>
        <w:rPr>
          <w:lang w:eastAsia="zh-CN"/>
        </w:rPr>
        <w:t>综合课程。该课程</w:t>
      </w:r>
      <w:proofErr w:type="gramStart"/>
      <w:r>
        <w:rPr>
          <w:rFonts w:hint="eastAsia"/>
          <w:lang w:val="en-US" w:eastAsia="zh-CN"/>
        </w:rPr>
        <w:t>令</w:t>
      </w:r>
      <w:r>
        <w:rPr>
          <w:lang w:eastAsia="zh-CN"/>
        </w:rPr>
        <w:t>学习</w:t>
      </w:r>
      <w:proofErr w:type="gramEnd"/>
      <w:r>
        <w:rPr>
          <w:lang w:eastAsia="zh-CN"/>
        </w:rPr>
        <w:t>者具备将战略远见融入其特定领域的能力，</w:t>
      </w:r>
      <w:r>
        <w:rPr>
          <w:rFonts w:hint="eastAsia"/>
          <w:lang w:val="en-US" w:eastAsia="zh-CN"/>
        </w:rPr>
        <w:t>并在</w:t>
      </w:r>
      <w:r>
        <w:rPr>
          <w:lang w:eastAsia="zh-CN"/>
        </w:rPr>
        <w:t>数字</w:t>
      </w:r>
      <w:r>
        <w:rPr>
          <w:rFonts w:hint="eastAsia"/>
          <w:lang w:val="en-US" w:eastAsia="zh-CN"/>
        </w:rPr>
        <w:t>化</w:t>
      </w:r>
      <w:r>
        <w:rPr>
          <w:lang w:eastAsia="zh-CN"/>
        </w:rPr>
        <w:t>发展</w:t>
      </w:r>
      <w:r>
        <w:rPr>
          <w:rFonts w:hint="eastAsia"/>
          <w:lang w:val="en-US" w:eastAsia="zh-CN"/>
        </w:rPr>
        <w:t>举措</w:t>
      </w:r>
      <w:r>
        <w:rPr>
          <w:lang w:eastAsia="zh-CN"/>
        </w:rPr>
        <w:t>中培养战略思维和创新</w:t>
      </w:r>
      <w:r>
        <w:rPr>
          <w:rFonts w:hint="eastAsia"/>
          <w:lang w:val="en-US" w:eastAsia="zh-CN"/>
        </w:rPr>
        <w:t>能力</w:t>
      </w:r>
      <w:r>
        <w:rPr>
          <w:lang w:eastAsia="zh-CN"/>
        </w:rPr>
        <w:t>。</w:t>
      </w:r>
      <w:r>
        <w:rPr>
          <w:rFonts w:ascii="Calibri" w:hAnsi="Calibri" w:cs="Calibri"/>
          <w:lang w:val="zh-CN" w:eastAsia="zh-CN"/>
        </w:rPr>
        <w:t>目前</w:t>
      </w:r>
      <w:r>
        <w:rPr>
          <w:lang w:eastAsia="zh-CN"/>
        </w:rPr>
        <w:t>正在为</w:t>
      </w:r>
      <w:r>
        <w:rPr>
          <w:rFonts w:hint="eastAsia"/>
          <w:lang w:val="en-US" w:eastAsia="zh-CN"/>
        </w:rPr>
        <w:t>此类</w:t>
      </w:r>
      <w:r>
        <w:rPr>
          <w:lang w:eastAsia="zh-CN"/>
        </w:rPr>
        <w:t>中心开发更多专业课程。</w:t>
      </w:r>
    </w:p>
    <w:p w14:paraId="082A19E3" w14:textId="77777777" w:rsidR="004C062F" w:rsidRDefault="005945A8" w:rsidP="009D4A9C">
      <w:pPr>
        <w:ind w:firstLineChars="200" w:firstLine="480"/>
        <w:rPr>
          <w:lang w:eastAsia="zh-CN"/>
        </w:rPr>
      </w:pPr>
      <w:r>
        <w:rPr>
          <w:rFonts w:hint="eastAsia"/>
          <w:lang w:val="en-US" w:eastAsia="zh-CN"/>
        </w:rPr>
        <w:t>在对</w:t>
      </w:r>
      <w:r>
        <w:rPr>
          <w:rFonts w:ascii="Calibri" w:hAnsi="Calibri" w:cs="Calibri"/>
          <w:lang w:val="zh-CN" w:eastAsia="zh-CN"/>
        </w:rPr>
        <w:t>各中心</w:t>
      </w:r>
      <w:r>
        <w:rPr>
          <w:rFonts w:ascii="Calibri" w:hAnsi="Calibri" w:cs="Calibri" w:hint="eastAsia"/>
          <w:lang w:val="en-US" w:eastAsia="zh-CN"/>
        </w:rPr>
        <w:t>进行了</w:t>
      </w:r>
      <w:r>
        <w:rPr>
          <w:lang w:eastAsia="zh-CN"/>
        </w:rPr>
        <w:t>严格设计和能力建设</w:t>
      </w:r>
      <w:r>
        <w:rPr>
          <w:rFonts w:hint="eastAsia"/>
          <w:lang w:val="en-US" w:eastAsia="zh-CN"/>
        </w:rPr>
        <w:t>后</w:t>
      </w:r>
      <w:r>
        <w:rPr>
          <w:lang w:eastAsia="zh-CN"/>
        </w:rPr>
        <w:t>，</w:t>
      </w:r>
      <w:r>
        <w:rPr>
          <w:lang w:eastAsia="zh-CN"/>
        </w:rPr>
        <w:t>BDT</w:t>
      </w:r>
      <w:r>
        <w:rPr>
          <w:lang w:eastAsia="zh-CN"/>
        </w:rPr>
        <w:t>将于今年下半年开始</w:t>
      </w:r>
      <w:r>
        <w:rPr>
          <w:rFonts w:ascii="Calibri" w:hAnsi="Calibri" w:cs="Calibri"/>
          <w:lang w:val="zh-CN" w:eastAsia="zh-CN"/>
        </w:rPr>
        <w:t>这些中心的运营</w:t>
      </w:r>
      <w:r>
        <w:rPr>
          <w:lang w:eastAsia="zh-CN"/>
        </w:rPr>
        <w:t>。</w:t>
      </w:r>
      <w:r>
        <w:rPr>
          <w:rFonts w:hint="eastAsia"/>
          <w:lang w:val="en-US" w:eastAsia="zh-CN"/>
        </w:rPr>
        <w:t>曾有相关方面</w:t>
      </w:r>
      <w:r>
        <w:rPr>
          <w:lang w:eastAsia="zh-CN"/>
        </w:rPr>
        <w:t>要求增加无代表区域的加速中心数量，</w:t>
      </w:r>
      <w:r>
        <w:rPr>
          <w:rFonts w:ascii="Calibri" w:hAnsi="Calibri" w:cs="Calibri"/>
          <w:lang w:val="zh-CN" w:eastAsia="zh-CN"/>
        </w:rPr>
        <w:t>以</w:t>
      </w:r>
      <w:r>
        <w:rPr>
          <w:rFonts w:ascii="Calibri" w:hAnsi="Calibri" w:cs="Calibri" w:hint="eastAsia"/>
          <w:lang w:val="en-US" w:eastAsia="zh-CN"/>
        </w:rPr>
        <w:t>提高</w:t>
      </w:r>
      <w:r>
        <w:rPr>
          <w:rFonts w:ascii="Calibri" w:hAnsi="Calibri" w:cs="Calibri"/>
          <w:lang w:val="zh-CN" w:eastAsia="zh-CN"/>
        </w:rPr>
        <w:t>多样性。</w:t>
      </w:r>
      <w:r>
        <w:rPr>
          <w:lang w:eastAsia="zh-CN"/>
        </w:rPr>
        <w:t>BDT</w:t>
      </w:r>
      <w:r>
        <w:rPr>
          <w:lang w:eastAsia="zh-CN"/>
        </w:rPr>
        <w:t>建议明年初</w:t>
      </w:r>
      <w:r>
        <w:rPr>
          <w:rFonts w:ascii="Calibri" w:hAnsi="Calibri" w:cs="Calibri"/>
          <w:lang w:val="zh-CN" w:eastAsia="zh-CN"/>
        </w:rPr>
        <w:t>开展新一轮加速中心的征集和选拔工作，以便现有加速中心有时间展示其实际影响，</w:t>
      </w:r>
      <w:r>
        <w:rPr>
          <w:lang w:eastAsia="zh-CN"/>
        </w:rPr>
        <w:t>并</w:t>
      </w:r>
      <w:r>
        <w:rPr>
          <w:rFonts w:ascii="Calibri" w:hAnsi="Calibri" w:cs="Calibri"/>
          <w:lang w:val="zh-CN" w:eastAsia="zh-CN"/>
        </w:rPr>
        <w:t>汲取</w:t>
      </w:r>
      <w:r>
        <w:rPr>
          <w:lang w:eastAsia="zh-CN"/>
        </w:rPr>
        <w:t>经验教训。</w:t>
      </w:r>
    </w:p>
    <w:p w14:paraId="522FD435" w14:textId="54082AD3" w:rsidR="004C062F" w:rsidRDefault="009D4A9C" w:rsidP="009D4A9C">
      <w:pPr>
        <w:pStyle w:val="Heading2"/>
      </w:pPr>
      <w:r>
        <w:t>2.3</w:t>
      </w:r>
      <w:r>
        <w:tab/>
      </w:r>
      <w:proofErr w:type="spellStart"/>
      <w:r w:rsidR="005945A8">
        <w:t>数字</w:t>
      </w:r>
      <w:proofErr w:type="spellEnd"/>
      <w:r w:rsidR="005945A8">
        <w:rPr>
          <w:rFonts w:hint="eastAsia"/>
          <w:lang w:val="en-US" w:eastAsia="zh-CN"/>
        </w:rPr>
        <w:t>化</w:t>
      </w:r>
      <w:proofErr w:type="spellStart"/>
      <w:r w:rsidR="005945A8">
        <w:t>创新委员会</w:t>
      </w:r>
      <w:proofErr w:type="spellEnd"/>
    </w:p>
    <w:p w14:paraId="0FECDEAE" w14:textId="77777777" w:rsidR="004C062F" w:rsidRDefault="005945A8" w:rsidP="009D4A9C">
      <w:pPr>
        <w:ind w:firstLineChars="200" w:firstLine="480"/>
        <w:rPr>
          <w:rFonts w:eastAsia="SimSun" w:cstheme="minorHAnsi"/>
          <w:szCs w:val="24"/>
          <w:lang w:eastAsia="zh-CN"/>
        </w:rPr>
      </w:pPr>
      <w:r>
        <w:rPr>
          <w:rFonts w:eastAsia="SimSun" w:cstheme="minorHAnsi" w:hint="eastAsia"/>
          <w:szCs w:val="24"/>
          <w:lang w:eastAsia="zh-CN"/>
        </w:rPr>
        <w:t>数字化创新委员会</w:t>
      </w:r>
      <w:r>
        <w:rPr>
          <w:rFonts w:eastAsia="SimSun" w:cstheme="minorHAnsi" w:hint="eastAsia"/>
          <w:szCs w:val="24"/>
          <w:lang w:val="en-US" w:eastAsia="zh-CN"/>
        </w:rPr>
        <w:t>以</w:t>
      </w:r>
      <w:r>
        <w:rPr>
          <w:rFonts w:ascii="Calibri" w:hAnsi="Calibri" w:cs="Calibri"/>
          <w:szCs w:val="24"/>
          <w:lang w:val="zh-CN" w:eastAsia="zh-CN"/>
        </w:rPr>
        <w:t>建设关键的本地推动因素</w:t>
      </w:r>
      <w:r>
        <w:rPr>
          <w:rFonts w:ascii="Calibri" w:eastAsia="SimSun" w:hAnsi="Calibri" w:cs="Calibri" w:hint="eastAsia"/>
          <w:szCs w:val="24"/>
          <w:lang w:val="en-US" w:eastAsia="zh-CN"/>
        </w:rPr>
        <w:t>和</w:t>
      </w:r>
      <w:r>
        <w:rPr>
          <w:rFonts w:ascii="Calibri" w:hAnsi="Calibri" w:cs="Calibri"/>
          <w:szCs w:val="24"/>
          <w:lang w:val="zh-CN" w:eastAsia="zh-CN"/>
        </w:rPr>
        <w:t>促进数字发展中的创新和创业精神</w:t>
      </w:r>
      <w:r>
        <w:rPr>
          <w:rFonts w:ascii="Calibri" w:eastAsia="SimSun" w:hAnsi="Calibri" w:cs="Calibri" w:hint="eastAsia"/>
          <w:szCs w:val="24"/>
          <w:lang w:val="en-US" w:eastAsia="zh-CN"/>
        </w:rPr>
        <w:t>为</w:t>
      </w:r>
      <w:r>
        <w:rPr>
          <w:rFonts w:ascii="Calibri" w:hAnsi="Calibri" w:cs="Calibri"/>
          <w:szCs w:val="24"/>
          <w:lang w:val="zh-CN" w:eastAsia="zh-CN"/>
        </w:rPr>
        <w:t>使命</w:t>
      </w:r>
      <w:r>
        <w:rPr>
          <w:rFonts w:ascii="Calibri" w:hAnsi="Calibri" w:cs="Calibri" w:hint="eastAsia"/>
          <w:szCs w:val="24"/>
          <w:lang w:val="zh-CN" w:eastAsia="zh-CN"/>
        </w:rPr>
        <w:t>，</w:t>
      </w:r>
      <w:r>
        <w:rPr>
          <w:rFonts w:ascii="Calibri" w:eastAsia="SimSun" w:hAnsi="Calibri" w:cs="Calibri" w:hint="eastAsia"/>
          <w:szCs w:val="24"/>
          <w:lang w:val="en-US" w:eastAsia="zh-CN"/>
        </w:rPr>
        <w:t>其</w:t>
      </w:r>
      <w:r>
        <w:rPr>
          <w:rFonts w:eastAsia="SimSun" w:cstheme="minorHAnsi"/>
          <w:szCs w:val="24"/>
          <w:lang w:eastAsia="zh-CN"/>
        </w:rPr>
        <w:t>成立旨在为</w:t>
      </w:r>
      <w:r>
        <w:rPr>
          <w:rFonts w:eastAsia="SimSun" w:cstheme="minorHAnsi" w:hint="eastAsia"/>
          <w:szCs w:val="24"/>
          <w:lang w:val="en-US" w:eastAsia="zh-CN"/>
        </w:rPr>
        <w:t>上述</w:t>
      </w:r>
      <w:r>
        <w:rPr>
          <w:rFonts w:eastAsia="SimSun" w:cstheme="minorHAnsi"/>
          <w:szCs w:val="24"/>
          <w:lang w:eastAsia="zh-CN"/>
        </w:rPr>
        <w:t>使命提供战略指导、专业知识和宣传</w:t>
      </w:r>
      <w:r>
        <w:rPr>
          <w:rFonts w:eastAsia="SimSun" w:cstheme="minorHAnsi" w:hint="eastAsia"/>
          <w:szCs w:val="24"/>
          <w:lang w:val="en-US" w:eastAsia="zh-CN"/>
        </w:rPr>
        <w:t>平台</w:t>
      </w:r>
      <w:r>
        <w:rPr>
          <w:rFonts w:eastAsia="SimSun" w:cstheme="minorHAnsi"/>
          <w:szCs w:val="24"/>
          <w:lang w:eastAsia="zh-CN"/>
        </w:rPr>
        <w:t>，</w:t>
      </w:r>
      <w:r>
        <w:rPr>
          <w:rFonts w:eastAsia="SimSun" w:cstheme="minorHAnsi" w:hint="eastAsia"/>
          <w:szCs w:val="24"/>
          <w:lang w:val="en-US" w:eastAsia="zh-CN"/>
        </w:rPr>
        <w:t>以</w:t>
      </w:r>
      <w:r>
        <w:rPr>
          <w:rFonts w:eastAsia="SimSun" w:cstheme="minorHAnsi"/>
          <w:szCs w:val="24"/>
          <w:lang w:eastAsia="zh-CN"/>
        </w:rPr>
        <w:t>为所有人创造一个更加包容和公平的数字</w:t>
      </w:r>
      <w:r>
        <w:rPr>
          <w:rFonts w:eastAsia="SimSun" w:cstheme="minorHAnsi" w:hint="eastAsia"/>
          <w:szCs w:val="24"/>
          <w:lang w:val="en-US" w:eastAsia="zh-CN"/>
        </w:rPr>
        <w:t>化</w:t>
      </w:r>
      <w:r>
        <w:rPr>
          <w:rFonts w:eastAsia="SimSun" w:cstheme="minorHAnsi"/>
          <w:szCs w:val="24"/>
          <w:lang w:eastAsia="zh-CN"/>
        </w:rPr>
        <w:t>未来。</w:t>
      </w:r>
      <w:r>
        <w:rPr>
          <w:rFonts w:ascii="Calibri" w:hAnsi="Calibri" w:cs="Calibri"/>
          <w:szCs w:val="24"/>
          <w:lang w:val="zh-CN" w:eastAsia="zh-CN"/>
        </w:rPr>
        <w:t>根据其表达的意愿和提名程序，</w:t>
      </w:r>
      <w:hyperlink r:id="rId12" w:history="1">
        <w:r w:rsidRPr="009D4A9C">
          <w:rPr>
            <w:rStyle w:val="Hyperlink"/>
            <w:rFonts w:hint="eastAsia"/>
          </w:rPr>
          <w:t>23</w:t>
        </w:r>
        <w:proofErr w:type="spellStart"/>
        <w:r w:rsidRPr="009D4A9C">
          <w:rPr>
            <w:rStyle w:val="Hyperlink"/>
            <w:rFonts w:hint="eastAsia"/>
          </w:rPr>
          <w:t>名杰出人士被选为数字化创新委员会委员</w:t>
        </w:r>
        <w:proofErr w:type="spellEnd"/>
      </w:hyperlink>
      <w:r>
        <w:rPr>
          <w:rFonts w:eastAsia="SimSun" w:cstheme="minorHAnsi"/>
          <w:szCs w:val="24"/>
          <w:lang w:eastAsia="zh-CN"/>
        </w:rPr>
        <w:t>。</w:t>
      </w:r>
      <w:r>
        <w:rPr>
          <w:rFonts w:eastAsia="SimSun" w:cstheme="minorHAnsi" w:hint="eastAsia"/>
          <w:szCs w:val="24"/>
          <w:lang w:val="en-US" w:eastAsia="zh-CN"/>
        </w:rPr>
        <w:t>上述委员均为公益服务</w:t>
      </w:r>
      <w:r>
        <w:rPr>
          <w:rFonts w:eastAsia="SimSun" w:cstheme="minorHAnsi"/>
          <w:szCs w:val="24"/>
          <w:lang w:eastAsia="zh-CN"/>
        </w:rPr>
        <w:t>，</w:t>
      </w:r>
      <w:r>
        <w:rPr>
          <w:rFonts w:eastAsia="SimSun" w:cstheme="minorHAnsi" w:hint="eastAsia"/>
          <w:szCs w:val="24"/>
          <w:lang w:val="en-US" w:eastAsia="zh-CN"/>
        </w:rPr>
        <w:t>不领取</w:t>
      </w:r>
      <w:r>
        <w:rPr>
          <w:rFonts w:eastAsia="SimSun" w:cstheme="minorHAnsi"/>
          <w:szCs w:val="24"/>
          <w:lang w:eastAsia="zh-CN"/>
        </w:rPr>
        <w:t>报酬。</w:t>
      </w:r>
    </w:p>
    <w:p w14:paraId="0D27827F" w14:textId="77777777" w:rsidR="004C062F" w:rsidRDefault="005945A8" w:rsidP="009D4A9C">
      <w:pPr>
        <w:ind w:firstLineChars="200" w:firstLine="480"/>
        <w:rPr>
          <w:rFonts w:eastAsia="SimSun" w:cstheme="minorHAnsi"/>
          <w:szCs w:val="24"/>
          <w:lang w:eastAsia="zh-CN"/>
        </w:rPr>
      </w:pPr>
      <w:r>
        <w:rPr>
          <w:rFonts w:ascii="Calibri" w:hAnsi="Calibri" w:cs="Calibri"/>
          <w:szCs w:val="24"/>
          <w:lang w:val="zh-CN" w:eastAsia="zh-CN"/>
        </w:rPr>
        <w:t>由于联盟旨在加速创新能力并在国家、区域和全球层面建立联系，委员会将在全球舞台上推进联盟的工作，引领与相关利益攸关方和潜在合作伙伴（包括联合国机构、政府和私营部门）就促进数字</w:t>
      </w:r>
      <w:r>
        <w:rPr>
          <w:rFonts w:ascii="Calibri" w:eastAsia="SimSun" w:hAnsi="Calibri" w:cs="Calibri" w:hint="eastAsia"/>
          <w:szCs w:val="24"/>
          <w:lang w:val="en-US" w:eastAsia="zh-CN"/>
        </w:rPr>
        <w:t>化</w:t>
      </w:r>
      <w:r>
        <w:rPr>
          <w:rFonts w:ascii="Calibri" w:hAnsi="Calibri" w:cs="Calibri"/>
          <w:szCs w:val="24"/>
          <w:lang w:val="zh-CN" w:eastAsia="zh-CN"/>
        </w:rPr>
        <w:t>发展中的创新和创业精神开展对话。</w:t>
      </w:r>
    </w:p>
    <w:p w14:paraId="3FC5E7FA" w14:textId="77777777" w:rsidR="004C062F" w:rsidRDefault="005945A8" w:rsidP="009D4A9C">
      <w:pPr>
        <w:ind w:firstLineChars="200" w:firstLine="480"/>
        <w:rPr>
          <w:rFonts w:eastAsia="SimSun" w:cstheme="minorHAnsi"/>
          <w:szCs w:val="24"/>
          <w:lang w:eastAsia="zh-CN"/>
        </w:rPr>
      </w:pPr>
      <w:hyperlink r:id="rId13" w:history="1">
        <w:proofErr w:type="spellStart"/>
        <w:r w:rsidRPr="00966B9A">
          <w:rPr>
            <w:rStyle w:val="Hyperlink"/>
            <w:rFonts w:hint="eastAsia"/>
          </w:rPr>
          <w:t>数字化创新委员会首次会议</w:t>
        </w:r>
        <w:proofErr w:type="spellEnd"/>
      </w:hyperlink>
      <w:r>
        <w:rPr>
          <w:rFonts w:ascii="Calibri" w:hAnsi="Calibri" w:cs="Calibri"/>
          <w:szCs w:val="24"/>
          <w:lang w:val="zh-CN" w:eastAsia="zh-CN"/>
        </w:rPr>
        <w:t>于</w:t>
      </w:r>
      <w:r>
        <w:rPr>
          <w:rFonts w:ascii="Calibri" w:hAnsi="Calibri" w:cs="Calibri"/>
          <w:szCs w:val="24"/>
          <w:lang w:val="zh-CN" w:eastAsia="zh-CN"/>
        </w:rPr>
        <w:t>2024</w:t>
      </w:r>
      <w:r>
        <w:rPr>
          <w:rFonts w:ascii="Calibri" w:hAnsi="Calibri" w:cs="Calibri"/>
          <w:szCs w:val="24"/>
          <w:lang w:val="zh-CN" w:eastAsia="zh-CN"/>
        </w:rPr>
        <w:t>年</w:t>
      </w:r>
      <w:r>
        <w:rPr>
          <w:rFonts w:ascii="Calibri" w:hAnsi="Calibri" w:cs="Calibri"/>
          <w:szCs w:val="24"/>
          <w:lang w:val="zh-CN" w:eastAsia="zh-CN"/>
        </w:rPr>
        <w:t>3</w:t>
      </w:r>
      <w:r>
        <w:rPr>
          <w:rFonts w:ascii="Calibri" w:hAnsi="Calibri" w:cs="Calibri"/>
          <w:szCs w:val="24"/>
          <w:lang w:val="zh-CN" w:eastAsia="zh-CN"/>
        </w:rPr>
        <w:t>月</w:t>
      </w:r>
      <w:r>
        <w:rPr>
          <w:rFonts w:ascii="Calibri" w:hAnsi="Calibri" w:cs="Calibri"/>
          <w:szCs w:val="24"/>
          <w:lang w:val="zh-CN" w:eastAsia="zh-CN"/>
        </w:rPr>
        <w:t>19-20</w:t>
      </w:r>
      <w:r>
        <w:rPr>
          <w:rFonts w:ascii="Calibri" w:hAnsi="Calibri" w:cs="Calibri"/>
          <w:szCs w:val="24"/>
          <w:lang w:val="zh-CN" w:eastAsia="zh-CN"/>
        </w:rPr>
        <w:t>日在瑞士日内瓦举行。</w:t>
      </w:r>
      <w:r>
        <w:rPr>
          <w:rFonts w:ascii="Calibri" w:eastAsia="SimSun" w:hAnsi="Calibri" w:cs="Calibri" w:hint="eastAsia"/>
          <w:szCs w:val="24"/>
          <w:lang w:val="en-US" w:eastAsia="zh-CN"/>
        </w:rPr>
        <w:t>在此次会议上，委员们的目标是</w:t>
      </w:r>
      <w:r>
        <w:rPr>
          <w:rFonts w:ascii="Calibri" w:hAnsi="Calibri" w:cs="Calibri"/>
          <w:szCs w:val="24"/>
          <w:lang w:val="zh-CN" w:eastAsia="zh-CN"/>
        </w:rPr>
        <w:t>为联盟的</w:t>
      </w:r>
      <w:r>
        <w:rPr>
          <w:rFonts w:ascii="Calibri" w:eastAsia="SimSun" w:hAnsi="Calibri" w:cs="Calibri" w:hint="eastAsia"/>
          <w:szCs w:val="24"/>
          <w:lang w:val="en-US" w:eastAsia="zh-CN"/>
        </w:rPr>
        <w:t>运作</w:t>
      </w:r>
      <w:r>
        <w:rPr>
          <w:rFonts w:ascii="Calibri" w:hAnsi="Calibri" w:cs="Calibri"/>
          <w:szCs w:val="24"/>
          <w:lang w:val="zh-CN" w:eastAsia="zh-CN"/>
        </w:rPr>
        <w:t>奠定基础，并制定推进全球数字</w:t>
      </w:r>
      <w:r>
        <w:rPr>
          <w:rFonts w:ascii="Calibri" w:eastAsia="SimSun" w:hAnsi="Calibri" w:cs="Calibri" w:hint="eastAsia"/>
          <w:szCs w:val="24"/>
          <w:lang w:val="en-US" w:eastAsia="zh-CN"/>
        </w:rPr>
        <w:t>化</w:t>
      </w:r>
      <w:r>
        <w:rPr>
          <w:rFonts w:ascii="Calibri" w:hAnsi="Calibri" w:cs="Calibri"/>
          <w:szCs w:val="24"/>
          <w:lang w:val="zh-CN" w:eastAsia="zh-CN"/>
        </w:rPr>
        <w:t>创新的战略。会议汇集了代表不同国家和</w:t>
      </w:r>
      <w:r>
        <w:rPr>
          <w:rFonts w:ascii="Calibri" w:eastAsia="SimSun" w:hAnsi="Calibri" w:cs="Calibri" w:hint="eastAsia"/>
          <w:szCs w:val="24"/>
          <w:lang w:val="en-US" w:eastAsia="zh-CN"/>
        </w:rPr>
        <w:t>组织</w:t>
      </w:r>
      <w:r>
        <w:rPr>
          <w:rFonts w:ascii="Calibri" w:hAnsi="Calibri" w:cs="Calibri"/>
          <w:szCs w:val="24"/>
          <w:lang w:val="zh-CN" w:eastAsia="zh-CN"/>
        </w:rPr>
        <w:t>的</w:t>
      </w:r>
      <w:r>
        <w:rPr>
          <w:rFonts w:ascii="Calibri" w:hAnsi="Calibri" w:cs="Calibri"/>
          <w:szCs w:val="24"/>
          <w:lang w:val="zh-CN" w:eastAsia="zh-CN"/>
        </w:rPr>
        <w:t>23</w:t>
      </w:r>
      <w:r>
        <w:rPr>
          <w:rFonts w:ascii="Calibri" w:hAnsi="Calibri" w:cs="Calibri"/>
          <w:szCs w:val="24"/>
          <w:lang w:val="zh-CN" w:eastAsia="zh-CN"/>
        </w:rPr>
        <w:t>名</w:t>
      </w:r>
      <w:r>
        <w:rPr>
          <w:rFonts w:ascii="Calibri" w:eastAsia="SimSun" w:hAnsi="Calibri" w:cs="Calibri" w:hint="eastAsia"/>
          <w:szCs w:val="24"/>
          <w:lang w:val="en-US" w:eastAsia="zh-CN"/>
        </w:rPr>
        <w:t>委员</w:t>
      </w:r>
      <w:r>
        <w:rPr>
          <w:rFonts w:ascii="Calibri" w:hAnsi="Calibri" w:cs="Calibri"/>
          <w:szCs w:val="24"/>
          <w:lang w:val="zh-CN" w:eastAsia="zh-CN"/>
        </w:rPr>
        <w:t>中的</w:t>
      </w:r>
      <w:r>
        <w:rPr>
          <w:rFonts w:ascii="Calibri" w:hAnsi="Calibri" w:cs="Calibri"/>
          <w:szCs w:val="24"/>
          <w:lang w:val="zh-CN" w:eastAsia="zh-CN"/>
        </w:rPr>
        <w:t>21</w:t>
      </w:r>
      <w:r>
        <w:rPr>
          <w:rFonts w:ascii="Calibri" w:hAnsi="Calibri" w:cs="Calibri"/>
          <w:szCs w:val="24"/>
          <w:lang w:val="zh-CN" w:eastAsia="zh-CN"/>
        </w:rPr>
        <w:t>名，</w:t>
      </w:r>
      <w:r>
        <w:rPr>
          <w:rFonts w:ascii="Calibri" w:eastAsia="SimSun" w:hAnsi="Calibri" w:cs="Calibri" w:hint="eastAsia"/>
          <w:szCs w:val="24"/>
          <w:lang w:val="en-US" w:eastAsia="zh-CN"/>
        </w:rPr>
        <w:t>其</w:t>
      </w:r>
      <w:r>
        <w:rPr>
          <w:rFonts w:ascii="Calibri" w:hAnsi="Calibri" w:cs="Calibri"/>
          <w:szCs w:val="24"/>
          <w:lang w:val="zh-CN" w:eastAsia="zh-CN"/>
        </w:rPr>
        <w:t>共同</w:t>
      </w:r>
      <w:r>
        <w:rPr>
          <w:rFonts w:ascii="Calibri" w:eastAsia="SimSun" w:hAnsi="Calibri" w:cs="Calibri" w:hint="eastAsia"/>
          <w:szCs w:val="24"/>
          <w:lang w:val="en-US" w:eastAsia="zh-CN"/>
        </w:rPr>
        <w:t>使命是</w:t>
      </w:r>
      <w:r>
        <w:rPr>
          <w:rFonts w:ascii="Calibri" w:hAnsi="Calibri" w:cs="Calibri"/>
          <w:szCs w:val="24"/>
          <w:lang w:val="zh-CN" w:eastAsia="zh-CN"/>
        </w:rPr>
        <w:t>建设一个包容且可持续的数字</w:t>
      </w:r>
      <w:r>
        <w:rPr>
          <w:rFonts w:ascii="Calibri" w:eastAsia="SimSun" w:hAnsi="Calibri" w:cs="Calibri" w:hint="eastAsia"/>
          <w:szCs w:val="24"/>
          <w:lang w:val="en-US" w:eastAsia="zh-CN"/>
        </w:rPr>
        <w:t>化</w:t>
      </w:r>
      <w:r>
        <w:rPr>
          <w:rFonts w:ascii="Calibri" w:hAnsi="Calibri" w:cs="Calibri"/>
          <w:szCs w:val="24"/>
          <w:lang w:val="zh-CN" w:eastAsia="zh-CN"/>
        </w:rPr>
        <w:t>未来。</w:t>
      </w:r>
    </w:p>
    <w:p w14:paraId="2661313F" w14:textId="77777777" w:rsidR="004C062F" w:rsidRDefault="005945A8" w:rsidP="009D4A9C">
      <w:pPr>
        <w:ind w:firstLineChars="200" w:firstLine="480"/>
        <w:rPr>
          <w:rFonts w:eastAsia="SimSun" w:cstheme="minorHAnsi"/>
          <w:szCs w:val="24"/>
          <w:lang w:eastAsia="zh-CN"/>
        </w:rPr>
      </w:pPr>
      <w:r>
        <w:rPr>
          <w:rFonts w:eastAsia="SimSun" w:cstheme="minorHAnsi" w:hint="eastAsia"/>
          <w:szCs w:val="24"/>
          <w:lang w:val="en-US" w:eastAsia="zh-CN"/>
        </w:rPr>
        <w:t>委员会</w:t>
      </w:r>
      <w:r>
        <w:rPr>
          <w:rFonts w:eastAsia="SimSun" w:cstheme="minorHAnsi"/>
          <w:szCs w:val="24"/>
          <w:lang w:eastAsia="zh-CN"/>
        </w:rPr>
        <w:t>会议的一个主要成果是要求制定资源调动机制和沟通战略，以确保</w:t>
      </w:r>
      <w:r>
        <w:rPr>
          <w:rFonts w:ascii="Calibri" w:hAnsi="Calibri" w:cs="Calibri"/>
          <w:szCs w:val="24"/>
          <w:lang w:val="zh-CN" w:eastAsia="zh-CN"/>
        </w:rPr>
        <w:t>联盟</w:t>
      </w:r>
      <w:r>
        <w:rPr>
          <w:rFonts w:eastAsia="SimSun" w:cstheme="minorHAnsi"/>
          <w:szCs w:val="24"/>
          <w:lang w:eastAsia="zh-CN"/>
        </w:rPr>
        <w:t>的工具获得足够的资金来扩大规模并产生影响。另一个</w:t>
      </w:r>
      <w:r>
        <w:rPr>
          <w:rFonts w:eastAsia="SimSun" w:cstheme="minorHAnsi" w:hint="eastAsia"/>
          <w:szCs w:val="24"/>
          <w:lang w:val="en-US" w:eastAsia="zh-CN"/>
        </w:rPr>
        <w:t>成果</w:t>
      </w:r>
      <w:r>
        <w:rPr>
          <w:rFonts w:eastAsia="SimSun" w:cstheme="minorHAnsi"/>
          <w:szCs w:val="24"/>
          <w:lang w:eastAsia="zh-CN"/>
        </w:rPr>
        <w:t>是增加</w:t>
      </w:r>
      <w:r>
        <w:rPr>
          <w:rFonts w:eastAsia="SimSun" w:cstheme="minorHAnsi" w:hint="eastAsia"/>
          <w:szCs w:val="24"/>
          <w:lang w:val="en-US" w:eastAsia="zh-CN"/>
        </w:rPr>
        <w:t>了</w:t>
      </w:r>
      <w:r>
        <w:rPr>
          <w:rFonts w:eastAsia="SimSun" w:cstheme="minorHAnsi"/>
          <w:szCs w:val="24"/>
          <w:lang w:eastAsia="zh-CN"/>
        </w:rPr>
        <w:t>加速中心和</w:t>
      </w:r>
      <w:r>
        <w:rPr>
          <w:rFonts w:eastAsia="SimSun" w:cstheme="minorHAnsi" w:hint="eastAsia"/>
          <w:szCs w:val="24"/>
          <w:lang w:val="en-US" w:eastAsia="zh-CN"/>
        </w:rPr>
        <w:t>委员</w:t>
      </w:r>
      <w:r>
        <w:rPr>
          <w:rFonts w:eastAsia="SimSun" w:cstheme="minorHAnsi"/>
          <w:szCs w:val="24"/>
          <w:lang w:eastAsia="zh-CN"/>
        </w:rPr>
        <w:t>的数量。</w:t>
      </w:r>
      <w:r>
        <w:rPr>
          <w:rFonts w:eastAsia="SimSun" w:cstheme="minorHAnsi"/>
          <w:szCs w:val="24"/>
          <w:lang w:eastAsia="zh-CN"/>
        </w:rPr>
        <w:t>BDT</w:t>
      </w:r>
      <w:r>
        <w:rPr>
          <w:rFonts w:eastAsia="SimSun" w:cstheme="minorHAnsi"/>
          <w:szCs w:val="24"/>
          <w:lang w:eastAsia="zh-CN"/>
        </w:rPr>
        <w:t>将根据专家</w:t>
      </w:r>
      <w:r>
        <w:rPr>
          <w:rFonts w:eastAsia="SimSun" w:cstheme="minorHAnsi" w:hint="eastAsia"/>
          <w:szCs w:val="24"/>
          <w:lang w:val="en-US" w:eastAsia="zh-CN"/>
        </w:rPr>
        <w:t>遴选工作</w:t>
      </w:r>
      <w:r>
        <w:rPr>
          <w:rFonts w:eastAsia="SimSun" w:cstheme="minorHAnsi"/>
          <w:szCs w:val="24"/>
          <w:lang w:eastAsia="zh-CN"/>
        </w:rPr>
        <w:t>和</w:t>
      </w:r>
      <w:r>
        <w:rPr>
          <w:rFonts w:eastAsia="SimSun" w:cstheme="minorHAnsi"/>
          <w:szCs w:val="24"/>
          <w:lang w:eastAsia="zh-CN"/>
        </w:rPr>
        <w:t>BDT</w:t>
      </w:r>
      <w:r>
        <w:rPr>
          <w:rFonts w:eastAsia="SimSun" w:cstheme="minorHAnsi" w:hint="eastAsia"/>
          <w:szCs w:val="24"/>
          <w:lang w:val="en-US" w:eastAsia="zh-CN"/>
        </w:rPr>
        <w:t>主任</w:t>
      </w:r>
      <w:r>
        <w:rPr>
          <w:rFonts w:eastAsia="SimSun" w:cstheme="minorHAnsi"/>
          <w:szCs w:val="24"/>
          <w:lang w:eastAsia="zh-CN"/>
        </w:rPr>
        <w:t>的提名程序</w:t>
      </w:r>
      <w:r>
        <w:rPr>
          <w:rFonts w:eastAsia="SimSun" w:cstheme="minorHAnsi" w:hint="eastAsia"/>
          <w:szCs w:val="24"/>
          <w:lang w:val="en-US" w:eastAsia="zh-CN"/>
        </w:rPr>
        <w:t>来吸纳</w:t>
      </w:r>
      <w:r>
        <w:rPr>
          <w:rFonts w:eastAsia="SimSun" w:cstheme="minorHAnsi"/>
          <w:szCs w:val="24"/>
          <w:lang w:eastAsia="zh-CN"/>
        </w:rPr>
        <w:t>新</w:t>
      </w:r>
      <w:r>
        <w:rPr>
          <w:rFonts w:eastAsia="SimSun" w:cstheme="minorHAnsi" w:hint="eastAsia"/>
          <w:szCs w:val="24"/>
          <w:lang w:val="en-US" w:eastAsia="zh-CN"/>
        </w:rPr>
        <w:t>委员</w:t>
      </w:r>
      <w:r>
        <w:rPr>
          <w:rFonts w:eastAsia="SimSun" w:cstheme="minorHAnsi"/>
          <w:szCs w:val="24"/>
          <w:lang w:eastAsia="zh-CN"/>
        </w:rPr>
        <w:t>。对于加速中心，</w:t>
      </w:r>
      <w:r>
        <w:rPr>
          <w:rFonts w:eastAsia="SimSun" w:cstheme="minorHAnsi"/>
          <w:szCs w:val="24"/>
          <w:lang w:eastAsia="zh-CN"/>
        </w:rPr>
        <w:t>BDT</w:t>
      </w:r>
      <w:r>
        <w:rPr>
          <w:rFonts w:eastAsia="SimSun" w:cstheme="minorHAnsi"/>
          <w:szCs w:val="24"/>
          <w:lang w:eastAsia="zh-CN"/>
        </w:rPr>
        <w:t>将在今年完成第一批中心的入驻工作，并将在明年初开始新中心</w:t>
      </w:r>
      <w:r>
        <w:rPr>
          <w:rFonts w:eastAsia="SimSun" w:cstheme="minorHAnsi" w:hint="eastAsia"/>
          <w:szCs w:val="24"/>
          <w:lang w:val="en-US" w:eastAsia="zh-CN"/>
        </w:rPr>
        <w:t>的召集</w:t>
      </w:r>
      <w:r>
        <w:rPr>
          <w:rFonts w:eastAsia="SimSun" w:cstheme="minorHAnsi"/>
          <w:szCs w:val="24"/>
          <w:lang w:eastAsia="zh-CN"/>
        </w:rPr>
        <w:t>工作。</w:t>
      </w:r>
    </w:p>
    <w:p w14:paraId="79AB060A" w14:textId="4FB4437F" w:rsidR="004C062F" w:rsidRDefault="009D4A9C" w:rsidP="009D4A9C">
      <w:pPr>
        <w:pStyle w:val="Heading1"/>
      </w:pPr>
      <w:r>
        <w:rPr>
          <w:lang w:val="en-US" w:eastAsia="zh-CN"/>
        </w:rPr>
        <w:t>3</w:t>
      </w:r>
      <w:r>
        <w:rPr>
          <w:lang w:val="en-US" w:eastAsia="zh-CN"/>
        </w:rPr>
        <w:tab/>
      </w:r>
      <w:r w:rsidR="005945A8">
        <w:rPr>
          <w:rFonts w:hint="eastAsia"/>
          <w:lang w:eastAsia="zh-CN"/>
        </w:rPr>
        <w:t>前进方向</w:t>
      </w:r>
    </w:p>
    <w:p w14:paraId="3113AAC4" w14:textId="77777777" w:rsidR="004C062F" w:rsidRDefault="005945A8" w:rsidP="009D4A9C">
      <w:pPr>
        <w:ind w:firstLineChars="200" w:firstLine="480"/>
        <w:rPr>
          <w:lang w:eastAsia="zh-CN"/>
        </w:rPr>
      </w:pPr>
      <w:r>
        <w:rPr>
          <w:lang w:eastAsia="zh-CN"/>
        </w:rPr>
        <w:t>BDT</w:t>
      </w:r>
      <w:r>
        <w:rPr>
          <w:rFonts w:hint="eastAsia"/>
          <w:lang w:val="en-US" w:eastAsia="zh-CN"/>
        </w:rPr>
        <w:t>将会</w:t>
      </w:r>
      <w:r>
        <w:rPr>
          <w:lang w:eastAsia="zh-CN"/>
        </w:rPr>
        <w:t>继续</w:t>
      </w:r>
      <w:r>
        <w:rPr>
          <w:rFonts w:ascii="Calibri" w:hAnsi="Calibri" w:cs="Calibri" w:hint="eastAsia"/>
          <w:lang w:val="en-US" w:eastAsia="zh-CN"/>
        </w:rPr>
        <w:t>利用</w:t>
      </w:r>
      <w:r>
        <w:rPr>
          <w:rFonts w:ascii="Calibri" w:hAnsi="Calibri" w:cs="Calibri"/>
          <w:lang w:val="zh-CN" w:eastAsia="zh-CN"/>
        </w:rPr>
        <w:t>联盟的</w:t>
      </w:r>
      <w:r>
        <w:rPr>
          <w:rFonts w:ascii="Calibri" w:hAnsi="Calibri" w:cs="Calibri" w:hint="eastAsia"/>
          <w:lang w:val="en-US" w:eastAsia="zh-CN"/>
        </w:rPr>
        <w:t>各种</w:t>
      </w:r>
      <w:r>
        <w:rPr>
          <w:lang w:eastAsia="zh-CN"/>
        </w:rPr>
        <w:t>工具并调动</w:t>
      </w:r>
      <w:r>
        <w:rPr>
          <w:rFonts w:hint="eastAsia"/>
          <w:lang w:val="en-US" w:eastAsia="zh-CN"/>
        </w:rPr>
        <w:t>各方</w:t>
      </w:r>
      <w:r>
        <w:rPr>
          <w:lang w:eastAsia="zh-CN"/>
        </w:rPr>
        <w:t>资源</w:t>
      </w:r>
      <w:r>
        <w:rPr>
          <w:rFonts w:hint="eastAsia"/>
          <w:lang w:eastAsia="zh-CN"/>
        </w:rPr>
        <w:t>，</w:t>
      </w:r>
      <w:r>
        <w:rPr>
          <w:rFonts w:hint="eastAsia"/>
          <w:lang w:val="en-US" w:eastAsia="zh-CN"/>
        </w:rPr>
        <w:t>以为</w:t>
      </w:r>
      <w:r>
        <w:rPr>
          <w:lang w:eastAsia="zh-CN"/>
        </w:rPr>
        <w:t>各国</w:t>
      </w:r>
      <w:r>
        <w:rPr>
          <w:rFonts w:hint="eastAsia"/>
          <w:lang w:val="en-US" w:eastAsia="zh-CN"/>
        </w:rPr>
        <w:t>提供</w:t>
      </w:r>
      <w:r>
        <w:rPr>
          <w:lang w:eastAsia="zh-CN"/>
        </w:rPr>
        <w:t>支持。</w:t>
      </w:r>
    </w:p>
    <w:p w14:paraId="5A8AE1DD" w14:textId="77777777" w:rsidR="004C062F" w:rsidRDefault="005945A8" w:rsidP="009D4A9C">
      <w:pPr>
        <w:ind w:firstLineChars="200" w:firstLine="480"/>
        <w:rPr>
          <w:lang w:eastAsia="zh-CN"/>
        </w:rPr>
      </w:pPr>
      <w:r>
        <w:rPr>
          <w:rFonts w:ascii="Calibri" w:hAnsi="Calibri" w:cs="Calibri"/>
          <w:lang w:val="zh-CN" w:eastAsia="zh-CN"/>
        </w:rPr>
        <w:t>已收到许多</w:t>
      </w:r>
      <w:r>
        <w:rPr>
          <w:rFonts w:ascii="Calibri" w:hAnsi="Calibri" w:cs="Calibri" w:hint="eastAsia"/>
          <w:lang w:val="en-US" w:eastAsia="zh-CN"/>
        </w:rPr>
        <w:t>有关承办</w:t>
      </w:r>
      <w:r>
        <w:rPr>
          <w:rFonts w:ascii="Calibri" w:hAnsi="Calibri" w:cs="Calibri"/>
          <w:lang w:val="zh-CN" w:eastAsia="zh-CN"/>
        </w:rPr>
        <w:t>联盟中心的新</w:t>
      </w:r>
      <w:r>
        <w:rPr>
          <w:rFonts w:ascii="Calibri" w:hAnsi="Calibri" w:cs="Calibri" w:hint="eastAsia"/>
          <w:lang w:val="en-US" w:eastAsia="zh-CN"/>
        </w:rPr>
        <w:t>意向</w:t>
      </w:r>
      <w:r>
        <w:rPr>
          <w:rFonts w:ascii="Calibri" w:hAnsi="Calibri" w:cs="Calibri"/>
          <w:lang w:val="zh-CN" w:eastAsia="zh-CN"/>
        </w:rPr>
        <w:t>，</w:t>
      </w:r>
      <w:r>
        <w:rPr>
          <w:rFonts w:hint="eastAsia"/>
          <w:lang w:val="en-US" w:eastAsia="zh-CN"/>
        </w:rPr>
        <w:t>不过，</w:t>
      </w:r>
      <w:r>
        <w:rPr>
          <w:lang w:eastAsia="zh-CN"/>
        </w:rPr>
        <w:t>在与新中心</w:t>
      </w:r>
      <w:r>
        <w:rPr>
          <w:rFonts w:ascii="Calibri" w:hAnsi="Calibri" w:cs="Calibri"/>
          <w:lang w:val="zh-CN" w:eastAsia="zh-CN"/>
        </w:rPr>
        <w:t>接触之前</w:t>
      </w:r>
      <w:r>
        <w:rPr>
          <w:rFonts w:ascii="Calibri" w:hAnsi="Calibri" w:cs="Calibri" w:hint="eastAsia"/>
          <w:lang w:val="zh-CN" w:eastAsia="zh-CN"/>
        </w:rPr>
        <w:t>，</w:t>
      </w:r>
      <w:r>
        <w:rPr>
          <w:lang w:eastAsia="zh-CN"/>
        </w:rPr>
        <w:t>BDT</w:t>
      </w:r>
      <w:r>
        <w:rPr>
          <w:lang w:eastAsia="zh-CN"/>
        </w:rPr>
        <w:t>的主要目标是</w:t>
      </w:r>
      <w:r>
        <w:rPr>
          <w:rFonts w:hint="eastAsia"/>
          <w:lang w:val="en-US" w:eastAsia="zh-CN"/>
        </w:rPr>
        <w:t>运营</w:t>
      </w:r>
      <w:r>
        <w:rPr>
          <w:lang w:eastAsia="zh-CN"/>
        </w:rPr>
        <w:t>第一批中心并</w:t>
      </w:r>
      <w:r>
        <w:rPr>
          <w:rFonts w:hint="eastAsia"/>
          <w:lang w:val="en-US" w:eastAsia="zh-CN"/>
        </w:rPr>
        <w:t>从中汲取经验</w:t>
      </w:r>
      <w:r>
        <w:rPr>
          <w:lang w:eastAsia="zh-CN"/>
        </w:rPr>
        <w:t>。在此期间，</w:t>
      </w:r>
      <w:r>
        <w:rPr>
          <w:rFonts w:hint="eastAsia"/>
          <w:lang w:eastAsia="zh-CN"/>
        </w:rPr>
        <w:t>DT Lab</w:t>
      </w:r>
      <w:r>
        <w:rPr>
          <w:rFonts w:hint="eastAsia"/>
          <w:lang w:val="en-US" w:eastAsia="zh-CN"/>
        </w:rPr>
        <w:t>会</w:t>
      </w:r>
      <w:proofErr w:type="gramStart"/>
      <w:r>
        <w:rPr>
          <w:rFonts w:hint="eastAsia"/>
          <w:lang w:val="en-US" w:eastAsia="zh-CN"/>
        </w:rPr>
        <w:t>发挥</w:t>
      </w:r>
      <w:r>
        <w:rPr>
          <w:lang w:eastAsia="zh-CN"/>
        </w:rPr>
        <w:t>伙伴</w:t>
      </w:r>
      <w:proofErr w:type="gramEnd"/>
      <w:r>
        <w:rPr>
          <w:lang w:eastAsia="zh-CN"/>
        </w:rPr>
        <w:t>关系</w:t>
      </w:r>
      <w:r>
        <w:rPr>
          <w:rFonts w:hint="eastAsia"/>
          <w:lang w:val="en-US" w:eastAsia="zh-CN"/>
        </w:rPr>
        <w:t>工具的作用</w:t>
      </w:r>
      <w:r>
        <w:rPr>
          <w:rFonts w:hint="eastAsia"/>
          <w:lang w:eastAsia="zh-CN"/>
        </w:rPr>
        <w:t>。</w:t>
      </w:r>
      <w:r>
        <w:rPr>
          <w:rFonts w:hint="eastAsia"/>
          <w:lang w:val="en-US" w:eastAsia="zh-CN"/>
        </w:rPr>
        <w:t>在此</w:t>
      </w:r>
      <w:r>
        <w:rPr>
          <w:lang w:eastAsia="zh-CN"/>
        </w:rPr>
        <w:t>鼓励成员与</w:t>
      </w:r>
      <w:r>
        <w:rPr>
          <w:rFonts w:hint="eastAsia"/>
          <w:lang w:eastAsia="zh-CN"/>
        </w:rPr>
        <w:t>DT Lab</w:t>
      </w:r>
      <w:r>
        <w:rPr>
          <w:lang w:eastAsia="zh-CN"/>
        </w:rPr>
        <w:t>或加速中心网络合作，</w:t>
      </w:r>
      <w:r>
        <w:rPr>
          <w:rFonts w:hint="eastAsia"/>
          <w:lang w:val="en-US" w:eastAsia="zh-CN"/>
        </w:rPr>
        <w:t>以</w:t>
      </w:r>
      <w:r>
        <w:rPr>
          <w:lang w:eastAsia="zh-CN"/>
        </w:rPr>
        <w:t>参与</w:t>
      </w:r>
      <w:r>
        <w:rPr>
          <w:rFonts w:ascii="Calibri" w:hAnsi="Calibri" w:cs="Calibri"/>
          <w:lang w:val="zh-CN" w:eastAsia="zh-CN"/>
        </w:rPr>
        <w:t>联盟</w:t>
      </w:r>
      <w:r>
        <w:rPr>
          <w:lang w:eastAsia="zh-CN"/>
        </w:rPr>
        <w:t>的工作。</w:t>
      </w:r>
    </w:p>
    <w:p w14:paraId="1D07D220" w14:textId="77777777" w:rsidR="004C062F" w:rsidRDefault="005945A8" w:rsidP="009D4A9C">
      <w:pPr>
        <w:ind w:firstLineChars="200" w:firstLine="480"/>
        <w:rPr>
          <w:color w:val="000000"/>
          <w:lang w:eastAsia="zh-CN"/>
        </w:rPr>
      </w:pPr>
      <w:r>
        <w:rPr>
          <w:rStyle w:val="s22"/>
          <w:rFonts w:eastAsia="SimSun" w:cstheme="minorHAnsi"/>
          <w:color w:val="000000"/>
          <w:szCs w:val="24"/>
          <w:lang w:eastAsia="zh-CN"/>
        </w:rPr>
        <w:t>BDT</w:t>
      </w:r>
      <w:r>
        <w:rPr>
          <w:rStyle w:val="s22"/>
          <w:rFonts w:eastAsia="SimSun" w:cstheme="minorHAnsi"/>
          <w:color w:val="000000"/>
          <w:szCs w:val="24"/>
          <w:lang w:eastAsia="zh-CN"/>
        </w:rPr>
        <w:t>将通过以下活动继续加强</w:t>
      </w:r>
      <w:r>
        <w:rPr>
          <w:rFonts w:ascii="Calibri" w:hAnsi="Calibri" w:cs="Calibri"/>
          <w:lang w:val="zh-CN" w:eastAsia="zh-CN"/>
        </w:rPr>
        <w:t>联盟</w:t>
      </w:r>
      <w:r>
        <w:rPr>
          <w:rStyle w:val="s22"/>
          <w:rFonts w:eastAsia="SimSun" w:cstheme="minorHAnsi"/>
          <w:color w:val="000000"/>
          <w:szCs w:val="24"/>
          <w:lang w:eastAsia="zh-CN"/>
        </w:rPr>
        <w:t>及其</w:t>
      </w:r>
      <w:r>
        <w:rPr>
          <w:rFonts w:ascii="Calibri" w:hAnsi="Calibri" w:cs="Calibri"/>
          <w:lang w:val="zh-CN" w:eastAsia="zh-CN"/>
        </w:rPr>
        <w:t>各项</w:t>
      </w:r>
      <w:r>
        <w:rPr>
          <w:rStyle w:val="s22"/>
          <w:rFonts w:eastAsia="SimSun" w:cstheme="minorHAnsi" w:hint="eastAsia"/>
          <w:color w:val="000000"/>
          <w:szCs w:val="24"/>
          <w:lang w:eastAsia="zh-CN"/>
        </w:rPr>
        <w:t>举措</w:t>
      </w:r>
      <w:r>
        <w:rPr>
          <w:rStyle w:val="s22"/>
          <w:rFonts w:eastAsia="SimSun" w:cstheme="minorHAnsi"/>
          <w:color w:val="000000"/>
          <w:szCs w:val="24"/>
          <w:lang w:eastAsia="zh-CN"/>
        </w:rPr>
        <w:t>的发展，仅举几例</w:t>
      </w:r>
      <w:r>
        <w:rPr>
          <w:rStyle w:val="s22"/>
          <w:rFonts w:eastAsia="SimSun" w:cstheme="minorHAnsi" w:hint="eastAsia"/>
          <w:color w:val="000000"/>
          <w:szCs w:val="24"/>
          <w:lang w:eastAsia="zh-CN"/>
        </w:rPr>
        <w:t>：</w:t>
      </w:r>
    </w:p>
    <w:p w14:paraId="5014CC3F" w14:textId="5FEFB254" w:rsidR="004C062F" w:rsidRDefault="009D4A9C" w:rsidP="009D4A9C">
      <w:pPr>
        <w:pStyle w:val="enumlev1"/>
        <w:rPr>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proofErr w:type="gramStart"/>
      <w:r w:rsidR="005945A8">
        <w:rPr>
          <w:rStyle w:val="s22"/>
          <w:rFonts w:eastAsia="SimSun" w:cstheme="minorHAnsi"/>
          <w:color w:val="000000"/>
          <w:szCs w:val="24"/>
          <w:lang w:eastAsia="zh-CN"/>
        </w:rPr>
        <w:t>继续为</w:t>
      </w:r>
      <w:r w:rsidR="005945A8">
        <w:rPr>
          <w:rFonts w:ascii="Calibri" w:hAnsi="Calibri" w:cs="Calibri"/>
          <w:lang w:val="zh-CN" w:eastAsia="zh-CN"/>
        </w:rPr>
        <w:t>联盟</w:t>
      </w:r>
      <w:r w:rsidR="005945A8">
        <w:rPr>
          <w:rStyle w:val="s22"/>
          <w:rFonts w:eastAsia="SimSun" w:cstheme="minorHAnsi"/>
          <w:color w:val="000000"/>
          <w:szCs w:val="24"/>
          <w:lang w:eastAsia="zh-CN"/>
        </w:rPr>
        <w:t>中心制定和实施行动手册</w:t>
      </w:r>
      <w:r w:rsidR="005945A8">
        <w:rPr>
          <w:rStyle w:val="s22"/>
          <w:rFonts w:eastAsia="SimSun" w:cstheme="minorHAnsi" w:hint="eastAsia"/>
          <w:color w:val="000000"/>
          <w:szCs w:val="24"/>
          <w:lang w:val="en-US" w:eastAsia="zh-CN"/>
        </w:rPr>
        <w:t>并开展</w:t>
      </w:r>
      <w:r w:rsidR="005945A8">
        <w:rPr>
          <w:rStyle w:val="s22"/>
          <w:rFonts w:eastAsia="SimSun" w:cstheme="minorHAnsi"/>
          <w:color w:val="000000"/>
          <w:szCs w:val="24"/>
          <w:lang w:eastAsia="zh-CN"/>
        </w:rPr>
        <w:t>能力建设；</w:t>
      </w:r>
      <w:proofErr w:type="gramEnd"/>
    </w:p>
    <w:p w14:paraId="48EC76AF" w14:textId="55F5F44B" w:rsidR="004C062F" w:rsidRDefault="009D4A9C" w:rsidP="009D4A9C">
      <w:pPr>
        <w:pStyle w:val="enumlev1"/>
        <w:rPr>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r w:rsidR="005945A8">
        <w:rPr>
          <w:rStyle w:val="s22"/>
          <w:rFonts w:eastAsia="SimSun" w:cstheme="minorHAnsi"/>
          <w:color w:val="000000"/>
          <w:szCs w:val="24"/>
          <w:lang w:eastAsia="zh-CN"/>
        </w:rPr>
        <w:t>继续与国际电联其他部门进行讨论，</w:t>
      </w:r>
      <w:proofErr w:type="gramStart"/>
      <w:r w:rsidR="005945A8">
        <w:rPr>
          <w:rStyle w:val="s22"/>
          <w:rFonts w:eastAsia="SimSun" w:cstheme="minorHAnsi"/>
          <w:color w:val="000000"/>
          <w:szCs w:val="24"/>
          <w:lang w:eastAsia="zh-CN"/>
        </w:rPr>
        <w:t>以便在</w:t>
      </w:r>
      <w:r w:rsidR="005945A8">
        <w:rPr>
          <w:rFonts w:ascii="Calibri" w:hAnsi="Calibri" w:cs="Calibri"/>
          <w:lang w:val="zh-CN" w:eastAsia="zh-CN"/>
        </w:rPr>
        <w:t>联盟</w:t>
      </w:r>
      <w:r w:rsidR="005945A8">
        <w:rPr>
          <w:rStyle w:val="s22"/>
          <w:rFonts w:eastAsia="SimSun" w:cstheme="minorHAnsi"/>
          <w:color w:val="000000"/>
          <w:szCs w:val="24"/>
          <w:lang w:eastAsia="zh-CN"/>
        </w:rPr>
        <w:t>框架内开展</w:t>
      </w:r>
      <w:r w:rsidR="005945A8">
        <w:rPr>
          <w:rFonts w:ascii="Calibri" w:hAnsi="Calibri" w:cs="Calibri"/>
          <w:lang w:val="zh-CN" w:eastAsia="zh-CN"/>
        </w:rPr>
        <w:t>协作</w:t>
      </w:r>
      <w:r w:rsidR="005945A8">
        <w:rPr>
          <w:rStyle w:val="s22"/>
          <w:rFonts w:eastAsia="SimSun" w:cstheme="minorHAnsi"/>
          <w:color w:val="000000"/>
          <w:szCs w:val="24"/>
          <w:lang w:eastAsia="zh-CN"/>
        </w:rPr>
        <w:t>；</w:t>
      </w:r>
      <w:proofErr w:type="gramEnd"/>
    </w:p>
    <w:p w14:paraId="329203B2" w14:textId="57A9BEAE" w:rsidR="004C062F" w:rsidRDefault="009D4A9C" w:rsidP="009D4A9C">
      <w:pPr>
        <w:pStyle w:val="enumlev1"/>
        <w:rPr>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proofErr w:type="gramStart"/>
      <w:r w:rsidR="005945A8">
        <w:rPr>
          <w:rStyle w:val="s22"/>
          <w:rFonts w:eastAsia="SimSun" w:cstheme="minorHAnsi"/>
          <w:color w:val="000000"/>
          <w:szCs w:val="24"/>
          <w:lang w:eastAsia="zh-CN"/>
        </w:rPr>
        <w:t>继续加强国际电联南亚地区办事处的创新中心；</w:t>
      </w:r>
      <w:proofErr w:type="gramEnd"/>
    </w:p>
    <w:p w14:paraId="26A4A1A0" w14:textId="26050675" w:rsidR="004C062F" w:rsidRDefault="009D4A9C" w:rsidP="009D4A9C">
      <w:pPr>
        <w:pStyle w:val="enumlev1"/>
        <w:rPr>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r w:rsidR="005945A8">
        <w:rPr>
          <w:rStyle w:val="s22"/>
          <w:rFonts w:eastAsia="SimSun" w:cstheme="minorHAnsi"/>
          <w:color w:val="000000"/>
          <w:szCs w:val="24"/>
          <w:lang w:eastAsia="zh-CN"/>
        </w:rPr>
        <w:t>制定全面的资源调动、</w:t>
      </w:r>
      <w:proofErr w:type="gramStart"/>
      <w:r w:rsidR="005945A8">
        <w:rPr>
          <w:rStyle w:val="s22"/>
          <w:rFonts w:eastAsia="SimSun" w:cstheme="minorHAnsi"/>
          <w:color w:val="000000"/>
          <w:szCs w:val="24"/>
          <w:lang w:eastAsia="zh-CN"/>
        </w:rPr>
        <w:t>沟通和伙伴关系战略；</w:t>
      </w:r>
      <w:proofErr w:type="gramEnd"/>
    </w:p>
    <w:p w14:paraId="14D9486D" w14:textId="29D589E7" w:rsidR="004C062F" w:rsidRDefault="009D4A9C" w:rsidP="009D4A9C">
      <w:pPr>
        <w:pStyle w:val="enumlev1"/>
        <w:rPr>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r w:rsidR="005945A8">
        <w:rPr>
          <w:rStyle w:val="s22"/>
          <w:rFonts w:eastAsia="SimSun" w:cstheme="minorHAnsi"/>
          <w:color w:val="000000"/>
          <w:szCs w:val="24"/>
          <w:lang w:eastAsia="zh-CN"/>
        </w:rPr>
        <w:t>举办</w:t>
      </w:r>
      <w:r w:rsidR="005945A8">
        <w:rPr>
          <w:rFonts w:ascii="Calibri" w:hAnsi="Calibri" w:cs="Calibri"/>
          <w:lang w:val="zh-CN" w:eastAsia="zh-CN"/>
        </w:rPr>
        <w:t>联盟</w:t>
      </w:r>
      <w:r w:rsidR="005945A8">
        <w:rPr>
          <w:rStyle w:val="s22"/>
          <w:rFonts w:eastAsia="SimSun" w:cstheme="minorHAnsi"/>
          <w:color w:val="000000"/>
          <w:szCs w:val="24"/>
          <w:lang w:eastAsia="zh-CN"/>
        </w:rPr>
        <w:t>成员论坛，</w:t>
      </w:r>
      <w:proofErr w:type="gramStart"/>
      <w:r w:rsidR="005945A8">
        <w:rPr>
          <w:rStyle w:val="s22"/>
          <w:rFonts w:eastAsia="SimSun" w:cstheme="minorHAnsi" w:hint="eastAsia"/>
          <w:color w:val="000000"/>
          <w:szCs w:val="24"/>
          <w:lang w:val="en-US" w:eastAsia="zh-CN"/>
        </w:rPr>
        <w:t>以</w:t>
      </w:r>
      <w:r w:rsidR="005945A8">
        <w:rPr>
          <w:rStyle w:val="s22"/>
          <w:rFonts w:eastAsia="SimSun" w:cstheme="minorHAnsi"/>
          <w:color w:val="000000"/>
          <w:szCs w:val="24"/>
          <w:lang w:eastAsia="zh-CN"/>
        </w:rPr>
        <w:t>分享网络的初步成果和最佳做法；</w:t>
      </w:r>
      <w:proofErr w:type="gramEnd"/>
    </w:p>
    <w:p w14:paraId="6EBC3425" w14:textId="00181CC4" w:rsidR="004C062F" w:rsidRDefault="009D4A9C" w:rsidP="009D4A9C">
      <w:pPr>
        <w:pStyle w:val="enumlev1"/>
        <w:rPr>
          <w:rStyle w:val="s22"/>
          <w:rFonts w:eastAsia="SimSun" w:cstheme="minorHAnsi"/>
          <w:color w:val="000000"/>
          <w:szCs w:val="24"/>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r w:rsidR="005945A8">
        <w:rPr>
          <w:rStyle w:val="s22"/>
          <w:rFonts w:eastAsia="SimSun" w:cstheme="minorHAnsi" w:hint="eastAsia"/>
          <w:color w:val="000000"/>
          <w:szCs w:val="24"/>
          <w:lang w:val="en-US" w:eastAsia="zh-CN"/>
        </w:rPr>
        <w:t>针对</w:t>
      </w:r>
      <w:r w:rsidR="005945A8">
        <w:rPr>
          <w:rFonts w:ascii="Calibri" w:hAnsi="Calibri" w:cs="Calibri"/>
          <w:lang w:val="zh-CN" w:eastAsia="zh-CN"/>
        </w:rPr>
        <w:t>WTDC-</w:t>
      </w:r>
      <w:proofErr w:type="gramStart"/>
      <w:r w:rsidR="005945A8">
        <w:rPr>
          <w:rFonts w:ascii="Calibri" w:hAnsi="Calibri" w:cs="Calibri"/>
          <w:lang w:val="zh-CN" w:eastAsia="zh-CN"/>
        </w:rPr>
        <w:t>22</w:t>
      </w:r>
      <w:r w:rsidR="005945A8">
        <w:rPr>
          <w:rStyle w:val="s22"/>
          <w:rFonts w:eastAsia="SimSun" w:cstheme="minorHAnsi"/>
          <w:color w:val="000000"/>
          <w:szCs w:val="24"/>
          <w:lang w:eastAsia="zh-CN"/>
        </w:rPr>
        <w:t>创新相关</w:t>
      </w:r>
      <w:r w:rsidR="005945A8">
        <w:rPr>
          <w:rStyle w:val="s22"/>
          <w:rFonts w:eastAsia="SimSun" w:cstheme="minorHAnsi" w:hint="eastAsia"/>
          <w:color w:val="000000"/>
          <w:szCs w:val="24"/>
          <w:lang w:eastAsia="zh-CN"/>
        </w:rPr>
        <w:t>区域性举措</w:t>
      </w:r>
      <w:r w:rsidR="005945A8">
        <w:rPr>
          <w:rStyle w:val="s22"/>
          <w:rFonts w:eastAsia="SimSun" w:cstheme="minorHAnsi"/>
          <w:color w:val="000000"/>
          <w:szCs w:val="24"/>
          <w:lang w:eastAsia="zh-CN"/>
        </w:rPr>
        <w:t>推出</w:t>
      </w:r>
      <w:r w:rsidR="005945A8">
        <w:rPr>
          <w:rStyle w:val="s22"/>
          <w:rFonts w:eastAsia="SimSun" w:cstheme="minorHAnsi" w:hint="eastAsia"/>
          <w:color w:val="000000"/>
          <w:szCs w:val="24"/>
          <w:lang w:eastAsia="zh-CN"/>
        </w:rPr>
        <w:t>区域性举措</w:t>
      </w:r>
      <w:r w:rsidR="005945A8">
        <w:rPr>
          <w:rStyle w:val="s22"/>
          <w:rFonts w:eastAsia="SimSun" w:cstheme="minorHAnsi"/>
          <w:color w:val="000000"/>
          <w:szCs w:val="24"/>
          <w:lang w:eastAsia="zh-CN"/>
        </w:rPr>
        <w:t>加速器新项目；</w:t>
      </w:r>
      <w:proofErr w:type="gramEnd"/>
    </w:p>
    <w:p w14:paraId="45295246" w14:textId="3814475F" w:rsidR="004C062F" w:rsidRDefault="009D4A9C" w:rsidP="009D4A9C">
      <w:pPr>
        <w:pStyle w:val="enumlev1"/>
        <w:rPr>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proofErr w:type="gramStart"/>
      <w:r w:rsidR="005945A8">
        <w:rPr>
          <w:lang w:eastAsia="zh-CN"/>
        </w:rPr>
        <w:t>明年初召集和遴选一批新的加速中心；</w:t>
      </w:r>
      <w:proofErr w:type="gramEnd"/>
    </w:p>
    <w:p w14:paraId="5D461162" w14:textId="7D02DBE1" w:rsidR="004C062F" w:rsidRDefault="009D4A9C" w:rsidP="009D4A9C">
      <w:pPr>
        <w:pStyle w:val="enumlev1"/>
        <w:rPr>
          <w:rStyle w:val="s22"/>
          <w:rFonts w:eastAsia="SimSun" w:cstheme="minorHAnsi"/>
          <w:color w:val="000000"/>
          <w:szCs w:val="24"/>
          <w:lang w:eastAsia="zh-CN"/>
        </w:rPr>
      </w:pPr>
      <w:r w:rsidRPr="009D4A9C">
        <w:rPr>
          <w:rStyle w:val="s22"/>
          <w:rFonts w:eastAsia="SimSun" w:cstheme="minorHAnsi"/>
          <w:color w:val="000000"/>
          <w:szCs w:val="24"/>
          <w:lang w:eastAsia="zh-CN"/>
        </w:rPr>
        <w:t>–</w:t>
      </w:r>
      <w:r>
        <w:rPr>
          <w:rStyle w:val="s22"/>
          <w:rFonts w:eastAsia="SimSun" w:cstheme="minorHAnsi"/>
          <w:color w:val="000000"/>
          <w:szCs w:val="24"/>
          <w:lang w:val="en-US" w:eastAsia="zh-CN"/>
        </w:rPr>
        <w:tab/>
      </w:r>
      <w:proofErr w:type="gramStart"/>
      <w:r w:rsidR="005945A8">
        <w:rPr>
          <w:rStyle w:val="s22"/>
          <w:rFonts w:eastAsia="SimSun" w:cstheme="minorHAnsi"/>
          <w:color w:val="000000"/>
          <w:szCs w:val="24"/>
          <w:lang w:eastAsia="zh-CN"/>
        </w:rPr>
        <w:t>进一步发展与联合国和其他相关国际组织的伙伴关系；</w:t>
      </w:r>
      <w:proofErr w:type="gramEnd"/>
    </w:p>
    <w:p w14:paraId="6415C127" w14:textId="77777777" w:rsidR="004C062F" w:rsidRDefault="005945A8" w:rsidP="009D4A9C">
      <w:pPr>
        <w:ind w:firstLineChars="200" w:firstLine="480"/>
        <w:rPr>
          <w:rStyle w:val="s22"/>
          <w:rFonts w:cstheme="minorHAnsi"/>
          <w:color w:val="000000"/>
          <w:szCs w:val="24"/>
          <w:lang w:eastAsia="zh-CN"/>
        </w:rPr>
      </w:pPr>
      <w:r>
        <w:rPr>
          <w:lang w:val="zh-CN" w:eastAsia="zh-CN"/>
        </w:rPr>
        <w:t>请</w:t>
      </w:r>
      <w:r>
        <w:rPr>
          <w:lang w:val="zh-CN" w:eastAsia="zh-CN"/>
        </w:rPr>
        <w:t>TDAG</w:t>
      </w:r>
      <w:r>
        <w:rPr>
          <w:lang w:val="zh-CN" w:eastAsia="zh-CN"/>
        </w:rPr>
        <w:t>将本报告记录在案并提供必要的建议。</w:t>
      </w:r>
    </w:p>
    <w:p w14:paraId="319FEC3B" w14:textId="77777777" w:rsidR="004C062F" w:rsidRDefault="005945A8" w:rsidP="005945A8">
      <w:pPr>
        <w:tabs>
          <w:tab w:val="clear" w:pos="794"/>
          <w:tab w:val="clear" w:pos="1191"/>
          <w:tab w:val="clear" w:pos="1588"/>
          <w:tab w:val="clear" w:pos="1985"/>
        </w:tabs>
        <w:spacing w:before="240" w:after="120"/>
        <w:jc w:val="center"/>
      </w:pPr>
      <w:r>
        <w:rPr>
          <w:rFonts w:cstheme="minorHAnsi"/>
          <w:szCs w:val="24"/>
        </w:rPr>
        <w:t>______________</w:t>
      </w:r>
    </w:p>
    <w:sectPr w:rsidR="004C062F">
      <w:headerReference w:type="even" r:id="rId14"/>
      <w:headerReference w:type="default" r:id="rId15"/>
      <w:footerReference w:type="even" r:id="rId16"/>
      <w:footerReference w:type="first" r:id="rId17"/>
      <w:pgSz w:w="11907" w:h="16834"/>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B9D6" w14:textId="77777777" w:rsidR="005945A8" w:rsidRDefault="005945A8">
      <w:pPr>
        <w:spacing w:before="0"/>
      </w:pPr>
      <w:r>
        <w:separator/>
      </w:r>
    </w:p>
  </w:endnote>
  <w:endnote w:type="continuationSeparator" w:id="0">
    <w:p w14:paraId="7B8A2959" w14:textId="77777777" w:rsidR="005945A8" w:rsidRDefault="005945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venir Book">
    <w:altName w:val="Segoe Print"/>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012D" w14:textId="77777777" w:rsidR="004C062F" w:rsidRDefault="004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C062F" w14:paraId="45776433" w14:textId="77777777">
      <w:tc>
        <w:tcPr>
          <w:tcW w:w="1526" w:type="dxa"/>
          <w:tcBorders>
            <w:top w:val="single" w:sz="4" w:space="0" w:color="000000"/>
          </w:tcBorders>
          <w:shd w:val="clear" w:color="auto" w:fill="auto"/>
        </w:tcPr>
        <w:p w14:paraId="76B04872" w14:textId="77777777" w:rsidR="004C062F" w:rsidRDefault="005945A8">
          <w:pPr>
            <w:pStyle w:val="FirstFooter"/>
            <w:tabs>
              <w:tab w:val="left" w:pos="1559"/>
              <w:tab w:val="left" w:pos="3828"/>
            </w:tabs>
            <w:rPr>
              <w:sz w:val="18"/>
              <w:szCs w:val="18"/>
            </w:rPr>
          </w:pPr>
          <w:proofErr w:type="spellStart"/>
          <w:r>
            <w:rPr>
              <w:rFonts w:hint="eastAsia"/>
              <w:sz w:val="18"/>
              <w:szCs w:val="18"/>
              <w:lang w:val="en-US"/>
            </w:rPr>
            <w:t>联系人</w:t>
          </w:r>
          <w:proofErr w:type="spellEnd"/>
          <w:r>
            <w:rPr>
              <w:rFonts w:hint="eastAsia"/>
              <w:sz w:val="18"/>
              <w:szCs w:val="18"/>
              <w:lang w:val="en-US"/>
            </w:rPr>
            <w:t>：</w:t>
          </w:r>
        </w:p>
      </w:tc>
      <w:tc>
        <w:tcPr>
          <w:tcW w:w="2410" w:type="dxa"/>
          <w:tcBorders>
            <w:top w:val="single" w:sz="4" w:space="0" w:color="000000"/>
          </w:tcBorders>
          <w:shd w:val="clear" w:color="auto" w:fill="auto"/>
        </w:tcPr>
        <w:p w14:paraId="63D84448" w14:textId="77777777" w:rsidR="004C062F" w:rsidRDefault="005945A8">
          <w:pPr>
            <w:pStyle w:val="FirstFooter"/>
            <w:tabs>
              <w:tab w:val="left" w:pos="2302"/>
            </w:tabs>
            <w:ind w:left="2302" w:hanging="2302"/>
            <w:rPr>
              <w:sz w:val="18"/>
              <w:szCs w:val="18"/>
              <w:lang w:val="en-US"/>
            </w:rPr>
          </w:pPr>
          <w:proofErr w:type="spellStart"/>
          <w:r>
            <w:rPr>
              <w:rFonts w:hint="eastAsia"/>
              <w:sz w:val="18"/>
              <w:szCs w:val="18"/>
            </w:rPr>
            <w:t>组织</w:t>
          </w:r>
          <w:proofErr w:type="spellEnd"/>
          <w:r>
            <w:rPr>
              <w:sz w:val="18"/>
              <w:szCs w:val="18"/>
            </w:rPr>
            <w:t>/</w:t>
          </w:r>
          <w:proofErr w:type="spellStart"/>
          <w:r>
            <w:rPr>
              <w:rFonts w:hint="eastAsia"/>
              <w:sz w:val="18"/>
              <w:szCs w:val="18"/>
            </w:rPr>
            <w:t>实体</w:t>
          </w:r>
          <w:proofErr w:type="spellEnd"/>
          <w:r>
            <w:rPr>
              <w:sz w:val="18"/>
              <w:szCs w:val="18"/>
            </w:rPr>
            <w:t>/</w:t>
          </w:r>
          <w:proofErr w:type="spellStart"/>
          <w:r>
            <w:rPr>
              <w:rFonts w:hint="eastAsia"/>
              <w:sz w:val="18"/>
              <w:szCs w:val="18"/>
            </w:rPr>
            <w:t>姓名</w:t>
          </w:r>
          <w:proofErr w:type="spellEnd"/>
          <w:r>
            <w:rPr>
              <w:rFonts w:hint="eastAsia"/>
              <w:sz w:val="18"/>
              <w:szCs w:val="18"/>
            </w:rPr>
            <w:t>：</w:t>
          </w:r>
        </w:p>
      </w:tc>
      <w:tc>
        <w:tcPr>
          <w:tcW w:w="5987" w:type="dxa"/>
          <w:tcBorders>
            <w:top w:val="single" w:sz="4" w:space="0" w:color="000000"/>
          </w:tcBorders>
        </w:tcPr>
        <w:p w14:paraId="7AC07C8F" w14:textId="77777777" w:rsidR="004C062F" w:rsidRDefault="005945A8">
          <w:pPr>
            <w:pStyle w:val="FirstFooter"/>
            <w:tabs>
              <w:tab w:val="left" w:pos="2302"/>
            </w:tabs>
            <w:rPr>
              <w:sz w:val="18"/>
              <w:szCs w:val="18"/>
              <w:lang w:val="en-US" w:eastAsia="zh-CN"/>
            </w:rPr>
          </w:pPr>
          <w:r>
            <w:rPr>
              <w:rFonts w:hint="eastAsia"/>
              <w:sz w:val="18"/>
              <w:szCs w:val="18"/>
              <w:lang w:val="en-US" w:eastAsia="zh-CN"/>
            </w:rPr>
            <w:t>电信发展局数字创新生态系统资深协调员</w:t>
          </w:r>
          <w:r>
            <w:rPr>
              <w:rFonts w:hint="eastAsia"/>
              <w:sz w:val="18"/>
              <w:szCs w:val="18"/>
              <w:lang w:val="en-US" w:eastAsia="zh-CN"/>
            </w:rPr>
            <w:t>Mohamed Ba</w:t>
          </w:r>
          <w:r>
            <w:rPr>
              <w:rFonts w:hint="eastAsia"/>
              <w:sz w:val="18"/>
              <w:szCs w:val="18"/>
              <w:lang w:val="en-US" w:eastAsia="zh-CN"/>
            </w:rPr>
            <w:t>先生</w:t>
          </w:r>
        </w:p>
      </w:tc>
      <w:bookmarkStart w:id="5" w:name="OrgName"/>
      <w:bookmarkEnd w:id="5"/>
    </w:tr>
    <w:tr w:rsidR="004C062F" w14:paraId="59E6DAD4" w14:textId="77777777">
      <w:tc>
        <w:tcPr>
          <w:tcW w:w="1526" w:type="dxa"/>
          <w:shd w:val="clear" w:color="auto" w:fill="auto"/>
        </w:tcPr>
        <w:p w14:paraId="104BC1E3" w14:textId="77777777" w:rsidR="004C062F" w:rsidRDefault="004C062F">
          <w:pPr>
            <w:pStyle w:val="FirstFooter"/>
            <w:tabs>
              <w:tab w:val="left" w:pos="1559"/>
              <w:tab w:val="left" w:pos="3828"/>
            </w:tabs>
            <w:rPr>
              <w:sz w:val="20"/>
              <w:lang w:val="en-US" w:eastAsia="zh-CN"/>
            </w:rPr>
          </w:pPr>
        </w:p>
      </w:tc>
      <w:tc>
        <w:tcPr>
          <w:tcW w:w="2410" w:type="dxa"/>
          <w:shd w:val="clear" w:color="auto" w:fill="auto"/>
        </w:tcPr>
        <w:p w14:paraId="4559CE46" w14:textId="77777777" w:rsidR="004C062F" w:rsidRDefault="005945A8">
          <w:pPr>
            <w:pStyle w:val="FirstFooter"/>
            <w:tabs>
              <w:tab w:val="left" w:pos="2302"/>
            </w:tabs>
            <w:rPr>
              <w:sz w:val="18"/>
              <w:szCs w:val="18"/>
              <w:lang w:val="en-US"/>
            </w:rPr>
          </w:pPr>
          <w:proofErr w:type="spellStart"/>
          <w:r>
            <w:rPr>
              <w:rFonts w:hint="eastAsia"/>
              <w:sz w:val="18"/>
              <w:szCs w:val="18"/>
            </w:rPr>
            <w:t>电话号码</w:t>
          </w:r>
          <w:proofErr w:type="spellEnd"/>
          <w:r>
            <w:rPr>
              <w:rFonts w:hint="eastAsia"/>
              <w:sz w:val="18"/>
              <w:szCs w:val="18"/>
            </w:rPr>
            <w:t>：</w:t>
          </w:r>
        </w:p>
      </w:tc>
      <w:tc>
        <w:tcPr>
          <w:tcW w:w="5987" w:type="dxa"/>
        </w:tcPr>
        <w:p w14:paraId="214B1EBC" w14:textId="77777777" w:rsidR="004C062F" w:rsidRDefault="005945A8">
          <w:pPr>
            <w:pStyle w:val="FirstFooter"/>
            <w:tabs>
              <w:tab w:val="left" w:pos="2302"/>
              <w:tab w:val="left" w:pos="5954"/>
              <w:tab w:val="right" w:pos="9639"/>
            </w:tabs>
            <w:rPr>
              <w:sz w:val="18"/>
              <w:szCs w:val="18"/>
              <w:lang w:val="en-US"/>
            </w:rPr>
          </w:pPr>
          <w:r>
            <w:rPr>
              <w:sz w:val="18"/>
              <w:szCs w:val="18"/>
              <w:lang w:val="en-US"/>
            </w:rPr>
            <w:t>+41 22 730 5338</w:t>
          </w:r>
        </w:p>
      </w:tc>
      <w:bookmarkStart w:id="6" w:name="PhoneNo"/>
      <w:bookmarkEnd w:id="6"/>
    </w:tr>
    <w:tr w:rsidR="004C062F" w14:paraId="519AD609" w14:textId="77777777">
      <w:tc>
        <w:tcPr>
          <w:tcW w:w="1526" w:type="dxa"/>
          <w:shd w:val="clear" w:color="auto" w:fill="auto"/>
        </w:tcPr>
        <w:p w14:paraId="0865CA44" w14:textId="77777777" w:rsidR="004C062F" w:rsidRDefault="004C062F">
          <w:pPr>
            <w:pStyle w:val="FirstFooter"/>
            <w:tabs>
              <w:tab w:val="left" w:pos="1559"/>
              <w:tab w:val="left" w:pos="3828"/>
            </w:tabs>
            <w:rPr>
              <w:sz w:val="20"/>
              <w:lang w:val="en-US"/>
            </w:rPr>
          </w:pPr>
        </w:p>
      </w:tc>
      <w:tc>
        <w:tcPr>
          <w:tcW w:w="2410" w:type="dxa"/>
          <w:shd w:val="clear" w:color="auto" w:fill="auto"/>
        </w:tcPr>
        <w:p w14:paraId="440D3E9C" w14:textId="77777777" w:rsidR="004C062F" w:rsidRDefault="005945A8">
          <w:pPr>
            <w:pStyle w:val="FirstFooter"/>
            <w:tabs>
              <w:tab w:val="left" w:pos="2302"/>
            </w:tabs>
            <w:rPr>
              <w:sz w:val="18"/>
              <w:szCs w:val="18"/>
              <w:lang w:val="en-US"/>
            </w:rPr>
          </w:pPr>
          <w:proofErr w:type="spellStart"/>
          <w:r>
            <w:rPr>
              <w:rFonts w:hint="eastAsia"/>
              <w:sz w:val="18"/>
              <w:szCs w:val="18"/>
            </w:rPr>
            <w:t>电子邮件</w:t>
          </w:r>
          <w:proofErr w:type="spellEnd"/>
          <w:r>
            <w:rPr>
              <w:rFonts w:hint="eastAsia"/>
              <w:sz w:val="18"/>
              <w:szCs w:val="18"/>
            </w:rPr>
            <w:t>：</w:t>
          </w:r>
        </w:p>
      </w:tc>
      <w:tc>
        <w:tcPr>
          <w:tcW w:w="5987" w:type="dxa"/>
        </w:tcPr>
        <w:p w14:paraId="4B27D172" w14:textId="77777777" w:rsidR="004C062F" w:rsidRDefault="005945A8">
          <w:pPr>
            <w:pStyle w:val="FirstFooter"/>
            <w:tabs>
              <w:tab w:val="left" w:pos="2302"/>
              <w:tab w:val="left" w:pos="5954"/>
              <w:tab w:val="right" w:pos="9639"/>
            </w:tabs>
            <w:rPr>
              <w:sz w:val="18"/>
              <w:szCs w:val="18"/>
              <w:lang w:val="en-US"/>
            </w:rPr>
          </w:pPr>
          <w:hyperlink r:id="rId1" w:history="1">
            <w:r>
              <w:rPr>
                <w:rStyle w:val="Hyperlink"/>
                <w:sz w:val="18"/>
                <w:szCs w:val="18"/>
                <w:lang w:val="en-US"/>
              </w:rPr>
              <w:t>mohamed.ba@itu.int</w:t>
            </w:r>
          </w:hyperlink>
          <w:r>
            <w:rPr>
              <w:sz w:val="18"/>
              <w:szCs w:val="18"/>
              <w:lang w:val="en-US"/>
            </w:rPr>
            <w:t xml:space="preserve"> </w:t>
          </w:r>
        </w:p>
      </w:tc>
      <w:bookmarkStart w:id="7" w:name="Email"/>
      <w:bookmarkEnd w:id="7"/>
    </w:tr>
  </w:tbl>
  <w:p w14:paraId="3C11E605" w14:textId="77777777" w:rsidR="004C062F" w:rsidRDefault="004C062F">
    <w:pPr>
      <w:pStyle w:val="Footer"/>
      <w:jc w:val="center"/>
      <w:rPr>
        <w:lang w:val="en-GB"/>
      </w:rPr>
    </w:pPr>
  </w:p>
  <w:p w14:paraId="15B223FD" w14:textId="77777777" w:rsidR="004C062F" w:rsidRDefault="005945A8">
    <w:pPr>
      <w:pStyle w:val="Footer"/>
      <w:jc w:val="center"/>
      <w:rPr>
        <w:lang w:val="en-GB"/>
      </w:rPr>
    </w:pPr>
    <w:hyperlink r:id="rId2" w:history="1">
      <w:r>
        <w:rPr>
          <w:rStyle w:val="Hyperlink"/>
          <w:caps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373E" w14:textId="77777777" w:rsidR="004C062F" w:rsidRDefault="005945A8">
      <w:pPr>
        <w:spacing w:before="0"/>
      </w:pPr>
      <w:r>
        <w:separator/>
      </w:r>
    </w:p>
  </w:footnote>
  <w:footnote w:type="continuationSeparator" w:id="0">
    <w:p w14:paraId="02469BAF" w14:textId="77777777" w:rsidR="004C062F" w:rsidRDefault="005945A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3331" w14:textId="77777777" w:rsidR="004C062F" w:rsidRDefault="004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5432" w14:textId="77777777" w:rsidR="004C062F" w:rsidRDefault="005945A8">
    <w:pPr>
      <w:tabs>
        <w:tab w:val="clear" w:pos="794"/>
        <w:tab w:val="clear" w:pos="1191"/>
        <w:tab w:val="clear" w:pos="1588"/>
        <w:tab w:val="clear" w:pos="1985"/>
        <w:tab w:val="center" w:pos="4820"/>
        <w:tab w:val="right" w:pos="9639"/>
      </w:tabs>
      <w:ind w:right="1"/>
      <w:rPr>
        <w:rStyle w:val="PageNumber"/>
      </w:rPr>
    </w:pPr>
    <w:r>
      <w:rPr>
        <w:sz w:val="22"/>
        <w:szCs w:val="22"/>
      </w:rPr>
      <w:tab/>
    </w:r>
    <w:r>
      <w:rPr>
        <w:sz w:val="22"/>
        <w:szCs w:val="22"/>
        <w:lang w:val="de-CH"/>
      </w:rPr>
      <w:t>TDAG-</w:t>
    </w:r>
    <w:r>
      <w:rPr>
        <w:rFonts w:hint="eastAsia"/>
        <w:sz w:val="22"/>
        <w:szCs w:val="22"/>
        <w:lang w:val="en-US" w:eastAsia="zh-CN"/>
      </w:rPr>
      <w:t>24</w:t>
    </w:r>
    <w:r>
      <w:rPr>
        <w:sz w:val="22"/>
        <w:szCs w:val="22"/>
        <w:lang w:val="de-CH"/>
      </w:rPr>
      <w:t>/</w:t>
    </w:r>
    <w:r>
      <w:rPr>
        <w:rFonts w:hint="eastAsia"/>
        <w:sz w:val="22"/>
        <w:szCs w:val="22"/>
        <w:lang w:val="en-US" w:eastAsia="zh-CN"/>
      </w:rPr>
      <w:t>16</w:t>
    </w:r>
    <w:r>
      <w:rPr>
        <w:sz w:val="22"/>
        <w:szCs w:val="22"/>
        <w:lang w:val="de-CH"/>
      </w:rPr>
      <w:t>-</w:t>
    </w:r>
    <w:r>
      <w:rPr>
        <w:rFonts w:hint="eastAsia"/>
        <w:sz w:val="22"/>
        <w:szCs w:val="22"/>
        <w:lang w:val="de-CH" w:eastAsia="zh-CN"/>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lang w:val="de-CH"/>
      </w:rPr>
      <w:t>2</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1D6D"/>
    <w:multiLevelType w:val="multilevel"/>
    <w:tmpl w:val="1B471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8DF52A8"/>
    <w:multiLevelType w:val="multilevel"/>
    <w:tmpl w:val="48DF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6E1659"/>
    <w:multiLevelType w:val="multilevel"/>
    <w:tmpl w:val="4E6E16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A7755FB"/>
    <w:multiLevelType w:val="multilevel"/>
    <w:tmpl w:val="5A7755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CFF1BD0"/>
    <w:multiLevelType w:val="multilevel"/>
    <w:tmpl w:val="7CFF1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0182980">
    <w:abstractNumId w:val="4"/>
  </w:num>
  <w:num w:numId="2" w16cid:durableId="696659472">
    <w:abstractNumId w:val="0"/>
    <w:lvlOverride w:ilvl="0">
      <w:lvl w:ilvl="0">
        <w:start w:val="1"/>
        <w:numFmt w:val="bullet"/>
        <w:lvlText w:val=""/>
        <w:lvlJc w:val="left"/>
        <w:pPr>
          <w:ind w:left="720" w:hanging="360"/>
        </w:pPr>
        <w:rPr>
          <w:rFonts w:ascii="Symbol" w:hAnsi="Symbol" w:hint="default"/>
        </w:rPr>
      </w:lvl>
    </w:lvlOverride>
  </w:num>
  <w:num w:numId="3" w16cid:durableId="537162722">
    <w:abstractNumId w:val="0"/>
  </w:num>
  <w:num w:numId="4" w16cid:durableId="1648171340">
    <w:abstractNumId w:val="2"/>
  </w:num>
  <w:num w:numId="5" w16cid:durableId="1930305108">
    <w:abstractNumId w:val="1"/>
  </w:num>
  <w:num w:numId="6" w16cid:durableId="208942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62F"/>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5A8"/>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469E9"/>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9A"/>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4A9C"/>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33E69D6"/>
    <w:rsid w:val="03FF1DA7"/>
    <w:rsid w:val="05B60A3D"/>
    <w:rsid w:val="07C35EAF"/>
    <w:rsid w:val="088D62DB"/>
    <w:rsid w:val="09047D11"/>
    <w:rsid w:val="0AE220C1"/>
    <w:rsid w:val="0F76680B"/>
    <w:rsid w:val="10030B85"/>
    <w:rsid w:val="102812CD"/>
    <w:rsid w:val="14720422"/>
    <w:rsid w:val="14DA61BB"/>
    <w:rsid w:val="18CD013D"/>
    <w:rsid w:val="1A112A6C"/>
    <w:rsid w:val="1ADF05DE"/>
    <w:rsid w:val="1BF03282"/>
    <w:rsid w:val="1CF7709A"/>
    <w:rsid w:val="1EEF5F5A"/>
    <w:rsid w:val="228C2DF9"/>
    <w:rsid w:val="22BC3B4B"/>
    <w:rsid w:val="22E73BCC"/>
    <w:rsid w:val="22E7611F"/>
    <w:rsid w:val="230E580F"/>
    <w:rsid w:val="26D51FEF"/>
    <w:rsid w:val="2A6C2D90"/>
    <w:rsid w:val="2A935D7C"/>
    <w:rsid w:val="2AA657E7"/>
    <w:rsid w:val="2CEF4265"/>
    <w:rsid w:val="2DD448FF"/>
    <w:rsid w:val="2FCD2F40"/>
    <w:rsid w:val="318F4B99"/>
    <w:rsid w:val="345C6C80"/>
    <w:rsid w:val="38733523"/>
    <w:rsid w:val="3C8D7A42"/>
    <w:rsid w:val="3DED0BBD"/>
    <w:rsid w:val="429E310A"/>
    <w:rsid w:val="43E048FB"/>
    <w:rsid w:val="49D52340"/>
    <w:rsid w:val="4A4A48DA"/>
    <w:rsid w:val="4B492087"/>
    <w:rsid w:val="4E514B71"/>
    <w:rsid w:val="4E8F31A6"/>
    <w:rsid w:val="55C027DF"/>
    <w:rsid w:val="598F0B2E"/>
    <w:rsid w:val="5C216BFF"/>
    <w:rsid w:val="5D3A0AD3"/>
    <w:rsid w:val="6267026A"/>
    <w:rsid w:val="62B9483E"/>
    <w:rsid w:val="635E4C51"/>
    <w:rsid w:val="644C4C33"/>
    <w:rsid w:val="65717652"/>
    <w:rsid w:val="658C465F"/>
    <w:rsid w:val="66F35343"/>
    <w:rsid w:val="67096FB5"/>
    <w:rsid w:val="68DB1E5C"/>
    <w:rsid w:val="6968255A"/>
    <w:rsid w:val="6A5E5D0F"/>
    <w:rsid w:val="6B24239A"/>
    <w:rsid w:val="6D75764E"/>
    <w:rsid w:val="6DFC33BF"/>
    <w:rsid w:val="6E095E0A"/>
    <w:rsid w:val="6EEB6121"/>
    <w:rsid w:val="7116095D"/>
    <w:rsid w:val="713752AB"/>
    <w:rsid w:val="752B720E"/>
    <w:rsid w:val="7774500B"/>
    <w:rsid w:val="7828133E"/>
    <w:rsid w:val="79723366"/>
    <w:rsid w:val="79996161"/>
    <w:rsid w:val="7B47340A"/>
    <w:rsid w:val="7DC73DA7"/>
    <w:rsid w:val="7E60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20DC6"/>
  <w15:docId w15:val="{5BB936FC-203C-465C-8CC6-1E9EA8A6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autoRedefine/>
    <w:qFormat/>
    <w:pPr>
      <w:keepNext/>
      <w:keepLines/>
      <w:spacing w:before="280"/>
      <w:ind w:left="794" w:hanging="794"/>
      <w:outlineLvl w:val="0"/>
    </w:pPr>
    <w:rPr>
      <w:b/>
      <w:sz w:val="28"/>
    </w:rPr>
  </w:style>
  <w:style w:type="paragraph" w:styleId="Heading2">
    <w:name w:val="heading 2"/>
    <w:basedOn w:val="Heading1"/>
    <w:next w:val="Normal"/>
    <w:autoRedefine/>
    <w:qFormat/>
    <w:pPr>
      <w:spacing w:before="200"/>
      <w:outlineLvl w:val="1"/>
    </w:pPr>
    <w:rPr>
      <w:sz w:val="24"/>
    </w:rPr>
  </w:style>
  <w:style w:type="paragraph" w:styleId="Heading3">
    <w:name w:val="heading 3"/>
    <w:basedOn w:val="Heading1"/>
    <w:next w:val="Normal"/>
    <w:autoRedefine/>
    <w:qFormat/>
    <w:pPr>
      <w:spacing w:before="200"/>
      <w:outlineLvl w:val="2"/>
    </w:pPr>
    <w:rPr>
      <w:sz w:val="24"/>
    </w:rPr>
  </w:style>
  <w:style w:type="paragraph" w:styleId="Heading4">
    <w:name w:val="heading 4"/>
    <w:basedOn w:val="Heading3"/>
    <w:next w:val="Normal"/>
    <w:autoRedefine/>
    <w:qFormat/>
    <w:pPr>
      <w:tabs>
        <w:tab w:val="clear" w:pos="794"/>
        <w:tab w:val="left" w:pos="992"/>
      </w:tabs>
      <w:ind w:left="992" w:hanging="992"/>
      <w:outlineLvl w:val="3"/>
    </w:pPr>
  </w:style>
  <w:style w:type="paragraph" w:styleId="Heading5">
    <w:name w:val="heading 5"/>
    <w:basedOn w:val="Heading4"/>
    <w:next w:val="Normal"/>
    <w:autoRedefine/>
    <w:qFormat/>
    <w:pPr>
      <w:outlineLvl w:val="4"/>
    </w:pPr>
  </w:style>
  <w:style w:type="paragraph" w:styleId="Heading6">
    <w:name w:val="heading 6"/>
    <w:basedOn w:val="Heading4"/>
    <w:next w:val="Normal"/>
    <w:autoRedefine/>
    <w:qFormat/>
    <w:pPr>
      <w:tabs>
        <w:tab w:val="clear" w:pos="992"/>
        <w:tab w:val="clear" w:pos="1191"/>
      </w:tabs>
      <w:ind w:left="1588" w:hanging="1588"/>
      <w:outlineLvl w:val="5"/>
    </w:pPr>
  </w:style>
  <w:style w:type="paragraph" w:styleId="Heading7">
    <w:name w:val="heading 7"/>
    <w:basedOn w:val="Heading6"/>
    <w:next w:val="Normal"/>
    <w:autoRedefine/>
    <w:qFormat/>
    <w:pPr>
      <w:outlineLvl w:val="6"/>
    </w:pPr>
  </w:style>
  <w:style w:type="paragraph" w:styleId="Heading8">
    <w:name w:val="heading 8"/>
    <w:basedOn w:val="Heading6"/>
    <w:next w:val="Normal"/>
    <w:autoRedefine/>
    <w:qFormat/>
    <w:pPr>
      <w:outlineLvl w:val="7"/>
    </w:pPr>
  </w:style>
  <w:style w:type="paragraph" w:styleId="Heading9">
    <w:name w:val="heading 9"/>
    <w:basedOn w:val="Heading6"/>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autoRedefine/>
    <w:semiHidden/>
    <w:qFormat/>
  </w:style>
  <w:style w:type="paragraph" w:styleId="TOC4">
    <w:name w:val="toc 4"/>
    <w:basedOn w:val="TOC3"/>
    <w:autoRedefine/>
    <w:semiHidden/>
    <w:qFormat/>
  </w:style>
  <w:style w:type="paragraph" w:styleId="TOC3">
    <w:name w:val="toc 3"/>
    <w:basedOn w:val="TOC2"/>
    <w:autoRedefine/>
    <w:qFormat/>
  </w:style>
  <w:style w:type="paragraph" w:styleId="TOC2">
    <w:name w:val="toc 2"/>
    <w:basedOn w:val="TOC1"/>
    <w:autoRedefine/>
    <w:qFormat/>
    <w:pPr>
      <w:spacing w:before="120"/>
    </w:pPr>
  </w:style>
  <w:style w:type="paragraph" w:styleId="TOC1">
    <w:name w:val="toc 1"/>
    <w:basedOn w:val="Normal"/>
    <w:autoRedefine/>
    <w:qFormat/>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NormalIndent">
    <w:name w:val="Normal Indent"/>
    <w:basedOn w:val="Normal"/>
    <w:autoRedefine/>
    <w:qFormat/>
    <w:pPr>
      <w:ind w:left="794"/>
    </w:pPr>
  </w:style>
  <w:style w:type="paragraph" w:styleId="Index5">
    <w:name w:val="index 5"/>
    <w:basedOn w:val="Normal"/>
    <w:next w:val="Normal"/>
    <w:autoRedefine/>
    <w:semiHidden/>
    <w:qFormat/>
    <w:pPr>
      <w:ind w:left="1132"/>
    </w:pPr>
  </w:style>
  <w:style w:type="paragraph" w:styleId="Index6">
    <w:name w:val="index 6"/>
    <w:basedOn w:val="Normal"/>
    <w:next w:val="Normal"/>
    <w:autoRedefine/>
    <w:semiHidden/>
    <w:qFormat/>
    <w:pPr>
      <w:ind w:left="1415"/>
    </w:pPr>
  </w:style>
  <w:style w:type="paragraph" w:styleId="Index4">
    <w:name w:val="index 4"/>
    <w:basedOn w:val="Normal"/>
    <w:next w:val="Normal"/>
    <w:autoRedefine/>
    <w:semiHidden/>
    <w:qFormat/>
    <w:pPr>
      <w:ind w:left="849"/>
    </w:pPr>
  </w:style>
  <w:style w:type="paragraph" w:styleId="TOC5">
    <w:name w:val="toc 5"/>
    <w:basedOn w:val="TOC4"/>
    <w:autoRedefine/>
    <w:semiHidden/>
    <w:qFormat/>
  </w:style>
  <w:style w:type="paragraph" w:styleId="TOC8">
    <w:name w:val="toc 8"/>
    <w:basedOn w:val="TOC4"/>
    <w:autoRedefine/>
    <w:semiHidden/>
    <w:qFormat/>
  </w:style>
  <w:style w:type="paragraph" w:styleId="Index3">
    <w:name w:val="index 3"/>
    <w:basedOn w:val="Normal"/>
    <w:next w:val="Normal"/>
    <w:autoRedefine/>
    <w:semiHidden/>
    <w:qFormat/>
    <w:pPr>
      <w:ind w:left="566"/>
    </w:pPr>
  </w:style>
  <w:style w:type="paragraph" w:styleId="Footer">
    <w:name w:val="footer"/>
    <w:basedOn w:val="Normal"/>
    <w:link w:val="FooterChar"/>
    <w:autoRedefine/>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autoRedefine/>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autoRedefine/>
    <w:semiHidden/>
    <w:qFormat/>
  </w:style>
  <w:style w:type="paragraph" w:styleId="Index1">
    <w:name w:val="index 1"/>
    <w:basedOn w:val="Normal"/>
    <w:next w:val="Normal"/>
    <w:autoRedefine/>
    <w:semiHidden/>
    <w:qFormat/>
  </w:style>
  <w:style w:type="paragraph" w:styleId="FootnoteText">
    <w:name w:val="footnote text"/>
    <w:basedOn w:val="Normal"/>
    <w:autoRedefine/>
    <w:qFormat/>
    <w:pPr>
      <w:keepLines/>
      <w:tabs>
        <w:tab w:val="left" w:pos="255"/>
      </w:tabs>
      <w:ind w:left="255" w:hanging="255"/>
    </w:pPr>
  </w:style>
  <w:style w:type="paragraph" w:styleId="TOC6">
    <w:name w:val="toc 6"/>
    <w:basedOn w:val="TOC4"/>
    <w:autoRedefine/>
    <w:semiHidden/>
    <w:qFormat/>
  </w:style>
  <w:style w:type="paragraph" w:styleId="Index7">
    <w:name w:val="index 7"/>
    <w:basedOn w:val="Normal"/>
    <w:next w:val="Normal"/>
    <w:autoRedefine/>
    <w:semiHidden/>
    <w:qFormat/>
    <w:pPr>
      <w:ind w:left="1698"/>
    </w:pPr>
  </w:style>
  <w:style w:type="paragraph" w:styleId="TOC9">
    <w:name w:val="toc 9"/>
    <w:basedOn w:val="TOC3"/>
    <w:next w:val="Normal"/>
    <w:autoRedefine/>
    <w:semiHidden/>
    <w:qFormat/>
  </w:style>
  <w:style w:type="paragraph" w:styleId="Index2">
    <w:name w:val="index 2"/>
    <w:basedOn w:val="Normal"/>
    <w:next w:val="Normal"/>
    <w:autoRedefine/>
    <w:semiHidden/>
    <w:qFormat/>
    <w:pPr>
      <w:ind w:left="283"/>
    </w:p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autoRedefine/>
    <w:semiHidden/>
    <w:qFormat/>
    <w:rPr>
      <w:vertAlign w:val="superscript"/>
    </w:rPr>
  </w:style>
  <w:style w:type="character" w:styleId="PageNumber">
    <w:name w:val="page number"/>
    <w:basedOn w:val="DefaultParagraphFont"/>
    <w:autoRedefine/>
    <w:qFormat/>
    <w:rPr>
      <w:rFonts w:asciiTheme="minorHAnsi" w:hAnsiTheme="minorHAnsi"/>
    </w:rPr>
  </w:style>
  <w:style w:type="character" w:styleId="FollowedHyperlink">
    <w:name w:val="FollowedHyperlink"/>
    <w:basedOn w:val="DefaultParagraphFont"/>
    <w:autoRedefine/>
    <w:semiHidden/>
    <w:unhideWhenUsed/>
    <w:qFormat/>
    <w:rPr>
      <w:color w:val="800080" w:themeColor="followedHyperlink"/>
      <w:u w:val="single"/>
    </w:rPr>
  </w:style>
  <w:style w:type="character" w:styleId="LineNumber">
    <w:name w:val="line number"/>
    <w:basedOn w:val="DefaultParagraphFont"/>
    <w:autoRedefine/>
    <w:qFormat/>
  </w:style>
  <w:style w:type="character" w:styleId="Hyperlink">
    <w:name w:val="Hyperlink"/>
    <w:basedOn w:val="DefaultParagraphFont"/>
    <w:autoRedefine/>
    <w:uiPriority w:val="99"/>
    <w:qFormat/>
    <w:rPr>
      <w:color w:val="0000FF" w:themeColor="hyperlink"/>
      <w:u w:val="single"/>
    </w:rPr>
  </w:style>
  <w:style w:type="character" w:styleId="FootnoteReference">
    <w:name w:val="footnote reference"/>
    <w:basedOn w:val="DefaultParagraphFont"/>
    <w:autoRedefine/>
    <w:qFormat/>
    <w:rPr>
      <w:rFonts w:asciiTheme="minorHAnsi" w:hAnsiTheme="minorHAnsi"/>
      <w:position w:val="6"/>
      <w:sz w:val="18"/>
    </w:rPr>
  </w:style>
  <w:style w:type="paragraph" w:customStyle="1" w:styleId="enumlev1">
    <w:name w:val="enumlev1"/>
    <w:basedOn w:val="Normal"/>
    <w:autoRedefine/>
    <w:qFormat/>
    <w:pPr>
      <w:spacing w:before="80"/>
      <w:ind w:left="794" w:hanging="794"/>
    </w:pPr>
  </w:style>
  <w:style w:type="paragraph" w:customStyle="1" w:styleId="enumlev2">
    <w:name w:val="enumlev2"/>
    <w:basedOn w:val="enumlev1"/>
    <w:autoRedefine/>
    <w:qFormat/>
    <w:pPr>
      <w:ind w:left="1191" w:hanging="397"/>
    </w:pPr>
  </w:style>
  <w:style w:type="paragraph" w:customStyle="1" w:styleId="enumlev3">
    <w:name w:val="enumlev3"/>
    <w:basedOn w:val="enumlev2"/>
    <w:autoRedefine/>
    <w:qFormat/>
    <w:pPr>
      <w:ind w:left="1588"/>
    </w:pPr>
  </w:style>
  <w:style w:type="paragraph" w:customStyle="1" w:styleId="Normalaftertitle">
    <w:name w:val="Normal after title"/>
    <w:basedOn w:val="Normal"/>
    <w:next w:val="Normal"/>
    <w:autoRedefine/>
    <w:qFormat/>
    <w:pPr>
      <w:spacing w:before="280"/>
    </w:pPr>
  </w:style>
  <w:style w:type="paragraph" w:customStyle="1" w:styleId="Equation">
    <w:name w:val="Equation"/>
    <w:basedOn w:val="Normal"/>
    <w:autoRedefine/>
    <w:qFormat/>
    <w:pPr>
      <w:tabs>
        <w:tab w:val="clear" w:pos="1191"/>
        <w:tab w:val="clear" w:pos="1588"/>
        <w:tab w:val="clear" w:pos="1985"/>
        <w:tab w:val="center" w:pos="4820"/>
        <w:tab w:val="right" w:pos="9639"/>
      </w:tabs>
    </w:pPr>
  </w:style>
  <w:style w:type="paragraph" w:customStyle="1" w:styleId="toc0">
    <w:name w:val="toc 0"/>
    <w:basedOn w:val="Normal"/>
    <w:next w:val="TOC1"/>
    <w:autoRedefine/>
    <w:qFormat/>
    <w:pPr>
      <w:tabs>
        <w:tab w:val="clear" w:pos="794"/>
        <w:tab w:val="clear" w:pos="1191"/>
        <w:tab w:val="clear" w:pos="1588"/>
        <w:tab w:val="clear" w:pos="1985"/>
        <w:tab w:val="right" w:pos="9781"/>
      </w:tabs>
    </w:pPr>
    <w:rPr>
      <w:b/>
    </w:rPr>
  </w:style>
  <w:style w:type="paragraph" w:customStyle="1" w:styleId="AnnexNo">
    <w:name w:val="Annex_No"/>
    <w:basedOn w:val="Normal"/>
    <w:next w:val="Annexref"/>
    <w:autoRedefine/>
    <w:qFormat/>
    <w:pPr>
      <w:keepNext/>
      <w:keepLines/>
      <w:spacing w:before="480" w:after="80"/>
      <w:jc w:val="center"/>
    </w:pPr>
    <w:rPr>
      <w:caps/>
      <w:sz w:val="28"/>
    </w:rPr>
  </w:style>
  <w:style w:type="paragraph" w:customStyle="1" w:styleId="Annexref">
    <w:name w:val="Annex_ref"/>
    <w:basedOn w:val="Normal"/>
    <w:next w:val="Annextitle"/>
    <w:autoRedefine/>
    <w:qFormat/>
    <w:pPr>
      <w:keepNext/>
      <w:keepLines/>
      <w:spacing w:after="280"/>
      <w:jc w:val="center"/>
    </w:pPr>
  </w:style>
  <w:style w:type="paragraph" w:customStyle="1" w:styleId="Annextitle">
    <w:name w:val="Annex_title"/>
    <w:basedOn w:val="Normal"/>
    <w:next w:val="Normalaftertitle"/>
    <w:autoRedefine/>
    <w:qFormat/>
    <w:pPr>
      <w:keepNext/>
      <w:keepLines/>
      <w:spacing w:before="240" w:after="280"/>
      <w:jc w:val="center"/>
    </w:pPr>
    <w:rPr>
      <w:b/>
      <w:sz w:val="28"/>
    </w:rPr>
  </w:style>
  <w:style w:type="paragraph" w:customStyle="1" w:styleId="ASN1">
    <w:name w:val="ASN.1"/>
    <w:basedOn w:val="Normal"/>
    <w:autoRedefine/>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autoRedefine/>
    <w:qFormat/>
    <w:pPr>
      <w:spacing w:before="80"/>
    </w:pPr>
  </w:style>
  <w:style w:type="paragraph" w:customStyle="1" w:styleId="Source">
    <w:name w:val="Source"/>
    <w:basedOn w:val="Normal"/>
    <w:next w:val="Normalaftertitle"/>
    <w:autoRedefine/>
    <w:qFormat/>
    <w:pPr>
      <w:spacing w:before="240" w:after="240"/>
      <w:jc w:val="center"/>
    </w:pPr>
    <w:rPr>
      <w:b/>
      <w:sz w:val="28"/>
    </w:rPr>
  </w:style>
  <w:style w:type="paragraph" w:customStyle="1" w:styleId="Title1">
    <w:name w:val="Title 1"/>
    <w:basedOn w:val="Source"/>
    <w:next w:val="Title2"/>
    <w:autoRedefine/>
    <w:qFormat/>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autoRedefine/>
    <w:qFormat/>
  </w:style>
  <w:style w:type="paragraph" w:customStyle="1" w:styleId="Title3">
    <w:name w:val="Title 3"/>
    <w:basedOn w:val="Title2"/>
    <w:next w:val="Title4"/>
    <w:autoRedefine/>
    <w:qFormat/>
  </w:style>
  <w:style w:type="paragraph" w:customStyle="1" w:styleId="Title4">
    <w:name w:val="Title 4"/>
    <w:basedOn w:val="Title3"/>
    <w:next w:val="Heading1"/>
    <w:autoRedefine/>
    <w:qFormat/>
  </w:style>
  <w:style w:type="paragraph" w:customStyle="1" w:styleId="FirstFooter">
    <w:name w:val="FirstFooter"/>
    <w:basedOn w:val="Footer"/>
    <w:autoRedefine/>
    <w:qFormat/>
    <w:pPr>
      <w:tabs>
        <w:tab w:val="clear" w:pos="5954"/>
        <w:tab w:val="clear" w:pos="9639"/>
      </w:tabs>
      <w:overflowPunct/>
      <w:autoSpaceDE/>
      <w:autoSpaceDN/>
      <w:adjustRightInd/>
      <w:spacing w:before="40"/>
      <w:textAlignment w:val="auto"/>
    </w:pPr>
    <w:rPr>
      <w:caps w:val="0"/>
    </w:rPr>
  </w:style>
  <w:style w:type="character" w:customStyle="1" w:styleId="Appdef">
    <w:name w:val="App_def"/>
    <w:basedOn w:val="DefaultParagraphFont"/>
    <w:autoRedefine/>
    <w:qFormat/>
    <w:rPr>
      <w:rFonts w:asciiTheme="minorHAnsi" w:hAnsiTheme="minorHAnsi"/>
      <w:b/>
    </w:rPr>
  </w:style>
  <w:style w:type="character" w:customStyle="1" w:styleId="Appref">
    <w:name w:val="App_ref"/>
    <w:basedOn w:val="DefaultParagraphFont"/>
    <w:autoRedefine/>
    <w:qFormat/>
    <w:rPr>
      <w:rFonts w:asciiTheme="minorHAnsi" w:hAnsiTheme="minorHAnsi"/>
    </w:rPr>
  </w:style>
  <w:style w:type="paragraph" w:customStyle="1" w:styleId="AppendixNo">
    <w:name w:val="Appendix_No"/>
    <w:basedOn w:val="AnnexNo"/>
    <w:next w:val="Annexref"/>
    <w:autoRedefine/>
    <w:qFormat/>
  </w:style>
  <w:style w:type="paragraph" w:customStyle="1" w:styleId="Appendixref">
    <w:name w:val="Appendix_ref"/>
    <w:basedOn w:val="Annexref"/>
    <w:next w:val="Annextitle"/>
    <w:autoRedefine/>
    <w:qFormat/>
  </w:style>
  <w:style w:type="paragraph" w:customStyle="1" w:styleId="Appendixtitle">
    <w:name w:val="Appendix_title"/>
    <w:basedOn w:val="Annextitle"/>
    <w:next w:val="Normalaftertitle"/>
    <w:autoRedefine/>
    <w:qFormat/>
  </w:style>
  <w:style w:type="character" w:customStyle="1" w:styleId="Artdef">
    <w:name w:val="Art_def"/>
    <w:basedOn w:val="DefaultParagraphFont"/>
    <w:autoRedefine/>
    <w:qFormat/>
    <w:rPr>
      <w:rFonts w:asciiTheme="minorHAnsi" w:hAnsiTheme="minorHAnsi"/>
      <w:b/>
    </w:rPr>
  </w:style>
  <w:style w:type="paragraph" w:customStyle="1" w:styleId="Artheading">
    <w:name w:val="Art_heading"/>
    <w:basedOn w:val="Normal"/>
    <w:next w:val="Normalaftertitle"/>
    <w:autoRedefine/>
    <w:qFormat/>
    <w:pPr>
      <w:spacing w:before="480"/>
      <w:jc w:val="center"/>
    </w:pPr>
    <w:rPr>
      <w:b/>
      <w:sz w:val="28"/>
    </w:rPr>
  </w:style>
  <w:style w:type="paragraph" w:customStyle="1" w:styleId="ArtNo">
    <w:name w:val="Art_No"/>
    <w:basedOn w:val="Normal"/>
    <w:next w:val="Arttitle"/>
    <w:autoRedefine/>
    <w:qFormat/>
    <w:pPr>
      <w:keepNext/>
      <w:keepLines/>
      <w:spacing w:before="480"/>
      <w:jc w:val="center"/>
    </w:pPr>
    <w:rPr>
      <w:caps/>
      <w:sz w:val="28"/>
    </w:rPr>
  </w:style>
  <w:style w:type="paragraph" w:customStyle="1" w:styleId="Arttitle">
    <w:name w:val="Art_title"/>
    <w:basedOn w:val="Normal"/>
    <w:next w:val="Normalaftertitle"/>
    <w:autoRedefine/>
    <w:qFormat/>
    <w:pPr>
      <w:keepNext/>
      <w:keepLines/>
      <w:spacing w:before="240"/>
      <w:jc w:val="center"/>
    </w:pPr>
    <w:rPr>
      <w:b/>
      <w:sz w:val="28"/>
    </w:rPr>
  </w:style>
  <w:style w:type="character" w:customStyle="1" w:styleId="Artref">
    <w:name w:val="Art_ref"/>
    <w:basedOn w:val="DefaultParagraphFont"/>
    <w:autoRedefine/>
    <w:qFormat/>
  </w:style>
  <w:style w:type="paragraph" w:customStyle="1" w:styleId="Call">
    <w:name w:val="Call"/>
    <w:basedOn w:val="Normal"/>
    <w:next w:val="Normal"/>
    <w:autoRedefine/>
    <w:qFormat/>
    <w:pPr>
      <w:keepNext/>
      <w:keepLines/>
      <w:spacing w:before="160"/>
      <w:ind w:left="794"/>
    </w:pPr>
    <w:rPr>
      <w:rFonts w:eastAsia="STKaiti"/>
      <w:i/>
    </w:rPr>
  </w:style>
  <w:style w:type="paragraph" w:customStyle="1" w:styleId="ChapNo">
    <w:name w:val="Chap_No"/>
    <w:basedOn w:val="ArtNo"/>
    <w:next w:val="Chaptitle"/>
    <w:autoRedefine/>
    <w:qFormat/>
    <w:rPr>
      <w:b/>
    </w:rPr>
  </w:style>
  <w:style w:type="paragraph" w:customStyle="1" w:styleId="Chaptitle">
    <w:name w:val="Chap_title"/>
    <w:basedOn w:val="Arttitle"/>
    <w:next w:val="Normalaftertitle"/>
    <w:autoRedefine/>
    <w:qFormat/>
  </w:style>
  <w:style w:type="paragraph" w:customStyle="1" w:styleId="ddate">
    <w:name w:val="ddate"/>
    <w:basedOn w:val="Normal"/>
    <w:autoRedefine/>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autoRedefine/>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autoRedefine/>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Equationlegend">
    <w:name w:val="Equation_legend"/>
    <w:basedOn w:val="Normal"/>
    <w:autoRedefine/>
    <w:qFormat/>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autoRedefine/>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autoRedefine/>
    <w:qFormat/>
    <w:pPr>
      <w:keepNext/>
      <w:keepLines/>
      <w:spacing w:before="480" w:after="120"/>
      <w:jc w:val="center"/>
    </w:pPr>
    <w:rPr>
      <w:caps/>
    </w:rPr>
  </w:style>
  <w:style w:type="paragraph" w:customStyle="1" w:styleId="Figuretitle">
    <w:name w:val="Figure_title"/>
    <w:basedOn w:val="Tabletitle"/>
    <w:next w:val="Normal"/>
    <w:autoRedefine/>
    <w:qFormat/>
    <w:pPr>
      <w:keepNext w:val="0"/>
      <w:spacing w:after="480"/>
    </w:pPr>
  </w:style>
  <w:style w:type="paragraph" w:customStyle="1" w:styleId="Tabletitle">
    <w:name w:val="Table_title"/>
    <w:basedOn w:val="Normal"/>
    <w:next w:val="Tabletext"/>
    <w:autoRedefine/>
    <w:qFormat/>
    <w:pPr>
      <w:keepNext/>
      <w:keepLines/>
      <w:spacing w:before="0" w:after="120"/>
      <w:jc w:val="center"/>
    </w:pPr>
    <w:rPr>
      <w:b/>
    </w:rPr>
  </w:style>
  <w:style w:type="paragraph" w:customStyle="1" w:styleId="Tabletext">
    <w:name w:val="Table_text"/>
    <w:basedOn w:val="Normal"/>
    <w:autoRedefin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autoRedefine/>
    <w:qFormat/>
    <w:pPr>
      <w:keepNext w:val="0"/>
    </w:pPr>
  </w:style>
  <w:style w:type="paragraph" w:customStyle="1" w:styleId="Headingb">
    <w:name w:val="Heading_b"/>
    <w:basedOn w:val="Normal"/>
    <w:next w:val="Normal"/>
    <w:autoRedefine/>
    <w:qFormat/>
    <w:pPr>
      <w:keepNext/>
      <w:spacing w:before="160"/>
    </w:pPr>
    <w:rPr>
      <w:b/>
    </w:rPr>
  </w:style>
  <w:style w:type="paragraph" w:customStyle="1" w:styleId="Headingi">
    <w:name w:val="Heading_i"/>
    <w:basedOn w:val="Normal"/>
    <w:next w:val="Normal"/>
    <w:autoRedefine/>
    <w:qFormat/>
    <w:pPr>
      <w:keepNext/>
      <w:spacing w:before="160"/>
    </w:pPr>
    <w:rPr>
      <w:rFonts w:eastAsia="STKaiti"/>
      <w:i/>
    </w:rPr>
  </w:style>
  <w:style w:type="paragraph" w:customStyle="1" w:styleId="PartNo">
    <w:name w:val="Part_No"/>
    <w:basedOn w:val="AnnexNo"/>
    <w:next w:val="Partref"/>
    <w:autoRedefine/>
    <w:qFormat/>
  </w:style>
  <w:style w:type="paragraph" w:customStyle="1" w:styleId="Partref">
    <w:name w:val="Part_ref"/>
    <w:basedOn w:val="Annexref"/>
    <w:next w:val="Parttitle"/>
    <w:autoRedefine/>
    <w:qFormat/>
  </w:style>
  <w:style w:type="paragraph" w:customStyle="1" w:styleId="Parttitle">
    <w:name w:val="Part_title"/>
    <w:basedOn w:val="Annextitle"/>
    <w:next w:val="Normalaftertitle"/>
    <w:autoRedefine/>
    <w:qFormat/>
  </w:style>
  <w:style w:type="paragraph" w:customStyle="1" w:styleId="RecNo">
    <w:name w:val="Rec_No"/>
    <w:basedOn w:val="Normal"/>
    <w:next w:val="Rectitle"/>
    <w:autoRedefine/>
    <w:qFormat/>
    <w:pPr>
      <w:keepNext/>
      <w:keepLines/>
      <w:spacing w:before="480"/>
      <w:jc w:val="center"/>
    </w:pPr>
    <w:rPr>
      <w:caps/>
      <w:sz w:val="28"/>
    </w:rPr>
  </w:style>
  <w:style w:type="paragraph" w:customStyle="1" w:styleId="Rectitle">
    <w:name w:val="Rec_title"/>
    <w:basedOn w:val="RecNo"/>
    <w:next w:val="Recref"/>
    <w:autoRedefine/>
    <w:qFormat/>
    <w:pPr>
      <w:spacing w:before="240"/>
    </w:pPr>
    <w:rPr>
      <w:b/>
      <w:caps w:val="0"/>
    </w:rPr>
  </w:style>
  <w:style w:type="paragraph" w:customStyle="1" w:styleId="Recref">
    <w:name w:val="Rec_ref"/>
    <w:basedOn w:val="Rectitle"/>
    <w:next w:val="Recdate"/>
    <w:autoRedefine/>
    <w:qFormat/>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autoRedefine/>
    <w:qFormat/>
    <w:pPr>
      <w:jc w:val="right"/>
    </w:pPr>
    <w:rPr>
      <w:sz w:val="22"/>
    </w:rPr>
  </w:style>
  <w:style w:type="paragraph" w:customStyle="1" w:styleId="Questiondate">
    <w:name w:val="Question_date"/>
    <w:basedOn w:val="Recdate"/>
    <w:next w:val="Normalaftertitle"/>
    <w:autoRedefine/>
    <w:qFormat/>
  </w:style>
  <w:style w:type="paragraph" w:customStyle="1" w:styleId="QuestionNo">
    <w:name w:val="Question_No"/>
    <w:basedOn w:val="RecNo"/>
    <w:next w:val="Questiontitle"/>
    <w:autoRedefine/>
    <w:qFormat/>
  </w:style>
  <w:style w:type="paragraph" w:customStyle="1" w:styleId="Questiontitle">
    <w:name w:val="Question_title"/>
    <w:basedOn w:val="Rectitle"/>
    <w:next w:val="Questionref"/>
    <w:autoRedefine/>
    <w:qFormat/>
  </w:style>
  <w:style w:type="paragraph" w:customStyle="1" w:styleId="Questionref">
    <w:name w:val="Question_ref"/>
    <w:basedOn w:val="Recref"/>
    <w:next w:val="Questiondate"/>
    <w:autoRedefine/>
    <w:qFormat/>
  </w:style>
  <w:style w:type="character" w:customStyle="1" w:styleId="Recdef">
    <w:name w:val="Rec_def"/>
    <w:basedOn w:val="DefaultParagraphFont"/>
    <w:autoRedefine/>
    <w:qFormat/>
    <w:rPr>
      <w:rFonts w:asciiTheme="minorHAnsi" w:hAnsiTheme="minorHAnsi"/>
      <w:b/>
    </w:rPr>
  </w:style>
  <w:style w:type="paragraph" w:customStyle="1" w:styleId="Reftext">
    <w:name w:val="Ref_text"/>
    <w:basedOn w:val="Normal"/>
    <w:autoRedefine/>
    <w:qFormat/>
    <w:pPr>
      <w:ind w:left="794" w:hanging="794"/>
    </w:pPr>
  </w:style>
  <w:style w:type="paragraph" w:customStyle="1" w:styleId="Reftitle">
    <w:name w:val="Ref_title"/>
    <w:basedOn w:val="Normal"/>
    <w:next w:val="Reftext"/>
    <w:autoRedefine/>
    <w:qFormat/>
    <w:pPr>
      <w:spacing w:before="480"/>
      <w:jc w:val="center"/>
    </w:pPr>
    <w:rPr>
      <w:caps/>
    </w:rPr>
  </w:style>
  <w:style w:type="paragraph" w:customStyle="1" w:styleId="Repdate">
    <w:name w:val="Rep_date"/>
    <w:basedOn w:val="Recdate"/>
    <w:next w:val="Normalaftertitle"/>
    <w:autoRedefine/>
    <w:qFormat/>
  </w:style>
  <w:style w:type="paragraph" w:customStyle="1" w:styleId="RepNo">
    <w:name w:val="Rep_No"/>
    <w:basedOn w:val="RecNo"/>
    <w:next w:val="Reptitle"/>
    <w:autoRedefine/>
    <w:qFormat/>
  </w:style>
  <w:style w:type="paragraph" w:customStyle="1" w:styleId="Reptitle">
    <w:name w:val="Rep_title"/>
    <w:basedOn w:val="Rectitle"/>
    <w:next w:val="Repref"/>
    <w:autoRedefine/>
    <w:qFormat/>
  </w:style>
  <w:style w:type="paragraph" w:customStyle="1" w:styleId="Repref">
    <w:name w:val="Rep_ref"/>
    <w:basedOn w:val="Recref"/>
    <w:next w:val="Repdate"/>
    <w:autoRedefine/>
    <w:qFormat/>
  </w:style>
  <w:style w:type="paragraph" w:customStyle="1" w:styleId="Resdate">
    <w:name w:val="Res_date"/>
    <w:basedOn w:val="Recdate"/>
    <w:next w:val="Normalaftertitle"/>
    <w:autoRedefine/>
    <w:qFormat/>
  </w:style>
  <w:style w:type="character" w:customStyle="1" w:styleId="Resdef">
    <w:name w:val="Res_def"/>
    <w:basedOn w:val="DefaultParagraphFont"/>
    <w:autoRedefine/>
    <w:qFormat/>
    <w:rPr>
      <w:rFonts w:asciiTheme="minorHAnsi" w:hAnsiTheme="minorHAnsi"/>
      <w:b/>
    </w:rPr>
  </w:style>
  <w:style w:type="paragraph" w:customStyle="1" w:styleId="ResNo">
    <w:name w:val="Res_No"/>
    <w:basedOn w:val="RecNo"/>
    <w:next w:val="Restitle"/>
    <w:autoRedefine/>
    <w:qFormat/>
  </w:style>
  <w:style w:type="paragraph" w:customStyle="1" w:styleId="Restitle">
    <w:name w:val="Res_title"/>
    <w:basedOn w:val="Rectitle"/>
    <w:next w:val="Resref"/>
    <w:autoRedefine/>
    <w:qFormat/>
  </w:style>
  <w:style w:type="paragraph" w:customStyle="1" w:styleId="Resref">
    <w:name w:val="Res_ref"/>
    <w:basedOn w:val="Recref"/>
    <w:next w:val="Resdate"/>
    <w:autoRedefine/>
    <w:qFormat/>
  </w:style>
  <w:style w:type="paragraph" w:customStyle="1" w:styleId="SectionNo">
    <w:name w:val="Section_No"/>
    <w:basedOn w:val="AnnexNo"/>
    <w:next w:val="Sectiontitle"/>
    <w:autoRedefine/>
    <w:qFormat/>
  </w:style>
  <w:style w:type="paragraph" w:customStyle="1" w:styleId="Sectiontitle">
    <w:name w:val="Section_title"/>
    <w:basedOn w:val="Annextitle"/>
    <w:next w:val="Normalaftertitle"/>
    <w:autoRedefine/>
    <w:qFormat/>
  </w:style>
  <w:style w:type="paragraph" w:customStyle="1" w:styleId="SpecialFooter">
    <w:name w:val="Special Footer"/>
    <w:basedOn w:val="Footer"/>
    <w:autoRedefine/>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autoRedefine/>
    <w:qFormat/>
    <w:rPr>
      <w:rFonts w:asciiTheme="minorHAnsi" w:hAnsiTheme="minorHAnsi"/>
      <w:b/>
      <w:color w:val="auto"/>
    </w:rPr>
  </w:style>
  <w:style w:type="paragraph" w:customStyle="1" w:styleId="Tablehead">
    <w:name w:val="Table_head"/>
    <w:basedOn w:val="Tabletext"/>
    <w:next w:val="Tabletext"/>
    <w:autoRedefine/>
    <w:qFormat/>
    <w:pPr>
      <w:keepNext/>
      <w:spacing w:before="80" w:after="80"/>
      <w:jc w:val="center"/>
    </w:pPr>
    <w:rPr>
      <w:b/>
    </w:rPr>
  </w:style>
  <w:style w:type="paragraph" w:customStyle="1" w:styleId="Tablelegend">
    <w:name w:val="Table_legend"/>
    <w:basedOn w:val="Tabletext"/>
    <w:autoRedefine/>
    <w:qFormat/>
    <w:pPr>
      <w:spacing w:before="120"/>
    </w:pPr>
  </w:style>
  <w:style w:type="paragraph" w:customStyle="1" w:styleId="TableNo">
    <w:name w:val="Table_No"/>
    <w:basedOn w:val="Normal"/>
    <w:next w:val="Tabletitle"/>
    <w:autoRedefine/>
    <w:qFormat/>
    <w:pPr>
      <w:keepNext/>
      <w:spacing w:before="560" w:after="120"/>
      <w:jc w:val="center"/>
    </w:pPr>
    <w:rPr>
      <w:caps/>
    </w:rPr>
  </w:style>
  <w:style w:type="paragraph" w:customStyle="1" w:styleId="Tableref">
    <w:name w:val="Table_ref"/>
    <w:basedOn w:val="Normal"/>
    <w:next w:val="Tabletitle"/>
    <w:autoRedefine/>
    <w:qFormat/>
    <w:pPr>
      <w:keepNext/>
      <w:spacing w:before="0" w:after="120"/>
      <w:jc w:val="center"/>
    </w:pPr>
  </w:style>
  <w:style w:type="character" w:customStyle="1" w:styleId="HeaderChar">
    <w:name w:val="Header Char"/>
    <w:basedOn w:val="DefaultParagraphFont"/>
    <w:link w:val="Header"/>
    <w:autoRedefine/>
    <w:uiPriority w:val="99"/>
    <w:qFormat/>
    <w:rPr>
      <w:rFonts w:ascii="Times New Roman" w:hAnsi="Times New Roman"/>
      <w:sz w:val="18"/>
      <w:lang w:val="fr-FR" w:eastAsia="en-US"/>
    </w:rPr>
  </w:style>
  <w:style w:type="character" w:customStyle="1" w:styleId="FooterChar">
    <w:name w:val="Footer Char"/>
    <w:basedOn w:val="DefaultParagraphFont"/>
    <w:link w:val="Footer"/>
    <w:autoRedefine/>
    <w:qFormat/>
    <w:rPr>
      <w:rFonts w:ascii="Times New Roman" w:hAnsi="Times New Roman"/>
      <w:caps/>
      <w:sz w:val="16"/>
      <w:lang w:val="fr-FR" w:eastAsia="en-US"/>
    </w:rPr>
  </w:style>
  <w:style w:type="paragraph" w:customStyle="1" w:styleId="Committee">
    <w:name w:val="Committee"/>
    <w:basedOn w:val="Normal"/>
    <w:autoRedefine/>
    <w:qFormat/>
    <w:rPr>
      <w:rFonts w:cs="Times New Roman Bold"/>
      <w:b/>
      <w:caps/>
    </w:rPr>
  </w:style>
  <w:style w:type="paragraph" w:customStyle="1" w:styleId="BDTLogo">
    <w:name w:val="BDT_Logo"/>
    <w:autoRedefine/>
    <w:uiPriority w:val="99"/>
    <w:qFormat/>
    <w:pPr>
      <w:jc w:val="center"/>
    </w:pPr>
    <w:rPr>
      <w:rFonts w:ascii="Calibri" w:eastAsia="SimHei" w:hAnsi="Calibri" w:cs="Simplified Arabic"/>
      <w:sz w:val="22"/>
      <w:szCs w:val="28"/>
      <w:lang w:eastAsia="en-US"/>
    </w:rPr>
  </w:style>
  <w:style w:type="paragraph" w:styleId="ListParagraph">
    <w:name w:val="List Paragraph"/>
    <w:basedOn w:val="Normal"/>
    <w:autoRedefine/>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autoRedefine/>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autoRedefin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autoRedefin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autoRedefine/>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autoRedefine/>
    <w:qFormat/>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autoRedefine/>
    <w:qFormat/>
    <w:pPr>
      <w:tabs>
        <w:tab w:val="clear" w:pos="794"/>
        <w:tab w:val="clear" w:pos="1191"/>
        <w:tab w:val="left" w:pos="1134"/>
        <w:tab w:val="left" w:pos="1871"/>
      </w:tabs>
    </w:pPr>
  </w:style>
  <w:style w:type="paragraph" w:customStyle="1" w:styleId="s21">
    <w:name w:val="s21"/>
    <w:basedOn w:val="Normal"/>
    <w:autoRedefine/>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3">
    <w:name w:val="s23"/>
    <w:basedOn w:val="DefaultParagraphFont"/>
    <w:autoRedefine/>
    <w:qFormat/>
  </w:style>
  <w:style w:type="character" w:customStyle="1" w:styleId="s22">
    <w:name w:val="s22"/>
    <w:basedOn w:val="DefaultParagraphFont"/>
    <w:autoRedefine/>
    <w:qFormat/>
  </w:style>
  <w:style w:type="paragraph" w:customStyle="1" w:styleId="Body">
    <w:name w:val="Body"/>
    <w:autoRedefine/>
    <w:qFormat/>
    <w:pPr>
      <w:spacing w:after="240"/>
    </w:pPr>
    <w:rPr>
      <w:rFonts w:ascii="Avenir Book" w:eastAsia="Arial Unicode MS" w:hAnsi="Avenir Book" w:cs="Arial Unicode MS"/>
      <w:color w:val="000000"/>
      <w:sz w:val="22"/>
      <w:szCs w:val="22"/>
      <w:lang w:eastAsia="en-GB"/>
    </w:rPr>
  </w:style>
  <w:style w:type="paragraph" w:customStyle="1" w:styleId="s19">
    <w:name w:val="s19"/>
    <w:basedOn w:val="Normal"/>
    <w:autoRedefine/>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d/sites/innovation-alliance/events/news/inaugural-board-meetin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itu.int/itu-d/sites/innovation-alliance/events/news/announcement-bo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itu.int/training-courses/full-catalogue/strategic-foresight-1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itu-d/sites/innovation-alliance/events/news/acceleration-centre-event-dub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d/sites/innovation-alliance/events/news/member-communique-2023-septembe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9E266-4D4B-41F2-801B-B55B8C5E50A4}">
  <ds:schemaRefs/>
</ds:datastoreItem>
</file>

<file path=customXml/itemProps2.xml><?xml version="1.0" encoding="utf-8"?>
<ds:datastoreItem xmlns:ds="http://schemas.openxmlformats.org/officeDocument/2006/customXml" ds:itemID="{173BE2B4-113D-4DA0-BEF8-F3C1F06D0711}"/>
</file>

<file path=customXml/itemProps3.xml><?xml version="1.0" encoding="utf-8"?>
<ds:datastoreItem xmlns:ds="http://schemas.openxmlformats.org/officeDocument/2006/customXml" ds:itemID="{B47AE9E4-0DAF-449D-B654-CFD3396E5B4B}"/>
</file>

<file path=docProps/app.xml><?xml version="1.0" encoding="utf-8"?>
<Properties xmlns="http://schemas.openxmlformats.org/officeDocument/2006/extended-properties" xmlns:vt="http://schemas.openxmlformats.org/officeDocument/2006/docPropsVTypes">
  <Template>Normal.dotm</Template>
  <TotalTime>46</TotalTime>
  <Pages>5</Pages>
  <Words>4040</Words>
  <Characters>1071</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Chinese</cp:lastModifiedBy>
  <cp:revision>3</cp:revision>
  <cp:lastPrinted>2014-11-04T09:22:00Z</cp:lastPrinted>
  <dcterms:created xsi:type="dcterms:W3CDTF">2024-04-30T08:12:00Z</dcterms:created>
  <dcterms:modified xsi:type="dcterms:W3CDTF">2024-04-30T08:57:00Z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KSOProductBuildVer">
    <vt:lpwstr>2052-12.1.0.16729</vt:lpwstr>
  </property>
  <property fmtid="{D5CDD505-2E9C-101B-9397-08002B2CF9AE}" pid="9" name="ICV">
    <vt:lpwstr>1EE98731E472481E8E0B94BFF7A42BA5_12</vt:lpwstr>
  </property>
</Properties>
</file>