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6B2CA725" w14:textId="77777777" w:rsidTr="00952667">
        <w:trPr>
          <w:cantSplit/>
          <w:trHeight w:val="1134"/>
        </w:trPr>
        <w:tc>
          <w:tcPr>
            <w:tcW w:w="6379" w:type="dxa"/>
          </w:tcPr>
          <w:p w14:paraId="4CBB7FD7"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0243206"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2023</w:t>
            </w:r>
          </w:p>
        </w:tc>
        <w:tc>
          <w:tcPr>
            <w:tcW w:w="3509" w:type="dxa"/>
          </w:tcPr>
          <w:p w14:paraId="179FDEA2" w14:textId="77777777"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1E2A8598" wp14:editId="6053E34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0CAD5F91" w14:textId="77777777" w:rsidTr="0009076F">
        <w:trPr>
          <w:cantSplit/>
        </w:trPr>
        <w:tc>
          <w:tcPr>
            <w:tcW w:w="6379" w:type="dxa"/>
            <w:tcBorders>
              <w:top w:val="single" w:sz="12" w:space="0" w:color="auto"/>
            </w:tcBorders>
          </w:tcPr>
          <w:p w14:paraId="2B151C6C"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3F016F3" w14:textId="77777777" w:rsidR="00683C32" w:rsidRPr="00D8041C" w:rsidRDefault="00683C32" w:rsidP="00107E85">
            <w:pPr>
              <w:spacing w:before="0"/>
              <w:rPr>
                <w:b/>
                <w:bCs/>
                <w:sz w:val="20"/>
                <w:lang w:val="es-ES_tradnl"/>
              </w:rPr>
            </w:pPr>
          </w:p>
        </w:tc>
      </w:tr>
      <w:tr w:rsidR="00683C32" w:rsidRPr="00D8041C" w14:paraId="68181605" w14:textId="77777777" w:rsidTr="0009076F">
        <w:trPr>
          <w:cantSplit/>
        </w:trPr>
        <w:tc>
          <w:tcPr>
            <w:tcW w:w="6379" w:type="dxa"/>
          </w:tcPr>
          <w:p w14:paraId="7237F7BE" w14:textId="77777777" w:rsidR="00683C32" w:rsidRPr="00D8041C" w:rsidRDefault="00683C32" w:rsidP="00400CCF">
            <w:pPr>
              <w:pStyle w:val="Committee"/>
              <w:spacing w:before="0"/>
              <w:rPr>
                <w:b w:val="0"/>
                <w:szCs w:val="24"/>
                <w:lang w:val="es-ES_tradnl"/>
              </w:rPr>
            </w:pPr>
          </w:p>
        </w:tc>
        <w:tc>
          <w:tcPr>
            <w:tcW w:w="3509" w:type="dxa"/>
          </w:tcPr>
          <w:p w14:paraId="68282B75" w14:textId="03072D44"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36329A">
              <w:rPr>
                <w:b/>
                <w:bCs/>
                <w:lang w:val="es-ES_tradnl"/>
              </w:rPr>
              <w:t>15</w:t>
            </w:r>
            <w:r w:rsidRPr="00D8041C">
              <w:rPr>
                <w:b/>
                <w:bCs/>
                <w:lang w:val="es-ES_tradnl"/>
              </w:rPr>
              <w:t>-</w:t>
            </w:r>
            <w:r w:rsidR="00B42366" w:rsidRPr="00D8041C">
              <w:rPr>
                <w:b/>
                <w:bCs/>
                <w:lang w:val="es-ES_tradnl"/>
              </w:rPr>
              <w:t>S</w:t>
            </w:r>
          </w:p>
        </w:tc>
      </w:tr>
      <w:tr w:rsidR="00683C32" w:rsidRPr="00D8041C" w14:paraId="69807A5B" w14:textId="77777777" w:rsidTr="0009076F">
        <w:trPr>
          <w:cantSplit/>
        </w:trPr>
        <w:tc>
          <w:tcPr>
            <w:tcW w:w="6379" w:type="dxa"/>
          </w:tcPr>
          <w:p w14:paraId="7F11BAF1" w14:textId="77777777" w:rsidR="00683C32" w:rsidRPr="00D8041C" w:rsidRDefault="00683C32" w:rsidP="00400CCF">
            <w:pPr>
              <w:spacing w:before="0"/>
              <w:rPr>
                <w:b/>
                <w:bCs/>
                <w:smallCaps/>
                <w:szCs w:val="24"/>
                <w:lang w:val="es-ES_tradnl"/>
              </w:rPr>
            </w:pPr>
          </w:p>
        </w:tc>
        <w:tc>
          <w:tcPr>
            <w:tcW w:w="3509" w:type="dxa"/>
          </w:tcPr>
          <w:p w14:paraId="663DBCCA" w14:textId="6949BFEE" w:rsidR="00683C32" w:rsidRPr="00D8041C" w:rsidRDefault="0036329A" w:rsidP="00B648C7">
            <w:pPr>
              <w:spacing w:before="0"/>
              <w:rPr>
                <w:b/>
                <w:szCs w:val="24"/>
                <w:lang w:val="es-ES_tradnl"/>
              </w:rPr>
            </w:pPr>
            <w:bookmarkStart w:id="2" w:name="CreationDate"/>
            <w:bookmarkEnd w:id="2"/>
            <w:r>
              <w:rPr>
                <w:b/>
                <w:bCs/>
                <w:lang w:val="es-ES"/>
              </w:rPr>
              <w:t>9 de abril de 2024</w:t>
            </w:r>
          </w:p>
        </w:tc>
      </w:tr>
      <w:tr w:rsidR="00683C32" w:rsidRPr="00D8041C" w14:paraId="5FA624AC" w14:textId="77777777" w:rsidTr="0009076F">
        <w:trPr>
          <w:cantSplit/>
        </w:trPr>
        <w:tc>
          <w:tcPr>
            <w:tcW w:w="6379" w:type="dxa"/>
          </w:tcPr>
          <w:p w14:paraId="00E2E142" w14:textId="77777777" w:rsidR="00683C32" w:rsidRPr="00D8041C" w:rsidRDefault="00683C32" w:rsidP="00400CCF">
            <w:pPr>
              <w:spacing w:before="0"/>
              <w:rPr>
                <w:b/>
                <w:bCs/>
                <w:smallCaps/>
                <w:szCs w:val="24"/>
                <w:lang w:val="es-ES_tradnl"/>
              </w:rPr>
            </w:pPr>
          </w:p>
        </w:tc>
        <w:tc>
          <w:tcPr>
            <w:tcW w:w="3509" w:type="dxa"/>
          </w:tcPr>
          <w:p w14:paraId="1AE85F8B"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36329A" w14:paraId="54251C0F" w14:textId="77777777" w:rsidTr="00107E85">
        <w:trPr>
          <w:cantSplit/>
          <w:trHeight w:val="852"/>
        </w:trPr>
        <w:tc>
          <w:tcPr>
            <w:tcW w:w="9888" w:type="dxa"/>
            <w:gridSpan w:val="2"/>
          </w:tcPr>
          <w:p w14:paraId="03D9C347" w14:textId="71EE63E0" w:rsidR="00A13162" w:rsidRPr="00D8041C" w:rsidRDefault="0036329A" w:rsidP="0030353C">
            <w:pPr>
              <w:pStyle w:val="Source"/>
              <w:rPr>
                <w:lang w:val="es-ES_tradnl"/>
              </w:rPr>
            </w:pPr>
            <w:bookmarkStart w:id="4" w:name="Source"/>
            <w:bookmarkStart w:id="5" w:name="lt_pId016"/>
            <w:bookmarkEnd w:id="4"/>
            <w:r>
              <w:rPr>
                <w:bCs/>
                <w:lang w:val="es-ES"/>
              </w:rPr>
              <w:t>Director de la Oficina de Normalización de las Telecomunicaciones</w:t>
            </w:r>
            <w:bookmarkEnd w:id="5"/>
          </w:p>
        </w:tc>
      </w:tr>
      <w:tr w:rsidR="00AC6F14" w:rsidRPr="0036329A" w14:paraId="0BD34E9F" w14:textId="77777777" w:rsidTr="00107E85">
        <w:trPr>
          <w:cantSplit/>
        </w:trPr>
        <w:tc>
          <w:tcPr>
            <w:tcW w:w="9888" w:type="dxa"/>
            <w:gridSpan w:val="2"/>
          </w:tcPr>
          <w:p w14:paraId="2EB25E2A" w14:textId="27E071B5" w:rsidR="00AC6F14" w:rsidRPr="00D8041C" w:rsidRDefault="0036329A" w:rsidP="0030353C">
            <w:pPr>
              <w:pStyle w:val="Title1"/>
              <w:rPr>
                <w:lang w:val="es-ES_tradnl"/>
              </w:rPr>
            </w:pPr>
            <w:bookmarkStart w:id="6" w:name="Title"/>
            <w:bookmarkStart w:id="7" w:name="lt_pId017"/>
            <w:bookmarkEnd w:id="6"/>
            <w:r>
              <w:rPr>
                <w:lang w:val="es-ES"/>
              </w:rPr>
              <w:t>Preparativos de la Asamblea Mundial de Normalización de las Telecomunicaciones (AMNT-24)</w:t>
            </w:r>
            <w:bookmarkEnd w:id="7"/>
          </w:p>
        </w:tc>
      </w:tr>
      <w:tr w:rsidR="00A721F4" w:rsidRPr="0036329A" w14:paraId="60C0695D" w14:textId="77777777" w:rsidTr="00A721F4">
        <w:trPr>
          <w:cantSplit/>
        </w:trPr>
        <w:tc>
          <w:tcPr>
            <w:tcW w:w="9888" w:type="dxa"/>
            <w:gridSpan w:val="2"/>
            <w:tcBorders>
              <w:bottom w:val="single" w:sz="4" w:space="0" w:color="auto"/>
            </w:tcBorders>
          </w:tcPr>
          <w:p w14:paraId="447BE9AD" w14:textId="77777777" w:rsidR="00A721F4" w:rsidRPr="00D8041C" w:rsidRDefault="00A721F4" w:rsidP="0030353C">
            <w:pPr>
              <w:rPr>
                <w:lang w:val="es-ES_tradnl"/>
              </w:rPr>
            </w:pPr>
          </w:p>
        </w:tc>
      </w:tr>
      <w:tr w:rsidR="00A721F4" w:rsidRPr="0036329A" w14:paraId="1C0E623B"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096F49E"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4A333773" w14:textId="521BE2D2" w:rsidR="00A721F4" w:rsidRPr="00D8041C" w:rsidRDefault="0036329A" w:rsidP="00EA0C51">
            <w:pPr>
              <w:spacing w:after="120"/>
              <w:rPr>
                <w:szCs w:val="24"/>
                <w:lang w:val="es-ES_tradnl"/>
              </w:rPr>
            </w:pPr>
            <w:bookmarkStart w:id="8" w:name="lt_pId019"/>
            <w:r>
              <w:rPr>
                <w:lang w:val="es-ES"/>
              </w:rPr>
              <w:t>El documento informa sobre la situación de los preparativos para la Asamblea Mundial de Normalización de las Telecomunicaciones (AMNT-24) y el Simposio Mundial de Normalización (SMN-24).</w:t>
            </w:r>
            <w:bookmarkEnd w:id="8"/>
          </w:p>
          <w:p w14:paraId="29E31FC1"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0945F4F3" w14:textId="37DEE93E" w:rsidR="00A721F4" w:rsidRPr="00D8041C" w:rsidRDefault="0036329A" w:rsidP="00EA0C51">
            <w:pPr>
              <w:spacing w:after="120"/>
              <w:rPr>
                <w:szCs w:val="24"/>
                <w:lang w:val="es-ES_tradnl"/>
              </w:rPr>
            </w:pPr>
            <w:bookmarkStart w:id="9" w:name="lt_pId021"/>
            <w:r>
              <w:rPr>
                <w:lang w:val="es-ES"/>
              </w:rPr>
              <w:t>Se invita al GADT a que tome nota del Informe.</w:t>
            </w:r>
            <w:bookmarkEnd w:id="9"/>
          </w:p>
          <w:p w14:paraId="5BD2CCD7"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410947A5" w14:textId="6E4DB755" w:rsidR="00A721F4" w:rsidRPr="00D8041C" w:rsidRDefault="0036329A" w:rsidP="00EA0C51">
            <w:pPr>
              <w:spacing w:after="120"/>
              <w:rPr>
                <w:lang w:val="es-ES_tradnl"/>
              </w:rPr>
            </w:pPr>
            <w:hyperlink r:id="rId11" w:anchor="/es" w:history="1">
              <w:r w:rsidRPr="00625FD5">
                <w:rPr>
                  <w:rStyle w:val="Hyperlink"/>
                  <w:lang w:val="es-ES"/>
                </w:rPr>
                <w:t>https://www.itu.int/wtsa/2024/#/es</w:t>
              </w:r>
            </w:hyperlink>
          </w:p>
        </w:tc>
      </w:tr>
    </w:tbl>
    <w:p w14:paraId="552BA129"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537C31B4" w14:textId="08351578" w:rsidR="0036329A" w:rsidRPr="0036329A" w:rsidRDefault="0036329A" w:rsidP="0036329A">
      <w:pPr>
        <w:pStyle w:val="Heading1"/>
        <w:rPr>
          <w:rFonts w:cstheme="minorHAnsi"/>
          <w:szCs w:val="24"/>
          <w:lang w:val="es-ES"/>
        </w:rPr>
      </w:pPr>
      <w:bookmarkStart w:id="10" w:name="lt_pId024"/>
      <w:r>
        <w:rPr>
          <w:lang w:val="es-ES"/>
        </w:rPr>
        <w:lastRenderedPageBreak/>
        <w:t>1</w:t>
      </w:r>
      <w:r>
        <w:rPr>
          <w:lang w:val="es-ES"/>
        </w:rPr>
        <w:tab/>
      </w:r>
      <w:r>
        <w:rPr>
          <w:lang w:val="es-ES"/>
        </w:rPr>
        <w:t>Lugar y fechas de celebración</w:t>
      </w:r>
      <w:bookmarkEnd w:id="10"/>
    </w:p>
    <w:p w14:paraId="5E8B9716" w14:textId="082E89CD" w:rsidR="0036329A" w:rsidRPr="0024755E" w:rsidRDefault="0036329A" w:rsidP="0036329A">
      <w:pPr>
        <w:rPr>
          <w:rFonts w:cstheme="minorHAnsi"/>
          <w:szCs w:val="24"/>
          <w:lang w:val="es-ES"/>
        </w:rPr>
      </w:pPr>
      <w:bookmarkStart w:id="11" w:name="lt_pId025"/>
      <w:r>
        <w:rPr>
          <w:lang w:val="es-ES"/>
        </w:rPr>
        <w:t>1.1</w:t>
      </w:r>
      <w:r>
        <w:rPr>
          <w:lang w:val="es-ES"/>
        </w:rPr>
        <w:tab/>
      </w:r>
      <w:r>
        <w:rPr>
          <w:lang w:val="es-ES"/>
        </w:rPr>
        <w:t xml:space="preserve">En el número 114 de la </w:t>
      </w:r>
      <w:r w:rsidR="009E53F3">
        <w:rPr>
          <w:lang w:val="es-ES"/>
        </w:rPr>
        <w:t>Constitución</w:t>
      </w:r>
      <w:r>
        <w:rPr>
          <w:lang w:val="es-ES"/>
        </w:rPr>
        <w:t xml:space="preserve"> de la UIT se estipula que las Asambleas Mundiales de Normalización de las Telecomunicaciones (AMNT) se celebrarán cada cuatro años, y en los números 23 y 24 del Convenio de la UIT se estipula que normalmente se convocará una AMNT entre dos Conferencias de Plenipotenciarios.</w:t>
      </w:r>
      <w:bookmarkEnd w:id="11"/>
    </w:p>
    <w:p w14:paraId="2C3018E2" w14:textId="03149903" w:rsidR="0036329A" w:rsidRPr="0024755E" w:rsidRDefault="0036329A" w:rsidP="0036329A">
      <w:pPr>
        <w:rPr>
          <w:rFonts w:cstheme="minorHAnsi"/>
          <w:szCs w:val="24"/>
          <w:lang w:val="es-ES"/>
        </w:rPr>
      </w:pPr>
      <w:bookmarkStart w:id="12" w:name="lt_pId026"/>
      <w:r>
        <w:rPr>
          <w:lang w:val="es-ES"/>
        </w:rPr>
        <w:t>1.2</w:t>
      </w:r>
      <w:r>
        <w:rPr>
          <w:lang w:val="es-ES"/>
        </w:rPr>
        <w:tab/>
        <w:t>E</w:t>
      </w:r>
      <w:r>
        <w:rPr>
          <w:lang w:val="es-ES"/>
        </w:rPr>
        <w:t xml:space="preserve">n la Resolución 77 (Rev. Bucarest, 2022) de la Conferencia de Plenipotenciarios se resuelve que la AMNT se celebre durante el último trimestre de 2024 en </w:t>
      </w:r>
      <w:r>
        <w:rPr>
          <w:lang w:val="es-ES"/>
        </w:rPr>
        <w:t xml:space="preserve">la </w:t>
      </w:r>
      <w:r>
        <w:rPr>
          <w:lang w:val="es-ES"/>
        </w:rPr>
        <w:t>India.</w:t>
      </w:r>
      <w:bookmarkEnd w:id="12"/>
    </w:p>
    <w:p w14:paraId="4C377389" w14:textId="210EDDC1" w:rsidR="0036329A" w:rsidRPr="0024755E" w:rsidRDefault="0036329A" w:rsidP="0036329A">
      <w:pPr>
        <w:rPr>
          <w:rFonts w:cstheme="minorHAnsi"/>
          <w:szCs w:val="24"/>
          <w:lang w:val="es-ES"/>
        </w:rPr>
      </w:pPr>
      <w:bookmarkStart w:id="13" w:name="lt_pId027"/>
      <w:r>
        <w:rPr>
          <w:lang w:val="es-ES"/>
        </w:rPr>
        <w:t>1.3</w:t>
      </w:r>
      <w:r>
        <w:rPr>
          <w:lang w:val="es-ES"/>
        </w:rPr>
        <w:tab/>
      </w:r>
      <w:r>
        <w:rPr>
          <w:lang w:val="es-ES"/>
        </w:rPr>
        <w:t>En la Resolución 111 (Rev. Busán,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bookmarkEnd w:id="13"/>
    </w:p>
    <w:p w14:paraId="06583C05" w14:textId="2FED3959" w:rsidR="0036329A" w:rsidRPr="0024755E" w:rsidRDefault="0036329A" w:rsidP="0036329A">
      <w:pPr>
        <w:rPr>
          <w:rFonts w:cstheme="minorHAnsi"/>
          <w:szCs w:val="24"/>
          <w:lang w:val="es-ES"/>
        </w:rPr>
      </w:pPr>
      <w:bookmarkStart w:id="14" w:name="lt_pId028"/>
      <w:bookmarkStart w:id="15" w:name="OLE_LINK6"/>
      <w:bookmarkStart w:id="16" w:name="OLE_LINK5"/>
      <w:r>
        <w:rPr>
          <w:lang w:val="es-ES"/>
        </w:rPr>
        <w:t>1.4</w:t>
      </w:r>
      <w:r>
        <w:rPr>
          <w:lang w:val="es-ES"/>
        </w:rPr>
        <w:tab/>
        <w:t>E</w:t>
      </w:r>
      <w:r>
        <w:rPr>
          <w:lang w:val="es-ES"/>
        </w:rPr>
        <w:t>n el número 42 del Convenio y el Capítulo I del Reglamento General de las conferencias, asambleas y reuniones de la Unión se exige que, en ausencia de una decisión de la Conferencia de Plenipotenciarios en ese sentido, sea el Consejo de la UIT el que, con la aprobación de la mayoría de los Estados Miembros, determine las fechas exactas y el lugar en que se celebrará una AMNT.</w:t>
      </w:r>
      <w:bookmarkEnd w:id="14"/>
    </w:p>
    <w:p w14:paraId="020338DA" w14:textId="20642DCC" w:rsidR="0036329A" w:rsidRPr="0024755E" w:rsidRDefault="0036329A" w:rsidP="0036329A">
      <w:pPr>
        <w:rPr>
          <w:rFonts w:cstheme="minorHAnsi"/>
          <w:szCs w:val="24"/>
          <w:lang w:val="es-ES"/>
        </w:rPr>
      </w:pPr>
      <w:bookmarkStart w:id="17" w:name="lt_pId029"/>
      <w:r>
        <w:rPr>
          <w:lang w:val="es-ES"/>
        </w:rPr>
        <w:t>1.5</w:t>
      </w:r>
      <w:r>
        <w:rPr>
          <w:lang w:val="es-ES"/>
        </w:rPr>
        <w:tab/>
      </w:r>
      <w:r>
        <w:rPr>
          <w:lang w:val="es-ES"/>
        </w:rPr>
        <w:t>La Secretaria General de la UIT ha recibido en marzo de 2023 una invitación del Gobierno de la India para llevar a cabo la AMNT-24 en la India, del 15 al 24 de octubre de 2024, en Pragati</w:t>
      </w:r>
      <w:r>
        <w:rPr>
          <w:lang w:val="es-ES"/>
        </w:rPr>
        <w:t> </w:t>
      </w:r>
      <w:r>
        <w:rPr>
          <w:lang w:val="es-ES"/>
        </w:rPr>
        <w:t xml:space="preserve">Maidan, Nueva Delhi (India) (véase el Anexo 1 al </w:t>
      </w:r>
      <w:hyperlink r:id="rId12" w:history="1">
        <w:r w:rsidRPr="0024755E">
          <w:rPr>
            <w:rStyle w:val="Hyperlink"/>
            <w:lang w:val="es-ES"/>
          </w:rPr>
          <w:t>C23/24</w:t>
        </w:r>
      </w:hyperlink>
      <w:r>
        <w:rPr>
          <w:lang w:val="es-ES"/>
        </w:rPr>
        <w:t>).</w:t>
      </w:r>
      <w:bookmarkEnd w:id="15"/>
      <w:bookmarkEnd w:id="16"/>
      <w:bookmarkEnd w:id="17"/>
    </w:p>
    <w:p w14:paraId="50A8BD0A" w14:textId="1BBF4812" w:rsidR="0036329A" w:rsidRPr="0024755E" w:rsidRDefault="0036329A" w:rsidP="0036329A">
      <w:pPr>
        <w:rPr>
          <w:rFonts w:cstheme="minorHAnsi"/>
          <w:szCs w:val="24"/>
          <w:lang w:val="es-ES"/>
        </w:rPr>
      </w:pPr>
      <w:bookmarkStart w:id="18" w:name="lt_pId030"/>
      <w:r>
        <w:rPr>
          <w:lang w:val="es-ES"/>
        </w:rPr>
        <w:t>1.6</w:t>
      </w:r>
      <w:r>
        <w:rPr>
          <w:lang w:val="es-ES"/>
        </w:rPr>
        <w:tab/>
      </w:r>
      <w:r>
        <w:rPr>
          <w:lang w:val="es-ES"/>
        </w:rPr>
        <w:t xml:space="preserve">De conformidad con el </w:t>
      </w:r>
      <w:hyperlink r:id="rId13" w:history="1">
        <w:r w:rsidRPr="0024755E">
          <w:rPr>
            <w:rStyle w:val="Hyperlink"/>
            <w:lang w:val="es-ES"/>
          </w:rPr>
          <w:t>Acuerdo 629</w:t>
        </w:r>
      </w:hyperlink>
      <w:r>
        <w:rPr>
          <w:lang w:val="es-ES"/>
        </w:rPr>
        <w:t xml:space="preserve"> del Consejo adoptado en la reunión de 2023 del Consejo, la Secretaria General ha consultado a todos los Estados Miembros acerca del lugar y las fechas exactas de la AMNT-24.</w:t>
      </w:r>
      <w:bookmarkEnd w:id="18"/>
    </w:p>
    <w:p w14:paraId="74690B2A" w14:textId="0603DE39" w:rsidR="0036329A" w:rsidRPr="0024755E" w:rsidRDefault="0036329A" w:rsidP="0036329A">
      <w:pPr>
        <w:rPr>
          <w:rFonts w:cstheme="minorHAnsi"/>
          <w:szCs w:val="24"/>
          <w:lang w:val="es-ES"/>
        </w:rPr>
      </w:pPr>
      <w:bookmarkStart w:id="19" w:name="lt_pId031"/>
      <w:r>
        <w:rPr>
          <w:lang w:val="es-ES"/>
        </w:rPr>
        <w:t>1.7</w:t>
      </w:r>
      <w:r>
        <w:rPr>
          <w:lang w:val="es-ES"/>
        </w:rPr>
        <w:tab/>
      </w:r>
      <w:r>
        <w:rPr>
          <w:lang w:val="es-ES"/>
        </w:rPr>
        <w:t xml:space="preserve">Tras la fructífera consulta entre los Estados Miembros de la UIT realizada mediante la Carta Circular </w:t>
      </w:r>
      <w:hyperlink r:id="rId14" w:history="1">
        <w:r w:rsidRPr="0024755E">
          <w:rPr>
            <w:rStyle w:val="Hyperlink"/>
            <w:lang w:val="es-ES"/>
          </w:rPr>
          <w:t>número 23/28</w:t>
        </w:r>
      </w:hyperlink>
      <w:r>
        <w:rPr>
          <w:lang w:val="es-ES"/>
        </w:rPr>
        <w:t xml:space="preserve"> de 5 de septiembre, así como la Carta Circular </w:t>
      </w:r>
      <w:hyperlink r:id="rId15" w:history="1">
        <w:r w:rsidRPr="0024755E">
          <w:rPr>
            <w:rStyle w:val="Hyperlink"/>
            <w:lang w:val="es-ES"/>
          </w:rPr>
          <w:t>número 23/37</w:t>
        </w:r>
      </w:hyperlink>
      <w:r>
        <w:rPr>
          <w:lang w:val="es-ES"/>
        </w:rPr>
        <w:t xml:space="preserve"> de 16</w:t>
      </w:r>
      <w:r>
        <w:rPr>
          <w:lang w:val="es-ES"/>
        </w:rPr>
        <w:t> </w:t>
      </w:r>
      <w:r>
        <w:rPr>
          <w:lang w:val="es-ES"/>
        </w:rPr>
        <w:t>de octubre de 2023 anuncian el acuerdo de la mayoría necesario de Estados Miembros de la</w:t>
      </w:r>
      <w:r>
        <w:rPr>
          <w:lang w:val="es-ES"/>
        </w:rPr>
        <w:t> </w:t>
      </w:r>
      <w:r>
        <w:rPr>
          <w:lang w:val="es-ES"/>
        </w:rPr>
        <w:t>UIT (113 respuestas positivas, 1 negativa, 5 abstenciones), de conformidad con el número</w:t>
      </w:r>
      <w:r>
        <w:rPr>
          <w:lang w:val="es-ES"/>
        </w:rPr>
        <w:t> </w:t>
      </w:r>
      <w:r>
        <w:rPr>
          <w:lang w:val="es-ES"/>
        </w:rPr>
        <w:t xml:space="preserve">42 del Convenio de la UIT. </w:t>
      </w:r>
      <w:bookmarkStart w:id="20" w:name="lt_pId032"/>
      <w:bookmarkEnd w:id="19"/>
      <w:bookmarkEnd w:id="20"/>
    </w:p>
    <w:p w14:paraId="7CDE35A0" w14:textId="4CDC589B" w:rsidR="0036329A" w:rsidRPr="0024755E" w:rsidRDefault="0036329A" w:rsidP="0036329A">
      <w:pPr>
        <w:rPr>
          <w:rFonts w:cstheme="minorHAnsi"/>
          <w:szCs w:val="24"/>
          <w:lang w:val="es-ES"/>
        </w:rPr>
      </w:pPr>
      <w:bookmarkStart w:id="21" w:name="lt_pId033"/>
      <w:r>
        <w:rPr>
          <w:lang w:val="es-ES"/>
        </w:rPr>
        <w:t>1.8</w:t>
      </w:r>
      <w:r>
        <w:rPr>
          <w:lang w:val="es-ES"/>
        </w:rPr>
        <w:tab/>
      </w:r>
      <w:r>
        <w:rPr>
          <w:lang w:val="es-ES"/>
        </w:rPr>
        <w:t xml:space="preserve">En consecuencia, está prevista la próxima </w:t>
      </w:r>
      <w:r w:rsidRPr="00192FE9">
        <w:rPr>
          <w:b/>
          <w:bCs/>
          <w:lang w:val="es-ES"/>
        </w:rPr>
        <w:t>AMNT</w:t>
      </w:r>
      <w:r>
        <w:rPr>
          <w:lang w:val="es-ES"/>
        </w:rPr>
        <w:t xml:space="preserve"> en </w:t>
      </w:r>
      <w:r>
        <w:rPr>
          <w:b/>
          <w:bCs/>
          <w:lang w:val="es-ES"/>
        </w:rPr>
        <w:t xml:space="preserve">Nueva Delhi (India) </w:t>
      </w:r>
      <w:r>
        <w:rPr>
          <w:lang w:val="es-ES"/>
        </w:rPr>
        <w:t xml:space="preserve">del </w:t>
      </w:r>
      <w:r>
        <w:rPr>
          <w:b/>
          <w:bCs/>
          <w:lang w:val="es-ES"/>
        </w:rPr>
        <w:t>15 al 24 de octubre de 2024</w:t>
      </w:r>
      <w:r>
        <w:rPr>
          <w:lang w:val="es-ES"/>
        </w:rPr>
        <w:t>, precedida por el Simposio Mundial de Normalización (</w:t>
      </w:r>
      <w:r w:rsidRPr="00192FE9">
        <w:rPr>
          <w:b/>
          <w:bCs/>
          <w:lang w:val="es-ES"/>
        </w:rPr>
        <w:t>SMN</w:t>
      </w:r>
      <w:r>
        <w:rPr>
          <w:lang w:val="es-ES"/>
        </w:rPr>
        <w:t xml:space="preserve">) el </w:t>
      </w:r>
      <w:r>
        <w:rPr>
          <w:b/>
          <w:bCs/>
          <w:lang w:val="es-ES"/>
        </w:rPr>
        <w:t>14 de octubre de</w:t>
      </w:r>
      <w:r>
        <w:rPr>
          <w:b/>
          <w:bCs/>
          <w:lang w:val="es-ES"/>
        </w:rPr>
        <w:t> </w:t>
      </w:r>
      <w:r>
        <w:rPr>
          <w:b/>
          <w:bCs/>
          <w:lang w:val="es-ES"/>
        </w:rPr>
        <w:t>2024</w:t>
      </w:r>
      <w:r>
        <w:rPr>
          <w:lang w:val="es-ES"/>
        </w:rPr>
        <w:t>.</w:t>
      </w:r>
      <w:bookmarkEnd w:id="21"/>
    </w:p>
    <w:p w14:paraId="73BC4690" w14:textId="7B1D3B78" w:rsidR="0036329A" w:rsidRPr="0024755E" w:rsidRDefault="0036329A" w:rsidP="0036329A">
      <w:pPr>
        <w:rPr>
          <w:rFonts w:cstheme="minorHAnsi"/>
          <w:szCs w:val="24"/>
          <w:lang w:val="es-ES"/>
        </w:rPr>
      </w:pPr>
      <w:bookmarkStart w:id="22" w:name="lt_pId034"/>
      <w:r>
        <w:rPr>
          <w:lang w:val="es-ES"/>
        </w:rPr>
        <w:t>1.9</w:t>
      </w:r>
      <w:r>
        <w:rPr>
          <w:lang w:val="es-ES"/>
        </w:rPr>
        <w:tab/>
      </w:r>
      <w:r>
        <w:rPr>
          <w:lang w:val="es-ES"/>
        </w:rPr>
        <w:t>La TSB, en coordinación con el Departamento de Conferencias y Publicaciones de la UIT, ha llevado a cabo una visita</w:t>
      </w:r>
      <w:r>
        <w:rPr>
          <w:i/>
          <w:iCs/>
          <w:lang w:val="es-ES"/>
        </w:rPr>
        <w:t xml:space="preserve"> in situ</w:t>
      </w:r>
      <w:r>
        <w:rPr>
          <w:lang w:val="es-ES"/>
        </w:rPr>
        <w:t xml:space="preserve"> en octubre de 2023 al Centro Internacional de Exposiciones y Convenciones, Nueva Delhi (India), para la planificación logística adicional de la Asamblea.</w:t>
      </w:r>
      <w:bookmarkEnd w:id="22"/>
    </w:p>
    <w:p w14:paraId="18EC03DE" w14:textId="4B148899" w:rsidR="0036329A" w:rsidRPr="00E92AF2" w:rsidRDefault="0036329A" w:rsidP="0036329A">
      <w:pPr>
        <w:pStyle w:val="Heading1"/>
        <w:rPr>
          <w:rFonts w:cstheme="minorHAnsi"/>
          <w:szCs w:val="24"/>
        </w:rPr>
      </w:pPr>
      <w:bookmarkStart w:id="23" w:name="lt_pId035"/>
      <w:r>
        <w:rPr>
          <w:lang w:val="es-ES"/>
        </w:rPr>
        <w:t>2</w:t>
      </w:r>
      <w:r>
        <w:rPr>
          <w:lang w:val="es-ES"/>
        </w:rPr>
        <w:tab/>
      </w:r>
      <w:r>
        <w:rPr>
          <w:lang w:val="es-ES"/>
        </w:rPr>
        <w:t>Cartas de invitación</w:t>
      </w:r>
      <w:bookmarkEnd w:id="23"/>
    </w:p>
    <w:p w14:paraId="315D1160" w14:textId="41B2B48C" w:rsidR="0036329A" w:rsidRPr="0024755E" w:rsidRDefault="0036329A" w:rsidP="0036329A">
      <w:pPr>
        <w:rPr>
          <w:rFonts w:cstheme="minorHAnsi"/>
          <w:szCs w:val="24"/>
          <w:lang w:val="es-ES"/>
        </w:rPr>
      </w:pPr>
      <w:bookmarkStart w:id="24" w:name="lt_pId036"/>
      <w:r>
        <w:rPr>
          <w:lang w:val="es-ES"/>
        </w:rPr>
        <w:t>2.1</w:t>
      </w:r>
      <w:r>
        <w:rPr>
          <w:lang w:val="es-ES"/>
        </w:rPr>
        <w:tab/>
      </w:r>
      <w:r>
        <w:rPr>
          <w:lang w:val="es-ES"/>
        </w:rPr>
        <w:t>Las cartas de invitación para la AMNT-24 y el SMN-24 han sido enviadas a:</w:t>
      </w:r>
      <w:bookmarkEnd w:id="24"/>
    </w:p>
    <w:p w14:paraId="5A704C6A" w14:textId="1F6A8FEA" w:rsidR="0036329A" w:rsidRPr="0024755E" w:rsidRDefault="0036329A" w:rsidP="0036329A">
      <w:pPr>
        <w:pStyle w:val="enumlev1"/>
        <w:rPr>
          <w:rFonts w:cstheme="minorHAnsi"/>
          <w:szCs w:val="24"/>
          <w:lang w:val="es-ES"/>
        </w:rPr>
      </w:pPr>
      <w:bookmarkStart w:id="25" w:name="lt_pId037"/>
      <w:r w:rsidRPr="0036329A">
        <w:rPr>
          <w:lang w:val="es-ES"/>
        </w:rPr>
        <w:t>–</w:t>
      </w:r>
      <w:r>
        <w:rPr>
          <w:lang w:val="es-ES"/>
        </w:rPr>
        <w:tab/>
      </w:r>
      <w:hyperlink r:id="rId16" w:history="1">
        <w:r w:rsidRPr="00192FE9">
          <w:rPr>
            <w:rStyle w:val="Hyperlink"/>
            <w:lang w:val="es-ES"/>
          </w:rPr>
          <w:t>las Administraciones de los Estados Miembros de la Unión</w:t>
        </w:r>
        <w:bookmarkEnd w:id="25"/>
      </w:hyperlink>
      <w:r w:rsidR="003E3FFE">
        <w:rPr>
          <w:lang w:val="es-ES"/>
        </w:rPr>
        <w:t>;</w:t>
      </w:r>
    </w:p>
    <w:p w14:paraId="213075B9" w14:textId="048FE5AB" w:rsidR="0036329A" w:rsidRPr="0024755E" w:rsidRDefault="0036329A" w:rsidP="0036329A">
      <w:pPr>
        <w:pStyle w:val="enumlev1"/>
        <w:rPr>
          <w:rFonts w:cstheme="minorHAnsi"/>
          <w:szCs w:val="24"/>
          <w:lang w:val="es-ES"/>
        </w:rPr>
      </w:pPr>
      <w:bookmarkStart w:id="26" w:name="lt_pId038"/>
      <w:r w:rsidRPr="0036329A">
        <w:rPr>
          <w:lang w:val="es-ES"/>
        </w:rPr>
        <w:t>–</w:t>
      </w:r>
      <w:r>
        <w:rPr>
          <w:lang w:val="es-ES"/>
        </w:rPr>
        <w:tab/>
      </w:r>
      <w:hyperlink r:id="rId17" w:history="1">
        <w:r w:rsidRPr="00192FE9">
          <w:rPr>
            <w:rStyle w:val="Hyperlink"/>
            <w:lang w:val="es-ES"/>
          </w:rPr>
          <w:t>los Miembros de Sector del UIT-T</w:t>
        </w:r>
        <w:bookmarkEnd w:id="26"/>
      </w:hyperlink>
      <w:r w:rsidR="003E3FFE">
        <w:rPr>
          <w:lang w:val="es-ES"/>
        </w:rPr>
        <w:t>;</w:t>
      </w:r>
    </w:p>
    <w:p w14:paraId="5B20ED4F" w14:textId="1FAB2AA6" w:rsidR="0036329A" w:rsidRPr="0024755E" w:rsidRDefault="0036329A" w:rsidP="0036329A">
      <w:pPr>
        <w:pStyle w:val="enumlev1"/>
        <w:rPr>
          <w:rFonts w:cstheme="minorHAnsi"/>
          <w:szCs w:val="24"/>
          <w:lang w:val="es-ES"/>
        </w:rPr>
      </w:pPr>
      <w:bookmarkStart w:id="27" w:name="lt_pId039"/>
      <w:r w:rsidRPr="0036329A">
        <w:rPr>
          <w:lang w:val="es-ES"/>
        </w:rPr>
        <w:t>–</w:t>
      </w:r>
      <w:r>
        <w:rPr>
          <w:lang w:val="es-ES"/>
        </w:rPr>
        <w:tab/>
      </w:r>
      <w:hyperlink r:id="rId18" w:history="1">
        <w:r w:rsidRPr="00192FE9">
          <w:rPr>
            <w:rStyle w:val="Hyperlink"/>
            <w:lang w:val="es-ES"/>
          </w:rPr>
          <w:t>las Instituciones Académicas de la UIT</w:t>
        </w:r>
        <w:bookmarkEnd w:id="27"/>
      </w:hyperlink>
      <w:r w:rsidR="003E3FFE">
        <w:rPr>
          <w:lang w:val="es-ES"/>
        </w:rPr>
        <w:t>;</w:t>
      </w:r>
    </w:p>
    <w:p w14:paraId="193CC4E5" w14:textId="2EBB398F" w:rsidR="0036329A" w:rsidRPr="0024755E" w:rsidRDefault="0036329A" w:rsidP="0036329A">
      <w:pPr>
        <w:pStyle w:val="enumlev1"/>
        <w:rPr>
          <w:rFonts w:cstheme="minorHAnsi"/>
          <w:szCs w:val="24"/>
          <w:lang w:val="es-ES"/>
        </w:rPr>
      </w:pPr>
      <w:bookmarkStart w:id="28" w:name="lt_pId040"/>
      <w:r w:rsidRPr="0036329A">
        <w:rPr>
          <w:lang w:val="es-ES"/>
        </w:rPr>
        <w:t>–</w:t>
      </w:r>
      <w:r>
        <w:rPr>
          <w:lang w:val="es-ES"/>
        </w:rPr>
        <w:tab/>
      </w:r>
      <w:hyperlink r:id="rId19" w:history="1">
        <w:r w:rsidRPr="00192FE9">
          <w:rPr>
            <w:rStyle w:val="Hyperlink"/>
            <w:lang w:val="es-ES"/>
          </w:rPr>
          <w:t>las Naciones Unidas y sus organismos especializados, OIEA, organizaciones regionales de telecomunicaciones, organizaciones intergubernamentales que explotan sistemas de satélites, otras organizaciones regionales o internacionales</w:t>
        </w:r>
        <w:bookmarkEnd w:id="28"/>
      </w:hyperlink>
      <w:r w:rsidR="003E3FFE">
        <w:rPr>
          <w:lang w:val="es-ES"/>
        </w:rPr>
        <w:t>;</w:t>
      </w:r>
    </w:p>
    <w:p w14:paraId="4B5A4CD3" w14:textId="2456BDC7" w:rsidR="0036329A" w:rsidRPr="00E92AF2" w:rsidRDefault="0036329A" w:rsidP="0036329A">
      <w:pPr>
        <w:pStyle w:val="enumlev1"/>
        <w:rPr>
          <w:rFonts w:cstheme="minorHAnsi"/>
          <w:szCs w:val="24"/>
        </w:rPr>
      </w:pPr>
      <w:bookmarkStart w:id="29" w:name="lt_pId041"/>
      <w:r w:rsidRPr="0036329A">
        <w:rPr>
          <w:lang w:val="es-ES"/>
        </w:rPr>
        <w:t>–</w:t>
      </w:r>
      <w:r>
        <w:rPr>
          <w:lang w:val="es-ES"/>
        </w:rPr>
        <w:tab/>
      </w:r>
      <w:r>
        <w:rPr>
          <w:lang w:val="es-ES"/>
        </w:rPr>
        <w:t>el Estado de Palestina</w:t>
      </w:r>
      <w:bookmarkEnd w:id="29"/>
      <w:r w:rsidR="003E3FFE">
        <w:rPr>
          <w:lang w:val="es-ES"/>
        </w:rPr>
        <w:t>.</w:t>
      </w:r>
    </w:p>
    <w:p w14:paraId="62420701" w14:textId="2467DDBC" w:rsidR="0036329A" w:rsidRPr="0024755E" w:rsidRDefault="0036329A" w:rsidP="0036329A">
      <w:pPr>
        <w:rPr>
          <w:rFonts w:cstheme="minorHAnsi"/>
          <w:szCs w:val="24"/>
          <w:lang w:val="es-ES"/>
        </w:rPr>
      </w:pPr>
      <w:bookmarkStart w:id="30" w:name="lt_pId042"/>
      <w:r>
        <w:rPr>
          <w:lang w:val="es-ES"/>
        </w:rPr>
        <w:lastRenderedPageBreak/>
        <w:t>2.2</w:t>
      </w:r>
      <w:r>
        <w:rPr>
          <w:lang w:val="es-ES"/>
        </w:rPr>
        <w:tab/>
      </w:r>
      <w:r>
        <w:rPr>
          <w:lang w:val="es-ES"/>
        </w:rPr>
        <w:t>Resumen de las circulares relacionadas con la AMNT-24 publicadas hasta la fecha:</w:t>
      </w:r>
      <w:bookmarkEnd w:id="30"/>
    </w:p>
    <w:p w14:paraId="1A138EBA" w14:textId="5FF43EFE" w:rsidR="0036329A" w:rsidRPr="0024755E" w:rsidRDefault="0036329A" w:rsidP="0036329A">
      <w:pPr>
        <w:pStyle w:val="enumlev1"/>
        <w:rPr>
          <w:rFonts w:cstheme="minorHAnsi"/>
          <w:szCs w:val="24"/>
          <w:lang w:val="es-ES"/>
        </w:rPr>
      </w:pPr>
      <w:bookmarkStart w:id="31" w:name="lt_pId043"/>
      <w:r w:rsidRPr="0036329A">
        <w:rPr>
          <w:lang w:val="es-ES"/>
        </w:rPr>
        <w:t>–</w:t>
      </w:r>
      <w:r>
        <w:rPr>
          <w:lang w:val="es-ES"/>
        </w:rPr>
        <w:tab/>
      </w:r>
      <w:r>
        <w:rPr>
          <w:lang w:val="es-ES"/>
        </w:rPr>
        <w:t xml:space="preserve">TSB </w:t>
      </w:r>
      <w:hyperlink r:id="rId20" w:history="1">
        <w:r w:rsidRPr="00192FE9">
          <w:rPr>
            <w:rStyle w:val="Hyperlink"/>
            <w:lang w:val="es-ES"/>
          </w:rPr>
          <w:t>CL 176</w:t>
        </w:r>
      </w:hyperlink>
      <w:r>
        <w:rPr>
          <w:lang w:val="es-ES"/>
        </w:rPr>
        <w:t xml:space="preserve"> (+ Cor.1)</w:t>
      </w:r>
      <w:r w:rsidR="003E3FFE">
        <w:rPr>
          <w:lang w:val="es-ES"/>
        </w:rPr>
        <w:t xml:space="preserve"> </w:t>
      </w:r>
      <w:r w:rsidR="003E3FFE" w:rsidRPr="003E3FFE">
        <w:rPr>
          <w:lang w:val="es-ES"/>
        </w:rPr>
        <w:t>–</w:t>
      </w:r>
      <w:r>
        <w:rPr>
          <w:lang w:val="es-ES"/>
        </w:rPr>
        <w:t xml:space="preserve"> Candidatos a las presidencias y vicepresidencias de las Comisiones de Estudio del UIT-T, del Grupo Asesor de Normalización de las Telecomunicaciones (GANT) y del Comité para la Normalización del Vocabulario (CNV) para 2025-2028</w:t>
      </w:r>
      <w:bookmarkEnd w:id="31"/>
      <w:r w:rsidR="003E3FFE">
        <w:rPr>
          <w:lang w:val="es-ES"/>
        </w:rPr>
        <w:t>.</w:t>
      </w:r>
    </w:p>
    <w:p w14:paraId="7B57357B" w14:textId="03F7641C" w:rsidR="0036329A" w:rsidRPr="0024755E" w:rsidRDefault="0036329A" w:rsidP="0036329A">
      <w:pPr>
        <w:pStyle w:val="enumlev1"/>
        <w:rPr>
          <w:rFonts w:cstheme="minorHAnsi"/>
          <w:szCs w:val="24"/>
          <w:lang w:val="es-ES"/>
        </w:rPr>
      </w:pPr>
      <w:bookmarkStart w:id="32" w:name="lt_pId044"/>
      <w:r w:rsidRPr="0036329A">
        <w:rPr>
          <w:lang w:val="es-ES"/>
        </w:rPr>
        <w:t>–</w:t>
      </w:r>
      <w:r>
        <w:rPr>
          <w:lang w:val="es-ES"/>
        </w:rPr>
        <w:tab/>
      </w:r>
      <w:r>
        <w:rPr>
          <w:lang w:val="es-ES"/>
        </w:rPr>
        <w:t xml:space="preserve">TSB </w:t>
      </w:r>
      <w:hyperlink r:id="rId21" w:history="1">
        <w:r w:rsidRPr="00192FE9">
          <w:rPr>
            <w:rStyle w:val="Hyperlink"/>
            <w:lang w:val="es-ES"/>
          </w:rPr>
          <w:t>CL 177</w:t>
        </w:r>
      </w:hyperlink>
      <w:r>
        <w:rPr>
          <w:lang w:val="es-ES"/>
        </w:rPr>
        <w:t xml:space="preserve"> </w:t>
      </w:r>
      <w:r w:rsidR="003E3FFE" w:rsidRPr="003E3FFE">
        <w:rPr>
          <w:lang w:val="es-ES"/>
        </w:rPr>
        <w:t>–</w:t>
      </w:r>
      <w:r w:rsidR="003E3FFE">
        <w:rPr>
          <w:lang w:val="es-ES"/>
        </w:rPr>
        <w:t xml:space="preserve"> </w:t>
      </w:r>
      <w:r>
        <w:rPr>
          <w:lang w:val="es-ES"/>
        </w:rPr>
        <w:t>Asamblea Mundial de Normalización de las Telecomunicaciones (AMNT-24)</w:t>
      </w:r>
      <w:bookmarkEnd w:id="32"/>
      <w:r w:rsidR="003E3FFE">
        <w:rPr>
          <w:lang w:val="es-ES"/>
        </w:rPr>
        <w:t>.</w:t>
      </w:r>
    </w:p>
    <w:p w14:paraId="5BABAD90" w14:textId="4EAEFA1E" w:rsidR="0036329A" w:rsidRPr="0024755E" w:rsidRDefault="0036329A" w:rsidP="0036329A">
      <w:pPr>
        <w:pStyle w:val="enumlev1"/>
        <w:rPr>
          <w:rFonts w:cstheme="minorHAnsi"/>
          <w:szCs w:val="24"/>
          <w:lang w:val="es-ES"/>
        </w:rPr>
      </w:pPr>
      <w:bookmarkStart w:id="33" w:name="lt_pId045"/>
      <w:r w:rsidRPr="0036329A">
        <w:rPr>
          <w:lang w:val="es-ES"/>
        </w:rPr>
        <w:t>–</w:t>
      </w:r>
      <w:r>
        <w:rPr>
          <w:lang w:val="es-ES"/>
        </w:rPr>
        <w:tab/>
      </w:r>
      <w:r>
        <w:rPr>
          <w:lang w:val="es-ES"/>
        </w:rPr>
        <w:t xml:space="preserve">TSB </w:t>
      </w:r>
      <w:hyperlink r:id="rId22" w:history="1">
        <w:r w:rsidRPr="00192FE9">
          <w:rPr>
            <w:rStyle w:val="Hyperlink"/>
            <w:lang w:val="es-ES"/>
          </w:rPr>
          <w:t>CL 178</w:t>
        </w:r>
      </w:hyperlink>
      <w:r>
        <w:rPr>
          <w:lang w:val="es-ES"/>
        </w:rPr>
        <w:t xml:space="preserve"> </w:t>
      </w:r>
      <w:r w:rsidR="003E3FFE" w:rsidRPr="003E3FFE">
        <w:rPr>
          <w:lang w:val="es-ES"/>
        </w:rPr>
        <w:t>–</w:t>
      </w:r>
      <w:r w:rsidR="003E3FFE">
        <w:rPr>
          <w:lang w:val="es-ES"/>
        </w:rPr>
        <w:t xml:space="preserve"> </w:t>
      </w:r>
      <w:r>
        <w:rPr>
          <w:lang w:val="es-ES"/>
        </w:rPr>
        <w:t>Simposio Mundial de Normalización (SMN-24)</w:t>
      </w:r>
      <w:bookmarkEnd w:id="33"/>
      <w:r w:rsidR="003E3FFE">
        <w:rPr>
          <w:lang w:val="es-ES"/>
        </w:rPr>
        <w:t>.</w:t>
      </w:r>
    </w:p>
    <w:p w14:paraId="642E4D25" w14:textId="7ED3ADD4" w:rsidR="0036329A" w:rsidRPr="0024755E" w:rsidRDefault="0036329A" w:rsidP="0036329A">
      <w:pPr>
        <w:pStyle w:val="enumlev1"/>
        <w:rPr>
          <w:rFonts w:cstheme="minorHAnsi"/>
          <w:szCs w:val="24"/>
          <w:lang w:val="es-ES"/>
        </w:rPr>
      </w:pPr>
      <w:bookmarkStart w:id="34" w:name="lt_pId046"/>
      <w:r w:rsidRPr="0036329A">
        <w:rPr>
          <w:lang w:val="es-ES"/>
        </w:rPr>
        <w:t>–</w:t>
      </w:r>
      <w:r>
        <w:rPr>
          <w:lang w:val="es-ES"/>
        </w:rPr>
        <w:tab/>
      </w:r>
      <w:r>
        <w:rPr>
          <w:lang w:val="es-ES"/>
        </w:rPr>
        <w:t xml:space="preserve">TSB </w:t>
      </w:r>
      <w:hyperlink r:id="rId23" w:history="1">
        <w:r w:rsidRPr="00192FE9">
          <w:rPr>
            <w:rStyle w:val="Hyperlink"/>
            <w:lang w:val="es-ES"/>
          </w:rPr>
          <w:t>CL 179</w:t>
        </w:r>
      </w:hyperlink>
      <w:r>
        <w:rPr>
          <w:lang w:val="es-ES"/>
        </w:rPr>
        <w:t xml:space="preserve"> </w:t>
      </w:r>
      <w:r w:rsidR="003E3FFE" w:rsidRPr="003E3FFE">
        <w:rPr>
          <w:lang w:val="es-ES"/>
        </w:rPr>
        <w:t>–</w:t>
      </w:r>
      <w:r w:rsidR="003E3FFE">
        <w:rPr>
          <w:lang w:val="es-ES"/>
        </w:rPr>
        <w:t xml:space="preserve"> </w:t>
      </w:r>
      <w:r>
        <w:rPr>
          <w:lang w:val="es-ES"/>
        </w:rPr>
        <w:t>RIR Segunda reunión interregional para la preparación de la AMNT</w:t>
      </w:r>
      <w:r w:rsidR="003E3FFE">
        <w:rPr>
          <w:lang w:val="es-ES"/>
        </w:rPr>
        <w:noBreakHyphen/>
      </w:r>
      <w:r>
        <w:rPr>
          <w:lang w:val="es-ES"/>
        </w:rPr>
        <w:t>24 (por</w:t>
      </w:r>
      <w:r w:rsidR="003E3FFE">
        <w:rPr>
          <w:lang w:val="es-ES"/>
        </w:rPr>
        <w:t> </w:t>
      </w:r>
      <w:r>
        <w:rPr>
          <w:lang w:val="es-ES"/>
        </w:rPr>
        <w:t>publicar)</w:t>
      </w:r>
      <w:r w:rsidR="003E3FFE">
        <w:rPr>
          <w:lang w:val="es-ES"/>
        </w:rPr>
        <w:t>.</w:t>
      </w:r>
      <w:hyperlink r:id="rId24" w:history="1">
        <w:bookmarkStart w:id="35" w:name="_Hlt161662198"/>
        <w:bookmarkStart w:id="36" w:name="_Hlt161662199"/>
        <w:bookmarkEnd w:id="35"/>
        <w:bookmarkEnd w:id="36"/>
      </w:hyperlink>
      <w:bookmarkEnd w:id="34"/>
    </w:p>
    <w:p w14:paraId="5F526A7E" w14:textId="0EC48D9C" w:rsidR="0036329A" w:rsidRPr="0024755E" w:rsidRDefault="0036329A" w:rsidP="0036329A">
      <w:pPr>
        <w:pStyle w:val="enumlev1"/>
        <w:rPr>
          <w:rFonts w:cstheme="minorHAnsi"/>
          <w:szCs w:val="24"/>
          <w:lang w:val="es-ES"/>
        </w:rPr>
      </w:pPr>
      <w:bookmarkStart w:id="37" w:name="lt_pId047"/>
      <w:r w:rsidRPr="0036329A">
        <w:rPr>
          <w:lang w:val="es-ES"/>
        </w:rPr>
        <w:t>–</w:t>
      </w:r>
      <w:r>
        <w:rPr>
          <w:lang w:val="es-ES"/>
        </w:rPr>
        <w:tab/>
      </w:r>
      <w:r>
        <w:rPr>
          <w:lang w:val="es-ES"/>
        </w:rPr>
        <w:t xml:space="preserve">TSB </w:t>
      </w:r>
      <w:hyperlink r:id="rId25" w:history="1">
        <w:r w:rsidRPr="00192FE9">
          <w:rPr>
            <w:rStyle w:val="Hyperlink"/>
            <w:lang w:val="es-ES"/>
          </w:rPr>
          <w:t>CL 182</w:t>
        </w:r>
      </w:hyperlink>
      <w:r>
        <w:rPr>
          <w:lang w:val="es-ES"/>
        </w:rPr>
        <w:t xml:space="preserve"> </w:t>
      </w:r>
      <w:r w:rsidR="003E3FFE" w:rsidRPr="003E3FFE">
        <w:rPr>
          <w:lang w:val="es-ES"/>
        </w:rPr>
        <w:t>–</w:t>
      </w:r>
      <w:r w:rsidR="003E3FFE">
        <w:rPr>
          <w:lang w:val="es-ES"/>
        </w:rPr>
        <w:t xml:space="preserve"> </w:t>
      </w:r>
      <w:r>
        <w:rPr>
          <w:lang w:val="es-ES"/>
        </w:rPr>
        <w:t>Red de Mujeres para la AMNT-24 (17 de octubre de 2024)</w:t>
      </w:r>
      <w:bookmarkEnd w:id="37"/>
      <w:r w:rsidR="003E3FFE">
        <w:rPr>
          <w:lang w:val="es-ES"/>
        </w:rPr>
        <w:t>.</w:t>
      </w:r>
    </w:p>
    <w:p w14:paraId="77CC4CBF" w14:textId="14526885" w:rsidR="0036329A" w:rsidRPr="0024755E" w:rsidRDefault="0036329A" w:rsidP="0036329A">
      <w:pPr>
        <w:pStyle w:val="enumlev1"/>
        <w:rPr>
          <w:rFonts w:cstheme="minorHAnsi"/>
          <w:szCs w:val="24"/>
          <w:lang w:val="es-ES"/>
        </w:rPr>
      </w:pPr>
      <w:bookmarkStart w:id="38" w:name="lt_pId048"/>
      <w:r w:rsidRPr="0036329A">
        <w:rPr>
          <w:lang w:val="es-ES"/>
        </w:rPr>
        <w:t>–</w:t>
      </w:r>
      <w:r>
        <w:rPr>
          <w:lang w:val="es-ES"/>
        </w:rPr>
        <w:tab/>
      </w:r>
      <w:r>
        <w:rPr>
          <w:lang w:val="es-ES"/>
        </w:rPr>
        <w:t xml:space="preserve">UIT </w:t>
      </w:r>
      <w:hyperlink r:id="rId26" w:history="1">
        <w:r w:rsidRPr="00192FE9">
          <w:rPr>
            <w:rStyle w:val="Hyperlink"/>
            <w:lang w:val="es-ES"/>
          </w:rPr>
          <w:t>CL-24/6</w:t>
        </w:r>
      </w:hyperlink>
      <w:r>
        <w:rPr>
          <w:lang w:val="es-ES"/>
        </w:rPr>
        <w:t xml:space="preserve"> – Caleidoscopio de la UIT 2024 (21-23 de octubre de 2024)</w:t>
      </w:r>
      <w:bookmarkEnd w:id="38"/>
      <w:r w:rsidR="003E3FFE">
        <w:rPr>
          <w:lang w:val="es-ES"/>
        </w:rPr>
        <w:t>.</w:t>
      </w:r>
    </w:p>
    <w:p w14:paraId="73A92795" w14:textId="43BAC1D3" w:rsidR="0036329A" w:rsidRPr="0024755E" w:rsidRDefault="0036329A" w:rsidP="0036329A">
      <w:pPr>
        <w:pStyle w:val="Heading1"/>
        <w:rPr>
          <w:rFonts w:cstheme="minorHAnsi"/>
          <w:szCs w:val="24"/>
          <w:lang w:val="es-ES"/>
        </w:rPr>
      </w:pPr>
      <w:bookmarkStart w:id="39" w:name="lt_pId049"/>
      <w:r>
        <w:rPr>
          <w:lang w:val="es-ES"/>
        </w:rPr>
        <w:t>3</w:t>
      </w:r>
      <w:r>
        <w:rPr>
          <w:lang w:val="es-ES"/>
        </w:rPr>
        <w:tab/>
      </w:r>
      <w:r>
        <w:rPr>
          <w:lang w:val="es-ES"/>
        </w:rPr>
        <w:t>Candidatos a la presidencia de las Comisiones de Estudio del UIT-T, el GANT y el CNV</w:t>
      </w:r>
      <w:bookmarkEnd w:id="39"/>
    </w:p>
    <w:p w14:paraId="3B60640F" w14:textId="1E4DABBE" w:rsidR="0036329A" w:rsidRPr="0024755E" w:rsidRDefault="0036329A" w:rsidP="0036329A">
      <w:pPr>
        <w:rPr>
          <w:rFonts w:cstheme="minorHAnsi"/>
          <w:szCs w:val="24"/>
          <w:lang w:val="es-ES"/>
        </w:rPr>
      </w:pPr>
      <w:bookmarkStart w:id="40" w:name="lt_pId050"/>
      <w:r>
        <w:rPr>
          <w:lang w:val="es-ES"/>
        </w:rPr>
        <w:t>3.1</w:t>
      </w:r>
      <w:r>
        <w:rPr>
          <w:lang w:val="es-ES"/>
        </w:rPr>
        <w:tab/>
      </w:r>
      <w:r w:rsidRPr="0024755E">
        <w:rPr>
          <w:lang w:val="es-ES"/>
        </w:rPr>
        <w:t xml:space="preserve">En la </w:t>
      </w:r>
      <w:hyperlink r:id="rId27" w:history="1">
        <w:r w:rsidRPr="00192FE9">
          <w:rPr>
            <w:rStyle w:val="Hyperlink"/>
            <w:lang w:val="es-ES"/>
          </w:rPr>
          <w:t>Circular TSB 176</w:t>
        </w:r>
      </w:hyperlink>
      <w:r w:rsidRPr="0024755E">
        <w:rPr>
          <w:lang w:val="es-ES"/>
        </w:rPr>
        <w:t xml:space="preserve"> (12 de febrero de 2024) se convoca a candidatos a las presidencias y vicepresidencias de las Comisiones de Estudio del UIT-T, el Grupo Asesor de Normalización de las Telecomunicaciones (GANT) y el Comité para la Normalización del Vocabulario (CNV) para 2024</w:t>
      </w:r>
      <w:r w:rsidR="003E3FFE">
        <w:rPr>
          <w:lang w:val="es-ES"/>
        </w:rPr>
        <w:noBreakHyphen/>
      </w:r>
      <w:r w:rsidRPr="0024755E">
        <w:rPr>
          <w:lang w:val="es-ES"/>
        </w:rPr>
        <w:t xml:space="preserve">2028. Se alienta a los Estados Miembros, a los Miembros de Sector del UIT-T y a las Comisiones de Estudio interesadas y al GANT a ayudar a la AMNT a nombrar Presidentes y Vicepresidentes de las Comisiones de Estudio del UIT-T, del Grupo Asesor de Normalización de las Telecomunicaciones (GANT) y del Comité para la Normalización del Vocabulario (CNV), mediante la selección de los candidatos adecuados. Las candidaturas recibidas hasta la fecha se publican en el </w:t>
      </w:r>
      <w:hyperlink r:id="rId28" w:anchor="/es" w:history="1">
        <w:r w:rsidRPr="00192FE9">
          <w:rPr>
            <w:rStyle w:val="Hyperlink"/>
            <w:lang w:val="es-ES"/>
          </w:rPr>
          <w:t>sitio web de la AMNT-24</w:t>
        </w:r>
      </w:hyperlink>
      <w:r w:rsidRPr="0024755E">
        <w:rPr>
          <w:lang w:val="es-ES"/>
        </w:rPr>
        <w:t xml:space="preserve">. El Director de la TSB agradecería recibir las candidaturas antes del </w:t>
      </w:r>
      <w:r w:rsidRPr="00192FE9">
        <w:rPr>
          <w:b/>
          <w:bCs/>
          <w:lang w:val="es-ES"/>
        </w:rPr>
        <w:t>14</w:t>
      </w:r>
      <w:r w:rsidR="003E3FFE">
        <w:rPr>
          <w:b/>
          <w:bCs/>
          <w:lang w:val="es-ES"/>
        </w:rPr>
        <w:t> </w:t>
      </w:r>
      <w:r w:rsidRPr="00192FE9">
        <w:rPr>
          <w:b/>
          <w:bCs/>
          <w:lang w:val="es-ES"/>
        </w:rPr>
        <w:t>de julio de 2024</w:t>
      </w:r>
      <w:r w:rsidRPr="0024755E">
        <w:rPr>
          <w:lang w:val="es-ES"/>
        </w:rPr>
        <w:t>, pero a más tardar el 16 de septiembre de 2024.</w:t>
      </w:r>
      <w:bookmarkStart w:id="41" w:name="lt_pId051"/>
      <w:bookmarkStart w:id="42" w:name="lt_pId052"/>
      <w:bookmarkStart w:id="43" w:name="lt_pId053"/>
      <w:bookmarkEnd w:id="40"/>
      <w:bookmarkEnd w:id="41"/>
      <w:bookmarkEnd w:id="42"/>
      <w:bookmarkEnd w:id="43"/>
    </w:p>
    <w:p w14:paraId="7BEB60B2" w14:textId="79D0657B" w:rsidR="0036329A" w:rsidRPr="00E92AF2" w:rsidRDefault="0036329A" w:rsidP="0036329A">
      <w:pPr>
        <w:pStyle w:val="Heading1"/>
        <w:rPr>
          <w:rFonts w:cstheme="minorHAnsi"/>
          <w:szCs w:val="24"/>
        </w:rPr>
      </w:pPr>
      <w:bookmarkStart w:id="44" w:name="lt_pId054"/>
      <w:r>
        <w:rPr>
          <w:lang w:val="es-ES"/>
        </w:rPr>
        <w:t>4</w:t>
      </w:r>
      <w:r>
        <w:rPr>
          <w:lang w:val="es-ES"/>
        </w:rPr>
        <w:tab/>
      </w:r>
      <w:r>
        <w:rPr>
          <w:lang w:val="es-ES"/>
        </w:rPr>
        <w:t>Reuniones preparatorias regionales</w:t>
      </w:r>
      <w:bookmarkEnd w:id="44"/>
    </w:p>
    <w:p w14:paraId="0FE99749" w14:textId="68BEA083" w:rsidR="0036329A" w:rsidRPr="0024755E" w:rsidRDefault="0036329A" w:rsidP="0036329A">
      <w:pPr>
        <w:rPr>
          <w:rFonts w:cstheme="minorHAnsi"/>
          <w:szCs w:val="24"/>
          <w:lang w:val="es-ES"/>
        </w:rPr>
      </w:pPr>
      <w:bookmarkStart w:id="45" w:name="lt_pId055"/>
      <w:r>
        <w:rPr>
          <w:lang w:val="es-ES"/>
        </w:rPr>
        <w:t>4.1</w:t>
      </w:r>
      <w:r>
        <w:rPr>
          <w:lang w:val="es-ES"/>
        </w:rPr>
        <w:tab/>
      </w:r>
      <w:r>
        <w:rPr>
          <w:lang w:val="es-ES"/>
        </w:rPr>
        <w:t xml:space="preserve">Las organizaciones regionales de telecomunicaciones, en coordinación con la TSB, han organizado </w:t>
      </w:r>
      <w:r w:rsidR="009E53F3">
        <w:rPr>
          <w:lang w:val="es-ES"/>
        </w:rPr>
        <w:t>u</w:t>
      </w:r>
      <w:r>
        <w:rPr>
          <w:lang w:val="es-ES"/>
        </w:rPr>
        <w:t xml:space="preserve"> organizarán reuniones preparatorias regionales. Las últimas actualizaciones del calendario de todas las reuniones preparatorias previstas también están disponibles en el </w:t>
      </w:r>
      <w:hyperlink r:id="rId29" w:anchor="/es" w:history="1">
        <w:r w:rsidRPr="00192FE9">
          <w:rPr>
            <w:rStyle w:val="Hyperlink"/>
            <w:lang w:val="es-ES"/>
          </w:rPr>
          <w:t>sitio</w:t>
        </w:r>
        <w:r w:rsidR="003E3FFE">
          <w:rPr>
            <w:rStyle w:val="Hyperlink"/>
            <w:lang w:val="es-ES"/>
          </w:rPr>
          <w:t> </w:t>
        </w:r>
        <w:r w:rsidRPr="00192FE9">
          <w:rPr>
            <w:rStyle w:val="Hyperlink"/>
            <w:lang w:val="es-ES"/>
          </w:rPr>
          <w:t>web de la AMNT-24</w:t>
        </w:r>
      </w:hyperlink>
      <w:r>
        <w:rPr>
          <w:lang w:val="es-ES"/>
        </w:rPr>
        <w:t xml:space="preserve">. </w:t>
      </w:r>
      <w:bookmarkStart w:id="46" w:name="lt_pId056"/>
      <w:bookmarkEnd w:id="45"/>
      <w:bookmarkEnd w:id="46"/>
    </w:p>
    <w:p w14:paraId="0F5D807F" w14:textId="0BE80D90" w:rsidR="0036329A" w:rsidRPr="0024755E" w:rsidRDefault="0036329A" w:rsidP="0036329A">
      <w:pPr>
        <w:rPr>
          <w:rFonts w:cstheme="minorHAnsi"/>
          <w:szCs w:val="24"/>
          <w:lang w:val="es-ES"/>
        </w:rPr>
      </w:pPr>
      <w:bookmarkStart w:id="47" w:name="lt_pId057"/>
      <w:r w:rsidRPr="0036329A">
        <w:rPr>
          <w:lang w:val="es-ES"/>
        </w:rPr>
        <w:t>4.</w:t>
      </w:r>
      <w:r>
        <w:rPr>
          <w:lang w:val="es-ES"/>
        </w:rPr>
        <w:t>2</w:t>
      </w:r>
      <w:r>
        <w:rPr>
          <w:lang w:val="es-ES"/>
        </w:rPr>
        <w:tab/>
      </w:r>
      <w:hyperlink r:id="rId30" w:history="1">
        <w:r w:rsidRPr="0024755E">
          <w:rPr>
            <w:lang w:val="es-ES"/>
          </w:rPr>
          <w:t xml:space="preserve">La primera reunión interregional (RIR) se celebró el 18 de enero de 2024 como reunión virtual, previa a la tercera reunión del GANT. </w:t>
        </w:r>
      </w:hyperlink>
      <w:bookmarkEnd w:id="47"/>
    </w:p>
    <w:p w14:paraId="11174BBA" w14:textId="4FD3E81C" w:rsidR="0036329A" w:rsidRPr="0024755E" w:rsidRDefault="0036329A" w:rsidP="0036329A">
      <w:pPr>
        <w:rPr>
          <w:rFonts w:cstheme="minorHAnsi"/>
          <w:szCs w:val="24"/>
          <w:lang w:val="es-ES"/>
        </w:rPr>
      </w:pPr>
      <w:bookmarkStart w:id="48" w:name="lt_pId058"/>
      <w:r>
        <w:rPr>
          <w:lang w:val="es-ES"/>
        </w:rPr>
        <w:t>4.3</w:t>
      </w:r>
      <w:r>
        <w:rPr>
          <w:lang w:val="es-ES"/>
        </w:rPr>
        <w:tab/>
      </w:r>
      <w:hyperlink r:id="rId31" w:history="1">
        <w:r w:rsidRPr="00192FE9">
          <w:rPr>
            <w:rStyle w:val="Hyperlink"/>
            <w:lang w:val="es-ES"/>
          </w:rPr>
          <w:t>La segunda RIR</w:t>
        </w:r>
      </w:hyperlink>
      <w:r w:rsidRPr="0024755E">
        <w:rPr>
          <w:lang w:val="es-ES"/>
        </w:rPr>
        <w:t xml:space="preserve"> se celebrará virtualmente el 25 de julio de 2024, inmediatamente después de la cuarta reunión del GANT.</w:t>
      </w:r>
      <w:bookmarkEnd w:id="48"/>
    </w:p>
    <w:p w14:paraId="45C0CBE7" w14:textId="5B45FC0F" w:rsidR="0036329A" w:rsidRPr="0024755E" w:rsidRDefault="0036329A" w:rsidP="0036329A">
      <w:pPr>
        <w:rPr>
          <w:rFonts w:cstheme="minorHAnsi"/>
          <w:szCs w:val="24"/>
          <w:lang w:val="es-ES"/>
        </w:rPr>
      </w:pPr>
      <w:bookmarkStart w:id="49" w:name="lt_pId059"/>
      <w:r>
        <w:rPr>
          <w:lang w:val="es-ES"/>
        </w:rPr>
        <w:t>4.</w:t>
      </w:r>
      <w:r>
        <w:rPr>
          <w:lang w:val="es-ES"/>
        </w:rPr>
        <w:tab/>
      </w:r>
      <w:r>
        <w:rPr>
          <w:lang w:val="es-ES"/>
        </w:rPr>
        <w:t>Es posible que se planifique una tercera RIR virtualmente en septiembre de 2024.</w:t>
      </w:r>
      <w:bookmarkEnd w:id="49"/>
    </w:p>
    <w:p w14:paraId="105B32A4" w14:textId="11066C88" w:rsidR="0036329A" w:rsidRPr="0024755E" w:rsidRDefault="0036329A" w:rsidP="0036329A">
      <w:pPr>
        <w:rPr>
          <w:rFonts w:cstheme="minorHAnsi"/>
          <w:szCs w:val="24"/>
          <w:lang w:val="es-ES"/>
        </w:rPr>
      </w:pPr>
      <w:bookmarkStart w:id="50" w:name="lt_pId060"/>
      <w:r>
        <w:rPr>
          <w:lang w:val="es-ES"/>
        </w:rPr>
        <w:t>4.5</w:t>
      </w:r>
      <w:r>
        <w:rPr>
          <w:lang w:val="es-ES"/>
        </w:rPr>
        <w:tab/>
      </w:r>
      <w:r>
        <w:rPr>
          <w:lang w:val="es-ES"/>
        </w:rPr>
        <w:t xml:space="preserve">En su </w:t>
      </w:r>
      <w:hyperlink r:id="rId32" w:anchor="/es" w:history="1">
        <w:r w:rsidRPr="00192FE9">
          <w:rPr>
            <w:rStyle w:val="Hyperlink"/>
            <w:lang w:val="es-ES"/>
          </w:rPr>
          <w:t>página web</w:t>
        </w:r>
      </w:hyperlink>
      <w:r>
        <w:rPr>
          <w:lang w:val="es-ES"/>
        </w:rPr>
        <w:t xml:space="preserve"> figura información sobre la coordinación interregional.</w:t>
      </w:r>
      <w:bookmarkEnd w:id="50"/>
    </w:p>
    <w:p w14:paraId="15B26944" w14:textId="4BB61165" w:rsidR="0036329A" w:rsidRPr="0024755E" w:rsidRDefault="0036329A" w:rsidP="0036329A">
      <w:pPr>
        <w:pStyle w:val="Heading1"/>
        <w:rPr>
          <w:rFonts w:cstheme="minorHAnsi"/>
          <w:szCs w:val="24"/>
          <w:lang w:val="es-ES"/>
        </w:rPr>
      </w:pPr>
      <w:bookmarkStart w:id="51" w:name="lt_pId061"/>
      <w:r>
        <w:rPr>
          <w:lang w:val="es-ES"/>
        </w:rPr>
        <w:t>5</w:t>
      </w:r>
      <w:r>
        <w:rPr>
          <w:lang w:val="es-ES"/>
        </w:rPr>
        <w:tab/>
      </w:r>
      <w:r>
        <w:rPr>
          <w:lang w:val="es-ES"/>
        </w:rPr>
        <w:t>Preparativos del Grupo Asesor de Normalización de las Telecomunicaciones (GANT) y de las Comisiones de Estudio del UIT-T para la AMNT</w:t>
      </w:r>
      <w:bookmarkEnd w:id="51"/>
    </w:p>
    <w:p w14:paraId="787D0534" w14:textId="560B3110" w:rsidR="0036329A" w:rsidRPr="0024755E" w:rsidRDefault="0036329A" w:rsidP="0036329A">
      <w:pPr>
        <w:rPr>
          <w:rFonts w:cstheme="minorHAnsi"/>
          <w:szCs w:val="24"/>
          <w:lang w:val="es-ES"/>
        </w:rPr>
      </w:pPr>
      <w:bookmarkStart w:id="52" w:name="lt_pId062"/>
      <w:r>
        <w:rPr>
          <w:lang w:val="es-ES"/>
        </w:rPr>
        <w:t>5.1</w:t>
      </w:r>
      <w:r>
        <w:rPr>
          <w:lang w:val="es-ES"/>
        </w:rPr>
        <w:tab/>
      </w:r>
      <w:r>
        <w:rPr>
          <w:lang w:val="es-ES"/>
        </w:rPr>
        <w:t xml:space="preserve">Todas las </w:t>
      </w:r>
      <w:hyperlink r:id="rId33" w:history="1">
        <w:r w:rsidRPr="00192FE9">
          <w:rPr>
            <w:rStyle w:val="Hyperlink"/>
            <w:lang w:val="es-ES"/>
          </w:rPr>
          <w:t>Comisiones de Estudio del UIT-T</w:t>
        </w:r>
      </w:hyperlink>
      <w:r>
        <w:rPr>
          <w:lang w:val="es-ES"/>
        </w:rPr>
        <w:t xml:space="preserve"> han comenzado sus preparativos para la AMNT</w:t>
      </w:r>
      <w:r w:rsidR="003E3FFE">
        <w:rPr>
          <w:lang w:val="es-ES"/>
        </w:rPr>
        <w:noBreakHyphen/>
      </w:r>
      <w:r>
        <w:rPr>
          <w:lang w:val="es-ES"/>
        </w:rPr>
        <w:t>24.</w:t>
      </w:r>
      <w:bookmarkEnd w:id="52"/>
    </w:p>
    <w:p w14:paraId="6F3DA23C" w14:textId="7135E90A" w:rsidR="0036329A" w:rsidRPr="0024755E" w:rsidRDefault="0036329A" w:rsidP="0036329A">
      <w:pPr>
        <w:rPr>
          <w:rFonts w:cstheme="minorHAnsi"/>
          <w:szCs w:val="24"/>
          <w:lang w:val="es-ES"/>
        </w:rPr>
      </w:pPr>
      <w:bookmarkStart w:id="53" w:name="lt_pId063"/>
      <w:r>
        <w:rPr>
          <w:lang w:val="es-ES"/>
        </w:rPr>
        <w:t>5.2</w:t>
      </w:r>
      <w:r>
        <w:rPr>
          <w:lang w:val="es-ES"/>
        </w:rPr>
        <w:tab/>
      </w:r>
      <w:r>
        <w:rPr>
          <w:lang w:val="es-ES"/>
        </w:rPr>
        <w:t xml:space="preserve">El GANT ha creado y puesto en marcha dos Grupos de Relator específicamente encargados de los preparativos para la AMNT-24: el Grupo de Relator sobre el programa de trabajo del UIT-T y </w:t>
      </w:r>
      <w:r>
        <w:rPr>
          <w:lang w:val="es-ES"/>
        </w:rPr>
        <w:lastRenderedPageBreak/>
        <w:t>la reestructuración de las Comisiones de Estudio (GR-PTR) y el Grupo de Relator sobre los preparativos y el examen de las Resoluciones de la AMNT (GR-AMNT). y el Grupo de Relator para la preparación y examen de Resoluciones de la AMNT (GR-AMNT).</w:t>
      </w:r>
      <w:bookmarkEnd w:id="53"/>
    </w:p>
    <w:p w14:paraId="2A85CBDD" w14:textId="742E6AB1" w:rsidR="0036329A" w:rsidRPr="0024755E" w:rsidRDefault="0036329A" w:rsidP="0036329A">
      <w:pPr>
        <w:rPr>
          <w:rFonts w:cstheme="minorHAnsi"/>
          <w:szCs w:val="24"/>
          <w:lang w:val="es-ES"/>
        </w:rPr>
      </w:pPr>
      <w:bookmarkStart w:id="54" w:name="lt_pId064"/>
      <w:r>
        <w:rPr>
          <w:lang w:val="es-ES"/>
        </w:rPr>
        <w:t>5.3</w:t>
      </w:r>
      <w:r>
        <w:rPr>
          <w:lang w:val="es-ES"/>
        </w:rPr>
        <w:tab/>
      </w:r>
      <w:r>
        <w:rPr>
          <w:lang w:val="es-ES"/>
        </w:rPr>
        <w:t xml:space="preserve">El GANT tiene previsto celebrar dos reuniones más y una serie de </w:t>
      </w:r>
      <w:hyperlink r:id="rId34" w:history="1">
        <w:r w:rsidRPr="00192FE9">
          <w:rPr>
            <w:rStyle w:val="Hyperlink"/>
            <w:lang w:val="es-ES"/>
          </w:rPr>
          <w:t>reuniones de los Grupos de Relator</w:t>
        </w:r>
      </w:hyperlink>
      <w:r>
        <w:rPr>
          <w:lang w:val="es-ES"/>
        </w:rPr>
        <w:t xml:space="preserve"> para adelantar los preparativos para la AMNT-24.</w:t>
      </w:r>
      <w:bookmarkEnd w:id="54"/>
    </w:p>
    <w:p w14:paraId="69EA9EB2" w14:textId="6B965F1D" w:rsidR="0036329A" w:rsidRPr="0024755E" w:rsidRDefault="0036329A" w:rsidP="0036329A">
      <w:pPr>
        <w:pStyle w:val="Heading1"/>
        <w:rPr>
          <w:rFonts w:cstheme="minorHAnsi"/>
          <w:szCs w:val="24"/>
          <w:lang w:val="es-ES"/>
        </w:rPr>
      </w:pPr>
      <w:bookmarkStart w:id="55" w:name="lt_pId065"/>
      <w:r>
        <w:rPr>
          <w:lang w:val="es-ES"/>
        </w:rPr>
        <w:t>6</w:t>
      </w:r>
      <w:r>
        <w:rPr>
          <w:lang w:val="es-ES"/>
        </w:rPr>
        <w:tab/>
      </w:r>
      <w:r>
        <w:rPr>
          <w:lang w:val="es-ES"/>
        </w:rPr>
        <w:t>Plazo límite para la presentación de propuestas a la AMNT-24</w:t>
      </w:r>
      <w:bookmarkEnd w:id="55"/>
    </w:p>
    <w:p w14:paraId="68D70274" w14:textId="4A6A8B7F" w:rsidR="0036329A" w:rsidRPr="0024755E" w:rsidRDefault="0036329A" w:rsidP="0036329A">
      <w:pPr>
        <w:rPr>
          <w:rFonts w:cstheme="minorHAnsi"/>
          <w:szCs w:val="24"/>
          <w:lang w:val="es-ES"/>
        </w:rPr>
      </w:pPr>
      <w:bookmarkStart w:id="56" w:name="_Hlk52456721"/>
      <w:bookmarkStart w:id="57" w:name="lt_pId066"/>
      <w:r>
        <w:rPr>
          <w:lang w:val="es-ES"/>
        </w:rPr>
        <w:t>6.1</w:t>
      </w:r>
      <w:r>
        <w:rPr>
          <w:lang w:val="es-ES"/>
        </w:rPr>
        <w:tab/>
      </w:r>
      <w:r>
        <w:rPr>
          <w:lang w:val="es-ES"/>
        </w:rPr>
        <w:t>Se invita a las delegaciones a presentar contribuciones a la AMNT-24 cuatro semanas antes de la apertura de la AMNT-24 (lunes 16 de septiembre de 2024), habida cuenta de que en la Resolución 165 (Dubái, 2018) de la Conferencia de Plenipotenciarios se estipula un plazo estricto de 21 días naturales antes de la apertura de la AMNT-24 (lunes 23 de septiembre de 2024 a las 23.59 horas de Ginebra)</w:t>
      </w:r>
      <w:r>
        <w:rPr>
          <w:vertAlign w:val="superscript"/>
          <w:lang w:val="es-ES"/>
        </w:rPr>
        <w:footnoteReference w:id="1"/>
      </w:r>
      <w:r>
        <w:rPr>
          <w:lang w:val="es-ES"/>
        </w:rPr>
        <w:t>.</w:t>
      </w:r>
      <w:bookmarkEnd w:id="56"/>
      <w:bookmarkEnd w:id="57"/>
    </w:p>
    <w:p w14:paraId="1B861CA5" w14:textId="51C7D1AE" w:rsidR="0036329A" w:rsidRPr="00E92AF2" w:rsidRDefault="0036329A" w:rsidP="0036329A">
      <w:pPr>
        <w:pStyle w:val="Heading1"/>
        <w:rPr>
          <w:rFonts w:cstheme="minorHAnsi"/>
          <w:szCs w:val="24"/>
        </w:rPr>
      </w:pPr>
      <w:bookmarkStart w:id="59" w:name="lt_pId067"/>
      <w:r>
        <w:rPr>
          <w:lang w:val="es-ES"/>
        </w:rPr>
        <w:t>7</w:t>
      </w:r>
      <w:r>
        <w:rPr>
          <w:lang w:val="es-ES"/>
        </w:rPr>
        <w:tab/>
      </w:r>
      <w:r>
        <w:rPr>
          <w:lang w:val="es-ES"/>
        </w:rPr>
        <w:t>Becas</w:t>
      </w:r>
      <w:bookmarkEnd w:id="59"/>
    </w:p>
    <w:p w14:paraId="0305AD21" w14:textId="629B8B17" w:rsidR="0036329A" w:rsidRPr="0024755E" w:rsidRDefault="0036329A" w:rsidP="0036329A">
      <w:pPr>
        <w:rPr>
          <w:rFonts w:cstheme="minorHAnsi"/>
          <w:szCs w:val="24"/>
          <w:lang w:val="es-ES"/>
        </w:rPr>
      </w:pPr>
      <w:bookmarkStart w:id="60" w:name="lt_pId068"/>
      <w:r>
        <w:rPr>
          <w:lang w:val="es-ES"/>
        </w:rPr>
        <w:t>7.1</w:t>
      </w:r>
      <w:r>
        <w:rPr>
          <w:lang w:val="es-ES"/>
        </w:rPr>
        <w:tab/>
      </w:r>
      <w:r>
        <w:rPr>
          <w:lang w:val="es-ES"/>
        </w:rPr>
        <w:t>Las becas de cada Estado Miembro elegible para la AMNT-24 se concederán sobre la base de los fondos disponibles para facilitar la participación de los países en desarrollo. Una solicitud debe ser autorizada por la Administración competente del Estado Miembro de la UIT.</w:t>
      </w:r>
      <w:bookmarkStart w:id="61" w:name="lt_pId069"/>
      <w:bookmarkEnd w:id="60"/>
      <w:bookmarkEnd w:id="61"/>
    </w:p>
    <w:p w14:paraId="0BCF6D89" w14:textId="77777777" w:rsidR="0036329A" w:rsidRPr="0024755E" w:rsidRDefault="0036329A" w:rsidP="0036329A">
      <w:pPr>
        <w:pStyle w:val="Heading1"/>
        <w:rPr>
          <w:rFonts w:cstheme="minorHAnsi"/>
          <w:szCs w:val="24"/>
          <w:lang w:val="es-ES"/>
        </w:rPr>
      </w:pPr>
      <w:bookmarkStart w:id="62" w:name="lt_pId070"/>
      <w:r>
        <w:rPr>
          <w:lang w:val="es-ES"/>
        </w:rPr>
        <w:t>Avance de los preparativos con el país anfitrión, India</w:t>
      </w:r>
      <w:bookmarkEnd w:id="62"/>
    </w:p>
    <w:p w14:paraId="2FA9CA22" w14:textId="51958007" w:rsidR="0036329A" w:rsidRPr="0024755E" w:rsidRDefault="0036329A" w:rsidP="0036329A">
      <w:pPr>
        <w:rPr>
          <w:rFonts w:cstheme="minorHAnsi"/>
          <w:szCs w:val="24"/>
          <w:lang w:val="es-ES"/>
        </w:rPr>
      </w:pPr>
      <w:bookmarkStart w:id="63" w:name="lt_pId071"/>
      <w:r>
        <w:rPr>
          <w:lang w:val="es-ES"/>
        </w:rPr>
        <w:t>8.1</w:t>
      </w:r>
      <w:r>
        <w:rPr>
          <w:lang w:val="es-ES"/>
        </w:rPr>
        <w:tab/>
      </w:r>
      <w:r>
        <w:rPr>
          <w:lang w:val="es-ES"/>
        </w:rPr>
        <w:t>El país anfitrión, India, y la Secretaría siguen manteniendo discusiones periódicas sobre:</w:t>
      </w:r>
      <w:bookmarkEnd w:id="63"/>
    </w:p>
    <w:p w14:paraId="1FBC4F03" w14:textId="4830EE37" w:rsidR="0036329A" w:rsidRPr="0024755E" w:rsidRDefault="0036329A" w:rsidP="0036329A">
      <w:pPr>
        <w:rPr>
          <w:rFonts w:cstheme="minorHAnsi"/>
          <w:szCs w:val="24"/>
          <w:lang w:val="es-ES"/>
        </w:rPr>
      </w:pPr>
      <w:bookmarkStart w:id="64" w:name="lt_pId072"/>
      <w:r>
        <w:rPr>
          <w:lang w:val="es-ES"/>
        </w:rPr>
        <w:t>8.1.1</w:t>
      </w:r>
      <w:r>
        <w:rPr>
          <w:lang w:val="es-ES"/>
        </w:rPr>
        <w:tab/>
      </w:r>
      <w:r>
        <w:rPr>
          <w:lang w:val="es-ES"/>
        </w:rPr>
        <w:t>Aplicación de las disposiciones estipuladas en el Acuerdo de País Anfitrión.</w:t>
      </w:r>
      <w:bookmarkEnd w:id="64"/>
    </w:p>
    <w:p w14:paraId="162FFA6D" w14:textId="68BCC17C" w:rsidR="0036329A" w:rsidRPr="0024755E" w:rsidRDefault="0036329A" w:rsidP="0036329A">
      <w:pPr>
        <w:rPr>
          <w:rFonts w:cstheme="minorHAnsi"/>
          <w:szCs w:val="24"/>
          <w:lang w:val="es-ES"/>
        </w:rPr>
      </w:pPr>
      <w:bookmarkStart w:id="65" w:name="lt_pId073"/>
      <w:r>
        <w:rPr>
          <w:lang w:val="es-ES"/>
        </w:rPr>
        <w:t>8.1.2</w:t>
      </w:r>
      <w:r>
        <w:rPr>
          <w:lang w:val="es-ES"/>
        </w:rPr>
        <w:tab/>
      </w:r>
      <w:r>
        <w:rPr>
          <w:lang w:val="es-ES"/>
        </w:rPr>
        <w:t>Disposiciones logísticas para los diversos eventos paralelos previstos para la AMNT-24.</w:t>
      </w:r>
      <w:bookmarkEnd w:id="65"/>
    </w:p>
    <w:p w14:paraId="49A6D8A3" w14:textId="52D074B4" w:rsidR="0036329A" w:rsidRPr="00E92AF2" w:rsidRDefault="0036329A" w:rsidP="0036329A">
      <w:pPr>
        <w:pStyle w:val="Heading1"/>
        <w:rPr>
          <w:rFonts w:cstheme="minorHAnsi"/>
          <w:szCs w:val="24"/>
        </w:rPr>
      </w:pPr>
      <w:bookmarkStart w:id="66" w:name="lt_pId074"/>
      <w:r>
        <w:rPr>
          <w:lang w:val="es-ES"/>
        </w:rPr>
        <w:t>9</w:t>
      </w:r>
      <w:r>
        <w:rPr>
          <w:lang w:val="es-ES"/>
        </w:rPr>
        <w:tab/>
      </w:r>
      <w:r>
        <w:rPr>
          <w:lang w:val="es-ES"/>
        </w:rPr>
        <w:t>Sitio web de la AMNT</w:t>
      </w:r>
      <w:bookmarkEnd w:id="66"/>
    </w:p>
    <w:p w14:paraId="05D27585" w14:textId="20D1CDC8" w:rsidR="00EC6FED" w:rsidRPr="00D8041C" w:rsidRDefault="0036329A" w:rsidP="0036329A">
      <w:pPr>
        <w:rPr>
          <w:lang w:val="es-ES_tradnl"/>
        </w:rPr>
      </w:pPr>
      <w:bookmarkStart w:id="67" w:name="lt_pId075"/>
      <w:r>
        <w:rPr>
          <w:lang w:val="es-ES"/>
        </w:rPr>
        <w:t xml:space="preserve">El sitio web de la AMNT-24 </w:t>
      </w:r>
      <w:hyperlink r:id="rId35" w:anchor="/es" w:history="1">
        <w:r w:rsidRPr="00625FD5">
          <w:rPr>
            <w:rStyle w:val="Hyperlink"/>
            <w:lang w:val="es-ES"/>
          </w:rPr>
          <w:t>https://www.itu.int/wtsa/2024/#/es</w:t>
        </w:r>
      </w:hyperlink>
      <w:r>
        <w:rPr>
          <w:lang w:val="es-ES"/>
        </w:rPr>
        <w:t xml:space="preserve"> contiene toda la información mencionada.</w:t>
      </w:r>
      <w:bookmarkEnd w:id="67"/>
    </w:p>
    <w:p w14:paraId="32909D48" w14:textId="77777777" w:rsidR="0036329A" w:rsidRDefault="0036329A" w:rsidP="00411C49">
      <w:pPr>
        <w:pStyle w:val="Reasons"/>
      </w:pPr>
    </w:p>
    <w:p w14:paraId="70EEA8CC" w14:textId="77777777" w:rsidR="0036329A" w:rsidRDefault="0036329A">
      <w:pPr>
        <w:jc w:val="center"/>
      </w:pPr>
      <w:r>
        <w:t>______________</w:t>
      </w:r>
    </w:p>
    <w:sectPr w:rsidR="0036329A" w:rsidSect="00473791">
      <w:headerReference w:type="default" r:id="rId36"/>
      <w:footerReference w:type="default" r:id="rId37"/>
      <w:footerReference w:type="first" r:id="rId3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7444" w14:textId="77777777" w:rsidR="0036329A" w:rsidRDefault="0036329A">
      <w:r>
        <w:separator/>
      </w:r>
    </w:p>
  </w:endnote>
  <w:endnote w:type="continuationSeparator" w:id="0">
    <w:p w14:paraId="458851E1" w14:textId="77777777" w:rsidR="0036329A" w:rsidRDefault="0036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5BA" w14:textId="1C916B20" w:rsidR="009E53F3" w:rsidRDefault="009E53F3" w:rsidP="009E53F3">
    <w:pPr>
      <w:pStyle w:val="Footer"/>
    </w:pPr>
    <w:fldSimple w:instr=" FILENAME \p  \* MERGEFORMAT ">
      <w:r>
        <w:t>P:\ESP\DCPMS\2024\2400517S.docx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36329A" w14:paraId="636577F6" w14:textId="77777777" w:rsidTr="004E3CF5">
      <w:tc>
        <w:tcPr>
          <w:tcW w:w="1526" w:type="dxa"/>
          <w:tcBorders>
            <w:top w:val="single" w:sz="4" w:space="0" w:color="000000"/>
          </w:tcBorders>
          <w:shd w:val="clear" w:color="auto" w:fill="auto"/>
        </w:tcPr>
        <w:p w14:paraId="1ECD0D38"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3B80D4CB"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5870331B" w14:textId="0C6F48E4" w:rsidR="0059420B" w:rsidRPr="00842E57" w:rsidRDefault="0036329A" w:rsidP="0059420B">
          <w:pPr>
            <w:pStyle w:val="FirstFooter"/>
            <w:tabs>
              <w:tab w:val="left" w:pos="2302"/>
            </w:tabs>
            <w:rPr>
              <w:sz w:val="18"/>
              <w:szCs w:val="18"/>
              <w:lang w:val="es-ES_tradnl"/>
            </w:rPr>
          </w:pPr>
          <w:bookmarkStart w:id="68" w:name="lt_pId004"/>
          <w:r>
            <w:rPr>
              <w:lang w:val="es-ES"/>
            </w:rPr>
            <w:t>Sr. Seizo Onoe, Director, Oficina de Normalización de las Telecomunicaciones</w:t>
          </w:r>
          <w:bookmarkEnd w:id="68"/>
        </w:p>
      </w:tc>
      <w:bookmarkStart w:id="69" w:name="OrgName"/>
      <w:bookmarkEnd w:id="69"/>
    </w:tr>
    <w:tr w:rsidR="0059420B" w:rsidRPr="00842E57" w14:paraId="7577D4F0" w14:textId="77777777" w:rsidTr="004E3CF5">
      <w:tc>
        <w:tcPr>
          <w:tcW w:w="1526" w:type="dxa"/>
          <w:shd w:val="clear" w:color="auto" w:fill="auto"/>
        </w:tcPr>
        <w:p w14:paraId="46B7FA7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B0FDEB4"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4ADF5976" w14:textId="6FA348FC" w:rsidR="0059420B" w:rsidRPr="00842E57" w:rsidRDefault="0036329A" w:rsidP="0059420B">
          <w:pPr>
            <w:pStyle w:val="FirstFooter"/>
            <w:tabs>
              <w:tab w:val="left" w:pos="2302"/>
            </w:tabs>
            <w:rPr>
              <w:sz w:val="18"/>
              <w:szCs w:val="18"/>
              <w:lang w:val="es-ES_tradnl"/>
            </w:rPr>
          </w:pPr>
          <w:r>
            <w:rPr>
              <w:lang w:val="es-ES"/>
            </w:rPr>
            <w:t>+41 22 730 5851</w:t>
          </w:r>
        </w:p>
      </w:tc>
      <w:bookmarkStart w:id="70" w:name="PhoneNo"/>
      <w:bookmarkEnd w:id="70"/>
    </w:tr>
    <w:tr w:rsidR="0059420B" w:rsidRPr="00842E57" w14:paraId="31481E30" w14:textId="77777777" w:rsidTr="004E3CF5">
      <w:tc>
        <w:tcPr>
          <w:tcW w:w="1526" w:type="dxa"/>
          <w:shd w:val="clear" w:color="auto" w:fill="auto"/>
        </w:tcPr>
        <w:p w14:paraId="1130E98F"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C7CDBDB"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D0B3047" w14:textId="3B7A1EF5" w:rsidR="0059420B" w:rsidRPr="00842E57" w:rsidRDefault="0036329A" w:rsidP="0059420B">
          <w:pPr>
            <w:pStyle w:val="FirstFooter"/>
            <w:tabs>
              <w:tab w:val="left" w:pos="2302"/>
            </w:tabs>
            <w:rPr>
              <w:sz w:val="18"/>
              <w:szCs w:val="18"/>
              <w:lang w:val="es-ES_tradnl"/>
            </w:rPr>
          </w:pPr>
          <w:hyperlink r:id="rId1" w:history="1">
            <w:r w:rsidRPr="0024755E">
              <w:rPr>
                <w:rStyle w:val="Hyperlink"/>
              </w:rPr>
              <w:t>tsbdir@itu.int</w:t>
            </w:r>
          </w:hyperlink>
        </w:p>
      </w:tc>
      <w:bookmarkStart w:id="71" w:name="Email"/>
      <w:bookmarkEnd w:id="71"/>
    </w:tr>
  </w:tbl>
  <w:p w14:paraId="36BADDCC" w14:textId="77777777" w:rsidR="0059420B" w:rsidRDefault="0059420B" w:rsidP="00B80157">
    <w:pPr>
      <w:pStyle w:val="Footer"/>
      <w:jc w:val="center"/>
      <w:rPr>
        <w:lang w:val="en-GB"/>
      </w:rPr>
    </w:pPr>
  </w:p>
  <w:p w14:paraId="39DBA417" w14:textId="77777777" w:rsidR="00721657" w:rsidRPr="003C6C09" w:rsidRDefault="009E53F3"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B49A" w14:textId="77777777" w:rsidR="0036329A" w:rsidRDefault="0036329A">
      <w:r>
        <w:t>____________________</w:t>
      </w:r>
    </w:p>
  </w:footnote>
  <w:footnote w:type="continuationSeparator" w:id="0">
    <w:p w14:paraId="798FF5F2" w14:textId="77777777" w:rsidR="0036329A" w:rsidRDefault="0036329A">
      <w:r>
        <w:continuationSeparator/>
      </w:r>
    </w:p>
  </w:footnote>
  <w:footnote w:id="1">
    <w:p w14:paraId="2BD0244F" w14:textId="6DE3F370" w:rsidR="0036329A" w:rsidRPr="00192FE9" w:rsidRDefault="0036329A" w:rsidP="0036329A">
      <w:pPr>
        <w:pStyle w:val="FootnoteText"/>
        <w:spacing w:before="0"/>
        <w:ind w:left="0" w:firstLine="0"/>
        <w:rPr>
          <w:sz w:val="20"/>
          <w:lang w:val="es-ES"/>
        </w:rPr>
      </w:pPr>
      <w:r w:rsidRPr="00192FE9">
        <w:rPr>
          <w:rStyle w:val="FootnoteReference"/>
          <w:sz w:val="20"/>
          <w:lang w:val="es-ES"/>
        </w:rPr>
        <w:footnoteRef/>
      </w:r>
      <w:r w:rsidR="003E3FFE">
        <w:rPr>
          <w:sz w:val="20"/>
          <w:lang w:val="es-ES"/>
        </w:rPr>
        <w:tab/>
      </w:r>
      <w:r w:rsidRPr="00192FE9">
        <w:rPr>
          <w:sz w:val="20"/>
          <w:lang w:val="es-ES"/>
        </w:rPr>
        <w:t xml:space="preserve">Resolución 165 (Rev. Dubái, 2018) de la Conferencia de Plenipotenciarios "Plazos de presentación de propuestas y procedimientos para la inscripción de participantes en las conferencias y asambleas de la Unión" "resuelve, </w:t>
      </w:r>
      <w:r w:rsidRPr="00192FE9">
        <w:rPr>
          <w:sz w:val="20"/>
          <w:u w:val="single"/>
          <w:lang w:val="es-ES"/>
        </w:rPr>
        <w:t>con excepción de los plazos mencionados en los reconociendo a) y b) anterior, establecer para la presentación de todas las contribuciones un plazo fijo máximo de 21 días naturales antes de la apertura de las conferencias y asambleas</w:t>
      </w:r>
      <w:r w:rsidRPr="00192FE9">
        <w:rPr>
          <w:sz w:val="20"/>
          <w:lang w:val="es-ES"/>
        </w:rPr>
        <w:t xml:space="preserve"> de la Unión, con inclusión de las conferencias de plenipotenciarios, a fin de garantizar la traducción a tiempo y el examen detallado de las mismas por las delegaciones" (subrayado añadido).</w:t>
      </w:r>
      <w:bookmarkStart w:id="58" w:name="lt_pId077"/>
      <w:bookmarkEnd w:id="5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9617" w14:textId="6AA62AE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36329A">
      <w:rPr>
        <w:sz w:val="22"/>
        <w:szCs w:val="22"/>
        <w:lang w:val="de-CH"/>
      </w:rPr>
      <w:t>15</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7F585D"/>
    <w:multiLevelType w:val="hybridMultilevel"/>
    <w:tmpl w:val="55FE4892"/>
    <w:lvl w:ilvl="0" w:tplc="F3C2FBA0">
      <w:start w:val="1"/>
      <w:numFmt w:val="bullet"/>
      <w:lvlText w:val=""/>
      <w:lvlJc w:val="left"/>
      <w:pPr>
        <w:ind w:left="360" w:hanging="360"/>
      </w:pPr>
      <w:rPr>
        <w:rFonts w:ascii="Symbol" w:hAnsi="Symbol" w:hint="default"/>
      </w:rPr>
    </w:lvl>
    <w:lvl w:ilvl="1" w:tplc="E8A0F572">
      <w:start w:val="1"/>
      <w:numFmt w:val="bullet"/>
      <w:lvlText w:val="o"/>
      <w:lvlJc w:val="left"/>
      <w:pPr>
        <w:ind w:left="1080" w:hanging="360"/>
      </w:pPr>
      <w:rPr>
        <w:rFonts w:ascii="Courier New" w:hAnsi="Courier New" w:cs="Courier New" w:hint="default"/>
      </w:rPr>
    </w:lvl>
    <w:lvl w:ilvl="2" w:tplc="A9D85A48">
      <w:start w:val="1"/>
      <w:numFmt w:val="bullet"/>
      <w:lvlText w:val=""/>
      <w:lvlJc w:val="left"/>
      <w:pPr>
        <w:ind w:left="1800" w:hanging="360"/>
      </w:pPr>
      <w:rPr>
        <w:rFonts w:ascii="Wingdings" w:hAnsi="Wingdings" w:hint="default"/>
      </w:rPr>
    </w:lvl>
    <w:lvl w:ilvl="3" w:tplc="0E203A44">
      <w:start w:val="1"/>
      <w:numFmt w:val="bullet"/>
      <w:lvlText w:val=""/>
      <w:lvlJc w:val="left"/>
      <w:pPr>
        <w:ind w:left="2520" w:hanging="360"/>
      </w:pPr>
      <w:rPr>
        <w:rFonts w:ascii="Symbol" w:hAnsi="Symbol" w:hint="default"/>
      </w:rPr>
    </w:lvl>
    <w:lvl w:ilvl="4" w:tplc="9DC63086">
      <w:start w:val="1"/>
      <w:numFmt w:val="bullet"/>
      <w:lvlText w:val="o"/>
      <w:lvlJc w:val="left"/>
      <w:pPr>
        <w:ind w:left="3240" w:hanging="360"/>
      </w:pPr>
      <w:rPr>
        <w:rFonts w:ascii="Courier New" w:hAnsi="Courier New" w:cs="Courier New" w:hint="default"/>
      </w:rPr>
    </w:lvl>
    <w:lvl w:ilvl="5" w:tplc="08A048D0">
      <w:start w:val="1"/>
      <w:numFmt w:val="bullet"/>
      <w:lvlText w:val=""/>
      <w:lvlJc w:val="left"/>
      <w:pPr>
        <w:ind w:left="3960" w:hanging="360"/>
      </w:pPr>
      <w:rPr>
        <w:rFonts w:ascii="Wingdings" w:hAnsi="Wingdings" w:hint="default"/>
      </w:rPr>
    </w:lvl>
    <w:lvl w:ilvl="6" w:tplc="C92410F4">
      <w:start w:val="1"/>
      <w:numFmt w:val="bullet"/>
      <w:lvlText w:val=""/>
      <w:lvlJc w:val="left"/>
      <w:pPr>
        <w:ind w:left="4680" w:hanging="360"/>
      </w:pPr>
      <w:rPr>
        <w:rFonts w:ascii="Symbol" w:hAnsi="Symbol" w:hint="default"/>
      </w:rPr>
    </w:lvl>
    <w:lvl w:ilvl="7" w:tplc="A912BD7E">
      <w:start w:val="1"/>
      <w:numFmt w:val="bullet"/>
      <w:lvlText w:val="o"/>
      <w:lvlJc w:val="left"/>
      <w:pPr>
        <w:ind w:left="5400" w:hanging="360"/>
      </w:pPr>
      <w:rPr>
        <w:rFonts w:ascii="Courier New" w:hAnsi="Courier New" w:cs="Courier New" w:hint="default"/>
      </w:rPr>
    </w:lvl>
    <w:lvl w:ilvl="8" w:tplc="36C21760">
      <w:start w:val="1"/>
      <w:numFmt w:val="bullet"/>
      <w:lvlText w:val=""/>
      <w:lvlJc w:val="left"/>
      <w:pPr>
        <w:ind w:left="6120" w:hanging="360"/>
      </w:pPr>
      <w:rPr>
        <w:rFonts w:ascii="Wingdings" w:hAnsi="Wingdings" w:hint="default"/>
      </w:rPr>
    </w:lvl>
  </w:abstractNum>
  <w:abstractNum w:abstractNumId="3" w15:restartNumberingAfterBreak="0">
    <w:nsid w:val="54F16342"/>
    <w:multiLevelType w:val="hybridMultilevel"/>
    <w:tmpl w:val="953A74D4"/>
    <w:lvl w:ilvl="0" w:tplc="FABA72AC">
      <w:start w:val="1"/>
      <w:numFmt w:val="bullet"/>
      <w:lvlText w:val=""/>
      <w:lvlJc w:val="left"/>
      <w:pPr>
        <w:ind w:left="720" w:hanging="360"/>
      </w:pPr>
      <w:rPr>
        <w:rFonts w:ascii="Symbol" w:hAnsi="Symbol" w:hint="default"/>
      </w:rPr>
    </w:lvl>
    <w:lvl w:ilvl="1" w:tplc="8E00F7A8" w:tentative="1">
      <w:start w:val="1"/>
      <w:numFmt w:val="bullet"/>
      <w:lvlText w:val="o"/>
      <w:lvlJc w:val="left"/>
      <w:pPr>
        <w:ind w:left="1440" w:hanging="360"/>
      </w:pPr>
      <w:rPr>
        <w:rFonts w:ascii="Courier New" w:hAnsi="Courier New" w:cs="Courier New" w:hint="default"/>
      </w:rPr>
    </w:lvl>
    <w:lvl w:ilvl="2" w:tplc="7D00E66E" w:tentative="1">
      <w:start w:val="1"/>
      <w:numFmt w:val="bullet"/>
      <w:lvlText w:val=""/>
      <w:lvlJc w:val="left"/>
      <w:pPr>
        <w:ind w:left="2160" w:hanging="360"/>
      </w:pPr>
      <w:rPr>
        <w:rFonts w:ascii="Wingdings" w:hAnsi="Wingdings" w:hint="default"/>
      </w:rPr>
    </w:lvl>
    <w:lvl w:ilvl="3" w:tplc="9FC03B5C" w:tentative="1">
      <w:start w:val="1"/>
      <w:numFmt w:val="bullet"/>
      <w:lvlText w:val=""/>
      <w:lvlJc w:val="left"/>
      <w:pPr>
        <w:ind w:left="2880" w:hanging="360"/>
      </w:pPr>
      <w:rPr>
        <w:rFonts w:ascii="Symbol" w:hAnsi="Symbol" w:hint="default"/>
      </w:rPr>
    </w:lvl>
    <w:lvl w:ilvl="4" w:tplc="B72A3912" w:tentative="1">
      <w:start w:val="1"/>
      <w:numFmt w:val="bullet"/>
      <w:lvlText w:val="o"/>
      <w:lvlJc w:val="left"/>
      <w:pPr>
        <w:ind w:left="3600" w:hanging="360"/>
      </w:pPr>
      <w:rPr>
        <w:rFonts w:ascii="Courier New" w:hAnsi="Courier New" w:cs="Courier New" w:hint="default"/>
      </w:rPr>
    </w:lvl>
    <w:lvl w:ilvl="5" w:tplc="C92EA036" w:tentative="1">
      <w:start w:val="1"/>
      <w:numFmt w:val="bullet"/>
      <w:lvlText w:val=""/>
      <w:lvlJc w:val="left"/>
      <w:pPr>
        <w:ind w:left="4320" w:hanging="360"/>
      </w:pPr>
      <w:rPr>
        <w:rFonts w:ascii="Wingdings" w:hAnsi="Wingdings" w:hint="default"/>
      </w:rPr>
    </w:lvl>
    <w:lvl w:ilvl="6" w:tplc="C436EFBA" w:tentative="1">
      <w:start w:val="1"/>
      <w:numFmt w:val="bullet"/>
      <w:lvlText w:val=""/>
      <w:lvlJc w:val="left"/>
      <w:pPr>
        <w:ind w:left="5040" w:hanging="360"/>
      </w:pPr>
      <w:rPr>
        <w:rFonts w:ascii="Symbol" w:hAnsi="Symbol" w:hint="default"/>
      </w:rPr>
    </w:lvl>
    <w:lvl w:ilvl="7" w:tplc="70609B10" w:tentative="1">
      <w:start w:val="1"/>
      <w:numFmt w:val="bullet"/>
      <w:lvlText w:val="o"/>
      <w:lvlJc w:val="left"/>
      <w:pPr>
        <w:ind w:left="5760" w:hanging="360"/>
      </w:pPr>
      <w:rPr>
        <w:rFonts w:ascii="Courier New" w:hAnsi="Courier New" w:cs="Courier New" w:hint="default"/>
      </w:rPr>
    </w:lvl>
    <w:lvl w:ilvl="8" w:tplc="3F807B8E"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822161559">
    <w:abstractNumId w:val="4"/>
  </w:num>
  <w:num w:numId="2" w16cid:durableId="410659163">
    <w:abstractNumId w:val="1"/>
  </w:num>
  <w:num w:numId="3" w16cid:durableId="1440178167">
    <w:abstractNumId w:val="3"/>
  </w:num>
  <w:num w:numId="4" w16cid:durableId="1300767926">
    <w:abstractNumId w:val="0"/>
  </w:num>
  <w:num w:numId="5" w16cid:durableId="51924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6329A"/>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E3FFE"/>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53F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840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basedOn w:val="DefaultParagraphFont"/>
    <w:link w:val="FootnoteText"/>
    <w:rsid w:val="0036329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23/es" TargetMode="External"/><Relationship Id="rId18" Type="http://schemas.openxmlformats.org/officeDocument/2006/relationships/hyperlink" Target="https://www.itu.int/md/S23-DM-CIR-01013/es" TargetMode="External"/><Relationship Id="rId26" Type="http://schemas.openxmlformats.org/officeDocument/2006/relationships/hyperlink" Target="https://www.itu.int/md/S24-SG-CIR-0006/es" TargetMode="External"/><Relationship Id="rId39" Type="http://schemas.openxmlformats.org/officeDocument/2006/relationships/fontTable" Target="fontTable.xml"/><Relationship Id="rId21" Type="http://schemas.openxmlformats.org/officeDocument/2006/relationships/hyperlink" Target="https://www.itu.int/md/T22-TSB-CIR-0177/es" TargetMode="External"/><Relationship Id="rId34" Type="http://schemas.openxmlformats.org/officeDocument/2006/relationships/hyperlink" Target="https://www.itu.int/net/ITU-T/lists/rgm.aspx?Group=0" TargetMode="External"/><Relationship Id="rId7" Type="http://schemas.openxmlformats.org/officeDocument/2006/relationships/webSettings" Target="webSettings.xml"/><Relationship Id="rId12" Type="http://schemas.openxmlformats.org/officeDocument/2006/relationships/hyperlink" Target="https://www.itu.int/md/S23-CL-C-0024/es" TargetMode="External"/><Relationship Id="rId17" Type="http://schemas.openxmlformats.org/officeDocument/2006/relationships/hyperlink" Target="https://www.itu.int/md/S23-DM-CIR-01014/es" TargetMode="External"/><Relationship Id="rId25" Type="http://schemas.openxmlformats.org/officeDocument/2006/relationships/hyperlink" Target="https://www.itu.int/md/T22-TSB-CIR-0182/es" TargetMode="External"/><Relationship Id="rId33" Type="http://schemas.openxmlformats.org/officeDocument/2006/relationships/hyperlink" Target="https://www.itu.int/es/ITU-T/studygroups/2022-2024/Pages/default.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3-SG-CIR-0042/es" TargetMode="External"/><Relationship Id="rId20" Type="http://schemas.openxmlformats.org/officeDocument/2006/relationships/hyperlink" Target="https://www.itu.int/md/T22-TSB-CIR-0176/es" TargetMode="External"/><Relationship Id="rId29" Type="http://schemas.openxmlformats.org/officeDocument/2006/relationships/hyperlink" Target="https://www.itu.int/wtsa/2024/prepme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wtsa/2024/" TargetMode="External"/><Relationship Id="rId24" Type="http://schemas.openxmlformats.org/officeDocument/2006/relationships/hyperlink" Target="https://www.itu.int/md/T22-TSB-CIR-0179/en" TargetMode="External"/><Relationship Id="rId32" Type="http://schemas.openxmlformats.org/officeDocument/2006/relationships/hyperlink" Target="https://www.itu.int/wtsa/2024/ir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23-SG-CIR-0037/es" TargetMode="External"/><Relationship Id="rId23" Type="http://schemas.openxmlformats.org/officeDocument/2006/relationships/hyperlink" Target="https://www.itu.int/md/meetingdoc.asp?lang=es&amp;parent=" TargetMode="External"/><Relationship Id="rId28" Type="http://schemas.openxmlformats.org/officeDocument/2006/relationships/hyperlink" Target="https://www.itu.int/wtsa/2024/candidates/"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tu.int/md/S23-DM-CIR-01015/es" TargetMode="External"/><Relationship Id="rId31" Type="http://schemas.openxmlformats.org/officeDocument/2006/relationships/hyperlink" Target="https://www.itu.int/es/ITU-T/wtsa20/irc/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3-SG-CIR-0028/es" TargetMode="External"/><Relationship Id="rId22" Type="http://schemas.openxmlformats.org/officeDocument/2006/relationships/hyperlink" Target="https://www.itu.int/md/T22-TSB-CIR-0178/es" TargetMode="External"/><Relationship Id="rId27" Type="http://schemas.openxmlformats.org/officeDocument/2006/relationships/hyperlink" Target="https://www.itu.int/md/T22-TSB-CIR-0176/es" TargetMode="External"/><Relationship Id="rId30" Type="http://schemas.openxmlformats.org/officeDocument/2006/relationships/hyperlink" Target="https://www.itu.int/wtsa/2024/irm/" TargetMode="External"/><Relationship Id="rId35" Type="http://schemas.openxmlformats.org/officeDocument/2006/relationships/hyperlink" Target="https://www.itu.int/wtsa/2024/"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file:///C:\Users\munozmi\Downloads\tsb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1325</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2</cp:revision>
  <cp:lastPrinted>2014-11-04T09:22:00Z</cp:lastPrinted>
  <dcterms:created xsi:type="dcterms:W3CDTF">2024-04-10T09:59:00Z</dcterms:created>
  <dcterms:modified xsi:type="dcterms:W3CDTF">2024-04-10T10:33:00Z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