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51A212A7" w14:textId="77777777" w:rsidTr="00F77022">
        <w:trPr>
          <w:cantSplit/>
          <w:trHeight w:val="1310"/>
          <w:jc w:val="center"/>
        </w:trPr>
        <w:tc>
          <w:tcPr>
            <w:tcW w:w="6548" w:type="dxa"/>
            <w:tcBorders>
              <w:bottom w:val="single" w:sz="12" w:space="0" w:color="auto"/>
            </w:tcBorders>
          </w:tcPr>
          <w:p w14:paraId="648619F5"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079EC072"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7049933A"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6815215" wp14:editId="5A36D81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63A4E5C2" w14:textId="77777777" w:rsidTr="00F77022">
        <w:trPr>
          <w:cantSplit/>
          <w:jc w:val="center"/>
        </w:trPr>
        <w:tc>
          <w:tcPr>
            <w:tcW w:w="6548" w:type="dxa"/>
            <w:tcBorders>
              <w:top w:val="single" w:sz="12" w:space="0" w:color="auto"/>
            </w:tcBorders>
          </w:tcPr>
          <w:p w14:paraId="51B270CD" w14:textId="77777777" w:rsidR="00CA08BA" w:rsidRPr="00783A69" w:rsidRDefault="00CA08BA" w:rsidP="0059301A">
            <w:pPr>
              <w:spacing w:before="0" w:line="240" w:lineRule="exact"/>
              <w:rPr>
                <w:b/>
                <w:bCs/>
                <w:rtl/>
                <w:lang w:bidi="ar-EG"/>
              </w:rPr>
            </w:pPr>
          </w:p>
        </w:tc>
        <w:tc>
          <w:tcPr>
            <w:tcW w:w="3091" w:type="dxa"/>
            <w:tcBorders>
              <w:top w:val="single" w:sz="12" w:space="0" w:color="auto"/>
            </w:tcBorders>
          </w:tcPr>
          <w:p w14:paraId="459E4409" w14:textId="77777777" w:rsidR="00CA08BA" w:rsidRPr="00C85CB5" w:rsidRDefault="00CA08BA" w:rsidP="0059301A">
            <w:pPr>
              <w:spacing w:before="0" w:line="240" w:lineRule="exact"/>
              <w:rPr>
                <w:b/>
                <w:bCs/>
                <w:highlight w:val="yellow"/>
                <w:rtl/>
                <w:lang w:bidi="ar-EG"/>
              </w:rPr>
            </w:pPr>
          </w:p>
        </w:tc>
      </w:tr>
      <w:tr w:rsidR="00783A69" w:rsidRPr="00783A69" w14:paraId="2DA9FB80" w14:textId="77777777" w:rsidTr="00F77022">
        <w:trPr>
          <w:cantSplit/>
          <w:jc w:val="center"/>
        </w:trPr>
        <w:tc>
          <w:tcPr>
            <w:tcW w:w="6548" w:type="dxa"/>
          </w:tcPr>
          <w:p w14:paraId="480F312C" w14:textId="77777777" w:rsidR="00783A69" w:rsidRPr="00783A69" w:rsidRDefault="00783A69" w:rsidP="00B93B7B">
            <w:pPr>
              <w:spacing w:before="20" w:after="20" w:line="300" w:lineRule="exact"/>
              <w:rPr>
                <w:b/>
                <w:bCs/>
                <w:rtl/>
                <w:lang w:bidi="ar-EG"/>
              </w:rPr>
            </w:pPr>
          </w:p>
        </w:tc>
        <w:tc>
          <w:tcPr>
            <w:tcW w:w="3091" w:type="dxa"/>
          </w:tcPr>
          <w:p w14:paraId="09DE3BD4" w14:textId="08274CA3"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E22B05">
              <w:rPr>
                <w:b/>
                <w:bCs/>
                <w:lang w:bidi="ar-EG"/>
              </w:rPr>
              <w:t>12</w:t>
            </w:r>
            <w:r w:rsidRPr="00153471">
              <w:rPr>
                <w:b/>
                <w:bCs/>
                <w:lang w:bidi="ar-EG"/>
              </w:rPr>
              <w:t>-A</w:t>
            </w:r>
          </w:p>
        </w:tc>
      </w:tr>
      <w:tr w:rsidR="00783A69" w:rsidRPr="00783A69" w14:paraId="1CCAD734" w14:textId="77777777" w:rsidTr="00F77022">
        <w:trPr>
          <w:cantSplit/>
          <w:jc w:val="center"/>
        </w:trPr>
        <w:tc>
          <w:tcPr>
            <w:tcW w:w="6548" w:type="dxa"/>
          </w:tcPr>
          <w:p w14:paraId="6D221BEA" w14:textId="77777777" w:rsidR="00783A69" w:rsidRPr="00783A69" w:rsidRDefault="00783A69" w:rsidP="00B93B7B">
            <w:pPr>
              <w:spacing w:before="20" w:after="20" w:line="300" w:lineRule="exact"/>
              <w:rPr>
                <w:b/>
                <w:bCs/>
                <w:lang w:bidi="ar-EG"/>
              </w:rPr>
            </w:pPr>
          </w:p>
        </w:tc>
        <w:tc>
          <w:tcPr>
            <w:tcW w:w="3091" w:type="dxa"/>
          </w:tcPr>
          <w:p w14:paraId="5095C59C" w14:textId="6AA9AA58" w:rsidR="00783A69" w:rsidRPr="00C85CB5" w:rsidRDefault="00E22B05" w:rsidP="00B93B7B">
            <w:pPr>
              <w:spacing w:before="20" w:after="20" w:line="300" w:lineRule="exact"/>
              <w:rPr>
                <w:b/>
                <w:bCs/>
                <w:highlight w:val="yellow"/>
                <w:rtl/>
                <w:lang w:bidi="ar-SY"/>
              </w:rPr>
            </w:pPr>
            <w:r w:rsidRPr="00E22B05">
              <w:rPr>
                <w:b/>
                <w:bCs/>
                <w:lang w:bidi="ar-EG"/>
              </w:rPr>
              <w:t>29</w:t>
            </w:r>
            <w:r w:rsidR="00783A69" w:rsidRPr="00E22B05">
              <w:rPr>
                <w:rFonts w:hint="cs"/>
                <w:b/>
                <w:bCs/>
                <w:rtl/>
                <w:lang w:bidi="ar-EG"/>
              </w:rPr>
              <w:t xml:space="preserve"> </w:t>
            </w:r>
            <w:r w:rsidRPr="00E22B05">
              <w:rPr>
                <w:rFonts w:hint="cs"/>
                <w:b/>
                <w:bCs/>
                <w:rtl/>
                <w:lang w:val="en-GB" w:bidi="ar-EG"/>
              </w:rPr>
              <w:t>أبريل</w:t>
            </w:r>
            <w:r w:rsidR="00783A69" w:rsidRPr="00E22B05">
              <w:rPr>
                <w:rFonts w:hint="cs"/>
                <w:b/>
                <w:bCs/>
                <w:rtl/>
                <w:lang w:bidi="ar-EG"/>
              </w:rPr>
              <w:t xml:space="preserve"> </w:t>
            </w:r>
            <w:r w:rsidR="00457D22" w:rsidRPr="00E22B05">
              <w:rPr>
                <w:b/>
                <w:bCs/>
                <w:lang w:bidi="ar-EG"/>
              </w:rPr>
              <w:t>2024</w:t>
            </w:r>
          </w:p>
        </w:tc>
      </w:tr>
      <w:tr w:rsidR="00783A69" w:rsidRPr="00783A69" w14:paraId="389B6CCB" w14:textId="77777777" w:rsidTr="00F77022">
        <w:trPr>
          <w:cantSplit/>
          <w:jc w:val="center"/>
        </w:trPr>
        <w:tc>
          <w:tcPr>
            <w:tcW w:w="6548" w:type="dxa"/>
          </w:tcPr>
          <w:p w14:paraId="2CAE9E17" w14:textId="77777777" w:rsidR="00783A69" w:rsidRPr="00783A69" w:rsidRDefault="00783A69" w:rsidP="00B93B7B">
            <w:pPr>
              <w:spacing w:before="20" w:after="20" w:line="300" w:lineRule="exact"/>
              <w:rPr>
                <w:b/>
                <w:bCs/>
                <w:lang w:bidi="ar-EG"/>
              </w:rPr>
            </w:pPr>
          </w:p>
        </w:tc>
        <w:tc>
          <w:tcPr>
            <w:tcW w:w="3091" w:type="dxa"/>
          </w:tcPr>
          <w:p w14:paraId="41F394AC"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26E956B0" w14:textId="77777777" w:rsidTr="00EE5CF2">
        <w:trPr>
          <w:cantSplit/>
          <w:jc w:val="center"/>
        </w:trPr>
        <w:tc>
          <w:tcPr>
            <w:tcW w:w="9639" w:type="dxa"/>
            <w:gridSpan w:val="2"/>
          </w:tcPr>
          <w:p w14:paraId="3DA96736" w14:textId="3E718765" w:rsidR="00783A69" w:rsidRPr="00783A69" w:rsidRDefault="00E22B05" w:rsidP="00EE5CF2">
            <w:pPr>
              <w:pStyle w:val="Source"/>
            </w:pPr>
            <w:bookmarkStart w:id="1" w:name="lt_pId016"/>
            <w:r>
              <w:rPr>
                <w:rtl/>
              </w:rPr>
              <w:t>مدير مكتب تنمية الاتصالات</w:t>
            </w:r>
            <w:bookmarkEnd w:id="1"/>
          </w:p>
        </w:tc>
      </w:tr>
      <w:tr w:rsidR="00783A69" w:rsidRPr="00783A69" w14:paraId="456DAC28" w14:textId="77777777" w:rsidTr="00EE5CF2">
        <w:trPr>
          <w:cantSplit/>
          <w:jc w:val="center"/>
        </w:trPr>
        <w:tc>
          <w:tcPr>
            <w:tcW w:w="9639" w:type="dxa"/>
            <w:gridSpan w:val="2"/>
          </w:tcPr>
          <w:p w14:paraId="60AF7022" w14:textId="7CD3503F" w:rsidR="00783A69" w:rsidRPr="00FE29C0" w:rsidRDefault="00E22B05" w:rsidP="00FE29C0">
            <w:pPr>
              <w:pStyle w:val="Title1"/>
            </w:pPr>
            <w:bookmarkStart w:id="2" w:name="lt_pId017"/>
            <w:r w:rsidRPr="00FE29C0">
              <w:rPr>
                <w:rtl/>
              </w:rPr>
              <w:t>الخطة التشغيلية لقطاع تنمية الاتصالات لعام 2024</w:t>
            </w:r>
            <w:bookmarkEnd w:id="2"/>
          </w:p>
        </w:tc>
      </w:tr>
    </w:tbl>
    <w:p w14:paraId="1B725246"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3294019" w14:textId="77777777" w:rsidTr="00891B94">
        <w:trPr>
          <w:cantSplit/>
          <w:jc w:val="center"/>
        </w:trPr>
        <w:tc>
          <w:tcPr>
            <w:tcW w:w="9638" w:type="dxa"/>
            <w:tcBorders>
              <w:top w:val="single" w:sz="6" w:space="0" w:color="auto"/>
              <w:left w:val="single" w:sz="6" w:space="0" w:color="auto"/>
              <w:bottom w:val="single" w:sz="6" w:space="0" w:color="auto"/>
              <w:right w:val="single" w:sz="6" w:space="0" w:color="auto"/>
            </w:tcBorders>
          </w:tcPr>
          <w:p w14:paraId="0BCB15CF"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5376A1B8" w14:textId="098353C6" w:rsidR="00891B94" w:rsidRPr="00891B94" w:rsidRDefault="00891B94" w:rsidP="00891B94">
            <w:bookmarkStart w:id="3" w:name="lt_pId019"/>
            <w:r w:rsidRPr="00891B94">
              <w:rPr>
                <w:rtl/>
              </w:rPr>
              <w:t>تعرض هذه الوثيقة لمحة عامة عن العملية التي يضطلع بها مكتب تنمية الاتصالات في تخطيط الأنشطة المنفذة حالي</w:t>
            </w:r>
            <w:r w:rsidR="00FE29C0">
              <w:rPr>
                <w:rFonts w:hint="cs"/>
                <w:rtl/>
              </w:rPr>
              <w:t>اً</w:t>
            </w:r>
            <w:r w:rsidRPr="00891B94">
              <w:rPr>
                <w:rtl/>
              </w:rPr>
              <w:t xml:space="preserve"> في إطار الخطة التشغيلية لقطاع تنمية الاتصالات لعام 2024 على الصعيدين الإقليمي والعالمي وفقا</w:t>
            </w:r>
            <w:r w:rsidR="00FE29C0">
              <w:rPr>
                <w:rFonts w:hint="cs"/>
                <w:rtl/>
              </w:rPr>
              <w:t>ً</w:t>
            </w:r>
            <w:r w:rsidRPr="00891B94">
              <w:rPr>
                <w:rtl/>
              </w:rPr>
              <w:t xml:space="preserve"> لأولويات قطاع تنمية الاتصالات وعوامله التمكينية.</w:t>
            </w:r>
            <w:bookmarkEnd w:id="3"/>
          </w:p>
          <w:p w14:paraId="09105987" w14:textId="0926F24E" w:rsidR="00783A69" w:rsidRPr="00891B94" w:rsidRDefault="00891B94" w:rsidP="00891B94">
            <w:pPr>
              <w:rPr>
                <w:rtl/>
              </w:rPr>
            </w:pPr>
            <w:bookmarkStart w:id="4" w:name="lt_pId020"/>
            <w:r w:rsidRPr="00891B94">
              <w:rPr>
                <w:rtl/>
              </w:rPr>
              <w:t>وتوجز هذه الوثيقة الأموال المخصَصة لكل منطقة من مناطق قطاع تنمية الاتصالات ولمناطق متعددة وكذلك لكل أولوية وعامل تمكيني لدى قطاع تنمية الاتصالات.</w:t>
            </w:r>
            <w:bookmarkEnd w:id="4"/>
          </w:p>
          <w:p w14:paraId="534753C7"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7265DAEC" w14:textId="354140CD" w:rsidR="00783A69" w:rsidRPr="00891B94" w:rsidRDefault="00891B94" w:rsidP="00891B94">
            <w:pPr>
              <w:rPr>
                <w:rtl/>
              </w:rPr>
            </w:pPr>
            <w:bookmarkStart w:id="5" w:name="lt_pId022"/>
            <w:r w:rsidRPr="00891B94">
              <w:rPr>
                <w:rtl/>
              </w:rPr>
              <w:t xml:space="preserve">يُدعى الفريق الاستشاري لتنمية الاتصالات </w:t>
            </w:r>
            <w:r w:rsidR="0059301A">
              <w:t>(</w:t>
            </w:r>
            <w:r w:rsidR="0059301A" w:rsidRPr="00891B94">
              <w:t>TDAG</w:t>
            </w:r>
            <w:r w:rsidR="0059301A">
              <w:t>)</w:t>
            </w:r>
            <w:r w:rsidRPr="00891B94">
              <w:rPr>
                <w:rtl/>
              </w:rPr>
              <w:t xml:space="preserve"> إلى العلم بهذه الوثيقة وتقديم التوجيهات التي يراها مناسبة.</w:t>
            </w:r>
            <w:bookmarkEnd w:id="5"/>
          </w:p>
          <w:p w14:paraId="488C8393"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59D5DE50" w14:textId="535AA114" w:rsidR="00891B94" w:rsidRPr="00891B94" w:rsidRDefault="00891B94" w:rsidP="00891B94">
            <w:bookmarkStart w:id="6" w:name="lt_pId024"/>
            <w:r w:rsidRPr="00891B94">
              <w:rPr>
                <w:rtl/>
              </w:rPr>
              <w:t>خطة عمل كيغالي الصادرة عن المؤتمر العالمي لتنمية الاتصالات عام 2022</w:t>
            </w:r>
            <w:bookmarkEnd w:id="6"/>
            <w:r w:rsidR="0059301A">
              <w:rPr>
                <w:rFonts w:hint="cs"/>
                <w:rtl/>
              </w:rPr>
              <w:t>.</w:t>
            </w:r>
          </w:p>
          <w:p w14:paraId="51A07159" w14:textId="55EE2DC7" w:rsidR="00783A69" w:rsidRPr="00153471" w:rsidRDefault="00891B94" w:rsidP="00891B94">
            <w:pPr>
              <w:rPr>
                <w:rtl/>
                <w:lang w:bidi="ar-SY"/>
              </w:rPr>
            </w:pPr>
            <w:bookmarkStart w:id="7" w:name="lt_pId025"/>
            <w:r w:rsidRPr="00891B94">
              <w:rPr>
                <w:rtl/>
              </w:rPr>
              <w:t xml:space="preserve">الوثيقة </w:t>
            </w:r>
            <w:r w:rsidR="0059301A" w:rsidRPr="00C05F43">
              <w:t>TDAG-23/DT/3</w:t>
            </w:r>
            <w:bookmarkEnd w:id="7"/>
          </w:p>
        </w:tc>
      </w:tr>
    </w:tbl>
    <w:p w14:paraId="24930791" w14:textId="77777777" w:rsidR="0006468A" w:rsidRDefault="0006468A" w:rsidP="0006468A">
      <w:pPr>
        <w:rPr>
          <w:rtl/>
          <w:lang w:bidi="ar-EG"/>
        </w:rPr>
      </w:pPr>
    </w:p>
    <w:p w14:paraId="37961E04" w14:textId="678A396E" w:rsidR="00882A17" w:rsidRDefault="00882A17" w:rsidP="0059301A">
      <w:pPr>
        <w:rPr>
          <w:lang w:bidi="ar-EG"/>
        </w:rPr>
      </w:pPr>
      <w:r>
        <w:rPr>
          <w:rtl/>
          <w:lang w:bidi="ar-EG"/>
        </w:rPr>
        <w:br w:type="page"/>
      </w:r>
    </w:p>
    <w:p w14:paraId="55AB902D" w14:textId="2AB71B22" w:rsidR="00891B94" w:rsidRPr="00FE29C0" w:rsidRDefault="00FE29C0" w:rsidP="00FE29C0">
      <w:pPr>
        <w:pStyle w:val="Heading1"/>
      </w:pPr>
      <w:bookmarkStart w:id="8" w:name="lt_pId026"/>
      <w:r w:rsidRPr="00FE29C0">
        <w:rPr>
          <w:rFonts w:hint="cs"/>
          <w:rtl/>
        </w:rPr>
        <w:lastRenderedPageBreak/>
        <w:t>1</w:t>
      </w:r>
      <w:r w:rsidRPr="00FE29C0">
        <w:rPr>
          <w:rtl/>
        </w:rPr>
        <w:tab/>
      </w:r>
      <w:r w:rsidR="00891B94" w:rsidRPr="00FE29C0">
        <w:rPr>
          <w:rtl/>
        </w:rPr>
        <w:t>مقدمة</w:t>
      </w:r>
      <w:bookmarkEnd w:id="8"/>
    </w:p>
    <w:p w14:paraId="31C6F0CE" w14:textId="7AF25EB2" w:rsidR="00891B94" w:rsidRPr="00FE29C0" w:rsidRDefault="00891B94" w:rsidP="00FE29C0">
      <w:bookmarkStart w:id="9" w:name="lt_pId027"/>
      <w:r w:rsidRPr="00FE29C0">
        <w:rPr>
          <w:rtl/>
        </w:rPr>
        <w:t>تتماشى الخطة التشغيلية</w:t>
      </w:r>
      <w:r w:rsidR="00EA2C3A">
        <w:rPr>
          <w:rFonts w:hint="cs"/>
          <w:rtl/>
        </w:rPr>
        <w:t xml:space="preserve"> </w:t>
      </w:r>
      <w:r w:rsidR="00EA2C3A">
        <w:t>(</w:t>
      </w:r>
      <w:r w:rsidR="00EA2C3A" w:rsidRPr="00FE29C0">
        <w:t>OP</w:t>
      </w:r>
      <w:r w:rsidR="00EA2C3A">
        <w:t>)</w:t>
      </w:r>
      <w:r w:rsidR="00EA2C3A">
        <w:rPr>
          <w:rFonts w:hint="cs"/>
          <w:rtl/>
        </w:rPr>
        <w:t xml:space="preserve"> </w:t>
      </w:r>
      <w:r w:rsidRPr="00FE29C0">
        <w:rPr>
          <w:rtl/>
        </w:rPr>
        <w:t xml:space="preserve">لقطاع تنمية الاتصالات لعام 2024 مع هيكل الخطة الاستراتيجية للاتحاد للفترة 2024-2027. ويتبع الهيكل خطة عمل كيغالي </w:t>
      </w:r>
      <w:r w:rsidR="00EA2C3A">
        <w:t>(</w:t>
      </w:r>
      <w:r w:rsidR="00EA2C3A" w:rsidRPr="00FE29C0">
        <w:t>KAP</w:t>
      </w:r>
      <w:r w:rsidR="00EA2C3A">
        <w:t>)</w:t>
      </w:r>
      <w:r w:rsidRPr="00FE29C0">
        <w:rPr>
          <w:rtl/>
        </w:rPr>
        <w:t xml:space="preserve"> ويحدد أولويات قطاع تنمية الاتصالات وعوامله التمكينية وما يقابلها من نتائج ومنتجات وخدمات فضلا</w:t>
      </w:r>
      <w:r w:rsidR="00FE29C0">
        <w:rPr>
          <w:rFonts w:hint="cs"/>
          <w:rtl/>
          <w:lang w:val="en-GB"/>
        </w:rPr>
        <w:t>ً</w:t>
      </w:r>
      <w:r w:rsidRPr="00FE29C0">
        <w:rPr>
          <w:rtl/>
        </w:rPr>
        <w:t xml:space="preserve"> عن مؤشرات الأداء لقياس مستوى إنجازها الناتج عن أنشطة القطاع.</w:t>
      </w:r>
      <w:bookmarkStart w:id="10" w:name="lt_pId028"/>
      <w:bookmarkEnd w:id="9"/>
      <w:bookmarkEnd w:id="10"/>
    </w:p>
    <w:p w14:paraId="3810DC3D" w14:textId="77777777" w:rsidR="00891B94" w:rsidRPr="00E25921" w:rsidRDefault="00891B94" w:rsidP="00FE29C0">
      <w:pPr>
        <w:rPr>
          <w:spacing w:val="2"/>
        </w:rPr>
      </w:pPr>
      <w:bookmarkStart w:id="11" w:name="lt_pId029"/>
      <w:r w:rsidRPr="00E25921">
        <w:rPr>
          <w:spacing w:val="2"/>
          <w:rtl/>
        </w:rPr>
        <w:t>وتتبع عملية تخطيط الخطة التشغيلية لعام 2024 هيكل الخطة التشغيلية لعام 2023 الذي تضمن تعريف مبادئ التأطير لبدء الأنشطة، والمشاورات في المعتكَف التنفيذي لمكتب تنمية الاتصالات في فبراير 2023، ومواءمة الأنشطة مع خطة عمل كيغالي وضمان التماسك الشامل. وكانت الأنشطة المقترحة في إطار الخطة التشغيلية لعام 2024 موضوع مشاورات شاملة مع الدول الأعضاء.</w:t>
      </w:r>
      <w:bookmarkStart w:id="12" w:name="lt_pId030"/>
      <w:bookmarkEnd w:id="11"/>
      <w:bookmarkEnd w:id="12"/>
    </w:p>
    <w:p w14:paraId="79DDDBFC" w14:textId="1E3DC788" w:rsidR="00891B94" w:rsidRPr="00EA2C3A" w:rsidRDefault="00E25921" w:rsidP="00EA2C3A">
      <w:pPr>
        <w:pStyle w:val="Heading1"/>
      </w:pPr>
      <w:bookmarkStart w:id="13" w:name="lt_pId031"/>
      <w:r w:rsidRPr="00EA2C3A">
        <w:rPr>
          <w:rFonts w:hint="cs"/>
          <w:rtl/>
        </w:rPr>
        <w:t>2</w:t>
      </w:r>
      <w:r w:rsidRPr="00EA2C3A">
        <w:rPr>
          <w:rtl/>
        </w:rPr>
        <w:tab/>
      </w:r>
      <w:r w:rsidR="00891B94" w:rsidRPr="00EA2C3A">
        <w:rPr>
          <w:rtl/>
        </w:rPr>
        <w:t>تخصيص الأموال حسب المنطقة المستفيدة</w:t>
      </w:r>
      <w:bookmarkEnd w:id="13"/>
    </w:p>
    <w:p w14:paraId="4F4D4BDB" w14:textId="04FC11B0" w:rsidR="00891B94" w:rsidRPr="00FE29C0" w:rsidRDefault="00891B94" w:rsidP="00EA2C3A">
      <w:bookmarkStart w:id="14" w:name="lt_pId032"/>
      <w:r w:rsidRPr="00FE29C0">
        <w:rPr>
          <w:rtl/>
        </w:rPr>
        <w:t>يجري حاليا</w:t>
      </w:r>
      <w:r w:rsidR="00E25921">
        <w:rPr>
          <w:rFonts w:hint="cs"/>
          <w:rtl/>
        </w:rPr>
        <w:t>ً</w:t>
      </w:r>
      <w:r w:rsidRPr="00FE29C0">
        <w:rPr>
          <w:rtl/>
        </w:rPr>
        <w:t xml:space="preserve"> تنفيذ ما مجموعه مائة وسبعة وعشرين </w:t>
      </w:r>
      <w:r w:rsidR="00EA2C3A">
        <w:t>(127)</w:t>
      </w:r>
      <w:r w:rsidRPr="00FE29C0">
        <w:rPr>
          <w:rtl/>
        </w:rPr>
        <w:t xml:space="preserve"> نشاطا</w:t>
      </w:r>
      <w:r w:rsidR="00E25921">
        <w:rPr>
          <w:rFonts w:hint="cs"/>
          <w:rtl/>
        </w:rPr>
        <w:t>ً</w:t>
      </w:r>
      <w:r w:rsidRPr="00FE29C0">
        <w:rPr>
          <w:rtl/>
        </w:rPr>
        <w:t xml:space="preserve"> على الصعيد العالمي وعبر المناطق. وعلى غرار الخطة التشغيلية لعام 2023، وُجِّه أكثر قليلا</w:t>
      </w:r>
      <w:r w:rsidR="00E25921">
        <w:rPr>
          <w:rFonts w:hint="cs"/>
          <w:rtl/>
        </w:rPr>
        <w:t>ً</w:t>
      </w:r>
      <w:r w:rsidRPr="00FE29C0">
        <w:rPr>
          <w:rtl/>
        </w:rPr>
        <w:t xml:space="preserve"> من نصف ميزانية الخطة التشغيلية لعام 2024 (54 في المائة) نحو المخرجات ذات التركيز العالمي والأنشطة متعددة المناطق، والتي يتوقع أن تؤثر تأثيراً واسعا</w:t>
      </w:r>
      <w:r w:rsidR="00E25921">
        <w:rPr>
          <w:rFonts w:hint="cs"/>
          <w:rtl/>
        </w:rPr>
        <w:t>ً</w:t>
      </w:r>
      <w:r w:rsidRPr="00FE29C0">
        <w:rPr>
          <w:rtl/>
        </w:rPr>
        <w:t xml:space="preserve"> وأن تستفيد من الكفاءات التشغيلية. ووُزِّع ما</w:t>
      </w:r>
      <w:r w:rsidR="00E25921">
        <w:rPr>
          <w:rFonts w:hint="cs"/>
          <w:rtl/>
        </w:rPr>
        <w:t> </w:t>
      </w:r>
      <w:r w:rsidRPr="00FE29C0">
        <w:rPr>
          <w:rtl/>
        </w:rPr>
        <w:t>يقرب من 7 إلى 8 في المائة من الميزانية بالتساوي بين المخرجات المتسقة مع مختلف أولويات قطاع تنمية الاتصالات وع</w:t>
      </w:r>
      <w:r w:rsidR="00EA2C3A">
        <w:rPr>
          <w:rFonts w:hint="cs"/>
          <w:rtl/>
          <w:lang w:bidi="ar-SY"/>
        </w:rPr>
        <w:t>و</w:t>
      </w:r>
      <w:r w:rsidRPr="00FE29C0">
        <w:rPr>
          <w:rtl/>
        </w:rPr>
        <w:t>امله التمكينية، بما يعود بالفائدة على جميع مناطق الاتحاد الست. ولتعزيز التنفيذ، ستُلتمس أوجه التآزر بين المخرجات الإقليمية، وكذلك بين المبادرات الإقليمية والعالمية، بالتعاون مع مكتبي الاتحاد الآخرين والأمانة العامة. وسيتضخم تأثير تنفيذ خطة عمل كيغالي في المناطق وعلى الصعيد العالمي بفعل الشراكات مع الكيانات والمشاريع الوطنية والإقليمية والعالمية التي ينفذها المكتب.</w:t>
      </w:r>
      <w:bookmarkStart w:id="15" w:name="lt_pId033"/>
      <w:bookmarkStart w:id="16" w:name="lt_pId034"/>
      <w:bookmarkStart w:id="17" w:name="lt_pId035"/>
      <w:bookmarkStart w:id="18" w:name="lt_pId036"/>
      <w:bookmarkEnd w:id="14"/>
      <w:bookmarkEnd w:id="15"/>
      <w:bookmarkEnd w:id="16"/>
      <w:bookmarkEnd w:id="17"/>
      <w:bookmarkEnd w:id="18"/>
    </w:p>
    <w:p w14:paraId="6363ED65" w14:textId="339740AA" w:rsidR="00891B94" w:rsidRPr="00EA2C3A" w:rsidRDefault="00891B94" w:rsidP="00EA2C3A">
      <w:pPr>
        <w:pStyle w:val="Figuretitle"/>
      </w:pPr>
      <w:bookmarkStart w:id="19" w:name="lt_pId037"/>
      <w:r w:rsidRPr="00EA2C3A">
        <w:rPr>
          <w:rtl/>
        </w:rPr>
        <w:t>الشكل 1</w:t>
      </w:r>
      <w:r w:rsidR="00EA2C3A">
        <w:rPr>
          <w:rFonts w:hint="cs"/>
          <w:rtl/>
        </w:rPr>
        <w:t>:</w:t>
      </w:r>
      <w:r w:rsidRPr="00EA2C3A">
        <w:rPr>
          <w:rtl/>
        </w:rPr>
        <w:t xml:space="preserve"> لمحة عامة عن الأموال المخصصة بموجب الخطة التشغيلية لعام 2024 (OP-24) </w:t>
      </w:r>
      <w:r w:rsidR="00E25921" w:rsidRPr="00EA2C3A">
        <w:br/>
      </w:r>
      <w:r w:rsidRPr="00EA2C3A">
        <w:rPr>
          <w:rtl/>
        </w:rPr>
        <w:t>بحسب المنطقة المستفيدة</w:t>
      </w:r>
      <w:bookmarkEnd w:id="19"/>
    </w:p>
    <w:p w14:paraId="0B97178F" w14:textId="2965141A" w:rsidR="00891B94" w:rsidRPr="00D35556" w:rsidRDefault="00CA455D" w:rsidP="00CA455D">
      <w:pPr>
        <w:pStyle w:val="Figure"/>
      </w:pPr>
      <w:r>
        <w:drawing>
          <wp:inline distT="0" distB="0" distL="0" distR="0" wp14:anchorId="69627E4D" wp14:editId="3761B612">
            <wp:extent cx="6029111" cy="3218688"/>
            <wp:effectExtent l="0" t="0" r="0" b="1270"/>
            <wp:docPr id="8700306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39" cy="3269633"/>
                    </a:xfrm>
                    <a:prstGeom prst="rect">
                      <a:avLst/>
                    </a:prstGeom>
                    <a:noFill/>
                  </pic:spPr>
                </pic:pic>
              </a:graphicData>
            </a:graphic>
          </wp:inline>
        </w:drawing>
      </w:r>
    </w:p>
    <w:p w14:paraId="04855C18" w14:textId="51E14893" w:rsidR="00CA455D" w:rsidRDefault="00CA455D" w:rsidP="00CA455D">
      <w:pPr>
        <w:rPr>
          <w:rtl/>
        </w:rPr>
      </w:pPr>
      <w:r>
        <w:rPr>
          <w:rtl/>
        </w:rPr>
        <w:br w:type="page"/>
      </w:r>
    </w:p>
    <w:p w14:paraId="27D75BD9" w14:textId="7CEB3EF5" w:rsidR="009255FF" w:rsidRDefault="009255FF" w:rsidP="003C0B7E">
      <w:pPr>
        <w:pStyle w:val="Tabletitle"/>
        <w:spacing w:before="240" w:after="120"/>
        <w:rPr>
          <w:rtl/>
        </w:rPr>
      </w:pPr>
      <w:r w:rsidRPr="009255FF">
        <w:rPr>
          <w:rtl/>
        </w:rPr>
        <w:lastRenderedPageBreak/>
        <w:t>الشكل 2</w:t>
      </w:r>
      <w:r w:rsidR="00CA455D">
        <w:rPr>
          <w:rFonts w:hint="cs"/>
          <w:rtl/>
        </w:rPr>
        <w:t>:</w:t>
      </w:r>
      <w:r w:rsidRPr="009255FF">
        <w:rPr>
          <w:rtl/>
        </w:rPr>
        <w:t xml:space="preserve"> لمحة عامة عن الأموال المخصصة بموجب الخطة التشغيلية لعام 2024 </w:t>
      </w:r>
      <w:r w:rsidR="003C0B7E">
        <w:rPr>
          <w:rtl/>
        </w:rPr>
        <w:br/>
      </w:r>
      <w:r w:rsidRPr="009255FF">
        <w:rPr>
          <w:rtl/>
        </w:rPr>
        <w:t>حسب أولويات قطاع تنمية الاتصالات وعوامله التمكينية (بالفرنكات السويسرية)</w:t>
      </w:r>
    </w:p>
    <w:tbl>
      <w:tblPr>
        <w:tblStyle w:val="GridTable4-Accent1"/>
        <w:bidiVisual/>
        <w:tblW w:w="4982" w:type="pct"/>
        <w:tblLook w:val="04A0" w:firstRow="1" w:lastRow="0" w:firstColumn="1" w:lastColumn="0" w:noHBand="0" w:noVBand="1"/>
      </w:tblPr>
      <w:tblGrid>
        <w:gridCol w:w="6061"/>
        <w:gridCol w:w="1989"/>
        <w:gridCol w:w="1554"/>
      </w:tblGrid>
      <w:tr w:rsidR="00CA455D" w:rsidRPr="003C0B7E" w14:paraId="6C2BB4FD" w14:textId="77777777" w:rsidTr="00A13E43">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061" w:type="dxa"/>
            <w:shd w:val="clear" w:color="auto" w:fill="4F81BD"/>
            <w:noWrap/>
            <w:hideMark/>
          </w:tcPr>
          <w:p w14:paraId="20D2DAB4" w14:textId="4E3ABB25" w:rsidR="00CA455D" w:rsidRPr="003C0B7E" w:rsidRDefault="00CA455D" w:rsidP="003C0B7E">
            <w:pPr>
              <w:keepNext/>
              <w:tabs>
                <w:tab w:val="clear" w:pos="794"/>
              </w:tabs>
              <w:spacing w:before="80" w:after="60" w:line="260" w:lineRule="exact"/>
              <w:jc w:val="left"/>
              <w:rPr>
                <w:color w:val="FFFFFF"/>
                <w:position w:val="2"/>
                <w:sz w:val="18"/>
                <w:szCs w:val="18"/>
                <w:lang w:val="en-GB" w:eastAsia="en-GB"/>
              </w:rPr>
            </w:pPr>
            <w:bookmarkStart w:id="20" w:name="_Hlk165385349"/>
            <w:r w:rsidRPr="003C0B7E">
              <w:rPr>
                <w:color w:val="FFFFFF"/>
                <w:position w:val="2"/>
                <w:sz w:val="18"/>
                <w:szCs w:val="18"/>
                <w:rtl/>
                <w:lang w:val="en-GB" w:eastAsia="en-GB"/>
              </w:rPr>
              <w:t>أولويات قطاع تنمية الاتصالات وعوامله التمكينية</w:t>
            </w:r>
          </w:p>
        </w:tc>
        <w:tc>
          <w:tcPr>
            <w:tcW w:w="1989" w:type="dxa"/>
            <w:shd w:val="clear" w:color="auto" w:fill="4F81BD"/>
            <w:hideMark/>
          </w:tcPr>
          <w:p w14:paraId="541CE05D" w14:textId="577D6FD0" w:rsidR="00CA455D" w:rsidRPr="003C0B7E" w:rsidRDefault="00CA455D" w:rsidP="003C0B7E">
            <w:pPr>
              <w:keepNext/>
              <w:tabs>
                <w:tab w:val="clear" w:pos="794"/>
              </w:tabs>
              <w:spacing w:before="80" w:after="60" w:line="260" w:lineRule="exact"/>
              <w:jc w:val="left"/>
              <w:cnfStyle w:val="100000000000" w:firstRow="1" w:lastRow="0" w:firstColumn="0" w:lastColumn="0" w:oddVBand="0" w:evenVBand="0" w:oddHBand="0" w:evenHBand="0" w:firstRowFirstColumn="0" w:firstRowLastColumn="0" w:lastRowFirstColumn="0" w:lastRowLastColumn="0"/>
              <w:rPr>
                <w:color w:val="FFFFFF"/>
                <w:position w:val="2"/>
                <w:sz w:val="18"/>
                <w:szCs w:val="18"/>
                <w:lang w:val="en-GB" w:eastAsia="en-GB"/>
              </w:rPr>
            </w:pPr>
            <w:r w:rsidRPr="003C0B7E">
              <w:rPr>
                <w:color w:val="FFFFFF"/>
                <w:position w:val="2"/>
                <w:sz w:val="18"/>
                <w:szCs w:val="18"/>
                <w:rtl/>
                <w:lang w:val="en-GB" w:eastAsia="en-GB"/>
              </w:rPr>
              <w:t>ميزانية عام 2024 (بالفرنكات السويسرية)</w:t>
            </w:r>
          </w:p>
        </w:tc>
        <w:tc>
          <w:tcPr>
            <w:tcW w:w="1554" w:type="dxa"/>
            <w:shd w:val="clear" w:color="auto" w:fill="4F81BD"/>
            <w:hideMark/>
          </w:tcPr>
          <w:p w14:paraId="72D839BB" w14:textId="7B4F12D6" w:rsidR="00CA455D" w:rsidRPr="003C0B7E" w:rsidRDefault="00CA455D" w:rsidP="003C0B7E">
            <w:pPr>
              <w:keepNext/>
              <w:tabs>
                <w:tab w:val="clear" w:pos="794"/>
              </w:tabs>
              <w:spacing w:before="80" w:after="60" w:line="260" w:lineRule="exact"/>
              <w:jc w:val="left"/>
              <w:cnfStyle w:val="100000000000" w:firstRow="1" w:lastRow="0" w:firstColumn="0" w:lastColumn="0" w:oddVBand="0" w:evenVBand="0" w:oddHBand="0" w:evenHBand="0" w:firstRowFirstColumn="0" w:firstRowLastColumn="0" w:lastRowFirstColumn="0" w:lastRowLastColumn="0"/>
              <w:rPr>
                <w:color w:val="FFFFFF"/>
                <w:position w:val="2"/>
                <w:sz w:val="18"/>
                <w:szCs w:val="18"/>
                <w:lang w:val="en-GB" w:eastAsia="en-GB"/>
              </w:rPr>
            </w:pPr>
            <w:r w:rsidRPr="003C0B7E">
              <w:rPr>
                <w:color w:val="FFFFFF"/>
                <w:position w:val="2"/>
                <w:sz w:val="18"/>
                <w:szCs w:val="18"/>
                <w:rtl/>
                <w:lang w:val="en-GB" w:eastAsia="en-GB"/>
              </w:rPr>
              <w:t>النسبة المئوية (%) من الميزانية</w:t>
            </w:r>
          </w:p>
        </w:tc>
      </w:tr>
      <w:tr w:rsidR="00CA455D" w:rsidRPr="003C0B7E" w14:paraId="1840E91C" w14:textId="77777777" w:rsidTr="00A13E4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061" w:type="dxa"/>
            <w:shd w:val="clear" w:color="auto" w:fill="DBE5F1"/>
            <w:hideMark/>
          </w:tcPr>
          <w:p w14:paraId="63CB4A11" w14:textId="1B8E7D7D"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الأولوية 1 - توصيلية ميسورة التكلفة</w:t>
            </w:r>
            <w:r w:rsidRPr="003C0B7E">
              <w:rPr>
                <w:position w:val="2"/>
                <w:sz w:val="18"/>
                <w:szCs w:val="18"/>
              </w:rPr>
              <w:br/>
            </w:r>
            <w:r w:rsidRPr="003C0B7E">
              <w:rPr>
                <w:position w:val="2"/>
                <w:sz w:val="18"/>
                <w:szCs w:val="18"/>
                <w:rtl/>
              </w:rPr>
              <w:t>(بما في ذلك الشبكة والبنية التحتية الرقمية والاتصالات في حالات الطوارئ)</w:t>
            </w:r>
          </w:p>
        </w:tc>
        <w:tc>
          <w:tcPr>
            <w:tcW w:w="1989" w:type="dxa"/>
            <w:shd w:val="clear" w:color="auto" w:fill="DBE5F1"/>
            <w:noWrap/>
            <w:hideMark/>
          </w:tcPr>
          <w:p w14:paraId="08E54745" w14:textId="3944E390"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595 500</w:t>
            </w:r>
          </w:p>
        </w:tc>
        <w:tc>
          <w:tcPr>
            <w:tcW w:w="1554" w:type="dxa"/>
            <w:shd w:val="clear" w:color="auto" w:fill="DBE5F1"/>
            <w:noWrap/>
            <w:hideMark/>
          </w:tcPr>
          <w:p w14:paraId="5EEBD46B" w14:textId="444DA70E"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14,8</w:t>
            </w:r>
            <w:r w:rsidRPr="003C0B7E">
              <w:rPr>
                <w:color w:val="000000"/>
                <w:position w:val="2"/>
                <w:sz w:val="18"/>
                <w:szCs w:val="18"/>
                <w:rtl/>
                <w:lang w:val="en-GB" w:eastAsia="en-GB"/>
              </w:rPr>
              <w:t>%</w:t>
            </w:r>
          </w:p>
        </w:tc>
      </w:tr>
      <w:tr w:rsidR="00CA455D" w:rsidRPr="003C0B7E" w14:paraId="1FFECF18" w14:textId="77777777" w:rsidTr="00A13E43">
        <w:trPr>
          <w:trHeight w:val="620"/>
        </w:trPr>
        <w:tc>
          <w:tcPr>
            <w:cnfStyle w:val="001000000000" w:firstRow="0" w:lastRow="0" w:firstColumn="1" w:lastColumn="0" w:oddVBand="0" w:evenVBand="0" w:oddHBand="0" w:evenHBand="0" w:firstRowFirstColumn="0" w:firstRowLastColumn="0" w:lastRowFirstColumn="0" w:lastRowLastColumn="0"/>
            <w:tcW w:w="6061" w:type="dxa"/>
            <w:hideMark/>
          </w:tcPr>
          <w:p w14:paraId="0D3BA1A7" w14:textId="3AE2B0EF"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الأولوية 2 - التحول الرقمي</w:t>
            </w:r>
            <w:r w:rsidRPr="003C0B7E">
              <w:rPr>
                <w:position w:val="2"/>
                <w:sz w:val="18"/>
                <w:szCs w:val="18"/>
              </w:rPr>
              <w:br/>
            </w:r>
            <w:r w:rsidRPr="003C0B7E">
              <w:rPr>
                <w:b w:val="0"/>
                <w:bCs w:val="0"/>
                <w:position w:val="2"/>
                <w:sz w:val="18"/>
                <w:szCs w:val="18"/>
                <w:rtl/>
              </w:rPr>
              <w:t>(بما في ذلك التطبيقات والخدمات الرقمية، والأنظمة الإيكولوجية للابتكار الرقمي)</w:t>
            </w:r>
          </w:p>
        </w:tc>
        <w:tc>
          <w:tcPr>
            <w:tcW w:w="1989" w:type="dxa"/>
            <w:noWrap/>
            <w:hideMark/>
          </w:tcPr>
          <w:p w14:paraId="43B54C46" w14:textId="333B1C63"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628 000</w:t>
            </w:r>
          </w:p>
        </w:tc>
        <w:tc>
          <w:tcPr>
            <w:tcW w:w="1554" w:type="dxa"/>
            <w:noWrap/>
            <w:hideMark/>
          </w:tcPr>
          <w:p w14:paraId="1D3BF3A5" w14:textId="4EED9AAA"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15,6</w:t>
            </w:r>
            <w:r w:rsidRPr="003C0B7E">
              <w:rPr>
                <w:color w:val="000000"/>
                <w:position w:val="2"/>
                <w:sz w:val="18"/>
                <w:szCs w:val="18"/>
                <w:rtl/>
                <w:lang w:val="en-GB" w:eastAsia="en-GB"/>
              </w:rPr>
              <w:t>%</w:t>
            </w:r>
          </w:p>
        </w:tc>
      </w:tr>
      <w:tr w:rsidR="00CA455D" w:rsidRPr="003C0B7E" w14:paraId="3C68266B" w14:textId="77777777" w:rsidTr="00A13E43">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6061" w:type="dxa"/>
            <w:shd w:val="clear" w:color="auto" w:fill="DBE5F1"/>
            <w:hideMark/>
          </w:tcPr>
          <w:p w14:paraId="0D5B9082" w14:textId="1E5DCD86"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الأولوية 3 - البيئة السياساتية والتنظيمية التمكينية</w:t>
            </w:r>
            <w:r w:rsidRPr="003C0B7E">
              <w:rPr>
                <w:position w:val="2"/>
                <w:sz w:val="18"/>
                <w:szCs w:val="18"/>
              </w:rPr>
              <w:br/>
            </w:r>
            <w:r w:rsidRPr="003C0B7E">
              <w:rPr>
                <w:b w:val="0"/>
                <w:bCs w:val="0"/>
                <w:position w:val="2"/>
                <w:sz w:val="18"/>
                <w:szCs w:val="18"/>
                <w:rtl/>
              </w:rPr>
              <w:t>(بما في ذلك السياسات والتنظيم وتنمية القدرات والإحصاءات)</w:t>
            </w:r>
          </w:p>
        </w:tc>
        <w:tc>
          <w:tcPr>
            <w:tcW w:w="1989" w:type="dxa"/>
            <w:shd w:val="clear" w:color="auto" w:fill="DBE5F1"/>
            <w:noWrap/>
            <w:hideMark/>
          </w:tcPr>
          <w:p w14:paraId="0CC374F7" w14:textId="74C6AC0A"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1 199 000</w:t>
            </w:r>
          </w:p>
        </w:tc>
        <w:tc>
          <w:tcPr>
            <w:tcW w:w="1554" w:type="dxa"/>
            <w:shd w:val="clear" w:color="auto" w:fill="DBE5F1"/>
            <w:noWrap/>
            <w:hideMark/>
          </w:tcPr>
          <w:p w14:paraId="416AE1E0" w14:textId="46BFD870"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29,8</w:t>
            </w:r>
            <w:r w:rsidRPr="003C0B7E">
              <w:rPr>
                <w:color w:val="000000"/>
                <w:position w:val="2"/>
                <w:sz w:val="18"/>
                <w:szCs w:val="18"/>
                <w:rtl/>
                <w:lang w:val="en-GB" w:eastAsia="en-GB"/>
              </w:rPr>
              <w:t>%</w:t>
            </w:r>
          </w:p>
        </w:tc>
      </w:tr>
      <w:tr w:rsidR="00CA455D" w:rsidRPr="003C0B7E" w14:paraId="04D72AC0" w14:textId="77777777" w:rsidTr="00A13E43">
        <w:trPr>
          <w:trHeight w:val="620"/>
        </w:trPr>
        <w:tc>
          <w:tcPr>
            <w:cnfStyle w:val="001000000000" w:firstRow="0" w:lastRow="0" w:firstColumn="1" w:lastColumn="0" w:oddVBand="0" w:evenVBand="0" w:oddHBand="0" w:evenHBand="0" w:firstRowFirstColumn="0" w:firstRowLastColumn="0" w:lastRowFirstColumn="0" w:lastRowLastColumn="0"/>
            <w:tcW w:w="6061" w:type="dxa"/>
            <w:hideMark/>
          </w:tcPr>
          <w:p w14:paraId="02969AC3" w14:textId="631F99DC"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 xml:space="preserve">الأولوية 4 - الاتصالات/تكنولوجيا المعلومات والاتصالات الشاملة للجميع والآمنة لتحقيق التنمية المستدامة </w:t>
            </w:r>
            <w:r w:rsidRPr="003C0B7E">
              <w:rPr>
                <w:b w:val="0"/>
                <w:bCs w:val="0"/>
                <w:position w:val="2"/>
                <w:sz w:val="18"/>
                <w:szCs w:val="18"/>
                <w:rtl/>
              </w:rPr>
              <w:t>(بما في ذلك الأمن السيبراني وتنمية القدرات)</w:t>
            </w:r>
          </w:p>
        </w:tc>
        <w:tc>
          <w:tcPr>
            <w:tcW w:w="1989" w:type="dxa"/>
            <w:noWrap/>
            <w:hideMark/>
          </w:tcPr>
          <w:p w14:paraId="66BBCDAE" w14:textId="32AD5758"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572 500</w:t>
            </w:r>
          </w:p>
        </w:tc>
        <w:tc>
          <w:tcPr>
            <w:tcW w:w="1554" w:type="dxa"/>
            <w:noWrap/>
            <w:hideMark/>
          </w:tcPr>
          <w:p w14:paraId="4DCE77CF" w14:textId="7C8513CB"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14,2</w:t>
            </w:r>
            <w:r w:rsidRPr="003C0B7E">
              <w:rPr>
                <w:color w:val="000000"/>
                <w:position w:val="2"/>
                <w:sz w:val="18"/>
                <w:szCs w:val="18"/>
                <w:rtl/>
                <w:lang w:val="en-GB" w:eastAsia="en-GB"/>
              </w:rPr>
              <w:t>%</w:t>
            </w:r>
          </w:p>
        </w:tc>
      </w:tr>
      <w:tr w:rsidR="00CA455D" w:rsidRPr="003C0B7E" w14:paraId="1BC63227" w14:textId="77777777" w:rsidTr="00A13E4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061" w:type="dxa"/>
            <w:shd w:val="clear" w:color="auto" w:fill="DBE5F1"/>
            <w:hideMark/>
          </w:tcPr>
          <w:p w14:paraId="4D8FC677" w14:textId="79A93339"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الأولوية 5/العامل التمكيني</w:t>
            </w:r>
            <w:r w:rsidR="00A13E43" w:rsidRPr="003C0B7E">
              <w:rPr>
                <w:rFonts w:hint="cs"/>
                <w:position w:val="2"/>
                <w:sz w:val="18"/>
                <w:szCs w:val="18"/>
                <w:rtl/>
              </w:rPr>
              <w:t xml:space="preserve"> </w:t>
            </w:r>
            <w:r w:rsidRPr="003C0B7E">
              <w:rPr>
                <w:position w:val="2"/>
                <w:sz w:val="18"/>
                <w:szCs w:val="18"/>
                <w:rtl/>
              </w:rPr>
              <w:t>6/العامل التمكيني</w:t>
            </w:r>
            <w:r w:rsidR="00A13E43" w:rsidRPr="003C0B7E">
              <w:rPr>
                <w:rFonts w:hint="cs"/>
                <w:position w:val="2"/>
                <w:sz w:val="18"/>
                <w:szCs w:val="18"/>
                <w:rtl/>
              </w:rPr>
              <w:t xml:space="preserve"> </w:t>
            </w:r>
            <w:r w:rsidRPr="003C0B7E">
              <w:rPr>
                <w:position w:val="2"/>
                <w:sz w:val="18"/>
                <w:szCs w:val="18"/>
                <w:rtl/>
              </w:rPr>
              <w:t>7 - تعبئة الموارد والشراكات والتعاون الدولي</w:t>
            </w:r>
          </w:p>
        </w:tc>
        <w:tc>
          <w:tcPr>
            <w:tcW w:w="1989" w:type="dxa"/>
            <w:shd w:val="clear" w:color="auto" w:fill="DBE5F1"/>
            <w:noWrap/>
            <w:hideMark/>
          </w:tcPr>
          <w:p w14:paraId="1FBD9E58" w14:textId="18E98DA8"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327 000</w:t>
            </w:r>
          </w:p>
        </w:tc>
        <w:tc>
          <w:tcPr>
            <w:tcW w:w="1554" w:type="dxa"/>
            <w:shd w:val="clear" w:color="auto" w:fill="DBE5F1"/>
            <w:noWrap/>
            <w:hideMark/>
          </w:tcPr>
          <w:p w14:paraId="48706B03" w14:textId="466A8419"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8,1</w:t>
            </w:r>
            <w:r w:rsidRPr="003C0B7E">
              <w:rPr>
                <w:color w:val="000000"/>
                <w:position w:val="2"/>
                <w:sz w:val="18"/>
                <w:szCs w:val="18"/>
                <w:rtl/>
                <w:lang w:val="en-GB" w:eastAsia="en-GB"/>
              </w:rPr>
              <w:t>%</w:t>
            </w:r>
          </w:p>
        </w:tc>
      </w:tr>
      <w:tr w:rsidR="00CA455D" w:rsidRPr="003C0B7E" w14:paraId="73B0C1A0" w14:textId="77777777" w:rsidTr="00A13E43">
        <w:trPr>
          <w:trHeight w:val="310"/>
        </w:trPr>
        <w:tc>
          <w:tcPr>
            <w:cnfStyle w:val="001000000000" w:firstRow="0" w:lastRow="0" w:firstColumn="1" w:lastColumn="0" w:oddVBand="0" w:evenVBand="0" w:oddHBand="0" w:evenHBand="0" w:firstRowFirstColumn="0" w:firstRowLastColumn="0" w:lastRowFirstColumn="0" w:lastRowLastColumn="0"/>
            <w:tcW w:w="6061" w:type="dxa"/>
            <w:hideMark/>
          </w:tcPr>
          <w:p w14:paraId="1D7EB067" w14:textId="363168E5"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العامل التمكيني 1 - منظمة يقودها الأعضاء</w:t>
            </w:r>
          </w:p>
        </w:tc>
        <w:tc>
          <w:tcPr>
            <w:tcW w:w="1989" w:type="dxa"/>
            <w:noWrap/>
            <w:hideMark/>
          </w:tcPr>
          <w:p w14:paraId="204215AB" w14:textId="4ECBF7B1"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15 000</w:t>
            </w:r>
          </w:p>
        </w:tc>
        <w:tc>
          <w:tcPr>
            <w:tcW w:w="1554" w:type="dxa"/>
            <w:noWrap/>
            <w:hideMark/>
          </w:tcPr>
          <w:p w14:paraId="22460815" w14:textId="0E3F78D2"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0,4</w:t>
            </w:r>
            <w:r w:rsidRPr="003C0B7E">
              <w:rPr>
                <w:color w:val="000000"/>
                <w:position w:val="2"/>
                <w:sz w:val="18"/>
                <w:szCs w:val="18"/>
                <w:rtl/>
                <w:lang w:val="en-GB" w:eastAsia="en-GB"/>
              </w:rPr>
              <w:t>%</w:t>
            </w:r>
          </w:p>
        </w:tc>
      </w:tr>
      <w:tr w:rsidR="00CA455D" w:rsidRPr="003C0B7E" w14:paraId="06E02038" w14:textId="77777777" w:rsidTr="00A13E4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061" w:type="dxa"/>
            <w:shd w:val="clear" w:color="auto" w:fill="DBE5F1"/>
            <w:hideMark/>
          </w:tcPr>
          <w:p w14:paraId="5F011993" w14:textId="17ACE808"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العامل التمكيني 2 - الحضور الإقليمي</w:t>
            </w:r>
          </w:p>
        </w:tc>
        <w:tc>
          <w:tcPr>
            <w:tcW w:w="1989" w:type="dxa"/>
            <w:shd w:val="clear" w:color="auto" w:fill="DBE5F1"/>
            <w:noWrap/>
            <w:hideMark/>
          </w:tcPr>
          <w:p w14:paraId="483EFF62" w14:textId="1D6F4E96"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95 000</w:t>
            </w:r>
          </w:p>
        </w:tc>
        <w:tc>
          <w:tcPr>
            <w:tcW w:w="1554" w:type="dxa"/>
            <w:shd w:val="clear" w:color="auto" w:fill="DBE5F1"/>
            <w:noWrap/>
            <w:hideMark/>
          </w:tcPr>
          <w:p w14:paraId="33D82A6B" w14:textId="2BE0A469"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2,4</w:t>
            </w:r>
            <w:r w:rsidRPr="003C0B7E">
              <w:rPr>
                <w:color w:val="000000"/>
                <w:position w:val="2"/>
                <w:sz w:val="18"/>
                <w:szCs w:val="18"/>
                <w:rtl/>
                <w:lang w:val="en-GB" w:eastAsia="en-GB"/>
              </w:rPr>
              <w:t>%</w:t>
            </w:r>
          </w:p>
        </w:tc>
      </w:tr>
      <w:tr w:rsidR="00CA455D" w:rsidRPr="003C0B7E" w14:paraId="60250724" w14:textId="77777777" w:rsidTr="00A13E43">
        <w:trPr>
          <w:trHeight w:val="310"/>
        </w:trPr>
        <w:tc>
          <w:tcPr>
            <w:cnfStyle w:val="001000000000" w:firstRow="0" w:lastRow="0" w:firstColumn="1" w:lastColumn="0" w:oddVBand="0" w:evenVBand="0" w:oddHBand="0" w:evenHBand="0" w:firstRowFirstColumn="0" w:firstRowLastColumn="0" w:lastRowFirstColumn="0" w:lastRowLastColumn="0"/>
            <w:tcW w:w="6061" w:type="dxa"/>
            <w:hideMark/>
          </w:tcPr>
          <w:p w14:paraId="5F40B38C" w14:textId="58E84E26"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العامل التمكيني 3 - التنوع والشمول (بما في ذلك الشمول الرقمي)</w:t>
            </w:r>
          </w:p>
        </w:tc>
        <w:tc>
          <w:tcPr>
            <w:tcW w:w="1989" w:type="dxa"/>
            <w:noWrap/>
            <w:hideMark/>
          </w:tcPr>
          <w:p w14:paraId="5034EC55" w14:textId="5B8655F3"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292 000</w:t>
            </w:r>
          </w:p>
        </w:tc>
        <w:tc>
          <w:tcPr>
            <w:tcW w:w="1554" w:type="dxa"/>
            <w:noWrap/>
            <w:hideMark/>
          </w:tcPr>
          <w:p w14:paraId="195B56FE" w14:textId="42D54437"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7,3</w:t>
            </w:r>
            <w:r w:rsidRPr="003C0B7E">
              <w:rPr>
                <w:color w:val="000000"/>
                <w:position w:val="2"/>
                <w:sz w:val="18"/>
                <w:szCs w:val="18"/>
                <w:rtl/>
                <w:lang w:val="en-GB" w:eastAsia="en-GB"/>
              </w:rPr>
              <w:t>%</w:t>
            </w:r>
          </w:p>
        </w:tc>
      </w:tr>
      <w:tr w:rsidR="00CA455D" w:rsidRPr="003C0B7E" w14:paraId="777B8F03" w14:textId="77777777" w:rsidTr="00A13E4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061" w:type="dxa"/>
            <w:shd w:val="clear" w:color="auto" w:fill="DBE5F1"/>
            <w:hideMark/>
          </w:tcPr>
          <w:p w14:paraId="078FEB1D" w14:textId="328253FF"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العامل التمكيني 4 - الالتزام بالاستدامة البيئية (بما في ذلك البيئة)</w:t>
            </w:r>
          </w:p>
        </w:tc>
        <w:tc>
          <w:tcPr>
            <w:tcW w:w="1989" w:type="dxa"/>
            <w:shd w:val="clear" w:color="auto" w:fill="DBE5F1"/>
            <w:noWrap/>
            <w:hideMark/>
          </w:tcPr>
          <w:p w14:paraId="373B74C1" w14:textId="399E8337"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165 000</w:t>
            </w:r>
          </w:p>
        </w:tc>
        <w:tc>
          <w:tcPr>
            <w:tcW w:w="1554" w:type="dxa"/>
            <w:shd w:val="clear" w:color="auto" w:fill="DBE5F1"/>
            <w:noWrap/>
            <w:hideMark/>
          </w:tcPr>
          <w:p w14:paraId="7EFAD2F2" w14:textId="133DAD8B"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4,1</w:t>
            </w:r>
            <w:r w:rsidRPr="003C0B7E">
              <w:rPr>
                <w:color w:val="000000"/>
                <w:position w:val="2"/>
                <w:sz w:val="18"/>
                <w:szCs w:val="18"/>
                <w:rtl/>
                <w:lang w:val="en-GB" w:eastAsia="en-GB"/>
              </w:rPr>
              <w:t>%</w:t>
            </w:r>
          </w:p>
        </w:tc>
      </w:tr>
      <w:tr w:rsidR="00CA455D" w:rsidRPr="003C0B7E" w14:paraId="463E39B6" w14:textId="77777777" w:rsidTr="00A13E43">
        <w:trPr>
          <w:trHeight w:val="310"/>
        </w:trPr>
        <w:tc>
          <w:tcPr>
            <w:cnfStyle w:val="001000000000" w:firstRow="0" w:lastRow="0" w:firstColumn="1" w:lastColumn="0" w:oddVBand="0" w:evenVBand="0" w:oddHBand="0" w:evenHBand="0" w:firstRowFirstColumn="0" w:firstRowLastColumn="0" w:lastRowFirstColumn="0" w:lastRowLastColumn="0"/>
            <w:tcW w:w="6061" w:type="dxa"/>
            <w:hideMark/>
          </w:tcPr>
          <w:p w14:paraId="5A2A6518" w14:textId="5A6FF9FA"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العامل التمكيني 5 - التميز في مجال الموارد البشرية والابتكار التنظيمي</w:t>
            </w:r>
          </w:p>
        </w:tc>
        <w:tc>
          <w:tcPr>
            <w:tcW w:w="1989" w:type="dxa"/>
            <w:noWrap/>
            <w:hideMark/>
          </w:tcPr>
          <w:p w14:paraId="27751F10" w14:textId="2919D06A"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131 000</w:t>
            </w:r>
          </w:p>
        </w:tc>
        <w:tc>
          <w:tcPr>
            <w:tcW w:w="1554" w:type="dxa"/>
            <w:noWrap/>
            <w:hideMark/>
          </w:tcPr>
          <w:p w14:paraId="53357E61" w14:textId="3816943E" w:rsidR="00CA455D" w:rsidRPr="003C0B7E" w:rsidRDefault="00CA455D" w:rsidP="003C0B7E">
            <w:pPr>
              <w:tabs>
                <w:tab w:val="clear" w:pos="794"/>
              </w:tabs>
              <w:spacing w:before="80" w:after="60" w:line="260" w:lineRule="exact"/>
              <w:jc w:val="left"/>
              <w:cnfStyle w:val="000000000000" w:firstRow="0" w:lastRow="0" w:firstColumn="0" w:lastColumn="0" w:oddVBand="0" w:evenVBand="0" w:oddHBand="0" w:evenHBand="0" w:firstRowFirstColumn="0" w:firstRowLastColumn="0" w:lastRowFirstColumn="0" w:lastRowLastColumn="0"/>
              <w:rPr>
                <w:color w:val="000000"/>
                <w:position w:val="2"/>
                <w:sz w:val="18"/>
                <w:szCs w:val="18"/>
                <w:lang w:val="en-GB" w:eastAsia="en-GB"/>
              </w:rPr>
            </w:pPr>
            <w:r w:rsidRPr="003C0B7E">
              <w:rPr>
                <w:color w:val="000000"/>
                <w:position w:val="2"/>
                <w:sz w:val="18"/>
                <w:szCs w:val="18"/>
                <w:lang w:val="en-GB" w:eastAsia="en-GB"/>
              </w:rPr>
              <w:t>3,3</w:t>
            </w:r>
            <w:r w:rsidRPr="003C0B7E">
              <w:rPr>
                <w:color w:val="000000"/>
                <w:position w:val="2"/>
                <w:sz w:val="18"/>
                <w:szCs w:val="18"/>
                <w:rtl/>
                <w:lang w:val="en-GB" w:eastAsia="en-GB"/>
              </w:rPr>
              <w:t>%</w:t>
            </w:r>
          </w:p>
        </w:tc>
      </w:tr>
      <w:tr w:rsidR="00CA455D" w:rsidRPr="003C0B7E" w14:paraId="4795A7F1" w14:textId="77777777" w:rsidTr="00A13E4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061" w:type="dxa"/>
            <w:shd w:val="clear" w:color="auto" w:fill="DBE5F1"/>
            <w:hideMark/>
          </w:tcPr>
          <w:p w14:paraId="5C38D93A" w14:textId="6C2306FD" w:rsidR="00CA455D" w:rsidRPr="003C0B7E" w:rsidRDefault="00CA455D" w:rsidP="003C0B7E">
            <w:pPr>
              <w:tabs>
                <w:tab w:val="clear" w:pos="794"/>
              </w:tabs>
              <w:spacing w:before="80" w:after="60" w:line="260" w:lineRule="exact"/>
              <w:jc w:val="left"/>
              <w:rPr>
                <w:color w:val="000000"/>
                <w:position w:val="2"/>
                <w:sz w:val="18"/>
                <w:szCs w:val="18"/>
                <w:lang w:val="en-GB" w:eastAsia="en-GB"/>
              </w:rPr>
            </w:pPr>
            <w:r w:rsidRPr="003C0B7E">
              <w:rPr>
                <w:position w:val="2"/>
                <w:sz w:val="18"/>
                <w:szCs w:val="18"/>
                <w:rtl/>
              </w:rPr>
              <w:t>المجموع الكلي</w:t>
            </w:r>
          </w:p>
        </w:tc>
        <w:tc>
          <w:tcPr>
            <w:tcW w:w="1989" w:type="dxa"/>
            <w:shd w:val="clear" w:color="auto" w:fill="DBE5F1"/>
            <w:noWrap/>
            <w:hideMark/>
          </w:tcPr>
          <w:p w14:paraId="0BF2654F" w14:textId="5CCF65B5"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b/>
                <w:bCs/>
                <w:color w:val="000000"/>
                <w:position w:val="2"/>
                <w:sz w:val="18"/>
                <w:szCs w:val="18"/>
                <w:lang w:val="en-GB" w:eastAsia="en-GB"/>
              </w:rPr>
            </w:pPr>
            <w:r w:rsidRPr="003C0B7E">
              <w:rPr>
                <w:b/>
                <w:bCs/>
                <w:color w:val="000000"/>
                <w:position w:val="2"/>
                <w:sz w:val="18"/>
                <w:szCs w:val="18"/>
                <w:lang w:val="en-GB" w:eastAsia="en-GB"/>
              </w:rPr>
              <w:t>4 020 000</w:t>
            </w:r>
          </w:p>
        </w:tc>
        <w:tc>
          <w:tcPr>
            <w:tcW w:w="1554" w:type="dxa"/>
            <w:shd w:val="clear" w:color="auto" w:fill="DBE5F1"/>
            <w:noWrap/>
            <w:hideMark/>
          </w:tcPr>
          <w:p w14:paraId="6D253601" w14:textId="3E4B834C" w:rsidR="00CA455D" w:rsidRPr="003C0B7E" w:rsidRDefault="00CA455D" w:rsidP="003C0B7E">
            <w:pPr>
              <w:tabs>
                <w:tab w:val="clear" w:pos="794"/>
              </w:tabs>
              <w:spacing w:before="80" w:after="60" w:line="260" w:lineRule="exact"/>
              <w:jc w:val="left"/>
              <w:cnfStyle w:val="000000100000" w:firstRow="0" w:lastRow="0" w:firstColumn="0" w:lastColumn="0" w:oddVBand="0" w:evenVBand="0" w:oddHBand="1" w:evenHBand="0" w:firstRowFirstColumn="0" w:firstRowLastColumn="0" w:lastRowFirstColumn="0" w:lastRowLastColumn="0"/>
              <w:rPr>
                <w:b/>
                <w:bCs/>
                <w:color w:val="000000"/>
                <w:position w:val="2"/>
                <w:sz w:val="18"/>
                <w:szCs w:val="18"/>
                <w:lang w:val="en-GB" w:eastAsia="en-GB"/>
              </w:rPr>
            </w:pPr>
            <w:r w:rsidRPr="003C0B7E">
              <w:rPr>
                <w:b/>
                <w:bCs/>
                <w:color w:val="000000"/>
                <w:position w:val="2"/>
                <w:sz w:val="18"/>
                <w:szCs w:val="18"/>
                <w:lang w:val="en-GB" w:eastAsia="en-GB"/>
              </w:rPr>
              <w:t>100,0</w:t>
            </w:r>
            <w:r w:rsidRPr="003C0B7E">
              <w:rPr>
                <w:color w:val="000000"/>
                <w:position w:val="2"/>
                <w:sz w:val="18"/>
                <w:szCs w:val="18"/>
                <w:rtl/>
                <w:lang w:val="en-GB" w:eastAsia="en-GB"/>
              </w:rPr>
              <w:t>%</w:t>
            </w:r>
          </w:p>
        </w:tc>
      </w:tr>
    </w:tbl>
    <w:p w14:paraId="75F4F287" w14:textId="57264049" w:rsidR="00891B94" w:rsidRPr="001B55A3" w:rsidRDefault="00D41E7C" w:rsidP="001B55A3">
      <w:pPr>
        <w:pStyle w:val="Heading1"/>
      </w:pPr>
      <w:bookmarkStart w:id="21" w:name="lt_pId084"/>
      <w:bookmarkEnd w:id="20"/>
      <w:r w:rsidRPr="001B55A3">
        <w:rPr>
          <w:rFonts w:hint="cs"/>
          <w:rtl/>
        </w:rPr>
        <w:t>3</w:t>
      </w:r>
      <w:r w:rsidRPr="001B55A3">
        <w:rPr>
          <w:rtl/>
        </w:rPr>
        <w:tab/>
      </w:r>
      <w:r w:rsidR="00891B94" w:rsidRPr="001B55A3">
        <w:rPr>
          <w:rtl/>
        </w:rPr>
        <w:t>الخلاصة</w:t>
      </w:r>
      <w:bookmarkEnd w:id="21"/>
    </w:p>
    <w:p w14:paraId="51092758" w14:textId="6D2AA1DE" w:rsidR="00891B94" w:rsidRDefault="00891B94" w:rsidP="001B55A3">
      <w:pPr>
        <w:rPr>
          <w:rFonts w:cstheme="minorHAnsi"/>
          <w:szCs w:val="20"/>
          <w:lang w:val="ar-SA" w:eastAsia="zh-TW" w:bidi="en-GB"/>
        </w:rPr>
      </w:pPr>
      <w:bookmarkStart w:id="22" w:name="lt_pId085"/>
      <w:r>
        <w:rPr>
          <w:rtl/>
        </w:rPr>
        <w:t>يدعى الفريق الاستشاري لتنمية الاتصالات إلى العلم بهذه الوثيقة وتقديم التوجيه والمشورة بشأن كيفية مواصلة تحقيق التأثير</w:t>
      </w:r>
      <w:r w:rsidR="00036FF6">
        <w:rPr>
          <w:rFonts w:hint="cs"/>
          <w:rtl/>
        </w:rPr>
        <w:t xml:space="preserve"> </w:t>
      </w:r>
      <w:r>
        <w:rPr>
          <w:rtl/>
        </w:rPr>
        <w:t>على الصعيد العالمي وعبر المناطق مع ضمان المواءمة مع النتائج المحددة في خطة عمل كيغالي.</w:t>
      </w:r>
      <w:bookmarkEnd w:id="22"/>
    </w:p>
    <w:p w14:paraId="1C90B520"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3E98" w14:textId="77777777" w:rsidR="00704DC6" w:rsidRDefault="00704DC6" w:rsidP="006C3242">
      <w:pPr>
        <w:spacing w:before="0" w:line="240" w:lineRule="auto"/>
      </w:pPr>
      <w:r>
        <w:separator/>
      </w:r>
    </w:p>
  </w:endnote>
  <w:endnote w:type="continuationSeparator" w:id="0">
    <w:p w14:paraId="3FB4F490" w14:textId="77777777" w:rsidR="00704DC6" w:rsidRDefault="00704DC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AD7B420" w14:textId="77777777" w:rsidTr="00F03E94">
      <w:tc>
        <w:tcPr>
          <w:tcW w:w="991" w:type="dxa"/>
          <w:tcBorders>
            <w:top w:val="single" w:sz="4" w:space="0" w:color="auto"/>
            <w:left w:val="nil"/>
            <w:bottom w:val="nil"/>
            <w:right w:val="nil"/>
          </w:tcBorders>
          <w:shd w:val="clear" w:color="auto" w:fill="FFFFFF" w:themeFill="background1"/>
          <w:hideMark/>
        </w:tcPr>
        <w:p w14:paraId="0A1A7C4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51DE31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69CDD04" w14:textId="50F8B05F" w:rsidR="00882A17" w:rsidRPr="00036FF6" w:rsidRDefault="00FE29C0" w:rsidP="00882A17">
          <w:pPr>
            <w:spacing w:before="60" w:after="40" w:line="260" w:lineRule="exact"/>
            <w:rPr>
              <w:position w:val="2"/>
              <w:sz w:val="18"/>
              <w:szCs w:val="18"/>
              <w:rtl/>
              <w:lang w:val="en-GB" w:bidi="ar-EG"/>
            </w:rPr>
          </w:pPr>
          <w:r w:rsidRPr="00036FF6">
            <w:rPr>
              <w:rFonts w:hint="cs"/>
              <w:position w:val="2"/>
              <w:sz w:val="18"/>
              <w:szCs w:val="18"/>
              <w:rtl/>
              <w:lang w:val="en-GB" w:bidi="ar-EG"/>
            </w:rPr>
            <w:t xml:space="preserve">السيد </w:t>
          </w:r>
          <w:r w:rsidR="00036FF6" w:rsidRPr="00036FF6">
            <w:rPr>
              <w:rFonts w:hint="cs"/>
              <w:position w:val="2"/>
              <w:sz w:val="18"/>
              <w:szCs w:val="18"/>
              <w:rtl/>
              <w:lang w:val="en-GB" w:bidi="ar-EG"/>
            </w:rPr>
            <w:t>برونو راموس، القائم بأعمال نائب المدير، مكتب تنمية الاتصالات</w:t>
          </w:r>
        </w:p>
      </w:tc>
    </w:tr>
    <w:tr w:rsidR="00882A17" w:rsidRPr="005874F2" w14:paraId="7B9B81C8" w14:textId="77777777" w:rsidTr="00F03E94">
      <w:tc>
        <w:tcPr>
          <w:tcW w:w="991" w:type="dxa"/>
        </w:tcPr>
        <w:p w14:paraId="2026090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E34ACA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75D15AF6" w14:textId="62070182" w:rsidR="00882A17" w:rsidRPr="005874F2" w:rsidRDefault="00FE29C0" w:rsidP="00882A17">
          <w:pPr>
            <w:spacing w:before="60" w:after="40" w:line="260" w:lineRule="exact"/>
            <w:rPr>
              <w:position w:val="2"/>
              <w:sz w:val="18"/>
              <w:szCs w:val="18"/>
              <w:rtl/>
              <w:lang w:val="en-GB" w:bidi="ar-EG"/>
            </w:rPr>
          </w:pPr>
          <w:r>
            <w:rPr>
              <w:rFonts w:hint="cs"/>
              <w:position w:val="2"/>
              <w:sz w:val="18"/>
              <w:szCs w:val="18"/>
              <w:rtl/>
              <w:lang w:val="en-GB" w:bidi="ar-EG"/>
            </w:rPr>
            <w:t>لا يوجد</w:t>
          </w:r>
        </w:p>
      </w:tc>
    </w:tr>
    <w:tr w:rsidR="00882A17" w:rsidRPr="005874F2" w14:paraId="3A50313E" w14:textId="77777777" w:rsidTr="00F03E94">
      <w:tc>
        <w:tcPr>
          <w:tcW w:w="991" w:type="dxa"/>
        </w:tcPr>
        <w:p w14:paraId="17CEBD96"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14BD49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526BDE8" w14:textId="28FEF66E" w:rsidR="00882A17" w:rsidRPr="005874F2" w:rsidRDefault="003C0B7E" w:rsidP="00882A17">
          <w:pPr>
            <w:spacing w:before="60" w:after="40" w:line="260" w:lineRule="exact"/>
            <w:rPr>
              <w:position w:val="2"/>
              <w:sz w:val="18"/>
              <w:szCs w:val="18"/>
              <w:rtl/>
              <w:lang w:val="fr-FR" w:bidi="ar-EG"/>
            </w:rPr>
          </w:pPr>
          <w:hyperlink r:id="rId1" w:history="1">
            <w:r w:rsidR="00FE29C0" w:rsidRPr="00C05F43">
              <w:rPr>
                <w:rStyle w:val="Hyperlink"/>
                <w:sz w:val="18"/>
                <w:szCs w:val="18"/>
              </w:rPr>
              <w:t>bruno.ramos@itu.int</w:t>
            </w:r>
          </w:hyperlink>
        </w:p>
      </w:tc>
    </w:tr>
  </w:tbl>
  <w:p w14:paraId="317DE7B3"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5933" w14:textId="77777777" w:rsidR="00704DC6" w:rsidRDefault="00704DC6" w:rsidP="006C3242">
      <w:pPr>
        <w:spacing w:before="0" w:line="240" w:lineRule="auto"/>
      </w:pPr>
      <w:r>
        <w:separator/>
      </w:r>
    </w:p>
  </w:footnote>
  <w:footnote w:type="continuationSeparator" w:id="0">
    <w:p w14:paraId="743AD643" w14:textId="77777777" w:rsidR="00704DC6" w:rsidRDefault="00704DC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E5EBC94" w14:textId="7B0591D1"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23" w:name="DocNo2"/>
        <w:bookmarkEnd w:id="23"/>
        <w:r w:rsidR="00457D22">
          <w:rPr>
            <w:sz w:val="20"/>
            <w:szCs w:val="20"/>
            <w:lang w:val="es-ES_tradnl"/>
          </w:rPr>
          <w:t>4</w:t>
        </w:r>
        <w:r w:rsidR="00D8311F">
          <w:rPr>
            <w:sz w:val="20"/>
            <w:szCs w:val="20"/>
            <w:lang w:val="es-ES_tradnl"/>
          </w:rPr>
          <w:t>/</w:t>
        </w:r>
        <w:r w:rsidR="00891B94">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1"/>
  </w:num>
  <w:num w:numId="12" w16cid:durableId="164176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C6"/>
    <w:rsid w:val="00026D7C"/>
    <w:rsid w:val="00036FF6"/>
    <w:rsid w:val="0003754E"/>
    <w:rsid w:val="0006468A"/>
    <w:rsid w:val="00090574"/>
    <w:rsid w:val="0009191E"/>
    <w:rsid w:val="000C1C0E"/>
    <w:rsid w:val="000C548A"/>
    <w:rsid w:val="00153471"/>
    <w:rsid w:val="0019128D"/>
    <w:rsid w:val="001B55A3"/>
    <w:rsid w:val="001C0169"/>
    <w:rsid w:val="001D1D50"/>
    <w:rsid w:val="001D6745"/>
    <w:rsid w:val="001E446E"/>
    <w:rsid w:val="0021016E"/>
    <w:rsid w:val="002154EE"/>
    <w:rsid w:val="002276D2"/>
    <w:rsid w:val="0023283D"/>
    <w:rsid w:val="0026373E"/>
    <w:rsid w:val="00271C43"/>
    <w:rsid w:val="00290728"/>
    <w:rsid w:val="002978F4"/>
    <w:rsid w:val="002B028D"/>
    <w:rsid w:val="002E6541"/>
    <w:rsid w:val="00317741"/>
    <w:rsid w:val="00334924"/>
    <w:rsid w:val="003409BC"/>
    <w:rsid w:val="00357185"/>
    <w:rsid w:val="00383829"/>
    <w:rsid w:val="003971E3"/>
    <w:rsid w:val="003C0B7E"/>
    <w:rsid w:val="003C4402"/>
    <w:rsid w:val="003F4B29"/>
    <w:rsid w:val="0042686F"/>
    <w:rsid w:val="004317D8"/>
    <w:rsid w:val="00434183"/>
    <w:rsid w:val="00443869"/>
    <w:rsid w:val="00447F32"/>
    <w:rsid w:val="00457D22"/>
    <w:rsid w:val="004E11DC"/>
    <w:rsid w:val="004F3C48"/>
    <w:rsid w:val="00506E94"/>
    <w:rsid w:val="00512535"/>
    <w:rsid w:val="00525DDD"/>
    <w:rsid w:val="005409AC"/>
    <w:rsid w:val="0055516A"/>
    <w:rsid w:val="0058491B"/>
    <w:rsid w:val="005874F2"/>
    <w:rsid w:val="00592EA5"/>
    <w:rsid w:val="0059301A"/>
    <w:rsid w:val="005A3170"/>
    <w:rsid w:val="005B2C89"/>
    <w:rsid w:val="005D610E"/>
    <w:rsid w:val="005E1E6D"/>
    <w:rsid w:val="006128FC"/>
    <w:rsid w:val="00677396"/>
    <w:rsid w:val="0069200F"/>
    <w:rsid w:val="006A65CB"/>
    <w:rsid w:val="006C3242"/>
    <w:rsid w:val="006C7CC0"/>
    <w:rsid w:val="006F63F7"/>
    <w:rsid w:val="007025C7"/>
    <w:rsid w:val="00704DC6"/>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91B94"/>
    <w:rsid w:val="008A7F84"/>
    <w:rsid w:val="0091702E"/>
    <w:rsid w:val="00923B0C"/>
    <w:rsid w:val="009255FF"/>
    <w:rsid w:val="0094021C"/>
    <w:rsid w:val="0094065A"/>
    <w:rsid w:val="00952F86"/>
    <w:rsid w:val="00957084"/>
    <w:rsid w:val="00982B28"/>
    <w:rsid w:val="00983DA5"/>
    <w:rsid w:val="009D313F"/>
    <w:rsid w:val="00A13E43"/>
    <w:rsid w:val="00A24359"/>
    <w:rsid w:val="00A47A5A"/>
    <w:rsid w:val="00A6683B"/>
    <w:rsid w:val="00A97F94"/>
    <w:rsid w:val="00AA7EA2"/>
    <w:rsid w:val="00B03099"/>
    <w:rsid w:val="00B05BC8"/>
    <w:rsid w:val="00B64B47"/>
    <w:rsid w:val="00B93B7B"/>
    <w:rsid w:val="00C002DE"/>
    <w:rsid w:val="00C53BF8"/>
    <w:rsid w:val="00C56B5F"/>
    <w:rsid w:val="00C66157"/>
    <w:rsid w:val="00C674FE"/>
    <w:rsid w:val="00C67501"/>
    <w:rsid w:val="00C75633"/>
    <w:rsid w:val="00C85CB5"/>
    <w:rsid w:val="00CA08BA"/>
    <w:rsid w:val="00CA455D"/>
    <w:rsid w:val="00CE2EE1"/>
    <w:rsid w:val="00CE3349"/>
    <w:rsid w:val="00CE36E5"/>
    <w:rsid w:val="00CF27F5"/>
    <w:rsid w:val="00CF3FFD"/>
    <w:rsid w:val="00D10CCF"/>
    <w:rsid w:val="00D41E7C"/>
    <w:rsid w:val="00D77D0F"/>
    <w:rsid w:val="00D8311F"/>
    <w:rsid w:val="00DA1CF0"/>
    <w:rsid w:val="00DC1E02"/>
    <w:rsid w:val="00DC24B4"/>
    <w:rsid w:val="00DC5FB0"/>
    <w:rsid w:val="00DF16DC"/>
    <w:rsid w:val="00E22B05"/>
    <w:rsid w:val="00E25921"/>
    <w:rsid w:val="00E45211"/>
    <w:rsid w:val="00E473C5"/>
    <w:rsid w:val="00E92863"/>
    <w:rsid w:val="00EA2C3A"/>
    <w:rsid w:val="00EB796D"/>
    <w:rsid w:val="00EE5CF2"/>
    <w:rsid w:val="00F058DC"/>
    <w:rsid w:val="00F24FC4"/>
    <w:rsid w:val="00F2676C"/>
    <w:rsid w:val="00F43D01"/>
    <w:rsid w:val="00F77022"/>
    <w:rsid w:val="00F84366"/>
    <w:rsid w:val="00F85089"/>
    <w:rsid w:val="00F974C5"/>
    <w:rsid w:val="00FA5A1D"/>
    <w:rsid w:val="00FA6F46"/>
    <w:rsid w:val="00FE29C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64006"/>
  <w15:chartTrackingRefBased/>
  <w15:docId w15:val="{AEF5D179-06E7-4DA0-9CA4-4F9A366B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3C0B7E"/>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table" w:styleId="GridTable4-Accent1">
    <w:name w:val="Grid Table 4 Accent 1"/>
    <w:basedOn w:val="TableNormal"/>
    <w:uiPriority w:val="49"/>
    <w:rsid w:val="00891B94"/>
    <w:pPr>
      <w:spacing w:after="0" w:line="240" w:lineRule="auto"/>
    </w:pPr>
    <w:rPr>
      <w:rFonts w:ascii="CG Times" w:eastAsia="Times New Roman"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igure">
    <w:name w:val="Figure"/>
    <w:basedOn w:val="Normal"/>
    <w:qFormat/>
    <w:rsid w:val="00CA455D"/>
    <w:pPr>
      <w:keepNext/>
      <w:spacing w:before="100" w:beforeAutospacing="1" w:after="100" w:afterAutospacing="1" w:line="360" w:lineRule="auto"/>
      <w:jc w:val="center"/>
    </w:pPr>
    <w:rPr>
      <w:rFonts w:cstheme="minorHAnsi"/>
      <w:b/>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76E6C270-2967-49CC-B3EB-A0E91156A84B}"/>
</file>

<file path=customXml/itemProps3.xml><?xml version="1.0" encoding="utf-8"?>
<ds:datastoreItem xmlns:ds="http://schemas.openxmlformats.org/officeDocument/2006/customXml" ds:itemID="{03FD2F98-751B-48D2-826D-9F4690949A0A}"/>
</file>

<file path=docProps/app.xml><?xml version="1.0" encoding="utf-8"?>
<Properties xmlns="http://schemas.openxmlformats.org/officeDocument/2006/extended-properties" xmlns:vt="http://schemas.openxmlformats.org/officeDocument/2006/docPropsVTypes">
  <Template>PA_TDAG24.dotx</Template>
  <TotalTime>26</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Arabic-IR</cp:lastModifiedBy>
  <cp:revision>6</cp:revision>
  <dcterms:created xsi:type="dcterms:W3CDTF">2024-04-30T13:38:00Z</dcterms:created>
  <dcterms:modified xsi:type="dcterms:W3CDTF">2024-05-01T08:26:00Z</dcterms:modified>
</cp:coreProperties>
</file>