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D8041C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390CADE" w:rsidR="00307769" w:rsidRPr="00D8041C" w:rsidRDefault="00B42366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8041C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 xml:space="preserve"> (</w:t>
            </w:r>
            <w:r w:rsidRPr="00D8041C">
              <w:rPr>
                <w:b/>
                <w:bCs/>
                <w:sz w:val="32"/>
                <w:szCs w:val="32"/>
                <w:lang w:val="es-ES_tradnl"/>
              </w:rPr>
              <w:t>GADT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F5F590A" w14:textId="67F31F3F" w:rsidR="00307769" w:rsidRPr="00D8041C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8041C"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1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ª reunión, Ginebra </w:t>
            </w:r>
            <w:r w:rsidR="007B4B88">
              <w:rPr>
                <w:b/>
                <w:bCs/>
                <w:sz w:val="26"/>
                <w:szCs w:val="26"/>
                <w:lang w:val="es-ES_tradnl"/>
              </w:rPr>
              <w:t>(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>Suiza</w:t>
            </w:r>
            <w:r w:rsidR="007B4B88">
              <w:rPr>
                <w:b/>
                <w:bCs/>
                <w:sz w:val="26"/>
                <w:szCs w:val="26"/>
                <w:lang w:val="es-ES_tradnl"/>
              </w:rPr>
              <w:t>)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, 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20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>-2</w:t>
            </w:r>
            <w:r w:rsidR="00B9710C"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de 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mayo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 de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202</w:t>
            </w:r>
            <w:r w:rsidR="00A25173">
              <w:rPr>
                <w:b/>
                <w:bCs/>
                <w:sz w:val="26"/>
                <w:szCs w:val="26"/>
                <w:lang w:val="es-ES_tradnl"/>
              </w:rPr>
              <w:t>4</w:t>
            </w:r>
          </w:p>
        </w:tc>
        <w:tc>
          <w:tcPr>
            <w:tcW w:w="3509" w:type="dxa"/>
          </w:tcPr>
          <w:p w14:paraId="67E7B4C4" w14:textId="0F52E4CC" w:rsidR="00307769" w:rsidRPr="00D8041C" w:rsidRDefault="00307769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8041C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D8041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D8041C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D8041C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D8041C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2E44EE9" w14:textId="184E03DE" w:rsidR="00683C32" w:rsidRPr="00D8041C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Document</w:t>
            </w:r>
            <w:r w:rsidR="00B42366" w:rsidRPr="00D8041C">
              <w:rPr>
                <w:b/>
                <w:bCs/>
                <w:lang w:val="es-ES_tradnl"/>
              </w:rPr>
              <w:t>o</w:t>
            </w:r>
            <w:r w:rsidRPr="00D8041C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D8041C">
              <w:rPr>
                <w:b/>
                <w:bCs/>
                <w:lang w:val="es-ES_tradnl"/>
              </w:rPr>
              <w:t>TDAG</w:t>
            </w:r>
            <w:r w:rsidR="003242AB" w:rsidRPr="00D8041C">
              <w:rPr>
                <w:b/>
                <w:bCs/>
                <w:lang w:val="es-ES_tradnl"/>
              </w:rPr>
              <w:t>-</w:t>
            </w:r>
            <w:r w:rsidR="00B648C7" w:rsidRPr="00D8041C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341DA6">
              <w:rPr>
                <w:b/>
                <w:bCs/>
                <w:lang w:val="es-ES_tradnl"/>
              </w:rPr>
              <w:t>4</w:t>
            </w:r>
            <w:r w:rsidR="0009076F" w:rsidRPr="00D8041C">
              <w:rPr>
                <w:b/>
                <w:bCs/>
                <w:lang w:val="es-ES_tradnl"/>
              </w:rPr>
              <w:t>/</w:t>
            </w:r>
            <w:r w:rsidR="007B4B88">
              <w:rPr>
                <w:b/>
                <w:bCs/>
                <w:lang w:val="es-ES_tradnl"/>
              </w:rPr>
              <w:t>11</w:t>
            </w:r>
            <w:r w:rsidRPr="00D8041C">
              <w:rPr>
                <w:b/>
                <w:bCs/>
                <w:lang w:val="es-ES_tradnl"/>
              </w:rPr>
              <w:t>-</w:t>
            </w:r>
            <w:r w:rsidR="00B42366" w:rsidRPr="00D8041C">
              <w:rPr>
                <w:b/>
                <w:bCs/>
                <w:lang w:val="es-ES_tradnl"/>
              </w:rPr>
              <w:t>S</w:t>
            </w:r>
          </w:p>
        </w:tc>
      </w:tr>
      <w:tr w:rsidR="00683C32" w:rsidRPr="00D8041C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F89640F" w14:textId="06A4F89E" w:rsidR="00683C32" w:rsidRPr="00D8041C" w:rsidRDefault="007B4B88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7B4B88">
              <w:rPr>
                <w:b/>
                <w:bCs/>
                <w:szCs w:val="28"/>
                <w:lang w:val="es-ES_tradnl"/>
              </w:rPr>
              <w:t>17 de abril de 2024</w:t>
            </w:r>
          </w:p>
        </w:tc>
      </w:tr>
      <w:tr w:rsidR="00683C32" w:rsidRPr="00D8041C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30EFD39F" w14:textId="560C5C27" w:rsidR="00514D2F" w:rsidRPr="00D8041C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D8041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D8041C">
              <w:rPr>
                <w:b/>
                <w:lang w:val="es-ES_tradnl"/>
              </w:rPr>
              <w:t xml:space="preserve"> </w:t>
            </w:r>
            <w:r w:rsidR="00B42366" w:rsidRPr="00D8041C">
              <w:rPr>
                <w:b/>
                <w:lang w:val="es-ES_tradnl"/>
              </w:rPr>
              <w:t>inglés</w:t>
            </w:r>
          </w:p>
        </w:tc>
      </w:tr>
      <w:tr w:rsidR="00A13162" w:rsidRPr="007B4B88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2A076CC" w:rsidR="00A13162" w:rsidRPr="00D8041C" w:rsidRDefault="007B4B88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7B4B88">
              <w:rPr>
                <w:lang w:val="es-ES_tradnl"/>
              </w:rPr>
              <w:t>Director de la Oficina de Desarrollo de las Telecomunicaciones</w:t>
            </w:r>
          </w:p>
        </w:tc>
      </w:tr>
      <w:tr w:rsidR="00AC6F14" w:rsidRPr="007B4B88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6AD11675" w:rsidR="00AC6F14" w:rsidRPr="00D8041C" w:rsidRDefault="007B4B88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7B4B88">
              <w:rPr>
                <w:lang w:val="es-ES_tradnl"/>
              </w:rPr>
              <w:t>Resultados de la AR-23/CMR-23 pertinentes para el UIT-D</w:t>
            </w:r>
          </w:p>
        </w:tc>
      </w:tr>
      <w:tr w:rsidR="00A721F4" w:rsidRPr="007B4B88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D8041C" w:rsidRDefault="00A721F4" w:rsidP="0030353C">
            <w:pPr>
              <w:rPr>
                <w:lang w:val="es-ES_tradnl"/>
              </w:rPr>
            </w:pPr>
          </w:p>
        </w:tc>
      </w:tr>
      <w:tr w:rsidR="00A721F4" w:rsidRPr="00D8041C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4CCE8146" w:rsidR="00A721F4" w:rsidRPr="007B4B88" w:rsidRDefault="00B42366" w:rsidP="007B4B88">
            <w:pPr>
              <w:rPr>
                <w:b/>
                <w:bCs/>
                <w:lang w:val="es-ES_tradnl"/>
              </w:rPr>
            </w:pPr>
            <w:r w:rsidRPr="007B4B88">
              <w:rPr>
                <w:b/>
                <w:bCs/>
                <w:lang w:val="es-ES_tradnl"/>
              </w:rPr>
              <w:t>Resumen</w:t>
            </w:r>
            <w:r w:rsidR="00A721F4" w:rsidRPr="007B4B88">
              <w:rPr>
                <w:b/>
                <w:bCs/>
                <w:lang w:val="es-ES_tradnl"/>
              </w:rPr>
              <w:t>:</w:t>
            </w:r>
          </w:p>
          <w:p w14:paraId="52729B09" w14:textId="77777777" w:rsidR="007B4B88" w:rsidRPr="007B4B88" w:rsidRDefault="007B4B88" w:rsidP="007B4B88">
            <w:pPr>
              <w:rPr>
                <w:lang w:val="es-ES"/>
              </w:rPr>
            </w:pPr>
            <w:r w:rsidRPr="007B4B88">
              <w:rPr>
                <w:lang w:val="es-ES"/>
              </w:rPr>
              <w:t>La Asamblea de Radiocomunicaciones de 2023 (AR-23) se celebró en Dubái (Emiratos Árabes Unidos), del 13 al 17 de noviembre de 2023. A continuación se celebraron la Conferencia Mundial de Radiocomunicaciones de 2023 (CMR-23) del 20 de noviembre al 15 de diciembre de 2023 y la primera sesión de la Reunión Preparatoria de la Conferencia (RPC27-1) para la Conferencia Mundial de Radiocomunicaciones de 2027 (CMR-27) los días 18 y 19 de diciembre de 2023.</w:t>
            </w:r>
          </w:p>
          <w:p w14:paraId="78734601" w14:textId="77777777" w:rsidR="007B4B88" w:rsidRDefault="007B4B88" w:rsidP="007B4B88">
            <w:pPr>
              <w:rPr>
                <w:lang w:val="es-ES"/>
              </w:rPr>
            </w:pPr>
            <w:r w:rsidRPr="007B4B88">
              <w:rPr>
                <w:lang w:val="es-ES"/>
              </w:rPr>
              <w:t>En este documento se resumen los principales resultados de dichas reuniones y se destacan las decisiones pertinentes para la labor del Sector de Desarrollo.</w:t>
            </w:r>
          </w:p>
          <w:p w14:paraId="76A1C541" w14:textId="79517C36" w:rsidR="00A721F4" w:rsidRPr="007B4B88" w:rsidRDefault="00A721F4" w:rsidP="007B4B88">
            <w:pPr>
              <w:rPr>
                <w:b/>
                <w:bCs/>
                <w:lang w:val="es-ES_tradnl"/>
              </w:rPr>
            </w:pPr>
            <w:r w:rsidRPr="007B4B88">
              <w:rPr>
                <w:b/>
                <w:bCs/>
                <w:lang w:val="es-ES_tradnl"/>
              </w:rPr>
              <w:t>Ac</w:t>
            </w:r>
            <w:r w:rsidR="00B42366" w:rsidRPr="007B4B88">
              <w:rPr>
                <w:b/>
                <w:bCs/>
                <w:lang w:val="es-ES_tradnl"/>
              </w:rPr>
              <w:t>ción solicitada</w:t>
            </w:r>
            <w:r w:rsidRPr="007B4B88">
              <w:rPr>
                <w:b/>
                <w:bCs/>
                <w:lang w:val="es-ES_tradnl"/>
              </w:rPr>
              <w:t>:</w:t>
            </w:r>
          </w:p>
          <w:p w14:paraId="46171A87" w14:textId="1558D8CA" w:rsidR="007B4B88" w:rsidRPr="007B4B88" w:rsidRDefault="007B4B88" w:rsidP="007B4B88">
            <w:pPr>
              <w:rPr>
                <w:lang w:val="es-ES_tradnl"/>
              </w:rPr>
            </w:pPr>
            <w:r w:rsidRPr="007B4B88">
              <w:rPr>
                <w:lang w:val="es-ES"/>
              </w:rPr>
              <w:t>Se invita al GADT a tomar nota de este Informe y formular los comentarios que estime oportunos.</w:t>
            </w:r>
          </w:p>
          <w:p w14:paraId="622ACB80" w14:textId="6D46991A" w:rsidR="00A721F4" w:rsidRPr="007B4B88" w:rsidRDefault="00A721F4" w:rsidP="007B4B88">
            <w:pPr>
              <w:rPr>
                <w:b/>
                <w:bCs/>
                <w:lang w:val="es-ES_tradnl"/>
              </w:rPr>
            </w:pPr>
            <w:r w:rsidRPr="007B4B88">
              <w:rPr>
                <w:b/>
                <w:bCs/>
                <w:lang w:val="es-ES_tradnl"/>
              </w:rPr>
              <w:t>Referenc</w:t>
            </w:r>
            <w:r w:rsidR="00B42366" w:rsidRPr="007B4B88">
              <w:rPr>
                <w:b/>
                <w:bCs/>
                <w:lang w:val="es-ES_tradnl"/>
              </w:rPr>
              <w:t>ia</w:t>
            </w:r>
            <w:r w:rsidRPr="007B4B88">
              <w:rPr>
                <w:b/>
                <w:bCs/>
                <w:lang w:val="es-ES_tradnl"/>
              </w:rPr>
              <w:t>s:</w:t>
            </w:r>
          </w:p>
          <w:p w14:paraId="68CECE51" w14:textId="0AA7633C" w:rsidR="007B4B88" w:rsidRPr="007B4B88" w:rsidRDefault="007B4B88" w:rsidP="007B4B88">
            <w:pPr>
              <w:pStyle w:val="enumlev1"/>
              <w:rPr>
                <w:lang w:val="es-ES_tradnl"/>
              </w:rPr>
            </w:pPr>
            <w:r w:rsidRPr="007B4B88">
              <w:rPr>
                <w:lang w:val="es-ES_tradnl"/>
              </w:rPr>
              <w:t>1</w:t>
            </w:r>
            <w:r>
              <w:rPr>
                <w:lang w:val="es-ES_tradnl"/>
              </w:rPr>
              <w:t>)</w:t>
            </w:r>
            <w:r w:rsidRPr="007B4B88">
              <w:rPr>
                <w:lang w:val="es-ES_tradnl"/>
              </w:rPr>
              <w:tab/>
              <w:t xml:space="preserve">AR-23: </w:t>
            </w:r>
            <w:hyperlink r:id="rId11" w:history="1">
              <w:r w:rsidRPr="006C2754">
                <w:rPr>
                  <w:rStyle w:val="Hyperlink"/>
                  <w:lang w:val="es-ES_tradnl"/>
                </w:rPr>
                <w:t>https://www.itu.in</w:t>
              </w:r>
              <w:r w:rsidRPr="006C2754">
                <w:rPr>
                  <w:rStyle w:val="Hyperlink"/>
                  <w:lang w:val="es-ES_tradnl"/>
                </w:rPr>
                <w:t>t</w:t>
              </w:r>
              <w:r w:rsidRPr="006C2754">
                <w:rPr>
                  <w:rStyle w:val="Hyperlink"/>
                  <w:lang w:val="es-ES_tradnl"/>
                </w:rPr>
                <w:t>/ra-23/</w:t>
              </w:r>
            </w:hyperlink>
          </w:p>
          <w:p w14:paraId="60CDE399" w14:textId="5296A07B" w:rsidR="007B4B88" w:rsidRPr="007B4B88" w:rsidRDefault="007B4B88" w:rsidP="007B4B88">
            <w:pPr>
              <w:pStyle w:val="enumlev1"/>
              <w:rPr>
                <w:lang w:val="es-ES_tradnl"/>
              </w:rPr>
            </w:pPr>
            <w:r w:rsidRPr="007B4B88">
              <w:rPr>
                <w:lang w:val="es-ES_tradnl"/>
              </w:rPr>
              <w:t>2)</w:t>
            </w:r>
            <w:r w:rsidRPr="007B4B88">
              <w:rPr>
                <w:lang w:val="es-ES_tradnl"/>
              </w:rPr>
              <w:tab/>
              <w:t xml:space="preserve">CMR-23: </w:t>
            </w:r>
            <w:hyperlink r:id="rId12" w:history="1">
              <w:r w:rsidRPr="007B4B88">
                <w:rPr>
                  <w:rStyle w:val="Hyperlink"/>
                  <w:lang w:val="es-ES_tradnl"/>
                </w:rPr>
                <w:t>https://www.itu.in</w:t>
              </w:r>
              <w:r w:rsidRPr="007B4B88">
                <w:rPr>
                  <w:rStyle w:val="Hyperlink"/>
                  <w:lang w:val="es-ES_tradnl"/>
                </w:rPr>
                <w:t>t</w:t>
              </w:r>
              <w:r w:rsidRPr="007B4B88">
                <w:rPr>
                  <w:rStyle w:val="Hyperlink"/>
                  <w:lang w:val="es-ES_tradnl"/>
                </w:rPr>
                <w:t>/wrc-23/</w:t>
              </w:r>
            </w:hyperlink>
          </w:p>
          <w:p w14:paraId="55A14D2E" w14:textId="7797648C" w:rsidR="007B4B88" w:rsidRPr="007B4B88" w:rsidRDefault="007B4B88" w:rsidP="007B4B88">
            <w:pPr>
              <w:pStyle w:val="enumlev1"/>
              <w:rPr>
                <w:lang w:val="es-ES"/>
              </w:rPr>
            </w:pPr>
            <w:r w:rsidRPr="007B4B88">
              <w:rPr>
                <w:lang w:val="es-ES"/>
              </w:rPr>
              <w:t>3</w:t>
            </w:r>
            <w:r>
              <w:rPr>
                <w:lang w:val="es-ES"/>
              </w:rPr>
              <w:t>)</w:t>
            </w:r>
            <w:r w:rsidRPr="007B4B88">
              <w:rPr>
                <w:lang w:val="es-ES"/>
              </w:rPr>
              <w:tab/>
              <w:t>RPC-27-1:</w:t>
            </w:r>
            <w:r w:rsidRPr="007B4B88">
              <w:rPr>
                <w:lang w:val="es-ES"/>
              </w:rPr>
              <w:t xml:space="preserve"> </w:t>
            </w:r>
            <w:hyperlink r:id="rId13" w:history="1">
              <w:r w:rsidRPr="006C2754">
                <w:rPr>
                  <w:rStyle w:val="Hyperlink"/>
                  <w:lang w:val="es-ES"/>
                </w:rPr>
                <w:t>https://www.i</w:t>
              </w:r>
              <w:r w:rsidRPr="006C2754">
                <w:rPr>
                  <w:rStyle w:val="Hyperlink"/>
                  <w:lang w:val="es-ES"/>
                </w:rPr>
                <w:t>t</w:t>
              </w:r>
              <w:r w:rsidRPr="006C2754">
                <w:rPr>
                  <w:rStyle w:val="Hyperlink"/>
                  <w:lang w:val="es-ES"/>
                </w:rPr>
                <w:t>u.int/en/ITU-R/study-groups/rcpm/Pages/cpm-27.aspx</w:t>
              </w:r>
            </w:hyperlink>
          </w:p>
          <w:p w14:paraId="1ECDD20E" w14:textId="05F95536" w:rsidR="00A721F4" w:rsidRPr="00D8041C" w:rsidRDefault="007B4B88" w:rsidP="007B4B88">
            <w:pPr>
              <w:pStyle w:val="enumlev1"/>
              <w:spacing w:after="120"/>
              <w:rPr>
                <w:lang w:val="es-ES_tradnl"/>
              </w:rPr>
            </w:pPr>
            <w:r w:rsidRPr="007B4B88">
              <w:rPr>
                <w:lang w:val="es-ES_tradnl"/>
              </w:rPr>
              <w:t>4</w:t>
            </w:r>
            <w:r>
              <w:rPr>
                <w:lang w:val="es-ES_tradnl"/>
              </w:rPr>
              <w:t>)</w:t>
            </w:r>
            <w:r w:rsidRPr="007B4B88">
              <w:rPr>
                <w:lang w:val="es-ES_tradnl"/>
              </w:rPr>
              <w:tab/>
            </w:r>
            <w:hyperlink r:id="rId14" w:history="1">
              <w:r w:rsidRPr="007B4B88">
                <w:rPr>
                  <w:rStyle w:val="Hyperlink"/>
                  <w:lang w:val="es-ES_tradnl"/>
                </w:rPr>
                <w:t>Actas finales de la CMR-23</w:t>
              </w:r>
            </w:hyperlink>
          </w:p>
        </w:tc>
      </w:tr>
    </w:tbl>
    <w:p w14:paraId="5B29B2A3" w14:textId="77777777" w:rsidR="00923CF1" w:rsidRPr="00D8041C" w:rsidRDefault="00923CF1" w:rsidP="007B4B88">
      <w:pPr>
        <w:rPr>
          <w:lang w:val="es-ES_tradnl"/>
        </w:rPr>
      </w:pPr>
      <w:r w:rsidRPr="00D8041C">
        <w:rPr>
          <w:lang w:val="es-ES_tradnl"/>
        </w:rPr>
        <w:br w:type="page"/>
      </w:r>
    </w:p>
    <w:p w14:paraId="1EE01A11" w14:textId="007E303D" w:rsidR="007B4B88" w:rsidRPr="007B4B88" w:rsidRDefault="007B4B88" w:rsidP="007B4B88">
      <w:pPr>
        <w:pStyle w:val="Heading1"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Pr="007B4B88">
        <w:rPr>
          <w:lang w:val="es-ES"/>
        </w:rPr>
        <w:t>Antecedentes</w:t>
      </w:r>
    </w:p>
    <w:p w14:paraId="1654B8B3" w14:textId="3A2E633E" w:rsidR="007B4B88" w:rsidRPr="007B4B88" w:rsidRDefault="007B4B88" w:rsidP="007B4B88">
      <w:pPr>
        <w:rPr>
          <w:lang w:val="es-ES"/>
        </w:rPr>
      </w:pPr>
      <w:r w:rsidRPr="007B4B88">
        <w:rPr>
          <w:lang w:val="es-ES"/>
        </w:rPr>
        <w:t>La AR-23 se celebró en Dubái (Emiratos Árabes Unidos), del 13 al 17 de noviembre de 2023. Más de 1</w:t>
      </w:r>
      <w:r>
        <w:rPr>
          <w:lang w:val="es-ES"/>
        </w:rPr>
        <w:t> </w:t>
      </w:r>
      <w:r w:rsidRPr="007B4B88">
        <w:rPr>
          <w:lang w:val="es-ES"/>
        </w:rPr>
        <w:t>300</w:t>
      </w:r>
      <w:r>
        <w:rPr>
          <w:lang w:val="es-ES"/>
        </w:rPr>
        <w:t> </w:t>
      </w:r>
      <w:r w:rsidRPr="007B4B88">
        <w:rPr>
          <w:lang w:val="es-ES"/>
        </w:rPr>
        <w:t>delegados de 128</w:t>
      </w:r>
      <w:r>
        <w:rPr>
          <w:lang w:val="es-ES"/>
        </w:rPr>
        <w:t> </w:t>
      </w:r>
      <w:r w:rsidRPr="007B4B88">
        <w:rPr>
          <w:lang w:val="es-ES"/>
        </w:rPr>
        <w:t>Estados Miembros de la UIT participaron en la Asamblea. La Sra.</w:t>
      </w:r>
      <w:r>
        <w:rPr>
          <w:lang w:val="es-ES"/>
        </w:rPr>
        <w:t> </w:t>
      </w:r>
      <w:r w:rsidRPr="007B4B88">
        <w:rPr>
          <w:lang w:val="es-ES"/>
        </w:rPr>
        <w:t>Carol</w:t>
      </w:r>
      <w:r>
        <w:rPr>
          <w:lang w:val="es-ES"/>
        </w:rPr>
        <w:t> </w:t>
      </w:r>
      <w:r w:rsidRPr="007B4B88">
        <w:rPr>
          <w:lang w:val="es-ES"/>
        </w:rPr>
        <w:t>Wilson de Australia fue la primera mujer en presidir la Asamblea de Radiocomunicaciones de la</w:t>
      </w:r>
      <w:r>
        <w:rPr>
          <w:lang w:val="es-ES"/>
        </w:rPr>
        <w:t> </w:t>
      </w:r>
      <w:r w:rsidRPr="007B4B88">
        <w:rPr>
          <w:lang w:val="es-ES"/>
        </w:rPr>
        <w:t>UIT.</w:t>
      </w:r>
    </w:p>
    <w:p w14:paraId="4B3E592F" w14:textId="20B8616F" w:rsidR="007B4B88" w:rsidRPr="007B4B88" w:rsidRDefault="007B4B88" w:rsidP="007B4B88">
      <w:pPr>
        <w:rPr>
          <w:lang w:val="es-ES"/>
        </w:rPr>
      </w:pPr>
      <w:r w:rsidRPr="007B4B88">
        <w:rPr>
          <w:lang w:val="es-ES"/>
        </w:rPr>
        <w:t>La CMR</w:t>
      </w:r>
      <w:r>
        <w:rPr>
          <w:lang w:val="es-ES"/>
        </w:rPr>
        <w:noBreakHyphen/>
      </w:r>
      <w:r w:rsidRPr="007B4B88">
        <w:rPr>
          <w:lang w:val="es-ES"/>
        </w:rPr>
        <w:t>23 se celebró del 20 de noviembre al 15 de diciembre de 2023 en el mismo lugar que la</w:t>
      </w:r>
      <w:r>
        <w:rPr>
          <w:lang w:val="es-ES"/>
        </w:rPr>
        <w:t> </w:t>
      </w:r>
      <w:r w:rsidRPr="007B4B88">
        <w:rPr>
          <w:lang w:val="es-ES"/>
        </w:rPr>
        <w:t>AR</w:t>
      </w:r>
      <w:r>
        <w:rPr>
          <w:lang w:val="es-ES"/>
        </w:rPr>
        <w:noBreakHyphen/>
      </w:r>
      <w:r w:rsidRPr="007B4B88">
        <w:rPr>
          <w:lang w:val="es-ES"/>
        </w:rPr>
        <w:t>23. Más de 3</w:t>
      </w:r>
      <w:r>
        <w:rPr>
          <w:lang w:val="es-ES"/>
        </w:rPr>
        <w:t> </w:t>
      </w:r>
      <w:r w:rsidRPr="007B4B88">
        <w:rPr>
          <w:lang w:val="es-ES"/>
        </w:rPr>
        <w:t>900</w:t>
      </w:r>
      <w:r>
        <w:rPr>
          <w:lang w:val="es-ES"/>
        </w:rPr>
        <w:t> </w:t>
      </w:r>
      <w:r w:rsidRPr="007B4B88">
        <w:rPr>
          <w:lang w:val="es-ES"/>
        </w:rPr>
        <w:t>delegados de 163</w:t>
      </w:r>
      <w:r>
        <w:rPr>
          <w:lang w:val="es-ES"/>
        </w:rPr>
        <w:t> </w:t>
      </w:r>
      <w:r w:rsidRPr="007B4B88">
        <w:rPr>
          <w:lang w:val="es-ES"/>
        </w:rPr>
        <w:t>Estados Miembros asistieron a la CMR-23, incluidos 88</w:t>
      </w:r>
      <w:r>
        <w:rPr>
          <w:lang w:val="es-ES"/>
        </w:rPr>
        <w:t> </w:t>
      </w:r>
      <w:r w:rsidRPr="007B4B88">
        <w:rPr>
          <w:lang w:val="es-ES"/>
        </w:rPr>
        <w:t>participantes a nivel ministerial. Las mujeres representaron el 22% de todos los delegados de la CMR</w:t>
      </w:r>
      <w:r>
        <w:rPr>
          <w:lang w:val="es-ES"/>
        </w:rPr>
        <w:noBreakHyphen/>
      </w:r>
      <w:r w:rsidRPr="007B4B88">
        <w:rPr>
          <w:lang w:val="es-ES"/>
        </w:rPr>
        <w:t>23, lo que constituye un aumento del 18% con respecto a la CMR-19, que tuvo lugar en 2019. El Sr.</w:t>
      </w:r>
      <w:r>
        <w:rPr>
          <w:lang w:val="es-ES"/>
        </w:rPr>
        <w:t> </w:t>
      </w:r>
      <w:r w:rsidRPr="007B4B88">
        <w:rPr>
          <w:lang w:val="es-ES"/>
        </w:rPr>
        <w:t>Mohammed AL RAMSI, de los Emiratos Árabes Unidos, actuó como Presidente de la CMR-23.</w:t>
      </w:r>
    </w:p>
    <w:p w14:paraId="31F035B8" w14:textId="763FD444" w:rsidR="007B4B88" w:rsidRPr="007B4B88" w:rsidRDefault="007B4B88" w:rsidP="007B4B88">
      <w:pPr>
        <w:rPr>
          <w:lang w:val="es-ES"/>
        </w:rPr>
      </w:pPr>
      <w:r w:rsidRPr="007B4B88">
        <w:rPr>
          <w:lang w:val="es-ES"/>
        </w:rPr>
        <w:t>La RPC27</w:t>
      </w:r>
      <w:r>
        <w:rPr>
          <w:lang w:val="es-ES"/>
        </w:rPr>
        <w:noBreakHyphen/>
      </w:r>
      <w:r w:rsidRPr="007B4B88">
        <w:rPr>
          <w:lang w:val="es-ES"/>
        </w:rPr>
        <w:t>1 se celebró en Dubái los días 18-19 de diciembre de 2023. En ella se organizaron los estudios preparatorios para la CMR</w:t>
      </w:r>
      <w:r>
        <w:rPr>
          <w:lang w:val="es-ES"/>
        </w:rPr>
        <w:noBreakHyphen/>
      </w:r>
      <w:r w:rsidRPr="007B4B88">
        <w:rPr>
          <w:lang w:val="es-ES"/>
        </w:rPr>
        <w:t>27 y se propuso una estructura para su Informe a la CMR-27 y se nombró a siete Relatores y Correlatores de Capítulo para la RPC</w:t>
      </w:r>
      <w:r>
        <w:rPr>
          <w:lang w:val="es-ES"/>
        </w:rPr>
        <w:noBreakHyphen/>
      </w:r>
      <w:r w:rsidRPr="007B4B88">
        <w:rPr>
          <w:lang w:val="es-ES"/>
        </w:rPr>
        <w:t>27, que ayudarán al Presidente de dicha reunión a gestionar la elaboración del proyecto de Informe a la CMR</w:t>
      </w:r>
      <w:r>
        <w:rPr>
          <w:lang w:val="es-ES"/>
        </w:rPr>
        <w:noBreakHyphen/>
      </w:r>
      <w:r w:rsidRPr="007B4B88">
        <w:rPr>
          <w:lang w:val="es-ES"/>
        </w:rPr>
        <w:t>27.</w:t>
      </w:r>
    </w:p>
    <w:p w14:paraId="67499EEB" w14:textId="504CDAD2" w:rsidR="007B4B88" w:rsidRPr="007B4B88" w:rsidRDefault="007B4B88" w:rsidP="007B4B88">
      <w:pPr>
        <w:rPr>
          <w:lang w:val="es-ES"/>
        </w:rPr>
      </w:pPr>
      <w:r w:rsidRPr="007B4B88">
        <w:rPr>
          <w:lang w:val="es-ES"/>
        </w:rPr>
        <w:t>La AR</w:t>
      </w:r>
      <w:r>
        <w:rPr>
          <w:lang w:val="es-ES"/>
        </w:rPr>
        <w:noBreakHyphen/>
      </w:r>
      <w:r w:rsidRPr="007B4B88">
        <w:rPr>
          <w:lang w:val="es-ES"/>
        </w:rPr>
        <w:t>23, la CMR</w:t>
      </w:r>
      <w:r>
        <w:rPr>
          <w:lang w:val="es-ES"/>
        </w:rPr>
        <w:noBreakHyphen/>
      </w:r>
      <w:r w:rsidRPr="007B4B88">
        <w:rPr>
          <w:lang w:val="es-ES"/>
        </w:rPr>
        <w:t>23 y la RPC27</w:t>
      </w:r>
      <w:r>
        <w:rPr>
          <w:lang w:val="es-ES"/>
        </w:rPr>
        <w:noBreakHyphen/>
      </w:r>
      <w:r w:rsidRPr="007B4B88">
        <w:rPr>
          <w:lang w:val="es-ES"/>
        </w:rPr>
        <w:t>1 fueron acogidas por la Autoridad de Reglamentación de las Telecomunicaciones y Gobierno Digital de los Emiratos Árabes Unidos.</w:t>
      </w:r>
    </w:p>
    <w:p w14:paraId="0E629DBA" w14:textId="06475B85" w:rsidR="007B4B88" w:rsidRPr="007B4B88" w:rsidRDefault="007B4B88" w:rsidP="007B4B88">
      <w:pPr>
        <w:pStyle w:val="Heading1"/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r w:rsidRPr="007B4B88">
        <w:rPr>
          <w:lang w:val="es-ES"/>
        </w:rPr>
        <w:t>Asamblea de Radiocomunicaciones de 2023 (AR-23)</w:t>
      </w:r>
    </w:p>
    <w:p w14:paraId="7849A1D0" w14:textId="4413C984" w:rsidR="007B4B88" w:rsidRPr="007B4B88" w:rsidRDefault="007B4B88" w:rsidP="007B4B88">
      <w:pPr>
        <w:rPr>
          <w:lang w:val="es-ES"/>
        </w:rPr>
      </w:pPr>
      <w:r w:rsidRPr="007B4B88">
        <w:rPr>
          <w:lang w:val="es-ES"/>
        </w:rPr>
        <w:t>La AR</w:t>
      </w:r>
      <w:r>
        <w:rPr>
          <w:lang w:val="es-ES"/>
        </w:rPr>
        <w:noBreakHyphen/>
      </w:r>
      <w:r w:rsidRPr="007B4B88">
        <w:rPr>
          <w:lang w:val="es-ES"/>
        </w:rPr>
        <w:t>23, presidida por la Sra.</w:t>
      </w:r>
      <w:r>
        <w:rPr>
          <w:lang w:val="es-ES"/>
        </w:rPr>
        <w:t> </w:t>
      </w:r>
      <w:r w:rsidRPr="007B4B88">
        <w:rPr>
          <w:lang w:val="es-ES"/>
        </w:rPr>
        <w:t>Carol Wilson, definió los programas de trabajo futuros del Sector de Radiocomunicaciones de la UIT y aprobó normas de radiocomunicaciones (Recomendaciones</w:t>
      </w:r>
      <w:r>
        <w:rPr>
          <w:lang w:val="es-ES"/>
        </w:rPr>
        <w:t> </w:t>
      </w:r>
      <w:r w:rsidRPr="007B4B88">
        <w:rPr>
          <w:lang w:val="es-ES"/>
        </w:rPr>
        <w:t>UIT</w:t>
      </w:r>
      <w:r>
        <w:rPr>
          <w:lang w:val="es-ES"/>
        </w:rPr>
        <w:noBreakHyphen/>
      </w:r>
      <w:r w:rsidRPr="007B4B88">
        <w:rPr>
          <w:lang w:val="es-ES"/>
        </w:rPr>
        <w:t>R) y resoluciones. La labor de la AR</w:t>
      </w:r>
      <w:r>
        <w:rPr>
          <w:lang w:val="es-ES"/>
        </w:rPr>
        <w:noBreakHyphen/>
      </w:r>
      <w:r w:rsidRPr="007B4B88">
        <w:rPr>
          <w:lang w:val="es-ES"/>
        </w:rPr>
        <w:t>23 estuvo organizada por las siguientes comisiones:</w:t>
      </w:r>
    </w:p>
    <w:p w14:paraId="3BD1A013" w14:textId="6BCBCA62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COM 1 – Comisión de Dirección</w:t>
      </w:r>
    </w:p>
    <w:p w14:paraId="73F6C7F3" w14:textId="77E00E50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COM 2 – Control del Presupuesto</w:t>
      </w:r>
    </w:p>
    <w:p w14:paraId="5D61A751" w14:textId="1E5E9B58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COM 3 – Comisión de Redacción</w:t>
      </w:r>
    </w:p>
    <w:p w14:paraId="065CB9F4" w14:textId="7643661B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COM 4 – Estructura y programa de trabajo de las Comisiones de Estudio</w:t>
      </w:r>
    </w:p>
    <w:p w14:paraId="2E566BDB" w14:textId="70272F21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COM 5 – Métodos de trabajo de la AR y las CE</w:t>
      </w:r>
    </w:p>
    <w:p w14:paraId="44747C76" w14:textId="0F6A3CC2" w:rsidR="007B4B88" w:rsidRPr="007B4B88" w:rsidRDefault="007B4B88" w:rsidP="007B4B88">
      <w:pPr>
        <w:rPr>
          <w:lang w:val="es-ES"/>
        </w:rPr>
      </w:pPr>
      <w:r w:rsidRPr="007B4B88">
        <w:rPr>
          <w:lang w:val="es-ES"/>
        </w:rPr>
        <w:t>Algunos de los temas debatidos en la AR</w:t>
      </w:r>
      <w:r>
        <w:rPr>
          <w:lang w:val="es-ES"/>
        </w:rPr>
        <w:noBreakHyphen/>
      </w:r>
      <w:r w:rsidRPr="007B4B88">
        <w:rPr>
          <w:lang w:val="es-ES"/>
        </w:rPr>
        <w:t>23 fueron:</w:t>
      </w:r>
    </w:p>
    <w:p w14:paraId="43D794C8" w14:textId="518C45EE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>
        <w:rPr>
          <w:lang w:val="es-ES"/>
        </w:rPr>
        <w:t>e</w:t>
      </w:r>
      <w:r w:rsidRPr="007B4B88">
        <w:rPr>
          <w:lang w:val="es-ES"/>
        </w:rPr>
        <w:t>l acuerdo sobre las "IMT</w:t>
      </w:r>
      <w:r>
        <w:rPr>
          <w:lang w:val="es-ES"/>
        </w:rPr>
        <w:noBreakHyphen/>
      </w:r>
      <w:r w:rsidRPr="007B4B88">
        <w:rPr>
          <w:lang w:val="es-ES"/>
        </w:rPr>
        <w:t>2030" como referencia técnica para la sexta generación de los sistemas móviles;</w:t>
      </w:r>
    </w:p>
    <w:p w14:paraId="4073954C" w14:textId="1CBBEADC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>
        <w:rPr>
          <w:lang w:val="es-ES"/>
        </w:rPr>
        <w:t>d</w:t>
      </w:r>
      <w:r w:rsidRPr="007B4B88">
        <w:rPr>
          <w:lang w:val="es-ES"/>
        </w:rPr>
        <w:t>e conformidad con la Resolución</w:t>
      </w:r>
      <w:r>
        <w:rPr>
          <w:lang w:val="es-ES"/>
        </w:rPr>
        <w:t> </w:t>
      </w:r>
      <w:r w:rsidRPr="007B4B88">
        <w:rPr>
          <w:lang w:val="es-ES"/>
        </w:rPr>
        <w:t>219 (Bucarest, 2022), la adopción de una nueva resolución sobre la sostenibilidad espacial para facilitar la utilización sostenible a largo plazo del espectro de radiofrecuencias y los recursos de órbitas de satélites asociados que emplean los servicios espaciales;</w:t>
      </w:r>
    </w:p>
    <w:p w14:paraId="2D3359E1" w14:textId="07F01812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>
        <w:rPr>
          <w:lang w:val="es-ES"/>
        </w:rPr>
        <w:t>l</w:t>
      </w:r>
      <w:r w:rsidRPr="007B4B88">
        <w:rPr>
          <w:lang w:val="es-ES"/>
        </w:rPr>
        <w:t>a revisión de la Resolución</w:t>
      </w:r>
      <w:r>
        <w:rPr>
          <w:lang w:val="es-ES"/>
        </w:rPr>
        <w:t> </w:t>
      </w:r>
      <w:r w:rsidRPr="007B4B88">
        <w:rPr>
          <w:lang w:val="es-ES"/>
        </w:rPr>
        <w:t>65 del UIT-R, que sienta las bases para los estudios sobre la compatibilidad del Reglamento actual con la posible sexta generación de las tecnologías de interfaz radioeléctrica de sistemas móviles para 2030 y años posteriores;</w:t>
      </w:r>
    </w:p>
    <w:p w14:paraId="260BDB57" w14:textId="6B0A9DD5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>
        <w:rPr>
          <w:lang w:val="es-ES"/>
        </w:rPr>
        <w:t>l</w:t>
      </w:r>
      <w:r w:rsidRPr="007B4B88">
        <w:rPr>
          <w:lang w:val="es-ES"/>
        </w:rPr>
        <w:t xml:space="preserve">a adopción de la resolución sobre género, que responde a lo solicitado por la Conferencia Mundial de Radiocomunicaciones de 2019 en su </w:t>
      </w:r>
      <w:r>
        <w:rPr>
          <w:lang w:val="es-ES"/>
        </w:rPr>
        <w:t>"</w:t>
      </w:r>
      <w:r w:rsidRPr="007B4B88">
        <w:rPr>
          <w:lang w:val="es-ES"/>
        </w:rPr>
        <w:t>Declaración sobre Promoción de la igualdad, la equidad y la paridad de género en el Sector de Radiocomunicaciones de la</w:t>
      </w:r>
      <w:r>
        <w:rPr>
          <w:lang w:val="es-ES"/>
        </w:rPr>
        <w:t> </w:t>
      </w:r>
      <w:r w:rsidRPr="007B4B88">
        <w:rPr>
          <w:lang w:val="es-ES"/>
        </w:rPr>
        <w:t>UIT</w:t>
      </w:r>
      <w:r>
        <w:rPr>
          <w:lang w:val="es-ES"/>
        </w:rPr>
        <w:t>"</w:t>
      </w:r>
      <w:r w:rsidRPr="007B4B88">
        <w:rPr>
          <w:lang w:val="es-ES"/>
        </w:rPr>
        <w:t>;</w:t>
      </w:r>
    </w:p>
    <w:p w14:paraId="2FEA60D6" w14:textId="5589E7B1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>
        <w:rPr>
          <w:lang w:val="es-ES"/>
        </w:rPr>
        <w:t>l</w:t>
      </w:r>
      <w:r w:rsidRPr="007B4B88">
        <w:rPr>
          <w:lang w:val="es-ES"/>
        </w:rPr>
        <w:t>a adopción de la nueva Recomendación UIT</w:t>
      </w:r>
      <w:r>
        <w:rPr>
          <w:lang w:val="es-ES"/>
        </w:rPr>
        <w:noBreakHyphen/>
      </w:r>
      <w:r w:rsidRPr="007B4B88">
        <w:rPr>
          <w:lang w:val="es-ES"/>
        </w:rPr>
        <w:t>R M.2160 sobre el "Marco IMT</w:t>
      </w:r>
      <w:r>
        <w:rPr>
          <w:lang w:val="es-ES"/>
        </w:rPr>
        <w:noBreakHyphen/>
      </w:r>
      <w:r w:rsidRPr="007B4B88">
        <w:rPr>
          <w:lang w:val="es-ES"/>
        </w:rPr>
        <w:t>2030", que sirve de base para el desarrollo de las IMT</w:t>
      </w:r>
      <w:r>
        <w:rPr>
          <w:lang w:val="es-ES"/>
        </w:rPr>
        <w:noBreakHyphen/>
      </w:r>
      <w:r w:rsidRPr="007B4B88">
        <w:rPr>
          <w:lang w:val="es-ES"/>
        </w:rPr>
        <w:t>2030. La siguiente fase consistirá en la definición de los requisitos y criterios de evaluación pertinentes para las posibles tecnologías de interfaz radioeléctrica;</w:t>
      </w:r>
    </w:p>
    <w:p w14:paraId="4D91CF7A" w14:textId="2464C5A0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>
        <w:rPr>
          <w:lang w:val="es-ES"/>
        </w:rPr>
        <w:t>l</w:t>
      </w:r>
      <w:r w:rsidRPr="007B4B88">
        <w:rPr>
          <w:lang w:val="es-ES"/>
        </w:rPr>
        <w:t>a adopción de una nueva resolución sobre la utilización de las tecnologías IMT para la banda ancha fija inalámbrica;</w:t>
      </w:r>
    </w:p>
    <w:p w14:paraId="6DD15E13" w14:textId="2448E08B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>
        <w:rPr>
          <w:lang w:val="es-ES"/>
        </w:rPr>
        <w:t>l</w:t>
      </w:r>
      <w:r w:rsidRPr="007B4B88">
        <w:rPr>
          <w:lang w:val="es-ES"/>
        </w:rPr>
        <w:t>a conclusión de una nueva Recomendación UIT</w:t>
      </w:r>
      <w:r>
        <w:rPr>
          <w:lang w:val="es-ES"/>
        </w:rPr>
        <w:noBreakHyphen/>
      </w:r>
      <w:r w:rsidRPr="007B4B88">
        <w:rPr>
          <w:lang w:val="es-ES"/>
        </w:rPr>
        <w:t>R sobre la protección del servicio de radionavegación por satélite y el servicio de aficionados por satélite;</w:t>
      </w:r>
    </w:p>
    <w:p w14:paraId="1412E82E" w14:textId="5D24348E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>
        <w:rPr>
          <w:lang w:val="es-ES"/>
        </w:rPr>
        <w:t>l</w:t>
      </w:r>
      <w:r w:rsidRPr="007B4B88">
        <w:rPr>
          <w:lang w:val="es-ES"/>
        </w:rPr>
        <w:t>a revisión de la Resolución UIT-R 5</w:t>
      </w:r>
      <w:r>
        <w:rPr>
          <w:lang w:val="es-ES"/>
        </w:rPr>
        <w:noBreakHyphen/>
      </w:r>
      <w:r w:rsidRPr="007B4B88">
        <w:rPr>
          <w:lang w:val="es-ES"/>
        </w:rPr>
        <w:t>8, que definió el programa de trabajo y las cuestiones de las Comisiones de Estudio de Radiocomunicaciones para el periodo</w:t>
      </w:r>
      <w:r>
        <w:rPr>
          <w:lang w:val="es-ES"/>
        </w:rPr>
        <w:t> </w:t>
      </w:r>
      <w:r w:rsidRPr="007B4B88">
        <w:rPr>
          <w:lang w:val="es-ES"/>
        </w:rPr>
        <w:t>2024</w:t>
      </w:r>
      <w:r>
        <w:rPr>
          <w:lang w:val="es-ES"/>
        </w:rPr>
        <w:noBreakHyphen/>
      </w:r>
      <w:r w:rsidRPr="007B4B88">
        <w:rPr>
          <w:lang w:val="es-ES"/>
        </w:rPr>
        <w:t>2027. También se nombró a los nuevos Presidentes de las Comisiones de Estudio del UIT</w:t>
      </w:r>
      <w:r>
        <w:rPr>
          <w:lang w:val="es-ES"/>
        </w:rPr>
        <w:noBreakHyphen/>
      </w:r>
      <w:r w:rsidRPr="007B4B88">
        <w:rPr>
          <w:lang w:val="es-ES"/>
        </w:rPr>
        <w:t>R.</w:t>
      </w:r>
    </w:p>
    <w:p w14:paraId="3461E821" w14:textId="328CD1FD" w:rsidR="007B4B88" w:rsidRPr="007B4B88" w:rsidRDefault="007B4B88" w:rsidP="007B4B88">
      <w:pPr>
        <w:rPr>
          <w:lang w:val="es-ES"/>
        </w:rPr>
      </w:pPr>
      <w:r w:rsidRPr="007B4B88">
        <w:rPr>
          <w:lang w:val="es-ES"/>
        </w:rPr>
        <w:t>La lista de las Resoluciones del UIT-R (AR</w:t>
      </w:r>
      <w:r>
        <w:rPr>
          <w:lang w:val="es-ES"/>
        </w:rPr>
        <w:noBreakHyphen/>
      </w:r>
      <w:r w:rsidRPr="007B4B88">
        <w:rPr>
          <w:lang w:val="es-ES"/>
        </w:rPr>
        <w:t>23) puede consultarse en la página web de la AR</w:t>
      </w:r>
      <w:r>
        <w:rPr>
          <w:lang w:val="es-ES"/>
        </w:rPr>
        <w:noBreakHyphen/>
      </w:r>
      <w:r w:rsidRPr="007B4B88">
        <w:rPr>
          <w:lang w:val="es-ES"/>
        </w:rPr>
        <w:t>23 (acceso restringido TIES). En el Anexo</w:t>
      </w:r>
      <w:r>
        <w:rPr>
          <w:lang w:val="es-ES"/>
        </w:rPr>
        <w:t> </w:t>
      </w:r>
      <w:r w:rsidRPr="007B4B88">
        <w:rPr>
          <w:lang w:val="es-ES"/>
        </w:rPr>
        <w:t>1 figura un resumen de las Resoluciones del UIT</w:t>
      </w:r>
      <w:r>
        <w:rPr>
          <w:lang w:val="es-ES"/>
        </w:rPr>
        <w:noBreakHyphen/>
      </w:r>
      <w:r w:rsidRPr="007B4B88">
        <w:rPr>
          <w:lang w:val="es-ES"/>
        </w:rPr>
        <w:t>R (AR</w:t>
      </w:r>
      <w:r>
        <w:rPr>
          <w:lang w:val="es-ES"/>
        </w:rPr>
        <w:noBreakHyphen/>
      </w:r>
      <w:r w:rsidRPr="007B4B88">
        <w:rPr>
          <w:lang w:val="es-ES"/>
        </w:rPr>
        <w:t>23) y su pertinencia para la labor del UIT</w:t>
      </w:r>
      <w:r>
        <w:rPr>
          <w:lang w:val="es-ES"/>
        </w:rPr>
        <w:noBreakHyphen/>
      </w:r>
      <w:r w:rsidRPr="007B4B88">
        <w:rPr>
          <w:lang w:val="es-ES"/>
        </w:rPr>
        <w:t>D.</w:t>
      </w:r>
    </w:p>
    <w:p w14:paraId="2B131567" w14:textId="26E031E6" w:rsidR="007B4B88" w:rsidRPr="007B4B88" w:rsidRDefault="007B4B88" w:rsidP="007B4B88">
      <w:pPr>
        <w:pStyle w:val="Heading1"/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r w:rsidRPr="007B4B88">
        <w:rPr>
          <w:lang w:val="es-ES"/>
        </w:rPr>
        <w:t>Conferencia Mundial de Radiocomunicaciones de 2023 (CMR-23)</w:t>
      </w:r>
    </w:p>
    <w:p w14:paraId="1628DAF9" w14:textId="05EF51BB" w:rsidR="007B4B88" w:rsidRPr="007B4B88" w:rsidRDefault="007B4B88" w:rsidP="007B4B88">
      <w:pPr>
        <w:spacing w:after="120"/>
        <w:rPr>
          <w:lang w:val="es-ES"/>
        </w:rPr>
      </w:pPr>
      <w:r w:rsidRPr="007B4B88">
        <w:rPr>
          <w:lang w:val="es-ES"/>
        </w:rPr>
        <w:t>La coordinación de las negociaciones en la CMR-23 corrió a cargo del Presidente de la Conferencia, Excmo. Sr.</w:t>
      </w:r>
      <w:r>
        <w:rPr>
          <w:lang w:val="es-ES"/>
        </w:rPr>
        <w:t> </w:t>
      </w:r>
      <w:r w:rsidRPr="007B4B88">
        <w:rPr>
          <w:lang w:val="es-ES"/>
        </w:rPr>
        <w:t>Mohammed Al Ramsi, de los Emiratos Árabes Unidos, que contó con la asistencia de seis presidentes de Comisión. A continuación se detallan cada uno de ellos.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81"/>
        <w:gridCol w:w="4748"/>
      </w:tblGrid>
      <w:tr w:rsidR="007B4B88" w:rsidRPr="007B4B88" w14:paraId="47937586" w14:textId="77777777" w:rsidTr="007B4B88">
        <w:trPr>
          <w:jc w:val="center"/>
        </w:trPr>
        <w:tc>
          <w:tcPr>
            <w:tcW w:w="4881" w:type="dxa"/>
            <w:hideMark/>
          </w:tcPr>
          <w:p w14:paraId="38655208" w14:textId="77777777" w:rsidR="007B4B88" w:rsidRPr="007B4B88" w:rsidRDefault="007B4B88" w:rsidP="007B4B88">
            <w:pPr>
              <w:pStyle w:val="Tabletext"/>
              <w:rPr>
                <w:b/>
                <w:bCs/>
                <w:lang w:val="es-ES"/>
              </w:rPr>
            </w:pPr>
            <w:r w:rsidRPr="007B4B88">
              <w:rPr>
                <w:b/>
                <w:bCs/>
                <w:lang w:val="es-ES"/>
              </w:rPr>
              <w:t>Presidente de la Conferencia:</w:t>
            </w:r>
          </w:p>
        </w:tc>
        <w:tc>
          <w:tcPr>
            <w:tcW w:w="4748" w:type="dxa"/>
            <w:hideMark/>
          </w:tcPr>
          <w:p w14:paraId="2208D300" w14:textId="15257BEA" w:rsidR="007B4B88" w:rsidRPr="007B4B88" w:rsidRDefault="007B4B88" w:rsidP="007B4B88">
            <w:pPr>
              <w:pStyle w:val="Tabletext"/>
              <w:rPr>
                <w:lang w:val="it-IT"/>
              </w:rPr>
            </w:pPr>
            <w:r w:rsidRPr="007B4B88">
              <w:rPr>
                <w:lang w:val="it-IT"/>
              </w:rPr>
              <w:t>Sr.</w:t>
            </w:r>
            <w:r>
              <w:rPr>
                <w:lang w:val="it-IT"/>
              </w:rPr>
              <w:t> </w:t>
            </w:r>
            <w:r w:rsidRPr="007B4B88">
              <w:rPr>
                <w:lang w:val="it-IT"/>
              </w:rPr>
              <w:t>Mohammed AL RASRA.I (EAU)</w:t>
            </w:r>
          </w:p>
        </w:tc>
      </w:tr>
      <w:tr w:rsidR="007B4B88" w:rsidRPr="007B4B88" w14:paraId="4BE86955" w14:textId="77777777" w:rsidTr="007B4B88">
        <w:trPr>
          <w:jc w:val="center"/>
        </w:trPr>
        <w:tc>
          <w:tcPr>
            <w:tcW w:w="4881" w:type="dxa"/>
            <w:hideMark/>
          </w:tcPr>
          <w:p w14:paraId="7F107D4D" w14:textId="77777777" w:rsidR="007B4B88" w:rsidRPr="007B4B88" w:rsidRDefault="007B4B88" w:rsidP="007B4B88">
            <w:pPr>
              <w:pStyle w:val="Tabletext"/>
              <w:rPr>
                <w:b/>
                <w:bCs/>
                <w:lang w:val="es-ES"/>
              </w:rPr>
            </w:pPr>
            <w:r w:rsidRPr="007B4B88">
              <w:rPr>
                <w:b/>
                <w:bCs/>
                <w:lang w:val="es-ES"/>
              </w:rPr>
              <w:t>Comisión 2: (Credenciales)</w:t>
            </w:r>
          </w:p>
        </w:tc>
        <w:tc>
          <w:tcPr>
            <w:tcW w:w="4748" w:type="dxa"/>
            <w:hideMark/>
          </w:tcPr>
          <w:p w14:paraId="36A3FB31" w14:textId="72F79A09" w:rsidR="007B4B88" w:rsidRPr="007B4B88" w:rsidRDefault="007B4B88" w:rsidP="007B4B88">
            <w:pPr>
              <w:pStyle w:val="Tabletext"/>
              <w:rPr>
                <w:lang w:val="it-IT"/>
              </w:rPr>
            </w:pPr>
            <w:r w:rsidRPr="007B4B88">
              <w:rPr>
                <w:lang w:val="it-IT"/>
              </w:rPr>
              <w:t>Presidenta: Sra.</w:t>
            </w:r>
            <w:r>
              <w:rPr>
                <w:lang w:val="it-IT"/>
              </w:rPr>
              <w:t> </w:t>
            </w:r>
            <w:r w:rsidRPr="007B4B88">
              <w:rPr>
                <w:lang w:val="it-IT"/>
              </w:rPr>
              <w:t>Basebi Mosinyi (Botswana)</w:t>
            </w:r>
          </w:p>
        </w:tc>
      </w:tr>
      <w:tr w:rsidR="007B4B88" w:rsidRPr="007B4B88" w14:paraId="32F79653" w14:textId="77777777" w:rsidTr="007B4B88">
        <w:trPr>
          <w:jc w:val="center"/>
        </w:trPr>
        <w:tc>
          <w:tcPr>
            <w:tcW w:w="4881" w:type="dxa"/>
            <w:hideMark/>
          </w:tcPr>
          <w:p w14:paraId="2E1DB640" w14:textId="77777777" w:rsidR="007B4B88" w:rsidRPr="007B4B88" w:rsidRDefault="007B4B88" w:rsidP="007B4B88">
            <w:pPr>
              <w:pStyle w:val="Tabletext"/>
              <w:rPr>
                <w:b/>
                <w:bCs/>
                <w:lang w:val="es-ES"/>
              </w:rPr>
            </w:pPr>
            <w:r w:rsidRPr="007B4B88">
              <w:rPr>
                <w:b/>
                <w:bCs/>
                <w:lang w:val="es-ES"/>
              </w:rPr>
              <w:t>Comisión 3: (Presupuesto)</w:t>
            </w:r>
          </w:p>
        </w:tc>
        <w:tc>
          <w:tcPr>
            <w:tcW w:w="4748" w:type="dxa"/>
            <w:hideMark/>
          </w:tcPr>
          <w:p w14:paraId="44E57CF5" w14:textId="5C776ED4" w:rsidR="007B4B88" w:rsidRPr="007B4B88" w:rsidRDefault="007B4B88" w:rsidP="007B4B88">
            <w:pPr>
              <w:pStyle w:val="Tabletext"/>
              <w:rPr>
                <w:lang w:val="es-ES"/>
              </w:rPr>
            </w:pPr>
            <w:r w:rsidRPr="007B4B88">
              <w:rPr>
                <w:lang w:val="es-ES"/>
              </w:rPr>
              <w:t>Presidenta: Sra.</w:t>
            </w:r>
            <w:r>
              <w:rPr>
                <w:lang w:val="es-ES"/>
              </w:rPr>
              <w:t> </w:t>
            </w:r>
            <w:r w:rsidRPr="007B4B88">
              <w:rPr>
                <w:lang w:val="es-ES"/>
              </w:rPr>
              <w:t>Cindy Cook (Canadá)</w:t>
            </w:r>
          </w:p>
        </w:tc>
      </w:tr>
      <w:tr w:rsidR="007B4B88" w:rsidRPr="007B4B88" w14:paraId="0EA4CA2E" w14:textId="77777777" w:rsidTr="007B4B88">
        <w:trPr>
          <w:jc w:val="center"/>
        </w:trPr>
        <w:tc>
          <w:tcPr>
            <w:tcW w:w="4881" w:type="dxa"/>
            <w:hideMark/>
          </w:tcPr>
          <w:p w14:paraId="5F4EC764" w14:textId="77777777" w:rsidR="007B4B88" w:rsidRPr="007B4B88" w:rsidRDefault="007B4B88" w:rsidP="007B4B88">
            <w:pPr>
              <w:pStyle w:val="Tabletext"/>
              <w:rPr>
                <w:b/>
                <w:bCs/>
                <w:lang w:val="es-ES"/>
              </w:rPr>
            </w:pPr>
            <w:r w:rsidRPr="007B4B88">
              <w:rPr>
                <w:b/>
                <w:bCs/>
                <w:lang w:val="es-ES"/>
              </w:rPr>
              <w:t>Comisión 4: (Puntos específicos del orden del día)</w:t>
            </w:r>
          </w:p>
        </w:tc>
        <w:tc>
          <w:tcPr>
            <w:tcW w:w="4748" w:type="dxa"/>
            <w:hideMark/>
          </w:tcPr>
          <w:p w14:paraId="6C442DFA" w14:textId="6602C006" w:rsidR="007B4B88" w:rsidRPr="007B4B88" w:rsidRDefault="007B4B88" w:rsidP="007B4B88">
            <w:pPr>
              <w:pStyle w:val="Tabletext"/>
              <w:rPr>
                <w:lang w:val="es-ES"/>
              </w:rPr>
            </w:pPr>
            <w:r w:rsidRPr="007B4B88">
              <w:rPr>
                <w:lang w:val="es-ES"/>
              </w:rPr>
              <w:t>Presidente: Dr.</w:t>
            </w:r>
            <w:r>
              <w:rPr>
                <w:lang w:val="es-ES"/>
              </w:rPr>
              <w:t> </w:t>
            </w:r>
            <w:r w:rsidRPr="007B4B88">
              <w:rPr>
                <w:lang w:val="es-ES"/>
              </w:rPr>
              <w:t>Hiroyuki Atarashi (Japón)</w:t>
            </w:r>
          </w:p>
        </w:tc>
      </w:tr>
      <w:tr w:rsidR="007B4B88" w:rsidRPr="007B4B88" w14:paraId="0BE1F5CC" w14:textId="77777777" w:rsidTr="007B4B88">
        <w:trPr>
          <w:jc w:val="center"/>
        </w:trPr>
        <w:tc>
          <w:tcPr>
            <w:tcW w:w="4881" w:type="dxa"/>
            <w:hideMark/>
          </w:tcPr>
          <w:p w14:paraId="62ED1203" w14:textId="77777777" w:rsidR="007B4B88" w:rsidRPr="007B4B88" w:rsidRDefault="007B4B88" w:rsidP="007B4B88">
            <w:pPr>
              <w:pStyle w:val="Tabletext"/>
              <w:rPr>
                <w:b/>
                <w:bCs/>
                <w:lang w:val="es-ES"/>
              </w:rPr>
            </w:pPr>
            <w:r w:rsidRPr="007B4B88">
              <w:rPr>
                <w:b/>
                <w:bCs/>
                <w:lang w:val="es-ES"/>
              </w:rPr>
              <w:t>Comisión 5: (Puntos específicos del orden del día)</w:t>
            </w:r>
          </w:p>
        </w:tc>
        <w:tc>
          <w:tcPr>
            <w:tcW w:w="4748" w:type="dxa"/>
            <w:hideMark/>
          </w:tcPr>
          <w:p w14:paraId="3BD8EBFC" w14:textId="4557F354" w:rsidR="007B4B88" w:rsidRPr="007B4B88" w:rsidRDefault="007B4B88" w:rsidP="007B4B88">
            <w:pPr>
              <w:pStyle w:val="Tabletext"/>
              <w:rPr>
                <w:lang w:val="it-IT"/>
              </w:rPr>
            </w:pPr>
            <w:r w:rsidRPr="007B4B88">
              <w:rPr>
                <w:lang w:val="it-IT"/>
              </w:rPr>
              <w:t>Presidenta: Sra.</w:t>
            </w:r>
            <w:r>
              <w:rPr>
                <w:lang w:val="it-IT"/>
              </w:rPr>
              <w:t> </w:t>
            </w:r>
            <w:r w:rsidRPr="007B4B88">
              <w:rPr>
                <w:lang w:val="it-IT"/>
              </w:rPr>
              <w:t>Anna Marklund (Suecia)</w:t>
            </w:r>
          </w:p>
        </w:tc>
      </w:tr>
      <w:tr w:rsidR="007B4B88" w:rsidRPr="007B4B88" w14:paraId="2621EFC4" w14:textId="77777777" w:rsidTr="007B4B88">
        <w:trPr>
          <w:jc w:val="center"/>
        </w:trPr>
        <w:tc>
          <w:tcPr>
            <w:tcW w:w="4881" w:type="dxa"/>
            <w:hideMark/>
          </w:tcPr>
          <w:p w14:paraId="769F3F04" w14:textId="77777777" w:rsidR="007B4B88" w:rsidRPr="007B4B88" w:rsidRDefault="007B4B88" w:rsidP="007B4B88">
            <w:pPr>
              <w:pStyle w:val="Tabletext"/>
              <w:rPr>
                <w:b/>
                <w:bCs/>
                <w:lang w:val="es-ES"/>
              </w:rPr>
            </w:pPr>
            <w:r w:rsidRPr="007B4B88">
              <w:rPr>
                <w:b/>
                <w:bCs/>
                <w:lang w:val="es-ES"/>
              </w:rPr>
              <w:t>Comisión 6: (Puntos específicos del orden del día)</w:t>
            </w:r>
          </w:p>
        </w:tc>
        <w:tc>
          <w:tcPr>
            <w:tcW w:w="4748" w:type="dxa"/>
            <w:hideMark/>
          </w:tcPr>
          <w:p w14:paraId="5641673A" w14:textId="1C833AC0" w:rsidR="007B4B88" w:rsidRPr="007B4B88" w:rsidRDefault="007B4B88" w:rsidP="007B4B88">
            <w:pPr>
              <w:pStyle w:val="Tabletext"/>
              <w:rPr>
                <w:lang w:val="es-ES"/>
              </w:rPr>
            </w:pPr>
            <w:r w:rsidRPr="007B4B88">
              <w:rPr>
                <w:lang w:val="es-ES"/>
              </w:rPr>
              <w:t>Presidente: Sr.</w:t>
            </w:r>
            <w:r>
              <w:rPr>
                <w:lang w:val="es-ES"/>
              </w:rPr>
              <w:t> </w:t>
            </w:r>
            <w:r w:rsidRPr="007B4B88">
              <w:rPr>
                <w:lang w:val="es-ES"/>
              </w:rPr>
              <w:t>El Hadjar Abdouramane (Camerún)</w:t>
            </w:r>
          </w:p>
        </w:tc>
      </w:tr>
      <w:tr w:rsidR="007B4B88" w:rsidRPr="007B4B88" w14:paraId="298E609A" w14:textId="77777777" w:rsidTr="007B4B88">
        <w:trPr>
          <w:jc w:val="center"/>
        </w:trPr>
        <w:tc>
          <w:tcPr>
            <w:tcW w:w="4881" w:type="dxa"/>
            <w:hideMark/>
          </w:tcPr>
          <w:p w14:paraId="7EF807EB" w14:textId="77777777" w:rsidR="007B4B88" w:rsidRPr="007B4B88" w:rsidRDefault="007B4B88" w:rsidP="007B4B88">
            <w:pPr>
              <w:pStyle w:val="Tabletext"/>
              <w:rPr>
                <w:b/>
                <w:bCs/>
                <w:lang w:val="es-ES"/>
              </w:rPr>
            </w:pPr>
            <w:r w:rsidRPr="007B4B88">
              <w:rPr>
                <w:b/>
                <w:bCs/>
                <w:lang w:val="es-ES"/>
              </w:rPr>
              <w:t>Comisión 7: (Redacción)</w:t>
            </w:r>
          </w:p>
        </w:tc>
        <w:tc>
          <w:tcPr>
            <w:tcW w:w="4748" w:type="dxa"/>
            <w:hideMark/>
          </w:tcPr>
          <w:p w14:paraId="0C54BAC9" w14:textId="2E9D6339" w:rsidR="007B4B88" w:rsidRPr="007B4B88" w:rsidRDefault="007B4B88" w:rsidP="007B4B88">
            <w:pPr>
              <w:pStyle w:val="Tabletext"/>
              <w:rPr>
                <w:lang w:val="it-IT"/>
              </w:rPr>
            </w:pPr>
            <w:r w:rsidRPr="007B4B88">
              <w:rPr>
                <w:lang w:val="it-IT"/>
              </w:rPr>
              <w:t>Presidente: Sr.</w:t>
            </w:r>
            <w:r>
              <w:rPr>
                <w:lang w:val="it-IT"/>
              </w:rPr>
              <w:t> </w:t>
            </w:r>
            <w:r w:rsidRPr="007B4B88">
              <w:rPr>
                <w:lang w:val="it-IT"/>
              </w:rPr>
              <w:t>Christian Rissone (Francia)</w:t>
            </w:r>
          </w:p>
        </w:tc>
      </w:tr>
    </w:tbl>
    <w:p w14:paraId="561CB488" w14:textId="07D330A3" w:rsidR="007B4B88" w:rsidRPr="007B4B88" w:rsidRDefault="007B4B88" w:rsidP="007B4B88">
      <w:pPr>
        <w:pStyle w:val="Normalaftertitle"/>
        <w:rPr>
          <w:lang w:val="es-ES"/>
        </w:rPr>
      </w:pPr>
      <w:r w:rsidRPr="007B4B88">
        <w:rPr>
          <w:lang w:val="es-ES"/>
        </w:rPr>
        <w:t>En la CMR-23 se revisó el Reglamento de Radiocomunicaciones (RR), tratado internacional que rige la utilización del espectro de radiofrecuencias y las órbitas de los satélites geoestacionarios y no geoestacionarios. Con arreglo al orden del día de la conferencia, la CMR</w:t>
      </w:r>
      <w:r>
        <w:rPr>
          <w:lang w:val="es-ES"/>
        </w:rPr>
        <w:noBreakHyphen/>
      </w:r>
      <w:r w:rsidRPr="007B4B88">
        <w:rPr>
          <w:lang w:val="es-ES"/>
        </w:rPr>
        <w:t>23 abordó cuestiones relativas a las radiocomunicaciones de carácter mundial para la utilización eficaz del espectro y los recursos orbitales, y también determinó las Cuestiones que debía estudiar la Asamblea de Radiocomunicaciones y sus Comisiones de Estudio en el marco de los preparativos de las futuras Conferencias de Radiocomunicaciones.</w:t>
      </w:r>
    </w:p>
    <w:p w14:paraId="2646B547" w14:textId="6B16197E" w:rsidR="007B4B88" w:rsidRPr="007B4B88" w:rsidRDefault="007B4B88" w:rsidP="007B4B88">
      <w:pPr>
        <w:rPr>
          <w:lang w:val="es-ES"/>
        </w:rPr>
      </w:pPr>
      <w:r w:rsidRPr="007B4B88">
        <w:rPr>
          <w:lang w:val="es-ES"/>
        </w:rPr>
        <w:t xml:space="preserve">Las </w:t>
      </w:r>
      <w:hyperlink r:id="rId15" w:history="1">
        <w:r w:rsidRPr="007B4B88">
          <w:rPr>
            <w:rStyle w:val="Hyperlink"/>
            <w:lang w:val="es-ES"/>
          </w:rPr>
          <w:t xml:space="preserve">Actas </w:t>
        </w:r>
        <w:r w:rsidR="00FA2F40">
          <w:rPr>
            <w:rStyle w:val="Hyperlink"/>
            <w:lang w:val="es-ES"/>
          </w:rPr>
          <w:t>f</w:t>
        </w:r>
        <w:r w:rsidRPr="007B4B88">
          <w:rPr>
            <w:rStyle w:val="Hyperlink"/>
            <w:lang w:val="es-ES"/>
          </w:rPr>
          <w:t>inales de la C</w:t>
        </w:r>
        <w:r w:rsidRPr="007B4B88">
          <w:rPr>
            <w:rStyle w:val="Hyperlink"/>
            <w:lang w:val="es-ES"/>
          </w:rPr>
          <w:t>M</w:t>
        </w:r>
        <w:r w:rsidRPr="007B4B88">
          <w:rPr>
            <w:rStyle w:val="Hyperlink"/>
            <w:lang w:val="es-ES"/>
          </w:rPr>
          <w:t>R-23</w:t>
        </w:r>
      </w:hyperlink>
      <w:r w:rsidRPr="007B4B88">
        <w:rPr>
          <w:lang w:val="es-ES"/>
        </w:rPr>
        <w:t xml:space="preserve"> se han publicado en los seis idiomas de las Naciones Unidas (de manera gratuita). Entre los resultados de la CMR-23 se encuentran los siguientes:</w:t>
      </w:r>
    </w:p>
    <w:p w14:paraId="01A51F8A" w14:textId="69DC63D4" w:rsidR="007B4B88" w:rsidRPr="007B4B88" w:rsidRDefault="007B4B88" w:rsidP="007B4B88">
      <w:pPr>
        <w:rPr>
          <w:lang w:val="es-ES"/>
        </w:rPr>
      </w:pPr>
      <w:r w:rsidRPr="007B4B88">
        <w:rPr>
          <w:b/>
          <w:bCs/>
          <w:lang w:val="es-ES"/>
        </w:rPr>
        <w:t>Conectividad de banda ancha</w:t>
      </w:r>
      <w:r w:rsidRPr="007B4B88">
        <w:rPr>
          <w:lang w:val="es-ES"/>
        </w:rPr>
        <w:t>: El nuevo espectro de las IMT comprende las tres bandas de frecuencias de 3 300-3 400 megahercios (MHz), 3 600</w:t>
      </w:r>
      <w:r w:rsidR="00FA2F40">
        <w:rPr>
          <w:lang w:val="es-ES"/>
        </w:rPr>
        <w:noBreakHyphen/>
      </w:r>
      <w:r w:rsidRPr="007B4B88">
        <w:rPr>
          <w:lang w:val="es-ES"/>
        </w:rPr>
        <w:t>3 800</w:t>
      </w:r>
      <w:r w:rsidR="00FA2F40">
        <w:rPr>
          <w:lang w:val="es-ES"/>
        </w:rPr>
        <w:t> </w:t>
      </w:r>
      <w:r w:rsidRPr="007B4B88">
        <w:rPr>
          <w:lang w:val="es-ES"/>
        </w:rPr>
        <w:t>MHz, 4 800</w:t>
      </w:r>
      <w:r w:rsidR="00FA2F40">
        <w:rPr>
          <w:lang w:val="es-ES"/>
        </w:rPr>
        <w:noBreakHyphen/>
      </w:r>
      <w:r w:rsidRPr="007B4B88">
        <w:rPr>
          <w:lang w:val="es-ES"/>
        </w:rPr>
        <w:t>4 990</w:t>
      </w:r>
      <w:r w:rsidR="00FA2F40">
        <w:rPr>
          <w:lang w:val="es-ES"/>
        </w:rPr>
        <w:t> </w:t>
      </w:r>
      <w:r w:rsidRPr="007B4B88">
        <w:rPr>
          <w:lang w:val="es-ES"/>
        </w:rPr>
        <w:t>MHz y 6 425</w:t>
      </w:r>
      <w:r w:rsidR="00FA2F40">
        <w:rPr>
          <w:lang w:val="es-ES"/>
        </w:rPr>
        <w:noBreakHyphen/>
      </w:r>
      <w:r w:rsidRPr="007B4B88">
        <w:rPr>
          <w:lang w:val="es-ES"/>
        </w:rPr>
        <w:t>7 125</w:t>
      </w:r>
      <w:r w:rsidR="00FA2F40">
        <w:rPr>
          <w:lang w:val="es-ES"/>
        </w:rPr>
        <w:t> </w:t>
      </w:r>
      <w:r w:rsidRPr="007B4B88">
        <w:rPr>
          <w:lang w:val="es-ES"/>
        </w:rPr>
        <w:t>MHz en varios países y regiones.</w:t>
      </w:r>
    </w:p>
    <w:p w14:paraId="36B7B432" w14:textId="77777777" w:rsidR="007B4B88" w:rsidRPr="007B4B88" w:rsidRDefault="007B4B88" w:rsidP="007B4B88">
      <w:pPr>
        <w:pStyle w:val="Headingb"/>
        <w:rPr>
          <w:lang w:val="es-ES"/>
        </w:rPr>
      </w:pPr>
      <w:r w:rsidRPr="007B4B88">
        <w:rPr>
          <w:lang w:val="es-ES"/>
        </w:rPr>
        <w:t>Conectividad rural y en caso de catástrofe</w:t>
      </w:r>
    </w:p>
    <w:p w14:paraId="4088AB72" w14:textId="4667CFBC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La CMR</w:t>
      </w:r>
      <w:r w:rsidR="00FA2F40">
        <w:rPr>
          <w:lang w:val="es-ES"/>
        </w:rPr>
        <w:noBreakHyphen/>
      </w:r>
      <w:r w:rsidRPr="007B4B88">
        <w:rPr>
          <w:lang w:val="es-ES"/>
        </w:rPr>
        <w:t>23 atribuyó espectro en las bandas de 2</w:t>
      </w:r>
      <w:r w:rsidR="00FA2F40">
        <w:rPr>
          <w:lang w:val="es-ES"/>
        </w:rPr>
        <w:t> </w:t>
      </w:r>
      <w:r w:rsidRPr="007B4B88">
        <w:rPr>
          <w:lang w:val="es-ES"/>
        </w:rPr>
        <w:t>GHz y 2,6</w:t>
      </w:r>
      <w:r w:rsidR="00FA2F40">
        <w:rPr>
          <w:b/>
          <w:lang w:val="es-ES"/>
        </w:rPr>
        <w:t> </w:t>
      </w:r>
      <w:r w:rsidRPr="007B4B88">
        <w:rPr>
          <w:lang w:val="es-ES"/>
        </w:rPr>
        <w:t>GHz para la utilización de estaciones en plataformas a gran altitud como estaciones base IMT (HIBS) y estableció normas sobre su funcionamiento.</w:t>
      </w:r>
    </w:p>
    <w:p w14:paraId="56260C14" w14:textId="4A6369F3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Estaciones terrenas en movimiento (ETEM) del servicio fijo por satélite no geoestacionario: la Conferencia identificó nuevas frecuencias para proporcionar banda ancha de alta velocidad a bordo de aeronaves, buques, trenes y vehículos. Estos servicios por satélite son fundamentales asimismo en situaciones de catástrofe, si las infraestructuras de comunicación locales resultan dañadas o destruidas.</w:t>
      </w:r>
    </w:p>
    <w:p w14:paraId="0CAA490A" w14:textId="77777777" w:rsidR="007B4B88" w:rsidRPr="007B4B88" w:rsidRDefault="007B4B88" w:rsidP="007B4B88">
      <w:pPr>
        <w:pStyle w:val="Headingb"/>
        <w:rPr>
          <w:lang w:val="es-ES"/>
        </w:rPr>
      </w:pPr>
      <w:r w:rsidRPr="007B4B88">
        <w:rPr>
          <w:lang w:val="es-ES"/>
        </w:rPr>
        <w:t>Sector marítimo y aeronáutico</w:t>
      </w:r>
    </w:p>
    <w:p w14:paraId="7BC0BC14" w14:textId="314BF3B9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Se incluyeron disposiciones en el RR para proteger las estaciones del servicio móvil a bordo de buques o aeronaves situadas en el espacio aéreo internacional o en aguas internacionales frente a otras estaciones situadas en el territorio de países.</w:t>
      </w:r>
    </w:p>
    <w:p w14:paraId="2BFC34FE" w14:textId="1406909F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La modernización del Sistema Mundial de Socorro y Seguridad Marítimos (SMSSM) estuvo respaldada por medidas reglamentarias acordadas, en particular la implantación de sistemas de navegación electrónica, para mejorar las comunicaciones de socorro y seguridad en el mar.</w:t>
      </w:r>
    </w:p>
    <w:p w14:paraId="0589B324" w14:textId="2153CD7E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La Conferencia reconoció a título provisional el Sistema del Servicio de Mensajería por Satélite BeiDou para su utilización en el marco del SMSSM, siempre y cuando se lleve a cabo satisfactoriamente la coordinación con redes existentes y se suprima la interferencia.</w:t>
      </w:r>
    </w:p>
    <w:p w14:paraId="0EAA2EC5" w14:textId="77777777" w:rsidR="007B4B88" w:rsidRPr="007B4B88" w:rsidRDefault="007B4B88" w:rsidP="007B4B88">
      <w:pPr>
        <w:pStyle w:val="Headingb"/>
        <w:rPr>
          <w:lang w:val="es-ES"/>
        </w:rPr>
      </w:pPr>
      <w:r w:rsidRPr="007B4B88">
        <w:rPr>
          <w:lang w:val="es-ES"/>
        </w:rPr>
        <w:t>Cambio climático y observación meteorológica</w:t>
      </w:r>
    </w:p>
    <w:p w14:paraId="31D0E201" w14:textId="23FB5A01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Atribución de frecuencias adicionales al servicio pasivo de exploración de la Tierra por satélite para facilitar las mediciones avanzadas de partículas de hielo en las nubes a fin de mejorar la previsión meteorológica y la supervisión del clima.</w:t>
      </w:r>
    </w:p>
    <w:p w14:paraId="357B212C" w14:textId="56117255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Reconocimiento de la importancia que reviste la observación meteorológica espacial en el marco de una nueva Resolución y un nuevo artículo del Reglamento de Radiocomunicaciones, a fin de reconocer el funcionamiento de los sensores de meteorología espacial como parte del servicio de ayudas a la meteorología para la observación de fenómenos meteorológicos espaciales, incluidas las erupciones solares, la radiación solar y las tormentas geomagnéticas, susceptibles de interferir con los servicios de radiocomunicaciones, en particular las comunicaciones por satélite, los servicios de telefonía móvil y los sistemas de navegación.</w:t>
      </w:r>
    </w:p>
    <w:p w14:paraId="4FB46289" w14:textId="77777777" w:rsidR="007B4B88" w:rsidRPr="007B4B88" w:rsidRDefault="007B4B88" w:rsidP="007B4B88">
      <w:pPr>
        <w:pStyle w:val="Headingb"/>
        <w:rPr>
          <w:lang w:val="es-ES"/>
        </w:rPr>
      </w:pPr>
      <w:r w:rsidRPr="007B4B88">
        <w:rPr>
          <w:lang w:val="es-ES"/>
        </w:rPr>
        <w:t>Mejora de las comunicaciones de la aviación y aéreas</w:t>
      </w:r>
    </w:p>
    <w:p w14:paraId="5634FB88" w14:textId="067705A4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Atribución de nuevas frecuencias al sector de la aviación para la prestación de servicios móviles aeronáuticos por satélite (117,975</w:t>
      </w:r>
      <w:r w:rsidR="00FA2F40">
        <w:rPr>
          <w:lang w:val="es-ES"/>
        </w:rPr>
        <w:noBreakHyphen/>
      </w:r>
      <w:r w:rsidRPr="007B4B88">
        <w:rPr>
          <w:lang w:val="es-ES"/>
        </w:rPr>
        <w:t>137</w:t>
      </w:r>
      <w:r w:rsidR="00FA2F40">
        <w:rPr>
          <w:lang w:val="es-ES"/>
        </w:rPr>
        <w:t> </w:t>
      </w:r>
      <w:r w:rsidRPr="007B4B88">
        <w:rPr>
          <w:lang w:val="es-ES"/>
        </w:rPr>
        <w:t>MHz). Los nuevos servicios mejorarán la comunicación bidireccional mediante sistemas de satélites no OSG de pilotos y controladores aéreos en todo el mundo, en particular en zonas oceánicas o distantes.</w:t>
      </w:r>
    </w:p>
    <w:p w14:paraId="49A28179" w14:textId="1FAF9407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Atribución de las bandas 15,41</w:t>
      </w:r>
      <w:r w:rsidR="00FA2F40">
        <w:rPr>
          <w:lang w:val="es-ES"/>
        </w:rPr>
        <w:noBreakHyphen/>
      </w:r>
      <w:r w:rsidRPr="007B4B88">
        <w:rPr>
          <w:lang w:val="es-ES"/>
        </w:rPr>
        <w:t>15,7</w:t>
      </w:r>
      <w:r w:rsidR="00FA2F40">
        <w:rPr>
          <w:lang w:val="es-ES"/>
        </w:rPr>
        <w:t> </w:t>
      </w:r>
      <w:r w:rsidRPr="007B4B88">
        <w:rPr>
          <w:lang w:val="es-ES"/>
        </w:rPr>
        <w:t>GHz y 22</w:t>
      </w:r>
      <w:r w:rsidR="00FA2F40">
        <w:rPr>
          <w:lang w:val="es-ES"/>
        </w:rPr>
        <w:noBreakHyphen/>
      </w:r>
      <w:r w:rsidRPr="007B4B88">
        <w:rPr>
          <w:lang w:val="es-ES"/>
        </w:rPr>
        <w:t>22,2</w:t>
      </w:r>
      <w:r w:rsidR="00FA2F40">
        <w:rPr>
          <w:lang w:val="es-ES"/>
        </w:rPr>
        <w:t> </w:t>
      </w:r>
      <w:r w:rsidRPr="007B4B88">
        <w:rPr>
          <w:lang w:val="es-ES"/>
        </w:rPr>
        <w:t>GHz en la Región</w:t>
      </w:r>
      <w:r w:rsidR="00FA2F40">
        <w:rPr>
          <w:lang w:val="es-ES"/>
        </w:rPr>
        <w:t> </w:t>
      </w:r>
      <w:r w:rsidRPr="007B4B88">
        <w:rPr>
          <w:lang w:val="es-ES"/>
        </w:rPr>
        <w:t>1 del Reglamento de Radiocomunicaciones y algunos países de la Región</w:t>
      </w:r>
      <w:r w:rsidR="00FA2F40">
        <w:rPr>
          <w:lang w:val="es-ES"/>
        </w:rPr>
        <w:t> </w:t>
      </w:r>
      <w:r w:rsidRPr="007B4B88">
        <w:rPr>
          <w:lang w:val="es-ES"/>
        </w:rPr>
        <w:t>3 al servicio móvil aeronáutico para aplicaciones aeronáuticas no relacionadas con la seguridad. Ello permitirá a aeronaves, helicópteros y drones transportar sofisticados equipos digitales aeronáuticos para fines de índole diversa, incluidas aplicaciones de vigilancia, supervisión, cartografía y la filmación, y ofrecerá la capacidad necesaria para transmitir grandes cantidades de datos de esas aplicaciones a través de enlaces de radiocomunicaciones de banda ancha.</w:t>
      </w:r>
    </w:p>
    <w:p w14:paraId="7A4DDC77" w14:textId="77777777" w:rsidR="007B4B88" w:rsidRPr="007B4B88" w:rsidRDefault="007B4B88" w:rsidP="007B4B88">
      <w:pPr>
        <w:rPr>
          <w:lang w:val="es-ES"/>
        </w:rPr>
      </w:pPr>
      <w:r w:rsidRPr="007B4B88">
        <w:rPr>
          <w:b/>
          <w:bCs/>
          <w:lang w:val="es-ES"/>
        </w:rPr>
        <w:t>Enlaces entre satélites</w:t>
      </w:r>
      <w:r w:rsidRPr="007B4B88">
        <w:rPr>
          <w:lang w:val="es-ES"/>
        </w:rPr>
        <w:t>: Adopción de medidas reglamentarias para la provisión de enlaces entre satélites. Ello permitirá disponer de datos en tiempo casi real, al tiempo que se aumenta la disponibilidad y la utilidad de los datos de los instrumentos para aplicaciones de baja latencia, en particular la predicción meteorológica y la reducción del riesgo de catástrofes.</w:t>
      </w:r>
    </w:p>
    <w:p w14:paraId="180FB572" w14:textId="77777777" w:rsidR="007B4B88" w:rsidRPr="007B4B88" w:rsidRDefault="007B4B88" w:rsidP="007B4B88">
      <w:pPr>
        <w:rPr>
          <w:lang w:val="es-ES"/>
        </w:rPr>
      </w:pPr>
      <w:r w:rsidRPr="007B4B88">
        <w:rPr>
          <w:b/>
          <w:bCs/>
          <w:lang w:val="es-ES"/>
        </w:rPr>
        <w:t>Tiempo Universal Coordinado</w:t>
      </w:r>
      <w:r w:rsidRPr="007B4B88">
        <w:rPr>
          <w:lang w:val="es-ES"/>
        </w:rPr>
        <w:t xml:space="preserve">: Respaldo a la decisión de la Oficina Internacional de Pesas y Medidas (BIPM) de adoptar el Tiempo Universal Coordinado (UTC) como patrón horario </w:t>
      </w:r>
      <w:r w:rsidRPr="007B4B88">
        <w:rPr>
          <w:i/>
          <w:iCs/>
          <w:lang w:val="es-ES"/>
        </w:rPr>
        <w:t xml:space="preserve">de facto </w:t>
      </w:r>
      <w:r w:rsidRPr="007B4B88">
        <w:rPr>
          <w:lang w:val="es-ES"/>
        </w:rPr>
        <w:t>para 2035, con la posibilidad de ampliar ese plazo hasta 2040 en los casos en que los equipos existentes no puedan sustituirse antes.</w:t>
      </w:r>
    </w:p>
    <w:p w14:paraId="2DB0A5C4" w14:textId="6AE174FD" w:rsidR="007B4B88" w:rsidRPr="007B4B88" w:rsidRDefault="007B4B88" w:rsidP="007B4B88">
      <w:pPr>
        <w:rPr>
          <w:lang w:val="es-ES"/>
        </w:rPr>
      </w:pPr>
      <w:r w:rsidRPr="007B4B88">
        <w:rPr>
          <w:b/>
          <w:bCs/>
          <w:lang w:val="es-ES"/>
        </w:rPr>
        <w:t>Mejora de las condiciones del servicio de radiodifusión por satélite para determinados países</w:t>
      </w:r>
      <w:r w:rsidRPr="007B4B88">
        <w:rPr>
          <w:lang w:val="es-ES"/>
        </w:rPr>
        <w:t>: Aprobación de una recomendación de la Junta del Reglamento de Radiocomunicaciones para facilitar a 41</w:t>
      </w:r>
      <w:r w:rsidR="00FA2F40">
        <w:rPr>
          <w:lang w:val="es-ES"/>
        </w:rPr>
        <w:t> </w:t>
      </w:r>
      <w:r w:rsidRPr="007B4B88">
        <w:rPr>
          <w:lang w:val="es-ES"/>
        </w:rPr>
        <w:t>países la adquisición de nuevos recursos orbitales destinados a la radiodifusión por satélite. Dichos países no han podido utilizar en los últimos años los segmentos orbitales que tenían asignados debido a varios motivos, en particular, la falta de coordinación y la interferencia provocada por otras redes de satélites. Esta decisión tiene por objeto facilitar a los países la implantación de sistemas de satélites a escala subregional.</w:t>
      </w:r>
    </w:p>
    <w:p w14:paraId="6CD41163" w14:textId="77777777" w:rsidR="007B4B88" w:rsidRPr="007B4B88" w:rsidRDefault="007B4B88" w:rsidP="007B4B88">
      <w:pPr>
        <w:pStyle w:val="Headingb"/>
        <w:rPr>
          <w:lang w:val="es-ES"/>
        </w:rPr>
      </w:pPr>
      <w:r w:rsidRPr="007B4B88">
        <w:rPr>
          <w:lang w:val="es-ES"/>
        </w:rPr>
        <w:t>Principales temas de estudio para las futuras CMR</w:t>
      </w:r>
    </w:p>
    <w:p w14:paraId="1EAC0438" w14:textId="6815CC10" w:rsidR="007B4B88" w:rsidRPr="007B4B88" w:rsidRDefault="007B4B88" w:rsidP="007B4B88">
      <w:pPr>
        <w:rPr>
          <w:lang w:val="es-ES"/>
        </w:rPr>
      </w:pPr>
      <w:r w:rsidRPr="007B4B88">
        <w:rPr>
          <w:lang w:val="es-ES"/>
        </w:rPr>
        <w:t>En el marco del punto</w:t>
      </w:r>
      <w:r w:rsidR="00FA2F40">
        <w:rPr>
          <w:lang w:val="es-ES"/>
        </w:rPr>
        <w:t> </w:t>
      </w:r>
      <w:r w:rsidRPr="007B4B88">
        <w:rPr>
          <w:lang w:val="es-ES"/>
        </w:rPr>
        <w:t>10 del orden del día de la CMR</w:t>
      </w:r>
      <w:r w:rsidR="00FA2F40">
        <w:rPr>
          <w:lang w:val="es-ES"/>
        </w:rPr>
        <w:noBreakHyphen/>
      </w:r>
      <w:r w:rsidRPr="007B4B88">
        <w:rPr>
          <w:lang w:val="es-ES"/>
        </w:rPr>
        <w:t>23, la Conferencia aprobó asimismo los puntos del orden del día de la próxima Conferencia Mundial de Radiocomunicaciones (CMR</w:t>
      </w:r>
      <w:r w:rsidR="00FA2F40">
        <w:rPr>
          <w:lang w:val="es-ES"/>
        </w:rPr>
        <w:noBreakHyphen/>
      </w:r>
      <w:r w:rsidRPr="007B4B88">
        <w:rPr>
          <w:lang w:val="es-ES"/>
        </w:rPr>
        <w:t>27) y el orden del día provisional de la CMR</w:t>
      </w:r>
      <w:r w:rsidR="00FA2F40">
        <w:rPr>
          <w:lang w:val="es-ES"/>
        </w:rPr>
        <w:noBreakHyphen/>
      </w:r>
      <w:r w:rsidRPr="007B4B88">
        <w:rPr>
          <w:lang w:val="es-ES"/>
        </w:rPr>
        <w:t>31. Con objeto de preparar las próximas CMR, se acordaron varias resoluciones en virtud de las cuales se encomendó a las Comisiones de Estudio del Sector de Radiocomunicaciones de la UIT que realizasen estudios sobre temas específicos, entre los que se incluyen:</w:t>
      </w:r>
    </w:p>
    <w:p w14:paraId="482A988F" w14:textId="3BE1D7E1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Posibles atribuciones, nuevas o modificadas, al servicio de investigación espacial (espacio</w:t>
      </w:r>
      <w:r w:rsidR="00FA2F40">
        <w:rPr>
          <w:lang w:val="es-ES"/>
        </w:rPr>
        <w:noBreakHyphen/>
      </w:r>
      <w:r w:rsidRPr="007B4B88">
        <w:rPr>
          <w:lang w:val="es-ES"/>
        </w:rPr>
        <w:t>espacio) para el futuro desarrollo de las comunicaciones en la superficie lunar, y entre la órbita de la Luna y la superficie de la misma.</w:t>
      </w:r>
    </w:p>
    <w:p w14:paraId="252B72FA" w14:textId="0B1F7848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Formulación de medidas reglamentarias para restringir el funcionamiento no autorizado de estaciones terrenas de sistemas de satélites de órbita no geoestacionaria (no</w:t>
      </w:r>
      <w:r w:rsidR="00FA2F40">
        <w:rPr>
          <w:lang w:val="es-ES"/>
        </w:rPr>
        <w:t> </w:t>
      </w:r>
      <w:r w:rsidRPr="007B4B88">
        <w:rPr>
          <w:lang w:val="es-ES"/>
        </w:rPr>
        <w:t>OSG) en el servicio fijo por satélite (SFS) y el servicio móvil por satélite (SMS).</w:t>
      </w:r>
    </w:p>
    <w:p w14:paraId="0EE6B02C" w14:textId="43F62204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Formulación de medidas técnicas y reglamentarias relativas al SFS, habida cuenta de las necesidades específicas de los países en desarrollo, incluida la necesidad de acceso equitativo a las bandas de frecuencias pertinentes.</w:t>
      </w:r>
    </w:p>
    <w:p w14:paraId="4301492C" w14:textId="09E226C6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Establecimiento de las disposiciones técnicas y reglamentarias necesarias para proteger el servicio de radioastronomía en zonas de silencio radioeléctrico específicas frente a la interferencia radioeléctrica provocada por sistemas de satélites de órbita no geoestacionaria.</w:t>
      </w:r>
    </w:p>
    <w:p w14:paraId="2360F7E0" w14:textId="14AE9DA3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Posibles nuevas atribuciones al servicio móvil por satélite para facilitar una conectividad directa entre estaciones espaciales y equipos móviles de usuarios para complementar la cobertura de las redes móviles terrenales.</w:t>
      </w:r>
    </w:p>
    <w:p w14:paraId="5A120C83" w14:textId="11B981A0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Determinación de necesidades de espectro y criterios de protección adecuados con respecto a los sensores meteorológicos espaciales.</w:t>
      </w:r>
    </w:p>
    <w:p w14:paraId="0176EA04" w14:textId="4B54DD45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Posibles nuevas atribuciones de frecuencias y medidas reglamentarias para el desarrollo futuro de sistemas de satélites no geoestacionarios del servicio móvil por satélite de baja velocidad de datos (satélites de pequeño tamaño).</w:t>
      </w:r>
    </w:p>
    <w:p w14:paraId="49FC488F" w14:textId="6E355D45" w:rsidR="007B4B88" w:rsidRPr="007B4B88" w:rsidRDefault="007B4B88" w:rsidP="007B4B88">
      <w:pPr>
        <w:pStyle w:val="enumlev1"/>
        <w:rPr>
          <w:lang w:val="es-ES"/>
        </w:rPr>
      </w:pPr>
      <w:r w:rsidRPr="007B4B88">
        <w:rPr>
          <w:lang w:val="es-ES"/>
        </w:rPr>
        <w:t>–</w:t>
      </w:r>
      <w:r>
        <w:rPr>
          <w:lang w:val="es-ES"/>
        </w:rPr>
        <w:tab/>
      </w:r>
      <w:r w:rsidRPr="007B4B88">
        <w:rPr>
          <w:lang w:val="es-ES"/>
        </w:rPr>
        <w:t>Estudio de medidas para facilitar el funcionamiento de estaciones terrenas a bordo de aeronaves no tripuladas, incluida la identificación de las bandas de frecuencias adecuadas para decidir las medidas adecuadas que deberán adoptarse en 2031 (CMR</w:t>
      </w:r>
      <w:r w:rsidR="00FA2F40">
        <w:rPr>
          <w:lang w:val="es-ES"/>
        </w:rPr>
        <w:noBreakHyphen/>
      </w:r>
      <w:r w:rsidRPr="007B4B88">
        <w:rPr>
          <w:lang w:val="es-ES"/>
        </w:rPr>
        <w:t>31).</w:t>
      </w:r>
    </w:p>
    <w:p w14:paraId="6E787D20" w14:textId="632189F6" w:rsidR="007B4B88" w:rsidRPr="007B4B88" w:rsidRDefault="007B4B88" w:rsidP="007B4B88">
      <w:pPr>
        <w:rPr>
          <w:lang w:val="es-ES"/>
        </w:rPr>
      </w:pPr>
      <w:r w:rsidRPr="007B4B88">
        <w:rPr>
          <w:lang w:val="es-ES"/>
        </w:rPr>
        <w:t>En resumen, la CMR-23 aprobó 43</w:t>
      </w:r>
      <w:r w:rsidR="00FA2F40">
        <w:rPr>
          <w:lang w:val="es-ES"/>
        </w:rPr>
        <w:t> </w:t>
      </w:r>
      <w:r w:rsidRPr="007B4B88">
        <w:rPr>
          <w:lang w:val="es-ES"/>
        </w:rPr>
        <w:t>nuevas resoluciones, revisó 56</w:t>
      </w:r>
      <w:r w:rsidR="00FA2F40">
        <w:rPr>
          <w:lang w:val="es-ES"/>
        </w:rPr>
        <w:t> </w:t>
      </w:r>
      <w:r w:rsidRPr="007B4B88">
        <w:rPr>
          <w:lang w:val="es-ES"/>
        </w:rPr>
        <w:t>existentes y suprimió algunas resoluciones. En el Cuadro del Anexo</w:t>
      </w:r>
      <w:r w:rsidR="00FA2F40">
        <w:rPr>
          <w:lang w:val="es-ES"/>
        </w:rPr>
        <w:t> </w:t>
      </w:r>
      <w:r w:rsidRPr="007B4B88">
        <w:rPr>
          <w:lang w:val="es-ES"/>
        </w:rPr>
        <w:t>2 se resumen resoluciones importantes de la CMR</w:t>
      </w:r>
      <w:r w:rsidR="00FA2F40">
        <w:rPr>
          <w:lang w:val="es-ES"/>
        </w:rPr>
        <w:noBreakHyphen/>
      </w:r>
      <w:r w:rsidRPr="007B4B88">
        <w:rPr>
          <w:lang w:val="es-ES"/>
        </w:rPr>
        <w:t>23 pertinentes para la labor de la BDT y/o el UIT</w:t>
      </w:r>
      <w:r w:rsidR="00FA2F40">
        <w:rPr>
          <w:lang w:val="es-ES"/>
        </w:rPr>
        <w:noBreakHyphen/>
      </w:r>
      <w:r w:rsidRPr="007B4B88">
        <w:rPr>
          <w:lang w:val="es-ES"/>
        </w:rPr>
        <w:t>D.</w:t>
      </w:r>
    </w:p>
    <w:p w14:paraId="1F651E80" w14:textId="2BD28559" w:rsidR="007B4B88" w:rsidRPr="007B4B88" w:rsidRDefault="007B4B88" w:rsidP="007B4B88">
      <w:pPr>
        <w:pStyle w:val="Heading1"/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Pr="007B4B88">
        <w:rPr>
          <w:lang w:val="es-ES"/>
        </w:rPr>
        <w:t>Reunión Preparatoria de la Conferencia (RPC27</w:t>
      </w:r>
      <w:r w:rsidR="00FA2F40">
        <w:rPr>
          <w:lang w:val="es-ES"/>
        </w:rPr>
        <w:noBreakHyphen/>
      </w:r>
      <w:r w:rsidRPr="007B4B88">
        <w:rPr>
          <w:lang w:val="es-ES"/>
        </w:rPr>
        <w:t>1) para la Conferencia Mundial de Radiocomunicaciones de 2027 (CMR-27)</w:t>
      </w:r>
    </w:p>
    <w:p w14:paraId="054FE14E" w14:textId="5380C8B1" w:rsidR="007B4B88" w:rsidRPr="007B4B88" w:rsidRDefault="007B4B88" w:rsidP="007B4B88">
      <w:pPr>
        <w:rPr>
          <w:lang w:val="es-ES"/>
        </w:rPr>
      </w:pPr>
      <w:r w:rsidRPr="007B4B88">
        <w:rPr>
          <w:lang w:val="es-ES"/>
        </w:rPr>
        <w:t>En la primera reunión de la Reunión Preparatoria de la Conferencia para la CMR</w:t>
      </w:r>
      <w:r w:rsidR="00FA2F40">
        <w:rPr>
          <w:lang w:val="es-ES"/>
        </w:rPr>
        <w:noBreakHyphen/>
      </w:r>
      <w:r w:rsidRPr="007B4B88">
        <w:rPr>
          <w:lang w:val="es-ES"/>
        </w:rPr>
        <w:t>27 (RPC-27</w:t>
      </w:r>
      <w:r w:rsidR="00FA2F40">
        <w:rPr>
          <w:lang w:val="es-ES"/>
        </w:rPr>
        <w:noBreakHyphen/>
      </w:r>
      <w:r w:rsidRPr="007B4B88">
        <w:rPr>
          <w:lang w:val="es-ES"/>
        </w:rPr>
        <w:t>1) se examinó el proyecto de estructura/índice del Informe de la RPC a la CMR</w:t>
      </w:r>
      <w:r w:rsidR="00FA2F40">
        <w:rPr>
          <w:lang w:val="es-ES"/>
        </w:rPr>
        <w:noBreakHyphen/>
      </w:r>
      <w:r w:rsidRPr="007B4B88">
        <w:rPr>
          <w:lang w:val="es-ES"/>
        </w:rPr>
        <w:t>27 y el proyecto preliminar de atribución de los trabajos preparatorios del UIT-R para la CMR</w:t>
      </w:r>
      <w:r w:rsidR="00FA2F40">
        <w:rPr>
          <w:lang w:val="es-ES"/>
        </w:rPr>
        <w:noBreakHyphen/>
      </w:r>
      <w:r w:rsidRPr="007B4B88">
        <w:rPr>
          <w:lang w:val="es-ES"/>
        </w:rPr>
        <w:t>27 y la CMR</w:t>
      </w:r>
      <w:r w:rsidR="00FA2F40">
        <w:rPr>
          <w:lang w:val="es-ES"/>
        </w:rPr>
        <w:noBreakHyphen/>
      </w:r>
      <w:r w:rsidRPr="007B4B88">
        <w:rPr>
          <w:lang w:val="es-ES"/>
        </w:rPr>
        <w:t xml:space="preserve">31. Los detalles al respecto pueden consultarse en </w:t>
      </w:r>
      <w:hyperlink r:id="rId16" w:history="1">
        <w:r w:rsidR="00FA2F40">
          <w:rPr>
            <w:rStyle w:val="Hyperlink"/>
            <w:lang w:val="es-ES"/>
          </w:rPr>
          <w:t>https://www.itu.int/md/R23-CPM27</w:t>
        </w:r>
        <w:r w:rsidR="00FA2F40">
          <w:rPr>
            <w:rStyle w:val="Hyperlink"/>
            <w:lang w:val="es-ES"/>
          </w:rPr>
          <w:t>.</w:t>
        </w:r>
        <w:r w:rsidR="00FA2F40">
          <w:rPr>
            <w:rStyle w:val="Hyperlink"/>
            <w:lang w:val="es-ES"/>
          </w:rPr>
          <w:t>1-C-0005/es</w:t>
        </w:r>
      </w:hyperlink>
      <w:r w:rsidR="00FA2F40">
        <w:rPr>
          <w:lang w:val="es-ES"/>
        </w:rPr>
        <w:t xml:space="preserve"> </w:t>
      </w:r>
      <w:r w:rsidRPr="007B4B88">
        <w:rPr>
          <w:lang w:val="es-ES"/>
        </w:rPr>
        <w:t>(acceso restringido TIES).</w:t>
      </w:r>
    </w:p>
    <w:p w14:paraId="340F2B62" w14:textId="77777777" w:rsidR="007B4B88" w:rsidRPr="00FA2F40" w:rsidRDefault="007B4B88" w:rsidP="00411C49">
      <w:pPr>
        <w:pStyle w:val="Reasons"/>
        <w:rPr>
          <w:lang w:val="es-ES"/>
        </w:rPr>
      </w:pPr>
    </w:p>
    <w:p w14:paraId="450025BE" w14:textId="77777777" w:rsidR="007B4B88" w:rsidRDefault="007B4B88">
      <w:pPr>
        <w:jc w:val="center"/>
      </w:pPr>
      <w:r>
        <w:t>______________</w:t>
      </w:r>
    </w:p>
    <w:sectPr w:rsidR="007B4B88" w:rsidSect="00473791">
      <w:headerReference w:type="defaul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291CF077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41DA6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7B4B88">
      <w:rPr>
        <w:sz w:val="22"/>
        <w:szCs w:val="22"/>
        <w:lang w:val="de-CH"/>
      </w:rPr>
      <w:t>11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640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00FA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C25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AC0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FEFF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F4D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A29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26B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BA7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82B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97784"/>
    <w:multiLevelType w:val="hybridMultilevel"/>
    <w:tmpl w:val="F69431C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A71823"/>
    <w:multiLevelType w:val="hybridMultilevel"/>
    <w:tmpl w:val="1D0819A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1112E"/>
    <w:multiLevelType w:val="hybridMultilevel"/>
    <w:tmpl w:val="CC00CD5E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F4C03D7"/>
    <w:multiLevelType w:val="hybridMultilevel"/>
    <w:tmpl w:val="6734B7E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C25550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6144253">
    <w:abstractNumId w:val="13"/>
  </w:num>
  <w:num w:numId="2" w16cid:durableId="977303913">
    <w:abstractNumId w:val="15"/>
  </w:num>
  <w:num w:numId="3" w16cid:durableId="2008513773">
    <w:abstractNumId w:val="12"/>
  </w:num>
  <w:num w:numId="4" w16cid:durableId="1880511668">
    <w:abstractNumId w:val="11"/>
  </w:num>
  <w:num w:numId="5" w16cid:durableId="1036586277">
    <w:abstractNumId w:val="10"/>
  </w:num>
  <w:num w:numId="6" w16cid:durableId="2055502607">
    <w:abstractNumId w:val="14"/>
  </w:num>
  <w:num w:numId="7" w16cid:durableId="90052216">
    <w:abstractNumId w:val="9"/>
  </w:num>
  <w:num w:numId="8" w16cid:durableId="1025450229">
    <w:abstractNumId w:val="7"/>
  </w:num>
  <w:num w:numId="9" w16cid:durableId="317072175">
    <w:abstractNumId w:val="6"/>
  </w:num>
  <w:num w:numId="10" w16cid:durableId="306669117">
    <w:abstractNumId w:val="5"/>
  </w:num>
  <w:num w:numId="11" w16cid:durableId="407852693">
    <w:abstractNumId w:val="4"/>
  </w:num>
  <w:num w:numId="12" w16cid:durableId="332998680">
    <w:abstractNumId w:val="8"/>
  </w:num>
  <w:num w:numId="13" w16cid:durableId="2092266058">
    <w:abstractNumId w:val="3"/>
  </w:num>
  <w:num w:numId="14" w16cid:durableId="808934954">
    <w:abstractNumId w:val="2"/>
  </w:num>
  <w:num w:numId="15" w16cid:durableId="41055642">
    <w:abstractNumId w:val="1"/>
  </w:num>
  <w:num w:numId="16" w16cid:durableId="129479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B4B88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0CF7"/>
    <w:rsid w:val="00A11D05"/>
    <w:rsid w:val="00A13162"/>
    <w:rsid w:val="00A20267"/>
    <w:rsid w:val="00A25173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2F40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R/study-groups/rcpm/Pages/cpm-27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wrc-23/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23-CPM27.1-C-0005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ra-23/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hub/publication/r-act-wrc-16-2024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hub/publication/r-act-wrc-16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B3844-43DA-46EE-B67A-752169DF1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2240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Spanish83</cp:lastModifiedBy>
  <cp:revision>4</cp:revision>
  <cp:lastPrinted>2014-11-04T09:22:00Z</cp:lastPrinted>
  <dcterms:created xsi:type="dcterms:W3CDTF">2024-04-18T12:31:00Z</dcterms:created>
  <dcterms:modified xsi:type="dcterms:W3CDTF">2024-04-18T13:08:00Z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