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7D4B635C" w14:textId="77777777" w:rsidR="00272964" w:rsidRDefault="00272964" w:rsidP="00272964">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502FC532" w:rsidR="005C5A93" w:rsidRPr="00844A56" w:rsidRDefault="00272964" w:rsidP="00272964">
            <w:pPr>
              <w:tabs>
                <w:tab w:val="clear" w:pos="1191"/>
                <w:tab w:val="clear" w:pos="1588"/>
                <w:tab w:val="clear" w:pos="1985"/>
              </w:tabs>
              <w:spacing w:before="100" w:after="120"/>
              <w:ind w:left="34"/>
              <w:rPr>
                <w:rFonts w:ascii="Verdana" w:hAnsi="Verdana"/>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1CC0C457" w:rsidR="00683C32" w:rsidRPr="00997358" w:rsidRDefault="00683C32" w:rsidP="00107E85">
            <w:pPr>
              <w:spacing w:before="0"/>
              <w:rPr>
                <w:b/>
                <w:bCs/>
                <w:sz w:val="20"/>
              </w:rPr>
            </w:pPr>
          </w:p>
        </w:tc>
      </w:tr>
      <w:tr w:rsidR="00614A18" w:rsidRPr="00002716" w14:paraId="0BB3FBC4" w14:textId="77777777" w:rsidTr="0009076F">
        <w:trPr>
          <w:cantSplit/>
        </w:trPr>
        <w:tc>
          <w:tcPr>
            <w:tcW w:w="6379" w:type="dxa"/>
          </w:tcPr>
          <w:p w14:paraId="43C54B3D" w14:textId="77777777" w:rsidR="00614A18" w:rsidRPr="007F1CC7" w:rsidRDefault="00614A18" w:rsidP="00614A18">
            <w:pPr>
              <w:pStyle w:val="Committee"/>
              <w:spacing w:before="0"/>
              <w:rPr>
                <w:b w:val="0"/>
                <w:szCs w:val="24"/>
              </w:rPr>
            </w:pPr>
          </w:p>
        </w:tc>
        <w:tc>
          <w:tcPr>
            <w:tcW w:w="3509" w:type="dxa"/>
          </w:tcPr>
          <w:p w14:paraId="02E44EE9" w14:textId="688501C5" w:rsidR="00614A18" w:rsidRPr="007F1CC7" w:rsidRDefault="00614A18" w:rsidP="00614A18">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4/10-E</w:t>
            </w:r>
          </w:p>
        </w:tc>
      </w:tr>
      <w:tr w:rsidR="00614A18" w14:paraId="24D04936" w14:textId="77777777" w:rsidTr="0009076F">
        <w:trPr>
          <w:cantSplit/>
        </w:trPr>
        <w:tc>
          <w:tcPr>
            <w:tcW w:w="6379" w:type="dxa"/>
          </w:tcPr>
          <w:p w14:paraId="12CE4DBF" w14:textId="77777777" w:rsidR="00614A18" w:rsidRPr="007F1CC7" w:rsidRDefault="00614A18" w:rsidP="00614A18">
            <w:pPr>
              <w:spacing w:before="0"/>
              <w:rPr>
                <w:b/>
                <w:bCs/>
                <w:smallCaps/>
                <w:szCs w:val="24"/>
                <w:lang w:val="en-US"/>
              </w:rPr>
            </w:pPr>
          </w:p>
        </w:tc>
        <w:tc>
          <w:tcPr>
            <w:tcW w:w="3509" w:type="dxa"/>
          </w:tcPr>
          <w:p w14:paraId="0F89640F" w14:textId="726CE243" w:rsidR="00614A18" w:rsidRPr="007F1CC7" w:rsidRDefault="008B3E85" w:rsidP="00614A18">
            <w:pPr>
              <w:spacing w:before="0"/>
              <w:rPr>
                <w:b/>
                <w:szCs w:val="24"/>
              </w:rPr>
            </w:pPr>
            <w:bookmarkStart w:id="2" w:name="CreationDate"/>
            <w:bookmarkEnd w:id="2"/>
            <w:r>
              <w:rPr>
                <w:b/>
                <w:bCs/>
                <w:szCs w:val="28"/>
              </w:rPr>
              <w:t>9</w:t>
            </w:r>
            <w:r w:rsidR="00614A18">
              <w:rPr>
                <w:b/>
                <w:bCs/>
                <w:szCs w:val="28"/>
              </w:rPr>
              <w:t xml:space="preserve"> March 2024</w:t>
            </w:r>
          </w:p>
        </w:tc>
      </w:tr>
      <w:tr w:rsidR="00614A18" w14:paraId="7B96545F" w14:textId="77777777" w:rsidTr="0009076F">
        <w:trPr>
          <w:cantSplit/>
        </w:trPr>
        <w:tc>
          <w:tcPr>
            <w:tcW w:w="6379" w:type="dxa"/>
          </w:tcPr>
          <w:p w14:paraId="65956FD3" w14:textId="77777777" w:rsidR="00614A18" w:rsidRPr="007F1CC7" w:rsidRDefault="00614A18" w:rsidP="00614A18">
            <w:pPr>
              <w:spacing w:before="0"/>
              <w:rPr>
                <w:b/>
                <w:bCs/>
                <w:smallCaps/>
                <w:szCs w:val="24"/>
              </w:rPr>
            </w:pPr>
          </w:p>
        </w:tc>
        <w:tc>
          <w:tcPr>
            <w:tcW w:w="3509" w:type="dxa"/>
          </w:tcPr>
          <w:p w14:paraId="30EFD39F" w14:textId="44AAE7BF" w:rsidR="00614A18" w:rsidRPr="007F1CC7" w:rsidRDefault="00614A18" w:rsidP="00614A18">
            <w:pPr>
              <w:spacing w:before="0"/>
              <w:rPr>
                <w:szCs w:val="24"/>
              </w:rPr>
            </w:pPr>
            <w:r>
              <w:rPr>
                <w:b/>
              </w:rPr>
              <w:t>Original:</w:t>
            </w:r>
            <w:bookmarkStart w:id="3" w:name="Original"/>
            <w:bookmarkEnd w:id="3"/>
            <w:r>
              <w:rPr>
                <w:b/>
              </w:rPr>
              <w:t xml:space="preserve"> English</w:t>
            </w:r>
          </w:p>
        </w:tc>
      </w:tr>
      <w:tr w:rsidR="00A13162" w14:paraId="31656E31" w14:textId="77777777" w:rsidTr="00107E85">
        <w:trPr>
          <w:cantSplit/>
          <w:trHeight w:val="852"/>
        </w:trPr>
        <w:tc>
          <w:tcPr>
            <w:tcW w:w="9888" w:type="dxa"/>
            <w:gridSpan w:val="2"/>
          </w:tcPr>
          <w:p w14:paraId="512FCA01" w14:textId="4D76CA92" w:rsidR="00A13162" w:rsidRPr="0030353C" w:rsidRDefault="009405A4" w:rsidP="0030353C">
            <w:pPr>
              <w:pStyle w:val="Source"/>
            </w:pPr>
            <w:bookmarkStart w:id="4" w:name="Source"/>
            <w:bookmarkEnd w:id="4"/>
            <w:r>
              <w:t>Chair, G</w:t>
            </w:r>
            <w:r w:rsidR="00D36DA2">
              <w:t xml:space="preserve">roup on </w:t>
            </w:r>
            <w:r>
              <w:t>C</w:t>
            </w:r>
            <w:r w:rsidR="00D36DA2">
              <w:t xml:space="preserve">apacity </w:t>
            </w:r>
            <w:r>
              <w:t>B</w:t>
            </w:r>
            <w:r w:rsidR="00D36DA2">
              <w:t xml:space="preserve">uilding </w:t>
            </w:r>
            <w:r>
              <w:t>I</w:t>
            </w:r>
            <w:r w:rsidR="00D36DA2">
              <w:t>nitiatives (GCBI)</w:t>
            </w:r>
          </w:p>
        </w:tc>
      </w:tr>
      <w:tr w:rsidR="00AC6F14" w:rsidRPr="002E6963" w14:paraId="2CBD3A36" w14:textId="77777777" w:rsidTr="00107E85">
        <w:trPr>
          <w:cantSplit/>
        </w:trPr>
        <w:tc>
          <w:tcPr>
            <w:tcW w:w="9888" w:type="dxa"/>
            <w:gridSpan w:val="2"/>
          </w:tcPr>
          <w:p w14:paraId="1B4121DF" w14:textId="4A26679A" w:rsidR="00AC6F14" w:rsidRPr="0030353C" w:rsidRDefault="009405A4" w:rsidP="0030353C">
            <w:pPr>
              <w:pStyle w:val="Title1"/>
            </w:pPr>
            <w:bookmarkStart w:id="5" w:name="Title"/>
            <w:bookmarkEnd w:id="5"/>
            <w:r>
              <w:t>Report on the work of the Group on Capacity Building Initiatives (GCBI)</w:t>
            </w:r>
            <w:r w:rsidR="00D36DA2">
              <w:t xml:space="preserve">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23FC0ED" w14:textId="6F0148D6" w:rsidR="00763C2E" w:rsidRPr="00D9621A" w:rsidRDefault="00763C2E" w:rsidP="00EA0C51">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6A1C541" w14:textId="77777777" w:rsidR="00A721F4" w:rsidRPr="00D9621A" w:rsidRDefault="00A721F4" w:rsidP="00EA0C51">
            <w:pPr>
              <w:spacing w:after="120"/>
              <w:rPr>
                <w:b/>
                <w:bCs/>
                <w:szCs w:val="24"/>
              </w:rPr>
            </w:pPr>
            <w:r w:rsidRPr="005E090D">
              <w:rPr>
                <w:b/>
                <w:bCs/>
              </w:rPr>
              <w:t>Action required:</w:t>
            </w:r>
          </w:p>
          <w:p w14:paraId="7C0958A0" w14:textId="1584E15F" w:rsidR="00763C2E" w:rsidRPr="00D9621A" w:rsidRDefault="00763C2E" w:rsidP="00763C2E">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622ACB80" w14:textId="77777777" w:rsidR="00A721F4" w:rsidRPr="00D9621A" w:rsidRDefault="00A721F4" w:rsidP="00EA0C51">
            <w:pPr>
              <w:spacing w:after="120"/>
              <w:rPr>
                <w:b/>
                <w:bCs/>
                <w:szCs w:val="24"/>
              </w:rPr>
            </w:pPr>
            <w:r w:rsidRPr="00D9621A">
              <w:rPr>
                <w:b/>
                <w:bCs/>
                <w:szCs w:val="24"/>
              </w:rPr>
              <w:t>References:</w:t>
            </w:r>
          </w:p>
          <w:p w14:paraId="51A4D6EA" w14:textId="609BA901" w:rsidR="00763C2E" w:rsidRDefault="00763C2E" w:rsidP="00763C2E">
            <w:pPr>
              <w:spacing w:after="120"/>
            </w:pPr>
            <w:r>
              <w:t>WTDC Resolution 40 (Rev. Kigali, 2022), on the Group on Capacity Building Initiatives</w:t>
            </w:r>
          </w:p>
          <w:p w14:paraId="1ECDD20E" w14:textId="38410079" w:rsidR="00763C2E" w:rsidRPr="00D9621A" w:rsidRDefault="00763C2E" w:rsidP="00763C2E">
            <w:pPr>
              <w:spacing w:after="120"/>
            </w:pPr>
            <w:r>
              <w:t xml:space="preserve">WTDC Resolution 73 (Rev. </w:t>
            </w:r>
            <w:r w:rsidR="00157860">
              <w:t>Kigali</w:t>
            </w:r>
            <w:r>
              <w:t xml:space="preserve">, 2022), on ITU Academy Training Centres </w:t>
            </w:r>
          </w:p>
        </w:tc>
      </w:tr>
    </w:tbl>
    <w:p w14:paraId="77CF718B" w14:textId="77777777" w:rsidR="00AC6F14" w:rsidRDefault="00AC6F14" w:rsidP="00EA0C51">
      <w:pPr>
        <w:spacing w:after="120"/>
      </w:pPr>
    </w:p>
    <w:p w14:paraId="4DD4B2D1" w14:textId="75BB311E" w:rsidR="00044A5B" w:rsidRDefault="00F24A80" w:rsidP="00A22C2B">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br w:type="column"/>
      </w:r>
      <w:r w:rsidR="000E675A">
        <w:lastRenderedPageBreak/>
        <w:t>The Group on Capacity Building Initiatives (GCBI) was established pursuant to Resolution 40 which was adopted by the World Telecommunication Development Conference 2010 (WTDC-10), and revised at WTDC-</w:t>
      </w:r>
      <w:r>
        <w:t>22</w:t>
      </w:r>
      <w:r w:rsidR="000E675A">
        <w:t>, to advise the Director of the Telecommunication Development Bureau (BDT) on matters related to capacity building.</w:t>
      </w:r>
    </w:p>
    <w:p w14:paraId="437688DC" w14:textId="548D5A79" w:rsidR="00044A5B" w:rsidRPr="00032E86" w:rsidRDefault="00044A5B" w:rsidP="00A22C2B">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before="240"/>
        <w:textAlignment w:val="auto"/>
        <w:rPr>
          <w:b/>
          <w:bCs/>
        </w:rPr>
      </w:pPr>
      <w:r w:rsidRPr="00032E86">
        <w:rPr>
          <w:b/>
          <w:bCs/>
        </w:rPr>
        <w:t>Updates on membership of the GCBI</w:t>
      </w:r>
    </w:p>
    <w:p w14:paraId="356D3617" w14:textId="58E0FE9B" w:rsidR="00044A5B" w:rsidRDefault="00044A5B" w:rsidP="00A22C2B">
      <w:pPr>
        <w:tabs>
          <w:tab w:val="clear" w:pos="794"/>
          <w:tab w:val="clear" w:pos="1191"/>
          <w:tab w:val="clear" w:pos="1588"/>
          <w:tab w:val="clear" w:pos="1985"/>
          <w:tab w:val="left" w:pos="567"/>
          <w:tab w:val="left" w:pos="1134"/>
          <w:tab w:val="left" w:pos="1701"/>
          <w:tab w:val="left" w:pos="2268"/>
        </w:tabs>
      </w:pPr>
      <w:r>
        <w:t xml:space="preserve">According to the GCBI terms of reference, and in line with WTDC cycles, GCBI members shall serve for one term (one four-year period) and can serve for another term, after which they may no longer be eligible for appointment. </w:t>
      </w:r>
    </w:p>
    <w:p w14:paraId="39C0E5D9" w14:textId="77777777" w:rsidR="00044A5B" w:rsidRDefault="00044A5B" w:rsidP="00A22C2B">
      <w:pPr>
        <w:tabs>
          <w:tab w:val="clear" w:pos="794"/>
          <w:tab w:val="clear" w:pos="1191"/>
          <w:tab w:val="clear" w:pos="1588"/>
          <w:tab w:val="clear" w:pos="1985"/>
          <w:tab w:val="left" w:pos="567"/>
          <w:tab w:val="left" w:pos="1134"/>
          <w:tab w:val="left" w:pos="1701"/>
          <w:tab w:val="left" w:pos="2268"/>
        </w:tabs>
      </w:pPr>
      <w:r>
        <w:t xml:space="preserve">The current four-year cycle ended in 2022. Therefore, the ITU secretariat launched a call for nominations for GCBI membership in early 2023. Regional telecommunication organisations were invited to coordinate the selection of candidates from their region and propose two names to the Director, BDT, as stipulated in Resolution 40.  </w:t>
      </w:r>
    </w:p>
    <w:p w14:paraId="383E9956" w14:textId="04F66AA9" w:rsidR="00044A5B" w:rsidRDefault="00044A5B" w:rsidP="00A22C2B">
      <w:pPr>
        <w:tabs>
          <w:tab w:val="clear" w:pos="794"/>
          <w:tab w:val="clear" w:pos="1191"/>
          <w:tab w:val="clear" w:pos="1588"/>
          <w:tab w:val="clear" w:pos="1985"/>
          <w:tab w:val="left" w:pos="567"/>
          <w:tab w:val="left" w:pos="1134"/>
          <w:tab w:val="left" w:pos="1701"/>
          <w:tab w:val="left" w:pos="2268"/>
        </w:tabs>
      </w:pPr>
      <w:r>
        <w:t xml:space="preserve">The final list of GCBI members for the cycle 2023-2026 is provided in Annex 1. </w:t>
      </w:r>
      <w:r w:rsidR="00552923">
        <w:t xml:space="preserve">Mr </w:t>
      </w:r>
      <w:r w:rsidR="008C1F9A">
        <w:t xml:space="preserve">Mustapha </w:t>
      </w:r>
      <w:proofErr w:type="spellStart"/>
      <w:r w:rsidR="008C1F9A">
        <w:t>Benjillali</w:t>
      </w:r>
      <w:proofErr w:type="spellEnd"/>
      <w:r w:rsidR="008C1F9A">
        <w:t xml:space="preserve"> from the Arab region was appointed as the </w:t>
      </w:r>
      <w:r w:rsidR="00552923">
        <w:t>C</w:t>
      </w:r>
      <w:r w:rsidR="008C1F9A">
        <w:t>hair of the group for this cycle and Ms Tessie P Leva</w:t>
      </w:r>
      <w:r w:rsidR="00276AFD">
        <w:t xml:space="preserve"> from the Asia-Pacific region</w:t>
      </w:r>
      <w:r w:rsidR="008C1F9A">
        <w:t xml:space="preserve"> was appointed as the </w:t>
      </w:r>
      <w:r w:rsidR="00552923">
        <w:t>V</w:t>
      </w:r>
      <w:r w:rsidR="008C1F9A">
        <w:t xml:space="preserve">ice </w:t>
      </w:r>
      <w:r w:rsidR="00552923">
        <w:t>C</w:t>
      </w:r>
      <w:r w:rsidR="008C1F9A">
        <w:t xml:space="preserve">hair. </w:t>
      </w:r>
    </w:p>
    <w:p w14:paraId="31C81256" w14:textId="2C38394C" w:rsidR="000E675A" w:rsidRPr="000E675A" w:rsidRDefault="000E675A" w:rsidP="00A22C2B">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before="240"/>
        <w:textAlignment w:val="auto"/>
        <w:rPr>
          <w:b/>
          <w:bCs/>
        </w:rPr>
      </w:pPr>
      <w:r w:rsidRPr="000E675A">
        <w:rPr>
          <w:b/>
          <w:bCs/>
        </w:rPr>
        <w:t xml:space="preserve">Report on </w:t>
      </w:r>
      <w:r w:rsidR="000A5341" w:rsidRPr="000E675A">
        <w:rPr>
          <w:b/>
          <w:bCs/>
        </w:rPr>
        <w:t>the GCBI</w:t>
      </w:r>
      <w:r w:rsidRPr="000E675A">
        <w:rPr>
          <w:b/>
          <w:bCs/>
        </w:rPr>
        <w:t xml:space="preserve"> </w:t>
      </w:r>
      <w:r w:rsidR="00552923">
        <w:rPr>
          <w:b/>
          <w:bCs/>
        </w:rPr>
        <w:t xml:space="preserve">cycle kick-off </w:t>
      </w:r>
      <w:r w:rsidRPr="000E675A">
        <w:rPr>
          <w:b/>
          <w:bCs/>
        </w:rPr>
        <w:t>meeting (</w:t>
      </w:r>
      <w:r w:rsidR="00382796">
        <w:rPr>
          <w:b/>
          <w:bCs/>
        </w:rPr>
        <w:t>2</w:t>
      </w:r>
      <w:r w:rsidR="00205325">
        <w:rPr>
          <w:b/>
          <w:bCs/>
        </w:rPr>
        <w:t>9</w:t>
      </w:r>
      <w:r w:rsidR="00382796">
        <w:rPr>
          <w:b/>
          <w:bCs/>
        </w:rPr>
        <w:t xml:space="preserve"> November</w:t>
      </w:r>
      <w:r w:rsidRPr="000E675A">
        <w:rPr>
          <w:b/>
          <w:bCs/>
        </w:rPr>
        <w:t xml:space="preserve"> 202</w:t>
      </w:r>
      <w:r w:rsidR="00382796">
        <w:rPr>
          <w:b/>
          <w:bCs/>
        </w:rPr>
        <w:t>3</w:t>
      </w:r>
      <w:r w:rsidRPr="000E675A">
        <w:rPr>
          <w:b/>
          <w:bCs/>
        </w:rPr>
        <w:t>)</w:t>
      </w:r>
    </w:p>
    <w:p w14:paraId="7881A35C" w14:textId="0238B258" w:rsidR="00CB0D09" w:rsidRDefault="000E675A" w:rsidP="00A22C2B">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t xml:space="preserve">The GCBI held its </w:t>
      </w:r>
      <w:r w:rsidR="00552923">
        <w:t>first kick-off</w:t>
      </w:r>
      <w:r w:rsidR="000A5341">
        <w:t xml:space="preserve"> </w:t>
      </w:r>
      <w:r>
        <w:t xml:space="preserve">meeting </w:t>
      </w:r>
      <w:r w:rsidR="00552923">
        <w:t xml:space="preserve">of the new cycle </w:t>
      </w:r>
      <w:r w:rsidR="007D2E9B">
        <w:t xml:space="preserve">- </w:t>
      </w:r>
      <w:r w:rsidR="00382796">
        <w:t xml:space="preserve">virtually </w:t>
      </w:r>
      <w:r w:rsidR="007D2E9B">
        <w:t xml:space="preserve">- </w:t>
      </w:r>
      <w:r>
        <w:t xml:space="preserve">on </w:t>
      </w:r>
      <w:r w:rsidR="00382796">
        <w:t>2</w:t>
      </w:r>
      <w:r w:rsidR="00205325">
        <w:t>9</w:t>
      </w:r>
      <w:r w:rsidR="00382796">
        <w:t xml:space="preserve"> November</w:t>
      </w:r>
      <w:r>
        <w:t xml:space="preserve"> 202</w:t>
      </w:r>
      <w:r w:rsidR="00382796">
        <w:t>3</w:t>
      </w:r>
      <w:r>
        <w:t xml:space="preserve">. </w:t>
      </w:r>
      <w:r w:rsidR="00F24A80">
        <w:t xml:space="preserve">Eleven (out of twelve) </w:t>
      </w:r>
      <w:r w:rsidRPr="00F24A80">
        <w:t>GCBI</w:t>
      </w:r>
      <w:r>
        <w:t xml:space="preserve"> members attended</w:t>
      </w:r>
      <w:r w:rsidR="00F24A80">
        <w:t xml:space="preserve"> the </w:t>
      </w:r>
      <w:r w:rsidR="00382796">
        <w:t>meeting</w:t>
      </w:r>
      <w:r>
        <w:t xml:space="preserve">. </w:t>
      </w:r>
    </w:p>
    <w:p w14:paraId="0DCF665D" w14:textId="59612A28" w:rsidR="00E25704" w:rsidRDefault="00032E86" w:rsidP="00D54E07">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t xml:space="preserve">The group discussed the work of GCBI </w:t>
      </w:r>
      <w:r w:rsidR="00205325">
        <w:t>and</w:t>
      </w:r>
      <w:r>
        <w:t xml:space="preserve"> reviewed the main ITU-D capacity development activities implemented</w:t>
      </w:r>
      <w:r w:rsidR="00205325">
        <w:t xml:space="preserve"> since its last meeting</w:t>
      </w:r>
      <w:r>
        <w:t>. GCBI members were briefed about</w:t>
      </w:r>
      <w:r w:rsidR="00205325">
        <w:t xml:space="preserve"> the </w:t>
      </w:r>
      <w:r w:rsidR="00205325" w:rsidRPr="00E25704">
        <w:rPr>
          <w:szCs w:val="24"/>
        </w:rPr>
        <w:t xml:space="preserve">progress made in harmonizing capacity development work across the ITU. </w:t>
      </w:r>
      <w:r w:rsidR="00DA3686" w:rsidRPr="00DA3686">
        <w:t xml:space="preserve">Members were </w:t>
      </w:r>
      <w:r w:rsidR="00DA3686">
        <w:t xml:space="preserve">also </w:t>
      </w:r>
      <w:r w:rsidR="00DA3686" w:rsidRPr="00DA3686">
        <w:t xml:space="preserve">briefed about the </w:t>
      </w:r>
      <w:r w:rsidR="00205325">
        <w:t>growth of the ITU Academy</w:t>
      </w:r>
      <w:r w:rsidR="007D2E9B">
        <w:t>,</w:t>
      </w:r>
      <w:r w:rsidR="00205325">
        <w:t xml:space="preserve"> which has now reached over 4</w:t>
      </w:r>
      <w:r w:rsidR="007D2E9B">
        <w:t>0</w:t>
      </w:r>
      <w:r w:rsidR="00205325">
        <w:t>,000 users. In relation to the implementation of Resolution 73, the group was briefed about the launch of the ITU Academy Training Centres (ATC)</w:t>
      </w:r>
      <w:r w:rsidR="00E25704">
        <w:t xml:space="preserve"> programme, with 1</w:t>
      </w:r>
      <w:r w:rsidR="007D2E9B">
        <w:t>3</w:t>
      </w:r>
      <w:r w:rsidR="00E25704">
        <w:t xml:space="preserve"> Centres selected across the world to deliver training under this </w:t>
      </w:r>
      <w:r w:rsidR="005A65F6">
        <w:t>programme and</w:t>
      </w:r>
      <w:r w:rsidR="00E25704">
        <w:t xml:space="preserve"> having commenced training delivery in 202</w:t>
      </w:r>
      <w:r w:rsidR="00A4026E">
        <w:t>3</w:t>
      </w:r>
      <w:r w:rsidR="00E25704">
        <w:t xml:space="preserve">. An update was also provided on the work of the </w:t>
      </w:r>
      <w:r w:rsidR="00DA3686" w:rsidRPr="00DA3686">
        <w:t>Digital Transformation Centres</w:t>
      </w:r>
      <w:r w:rsidR="00DA3686">
        <w:t xml:space="preserve"> (DTC)</w:t>
      </w:r>
      <w:r w:rsidR="00DA3686" w:rsidRPr="00DA3686">
        <w:t xml:space="preserve"> initiative</w:t>
      </w:r>
      <w:r w:rsidR="007D2E9B">
        <w:t>,</w:t>
      </w:r>
      <w:r w:rsidR="00DA3686" w:rsidRPr="00DA3686">
        <w:t xml:space="preserve"> which</w:t>
      </w:r>
      <w:r w:rsidR="00E25704">
        <w:t xml:space="preserve"> </w:t>
      </w:r>
      <w:r w:rsidR="00E25704" w:rsidRPr="00E25704">
        <w:rPr>
          <w:szCs w:val="24"/>
        </w:rPr>
        <w:t>continued to achieve notable results since its establishment in 2019 with over 250,000 individuals trained and equipped with basic and intermediate digital skills</w:t>
      </w:r>
      <w:r w:rsidR="00E25704">
        <w:rPr>
          <w:szCs w:val="24"/>
        </w:rPr>
        <w:t>.</w:t>
      </w:r>
    </w:p>
    <w:p w14:paraId="50606E7D" w14:textId="02DF60E3" w:rsidR="00E25704" w:rsidRPr="00E25704" w:rsidRDefault="00E25704" w:rsidP="66DE553B">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t>The Group discussed a proposal document</w:t>
      </w:r>
      <w:r w:rsidR="00552923">
        <w:t xml:space="preserve"> outlining the possible work of the group during this </w:t>
      </w:r>
      <w:r w:rsidR="007D2E9B">
        <w:t>cycle and</w:t>
      </w:r>
      <w:r w:rsidR="00552923">
        <w:t xml:space="preserve"> </w:t>
      </w:r>
      <w:proofErr w:type="gramStart"/>
      <w:r w:rsidR="00552923">
        <w:t>making reference</w:t>
      </w:r>
      <w:proofErr w:type="gramEnd"/>
      <w:r w:rsidR="00552923">
        <w:t xml:space="preserve"> to the </w:t>
      </w:r>
      <w:r>
        <w:t>Kigali Action Plan</w:t>
      </w:r>
      <w:r w:rsidR="202716DE">
        <w:t xml:space="preserve"> (KAP)</w:t>
      </w:r>
      <w:r>
        <w:t>. The document proposed two directions for the work of the group: focusing on the effectiveness of the ongoing ITU capacity development initiatives and program</w:t>
      </w:r>
      <w:r w:rsidR="00552923">
        <w:t>me</w:t>
      </w:r>
      <w:r>
        <w:t>s; and mobilization of resources and partnerships to support capacity development initiatives and program</w:t>
      </w:r>
      <w:r w:rsidR="007D2E9B">
        <w:t>me</w:t>
      </w:r>
      <w:r>
        <w:t>s.</w:t>
      </w:r>
    </w:p>
    <w:p w14:paraId="3690544B" w14:textId="7E4B2A79" w:rsidR="00DA3686" w:rsidRPr="00E25704" w:rsidRDefault="00E25704" w:rsidP="00A22C2B">
      <w:pPr>
        <w:keepNext/>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lang w:val="en-US"/>
        </w:rPr>
      </w:pPr>
      <w:r>
        <w:t>The Group</w:t>
      </w:r>
      <w:r w:rsidR="00DA3686" w:rsidRPr="00E25704">
        <w:rPr>
          <w:lang w:val="en-US"/>
        </w:rPr>
        <w:t xml:space="preserve"> adopted the following key outcomes of the meeting: </w:t>
      </w:r>
    </w:p>
    <w:p w14:paraId="7CB11490" w14:textId="5C1E21EB" w:rsidR="00900F4C"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900F4C">
        <w:rPr>
          <w:szCs w:val="24"/>
        </w:rPr>
        <w:t xml:space="preserve">Collective effort is necessary to achieve the goals of the ITU Kigali Action Plan related to capacity and skills development. Structures like the GCBI, where representatives from different regions meet, provide a framework under which this collective effort can be </w:t>
      </w:r>
      <w:r w:rsidR="007D2E9B" w:rsidRPr="00900F4C">
        <w:rPr>
          <w:szCs w:val="24"/>
        </w:rPr>
        <w:t>realized</w:t>
      </w:r>
      <w:r w:rsidRPr="00900F4C">
        <w:rPr>
          <w:szCs w:val="24"/>
        </w:rPr>
        <w:t xml:space="preserve">. </w:t>
      </w:r>
    </w:p>
    <w:p w14:paraId="6DCD779B" w14:textId="306EC8C8" w:rsidR="00900F4C" w:rsidRPr="00900F4C"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900F4C">
        <w:rPr>
          <w:szCs w:val="24"/>
        </w:rPr>
        <w:t>The strategic direction of the GCBI for this cycle should focus on two main directions:</w:t>
      </w:r>
    </w:p>
    <w:p w14:paraId="7E726AF1" w14:textId="7C60E8F0" w:rsidR="00900F4C" w:rsidRDefault="00900F4C" w:rsidP="00A22C2B">
      <w:pPr>
        <w:pStyle w:val="ListParagraph"/>
        <w:numPr>
          <w:ilvl w:val="0"/>
          <w:numId w:val="7"/>
        </w:numPr>
        <w:pBdr>
          <w:top w:val="nil"/>
          <w:left w:val="nil"/>
          <w:bottom w:val="nil"/>
          <w:right w:val="nil"/>
          <w:between w:val="nil"/>
          <w:bar w:val="nil"/>
        </w:pBdr>
        <w:tabs>
          <w:tab w:val="clear" w:pos="1871"/>
          <w:tab w:val="left" w:pos="567"/>
          <w:tab w:val="left" w:pos="1701"/>
        </w:tabs>
        <w:overflowPunct/>
        <w:autoSpaceDE/>
        <w:autoSpaceDN/>
        <w:adjustRightInd/>
        <w:contextualSpacing w:val="0"/>
        <w:textAlignment w:val="auto"/>
        <w:rPr>
          <w:szCs w:val="24"/>
        </w:rPr>
      </w:pPr>
      <w:r>
        <w:rPr>
          <w:szCs w:val="24"/>
        </w:rPr>
        <w:t xml:space="preserve">Enhancing the effectiveness of existing capacity development initiatives under the BDT through </w:t>
      </w:r>
      <w:r w:rsidR="00755EEB">
        <w:rPr>
          <w:szCs w:val="24"/>
        </w:rPr>
        <w:t xml:space="preserve">supporting the work of the bureau as it optimises </w:t>
      </w:r>
      <w:r>
        <w:rPr>
          <w:szCs w:val="24"/>
        </w:rPr>
        <w:t xml:space="preserve">processes, workflows, and resource utilization </w:t>
      </w:r>
      <w:r w:rsidR="00755EEB">
        <w:rPr>
          <w:szCs w:val="24"/>
        </w:rPr>
        <w:t xml:space="preserve">as well as provide regional perspectives and advise on needs </w:t>
      </w:r>
      <w:r w:rsidR="00755EEB">
        <w:rPr>
          <w:szCs w:val="24"/>
        </w:rPr>
        <w:lastRenderedPageBreak/>
        <w:t>assessment,</w:t>
      </w:r>
      <w:r>
        <w:rPr>
          <w:szCs w:val="24"/>
        </w:rPr>
        <w:t xml:space="preserve"> identification of beneficiaries,</w:t>
      </w:r>
      <w:r w:rsidR="00755EEB">
        <w:rPr>
          <w:szCs w:val="24"/>
        </w:rPr>
        <w:t xml:space="preserve"> evaluation of capacity development and impact measurement. </w:t>
      </w:r>
    </w:p>
    <w:p w14:paraId="067DA6A6" w14:textId="6623BFB1" w:rsidR="00900F4C" w:rsidRDefault="00900F4C" w:rsidP="00A22C2B">
      <w:pPr>
        <w:pStyle w:val="ListParagraph"/>
        <w:numPr>
          <w:ilvl w:val="0"/>
          <w:numId w:val="7"/>
        </w:numPr>
        <w:pBdr>
          <w:top w:val="nil"/>
          <w:left w:val="nil"/>
          <w:bottom w:val="nil"/>
          <w:right w:val="nil"/>
          <w:between w:val="nil"/>
          <w:bar w:val="nil"/>
        </w:pBdr>
        <w:tabs>
          <w:tab w:val="clear" w:pos="1871"/>
          <w:tab w:val="left" w:pos="567"/>
          <w:tab w:val="left" w:pos="1701"/>
        </w:tabs>
        <w:overflowPunct/>
        <w:autoSpaceDE/>
        <w:autoSpaceDN/>
        <w:adjustRightInd/>
        <w:contextualSpacing w:val="0"/>
        <w:textAlignment w:val="auto"/>
        <w:rPr>
          <w:szCs w:val="24"/>
        </w:rPr>
      </w:pPr>
      <w:r>
        <w:rPr>
          <w:szCs w:val="24"/>
        </w:rPr>
        <w:t>Scaling successful initiatives</w:t>
      </w:r>
      <w:r w:rsidR="007D2E9B">
        <w:rPr>
          <w:szCs w:val="24"/>
        </w:rPr>
        <w:t>,</w:t>
      </w:r>
      <w:r>
        <w:rPr>
          <w:szCs w:val="24"/>
        </w:rPr>
        <w:t xml:space="preserve"> programmes and partnerships through targeting and strengthening cross-sectoral collaborations and partnerships from various </w:t>
      </w:r>
      <w:r w:rsidR="000A5341">
        <w:rPr>
          <w:szCs w:val="24"/>
        </w:rPr>
        <w:t>sectors and</w:t>
      </w:r>
      <w:r>
        <w:rPr>
          <w:szCs w:val="24"/>
        </w:rPr>
        <w:t xml:space="preserve"> amplifying the impact of initiatives.</w:t>
      </w:r>
    </w:p>
    <w:p w14:paraId="4DE4186A" w14:textId="0CCB6926" w:rsidR="00900F4C" w:rsidRPr="005B349F"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5B349F">
        <w:rPr>
          <w:szCs w:val="24"/>
        </w:rPr>
        <w:t xml:space="preserve">The needs of target beneficiaries should always be prioritized in decision making and the Group should </w:t>
      </w:r>
      <w:proofErr w:type="gramStart"/>
      <w:r w:rsidRPr="005B349F">
        <w:rPr>
          <w:szCs w:val="24"/>
        </w:rPr>
        <w:t>look into</w:t>
      </w:r>
      <w:proofErr w:type="gramEnd"/>
      <w:r w:rsidRPr="005B349F">
        <w:rPr>
          <w:szCs w:val="24"/>
        </w:rPr>
        <w:t xml:space="preserve"> whether the proposed objectives of the </w:t>
      </w:r>
      <w:r w:rsidR="007D2E9B" w:rsidRPr="005B349F">
        <w:rPr>
          <w:szCs w:val="24"/>
        </w:rPr>
        <w:t>G</w:t>
      </w:r>
      <w:r w:rsidRPr="005B349F">
        <w:rPr>
          <w:szCs w:val="24"/>
        </w:rPr>
        <w:t>roup are measurable and can be implemented with</w:t>
      </w:r>
      <w:r w:rsidR="007D2E9B" w:rsidRPr="005B349F">
        <w:rPr>
          <w:szCs w:val="24"/>
        </w:rPr>
        <w:t>in</w:t>
      </w:r>
      <w:r w:rsidRPr="005B349F">
        <w:rPr>
          <w:szCs w:val="24"/>
        </w:rPr>
        <w:t xml:space="preserve"> the current capacity.  The </w:t>
      </w:r>
      <w:r w:rsidR="007D2E9B" w:rsidRPr="005B349F">
        <w:rPr>
          <w:szCs w:val="24"/>
        </w:rPr>
        <w:t>G</w:t>
      </w:r>
      <w:r w:rsidRPr="005B349F">
        <w:rPr>
          <w:szCs w:val="24"/>
        </w:rPr>
        <w:t xml:space="preserve">roup should also plan how the objectives will be monitored and measured. </w:t>
      </w:r>
    </w:p>
    <w:p w14:paraId="2F04C336" w14:textId="3F2A6330" w:rsidR="00900F4C" w:rsidRPr="005B349F"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5B349F">
        <w:rPr>
          <w:szCs w:val="24"/>
        </w:rPr>
        <w:t>Good capacity development solutions should be crowd sourced and strategies to leverage these and scale them should be put in place</w:t>
      </w:r>
      <w:r w:rsidR="00B9667D" w:rsidRPr="005B349F">
        <w:rPr>
          <w:szCs w:val="24"/>
        </w:rPr>
        <w:t xml:space="preserve"> by countries</w:t>
      </w:r>
      <w:r w:rsidRPr="005B349F">
        <w:rPr>
          <w:szCs w:val="24"/>
        </w:rPr>
        <w:t xml:space="preserve">.  </w:t>
      </w:r>
    </w:p>
    <w:p w14:paraId="50B5CD1D" w14:textId="49F16CFB" w:rsidR="00900F4C" w:rsidRPr="005B349F"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5B349F">
        <w:rPr>
          <w:szCs w:val="24"/>
        </w:rPr>
        <w:t xml:space="preserve">On work modalities, the meeting agreed to operate on the above-mentioned strategic direction together and not in subgroups as </w:t>
      </w:r>
      <w:r w:rsidR="007D2E9B" w:rsidRPr="005B349F">
        <w:rPr>
          <w:szCs w:val="24"/>
        </w:rPr>
        <w:t xml:space="preserve">originally </w:t>
      </w:r>
      <w:r w:rsidRPr="005B349F">
        <w:rPr>
          <w:szCs w:val="24"/>
        </w:rPr>
        <w:t xml:space="preserve">proposed. The focus will be on the subjects “effectiveness of ongoing initiatives” and “partnerships and resource mobilisation.” </w:t>
      </w:r>
    </w:p>
    <w:p w14:paraId="5415C077" w14:textId="5CD979C8" w:rsidR="005A65F6" w:rsidRPr="00D813D4" w:rsidRDefault="00900F4C"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D813D4">
        <w:rPr>
          <w:szCs w:val="24"/>
        </w:rPr>
        <w:t>The</w:t>
      </w:r>
      <w:r w:rsidR="005A65F6" w:rsidRPr="00D813D4">
        <w:rPr>
          <w:szCs w:val="24"/>
        </w:rPr>
        <w:t xml:space="preserve">re </w:t>
      </w:r>
      <w:r w:rsidRPr="00D813D4">
        <w:rPr>
          <w:szCs w:val="24"/>
        </w:rPr>
        <w:t>is</w:t>
      </w:r>
      <w:r w:rsidR="005A65F6" w:rsidRPr="00D813D4">
        <w:rPr>
          <w:szCs w:val="24"/>
        </w:rPr>
        <w:t xml:space="preserve"> a</w:t>
      </w:r>
      <w:r w:rsidRPr="00D813D4">
        <w:rPr>
          <w:szCs w:val="24"/>
        </w:rPr>
        <w:t xml:space="preserve"> need to share the activities of the GCBI with stakeholders at regional events and the GCBI should be informed of</w:t>
      </w:r>
      <w:r w:rsidR="005A65F6" w:rsidRPr="00D813D4">
        <w:rPr>
          <w:szCs w:val="24"/>
        </w:rPr>
        <w:t xml:space="preserve"> ITU</w:t>
      </w:r>
      <w:r w:rsidRPr="00D813D4">
        <w:rPr>
          <w:szCs w:val="24"/>
        </w:rPr>
        <w:t xml:space="preserve"> regional initiatives and how </w:t>
      </w:r>
      <w:r w:rsidR="00B9667D" w:rsidRPr="00D813D4">
        <w:rPr>
          <w:szCs w:val="24"/>
        </w:rPr>
        <w:t xml:space="preserve">GCBI members </w:t>
      </w:r>
      <w:r w:rsidRPr="00D813D4">
        <w:rPr>
          <w:szCs w:val="24"/>
        </w:rPr>
        <w:t>can be involved in the work of regional activities of the ITU.</w:t>
      </w:r>
    </w:p>
    <w:p w14:paraId="0B93788D" w14:textId="356E8B05" w:rsidR="00073E42" w:rsidRPr="00A22C2B" w:rsidRDefault="00073E42" w:rsidP="00A22C2B">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ind w:left="567" w:hanging="567"/>
        <w:contextualSpacing w:val="0"/>
        <w:textAlignment w:val="auto"/>
        <w:rPr>
          <w:szCs w:val="24"/>
        </w:rPr>
      </w:pPr>
      <w:r w:rsidRPr="00A22C2B">
        <w:rPr>
          <w:szCs w:val="24"/>
        </w:rPr>
        <w:t xml:space="preserve">The full report of the meeting is available </w:t>
      </w:r>
      <w:hyperlink r:id="rId12" w:history="1">
        <w:r w:rsidR="005A65F6" w:rsidRPr="00A22C2B">
          <w:rPr>
            <w:szCs w:val="24"/>
          </w:rPr>
          <w:t>here</w:t>
        </w:r>
      </w:hyperlink>
      <w:r w:rsidR="005A65F6" w:rsidRPr="00A22C2B">
        <w:rPr>
          <w:szCs w:val="24"/>
        </w:rPr>
        <w:t>.</w:t>
      </w:r>
    </w:p>
    <w:p w14:paraId="301EA4EF" w14:textId="5AB54A68" w:rsidR="000E12C1" w:rsidRDefault="000E675A" w:rsidP="00A22C2B">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before="240"/>
        <w:textAlignment w:val="auto"/>
        <w:rPr>
          <w:b/>
          <w:bCs/>
        </w:rPr>
      </w:pPr>
      <w:r w:rsidRPr="000E675A">
        <w:rPr>
          <w:b/>
          <w:bCs/>
        </w:rPr>
        <w:t xml:space="preserve">Report on the GCBI meeting </w:t>
      </w:r>
      <w:r w:rsidR="00B9667D">
        <w:rPr>
          <w:b/>
          <w:bCs/>
        </w:rPr>
        <w:t xml:space="preserve">held on </w:t>
      </w:r>
      <w:r w:rsidR="005A65F6">
        <w:rPr>
          <w:b/>
          <w:bCs/>
        </w:rPr>
        <w:t>16-18 April 2024</w:t>
      </w:r>
    </w:p>
    <w:p w14:paraId="2274BFDE" w14:textId="109AC231" w:rsidR="000E675A" w:rsidRDefault="000E675A" w:rsidP="00A22C2B">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t xml:space="preserve">The GCBI held its </w:t>
      </w:r>
      <w:r w:rsidR="00B9667D">
        <w:t xml:space="preserve">annual </w:t>
      </w:r>
      <w:r>
        <w:t xml:space="preserve">meeting on </w:t>
      </w:r>
      <w:r w:rsidR="005A65F6">
        <w:t>16-18 April</w:t>
      </w:r>
      <w:r>
        <w:t xml:space="preserve"> 202</w:t>
      </w:r>
      <w:r w:rsidR="005A65F6">
        <w:t>4</w:t>
      </w:r>
      <w:r>
        <w:t xml:space="preserve">. </w:t>
      </w:r>
      <w:r w:rsidR="005A65F6">
        <w:t xml:space="preserve">The meeting was held in Geneva, Switzerland. </w:t>
      </w:r>
    </w:p>
    <w:p w14:paraId="4A8E2349" w14:textId="263D90A3" w:rsidR="00B9667D" w:rsidRDefault="00B9667D" w:rsidP="00A22C2B">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p>
    <w:p w14:paraId="37AB6F2D" w14:textId="77777777" w:rsidR="005A65F6" w:rsidRDefault="005A65F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02C02B" w14:textId="1A1BCD9B" w:rsidR="006004C5" w:rsidRPr="006004C5" w:rsidRDefault="006004C5" w:rsidP="00EA2271">
      <w:pPr>
        <w:keepNext/>
        <w:tabs>
          <w:tab w:val="clear" w:pos="794"/>
          <w:tab w:val="clear" w:pos="1191"/>
          <w:tab w:val="clear" w:pos="1588"/>
          <w:tab w:val="clear" w:pos="1985"/>
        </w:tabs>
        <w:overflowPunct/>
        <w:autoSpaceDE/>
        <w:autoSpaceDN/>
        <w:adjustRightInd/>
        <w:spacing w:after="120"/>
        <w:jc w:val="center"/>
        <w:textAlignment w:val="auto"/>
        <w:rPr>
          <w:b/>
          <w:bCs/>
        </w:rPr>
      </w:pPr>
      <w:r w:rsidRPr="006004C5">
        <w:rPr>
          <w:b/>
          <w:bCs/>
        </w:rPr>
        <w:lastRenderedPageBreak/>
        <w:t>Annex 1</w:t>
      </w:r>
    </w:p>
    <w:p w14:paraId="129D9B82" w14:textId="3572AD80" w:rsidR="006004C5" w:rsidRPr="006004C5" w:rsidRDefault="006004C5" w:rsidP="00EA2271">
      <w:pPr>
        <w:keepNext/>
        <w:tabs>
          <w:tab w:val="clear" w:pos="794"/>
          <w:tab w:val="clear" w:pos="1191"/>
          <w:tab w:val="clear" w:pos="1588"/>
          <w:tab w:val="clear" w:pos="1985"/>
        </w:tabs>
        <w:overflowPunct/>
        <w:autoSpaceDE/>
        <w:autoSpaceDN/>
        <w:adjustRightInd/>
        <w:spacing w:after="120"/>
        <w:jc w:val="center"/>
        <w:textAlignment w:val="auto"/>
        <w:rPr>
          <w:b/>
          <w:bCs/>
        </w:rPr>
      </w:pPr>
      <w:r w:rsidRPr="006004C5">
        <w:rPr>
          <w:b/>
          <w:bCs/>
        </w:rPr>
        <w:t>List of GCBI members, 2023- 2026</w:t>
      </w:r>
    </w:p>
    <w:tbl>
      <w:tblPr>
        <w:tblStyle w:val="TableGrid"/>
        <w:tblW w:w="5000" w:type="pct"/>
        <w:jc w:val="center"/>
        <w:tblLayout w:type="fixed"/>
        <w:tblLook w:val="06A0" w:firstRow="1" w:lastRow="0" w:firstColumn="1" w:lastColumn="0" w:noHBand="1" w:noVBand="1"/>
      </w:tblPr>
      <w:tblGrid>
        <w:gridCol w:w="725"/>
        <w:gridCol w:w="2783"/>
        <w:gridCol w:w="2325"/>
        <w:gridCol w:w="2628"/>
        <w:gridCol w:w="1168"/>
      </w:tblGrid>
      <w:tr w:rsidR="008D5BC1" w:rsidRPr="00EA2271" w14:paraId="5C4B9174" w14:textId="77777777" w:rsidTr="00EA2271">
        <w:trP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7D1213B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Region</w:t>
            </w:r>
          </w:p>
        </w:tc>
        <w:tc>
          <w:tcPr>
            <w:tcW w:w="27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398C738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Name</w:t>
            </w:r>
          </w:p>
        </w:tc>
        <w:tc>
          <w:tcPr>
            <w:tcW w:w="225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C3A017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Functional title</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3856841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6A15AAEF" w14:textId="77777777" w:rsidR="008D5BC1" w:rsidRPr="00EA2271" w:rsidRDefault="008D5BC1" w:rsidP="00EA2271">
            <w:pPr>
              <w:spacing w:before="40" w:after="40"/>
              <w:rPr>
                <w:rFonts w:cstheme="minorHAnsi"/>
                <w:sz w:val="22"/>
                <w:szCs w:val="22"/>
              </w:rPr>
            </w:pPr>
            <w:r w:rsidRPr="00EA2271">
              <w:rPr>
                <w:rFonts w:eastAsia="Calibri" w:cstheme="minorHAnsi"/>
                <w:b/>
                <w:bCs/>
                <w:color w:val="000000" w:themeColor="text1"/>
                <w:sz w:val="22"/>
                <w:szCs w:val="22"/>
              </w:rPr>
              <w:t>Country</w:t>
            </w:r>
          </w:p>
        </w:tc>
      </w:tr>
      <w:tr w:rsidR="008D5BC1" w:rsidRPr="00EA2271" w14:paraId="749F106D" w14:textId="77777777" w:rsidTr="00EA2271">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5A17E7EE"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AFR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2978A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Ms Anne Chantal </w:t>
            </w:r>
            <w:proofErr w:type="spellStart"/>
            <w:r w:rsidRPr="00EA2271">
              <w:rPr>
                <w:rFonts w:eastAsia="Calibri" w:cstheme="minorHAnsi"/>
                <w:color w:val="000000" w:themeColor="text1"/>
                <w:sz w:val="22"/>
                <w:szCs w:val="22"/>
              </w:rPr>
              <w:t>Ngondji</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06FE7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Head of Research and Cooperation Division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5D7DA9" w14:textId="77777777" w:rsidR="008D5BC1" w:rsidRPr="00EA2271" w:rsidRDefault="008D5BC1" w:rsidP="00EA2271">
            <w:pPr>
              <w:spacing w:before="40" w:after="40"/>
              <w:rPr>
                <w:rFonts w:cstheme="minorHAnsi"/>
                <w:sz w:val="22"/>
                <w:szCs w:val="22"/>
                <w:lang w:val="fr-CH"/>
              </w:rPr>
            </w:pPr>
            <w:r w:rsidRPr="00EA2271">
              <w:rPr>
                <w:rFonts w:eastAsia="Calibri" w:cstheme="minorHAnsi"/>
                <w:color w:val="000000" w:themeColor="text1"/>
                <w:sz w:val="22"/>
                <w:szCs w:val="22"/>
                <w:lang w:val="fr-CH"/>
              </w:rPr>
              <w:t>Ecole Nationale Supérieure des Postes, des Télécommunications et des TIC (SUP’PTIC)</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AAB99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Cameroon</w:t>
            </w:r>
          </w:p>
        </w:tc>
      </w:tr>
      <w:tr w:rsidR="008D5BC1" w:rsidRPr="00EA2271" w14:paraId="55D2AF67"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15460A61"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B08EA8E"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Mr Mohamadou </w:t>
            </w:r>
            <w:proofErr w:type="spellStart"/>
            <w:r w:rsidRPr="00EA2271">
              <w:rPr>
                <w:rFonts w:eastAsia="Calibri" w:cstheme="minorHAnsi"/>
                <w:color w:val="000000" w:themeColor="text1"/>
                <w:sz w:val="22"/>
                <w:szCs w:val="22"/>
              </w:rPr>
              <w:t>Arabani</w:t>
            </w:r>
            <w:proofErr w:type="spellEnd"/>
            <w:r w:rsidRPr="00EA2271">
              <w:rPr>
                <w:rFonts w:eastAsia="Calibri" w:cstheme="minorHAnsi"/>
                <w:color w:val="000000" w:themeColor="text1"/>
                <w:sz w:val="22"/>
                <w:szCs w:val="22"/>
              </w:rPr>
              <w:t xml:space="preserve"> Saibou</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1B0FB8"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Senior ICT Capacity building, Training, Research and Consulting Expert / Founder and Managing 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6E04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SMA Consulting Group</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70D37" w14:textId="77777777" w:rsidR="008D5BC1" w:rsidRPr="00EA2271" w:rsidRDefault="008D5BC1" w:rsidP="00EA2271">
            <w:pPr>
              <w:spacing w:before="40" w:after="40"/>
              <w:rPr>
                <w:rFonts w:cstheme="minorHAnsi"/>
                <w:sz w:val="22"/>
                <w:szCs w:val="22"/>
              </w:rPr>
            </w:pPr>
            <w:r w:rsidRPr="00EA2271">
              <w:rPr>
                <w:rFonts w:eastAsia="Calibri" w:cstheme="minorHAnsi"/>
                <w:sz w:val="22"/>
                <w:szCs w:val="22"/>
              </w:rPr>
              <w:t>Senegal</w:t>
            </w:r>
          </w:p>
        </w:tc>
      </w:tr>
      <w:tr w:rsidR="008D5BC1" w:rsidRPr="00EA2271" w14:paraId="3E0A27BD"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E9FD3A5"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AMS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871086" w14:textId="614624E5"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Ms Elisa Daigele Bizarria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1A54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Specialist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7E119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ANATEL</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74EF3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Brazil</w:t>
            </w:r>
          </w:p>
        </w:tc>
      </w:tr>
      <w:tr w:rsidR="008D5BC1" w:rsidRPr="00EA2271" w14:paraId="0195D455"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26A342D2"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0473ED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Ms Agustina Brizio</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3968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Undersecretary of Information Technologies, Secretariat of Public Innovation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37923" w14:textId="77777777" w:rsidR="008D5BC1" w:rsidRPr="00A64983" w:rsidRDefault="008D5BC1" w:rsidP="00EA2271">
            <w:pPr>
              <w:spacing w:before="40" w:after="40"/>
              <w:rPr>
                <w:rFonts w:cstheme="minorHAnsi"/>
                <w:sz w:val="22"/>
                <w:szCs w:val="22"/>
                <w:lang w:val="es-ES"/>
              </w:rPr>
            </w:pPr>
            <w:r w:rsidRPr="00A64983">
              <w:rPr>
                <w:rFonts w:eastAsia="Calibri" w:cstheme="minorHAnsi"/>
                <w:color w:val="000000" w:themeColor="text1"/>
                <w:sz w:val="22"/>
                <w:szCs w:val="22"/>
                <w:lang w:val="es-ES"/>
              </w:rPr>
              <w:t xml:space="preserve">Oficina </w:t>
            </w:r>
            <w:proofErr w:type="spellStart"/>
            <w:r w:rsidRPr="00A64983">
              <w:rPr>
                <w:rFonts w:eastAsia="Calibri" w:cstheme="minorHAnsi"/>
                <w:color w:val="000000" w:themeColor="text1"/>
                <w:sz w:val="22"/>
                <w:szCs w:val="22"/>
                <w:lang w:val="es-ES"/>
              </w:rPr>
              <w:t>Nactional</w:t>
            </w:r>
            <w:proofErr w:type="spellEnd"/>
            <w:r w:rsidRPr="00A64983">
              <w:rPr>
                <w:rFonts w:eastAsia="Calibri" w:cstheme="minorHAnsi"/>
                <w:color w:val="000000" w:themeColor="text1"/>
                <w:sz w:val="22"/>
                <w:szCs w:val="22"/>
                <w:lang w:val="es-ES"/>
              </w:rPr>
              <w:t xml:space="preserve"> de Tecnologías de información (ONTI)</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B0C5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Argentina</w:t>
            </w:r>
          </w:p>
        </w:tc>
      </w:tr>
      <w:tr w:rsidR="008D5BC1" w:rsidRPr="00EA2271" w14:paraId="1258CD1A"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FF694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ARB</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762BDF"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Dr Mustapha Ben </w:t>
            </w:r>
            <w:proofErr w:type="spellStart"/>
            <w:r w:rsidRPr="00EA2271">
              <w:rPr>
                <w:rFonts w:eastAsia="Calibri" w:cstheme="minorHAnsi"/>
                <w:color w:val="000000" w:themeColor="text1"/>
                <w:sz w:val="22"/>
                <w:szCs w:val="22"/>
              </w:rPr>
              <w:t>Jillali</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7DEB0C"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Full Professor</w:t>
            </w:r>
          </w:p>
          <w:p w14:paraId="49AEE77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Senior Member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21A8A" w14:textId="77777777" w:rsidR="008D5BC1" w:rsidRPr="00EA2271" w:rsidRDefault="008D5BC1" w:rsidP="00EA2271">
            <w:pPr>
              <w:spacing w:before="40" w:after="40"/>
              <w:rPr>
                <w:rFonts w:cstheme="minorHAnsi"/>
                <w:sz w:val="22"/>
                <w:szCs w:val="22"/>
                <w:lang w:val="fr-CH"/>
              </w:rPr>
            </w:pPr>
            <w:r w:rsidRPr="00EA2271">
              <w:rPr>
                <w:rFonts w:eastAsia="Calibri" w:cstheme="minorHAnsi"/>
                <w:color w:val="000000" w:themeColor="text1"/>
                <w:sz w:val="22"/>
                <w:szCs w:val="22"/>
                <w:lang w:val="fr-CH"/>
              </w:rPr>
              <w:t>Institut National des Postes et des Télécommunications (INPT)</w:t>
            </w:r>
            <w:r w:rsidRPr="00EA2271">
              <w:rPr>
                <w:rFonts w:cstheme="minorHAnsi"/>
                <w:sz w:val="22"/>
                <w:szCs w:val="22"/>
                <w:lang w:val="fr-CH"/>
              </w:rPr>
              <w:br/>
            </w:r>
            <w:r w:rsidRPr="00EA2271">
              <w:rPr>
                <w:rFonts w:eastAsia="Calibri" w:cstheme="minorHAnsi"/>
                <w:color w:val="000000" w:themeColor="text1"/>
                <w:sz w:val="22"/>
                <w:szCs w:val="22"/>
                <w:lang w:val="fr-CH"/>
              </w:rPr>
              <w:t xml:space="preserve">Institute of </w:t>
            </w:r>
            <w:proofErr w:type="spellStart"/>
            <w:r w:rsidRPr="00EA2271">
              <w:rPr>
                <w:rFonts w:eastAsia="Calibri" w:cstheme="minorHAnsi"/>
                <w:color w:val="000000" w:themeColor="text1"/>
                <w:sz w:val="22"/>
                <w:szCs w:val="22"/>
                <w:lang w:val="fr-CH"/>
              </w:rPr>
              <w:t>Electrical</w:t>
            </w:r>
            <w:proofErr w:type="spellEnd"/>
            <w:r w:rsidRPr="00EA2271">
              <w:rPr>
                <w:rFonts w:eastAsia="Calibri" w:cstheme="minorHAnsi"/>
                <w:color w:val="000000" w:themeColor="text1"/>
                <w:sz w:val="22"/>
                <w:szCs w:val="22"/>
                <w:lang w:val="fr-CH"/>
              </w:rPr>
              <w:t xml:space="preserve"> and Electronics </w:t>
            </w:r>
            <w:proofErr w:type="spellStart"/>
            <w:r w:rsidRPr="00EA2271">
              <w:rPr>
                <w:rFonts w:eastAsia="Calibri" w:cstheme="minorHAnsi"/>
                <w:color w:val="000000" w:themeColor="text1"/>
                <w:sz w:val="22"/>
                <w:szCs w:val="22"/>
                <w:lang w:val="fr-CH"/>
              </w:rPr>
              <w:t>Engineers</w:t>
            </w:r>
            <w:proofErr w:type="spellEnd"/>
            <w:r w:rsidRPr="00EA2271">
              <w:rPr>
                <w:rFonts w:eastAsia="Calibri" w:cstheme="minorHAnsi"/>
                <w:color w:val="000000" w:themeColor="text1"/>
                <w:sz w:val="22"/>
                <w:szCs w:val="22"/>
                <w:lang w:val="fr-CH"/>
              </w:rPr>
              <w:t xml:space="preserve"> (IEEE)</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1125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Morocco</w:t>
            </w:r>
          </w:p>
        </w:tc>
      </w:tr>
      <w:tr w:rsidR="008D5BC1" w:rsidRPr="00EA2271" w14:paraId="758B5E0A"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73C114D7"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49775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Mr Majid Mohamed </w:t>
            </w:r>
            <w:proofErr w:type="spellStart"/>
            <w:r w:rsidRPr="00EA2271">
              <w:rPr>
                <w:rFonts w:eastAsia="Calibri" w:cstheme="minorHAnsi"/>
                <w:color w:val="000000" w:themeColor="text1"/>
                <w:sz w:val="22"/>
                <w:szCs w:val="22"/>
              </w:rPr>
              <w:t>Alsuwaidi</w:t>
            </w:r>
            <w:proofErr w:type="spellEnd"/>
          </w:p>
        </w:tc>
        <w:tc>
          <w:tcPr>
            <w:tcW w:w="2258" w:type="dxa"/>
            <w:tcBorders>
              <w:top w:val="single" w:sz="4" w:space="0" w:color="auto"/>
              <w:left w:val="single" w:sz="4" w:space="0" w:color="auto"/>
              <w:bottom w:val="nil"/>
              <w:right w:val="nil"/>
            </w:tcBorders>
            <w:tcMar>
              <w:top w:w="15" w:type="dxa"/>
              <w:left w:w="15" w:type="dxa"/>
              <w:right w:w="15" w:type="dxa"/>
            </w:tcMar>
            <w:vAlign w:val="center"/>
          </w:tcPr>
          <w:p w14:paraId="0A74FCFC" w14:textId="77777777" w:rsidR="008D5BC1" w:rsidRPr="00EA2271" w:rsidRDefault="008D5BC1" w:rsidP="00EA2271">
            <w:pPr>
              <w:spacing w:before="40" w:after="40"/>
              <w:rPr>
                <w:rFonts w:cstheme="minorHAnsi"/>
                <w:sz w:val="22"/>
                <w:szCs w:val="22"/>
              </w:rPr>
            </w:pPr>
            <w:r w:rsidRPr="00EA2271">
              <w:rPr>
                <w:rFonts w:cstheme="minorHAnsi"/>
                <w:sz w:val="22"/>
                <w:szCs w:val="22"/>
              </w:rPr>
              <w:t>Senior Manager, Digital Capabilities &amp; Awareness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A0CF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Telecommunications &amp; Digital Government Regulatory Authority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11DA7"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UAE</w:t>
            </w:r>
          </w:p>
        </w:tc>
      </w:tr>
      <w:tr w:rsidR="008D5BC1" w:rsidRPr="00EA2271" w14:paraId="4F3A45E1" w14:textId="77777777" w:rsidTr="00EA2271">
        <w:trPr>
          <w:jc w:val="center"/>
        </w:trPr>
        <w:tc>
          <w:tcPr>
            <w:tcW w:w="704" w:type="dxa"/>
            <w:vMerge w:val="restart"/>
            <w:tcBorders>
              <w:top w:val="nil"/>
              <w:left w:val="single" w:sz="4" w:space="0" w:color="auto"/>
              <w:right w:val="single" w:sz="4" w:space="0" w:color="auto"/>
            </w:tcBorders>
            <w:tcMar>
              <w:top w:w="15" w:type="dxa"/>
              <w:left w:w="15" w:type="dxa"/>
              <w:right w:w="15" w:type="dxa"/>
            </w:tcMar>
            <w:vAlign w:val="center"/>
          </w:tcPr>
          <w:p w14:paraId="7EA3A5A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ASP</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814BF" w14:textId="77777777" w:rsidR="008D5BC1" w:rsidRPr="00EA2271" w:rsidRDefault="008D5BC1" w:rsidP="00EA2271">
            <w:pPr>
              <w:spacing w:before="40" w:after="40"/>
              <w:rPr>
                <w:rFonts w:cstheme="minorHAnsi"/>
                <w:sz w:val="22"/>
                <w:szCs w:val="22"/>
              </w:rPr>
            </w:pPr>
            <w:r w:rsidRPr="00EA2271">
              <w:rPr>
                <w:rFonts w:cstheme="minorHAnsi"/>
                <w:sz w:val="22"/>
                <w:szCs w:val="22"/>
              </w:rPr>
              <w:t>Ms Tessie P Leva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E0CC10" w14:textId="77777777" w:rsidR="008D5BC1" w:rsidRPr="00EA2271" w:rsidRDefault="008D5BC1" w:rsidP="00EA2271">
            <w:pPr>
              <w:spacing w:before="40" w:after="40"/>
              <w:rPr>
                <w:rFonts w:cstheme="minorHAnsi"/>
                <w:sz w:val="22"/>
                <w:szCs w:val="22"/>
              </w:rPr>
            </w:pPr>
            <w:r w:rsidRPr="00EA2271">
              <w:rPr>
                <w:rFonts w:cstheme="minorHAnsi"/>
                <w:sz w:val="22"/>
                <w:szCs w:val="22"/>
              </w:rPr>
              <w:t>Manager, Strategic Partnership</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01522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Department of Information Communication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B8D7C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Papua New Guinea</w:t>
            </w:r>
          </w:p>
        </w:tc>
      </w:tr>
      <w:tr w:rsidR="008D5BC1" w:rsidRPr="00EA2271" w14:paraId="6CFFD603" w14:textId="77777777" w:rsidTr="00EA2271">
        <w:trPr>
          <w:jc w:val="center"/>
        </w:trPr>
        <w:tc>
          <w:tcPr>
            <w:tcW w:w="704" w:type="dxa"/>
            <w:vMerge/>
            <w:tcBorders>
              <w:left w:val="single" w:sz="4" w:space="0" w:color="auto"/>
              <w:bottom w:val="single" w:sz="4" w:space="0" w:color="auto"/>
              <w:right w:val="single" w:sz="4" w:space="0" w:color="auto"/>
            </w:tcBorders>
            <w:tcMar>
              <w:top w:w="15" w:type="dxa"/>
              <w:left w:w="15" w:type="dxa"/>
              <w:right w:w="15" w:type="dxa"/>
            </w:tcMar>
            <w:vAlign w:val="center"/>
          </w:tcPr>
          <w:p w14:paraId="0997B444" w14:textId="77777777" w:rsidR="008D5BC1" w:rsidRPr="00EA2271" w:rsidRDefault="008D5BC1" w:rsidP="00EA2271">
            <w:pPr>
              <w:spacing w:before="40" w:after="40"/>
              <w:jc w:val="center"/>
              <w:rPr>
                <w:rFonts w:eastAsia="Calibri" w:cstheme="minorHAnsi"/>
                <w:b/>
                <w:bCs/>
                <w:color w:val="000000" w:themeColor="text1"/>
                <w:sz w:val="22"/>
                <w:szCs w:val="22"/>
              </w:rPr>
            </w:pP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EB3AEB" w14:textId="77777777" w:rsidR="008D5BC1" w:rsidRPr="00EA2271" w:rsidRDefault="008D5BC1" w:rsidP="00EA2271">
            <w:pPr>
              <w:spacing w:before="40" w:after="40"/>
              <w:rPr>
                <w:rFonts w:cstheme="minorHAnsi"/>
                <w:sz w:val="22"/>
                <w:szCs w:val="22"/>
              </w:rPr>
            </w:pPr>
            <w:r w:rsidRPr="00EA2271">
              <w:rPr>
                <w:rFonts w:cstheme="minorHAnsi"/>
                <w:sz w:val="22"/>
                <w:szCs w:val="22"/>
              </w:rPr>
              <w:t xml:space="preserve">Mr Tao </w:t>
            </w:r>
            <w:proofErr w:type="spellStart"/>
            <w:r w:rsidRPr="00EA2271">
              <w:rPr>
                <w:rFonts w:cstheme="minorHAnsi"/>
                <w:sz w:val="22"/>
                <w:szCs w:val="22"/>
              </w:rPr>
              <w:t>Zhiyong</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01546"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Professor, Director of the Graduate School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7CF857"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Wuhan Research Institute of Posts and Telecommunications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50209D"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China</w:t>
            </w:r>
          </w:p>
        </w:tc>
      </w:tr>
      <w:tr w:rsidR="008D5BC1" w:rsidRPr="00EA2271" w14:paraId="50CD7482" w14:textId="77777777" w:rsidTr="00EA2271">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2DC22D06"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EUR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460371"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Dr Toni Janevski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ECBB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Full Professor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DAC24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Faculty of Electrical Engineering and Information Technologies (FEEIT), Ss. Cyril and Methodius University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5C664E"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North Macedonia</w:t>
            </w:r>
          </w:p>
        </w:tc>
      </w:tr>
      <w:tr w:rsidR="008D5BC1" w:rsidRPr="00EA2271" w14:paraId="1759CCBF"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74FB8594"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04068B6"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Dr Lidia </w:t>
            </w:r>
            <w:proofErr w:type="spellStart"/>
            <w:r w:rsidRPr="00EA2271">
              <w:rPr>
                <w:rFonts w:eastAsia="Calibri" w:cstheme="minorHAnsi"/>
                <w:color w:val="000000" w:themeColor="text1"/>
                <w:sz w:val="22"/>
                <w:szCs w:val="22"/>
              </w:rPr>
              <w:t>Stepinska-Ustasiak</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FE085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Area Leader, International </w:t>
            </w:r>
            <w:proofErr w:type="gramStart"/>
            <w:r w:rsidRPr="00EA2271">
              <w:rPr>
                <w:rFonts w:eastAsia="Calibri" w:cstheme="minorHAnsi"/>
                <w:color w:val="000000" w:themeColor="text1"/>
                <w:sz w:val="22"/>
                <w:szCs w:val="22"/>
              </w:rPr>
              <w:t>collaboration</w:t>
            </w:r>
            <w:proofErr w:type="gramEnd"/>
            <w:r w:rsidRPr="00EA2271">
              <w:rPr>
                <w:rFonts w:eastAsia="Calibri" w:cstheme="minorHAnsi"/>
                <w:color w:val="000000" w:themeColor="text1"/>
                <w:sz w:val="22"/>
                <w:szCs w:val="22"/>
              </w:rPr>
              <w:t xml:space="preserve"> and partnerships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923BE2"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Institute of Organisation and Management in Industry “</w:t>
            </w:r>
            <w:proofErr w:type="spellStart"/>
            <w:r w:rsidRPr="00EA2271">
              <w:rPr>
                <w:rFonts w:eastAsia="Calibri" w:cstheme="minorHAnsi"/>
                <w:color w:val="000000" w:themeColor="text1"/>
                <w:sz w:val="22"/>
                <w:szCs w:val="22"/>
              </w:rPr>
              <w:t>Orgmasz</w:t>
            </w:r>
            <w:proofErr w:type="spellEnd"/>
            <w:r w:rsidRPr="00EA2271">
              <w:rPr>
                <w:rFonts w:eastAsia="Calibri" w:cstheme="minorHAnsi"/>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01DF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Poland</w:t>
            </w:r>
          </w:p>
        </w:tc>
      </w:tr>
      <w:tr w:rsidR="008D5BC1" w:rsidRPr="00EA2271" w14:paraId="69B5194B"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106A37"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CIS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C7ADF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Ms Kristine </w:t>
            </w:r>
            <w:proofErr w:type="spellStart"/>
            <w:r w:rsidRPr="00EA2271">
              <w:rPr>
                <w:rFonts w:eastAsia="Calibri" w:cstheme="minorHAnsi"/>
                <w:color w:val="000000" w:themeColor="text1"/>
                <w:sz w:val="22"/>
                <w:szCs w:val="22"/>
              </w:rPr>
              <w:t>Gyonjyan</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6A1C2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7A16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Union of Operators of Armenia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88731F"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Armenia</w:t>
            </w:r>
          </w:p>
        </w:tc>
      </w:tr>
      <w:tr w:rsidR="008D5BC1" w:rsidRPr="00EA2271" w14:paraId="6885246B"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63983274"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0D46EAB"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Mr Anton Alekseev</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690D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0FE94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JSC "</w:t>
            </w:r>
            <w:proofErr w:type="spellStart"/>
            <w:r w:rsidRPr="00EA2271">
              <w:rPr>
                <w:rFonts w:eastAsia="Calibri" w:cstheme="minorHAnsi"/>
                <w:color w:val="000000" w:themeColor="text1"/>
                <w:sz w:val="22"/>
                <w:szCs w:val="22"/>
              </w:rPr>
              <w:t>Giprosvjaz</w:t>
            </w:r>
            <w:proofErr w:type="spellEnd"/>
            <w:r w:rsidRPr="00EA2271">
              <w:rPr>
                <w:rFonts w:eastAsia="Calibri" w:cstheme="minorHAnsi"/>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74A905"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Belarus</w:t>
            </w:r>
          </w:p>
        </w:tc>
      </w:tr>
    </w:tbl>
    <w:p w14:paraId="0433F7AB" w14:textId="39C825C6" w:rsidR="008D5BC1" w:rsidRDefault="00EA2271" w:rsidP="00CA2C1E">
      <w:pPr>
        <w:tabs>
          <w:tab w:val="clear" w:pos="794"/>
          <w:tab w:val="clear" w:pos="1191"/>
          <w:tab w:val="clear" w:pos="1588"/>
          <w:tab w:val="clear" w:pos="1985"/>
        </w:tabs>
        <w:overflowPunct/>
        <w:autoSpaceDE/>
        <w:autoSpaceDN/>
        <w:adjustRightInd/>
        <w:spacing w:after="120"/>
        <w:jc w:val="center"/>
        <w:textAlignment w:val="auto"/>
      </w:pPr>
      <w:r>
        <w:t>________________</w:t>
      </w:r>
    </w:p>
    <w:sectPr w:rsidR="008D5BC1" w:rsidSect="00A3397A">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80C9" w14:textId="77777777" w:rsidR="00A3397A" w:rsidRDefault="00A3397A">
      <w:r>
        <w:separator/>
      </w:r>
    </w:p>
  </w:endnote>
  <w:endnote w:type="continuationSeparator" w:id="0">
    <w:p w14:paraId="31732682" w14:textId="77777777" w:rsidR="00A3397A" w:rsidRDefault="00A3397A">
      <w:r>
        <w:continuationSeparator/>
      </w:r>
    </w:p>
  </w:endnote>
  <w:endnote w:type="continuationNotice" w:id="1">
    <w:p w14:paraId="734A9030" w14:textId="77777777" w:rsidR="00A3397A" w:rsidRDefault="00A339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910B35" w:rsidRDefault="0059420B" w:rsidP="0059420B">
          <w:pPr>
            <w:pStyle w:val="FirstFooter"/>
            <w:tabs>
              <w:tab w:val="left" w:pos="2302"/>
            </w:tabs>
            <w:ind w:left="2302" w:hanging="2302"/>
            <w:rPr>
              <w:sz w:val="18"/>
              <w:szCs w:val="18"/>
              <w:lang w:val="en-US"/>
            </w:rPr>
          </w:pPr>
          <w:r w:rsidRPr="00910B35">
            <w:rPr>
              <w:sz w:val="18"/>
              <w:szCs w:val="18"/>
              <w:lang w:val="en-US"/>
            </w:rPr>
            <w:t>Name/Organization/Entity:</w:t>
          </w:r>
        </w:p>
      </w:tc>
      <w:tc>
        <w:tcPr>
          <w:tcW w:w="5987" w:type="dxa"/>
          <w:tcBorders>
            <w:top w:val="single" w:sz="4" w:space="0" w:color="000000"/>
          </w:tcBorders>
        </w:tcPr>
        <w:p w14:paraId="148264AE" w14:textId="4CC4105C" w:rsidR="0059420B" w:rsidRPr="00910B35" w:rsidRDefault="008D5BC1" w:rsidP="0059420B">
          <w:pPr>
            <w:pStyle w:val="FirstFooter"/>
            <w:tabs>
              <w:tab w:val="left" w:pos="2302"/>
            </w:tabs>
            <w:rPr>
              <w:sz w:val="18"/>
              <w:szCs w:val="18"/>
              <w:highlight w:val="yellow"/>
              <w:lang w:val="en-US"/>
            </w:rPr>
          </w:pPr>
          <w:r w:rsidRPr="00910B35">
            <w:rPr>
              <w:sz w:val="18"/>
              <w:szCs w:val="18"/>
              <w:lang w:val="en-US"/>
            </w:rPr>
            <w:t xml:space="preserve">Prof. Mustapha </w:t>
          </w:r>
          <w:proofErr w:type="spellStart"/>
          <w:r w:rsidRPr="00910B35">
            <w:rPr>
              <w:sz w:val="18"/>
              <w:szCs w:val="18"/>
              <w:lang w:val="en-US"/>
            </w:rPr>
            <w:t>Benjillali</w:t>
          </w:r>
          <w:proofErr w:type="spellEnd"/>
          <w:r w:rsidR="004224AA" w:rsidRPr="00910B35">
            <w:rPr>
              <w:sz w:val="18"/>
              <w:szCs w:val="18"/>
              <w:lang w:val="en-US"/>
            </w:rPr>
            <w:t>, Chairperson, Group on Capacity Building Initiatives (GCBI)</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910B35" w:rsidRDefault="0059420B" w:rsidP="0059420B">
          <w:pPr>
            <w:pStyle w:val="FirstFooter"/>
            <w:tabs>
              <w:tab w:val="left" w:pos="2302"/>
            </w:tabs>
            <w:rPr>
              <w:sz w:val="18"/>
              <w:szCs w:val="18"/>
              <w:lang w:val="en-US"/>
            </w:rPr>
          </w:pPr>
          <w:r w:rsidRPr="00910B35">
            <w:rPr>
              <w:sz w:val="18"/>
              <w:szCs w:val="18"/>
              <w:lang w:val="en-US"/>
            </w:rPr>
            <w:t>Phone number:</w:t>
          </w:r>
        </w:p>
      </w:tc>
      <w:tc>
        <w:tcPr>
          <w:tcW w:w="5987" w:type="dxa"/>
        </w:tcPr>
        <w:p w14:paraId="6D7949F0" w14:textId="57BE0195" w:rsidR="0059420B" w:rsidRPr="00910B35" w:rsidRDefault="004224AA" w:rsidP="0059420B">
          <w:pPr>
            <w:pStyle w:val="FirstFooter"/>
            <w:tabs>
              <w:tab w:val="left" w:pos="2302"/>
            </w:tabs>
            <w:rPr>
              <w:sz w:val="18"/>
              <w:szCs w:val="18"/>
              <w:highlight w:val="yellow"/>
              <w:lang w:val="en-US"/>
            </w:rPr>
          </w:pPr>
          <w:r w:rsidRPr="00910B35">
            <w:rPr>
              <w:sz w:val="18"/>
              <w:szCs w:val="18"/>
              <w:lang w:val="en-US"/>
            </w:rPr>
            <w:t>n/a</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910B35" w:rsidRDefault="0059420B" w:rsidP="0059420B">
          <w:pPr>
            <w:pStyle w:val="FirstFooter"/>
            <w:tabs>
              <w:tab w:val="left" w:pos="2302"/>
            </w:tabs>
            <w:rPr>
              <w:sz w:val="18"/>
              <w:szCs w:val="18"/>
              <w:lang w:val="en-US"/>
            </w:rPr>
          </w:pPr>
          <w:r w:rsidRPr="00910B35">
            <w:rPr>
              <w:sz w:val="18"/>
              <w:szCs w:val="18"/>
              <w:lang w:val="en-US"/>
            </w:rPr>
            <w:t>E-mail:</w:t>
          </w:r>
        </w:p>
      </w:tc>
      <w:tc>
        <w:tcPr>
          <w:tcW w:w="5987" w:type="dxa"/>
        </w:tcPr>
        <w:p w14:paraId="7EAB0988" w14:textId="6283EDA6" w:rsidR="0059420B" w:rsidRPr="00910B35" w:rsidRDefault="00000000" w:rsidP="0059420B">
          <w:pPr>
            <w:pStyle w:val="FirstFooter"/>
            <w:tabs>
              <w:tab w:val="left" w:pos="2302"/>
            </w:tabs>
            <w:rPr>
              <w:sz w:val="18"/>
              <w:szCs w:val="18"/>
              <w:highlight w:val="yellow"/>
              <w:lang w:val="en-US"/>
            </w:rPr>
          </w:pPr>
          <w:hyperlink r:id="rId1" w:history="1">
            <w:r w:rsidR="008D5BC1" w:rsidRPr="00910B35">
              <w:rPr>
                <w:rStyle w:val="Hyperlink"/>
                <w:sz w:val="18"/>
                <w:szCs w:val="18"/>
                <w:lang w:val="en-US"/>
              </w:rPr>
              <w:t>benjillali@ieee.org</w:t>
            </w:r>
          </w:hyperlink>
          <w:r w:rsidR="00910B35" w:rsidRPr="00910B35">
            <w:rPr>
              <w:sz w:val="18"/>
              <w:szCs w:val="18"/>
              <w:lang w:val="en-US"/>
            </w:rPr>
            <w:t xml:space="preserve">, </w:t>
          </w:r>
          <w:hyperlink r:id="rId2" w:history="1">
            <w:r w:rsidR="008D5BC1" w:rsidRPr="00910B35">
              <w:rPr>
                <w:rStyle w:val="Hyperlink"/>
                <w:sz w:val="18"/>
                <w:szCs w:val="18"/>
                <w:lang w:val="en-US"/>
              </w:rPr>
              <w:t>benjillali@inpt.ac.ma</w:t>
            </w:r>
          </w:hyperlink>
          <w:r w:rsidR="008D5BC1" w:rsidRPr="00910B35">
            <w:rPr>
              <w:sz w:val="18"/>
              <w:szCs w:val="18"/>
              <w:lang w:val="en-US"/>
            </w:rPr>
            <w:t xml:space="preserve"> </w:t>
          </w:r>
        </w:p>
      </w:tc>
      <w:bookmarkStart w:id="8" w:name="Email"/>
      <w:bookmarkEnd w:id="8"/>
    </w:tr>
  </w:tbl>
  <w:p w14:paraId="5AEFE7F9" w14:textId="77777777" w:rsidR="0059420B" w:rsidRDefault="0059420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33AD" w14:textId="77777777" w:rsidR="00A3397A" w:rsidRDefault="00A3397A">
      <w:r>
        <w:t>____________________</w:t>
      </w:r>
    </w:p>
  </w:footnote>
  <w:footnote w:type="continuationSeparator" w:id="0">
    <w:p w14:paraId="258D0006" w14:textId="77777777" w:rsidR="00A3397A" w:rsidRDefault="00A3397A">
      <w:r>
        <w:continuationSeparator/>
      </w:r>
    </w:p>
  </w:footnote>
  <w:footnote w:type="continuationNotice" w:id="1">
    <w:p w14:paraId="0A8CBC2B" w14:textId="77777777" w:rsidR="00A3397A" w:rsidRDefault="00A339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2202BF3" w:rsidR="00721657" w:rsidRPr="002628F2" w:rsidRDefault="002628F2" w:rsidP="002628F2">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10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7565BA"/>
    <w:multiLevelType w:val="hybridMultilevel"/>
    <w:tmpl w:val="BB02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44E75"/>
    <w:multiLevelType w:val="hybridMultilevel"/>
    <w:tmpl w:val="65F6F2FC"/>
    <w:styleLink w:val="ImportedStyle1"/>
    <w:lvl w:ilvl="0" w:tplc="705C058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3E8ABF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522F3E4">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44CBD8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7920D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450B7F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0FA6A8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9EFB8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B668D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20688D"/>
    <w:multiLevelType w:val="hybridMultilevel"/>
    <w:tmpl w:val="A47CA9E0"/>
    <w:numStyleLink w:val="ImportedStyle3"/>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956A20"/>
    <w:multiLevelType w:val="hybridMultilevel"/>
    <w:tmpl w:val="65F6F2FC"/>
    <w:numStyleLink w:val="ImportedStyle1"/>
  </w:abstractNum>
  <w:abstractNum w:abstractNumId="7"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168088">
    <w:abstractNumId w:val="5"/>
  </w:num>
  <w:num w:numId="2" w16cid:durableId="1611281344">
    <w:abstractNumId w:val="7"/>
  </w:num>
  <w:num w:numId="3" w16cid:durableId="310519296">
    <w:abstractNumId w:val="3"/>
  </w:num>
  <w:num w:numId="4" w16cid:durableId="580876005">
    <w:abstractNumId w:val="2"/>
  </w:num>
  <w:num w:numId="5" w16cid:durableId="607932076">
    <w:abstractNumId w:val="6"/>
  </w:num>
  <w:num w:numId="6" w16cid:durableId="931665139">
    <w:abstractNumId w:val="0"/>
  </w:num>
  <w:num w:numId="7" w16cid:durableId="2118330294">
    <w:abstractNumId w:val="4"/>
  </w:num>
  <w:num w:numId="8" w16cid:durableId="262230074">
    <w:abstractNumId w:val="6"/>
    <w:lvlOverride w:ilvl="0">
      <w:startOverride w:val="17"/>
    </w:lvlOverride>
  </w:num>
  <w:num w:numId="9" w16cid:durableId="98790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00DD"/>
    <w:rsid w:val="0002520B"/>
    <w:rsid w:val="00032E86"/>
    <w:rsid w:val="00037A9E"/>
    <w:rsid w:val="00037F91"/>
    <w:rsid w:val="00044A5B"/>
    <w:rsid w:val="000539F1"/>
    <w:rsid w:val="00054747"/>
    <w:rsid w:val="00055A2A"/>
    <w:rsid w:val="000615C1"/>
    <w:rsid w:val="00061675"/>
    <w:rsid w:val="00073E42"/>
    <w:rsid w:val="000743AA"/>
    <w:rsid w:val="00081416"/>
    <w:rsid w:val="0009076F"/>
    <w:rsid w:val="0009225C"/>
    <w:rsid w:val="000A17C4"/>
    <w:rsid w:val="000A36A4"/>
    <w:rsid w:val="000A5341"/>
    <w:rsid w:val="000B2352"/>
    <w:rsid w:val="000C7B84"/>
    <w:rsid w:val="000D261B"/>
    <w:rsid w:val="000D5121"/>
    <w:rsid w:val="000D58A3"/>
    <w:rsid w:val="000E12C1"/>
    <w:rsid w:val="000E3ED4"/>
    <w:rsid w:val="000E3F9C"/>
    <w:rsid w:val="000E675A"/>
    <w:rsid w:val="000F1550"/>
    <w:rsid w:val="000F251B"/>
    <w:rsid w:val="000F5FE8"/>
    <w:rsid w:val="000F6644"/>
    <w:rsid w:val="00100833"/>
    <w:rsid w:val="00102F72"/>
    <w:rsid w:val="00107E85"/>
    <w:rsid w:val="00113EE8"/>
    <w:rsid w:val="0011455A"/>
    <w:rsid w:val="00114A65"/>
    <w:rsid w:val="00125BD6"/>
    <w:rsid w:val="001320A8"/>
    <w:rsid w:val="00133061"/>
    <w:rsid w:val="00141699"/>
    <w:rsid w:val="00147000"/>
    <w:rsid w:val="00157860"/>
    <w:rsid w:val="00163091"/>
    <w:rsid w:val="00163955"/>
    <w:rsid w:val="001645CB"/>
    <w:rsid w:val="00166305"/>
    <w:rsid w:val="00167545"/>
    <w:rsid w:val="001703C6"/>
    <w:rsid w:val="00173781"/>
    <w:rsid w:val="00175ADF"/>
    <w:rsid w:val="00175CAE"/>
    <w:rsid w:val="00175E53"/>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5325"/>
    <w:rsid w:val="00211B6F"/>
    <w:rsid w:val="00217CC3"/>
    <w:rsid w:val="00220AB6"/>
    <w:rsid w:val="0022120F"/>
    <w:rsid w:val="0022754A"/>
    <w:rsid w:val="00236560"/>
    <w:rsid w:val="0023662E"/>
    <w:rsid w:val="00245D0F"/>
    <w:rsid w:val="002548C3"/>
    <w:rsid w:val="00257ACD"/>
    <w:rsid w:val="002606CE"/>
    <w:rsid w:val="002628F2"/>
    <w:rsid w:val="00262908"/>
    <w:rsid w:val="002650F4"/>
    <w:rsid w:val="002715FD"/>
    <w:rsid w:val="00272964"/>
    <w:rsid w:val="00276AFD"/>
    <w:rsid w:val="002770B1"/>
    <w:rsid w:val="00285B33"/>
    <w:rsid w:val="00287A3C"/>
    <w:rsid w:val="00294F57"/>
    <w:rsid w:val="00296394"/>
    <w:rsid w:val="002A2FC6"/>
    <w:rsid w:val="002B6A3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2796"/>
    <w:rsid w:val="0038365A"/>
    <w:rsid w:val="00386A89"/>
    <w:rsid w:val="003922F6"/>
    <w:rsid w:val="003957AE"/>
    <w:rsid w:val="0039648E"/>
    <w:rsid w:val="003A43AF"/>
    <w:rsid w:val="003A5AFE"/>
    <w:rsid w:val="003A5D5F"/>
    <w:rsid w:val="003A7FFE"/>
    <w:rsid w:val="003B0A63"/>
    <w:rsid w:val="003B136B"/>
    <w:rsid w:val="003B50E1"/>
    <w:rsid w:val="003C1746"/>
    <w:rsid w:val="003C2AA9"/>
    <w:rsid w:val="003C58BF"/>
    <w:rsid w:val="003C7FF6"/>
    <w:rsid w:val="003D1A26"/>
    <w:rsid w:val="003D451D"/>
    <w:rsid w:val="003D7765"/>
    <w:rsid w:val="003E11B1"/>
    <w:rsid w:val="003F00A7"/>
    <w:rsid w:val="003F2DD8"/>
    <w:rsid w:val="003F3F2D"/>
    <w:rsid w:val="003F50B2"/>
    <w:rsid w:val="00400CCF"/>
    <w:rsid w:val="00401BFF"/>
    <w:rsid w:val="00404424"/>
    <w:rsid w:val="0041156B"/>
    <w:rsid w:val="004122C5"/>
    <w:rsid w:val="00413B78"/>
    <w:rsid w:val="00416DDE"/>
    <w:rsid w:val="004224AA"/>
    <w:rsid w:val="00431F00"/>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37C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430"/>
    <w:rsid w:val="005477D9"/>
    <w:rsid w:val="00552923"/>
    <w:rsid w:val="0055720C"/>
    <w:rsid w:val="00561796"/>
    <w:rsid w:val="005632DD"/>
    <w:rsid w:val="0056423B"/>
    <w:rsid w:val="00564574"/>
    <w:rsid w:val="00564B72"/>
    <w:rsid w:val="00573424"/>
    <w:rsid w:val="0057402F"/>
    <w:rsid w:val="00581653"/>
    <w:rsid w:val="005849D6"/>
    <w:rsid w:val="00585367"/>
    <w:rsid w:val="005871A1"/>
    <w:rsid w:val="0058737E"/>
    <w:rsid w:val="00592518"/>
    <w:rsid w:val="00592E87"/>
    <w:rsid w:val="0059420B"/>
    <w:rsid w:val="00594C4D"/>
    <w:rsid w:val="005A33B0"/>
    <w:rsid w:val="005A65F6"/>
    <w:rsid w:val="005B349F"/>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4C5"/>
    <w:rsid w:val="00600C11"/>
    <w:rsid w:val="00606B89"/>
    <w:rsid w:val="00611BDD"/>
    <w:rsid w:val="00611EAF"/>
    <w:rsid w:val="00614A18"/>
    <w:rsid w:val="00623F30"/>
    <w:rsid w:val="00625FB8"/>
    <w:rsid w:val="006261BD"/>
    <w:rsid w:val="00635EDB"/>
    <w:rsid w:val="0064734E"/>
    <w:rsid w:val="00650137"/>
    <w:rsid w:val="006509D7"/>
    <w:rsid w:val="00651CE8"/>
    <w:rsid w:val="0065374E"/>
    <w:rsid w:val="0065521B"/>
    <w:rsid w:val="00671EF6"/>
    <w:rsid w:val="0067205B"/>
    <w:rsid w:val="006748F8"/>
    <w:rsid w:val="00680489"/>
    <w:rsid w:val="00683C32"/>
    <w:rsid w:val="00690BB2"/>
    <w:rsid w:val="00693D09"/>
    <w:rsid w:val="00696F02"/>
    <w:rsid w:val="006A6549"/>
    <w:rsid w:val="006A7710"/>
    <w:rsid w:val="006A7A61"/>
    <w:rsid w:val="006B1E59"/>
    <w:rsid w:val="006B2FFB"/>
    <w:rsid w:val="006C10A2"/>
    <w:rsid w:val="006C1F18"/>
    <w:rsid w:val="006D40D5"/>
    <w:rsid w:val="006F009A"/>
    <w:rsid w:val="006F0A3E"/>
    <w:rsid w:val="006F3D93"/>
    <w:rsid w:val="007019B1"/>
    <w:rsid w:val="00702BCC"/>
    <w:rsid w:val="00710779"/>
    <w:rsid w:val="00721657"/>
    <w:rsid w:val="007279A8"/>
    <w:rsid w:val="00727B1A"/>
    <w:rsid w:val="00732061"/>
    <w:rsid w:val="00741337"/>
    <w:rsid w:val="00752258"/>
    <w:rsid w:val="007529E1"/>
    <w:rsid w:val="00755EEB"/>
    <w:rsid w:val="00756DC0"/>
    <w:rsid w:val="00762880"/>
    <w:rsid w:val="00762AD6"/>
    <w:rsid w:val="00762E02"/>
    <w:rsid w:val="00763C2E"/>
    <w:rsid w:val="0077188D"/>
    <w:rsid w:val="00772290"/>
    <w:rsid w:val="00777265"/>
    <w:rsid w:val="007805E7"/>
    <w:rsid w:val="0078222A"/>
    <w:rsid w:val="00787D48"/>
    <w:rsid w:val="00791CAB"/>
    <w:rsid w:val="00795294"/>
    <w:rsid w:val="007A4E50"/>
    <w:rsid w:val="007B18A7"/>
    <w:rsid w:val="007B250E"/>
    <w:rsid w:val="007B4763"/>
    <w:rsid w:val="007C27FC"/>
    <w:rsid w:val="007C51FF"/>
    <w:rsid w:val="007D2E9B"/>
    <w:rsid w:val="007D50E4"/>
    <w:rsid w:val="007D5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E85"/>
    <w:rsid w:val="008B47C7"/>
    <w:rsid w:val="008B54CB"/>
    <w:rsid w:val="008B5A3D"/>
    <w:rsid w:val="008C1F9A"/>
    <w:rsid w:val="008C332D"/>
    <w:rsid w:val="008C4010"/>
    <w:rsid w:val="008C4FDF"/>
    <w:rsid w:val="008C6B1F"/>
    <w:rsid w:val="008D5BC1"/>
    <w:rsid w:val="008D5E4F"/>
    <w:rsid w:val="008E34F0"/>
    <w:rsid w:val="008F14F5"/>
    <w:rsid w:val="008F4DC8"/>
    <w:rsid w:val="008F71C1"/>
    <w:rsid w:val="00900F4C"/>
    <w:rsid w:val="00902D41"/>
    <w:rsid w:val="00902F49"/>
    <w:rsid w:val="00904230"/>
    <w:rsid w:val="00910B35"/>
    <w:rsid w:val="00914004"/>
    <w:rsid w:val="00922EC1"/>
    <w:rsid w:val="00923CF1"/>
    <w:rsid w:val="009301F1"/>
    <w:rsid w:val="009307DF"/>
    <w:rsid w:val="009359B8"/>
    <w:rsid w:val="00935FF0"/>
    <w:rsid w:val="009405A4"/>
    <w:rsid w:val="009431F8"/>
    <w:rsid w:val="00947A35"/>
    <w:rsid w:val="0096201B"/>
    <w:rsid w:val="00962081"/>
    <w:rsid w:val="00966CB5"/>
    <w:rsid w:val="00970FB1"/>
    <w:rsid w:val="00973A74"/>
    <w:rsid w:val="00975786"/>
    <w:rsid w:val="00981CB7"/>
    <w:rsid w:val="00983E1F"/>
    <w:rsid w:val="00993F46"/>
    <w:rsid w:val="00997358"/>
    <w:rsid w:val="009A452B"/>
    <w:rsid w:val="009B050C"/>
    <w:rsid w:val="009B087F"/>
    <w:rsid w:val="009B2AF4"/>
    <w:rsid w:val="009C110B"/>
    <w:rsid w:val="009C44B7"/>
    <w:rsid w:val="009C4BD7"/>
    <w:rsid w:val="009C5441"/>
    <w:rsid w:val="009D119F"/>
    <w:rsid w:val="009D49A2"/>
    <w:rsid w:val="009F3940"/>
    <w:rsid w:val="009F3EB2"/>
    <w:rsid w:val="009F6EB1"/>
    <w:rsid w:val="00A069B7"/>
    <w:rsid w:val="00A11D05"/>
    <w:rsid w:val="00A13162"/>
    <w:rsid w:val="00A20267"/>
    <w:rsid w:val="00A22C2B"/>
    <w:rsid w:val="00A270A8"/>
    <w:rsid w:val="00A3158C"/>
    <w:rsid w:val="00A32DF3"/>
    <w:rsid w:val="00A3397A"/>
    <w:rsid w:val="00A33E32"/>
    <w:rsid w:val="00A35DFC"/>
    <w:rsid w:val="00A35E20"/>
    <w:rsid w:val="00A36C0C"/>
    <w:rsid w:val="00A36F6D"/>
    <w:rsid w:val="00A4026E"/>
    <w:rsid w:val="00A50CA0"/>
    <w:rsid w:val="00A525CC"/>
    <w:rsid w:val="00A53E7C"/>
    <w:rsid w:val="00A60087"/>
    <w:rsid w:val="00A64983"/>
    <w:rsid w:val="00A705E8"/>
    <w:rsid w:val="00A721F4"/>
    <w:rsid w:val="00A726DC"/>
    <w:rsid w:val="00A9392C"/>
    <w:rsid w:val="00A9462B"/>
    <w:rsid w:val="00A97D59"/>
    <w:rsid w:val="00AA3E09"/>
    <w:rsid w:val="00AA4BEF"/>
    <w:rsid w:val="00AB1659"/>
    <w:rsid w:val="00AB4962"/>
    <w:rsid w:val="00AB6999"/>
    <w:rsid w:val="00AB734E"/>
    <w:rsid w:val="00AB740F"/>
    <w:rsid w:val="00AC6F14"/>
    <w:rsid w:val="00AC7097"/>
    <w:rsid w:val="00AC7221"/>
    <w:rsid w:val="00AD0540"/>
    <w:rsid w:val="00AD4677"/>
    <w:rsid w:val="00AE4B0E"/>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73D52"/>
    <w:rsid w:val="00B80157"/>
    <w:rsid w:val="00B83D5E"/>
    <w:rsid w:val="00B8460A"/>
    <w:rsid w:val="00B8650D"/>
    <w:rsid w:val="00B879B4"/>
    <w:rsid w:val="00B90F07"/>
    <w:rsid w:val="00B9667D"/>
    <w:rsid w:val="00B97BB9"/>
    <w:rsid w:val="00BA0009"/>
    <w:rsid w:val="00BA6A10"/>
    <w:rsid w:val="00BB02B5"/>
    <w:rsid w:val="00BB1863"/>
    <w:rsid w:val="00BB25EE"/>
    <w:rsid w:val="00BB3120"/>
    <w:rsid w:val="00BB363A"/>
    <w:rsid w:val="00BB686D"/>
    <w:rsid w:val="00BC10A0"/>
    <w:rsid w:val="00BC7BA2"/>
    <w:rsid w:val="00BD426B"/>
    <w:rsid w:val="00BD79F0"/>
    <w:rsid w:val="00BE2B4D"/>
    <w:rsid w:val="00BE774F"/>
    <w:rsid w:val="00C015F8"/>
    <w:rsid w:val="00C02C2A"/>
    <w:rsid w:val="00C07E26"/>
    <w:rsid w:val="00C1011C"/>
    <w:rsid w:val="00C12F94"/>
    <w:rsid w:val="00C177C5"/>
    <w:rsid w:val="00C34EC3"/>
    <w:rsid w:val="00C4038C"/>
    <w:rsid w:val="00C42BA2"/>
    <w:rsid w:val="00C44066"/>
    <w:rsid w:val="00C44E13"/>
    <w:rsid w:val="00C4687D"/>
    <w:rsid w:val="00C46A75"/>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8DC"/>
    <w:rsid w:val="00CA1F0B"/>
    <w:rsid w:val="00CA2C1E"/>
    <w:rsid w:val="00CA47BF"/>
    <w:rsid w:val="00CB0D09"/>
    <w:rsid w:val="00CB110F"/>
    <w:rsid w:val="00CB2A2E"/>
    <w:rsid w:val="00CB338A"/>
    <w:rsid w:val="00CB79C5"/>
    <w:rsid w:val="00CC411F"/>
    <w:rsid w:val="00CC4B75"/>
    <w:rsid w:val="00CC732E"/>
    <w:rsid w:val="00CD2FCD"/>
    <w:rsid w:val="00CD7207"/>
    <w:rsid w:val="00CE0422"/>
    <w:rsid w:val="00CE0DBE"/>
    <w:rsid w:val="00CE425A"/>
    <w:rsid w:val="00CE5E4D"/>
    <w:rsid w:val="00CF02C4"/>
    <w:rsid w:val="00CF167F"/>
    <w:rsid w:val="00CF6FED"/>
    <w:rsid w:val="00CF72E5"/>
    <w:rsid w:val="00D013EE"/>
    <w:rsid w:val="00D01F54"/>
    <w:rsid w:val="00D040F7"/>
    <w:rsid w:val="00D04A76"/>
    <w:rsid w:val="00D10FC7"/>
    <w:rsid w:val="00D1519F"/>
    <w:rsid w:val="00D20E99"/>
    <w:rsid w:val="00D21C83"/>
    <w:rsid w:val="00D35BDD"/>
    <w:rsid w:val="00D36DA2"/>
    <w:rsid w:val="00D463AB"/>
    <w:rsid w:val="00D54E07"/>
    <w:rsid w:val="00D63006"/>
    <w:rsid w:val="00D72301"/>
    <w:rsid w:val="00D77D7C"/>
    <w:rsid w:val="00D813D4"/>
    <w:rsid w:val="00D84D35"/>
    <w:rsid w:val="00D911DE"/>
    <w:rsid w:val="00D91B97"/>
    <w:rsid w:val="00D931A7"/>
    <w:rsid w:val="00D93ACC"/>
    <w:rsid w:val="00D93C08"/>
    <w:rsid w:val="00D94938"/>
    <w:rsid w:val="00D95DAC"/>
    <w:rsid w:val="00DA0B53"/>
    <w:rsid w:val="00DA3686"/>
    <w:rsid w:val="00DA42DF"/>
    <w:rsid w:val="00DA4E86"/>
    <w:rsid w:val="00DB1171"/>
    <w:rsid w:val="00DB1519"/>
    <w:rsid w:val="00DB2840"/>
    <w:rsid w:val="00DB4090"/>
    <w:rsid w:val="00DC01FB"/>
    <w:rsid w:val="00DC1BD3"/>
    <w:rsid w:val="00DC2C1A"/>
    <w:rsid w:val="00DC6A33"/>
    <w:rsid w:val="00DD66B4"/>
    <w:rsid w:val="00DE1972"/>
    <w:rsid w:val="00DE27AB"/>
    <w:rsid w:val="00DF2AB3"/>
    <w:rsid w:val="00DF7250"/>
    <w:rsid w:val="00E00CAA"/>
    <w:rsid w:val="00E03EBF"/>
    <w:rsid w:val="00E05209"/>
    <w:rsid w:val="00E05AC1"/>
    <w:rsid w:val="00E11BCF"/>
    <w:rsid w:val="00E2258E"/>
    <w:rsid w:val="00E25704"/>
    <w:rsid w:val="00E260C2"/>
    <w:rsid w:val="00E32596"/>
    <w:rsid w:val="00E368F7"/>
    <w:rsid w:val="00E36EB8"/>
    <w:rsid w:val="00E37FB8"/>
    <w:rsid w:val="00E40B07"/>
    <w:rsid w:val="00E42326"/>
    <w:rsid w:val="00E43544"/>
    <w:rsid w:val="00E44D89"/>
    <w:rsid w:val="00E477EA"/>
    <w:rsid w:val="00E54B98"/>
    <w:rsid w:val="00E54FFD"/>
    <w:rsid w:val="00E55807"/>
    <w:rsid w:val="00E61FE1"/>
    <w:rsid w:val="00E63B14"/>
    <w:rsid w:val="00E65CA0"/>
    <w:rsid w:val="00E70D9F"/>
    <w:rsid w:val="00E83810"/>
    <w:rsid w:val="00E86933"/>
    <w:rsid w:val="00E9605B"/>
    <w:rsid w:val="00E965CA"/>
    <w:rsid w:val="00E97298"/>
    <w:rsid w:val="00E97753"/>
    <w:rsid w:val="00E978FA"/>
    <w:rsid w:val="00EA0C51"/>
    <w:rsid w:val="00EA2271"/>
    <w:rsid w:val="00EA7DE7"/>
    <w:rsid w:val="00EB05C2"/>
    <w:rsid w:val="00EB7A8A"/>
    <w:rsid w:val="00EC2DC9"/>
    <w:rsid w:val="00EC3B5A"/>
    <w:rsid w:val="00EC3ED1"/>
    <w:rsid w:val="00EC417D"/>
    <w:rsid w:val="00EC6FED"/>
    <w:rsid w:val="00EC7F3B"/>
    <w:rsid w:val="00ED5299"/>
    <w:rsid w:val="00EE1282"/>
    <w:rsid w:val="00EE3A64"/>
    <w:rsid w:val="00EE50E5"/>
    <w:rsid w:val="00EF01CF"/>
    <w:rsid w:val="00EF2157"/>
    <w:rsid w:val="00F03590"/>
    <w:rsid w:val="00F03622"/>
    <w:rsid w:val="00F077FD"/>
    <w:rsid w:val="00F204F3"/>
    <w:rsid w:val="00F218AB"/>
    <w:rsid w:val="00F238B3"/>
    <w:rsid w:val="00F24A80"/>
    <w:rsid w:val="00F24FED"/>
    <w:rsid w:val="00F25586"/>
    <w:rsid w:val="00F2651D"/>
    <w:rsid w:val="00F27362"/>
    <w:rsid w:val="00F31498"/>
    <w:rsid w:val="00F32FEF"/>
    <w:rsid w:val="00F41B1C"/>
    <w:rsid w:val="00F42DBB"/>
    <w:rsid w:val="00F42E13"/>
    <w:rsid w:val="00F42F1C"/>
    <w:rsid w:val="00F43B44"/>
    <w:rsid w:val="00F440E5"/>
    <w:rsid w:val="00F448F6"/>
    <w:rsid w:val="00F52741"/>
    <w:rsid w:val="00F53D8A"/>
    <w:rsid w:val="00F626F7"/>
    <w:rsid w:val="00F62F18"/>
    <w:rsid w:val="00F736F9"/>
    <w:rsid w:val="00F73833"/>
    <w:rsid w:val="00F741BA"/>
    <w:rsid w:val="00F74907"/>
    <w:rsid w:val="00F9211C"/>
    <w:rsid w:val="00FA095D"/>
    <w:rsid w:val="00FA6C8B"/>
    <w:rsid w:val="00FA6CDA"/>
    <w:rsid w:val="00FA7C89"/>
    <w:rsid w:val="00FB4139"/>
    <w:rsid w:val="00FB476E"/>
    <w:rsid w:val="00FC0D90"/>
    <w:rsid w:val="00FC7D8C"/>
    <w:rsid w:val="00FD3980"/>
    <w:rsid w:val="00FD431E"/>
    <w:rsid w:val="00FD5A2C"/>
    <w:rsid w:val="00FD77B4"/>
    <w:rsid w:val="00FE0D47"/>
    <w:rsid w:val="00FE1D5C"/>
    <w:rsid w:val="00FE26D6"/>
    <w:rsid w:val="00FE2F8B"/>
    <w:rsid w:val="00FE3669"/>
    <w:rsid w:val="00FE5204"/>
    <w:rsid w:val="00FF287F"/>
    <w:rsid w:val="00FF74A8"/>
    <w:rsid w:val="1591898D"/>
    <w:rsid w:val="160E1122"/>
    <w:rsid w:val="202716DE"/>
    <w:rsid w:val="3EA6533A"/>
    <w:rsid w:val="66DE5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9C68726-8511-4146-BFF2-E05A384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73E42"/>
    <w:rPr>
      <w:color w:val="605E5C"/>
      <w:shd w:val="clear" w:color="auto" w:fill="E1DFDD"/>
    </w:rPr>
  </w:style>
  <w:style w:type="paragraph" w:styleId="Revision">
    <w:name w:val="Revision"/>
    <w:hidden/>
    <w:uiPriority w:val="99"/>
    <w:semiHidden/>
    <w:rsid w:val="00AE4B0E"/>
    <w:rPr>
      <w:rFonts w:asciiTheme="minorHAnsi" w:hAnsiTheme="minorHAnsi"/>
      <w:sz w:val="24"/>
      <w:lang w:val="en-GB" w:eastAsia="en-US"/>
    </w:rPr>
  </w:style>
  <w:style w:type="paragraph" w:styleId="BalloonText">
    <w:name w:val="Balloon Text"/>
    <w:basedOn w:val="Normal"/>
    <w:link w:val="BalloonTextChar"/>
    <w:semiHidden/>
    <w:unhideWhenUsed/>
    <w:rsid w:val="00EC2D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2DC9"/>
    <w:rPr>
      <w:rFonts w:ascii="Segoe UI" w:hAnsi="Segoe UI" w:cs="Segoe UI"/>
      <w:sz w:val="18"/>
      <w:szCs w:val="18"/>
      <w:lang w:val="en-GB" w:eastAsia="en-US"/>
    </w:rPr>
  </w:style>
  <w:style w:type="numbering" w:customStyle="1" w:styleId="ImportedStyle1">
    <w:name w:val="Imported Style 1"/>
    <w:rsid w:val="00205325"/>
    <w:pPr>
      <w:numPr>
        <w:numId w:val="4"/>
      </w:numPr>
    </w:pPr>
  </w:style>
  <w:style w:type="paragraph" w:customStyle="1" w:styleId="Body">
    <w:name w:val="Body"/>
    <w:rsid w:val="00900F4C"/>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eastAsia="en-GB"/>
      <w14:textOutline w14:w="0" w14:cap="flat" w14:cmpd="sng" w14:algn="ctr">
        <w14:noFill/>
        <w14:prstDash w14:val="solid"/>
        <w14:bevel/>
      </w14:textOutline>
    </w:rPr>
  </w:style>
  <w:style w:type="numbering" w:customStyle="1" w:styleId="ImportedStyle3">
    <w:name w:val="Imported Style 3"/>
    <w:rsid w:val="00900F4C"/>
    <w:pPr>
      <w:numPr>
        <w:numId w:val="6"/>
      </w:numPr>
    </w:pPr>
  </w:style>
  <w:style w:type="character" w:styleId="CommentReference">
    <w:name w:val="annotation reference"/>
    <w:basedOn w:val="DefaultParagraphFont"/>
    <w:semiHidden/>
    <w:unhideWhenUsed/>
    <w:rsid w:val="00552923"/>
    <w:rPr>
      <w:sz w:val="16"/>
      <w:szCs w:val="16"/>
    </w:rPr>
  </w:style>
  <w:style w:type="paragraph" w:styleId="CommentText">
    <w:name w:val="annotation text"/>
    <w:basedOn w:val="Normal"/>
    <w:link w:val="CommentTextChar"/>
    <w:unhideWhenUsed/>
    <w:rsid w:val="00552923"/>
    <w:rPr>
      <w:sz w:val="20"/>
    </w:rPr>
  </w:style>
  <w:style w:type="character" w:customStyle="1" w:styleId="CommentTextChar">
    <w:name w:val="Comment Text Char"/>
    <w:basedOn w:val="DefaultParagraphFont"/>
    <w:link w:val="CommentText"/>
    <w:rsid w:val="0055292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52923"/>
    <w:rPr>
      <w:b/>
      <w:bCs/>
    </w:rPr>
  </w:style>
  <w:style w:type="character" w:customStyle="1" w:styleId="CommentSubjectChar">
    <w:name w:val="Comment Subject Char"/>
    <w:basedOn w:val="CommentTextChar"/>
    <w:link w:val="CommentSubject"/>
    <w:semiHidden/>
    <w:rsid w:val="00552923"/>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3629">
      <w:bodyDiv w:val="1"/>
      <w:marLeft w:val="0"/>
      <w:marRight w:val="0"/>
      <w:marTop w:val="0"/>
      <w:marBottom w:val="0"/>
      <w:divBdr>
        <w:top w:val="none" w:sz="0" w:space="0" w:color="auto"/>
        <w:left w:val="none" w:sz="0" w:space="0" w:color="auto"/>
        <w:bottom w:val="none" w:sz="0" w:space="0" w:color="auto"/>
        <w:right w:val="none" w:sz="0" w:space="0" w:color="auto"/>
      </w:divBdr>
    </w:div>
    <w:div w:id="487986477">
      <w:bodyDiv w:val="1"/>
      <w:marLeft w:val="0"/>
      <w:marRight w:val="0"/>
      <w:marTop w:val="0"/>
      <w:marBottom w:val="0"/>
      <w:divBdr>
        <w:top w:val="none" w:sz="0" w:space="0" w:color="auto"/>
        <w:left w:val="none" w:sz="0" w:space="0" w:color="auto"/>
        <w:bottom w:val="none" w:sz="0" w:space="0" w:color="auto"/>
        <w:right w:val="none" w:sz="0" w:space="0" w:color="auto"/>
      </w:divBdr>
    </w:div>
    <w:div w:id="827212853">
      <w:bodyDiv w:val="1"/>
      <w:marLeft w:val="0"/>
      <w:marRight w:val="0"/>
      <w:marTop w:val="0"/>
      <w:marBottom w:val="0"/>
      <w:divBdr>
        <w:top w:val="none" w:sz="0" w:space="0" w:color="auto"/>
        <w:left w:val="none" w:sz="0" w:space="0" w:color="auto"/>
        <w:bottom w:val="none" w:sz="0" w:space="0" w:color="auto"/>
        <w:right w:val="none" w:sz="0" w:space="0" w:color="auto"/>
      </w:divBdr>
    </w:div>
    <w:div w:id="951857303">
      <w:bodyDiv w:val="1"/>
      <w:marLeft w:val="0"/>
      <w:marRight w:val="0"/>
      <w:marTop w:val="0"/>
      <w:marBottom w:val="0"/>
      <w:divBdr>
        <w:top w:val="none" w:sz="0" w:space="0" w:color="auto"/>
        <w:left w:val="none" w:sz="0" w:space="0" w:color="auto"/>
        <w:bottom w:val="none" w:sz="0" w:space="0" w:color="auto"/>
        <w:right w:val="none" w:sz="0" w:space="0" w:color="auto"/>
      </w:divBdr>
    </w:div>
    <w:div w:id="1008407167">
      <w:bodyDiv w:val="1"/>
      <w:marLeft w:val="0"/>
      <w:marRight w:val="0"/>
      <w:marTop w:val="0"/>
      <w:marBottom w:val="0"/>
      <w:divBdr>
        <w:top w:val="none" w:sz="0" w:space="0" w:color="auto"/>
        <w:left w:val="none" w:sz="0" w:space="0" w:color="auto"/>
        <w:bottom w:val="none" w:sz="0" w:space="0" w:color="auto"/>
        <w:right w:val="none" w:sz="0" w:space="0" w:color="auto"/>
      </w:divBdr>
    </w:div>
    <w:div w:id="1427069157">
      <w:bodyDiv w:val="1"/>
      <w:marLeft w:val="0"/>
      <w:marRight w:val="0"/>
      <w:marTop w:val="0"/>
      <w:marBottom w:val="0"/>
      <w:divBdr>
        <w:top w:val="none" w:sz="0" w:space="0" w:color="auto"/>
        <w:left w:val="none" w:sz="0" w:space="0" w:color="auto"/>
        <w:bottom w:val="none" w:sz="0" w:space="0" w:color="auto"/>
        <w:right w:val="none" w:sz="0" w:space="0" w:color="auto"/>
      </w:divBdr>
    </w:div>
    <w:div w:id="1770613480">
      <w:bodyDiv w:val="1"/>
      <w:marLeft w:val="0"/>
      <w:marRight w:val="0"/>
      <w:marTop w:val="0"/>
      <w:marBottom w:val="0"/>
      <w:divBdr>
        <w:top w:val="none" w:sz="0" w:space="0" w:color="auto"/>
        <w:left w:val="none" w:sz="0" w:space="0" w:color="auto"/>
        <w:bottom w:val="none" w:sz="0" w:space="0" w:color="auto"/>
        <w:right w:val="none" w:sz="0" w:space="0" w:color="auto"/>
      </w:divBdr>
    </w:div>
    <w:div w:id="1847862773">
      <w:bodyDiv w:val="1"/>
      <w:marLeft w:val="0"/>
      <w:marRight w:val="0"/>
      <w:marTop w:val="0"/>
      <w:marBottom w:val="0"/>
      <w:divBdr>
        <w:top w:val="none" w:sz="0" w:space="0" w:color="auto"/>
        <w:left w:val="none" w:sz="0" w:space="0" w:color="auto"/>
        <w:bottom w:val="none" w:sz="0" w:space="0" w:color="auto"/>
        <w:right w:val="none" w:sz="0" w:space="0" w:color="auto"/>
      </w:divBdr>
    </w:div>
    <w:div w:id="1980767929">
      <w:bodyDiv w:val="1"/>
      <w:marLeft w:val="0"/>
      <w:marRight w:val="0"/>
      <w:marTop w:val="0"/>
      <w:marBottom w:val="0"/>
      <w:divBdr>
        <w:top w:val="none" w:sz="0" w:space="0" w:color="auto"/>
        <w:left w:val="none" w:sz="0" w:space="0" w:color="auto"/>
        <w:bottom w:val="none" w:sz="0" w:space="0" w:color="auto"/>
        <w:right w:val="none" w:sz="0" w:space="0" w:color="auto"/>
      </w:divBdr>
    </w:div>
    <w:div w:id="20240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u.int/sites/default/files/media2/file/GCBI%20Virtual%20Meeting%20Report_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njillali@inpt.ac.ma" TargetMode="External"/><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16EE0-6FD4-406C-90CC-7E71852D7C9E}">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25107AC2-4537-425F-BB49-98D71E4A9F5E}">
  <ds:schemaRefs>
    <ds:schemaRef ds:uri="http://schemas.openxmlformats.org/officeDocument/2006/bibliography"/>
  </ds:schemaRefs>
</ds:datastoreItem>
</file>

<file path=customXml/itemProps3.xml><?xml version="1.0" encoding="utf-8"?>
<ds:datastoreItem xmlns:ds="http://schemas.openxmlformats.org/officeDocument/2006/customXml" ds:itemID="{E124588C-A6E7-4C8E-82B9-A2967486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1A3D9-5DFC-4865-A810-BBA6EAD63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6487</Characters>
  <Application>Microsoft Office Word</Application>
  <DocSecurity>0</DocSecurity>
  <Lines>54</Lines>
  <Paragraphs>15</Paragraphs>
  <ScaleCrop>false</ScaleCrop>
  <Manager>General Secretariat - Pool</Manager>
  <Company>International Telecommunication Union (ITU)</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8</cp:revision>
  <cp:lastPrinted>2014-11-04T09:22:00Z</cp:lastPrinted>
  <dcterms:created xsi:type="dcterms:W3CDTF">2024-03-12T08:47:00Z</dcterms:created>
  <dcterms:modified xsi:type="dcterms:W3CDTF">2024-04-09T13:15:00Z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y fmtid="{D5CDD505-2E9C-101B-9397-08002B2CF9AE}" pid="10" name="GrammarlyDocumentId">
    <vt:lpwstr>b19cf6b431d629667693c7dfd23aeb6fd8bdf1b224e743ea75ba99228a397bd0</vt:lpwstr>
  </property>
</Properties>
</file>