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972FBD" w14:paraId="3F0E9EC4" w14:textId="77777777" w:rsidTr="00952667">
        <w:trPr>
          <w:cantSplit/>
          <w:trHeight w:val="1134"/>
        </w:trPr>
        <w:tc>
          <w:tcPr>
            <w:tcW w:w="6379" w:type="dxa"/>
          </w:tcPr>
          <w:p w14:paraId="68FE8375" w14:textId="60D4E501" w:rsidR="00307769" w:rsidRPr="00972FBD" w:rsidRDefault="001011EB" w:rsidP="00307769">
            <w:pPr>
              <w:tabs>
                <w:tab w:val="clear" w:pos="1191"/>
                <w:tab w:val="clear" w:pos="1588"/>
                <w:tab w:val="clear" w:pos="1985"/>
              </w:tabs>
              <w:ind w:left="34"/>
              <w:rPr>
                <w:b/>
                <w:bCs/>
                <w:sz w:val="32"/>
                <w:szCs w:val="32"/>
                <w:lang w:val="fr-FR"/>
              </w:rPr>
            </w:pPr>
            <w:r w:rsidRPr="00972FBD">
              <w:rPr>
                <w:b/>
                <w:bCs/>
                <w:sz w:val="32"/>
                <w:szCs w:val="32"/>
                <w:lang w:val="fr-FR"/>
              </w:rPr>
              <w:t xml:space="preserve">Groupe consultatif pour le développement </w:t>
            </w:r>
            <w:r w:rsidR="00307769" w:rsidRPr="00972FBD">
              <w:rPr>
                <w:b/>
                <w:bCs/>
                <w:sz w:val="32"/>
                <w:szCs w:val="32"/>
                <w:lang w:val="fr-FR"/>
              </w:rPr>
              <w:br/>
            </w:r>
            <w:r w:rsidRPr="00972FBD">
              <w:rPr>
                <w:b/>
                <w:bCs/>
                <w:sz w:val="32"/>
                <w:szCs w:val="32"/>
                <w:lang w:val="fr-FR"/>
              </w:rPr>
              <w:t>des télécommunications (GCDT</w:t>
            </w:r>
            <w:r w:rsidR="00307769" w:rsidRPr="00972FBD">
              <w:rPr>
                <w:b/>
                <w:bCs/>
                <w:sz w:val="32"/>
                <w:szCs w:val="32"/>
                <w:lang w:val="fr-FR"/>
              </w:rPr>
              <w:t>)</w:t>
            </w:r>
          </w:p>
          <w:p w14:paraId="5F5F590A" w14:textId="114AEE46" w:rsidR="00307769" w:rsidRPr="00972FBD" w:rsidRDefault="00307769" w:rsidP="001011EB">
            <w:pPr>
              <w:tabs>
                <w:tab w:val="clear" w:pos="1191"/>
                <w:tab w:val="clear" w:pos="1588"/>
                <w:tab w:val="clear" w:pos="1985"/>
              </w:tabs>
              <w:spacing w:after="120"/>
              <w:ind w:left="34"/>
              <w:rPr>
                <w:rFonts w:ascii="Verdana" w:hAnsi="Verdana"/>
                <w:sz w:val="28"/>
                <w:szCs w:val="28"/>
                <w:lang w:val="fr-FR"/>
              </w:rPr>
            </w:pPr>
            <w:r w:rsidRPr="00972FBD">
              <w:rPr>
                <w:b/>
                <w:bCs/>
                <w:sz w:val="26"/>
                <w:szCs w:val="26"/>
                <w:lang w:val="fr-FR"/>
              </w:rPr>
              <w:t>3</w:t>
            </w:r>
            <w:r w:rsidR="00873313" w:rsidRPr="00972FBD">
              <w:rPr>
                <w:b/>
                <w:bCs/>
                <w:sz w:val="26"/>
                <w:szCs w:val="26"/>
                <w:lang w:val="fr-FR"/>
              </w:rPr>
              <w:t>1</w:t>
            </w:r>
            <w:r w:rsidR="001011EB" w:rsidRPr="00972FBD">
              <w:rPr>
                <w:b/>
                <w:bCs/>
                <w:sz w:val="26"/>
                <w:szCs w:val="26"/>
                <w:lang w:val="fr-FR"/>
              </w:rPr>
              <w:t>ème réunion</w:t>
            </w:r>
            <w:r w:rsidRPr="00972FBD">
              <w:rPr>
                <w:b/>
                <w:bCs/>
                <w:sz w:val="26"/>
                <w:szCs w:val="26"/>
                <w:lang w:val="fr-FR"/>
              </w:rPr>
              <w:t xml:space="preserve">, </w:t>
            </w:r>
            <w:r w:rsidR="001011EB" w:rsidRPr="00972FBD">
              <w:rPr>
                <w:b/>
                <w:bCs/>
                <w:sz w:val="26"/>
                <w:szCs w:val="26"/>
                <w:lang w:val="fr-FR"/>
              </w:rPr>
              <w:t>Genève</w:t>
            </w:r>
            <w:r w:rsidR="00D47E23" w:rsidRPr="00972FBD">
              <w:rPr>
                <w:b/>
                <w:bCs/>
                <w:sz w:val="26"/>
                <w:szCs w:val="26"/>
                <w:lang w:val="fr-FR"/>
              </w:rPr>
              <w:t xml:space="preserve">, </w:t>
            </w:r>
            <w:r w:rsidR="001011EB" w:rsidRPr="00972FBD">
              <w:rPr>
                <w:b/>
                <w:bCs/>
                <w:sz w:val="26"/>
                <w:szCs w:val="26"/>
                <w:lang w:val="fr-FR"/>
              </w:rPr>
              <w:t>Suisse</w:t>
            </w:r>
            <w:r w:rsidRPr="00972FBD">
              <w:rPr>
                <w:b/>
                <w:bCs/>
                <w:sz w:val="26"/>
                <w:szCs w:val="26"/>
                <w:lang w:val="fr-FR"/>
              </w:rPr>
              <w:t xml:space="preserve">, </w:t>
            </w:r>
            <w:r w:rsidR="00873313" w:rsidRPr="00972FBD">
              <w:rPr>
                <w:b/>
                <w:bCs/>
                <w:sz w:val="26"/>
                <w:szCs w:val="26"/>
                <w:lang w:val="fr-FR"/>
              </w:rPr>
              <w:t>20</w:t>
            </w:r>
            <w:r w:rsidRPr="00972FBD">
              <w:rPr>
                <w:b/>
                <w:bCs/>
                <w:sz w:val="26"/>
                <w:szCs w:val="26"/>
                <w:lang w:val="fr-FR"/>
              </w:rPr>
              <w:t>-</w:t>
            </w:r>
            <w:r w:rsidR="00873313" w:rsidRPr="00972FBD">
              <w:rPr>
                <w:b/>
                <w:bCs/>
                <w:sz w:val="26"/>
                <w:szCs w:val="26"/>
                <w:lang w:val="fr-FR"/>
              </w:rPr>
              <w:t>2</w:t>
            </w:r>
            <w:r w:rsidR="00930514" w:rsidRPr="00972FBD">
              <w:rPr>
                <w:b/>
                <w:bCs/>
                <w:sz w:val="26"/>
                <w:szCs w:val="26"/>
                <w:lang w:val="fr-FR"/>
              </w:rPr>
              <w:t>3</w:t>
            </w:r>
            <w:r w:rsidR="00873313" w:rsidRPr="00972FBD">
              <w:rPr>
                <w:b/>
                <w:bCs/>
                <w:sz w:val="26"/>
                <w:szCs w:val="26"/>
                <w:lang w:val="fr-FR"/>
              </w:rPr>
              <w:t xml:space="preserve"> mai</w:t>
            </w:r>
            <w:r w:rsidRPr="00972FBD">
              <w:rPr>
                <w:b/>
                <w:bCs/>
                <w:sz w:val="26"/>
                <w:szCs w:val="26"/>
                <w:lang w:val="fr-FR"/>
              </w:rPr>
              <w:t xml:space="preserve"> 202</w:t>
            </w:r>
            <w:r w:rsidR="00873313" w:rsidRPr="00972FBD">
              <w:rPr>
                <w:b/>
                <w:bCs/>
                <w:sz w:val="26"/>
                <w:szCs w:val="26"/>
                <w:lang w:val="fr-FR"/>
              </w:rPr>
              <w:t>4</w:t>
            </w:r>
          </w:p>
        </w:tc>
        <w:tc>
          <w:tcPr>
            <w:tcW w:w="3509" w:type="dxa"/>
          </w:tcPr>
          <w:p w14:paraId="67E7B4C4" w14:textId="0F52E4CC" w:rsidR="00307769" w:rsidRPr="00972FBD" w:rsidRDefault="00307769" w:rsidP="00952667">
            <w:pPr>
              <w:spacing w:after="120"/>
              <w:ind w:right="142"/>
              <w:jc w:val="right"/>
              <w:rPr>
                <w:lang w:val="fr-FR"/>
              </w:rPr>
            </w:pPr>
            <w:r w:rsidRPr="00972FBD">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72FBD" w14:paraId="3C13197B" w14:textId="77777777" w:rsidTr="0009076F">
        <w:trPr>
          <w:cantSplit/>
        </w:trPr>
        <w:tc>
          <w:tcPr>
            <w:tcW w:w="6379" w:type="dxa"/>
            <w:tcBorders>
              <w:top w:val="single" w:sz="12" w:space="0" w:color="auto"/>
            </w:tcBorders>
          </w:tcPr>
          <w:p w14:paraId="2EED9DB2" w14:textId="77777777" w:rsidR="00683C32" w:rsidRPr="00972FBD"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972FBD" w:rsidRDefault="00683C32" w:rsidP="00107E85">
            <w:pPr>
              <w:spacing w:before="0"/>
              <w:rPr>
                <w:b/>
                <w:bCs/>
                <w:sz w:val="20"/>
                <w:lang w:val="fr-FR"/>
              </w:rPr>
            </w:pPr>
          </w:p>
        </w:tc>
      </w:tr>
      <w:tr w:rsidR="00683C32" w:rsidRPr="00972FBD" w14:paraId="0BB3FBC4" w14:textId="77777777" w:rsidTr="0009076F">
        <w:trPr>
          <w:cantSplit/>
        </w:trPr>
        <w:tc>
          <w:tcPr>
            <w:tcW w:w="6379" w:type="dxa"/>
          </w:tcPr>
          <w:p w14:paraId="43C54B3D" w14:textId="77777777" w:rsidR="00683C32" w:rsidRPr="00972FBD" w:rsidRDefault="00683C32" w:rsidP="00400CCF">
            <w:pPr>
              <w:pStyle w:val="Committee"/>
              <w:spacing w:before="0"/>
              <w:rPr>
                <w:b w:val="0"/>
                <w:szCs w:val="24"/>
                <w:lang w:val="fr-FR"/>
              </w:rPr>
            </w:pPr>
          </w:p>
        </w:tc>
        <w:tc>
          <w:tcPr>
            <w:tcW w:w="3509" w:type="dxa"/>
          </w:tcPr>
          <w:p w14:paraId="02E44EE9" w14:textId="38287611" w:rsidR="00683C32" w:rsidRPr="00972FBD" w:rsidRDefault="0096201B" w:rsidP="00E25345">
            <w:pPr>
              <w:spacing w:before="0"/>
              <w:jc w:val="both"/>
              <w:rPr>
                <w:bCs/>
                <w:szCs w:val="24"/>
                <w:lang w:val="fr-FR"/>
              </w:rPr>
            </w:pPr>
            <w:r w:rsidRPr="00972FBD">
              <w:rPr>
                <w:b/>
                <w:bCs/>
                <w:lang w:val="fr-FR"/>
              </w:rPr>
              <w:t xml:space="preserve">Document </w:t>
            </w:r>
            <w:bookmarkStart w:id="0" w:name="DocRef1"/>
            <w:bookmarkEnd w:id="0"/>
            <w:r w:rsidRPr="00972FBD">
              <w:rPr>
                <w:b/>
                <w:bCs/>
                <w:lang w:val="fr-FR"/>
              </w:rPr>
              <w:t>TDAG</w:t>
            </w:r>
            <w:r w:rsidR="004E7328" w:rsidRPr="00972FBD">
              <w:rPr>
                <w:b/>
                <w:bCs/>
                <w:lang w:val="fr-FR"/>
              </w:rPr>
              <w:t>-</w:t>
            </w:r>
            <w:r w:rsidR="00B648C7" w:rsidRPr="00972FBD">
              <w:rPr>
                <w:b/>
                <w:bCs/>
                <w:lang w:val="fr-FR"/>
              </w:rPr>
              <w:t>2</w:t>
            </w:r>
            <w:bookmarkStart w:id="1" w:name="DocNo1"/>
            <w:bookmarkEnd w:id="1"/>
            <w:r w:rsidR="00873313" w:rsidRPr="00972FBD">
              <w:rPr>
                <w:b/>
                <w:bCs/>
                <w:lang w:val="fr-FR"/>
              </w:rPr>
              <w:t>4</w:t>
            </w:r>
            <w:r w:rsidR="0009076F" w:rsidRPr="00972FBD">
              <w:rPr>
                <w:b/>
                <w:bCs/>
                <w:lang w:val="fr-FR"/>
              </w:rPr>
              <w:t>/</w:t>
            </w:r>
            <w:r w:rsidR="002034B3" w:rsidRPr="00972FBD">
              <w:rPr>
                <w:b/>
                <w:bCs/>
                <w:lang w:val="fr-FR"/>
              </w:rPr>
              <w:t>9</w:t>
            </w:r>
            <w:r w:rsidRPr="00972FBD">
              <w:rPr>
                <w:b/>
                <w:bCs/>
                <w:lang w:val="fr-FR"/>
              </w:rPr>
              <w:t>-</w:t>
            </w:r>
            <w:r w:rsidR="00E25345" w:rsidRPr="00972FBD">
              <w:rPr>
                <w:b/>
                <w:bCs/>
                <w:lang w:val="fr-FR"/>
              </w:rPr>
              <w:t>F</w:t>
            </w:r>
          </w:p>
        </w:tc>
      </w:tr>
      <w:tr w:rsidR="00683C32" w:rsidRPr="00972FBD" w14:paraId="24D04936" w14:textId="77777777" w:rsidTr="002034B3">
        <w:trPr>
          <w:cantSplit/>
        </w:trPr>
        <w:tc>
          <w:tcPr>
            <w:tcW w:w="6379" w:type="dxa"/>
          </w:tcPr>
          <w:p w14:paraId="12CE4DBF" w14:textId="77777777" w:rsidR="00683C32" w:rsidRPr="00972FBD" w:rsidRDefault="00683C32" w:rsidP="00400CCF">
            <w:pPr>
              <w:spacing w:before="0"/>
              <w:rPr>
                <w:b/>
                <w:bCs/>
                <w:smallCaps/>
                <w:szCs w:val="24"/>
                <w:lang w:val="fr-FR"/>
              </w:rPr>
            </w:pPr>
          </w:p>
        </w:tc>
        <w:tc>
          <w:tcPr>
            <w:tcW w:w="3509" w:type="dxa"/>
            <w:shd w:val="clear" w:color="auto" w:fill="auto"/>
          </w:tcPr>
          <w:p w14:paraId="0F89640F" w14:textId="32FAAD24" w:rsidR="00683C32" w:rsidRPr="00972FBD" w:rsidRDefault="002034B3" w:rsidP="00B648C7">
            <w:pPr>
              <w:spacing w:before="0"/>
              <w:rPr>
                <w:b/>
                <w:szCs w:val="24"/>
                <w:lang w:val="fr-FR"/>
              </w:rPr>
            </w:pPr>
            <w:bookmarkStart w:id="2" w:name="CreationDate"/>
            <w:bookmarkEnd w:id="2"/>
            <w:r w:rsidRPr="00972FBD">
              <w:rPr>
                <w:b/>
                <w:bCs/>
                <w:szCs w:val="28"/>
                <w:lang w:val="fr-FR"/>
              </w:rPr>
              <w:t>19 mars 2024</w:t>
            </w:r>
          </w:p>
        </w:tc>
      </w:tr>
      <w:tr w:rsidR="00683C32" w:rsidRPr="00972FBD" w14:paraId="7B96545F" w14:textId="77777777" w:rsidTr="0009076F">
        <w:trPr>
          <w:cantSplit/>
        </w:trPr>
        <w:tc>
          <w:tcPr>
            <w:tcW w:w="6379" w:type="dxa"/>
          </w:tcPr>
          <w:p w14:paraId="65956FD3" w14:textId="77777777" w:rsidR="00683C32" w:rsidRPr="00972FBD" w:rsidRDefault="00683C32" w:rsidP="00400CCF">
            <w:pPr>
              <w:spacing w:before="0"/>
              <w:rPr>
                <w:b/>
                <w:bCs/>
                <w:smallCaps/>
                <w:szCs w:val="24"/>
                <w:lang w:val="fr-FR"/>
              </w:rPr>
            </w:pPr>
          </w:p>
        </w:tc>
        <w:tc>
          <w:tcPr>
            <w:tcW w:w="3509" w:type="dxa"/>
          </w:tcPr>
          <w:p w14:paraId="30EFD39F" w14:textId="33ACFB79" w:rsidR="00514D2F" w:rsidRPr="00972FBD" w:rsidRDefault="0096201B" w:rsidP="001011EB">
            <w:pPr>
              <w:spacing w:before="0"/>
              <w:rPr>
                <w:szCs w:val="24"/>
                <w:lang w:val="fr-FR"/>
              </w:rPr>
            </w:pPr>
            <w:r w:rsidRPr="00972FBD">
              <w:rPr>
                <w:b/>
                <w:lang w:val="fr-FR"/>
              </w:rPr>
              <w:t>Original:</w:t>
            </w:r>
            <w:bookmarkStart w:id="3" w:name="Original"/>
            <w:bookmarkEnd w:id="3"/>
            <w:r w:rsidR="00CE0422" w:rsidRPr="00972FBD">
              <w:rPr>
                <w:b/>
                <w:lang w:val="fr-FR"/>
              </w:rPr>
              <w:t xml:space="preserve"> </w:t>
            </w:r>
            <w:r w:rsidR="001011EB" w:rsidRPr="00972FBD">
              <w:rPr>
                <w:b/>
                <w:lang w:val="fr-FR"/>
              </w:rPr>
              <w:t>anglais</w:t>
            </w:r>
          </w:p>
        </w:tc>
      </w:tr>
      <w:tr w:rsidR="00A13162" w:rsidRPr="00972FBD" w14:paraId="31656E31" w14:textId="77777777" w:rsidTr="00107E85">
        <w:trPr>
          <w:cantSplit/>
          <w:trHeight w:val="852"/>
        </w:trPr>
        <w:tc>
          <w:tcPr>
            <w:tcW w:w="9888" w:type="dxa"/>
            <w:gridSpan w:val="2"/>
          </w:tcPr>
          <w:p w14:paraId="512FCA01" w14:textId="5EA1CF70" w:rsidR="00A13162" w:rsidRPr="00972FBD" w:rsidRDefault="002034B3" w:rsidP="0030353C">
            <w:pPr>
              <w:pStyle w:val="Source"/>
              <w:rPr>
                <w:lang w:val="fr-FR"/>
              </w:rPr>
            </w:pPr>
            <w:bookmarkStart w:id="4" w:name="Source"/>
            <w:bookmarkEnd w:id="4"/>
            <w:r w:rsidRPr="00972FBD">
              <w:rPr>
                <w:lang w:val="fr-FR"/>
              </w:rPr>
              <w:t>Président du Groupe de coordination intersectorielle (ISCG)</w:t>
            </w:r>
          </w:p>
        </w:tc>
      </w:tr>
      <w:tr w:rsidR="00AC6F14" w:rsidRPr="00972FBD" w14:paraId="2CBD3A36" w14:textId="77777777" w:rsidTr="00107E85">
        <w:trPr>
          <w:cantSplit/>
        </w:trPr>
        <w:tc>
          <w:tcPr>
            <w:tcW w:w="9888" w:type="dxa"/>
            <w:gridSpan w:val="2"/>
          </w:tcPr>
          <w:p w14:paraId="1B4121DF" w14:textId="083E0C7B" w:rsidR="00AC6F14" w:rsidRPr="00972FBD" w:rsidRDefault="002034B3" w:rsidP="002034B3">
            <w:pPr>
              <w:pStyle w:val="Title1"/>
              <w:rPr>
                <w:lang w:val="fr-FR"/>
              </w:rPr>
            </w:pPr>
            <w:bookmarkStart w:id="5" w:name="Title"/>
            <w:bookmarkEnd w:id="5"/>
            <w:r w:rsidRPr="00972FBD">
              <w:rPr>
                <w:lang w:val="fr-FR"/>
              </w:rPr>
              <w:t>Rapport du Groupe de coordination intersect</w:t>
            </w:r>
            <w:r w:rsidR="00972FBD" w:rsidRPr="00972FBD">
              <w:rPr>
                <w:lang w:val="fr-FR"/>
              </w:rPr>
              <w:t>o</w:t>
            </w:r>
            <w:r w:rsidRPr="00972FBD">
              <w:rPr>
                <w:lang w:val="fr-FR"/>
              </w:rPr>
              <w:t>rielle (ISCG)</w:t>
            </w:r>
            <w:r w:rsidRPr="00972FBD">
              <w:rPr>
                <w:lang w:val="fr-FR"/>
              </w:rPr>
              <w:br/>
              <w:t>sur des questions d'intérêt mutuel</w:t>
            </w:r>
          </w:p>
        </w:tc>
      </w:tr>
      <w:tr w:rsidR="00A721F4" w:rsidRPr="00972FBD" w14:paraId="23A30231" w14:textId="77777777" w:rsidTr="00A721F4">
        <w:trPr>
          <w:cantSplit/>
        </w:trPr>
        <w:tc>
          <w:tcPr>
            <w:tcW w:w="9888" w:type="dxa"/>
            <w:gridSpan w:val="2"/>
            <w:tcBorders>
              <w:bottom w:val="single" w:sz="4" w:space="0" w:color="auto"/>
            </w:tcBorders>
          </w:tcPr>
          <w:p w14:paraId="726EE70E" w14:textId="77777777" w:rsidR="00A721F4" w:rsidRPr="00972FBD" w:rsidRDefault="00A721F4" w:rsidP="0030353C">
            <w:pPr>
              <w:rPr>
                <w:lang w:val="fr-FR"/>
              </w:rPr>
            </w:pPr>
          </w:p>
        </w:tc>
      </w:tr>
      <w:tr w:rsidR="00A721F4" w:rsidRPr="00972FB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972FBD" w:rsidRDefault="001011EB" w:rsidP="00EA0C51">
            <w:pPr>
              <w:spacing w:after="120"/>
              <w:rPr>
                <w:b/>
                <w:bCs/>
                <w:szCs w:val="24"/>
                <w:lang w:val="fr-FR"/>
              </w:rPr>
            </w:pPr>
            <w:r w:rsidRPr="00972FBD">
              <w:rPr>
                <w:b/>
                <w:bCs/>
                <w:szCs w:val="24"/>
                <w:lang w:val="fr-FR"/>
              </w:rPr>
              <w:t>Résumé</w:t>
            </w:r>
            <w:r w:rsidR="00A721F4" w:rsidRPr="00972FBD">
              <w:rPr>
                <w:b/>
                <w:bCs/>
                <w:szCs w:val="24"/>
                <w:lang w:val="fr-FR"/>
              </w:rPr>
              <w:t>:</w:t>
            </w:r>
          </w:p>
          <w:p w14:paraId="4082D7E8" w14:textId="22E0D008" w:rsidR="00A721F4" w:rsidRPr="00972FBD" w:rsidRDefault="002034B3" w:rsidP="00EA0C51">
            <w:pPr>
              <w:spacing w:after="120"/>
              <w:rPr>
                <w:szCs w:val="24"/>
                <w:lang w:val="fr-FR"/>
              </w:rPr>
            </w:pPr>
            <w:r w:rsidRPr="00972FBD">
              <w:rPr>
                <w:szCs w:val="24"/>
                <w:lang w:val="fr-FR"/>
              </w:rPr>
              <w:t xml:space="preserve">On trouvera dans le présent </w:t>
            </w:r>
            <w:r w:rsidR="004E7328" w:rsidRPr="00972FBD">
              <w:rPr>
                <w:szCs w:val="24"/>
                <w:lang w:val="fr-FR"/>
              </w:rPr>
              <w:t>d</w:t>
            </w:r>
            <w:r w:rsidRPr="00972FBD">
              <w:rPr>
                <w:szCs w:val="24"/>
                <w:lang w:val="fr-FR"/>
              </w:rPr>
              <w:t>ocument un rapport du Groupe de coordination intersectorielle (ISCG) sur des questions d'intérêt mutuel, qui rend compte des conclusions de la dernière réunion du Groupe tenue le 24 janvier 2024.</w:t>
            </w:r>
          </w:p>
          <w:p w14:paraId="76A1C541" w14:textId="23209CDB" w:rsidR="00A721F4" w:rsidRPr="00972FBD" w:rsidRDefault="001011EB" w:rsidP="00EA0C51">
            <w:pPr>
              <w:spacing w:after="120"/>
              <w:rPr>
                <w:b/>
                <w:bCs/>
                <w:szCs w:val="24"/>
                <w:lang w:val="fr-FR"/>
              </w:rPr>
            </w:pPr>
            <w:r w:rsidRPr="00972FBD">
              <w:rPr>
                <w:b/>
                <w:bCs/>
                <w:lang w:val="fr-FR"/>
              </w:rPr>
              <w:t>Suite à donner</w:t>
            </w:r>
            <w:r w:rsidR="00A721F4" w:rsidRPr="00972FBD">
              <w:rPr>
                <w:b/>
                <w:bCs/>
                <w:lang w:val="fr-FR"/>
              </w:rPr>
              <w:t>:</w:t>
            </w:r>
          </w:p>
          <w:p w14:paraId="371956FC" w14:textId="0FC62C95" w:rsidR="00A721F4" w:rsidRPr="00972FBD" w:rsidRDefault="002034B3" w:rsidP="00EA0C51">
            <w:pPr>
              <w:spacing w:after="120"/>
              <w:rPr>
                <w:szCs w:val="24"/>
                <w:lang w:val="fr-FR"/>
              </w:rPr>
            </w:pPr>
            <w:r w:rsidRPr="00972FBD">
              <w:rPr>
                <w:szCs w:val="24"/>
                <w:lang w:val="fr-FR"/>
              </w:rPr>
              <w:t xml:space="preserve">Le GCDT est invité à prendre note du présent </w:t>
            </w:r>
            <w:r w:rsidR="004E7328" w:rsidRPr="00972FBD">
              <w:rPr>
                <w:szCs w:val="24"/>
                <w:lang w:val="fr-FR"/>
              </w:rPr>
              <w:t>d</w:t>
            </w:r>
            <w:r w:rsidRPr="00972FBD">
              <w:rPr>
                <w:szCs w:val="24"/>
                <w:lang w:val="fr-FR"/>
              </w:rPr>
              <w:t>ocument et à donner des indications s'il y a lieu.</w:t>
            </w:r>
          </w:p>
          <w:p w14:paraId="622ACB80" w14:textId="39EE560D" w:rsidR="00A721F4" w:rsidRPr="00972FBD" w:rsidRDefault="00A721F4" w:rsidP="00EA0C51">
            <w:pPr>
              <w:spacing w:after="120"/>
              <w:rPr>
                <w:b/>
                <w:bCs/>
                <w:szCs w:val="24"/>
                <w:lang w:val="fr-FR"/>
              </w:rPr>
            </w:pPr>
            <w:r w:rsidRPr="00972FBD">
              <w:rPr>
                <w:b/>
                <w:bCs/>
                <w:szCs w:val="24"/>
                <w:lang w:val="fr-FR"/>
              </w:rPr>
              <w:t>R</w:t>
            </w:r>
            <w:r w:rsidR="001011EB" w:rsidRPr="00972FBD">
              <w:rPr>
                <w:b/>
                <w:bCs/>
                <w:szCs w:val="24"/>
                <w:lang w:val="fr-FR"/>
              </w:rPr>
              <w:t>é</w:t>
            </w:r>
            <w:r w:rsidRPr="00972FBD">
              <w:rPr>
                <w:b/>
                <w:bCs/>
                <w:szCs w:val="24"/>
                <w:lang w:val="fr-FR"/>
              </w:rPr>
              <w:t>f</w:t>
            </w:r>
            <w:r w:rsidR="001011EB" w:rsidRPr="00972FBD">
              <w:rPr>
                <w:b/>
                <w:bCs/>
                <w:szCs w:val="24"/>
                <w:lang w:val="fr-FR"/>
              </w:rPr>
              <w:t>é</w:t>
            </w:r>
            <w:r w:rsidRPr="00972FBD">
              <w:rPr>
                <w:b/>
                <w:bCs/>
                <w:szCs w:val="24"/>
                <w:lang w:val="fr-FR"/>
              </w:rPr>
              <w:t>rences:</w:t>
            </w:r>
          </w:p>
          <w:p w14:paraId="1ECDD20E" w14:textId="726E06BE" w:rsidR="00A721F4" w:rsidRPr="00972FBD" w:rsidRDefault="00972FBD" w:rsidP="00EA0C51">
            <w:pPr>
              <w:spacing w:after="120"/>
              <w:rPr>
                <w:lang w:val="fr-FR"/>
              </w:rPr>
            </w:pPr>
            <w:hyperlink r:id="rId11" w:history="1">
              <w:r w:rsidR="002034B3" w:rsidRPr="00972FBD">
                <w:rPr>
                  <w:rStyle w:val="Hyperlink"/>
                  <w:rFonts w:cstheme="minorHAnsi"/>
                  <w:bCs/>
                  <w:szCs w:val="24"/>
                  <w:lang w:val="fr-FR"/>
                </w:rPr>
                <w:t>Rés</w:t>
              </w:r>
              <w:r w:rsidR="002034B3" w:rsidRPr="00972FBD">
                <w:rPr>
                  <w:rStyle w:val="Hyperlink"/>
                  <w:rFonts w:cstheme="minorHAnsi"/>
                  <w:bCs/>
                  <w:szCs w:val="24"/>
                  <w:lang w:val="fr-FR"/>
                </w:rPr>
                <w:t>o</w:t>
              </w:r>
              <w:r w:rsidR="002034B3" w:rsidRPr="00972FBD">
                <w:rPr>
                  <w:rStyle w:val="Hyperlink"/>
                  <w:rFonts w:cstheme="minorHAnsi"/>
                  <w:bCs/>
                  <w:szCs w:val="24"/>
                  <w:lang w:val="fr-FR"/>
                </w:rPr>
                <w:t>lution 191</w:t>
              </w:r>
            </w:hyperlink>
            <w:r w:rsidR="002034B3" w:rsidRPr="00972FBD">
              <w:rPr>
                <w:rFonts w:cstheme="minorHAnsi"/>
                <w:bCs/>
                <w:szCs w:val="24"/>
                <w:lang w:val="fr-FR"/>
              </w:rPr>
              <w:t xml:space="preserve"> (Rév. Bucarest, 2022) de la Conférence de plénipotentiaires</w:t>
            </w:r>
          </w:p>
        </w:tc>
      </w:tr>
    </w:tbl>
    <w:p w14:paraId="5B29B2A3" w14:textId="77777777" w:rsidR="00923CF1" w:rsidRPr="00972FBD" w:rsidRDefault="00923CF1">
      <w:pPr>
        <w:tabs>
          <w:tab w:val="clear" w:pos="794"/>
          <w:tab w:val="clear" w:pos="1191"/>
          <w:tab w:val="clear" w:pos="1588"/>
          <w:tab w:val="clear" w:pos="1985"/>
        </w:tabs>
        <w:overflowPunct/>
        <w:autoSpaceDE/>
        <w:autoSpaceDN/>
        <w:adjustRightInd/>
        <w:spacing w:before="0"/>
        <w:textAlignment w:val="auto"/>
        <w:rPr>
          <w:lang w:val="fr-FR"/>
        </w:rPr>
      </w:pPr>
      <w:r w:rsidRPr="00972FBD">
        <w:rPr>
          <w:lang w:val="fr-FR"/>
        </w:rPr>
        <w:br w:type="page"/>
      </w:r>
    </w:p>
    <w:p w14:paraId="43B720DD" w14:textId="77777777" w:rsidR="002034B3" w:rsidRPr="00972FBD" w:rsidRDefault="002034B3" w:rsidP="002034B3">
      <w:pPr>
        <w:pStyle w:val="Headingb"/>
        <w:rPr>
          <w:lang w:val="fr-FR"/>
        </w:rPr>
      </w:pPr>
      <w:r w:rsidRPr="00972FBD">
        <w:rPr>
          <w:lang w:val="fr-FR"/>
        </w:rPr>
        <w:lastRenderedPageBreak/>
        <w:t>Introduction</w:t>
      </w:r>
    </w:p>
    <w:p w14:paraId="63749221" w14:textId="32C83586" w:rsidR="002034B3" w:rsidRPr="00972FBD" w:rsidRDefault="002034B3" w:rsidP="002034B3">
      <w:pPr>
        <w:rPr>
          <w:lang w:val="fr-FR"/>
        </w:rPr>
      </w:pPr>
      <w:r w:rsidRPr="00972FBD">
        <w:rPr>
          <w:lang w:val="fr-FR"/>
        </w:rPr>
        <w:t>Le Président du Groupe de coordination intersectorielle (ISCG) sur les questions d'intérêt mutuel, M. Fabio Bigi, tient à présenter au Groupe consultatif pour le développement des télécommunications (GCDT) les résultats de la dernière réunion du Groupe ISCG, tenue le 24 janvier 2024, au siège de l'UIT, de 12 h 30 à 14 heures (CET).</w:t>
      </w:r>
    </w:p>
    <w:p w14:paraId="0A16DFA6" w14:textId="10650E05" w:rsidR="002034B3" w:rsidRPr="00972FBD" w:rsidRDefault="002034B3" w:rsidP="002034B3">
      <w:pPr>
        <w:rPr>
          <w:lang w:val="fr-FR"/>
        </w:rPr>
      </w:pPr>
      <w:r w:rsidRPr="00972FBD">
        <w:rPr>
          <w:lang w:val="fr-FR"/>
        </w:rPr>
        <w:t>Cette réunion a été organisée parallèlement à la réunion du Groupe consultatif de la normalisation des télécommunications (GCNT). Des modalités de participation à distance et des services de sous</w:t>
      </w:r>
      <w:r w:rsidRPr="00972FBD">
        <w:rPr>
          <w:lang w:val="fr-FR"/>
        </w:rPr>
        <w:noBreakHyphen/>
        <w:t>titrage ont été assurés via la plate-forme Zoom.</w:t>
      </w:r>
    </w:p>
    <w:p w14:paraId="2A8E86BF" w14:textId="3F1B828E" w:rsidR="002034B3" w:rsidRPr="00972FBD" w:rsidRDefault="002034B3" w:rsidP="002034B3">
      <w:pPr>
        <w:rPr>
          <w:lang w:val="fr-FR"/>
        </w:rPr>
      </w:pPr>
      <w:r w:rsidRPr="00972FBD">
        <w:rPr>
          <w:lang w:val="fr-FR"/>
        </w:rPr>
        <w:t>Les participants ont adopté l'ordre du jour (</w:t>
      </w:r>
      <w:hyperlink r:id="rId12" w:history="1">
        <w:r w:rsidRPr="00972FBD">
          <w:rPr>
            <w:rStyle w:val="Hyperlink"/>
            <w:lang w:val="fr-FR"/>
          </w:rPr>
          <w:t>ISCG/24-1/0</w:t>
        </w:r>
        <w:r w:rsidRPr="00972FBD">
          <w:rPr>
            <w:rStyle w:val="Hyperlink"/>
            <w:lang w:val="fr-FR"/>
          </w:rPr>
          <w:t>1</w:t>
        </w:r>
        <w:r w:rsidRPr="00972FBD">
          <w:rPr>
            <w:rStyle w:val="Hyperlink"/>
            <w:lang w:val="fr-FR"/>
          </w:rPr>
          <w:t>-R3</w:t>
        </w:r>
      </w:hyperlink>
      <w:r w:rsidRPr="00972FBD">
        <w:rPr>
          <w:lang w:val="fr-FR"/>
        </w:rPr>
        <w:t xml:space="preserve">) ainsi que le </w:t>
      </w:r>
      <w:r w:rsidR="004E7328" w:rsidRPr="00972FBD">
        <w:rPr>
          <w:lang w:val="fr-FR"/>
        </w:rPr>
        <w:t>r</w:t>
      </w:r>
      <w:r w:rsidRPr="00972FBD">
        <w:rPr>
          <w:lang w:val="fr-FR"/>
        </w:rPr>
        <w:t>apport de la réunion précédente du Groupe ISCG (</w:t>
      </w:r>
      <w:hyperlink r:id="rId13" w:history="1">
        <w:r w:rsidRPr="00972FBD">
          <w:rPr>
            <w:rStyle w:val="Hyperlink"/>
            <w:lang w:val="fr-FR"/>
          </w:rPr>
          <w:t>ISCG/2</w:t>
        </w:r>
        <w:r w:rsidRPr="00972FBD">
          <w:rPr>
            <w:rStyle w:val="Hyperlink"/>
            <w:lang w:val="fr-FR"/>
          </w:rPr>
          <w:t>4</w:t>
        </w:r>
        <w:r w:rsidRPr="00972FBD">
          <w:rPr>
            <w:rStyle w:val="Hyperlink"/>
            <w:lang w:val="fr-FR"/>
          </w:rPr>
          <w:t>-1/02</w:t>
        </w:r>
      </w:hyperlink>
      <w:r w:rsidRPr="00972FBD">
        <w:rPr>
          <w:lang w:val="fr-FR"/>
        </w:rPr>
        <w:t>).</w:t>
      </w:r>
    </w:p>
    <w:p w14:paraId="38D42401" w14:textId="61275454" w:rsidR="002034B3" w:rsidRPr="00972FBD" w:rsidRDefault="002034B3" w:rsidP="002034B3">
      <w:pPr>
        <w:rPr>
          <w:lang w:val="fr-FR"/>
        </w:rPr>
      </w:pPr>
      <w:r w:rsidRPr="00972FBD">
        <w:rPr>
          <w:lang w:val="fr-FR"/>
        </w:rPr>
        <w:t xml:space="preserve">Tous les documents présentés et examinés pendant la réunion, y compris l'ordre du jour et la Liste des participants, sont disponibles sur la </w:t>
      </w:r>
      <w:hyperlink r:id="rId14" w:history="1">
        <w:r w:rsidRPr="00972FBD">
          <w:rPr>
            <w:rStyle w:val="Hyperlink"/>
            <w:lang w:val="fr-FR"/>
          </w:rPr>
          <w:t>page web du Group</w:t>
        </w:r>
        <w:r w:rsidRPr="00972FBD">
          <w:rPr>
            <w:rStyle w:val="Hyperlink"/>
            <w:lang w:val="fr-FR"/>
          </w:rPr>
          <w:t>e</w:t>
        </w:r>
        <w:r w:rsidRPr="00972FBD">
          <w:rPr>
            <w:rStyle w:val="Hyperlink"/>
            <w:lang w:val="fr-FR"/>
          </w:rPr>
          <w:t xml:space="preserve"> ISCG</w:t>
        </w:r>
      </w:hyperlink>
      <w:r w:rsidRPr="00972FBD">
        <w:rPr>
          <w:lang w:val="fr-FR"/>
        </w:rPr>
        <w:t xml:space="preserve">. Le </w:t>
      </w:r>
      <w:r w:rsidR="004E7328" w:rsidRPr="00972FBD">
        <w:rPr>
          <w:lang w:val="fr-FR"/>
        </w:rPr>
        <w:t>r</w:t>
      </w:r>
      <w:r w:rsidRPr="00972FBD">
        <w:rPr>
          <w:lang w:val="fr-FR"/>
        </w:rPr>
        <w:t>apport final de la réunion (ISCG/24</w:t>
      </w:r>
      <w:r w:rsidRPr="00972FBD">
        <w:rPr>
          <w:lang w:val="fr-FR"/>
        </w:rPr>
        <w:noBreakHyphen/>
        <w:t>2/02) est en attente de l'approbation officielle des membres du Groupe ISCG, qui se réuniront à nouveau le 21 mai 2024.</w:t>
      </w:r>
    </w:p>
    <w:p w14:paraId="3D76134E" w14:textId="34AD5F85" w:rsidR="002034B3" w:rsidRPr="00972FBD" w:rsidRDefault="002034B3" w:rsidP="002034B3">
      <w:pPr>
        <w:rPr>
          <w:lang w:val="fr-FR"/>
        </w:rPr>
      </w:pPr>
      <w:r w:rsidRPr="00972FBD">
        <w:rPr>
          <w:lang w:val="fr-FR"/>
        </w:rPr>
        <w:t>Le Président du Groupe ISCG tient à remercier la Présidente du GCDT, Mme Roxanne McElvane Webber, d'avoir accepté d'organiser une réunion du Groupe ISCG le 21 mai 2024, parallèlement à la 31ème réunion du GCDT.</w:t>
      </w:r>
    </w:p>
    <w:p w14:paraId="75CF621D" w14:textId="77777777" w:rsidR="002034B3" w:rsidRPr="00972FBD" w:rsidRDefault="002034B3" w:rsidP="002034B3">
      <w:pPr>
        <w:pStyle w:val="Headingb"/>
        <w:rPr>
          <w:lang w:val="fr-FR"/>
        </w:rPr>
      </w:pPr>
      <w:r w:rsidRPr="00972FBD">
        <w:rPr>
          <w:lang w:val="fr-FR"/>
        </w:rPr>
        <w:t>Discussions essentielles</w:t>
      </w:r>
    </w:p>
    <w:p w14:paraId="2FF3D704" w14:textId="77777777" w:rsidR="002034B3" w:rsidRPr="00972FBD" w:rsidRDefault="002034B3" w:rsidP="002034B3">
      <w:pPr>
        <w:pStyle w:val="Headingb"/>
        <w:rPr>
          <w:lang w:val="fr-FR"/>
        </w:rPr>
      </w:pPr>
      <w:r w:rsidRPr="00972FBD">
        <w:rPr>
          <w:lang w:val="fr-FR"/>
        </w:rPr>
        <w:t>Rapport sur la mise en œuvre de la Résolution 191 (Rév. Bucarest, 2022) de la Conférence de plénipotentiaires</w:t>
      </w:r>
    </w:p>
    <w:p w14:paraId="388C7E42" w14:textId="0347FCF7" w:rsidR="002034B3" w:rsidRPr="00972FBD" w:rsidRDefault="002034B3" w:rsidP="002034B3">
      <w:pPr>
        <w:rPr>
          <w:lang w:val="fr-FR"/>
        </w:rPr>
      </w:pPr>
      <w:r w:rsidRPr="00972FBD">
        <w:rPr>
          <w:lang w:val="fr-FR"/>
        </w:rPr>
        <w:t>Le Secrétariat de l'UIT a présenté le cadre de la stratégie de coordination intersectorielle (voir le Document </w:t>
      </w:r>
      <w:hyperlink r:id="rId15" w:history="1">
        <w:r w:rsidRPr="00972FBD">
          <w:rPr>
            <w:rStyle w:val="Hyperlink"/>
            <w:lang w:val="fr-FR"/>
          </w:rPr>
          <w:t>ISCG/24-1/0</w:t>
        </w:r>
        <w:r w:rsidRPr="00972FBD">
          <w:rPr>
            <w:rStyle w:val="Hyperlink"/>
            <w:lang w:val="fr-FR"/>
          </w:rPr>
          <w:t>3</w:t>
        </w:r>
        <w:r w:rsidRPr="00972FBD">
          <w:rPr>
            <w:rStyle w:val="Hyperlink"/>
            <w:lang w:val="fr-FR"/>
          </w:rPr>
          <w:t>-R1</w:t>
        </w:r>
      </w:hyperlink>
      <w:r w:rsidRPr="00972FBD">
        <w:rPr>
          <w:lang w:val="fr-FR"/>
        </w:rPr>
        <w:t>). Compte tenu des demandes des membres présentées au Conseil à sa session de 2023, la stratégie prévoit une coordination au sein du Secrétariat de l'UIT, par l'intermédiaire du Groupe spécial de coordination intersectorielle (ISC-TF), qui assure la liaison avec le Groupe ISCG pour identifier les besoins des membres et proposer des solutions visant à améliorer la coopération et la coordination au sein du secrétariat, et établit également les rapports sur la mise en œuvre de la Résolution 191 (Rév. Bucarest, 2022) qui sont soumis au Conseil (ainsi qu'au GTC-FHR lorsque cela est nécessaire) et à la Conférence de plénipotentiaires (PP). Par ailleurs, la coordination des membres relève du Groupe ISCG, dont les travaux sont fondés sur la soumission de contributions et qui rend compte aux groupes consultatifs des Secteurs et au GTC FHR. Les résultats des travaux du Groupe ISCG sont également pris en compte dans le rapport sur la mise en œuvre de la Résolution 191 de la PP.</w:t>
      </w:r>
    </w:p>
    <w:p w14:paraId="00D48099" w14:textId="52315833" w:rsidR="002034B3" w:rsidRPr="00972FBD" w:rsidRDefault="002034B3" w:rsidP="002034B3">
      <w:pPr>
        <w:rPr>
          <w:lang w:val="fr-FR"/>
        </w:rPr>
      </w:pPr>
      <w:r w:rsidRPr="00972FBD">
        <w:rPr>
          <w:lang w:val="fr-FR"/>
        </w:rPr>
        <w:t xml:space="preserve">Une mise en correspondance des résolutions et de toutes les activités intersectorielles actuellement menées par le secrétariat a été réalisée, et la liste des thèmes appelant une coordination intersectorielle entre les coordonnateurs désignés par les Secteurs et le Secrétariat général est disponible </w:t>
      </w:r>
      <w:hyperlink r:id="rId16" w:history="1">
        <w:r w:rsidRPr="00972FBD">
          <w:rPr>
            <w:rStyle w:val="Hyperlink"/>
            <w:lang w:val="fr-FR"/>
          </w:rPr>
          <w:t>ic</w:t>
        </w:r>
        <w:r w:rsidRPr="00972FBD">
          <w:rPr>
            <w:rStyle w:val="Hyperlink"/>
            <w:lang w:val="fr-FR"/>
          </w:rPr>
          <w:t>i</w:t>
        </w:r>
      </w:hyperlink>
      <w:r w:rsidRPr="00972FBD">
        <w:rPr>
          <w:lang w:val="fr-FR"/>
        </w:rPr>
        <w:t>.</w:t>
      </w:r>
    </w:p>
    <w:p w14:paraId="5C6594AB" w14:textId="77777777" w:rsidR="002034B3" w:rsidRPr="00972FBD" w:rsidRDefault="002034B3" w:rsidP="002034B3">
      <w:pPr>
        <w:rPr>
          <w:lang w:val="fr-FR"/>
        </w:rPr>
      </w:pPr>
      <w:r w:rsidRPr="00972FBD">
        <w:rPr>
          <w:lang w:val="fr-FR"/>
        </w:rPr>
        <w:t xml:space="preserve">Un membre a souligné que le Groupe ISCG devrait non seulement agir sur la base de la mise en correspondance des activités, mais aussi adopter une approche plus proactive et donner des avis, avant chaque grande conférence ou assemblée, sur la nécessité de rationaliser les résolutions et/ou de mieux répartir les thèmes entre les Secteurs et la Conférence de plénipotentiaires. Il a cité l'exemple concret du thème de la "Transformation numérique durable", qui constitue </w:t>
      </w:r>
      <w:r w:rsidRPr="00972FBD">
        <w:rPr>
          <w:lang w:val="fr-FR"/>
        </w:rPr>
        <w:br w:type="page"/>
      </w:r>
    </w:p>
    <w:p w14:paraId="73562028" w14:textId="1D04CE28" w:rsidR="002034B3" w:rsidRPr="00972FBD" w:rsidRDefault="002034B3" w:rsidP="002034B3">
      <w:pPr>
        <w:rPr>
          <w:lang w:val="fr-FR"/>
        </w:rPr>
      </w:pPr>
      <w:r w:rsidRPr="00972FBD">
        <w:rPr>
          <w:lang w:val="fr-FR"/>
        </w:rPr>
        <w:lastRenderedPageBreak/>
        <w:t>désormais l'un des buts stratégiques de l'Union. La question se pose de savoir si ce thème doit faire l'objet d'une résolution approuvée par chacun des Secteurs ou s'il doit être examiné par la Conférence de plénipotentiaires pour qu'une seule résolution soit adoptée par la PP.</w:t>
      </w:r>
    </w:p>
    <w:p w14:paraId="4A1C8FAD" w14:textId="77777777" w:rsidR="002034B3" w:rsidRPr="00972FBD" w:rsidRDefault="002034B3" w:rsidP="002034B3">
      <w:pPr>
        <w:rPr>
          <w:lang w:val="fr-FR"/>
        </w:rPr>
      </w:pPr>
      <w:r w:rsidRPr="00972FBD">
        <w:rPr>
          <w:lang w:val="fr-FR"/>
        </w:rPr>
        <w:t>Le Président du Groupe ISCG invite les membres du GCDT à soumettre des propositions sur la manière de mieux traiter ce thème et à fournir des commentaires sur la liste des thèmes qui devraient faire l'objet d'une coordination intersectorielle, à la prochaine réunion.</w:t>
      </w:r>
    </w:p>
    <w:p w14:paraId="44C0A981" w14:textId="77777777" w:rsidR="002034B3" w:rsidRPr="00972FBD" w:rsidRDefault="002034B3" w:rsidP="00972FBD">
      <w:pPr>
        <w:pStyle w:val="Headingb"/>
        <w:rPr>
          <w:lang w:val="fr-FR"/>
        </w:rPr>
      </w:pPr>
      <w:r w:rsidRPr="00972FBD">
        <w:rPr>
          <w:lang w:val="fr-FR"/>
        </w:rPr>
        <w:t>Rapports du Groupe consultatif des radiocommunications (GCR)</w:t>
      </w:r>
    </w:p>
    <w:p w14:paraId="2E33828C" w14:textId="77777777" w:rsidR="002034B3" w:rsidRPr="00972FBD" w:rsidRDefault="002034B3" w:rsidP="002034B3">
      <w:pPr>
        <w:rPr>
          <w:lang w:val="fr-FR"/>
        </w:rPr>
      </w:pPr>
      <w:r w:rsidRPr="00972FBD">
        <w:rPr>
          <w:lang w:val="fr-FR"/>
        </w:rPr>
        <w:t>L'Adjointe au Directeur du Secteur des radiocommunications a présenté un rapport oral sur les résultats de l'Assemblée des radiocommunications (AR-23) et de la Conférence mondiale des radiocommunications (CMR-23), tenues à Dubaï du 13 novembre au 15 décembre 2023.</w:t>
      </w:r>
    </w:p>
    <w:p w14:paraId="0923EFAF" w14:textId="557165E8" w:rsidR="002034B3" w:rsidRPr="00972FBD" w:rsidRDefault="002034B3" w:rsidP="002034B3">
      <w:pPr>
        <w:rPr>
          <w:lang w:val="fr-FR"/>
        </w:rPr>
      </w:pPr>
      <w:r w:rsidRPr="00972FBD">
        <w:rPr>
          <w:lang w:val="fr-FR"/>
        </w:rPr>
        <w:t>Il convient de souligner que ces réunions ont rassemblé 3 982 délégués, soit une augmentation de 16% par rapport à 2019, dont 860 déléguées, ce qui représente une augmentation de 83% par rapport à 2019.</w:t>
      </w:r>
    </w:p>
    <w:p w14:paraId="42AEB03E" w14:textId="7BE7E45B" w:rsidR="002034B3" w:rsidRPr="00972FBD" w:rsidRDefault="002034B3" w:rsidP="002034B3">
      <w:pPr>
        <w:rPr>
          <w:lang w:val="fr-FR"/>
        </w:rPr>
      </w:pPr>
      <w:r w:rsidRPr="00972FBD">
        <w:rPr>
          <w:lang w:val="fr-FR"/>
        </w:rPr>
        <w:t>S'agissant du contenu de ces réunions, sur la question de la connectivité large bande, la CMR</w:t>
      </w:r>
      <w:r w:rsidR="00443C72" w:rsidRPr="00972FBD">
        <w:rPr>
          <w:lang w:val="fr-FR"/>
        </w:rPr>
        <w:noBreakHyphen/>
      </w:r>
      <w:r w:rsidRPr="00972FBD">
        <w:rPr>
          <w:lang w:val="fr-FR"/>
        </w:rPr>
        <w:t>23 a attribué des bandes de fréquences additionnelles au service mobile à titre primaire. La Conférence a également identifié certaines bandes de fréquences pour les IMT, qui contribueraient non seulement aux IMT-2000, mais aussi au développement ultérieur de la 6G. En outre, elle a identifié certaines fréquences qui pourraient être utilisées dans la gamme des 6 GHz, tant pour les IMT que pour la mise en œuvre des systèmes d'accès hertzien. Les communications large bande ont également été étendues aux communications maritimes et aériennes, et des dispositions réglementaires et des mécanismes de gestion des brouillages ont été mis en place pour permettre aux stations terriennes en mouvement à bord d'aéronefs et de navires de communiquer avec les systèmes spatiaux géostationnaires et non géostationnaires.</w:t>
      </w:r>
    </w:p>
    <w:p w14:paraId="42ABFFAF" w14:textId="77777777" w:rsidR="002034B3" w:rsidRPr="00972FBD" w:rsidRDefault="002034B3" w:rsidP="002034B3">
      <w:pPr>
        <w:rPr>
          <w:lang w:val="fr-FR"/>
        </w:rPr>
      </w:pPr>
      <w:r w:rsidRPr="00972FBD">
        <w:rPr>
          <w:lang w:val="fr-FR"/>
        </w:rPr>
        <w:t>Parmi les résultats obtenus dans le domaine de l'aéronautique, la Conférence a également attribué des bandes de fréquences supplémentaires en ondes métriques au service mobile aéronautique par satellite (le long des routes) destiné à relayer les communications sol-pilote via les systèmes à satellites non géostationnaires. Ces attributions additionnelles complètent l'infrastructure de communication de Terre lorsque les aéronefs volent dans des zones océaniques et isolées et permettent aux aéronefs d'être en contact avec les contrôleurs du trafic aérien partout dans le monde.</w:t>
      </w:r>
    </w:p>
    <w:p w14:paraId="5B7CA926" w14:textId="4124F00F" w:rsidR="002034B3" w:rsidRPr="00972FBD" w:rsidRDefault="002034B3" w:rsidP="002034B3">
      <w:pPr>
        <w:rPr>
          <w:lang w:val="fr-FR"/>
        </w:rPr>
      </w:pPr>
      <w:r w:rsidRPr="00972FBD">
        <w:rPr>
          <w:lang w:val="fr-FR"/>
        </w:rPr>
        <w:t>En ce qui concerne les points de l'ordre du jour liés aux aspects scientifiques, en particulier la transmission de données scientifiques, la CMR-23 a attribué de nouvelles fréquences au service d'exploration de la Terre par satellite afin de fournir des informations uniques sur les propriétés physiques de la Terre et de l'atmosphère, ainsi que des liaisons descendantes de communication large bande pour permettre la transmission future de données scientifiques à des débits élevés afin de contribuer à la réalisation des objectifs fixés en matière de changements climatiques, c'est</w:t>
      </w:r>
      <w:r w:rsidR="00DF2876" w:rsidRPr="00972FBD">
        <w:rPr>
          <w:lang w:val="fr-FR"/>
        </w:rPr>
        <w:noBreakHyphen/>
      </w:r>
      <w:r w:rsidRPr="00972FBD">
        <w:rPr>
          <w:lang w:val="fr-FR"/>
        </w:rPr>
        <w:t>à</w:t>
      </w:r>
      <w:r w:rsidR="00DF2876" w:rsidRPr="00972FBD">
        <w:rPr>
          <w:lang w:val="fr-FR"/>
        </w:rPr>
        <w:noBreakHyphen/>
      </w:r>
      <w:r w:rsidRPr="00972FBD">
        <w:rPr>
          <w:lang w:val="fr-FR"/>
        </w:rPr>
        <w:t>dire améliorer la surveillance de la Terre et des effets des changements climatiques. En ce qui concerne les services spatiaux, la Conférence a également adopté des mesures réglementaires pour la mise en place de liaisons inter-satellites qui permettront de disposer d'un plus grand nombre de données en temps réel, améliorant ainsi la disponibilité et la valeur des données d'instruments pour les applications à faible latence telles que les prévisions météorologiques et la réduction des risques de catastrophe.</w:t>
      </w:r>
    </w:p>
    <w:p w14:paraId="58720912" w14:textId="77777777" w:rsidR="002034B3" w:rsidRPr="00972FBD" w:rsidRDefault="002034B3" w:rsidP="002034B3">
      <w:pPr>
        <w:keepLines/>
        <w:rPr>
          <w:lang w:val="fr-FR"/>
        </w:rPr>
      </w:pPr>
      <w:r w:rsidRPr="00972FBD">
        <w:rPr>
          <w:lang w:val="fr-FR"/>
        </w:rPr>
        <w:lastRenderedPageBreak/>
        <w:t>La CMR-23 a également inscrit un certain nombre de points à l'ordre du jour de la prochaine conférence. L'un de ces points traite des communications lunaires, en particulier les communications liées au service de recherche spatiale utilisé à des fins scientifiques ou technologiques, et de la manière dont les systèmes de communication seraient utilisés sur la Lune dans un avenir proche, ainsi qu'au voisinage de la Lune, c'est-à-dire sur les orbites lunaires. Il s'agit probablement de l'un des domaines de travail les plus passionnants dans lequel des travaux préparatoires continueront d'être menés en vue de la prochaine Conférence (CMR-27).</w:t>
      </w:r>
    </w:p>
    <w:p w14:paraId="29D2D174" w14:textId="77777777" w:rsidR="002034B3" w:rsidRPr="00972FBD" w:rsidRDefault="002034B3" w:rsidP="002034B3">
      <w:pPr>
        <w:rPr>
          <w:lang w:val="fr-FR"/>
        </w:rPr>
      </w:pPr>
      <w:r w:rsidRPr="00972FBD">
        <w:rPr>
          <w:lang w:val="fr-FR"/>
        </w:rPr>
        <w:t>L'un des points inscrits à l'ordre du jour traite de la viabilité spatiale et de la prise de mesures appropriées pour le service fixe par satellite, les réseaux à satellite et systèmes à satellites et certaines parties de diverses bandes de fréquences dans l'optique d'assurer un accès équitable à ces bandes de fréquences pour tous les pays. Un autre de ces points traite de la connectivité directe entre les stations spatiales et les terminaux d'utilisateur IMT, appelés smartphones, pour compléter la couverture des réseaux IMT de Terre.</w:t>
      </w:r>
    </w:p>
    <w:p w14:paraId="17BA27C9" w14:textId="77777777" w:rsidR="002034B3" w:rsidRPr="00972FBD" w:rsidRDefault="002034B3" w:rsidP="002034B3">
      <w:pPr>
        <w:rPr>
          <w:lang w:val="fr-FR"/>
        </w:rPr>
      </w:pPr>
      <w:r w:rsidRPr="00972FBD">
        <w:rPr>
          <w:lang w:val="fr-FR"/>
        </w:rPr>
        <w:t>Enfin et surtout, l'AR-23 a pris toutes les mesures nécessaires en ce qui concerne la révision des Résolutions de l'UIT-R.</w:t>
      </w:r>
    </w:p>
    <w:p w14:paraId="5B94F8EC" w14:textId="18D92699" w:rsidR="002034B3" w:rsidRPr="00972FBD" w:rsidRDefault="002034B3" w:rsidP="002034B3">
      <w:pPr>
        <w:rPr>
          <w:lang w:val="fr-FR"/>
        </w:rPr>
      </w:pPr>
      <w:r w:rsidRPr="00972FBD">
        <w:rPr>
          <w:lang w:val="fr-FR"/>
        </w:rPr>
        <w:t>Les membres du Groupe ISCG se sont félicités des excellents résultats obtenus et ont demandé que davantage d'informations concernant la nouvelle Résolution UIT-R 75, intitulée "Renforcer la coordination et la coopération entre les trois Secteurs de l'UIT sur des questions d'intérêt mutuel" soient présentées à la prochaine réunion du Groupe ISCG.</w:t>
      </w:r>
    </w:p>
    <w:p w14:paraId="7D1E6AB2" w14:textId="28AB4B5C" w:rsidR="002034B3" w:rsidRPr="00972FBD" w:rsidRDefault="002034B3" w:rsidP="002034B3">
      <w:pPr>
        <w:rPr>
          <w:lang w:val="fr-FR"/>
        </w:rPr>
      </w:pPr>
      <w:r w:rsidRPr="00972FBD">
        <w:rPr>
          <w:lang w:val="fr-FR"/>
        </w:rPr>
        <w:t xml:space="preserve">Le texte définitif de cette Résolution est maintenant disponible sur la </w:t>
      </w:r>
      <w:hyperlink r:id="rId17" w:history="1">
        <w:r w:rsidR="00531565" w:rsidRPr="00972FBD">
          <w:rPr>
            <w:rStyle w:val="Hyperlink"/>
            <w:lang w:val="fr-FR"/>
          </w:rPr>
          <w:t>site</w:t>
        </w:r>
        <w:r w:rsidRPr="00972FBD">
          <w:rPr>
            <w:rStyle w:val="Hyperlink"/>
            <w:lang w:val="fr-FR"/>
          </w:rPr>
          <w:t xml:space="preserve"> web du Groupe ISCG</w:t>
        </w:r>
      </w:hyperlink>
      <w:r w:rsidRPr="00972FBD">
        <w:rPr>
          <w:lang w:val="fr-FR"/>
        </w:rPr>
        <w:t>. Les Résolutions</w:t>
      </w:r>
      <w:r w:rsidR="00DF2876" w:rsidRPr="00972FBD">
        <w:rPr>
          <w:lang w:val="fr-FR"/>
        </w:rPr>
        <w:t> </w:t>
      </w:r>
      <w:r w:rsidRPr="00972FBD">
        <w:rPr>
          <w:lang w:val="fr-FR"/>
        </w:rPr>
        <w:t>UIT-R 6-3 (2019) et UIT-R 7-4 (2019) ont été supprimées par l'AR-23.</w:t>
      </w:r>
    </w:p>
    <w:p w14:paraId="12F01D43" w14:textId="77777777" w:rsidR="002034B3" w:rsidRPr="00972FBD" w:rsidRDefault="002034B3" w:rsidP="002034B3">
      <w:pPr>
        <w:pStyle w:val="Headingb"/>
        <w:rPr>
          <w:lang w:val="fr-FR"/>
        </w:rPr>
      </w:pPr>
      <w:r w:rsidRPr="00972FBD">
        <w:rPr>
          <w:lang w:val="fr-FR"/>
        </w:rPr>
        <w:t>Rapport du Groupe consultatif de la normalisation des télécommunications (GCNT)</w:t>
      </w:r>
    </w:p>
    <w:p w14:paraId="209F4AB7" w14:textId="5663D4BF" w:rsidR="002034B3" w:rsidRPr="00972FBD" w:rsidRDefault="002034B3" w:rsidP="002034B3">
      <w:pPr>
        <w:rPr>
          <w:lang w:val="fr-FR"/>
        </w:rPr>
      </w:pPr>
      <w:r w:rsidRPr="00972FBD">
        <w:rPr>
          <w:lang w:val="fr-FR"/>
        </w:rPr>
        <w:t>L'Adjoint au Directeur du Secteur de la normalisation des télécommunications a présenté un rapport oral dans laquelle il a indiqué que le GCNT tenait sa réunion en parallèle à celle du Groupe ISCG et que son principal point de l'ordre du jour était la préparation de l'Assemblée mondiale de normalisation des télécommunications (AMNT-24) qui se tiendra en octobre, en Inde. Le Colloque mondial sur la normalisation aura également lieu à cet endroit. Des discussions sont en cours sur la restructuration des commissions d'études de l'UIT-T et un certain consensus semble se dégager sur la fusion des Commissions d'études 9 et 16.</w:t>
      </w:r>
    </w:p>
    <w:p w14:paraId="1A020AE0" w14:textId="77777777" w:rsidR="002034B3" w:rsidRPr="00972FBD" w:rsidRDefault="002034B3" w:rsidP="002034B3">
      <w:pPr>
        <w:rPr>
          <w:lang w:val="fr-FR"/>
        </w:rPr>
      </w:pPr>
      <w:r w:rsidRPr="00972FBD">
        <w:rPr>
          <w:lang w:val="fr-FR"/>
        </w:rPr>
        <w:t>Les réunions interrégionales de coordination des travaux préparatoires en vue de l'AMNT-24 sont déjà en cours.</w:t>
      </w:r>
    </w:p>
    <w:p w14:paraId="5B67F649" w14:textId="77777777" w:rsidR="002034B3" w:rsidRPr="00972FBD" w:rsidRDefault="002034B3" w:rsidP="002034B3">
      <w:pPr>
        <w:rPr>
          <w:lang w:val="fr-FR"/>
        </w:rPr>
      </w:pPr>
      <w:r w:rsidRPr="00972FBD">
        <w:rPr>
          <w:lang w:val="fr-FR"/>
        </w:rPr>
        <w:t>Il a été indiqué que le GCNT avait récemment lancé le Réseau des femmes pour l'UIT-T, dans le but d'assurer une harmonisation avec les réseaux des deux autres Secteurs pour ce qui est de sa composition et de son fonctionnement. Le mandat de ce réseau a été mis à jour.</w:t>
      </w:r>
    </w:p>
    <w:p w14:paraId="3E60303A" w14:textId="1147B4DA" w:rsidR="002034B3" w:rsidRPr="00972FBD" w:rsidRDefault="002034B3" w:rsidP="002034B3">
      <w:pPr>
        <w:rPr>
          <w:lang w:val="fr-FR"/>
        </w:rPr>
      </w:pPr>
      <w:r w:rsidRPr="00972FBD">
        <w:rPr>
          <w:lang w:val="fr-FR"/>
        </w:rPr>
        <w:t>En ce qui concerne la réduction de l'écart en matière de normalisation, le Directeur du TSB, M. Seizo Onoe, a annoncé un nouveau programme, qui sera mis en œuvre avec l'appui du Japon et aura pour but d'élargir et d'améliorer le programme afin de mettre l'accent sur l'élaboration, mais aussi sur la mise en œuvre des normes. Une collaboration existe déjà avec le BDT pour la mise en œuvre des normes, et le TSB travaille en coopération avec le BR pour harmoniser les modalités d'octroi des bourses.</w:t>
      </w:r>
    </w:p>
    <w:p w14:paraId="0B26F585" w14:textId="77777777" w:rsidR="002034B3" w:rsidRPr="00972FBD" w:rsidRDefault="002034B3" w:rsidP="002034B3">
      <w:pPr>
        <w:rPr>
          <w:lang w:val="fr-FR"/>
        </w:rPr>
      </w:pPr>
      <w:r w:rsidRPr="00972FBD">
        <w:rPr>
          <w:lang w:val="fr-FR"/>
        </w:rPr>
        <w:t xml:space="preserve">Il a également été indiqué que le GCNT avait décidé de réactiver le Groupe du Rapporteur sur la planification stratégique et la planification opérationnelle et que ce groupe procèderait à une analyse des besoins de l'UIT-T concernant le Plan stratégique de l'Union, une fois que le Conseil </w:t>
      </w:r>
      <w:r w:rsidRPr="00972FBD">
        <w:rPr>
          <w:lang w:val="fr-FR"/>
        </w:rPr>
        <w:lastRenderedPageBreak/>
        <w:t>aura approuvé la réactivation du GTC-SFP. Le Groupe ISCG pourrait offrir un cadre pour les efforts visant à parvenir à un accord sur la forme et le contenu de la contribution des Secteurs dans le prochain plan stratégique.</w:t>
      </w:r>
    </w:p>
    <w:p w14:paraId="70A597A0" w14:textId="73ECCFCB" w:rsidR="002034B3" w:rsidRPr="00972FBD" w:rsidRDefault="002034B3" w:rsidP="002034B3">
      <w:pPr>
        <w:rPr>
          <w:lang w:val="fr-FR"/>
        </w:rPr>
      </w:pPr>
      <w:r w:rsidRPr="00972FBD">
        <w:rPr>
          <w:lang w:val="fr-FR"/>
        </w:rPr>
        <w:t>Une note de liaison sur l'utilisation d'un langage inclusif dans les textes de l'UIT-T (</w:t>
      </w:r>
      <w:hyperlink r:id="rId18" w:history="1">
        <w:r w:rsidRPr="00972FBD">
          <w:rPr>
            <w:rStyle w:val="Hyperlink"/>
            <w:lang w:val="fr-FR"/>
          </w:rPr>
          <w:t>TSAG</w:t>
        </w:r>
        <w:r w:rsidRPr="00972FBD">
          <w:rPr>
            <w:rStyle w:val="Hyperlink"/>
            <w:lang w:val="fr-FR"/>
          </w:rPr>
          <w:noBreakHyphen/>
          <w:t>LS0020</w:t>
        </w:r>
      </w:hyperlink>
      <w:r w:rsidRPr="00972FBD">
        <w:rPr>
          <w:lang w:val="fr-FR"/>
        </w:rPr>
        <w:t>) avait été envoyée après la dernière réunion du GCNT, afin que les membres du Groupe ISCG puissent en prendre note, car il s'agit d'un sujet qui doit être examiné au sein du groupe.</w:t>
      </w:r>
    </w:p>
    <w:p w14:paraId="1BB6CAB1" w14:textId="08082385" w:rsidR="002034B3" w:rsidRPr="00972FBD" w:rsidRDefault="002034B3" w:rsidP="002034B3">
      <w:pPr>
        <w:rPr>
          <w:lang w:val="fr-FR"/>
        </w:rPr>
      </w:pPr>
      <w:r w:rsidRPr="00972FBD">
        <w:rPr>
          <w:lang w:val="fr-FR"/>
        </w:rPr>
        <w:t>Le Président du Groupe ISCG a également indiqué qu'il existe un groupe de l'UIT-T chargé de la "transformation numérique durable" et que ce groupe doit tenir les groupes consultatifs des autres Secteurs informés et les associer à ses travaux.</w:t>
      </w:r>
    </w:p>
    <w:p w14:paraId="4E8A9BA0" w14:textId="77777777" w:rsidR="002034B3" w:rsidRPr="00972FBD" w:rsidRDefault="002034B3" w:rsidP="002034B3">
      <w:pPr>
        <w:pStyle w:val="Headingb"/>
        <w:rPr>
          <w:lang w:val="fr-FR"/>
        </w:rPr>
      </w:pPr>
      <w:r w:rsidRPr="00972FBD">
        <w:rPr>
          <w:lang w:val="fr-FR"/>
        </w:rPr>
        <w:t>Rapport du Groupe consultatif pour le développement des télécommunications (GCDT)</w:t>
      </w:r>
    </w:p>
    <w:p w14:paraId="36813339" w14:textId="77777777" w:rsidR="002034B3" w:rsidRPr="00972FBD" w:rsidRDefault="002034B3" w:rsidP="002034B3">
      <w:pPr>
        <w:rPr>
          <w:lang w:val="fr-FR"/>
        </w:rPr>
      </w:pPr>
      <w:r w:rsidRPr="00972FBD">
        <w:rPr>
          <w:lang w:val="fr-FR"/>
        </w:rPr>
        <w:t>L'Adjoint par intérim au Directeur du Secteur du développement des télécommunications a présenté un rapport oral.</w:t>
      </w:r>
    </w:p>
    <w:p w14:paraId="1596F357" w14:textId="406D46BF" w:rsidR="002034B3" w:rsidRPr="00972FBD" w:rsidRDefault="002034B3" w:rsidP="002034B3">
      <w:pPr>
        <w:rPr>
          <w:lang w:val="fr-FR"/>
        </w:rPr>
      </w:pPr>
      <w:r w:rsidRPr="00972FBD">
        <w:rPr>
          <w:lang w:val="fr-FR"/>
        </w:rPr>
        <w:t>Il a été souligné que le GCDT avait répondu à trois notes de liaison (</w:t>
      </w:r>
      <w:hyperlink r:id="rId19" w:history="1">
        <w:r w:rsidRPr="00972FBD">
          <w:rPr>
            <w:rStyle w:val="Hyperlink"/>
            <w:lang w:val="fr-FR"/>
          </w:rPr>
          <w:t>TDAG-LS1</w:t>
        </w:r>
      </w:hyperlink>
      <w:r w:rsidRPr="00972FBD">
        <w:rPr>
          <w:lang w:val="fr-FR"/>
        </w:rPr>
        <w:t xml:space="preserve">, </w:t>
      </w:r>
      <w:hyperlink r:id="rId20" w:history="1">
        <w:r w:rsidRPr="00972FBD">
          <w:rPr>
            <w:rStyle w:val="Hyperlink"/>
            <w:lang w:val="fr-FR"/>
          </w:rPr>
          <w:t>TDAG-LS2</w:t>
        </w:r>
      </w:hyperlink>
      <w:r w:rsidRPr="00972FBD">
        <w:rPr>
          <w:lang w:val="fr-FR"/>
        </w:rPr>
        <w:t>, et </w:t>
      </w:r>
      <w:hyperlink r:id="rId21" w:history="1">
        <w:r w:rsidRPr="00972FBD">
          <w:rPr>
            <w:rStyle w:val="Hyperlink"/>
            <w:lang w:val="fr-FR"/>
          </w:rPr>
          <w:t>TDAG</w:t>
        </w:r>
        <w:r w:rsidRPr="00972FBD">
          <w:rPr>
            <w:rStyle w:val="Hyperlink"/>
            <w:lang w:val="fr-FR"/>
          </w:rPr>
          <w:noBreakHyphen/>
          <w:t>LS4</w:t>
        </w:r>
      </w:hyperlink>
      <w:r w:rsidRPr="00972FBD">
        <w:rPr>
          <w:lang w:val="fr-FR"/>
        </w:rPr>
        <w:t>) accusant réception des communications envoyées par le Groupe ISCG, notamment en ce qui concerne la "gouvernance et la gestion des réunions virtuelles". Le GCDT a fait part de son intérêt à cet égard, car l'UIT-D ne dispose pas encore de lignes directrices générales distinctes pour les réunions virtuelles. En revanche, les commissions d'études de l'UIT-D et le GCDT communiquent leurs propres lignes directrices aux participants à chacune de leurs manifestations.</w:t>
      </w:r>
    </w:p>
    <w:p w14:paraId="5B021E14" w14:textId="77777777" w:rsidR="002034B3" w:rsidRPr="00972FBD" w:rsidRDefault="002034B3" w:rsidP="002034B3">
      <w:pPr>
        <w:pStyle w:val="Headingb"/>
        <w:rPr>
          <w:lang w:val="fr-FR"/>
        </w:rPr>
      </w:pPr>
      <w:r w:rsidRPr="00972FBD">
        <w:rPr>
          <w:lang w:val="fr-FR"/>
        </w:rPr>
        <w:t>Accessibilité</w:t>
      </w:r>
    </w:p>
    <w:p w14:paraId="7B48DE6C" w14:textId="060AEB29" w:rsidR="002034B3" w:rsidRPr="00972FBD" w:rsidRDefault="002034B3" w:rsidP="002034B3">
      <w:pPr>
        <w:rPr>
          <w:lang w:val="fr-FR"/>
        </w:rPr>
      </w:pPr>
      <w:r w:rsidRPr="00972FBD">
        <w:rPr>
          <w:lang w:val="fr-FR"/>
        </w:rPr>
        <w:t>La Coordonnatrice pour l'accessibilité, Mme Andrea Saks, a donné des informations sur deux</w:t>
      </w:r>
      <w:r w:rsidR="000523C1" w:rsidRPr="00972FBD">
        <w:rPr>
          <w:lang w:val="fr-FR"/>
        </w:rPr>
        <w:t> </w:t>
      </w:r>
      <w:r w:rsidRPr="00972FBD">
        <w:rPr>
          <w:lang w:val="fr-FR"/>
        </w:rPr>
        <w:t>documents techniques de l'UIT-T, intitulés "Lignes directrices pour des réunions accessibles" (</w:t>
      </w:r>
      <w:hyperlink r:id="rId22" w:history="1">
        <w:r w:rsidRPr="00972FBD">
          <w:rPr>
            <w:rStyle w:val="Hyperlink"/>
            <w:lang w:val="fr-FR"/>
          </w:rPr>
          <w:t>FSTP-ACC-</w:t>
        </w:r>
        <w:r w:rsidRPr="00972FBD">
          <w:rPr>
            <w:rStyle w:val="Hyperlink"/>
            <w:lang w:val="fr-FR"/>
          </w:rPr>
          <w:t>R</w:t>
        </w:r>
        <w:r w:rsidRPr="00972FBD">
          <w:rPr>
            <w:rStyle w:val="Hyperlink"/>
            <w:lang w:val="fr-FR"/>
          </w:rPr>
          <w:t>emPart</w:t>
        </w:r>
      </w:hyperlink>
      <w:r w:rsidRPr="00972FBD">
        <w:rPr>
          <w:lang w:val="fr-FR"/>
        </w:rPr>
        <w:t>, 2015) et "Lignes directrices visant à encourager la participation à distance aux réunions pour tous" (</w:t>
      </w:r>
      <w:hyperlink r:id="rId23" w:history="1">
        <w:r w:rsidRPr="00972FBD">
          <w:rPr>
            <w:rStyle w:val="Hyperlink"/>
            <w:lang w:val="fr-FR"/>
          </w:rPr>
          <w:t>FSTP</w:t>
        </w:r>
        <w:r w:rsidRPr="00972FBD">
          <w:rPr>
            <w:rStyle w:val="Hyperlink"/>
            <w:lang w:val="fr-FR"/>
          </w:rPr>
          <w:t>-</w:t>
        </w:r>
        <w:r w:rsidRPr="00972FBD">
          <w:rPr>
            <w:rStyle w:val="Hyperlink"/>
            <w:lang w:val="fr-FR"/>
          </w:rPr>
          <w:t>AM</w:t>
        </w:r>
      </w:hyperlink>
      <w:r w:rsidRPr="00972FBD">
        <w:rPr>
          <w:lang w:val="fr-FR"/>
        </w:rPr>
        <w:t>, 2015).</w:t>
      </w:r>
    </w:p>
    <w:p w14:paraId="3589CA6C" w14:textId="3B86991A" w:rsidR="002034B3" w:rsidRPr="00972FBD" w:rsidRDefault="002034B3" w:rsidP="002034B3">
      <w:pPr>
        <w:rPr>
          <w:lang w:val="fr-FR"/>
        </w:rPr>
      </w:pPr>
      <w:r w:rsidRPr="00972FBD">
        <w:rPr>
          <w:lang w:val="fr-FR"/>
        </w:rPr>
        <w:t xml:space="preserve">La </w:t>
      </w:r>
      <w:r w:rsidR="00443C72" w:rsidRPr="00972FBD">
        <w:rPr>
          <w:lang w:val="fr-FR"/>
        </w:rPr>
        <w:t>C</w:t>
      </w:r>
      <w:r w:rsidRPr="00972FBD">
        <w:rPr>
          <w:lang w:val="fr-FR"/>
        </w:rPr>
        <w:t xml:space="preserve">oordonnatrice a également demandé que l'option de sous-titrage soit prévue pour les réunions de l'UIT, ainsi qu'un flux de texte permettant aux personnes sourdes et malentendantes de consulter la transcription complète après la réunion. Il serait également utile de communiquer les résultats de la réunion à l'Activité conjointe de coordination sur l'accessibilité et les facteurs humains (Question 26) et à la Commission d'études 2 de l'UIT-T. La </w:t>
      </w:r>
      <w:r w:rsidR="00443C72" w:rsidRPr="00972FBD">
        <w:rPr>
          <w:lang w:val="fr-FR"/>
        </w:rPr>
        <w:t>C</w:t>
      </w:r>
      <w:r w:rsidRPr="00972FBD">
        <w:rPr>
          <w:lang w:val="fr-FR"/>
        </w:rPr>
        <w:t>oordonnatrice a souligné l'importance de l'approche de l'UIT en ce qui concerne le sous-titrage et, à terme, l'interprétation en langue des signes sur demande, et la manière de rendre les réunions de l'UIT plus accessibles. Il convient d'évaluer avec soin les avantages et les inconvénients du sous-titrage automatique par rapport au sous-titrage humain en termes de coût et de précision.</w:t>
      </w:r>
    </w:p>
    <w:p w14:paraId="02276E60" w14:textId="77777777" w:rsidR="002034B3" w:rsidRPr="00972FBD" w:rsidRDefault="002034B3" w:rsidP="002034B3">
      <w:pPr>
        <w:rPr>
          <w:lang w:val="fr-FR"/>
        </w:rPr>
      </w:pPr>
      <w:r w:rsidRPr="00972FBD">
        <w:rPr>
          <w:lang w:val="fr-FR"/>
        </w:rPr>
        <w:t>Le Président du Groupe ISCG s'est félicité de l'exposé et a demandé qu'un rapport écrit soit soumis à la prochaine réunion.</w:t>
      </w:r>
    </w:p>
    <w:p w14:paraId="3DC203E2" w14:textId="77777777" w:rsidR="002034B3" w:rsidRPr="00972FBD" w:rsidRDefault="002034B3" w:rsidP="00531565">
      <w:pPr>
        <w:pStyle w:val="Headingb"/>
        <w:rPr>
          <w:lang w:val="fr-FR"/>
        </w:rPr>
      </w:pPr>
      <w:r w:rsidRPr="00972FBD">
        <w:rPr>
          <w:lang w:val="fr-FR"/>
        </w:rPr>
        <w:t>Changements climatiques</w:t>
      </w:r>
    </w:p>
    <w:p w14:paraId="571BD8FB" w14:textId="08FD61A6" w:rsidR="002034B3" w:rsidRPr="00972FBD" w:rsidRDefault="002034B3" w:rsidP="002034B3">
      <w:pPr>
        <w:rPr>
          <w:lang w:val="fr-FR"/>
        </w:rPr>
      </w:pPr>
      <w:r w:rsidRPr="00972FBD">
        <w:rPr>
          <w:lang w:val="fr-FR"/>
        </w:rPr>
        <w:t xml:space="preserve">Le Coordonnateur du Secrétariat de l'UIT a présenté le </w:t>
      </w:r>
      <w:r w:rsidR="00531565" w:rsidRPr="00972FBD">
        <w:rPr>
          <w:lang w:val="fr-FR"/>
        </w:rPr>
        <w:t>D</w:t>
      </w:r>
      <w:r w:rsidRPr="00972FBD">
        <w:rPr>
          <w:lang w:val="fr-FR"/>
        </w:rPr>
        <w:t xml:space="preserve">ocument </w:t>
      </w:r>
      <w:hyperlink r:id="rId24" w:history="1">
        <w:r w:rsidRPr="00972FBD">
          <w:rPr>
            <w:rStyle w:val="Hyperlink"/>
            <w:lang w:val="fr-FR"/>
          </w:rPr>
          <w:t>ISCG/24-1-06</w:t>
        </w:r>
      </w:hyperlink>
      <w:r w:rsidRPr="00972FBD">
        <w:rPr>
          <w:lang w:val="fr-FR"/>
        </w:rPr>
        <w:t xml:space="preserve"> qui contient des informations détaillées sur la participation de l'UIT à la COP 28, où l'Action du secteur du numérique pour l'environnement a été lancée.</w:t>
      </w:r>
    </w:p>
    <w:p w14:paraId="62600AE5" w14:textId="77777777" w:rsidR="002034B3" w:rsidRPr="00972FBD" w:rsidRDefault="002034B3" w:rsidP="002034B3">
      <w:pPr>
        <w:rPr>
          <w:lang w:val="fr-FR"/>
        </w:rPr>
      </w:pPr>
      <w:r w:rsidRPr="00972FBD">
        <w:rPr>
          <w:lang w:val="fr-FR"/>
        </w:rPr>
        <w:t xml:space="preserve">Cette initiative réunit plus de 40 partenaires, dont des membres de l'UIT, mais aussi d'autres institutions des Nations Unies, dans le but de renforcer la collaboration dans l'ensemble du secteur du numérique, en vue de promouvoir une action concrète et plus tangible en faveur du climat. La coalition s'articule autour de 6 piliers, dont 4 ont déjà donné lieu à des résultats </w:t>
      </w:r>
      <w:r w:rsidRPr="00972FBD">
        <w:rPr>
          <w:lang w:val="fr-FR"/>
        </w:rPr>
        <w:lastRenderedPageBreak/>
        <w:t>exceptionnels à la COP. Tous les détails concernant cette initiative sont reproduits dans la présentation, qui constitue un exemple clair d'approche des questions climatiques sous l'angle d'une UIT unie dans l'action qui pourrait être adoptée pour d'autres thèmes.</w:t>
      </w:r>
    </w:p>
    <w:p w14:paraId="198EDABF" w14:textId="77777777" w:rsidR="002034B3" w:rsidRPr="00972FBD" w:rsidRDefault="002034B3" w:rsidP="002034B3">
      <w:pPr>
        <w:rPr>
          <w:lang w:val="fr-FR"/>
        </w:rPr>
      </w:pPr>
      <w:r w:rsidRPr="00972FBD">
        <w:rPr>
          <w:lang w:val="fr-FR"/>
        </w:rPr>
        <w:t>Les membres sont invités à se joindre à l'Action du secteur du numérique pour l'environnement en scannant le code QR figurant sur la présentation.</w:t>
      </w:r>
    </w:p>
    <w:p w14:paraId="186A85EA" w14:textId="5BA7F664" w:rsidR="002034B3" w:rsidRPr="00972FBD" w:rsidRDefault="002034B3" w:rsidP="002034B3">
      <w:pPr>
        <w:rPr>
          <w:lang w:val="fr-FR"/>
        </w:rPr>
      </w:pPr>
      <w:r w:rsidRPr="00972FBD">
        <w:rPr>
          <w:lang w:val="fr-FR"/>
        </w:rPr>
        <w:t>Le Coordonnateur pour les changements climatiques, M. Paolo Gemma, a présenté le Document</w:t>
      </w:r>
      <w:r w:rsidR="00531565" w:rsidRPr="00972FBD">
        <w:rPr>
          <w:lang w:val="fr-FR"/>
        </w:rPr>
        <w:t> </w:t>
      </w:r>
      <w:hyperlink r:id="rId25" w:history="1">
        <w:r w:rsidRPr="00972FBD">
          <w:rPr>
            <w:rStyle w:val="Hyperlink"/>
            <w:lang w:val="fr-FR"/>
          </w:rPr>
          <w:t>ISCG/24-1-07</w:t>
        </w:r>
      </w:hyperlink>
      <w:r w:rsidRPr="00972FBD">
        <w:rPr>
          <w:lang w:val="fr-FR"/>
        </w:rPr>
        <w:t xml:space="preserve"> et les activités menées par l'UIT-T en collaboration avec les autres Secteurs.</w:t>
      </w:r>
    </w:p>
    <w:p w14:paraId="49A02225" w14:textId="43F6775B" w:rsidR="002034B3" w:rsidRPr="00972FBD" w:rsidRDefault="002034B3" w:rsidP="002034B3">
      <w:pPr>
        <w:rPr>
          <w:lang w:val="fr-FR"/>
        </w:rPr>
      </w:pPr>
      <w:r w:rsidRPr="00972FBD">
        <w:rPr>
          <w:lang w:val="fr-FR"/>
        </w:rPr>
        <w:t xml:space="preserve">Le Coordonnateur de l'UIT-R pour l'accessibilité et les changements climatiques a présenté le </w:t>
      </w:r>
      <w:r w:rsidR="00531565" w:rsidRPr="00972FBD">
        <w:rPr>
          <w:lang w:val="fr-FR"/>
        </w:rPr>
        <w:t>D</w:t>
      </w:r>
      <w:r w:rsidRPr="00972FBD">
        <w:rPr>
          <w:lang w:val="fr-FR"/>
        </w:rPr>
        <w:t>ocument</w:t>
      </w:r>
      <w:r w:rsidR="00531565" w:rsidRPr="00972FBD">
        <w:rPr>
          <w:lang w:val="fr-FR"/>
        </w:rPr>
        <w:t> </w:t>
      </w:r>
      <w:hyperlink r:id="rId26" w:history="1">
        <w:r w:rsidRPr="00972FBD">
          <w:rPr>
            <w:rStyle w:val="Hyperlink"/>
            <w:lang w:val="fr-FR"/>
          </w:rPr>
          <w:t>ISCG/24-1-08</w:t>
        </w:r>
      </w:hyperlink>
      <w:r w:rsidRPr="00972FBD">
        <w:rPr>
          <w:lang w:val="fr-FR"/>
        </w:rPr>
        <w:t xml:space="preserve"> et a souligné que deux nouveaux rapports ont été approuvés, à savoir le </w:t>
      </w:r>
      <w:r w:rsidR="00531565" w:rsidRPr="00972FBD">
        <w:rPr>
          <w:lang w:val="fr-FR"/>
        </w:rPr>
        <w:t>R</w:t>
      </w:r>
      <w:r w:rsidRPr="00972FBD">
        <w:rPr>
          <w:lang w:val="fr-FR"/>
        </w:rPr>
        <w:t>apport</w:t>
      </w:r>
      <w:r w:rsidR="00531565" w:rsidRPr="00972FBD">
        <w:rPr>
          <w:lang w:val="fr-FR"/>
        </w:rPr>
        <w:t> </w:t>
      </w:r>
      <w:r w:rsidRPr="00972FBD">
        <w:rPr>
          <w:lang w:val="fr-FR"/>
        </w:rPr>
        <w:t>BS/</w:t>
      </w:r>
      <w:hyperlink r:id="rId27" w:history="1">
        <w:r w:rsidRPr="00972FBD">
          <w:rPr>
            <w:rStyle w:val="Hyperlink"/>
            <w:lang w:val="fr-FR"/>
          </w:rPr>
          <w:t>BT.2522</w:t>
        </w:r>
      </w:hyperlink>
      <w:r w:rsidR="00531565" w:rsidRPr="00972FBD">
        <w:rPr>
          <w:lang w:val="fr-FR"/>
        </w:rPr>
        <w:t xml:space="preserve">, </w:t>
      </w:r>
      <w:r w:rsidRPr="00972FBD">
        <w:rPr>
          <w:i/>
          <w:iCs/>
          <w:lang w:val="fr-FR"/>
        </w:rPr>
        <w:t>Cadre pour l'avenir de la radiodiffusion</w:t>
      </w:r>
      <w:r w:rsidRPr="00972FBD">
        <w:rPr>
          <w:lang w:val="fr-FR"/>
        </w:rPr>
        <w:t xml:space="preserve"> et le </w:t>
      </w:r>
      <w:r w:rsidR="00531565" w:rsidRPr="00972FBD">
        <w:rPr>
          <w:lang w:val="fr-FR"/>
        </w:rPr>
        <w:t>R</w:t>
      </w:r>
      <w:r w:rsidRPr="00972FBD">
        <w:rPr>
          <w:lang w:val="fr-FR"/>
        </w:rPr>
        <w:t>apport BS/</w:t>
      </w:r>
      <w:hyperlink r:id="rId28" w:history="1">
        <w:r w:rsidRPr="00972FBD">
          <w:rPr>
            <w:rStyle w:val="Hyperlink"/>
            <w:lang w:val="fr-FR"/>
          </w:rPr>
          <w:t>BT.2524</w:t>
        </w:r>
      </w:hyperlink>
      <w:r w:rsidR="00531565" w:rsidRPr="00972FBD">
        <w:rPr>
          <w:lang w:val="fr-FR"/>
        </w:rPr>
        <w:t xml:space="preserve">, </w:t>
      </w:r>
      <w:r w:rsidRPr="00972FBD">
        <w:rPr>
          <w:i/>
          <w:iCs/>
          <w:lang w:val="fr-FR"/>
        </w:rPr>
        <w:t>Cadre pour l'avenir de la production de radiodiffusion</w:t>
      </w:r>
      <w:r w:rsidRPr="00972FBD">
        <w:rPr>
          <w:lang w:val="fr-FR"/>
        </w:rPr>
        <w:t xml:space="preserve">. Ces deux </w:t>
      </w:r>
      <w:r w:rsidR="00531565" w:rsidRPr="00972FBD">
        <w:rPr>
          <w:lang w:val="fr-FR"/>
        </w:rPr>
        <w:t>R</w:t>
      </w:r>
      <w:r w:rsidRPr="00972FBD">
        <w:rPr>
          <w:lang w:val="fr-FR"/>
        </w:rPr>
        <w:t>apports contiennent des informations sur le développement d'initiatives de radiodiffusion durables pour la chaîne de radiodiffusion de bout en bout et sur la manière dont le nouveau traitement de personnalisation fondé sur l'intelligence artificielle peut tirer pleinement parti des plates-formes et services traditionnels, hybrides et entièrement fondés sur le protocole IP.</w:t>
      </w:r>
    </w:p>
    <w:p w14:paraId="1F4AD1DD" w14:textId="7C081612" w:rsidR="002034B3" w:rsidRPr="00972FBD" w:rsidRDefault="002034B3" w:rsidP="002034B3">
      <w:pPr>
        <w:rPr>
          <w:lang w:val="fr-FR"/>
        </w:rPr>
      </w:pPr>
      <w:r w:rsidRPr="00972FBD">
        <w:rPr>
          <w:lang w:val="fr-FR"/>
        </w:rPr>
        <w:t>Il a été souligné que le Forum politique de haut niveau des Nations Unies sur le développement durable à l'horizon 2024 serait notamment axé sur l'Objectif de développement durable 13 (ODD</w:t>
      </w:r>
      <w:r w:rsidR="00531565" w:rsidRPr="00972FBD">
        <w:rPr>
          <w:lang w:val="fr-FR"/>
        </w:rPr>
        <w:t> </w:t>
      </w:r>
      <w:r w:rsidRPr="00972FBD">
        <w:rPr>
          <w:lang w:val="fr-FR"/>
        </w:rPr>
        <w:t>13) sur les mesures relatives à la lutte contre les changements climatiques, les activités et les résultats de l'UIT sur ce thème devraient donc être inclus dans le rapport du Conseil au Forum politique de haut niveau de 2024 (HPLF-24).</w:t>
      </w:r>
    </w:p>
    <w:p w14:paraId="1461DEC2" w14:textId="77777777" w:rsidR="002034B3" w:rsidRPr="00972FBD" w:rsidRDefault="002034B3" w:rsidP="00531565">
      <w:pPr>
        <w:pStyle w:val="Headingb"/>
        <w:rPr>
          <w:lang w:val="fr-FR"/>
        </w:rPr>
      </w:pPr>
      <w:r w:rsidRPr="00972FBD">
        <w:rPr>
          <w:lang w:val="fr-FR"/>
        </w:rPr>
        <w:t>Réunions virtuelles/Participation à distance</w:t>
      </w:r>
    </w:p>
    <w:p w14:paraId="09AB794B" w14:textId="21B1E9D5" w:rsidR="002034B3" w:rsidRPr="00972FBD" w:rsidRDefault="002034B3" w:rsidP="002034B3">
      <w:pPr>
        <w:rPr>
          <w:lang w:val="fr-FR"/>
        </w:rPr>
      </w:pPr>
      <w:r w:rsidRPr="00972FBD">
        <w:rPr>
          <w:lang w:val="fr-FR"/>
        </w:rPr>
        <w:t>Le Coordonnateur pour ces thèmes et Président de la Commission d'études 2 de l'UIT</w:t>
      </w:r>
      <w:r w:rsidR="00531565" w:rsidRPr="00972FBD">
        <w:rPr>
          <w:lang w:val="fr-FR"/>
        </w:rPr>
        <w:noBreakHyphen/>
      </w:r>
      <w:r w:rsidRPr="00972FBD">
        <w:rPr>
          <w:lang w:val="fr-FR"/>
        </w:rPr>
        <w:t>T, M.</w:t>
      </w:r>
      <w:r w:rsidR="00531565" w:rsidRPr="00972FBD">
        <w:rPr>
          <w:lang w:val="fr-FR"/>
        </w:rPr>
        <w:t> </w:t>
      </w:r>
      <w:r w:rsidRPr="00972FBD">
        <w:rPr>
          <w:lang w:val="fr-FR"/>
        </w:rPr>
        <w:t>Philip</w:t>
      </w:r>
      <w:r w:rsidR="00531565" w:rsidRPr="00972FBD">
        <w:rPr>
          <w:lang w:val="fr-FR"/>
        </w:rPr>
        <w:t> </w:t>
      </w:r>
      <w:r w:rsidRPr="00972FBD">
        <w:rPr>
          <w:lang w:val="fr-FR"/>
        </w:rPr>
        <w:t>Rushton, a souligné combien il était important de communiquer au Conseil des informations sur les travaux menés par les Secteurs afin de collaborer et d'élaborer des règles communes, claires et transparentes qui soient utiles pour les membres.</w:t>
      </w:r>
    </w:p>
    <w:p w14:paraId="1258EA4C" w14:textId="541CFBFD" w:rsidR="002034B3" w:rsidRPr="00972FBD" w:rsidRDefault="002034B3" w:rsidP="002034B3">
      <w:pPr>
        <w:rPr>
          <w:lang w:val="fr-FR"/>
        </w:rPr>
      </w:pPr>
      <w:r w:rsidRPr="00972FBD">
        <w:rPr>
          <w:lang w:val="fr-FR"/>
        </w:rPr>
        <w:t>Le Secrétariat de l'UIT a indiqué que le document qui sera présenté au GTC-FHR, qui énumère pour l'essentiel les pratiques existantes, est également publié sur le site web du Groupe ISCG (voir le Document</w:t>
      </w:r>
      <w:r w:rsidR="00531565" w:rsidRPr="00972FBD">
        <w:rPr>
          <w:lang w:val="fr-FR"/>
        </w:rPr>
        <w:t> </w:t>
      </w:r>
      <w:hyperlink r:id="rId29" w:history="1">
        <w:r w:rsidRPr="00972FBD">
          <w:rPr>
            <w:rStyle w:val="Hyperlink"/>
            <w:lang w:val="fr-FR"/>
          </w:rPr>
          <w:t>CWG-FHR-17/INF/4</w:t>
        </w:r>
      </w:hyperlink>
      <w:r w:rsidRPr="00972FBD">
        <w:rPr>
          <w:lang w:val="fr-FR"/>
        </w:rPr>
        <w:t xml:space="preserve">). Le GCDT est invité à examiner le </w:t>
      </w:r>
      <w:r w:rsidR="00443C72" w:rsidRPr="00972FBD">
        <w:rPr>
          <w:lang w:val="fr-FR"/>
        </w:rPr>
        <w:t>D</w:t>
      </w:r>
      <w:r w:rsidRPr="00972FBD">
        <w:rPr>
          <w:lang w:val="fr-FR"/>
        </w:rPr>
        <w:t>ocument.</w:t>
      </w:r>
    </w:p>
    <w:p w14:paraId="782113FD" w14:textId="77777777" w:rsidR="002034B3" w:rsidRPr="00972FBD" w:rsidRDefault="002034B3" w:rsidP="002034B3">
      <w:pPr>
        <w:rPr>
          <w:lang w:val="fr-FR"/>
        </w:rPr>
      </w:pPr>
      <w:r w:rsidRPr="00972FBD">
        <w:rPr>
          <w:lang w:val="fr-FR"/>
        </w:rPr>
        <w:t>Le Président du Groupe ISCG a ajouté que les orientations politiques devraient émaner des membres et de la Conférence de plénipotentiaires, étant donné que les Secteurs ont encore recours à différentes solutions pour les réunions virtuelles.</w:t>
      </w:r>
    </w:p>
    <w:p w14:paraId="2808BB76" w14:textId="77777777" w:rsidR="002034B3" w:rsidRPr="00972FBD" w:rsidRDefault="002034B3" w:rsidP="00531565">
      <w:pPr>
        <w:pStyle w:val="Headingb"/>
        <w:rPr>
          <w:lang w:val="fr-FR"/>
        </w:rPr>
      </w:pPr>
      <w:r w:rsidRPr="00972FBD">
        <w:rPr>
          <w:lang w:val="fr-FR"/>
        </w:rPr>
        <w:t>Site web de l'UIT</w:t>
      </w:r>
    </w:p>
    <w:p w14:paraId="720C5CBB" w14:textId="017D4DF4" w:rsidR="002034B3" w:rsidRPr="00972FBD" w:rsidRDefault="002034B3" w:rsidP="002034B3">
      <w:pPr>
        <w:rPr>
          <w:lang w:val="fr-FR"/>
        </w:rPr>
      </w:pPr>
      <w:r w:rsidRPr="00972FBD">
        <w:rPr>
          <w:lang w:val="fr-FR"/>
        </w:rPr>
        <w:t xml:space="preserve">Le Coordonnateur du Secrétariat de l'UIT a présenté le </w:t>
      </w:r>
      <w:r w:rsidR="00531565" w:rsidRPr="00972FBD">
        <w:rPr>
          <w:lang w:val="fr-FR"/>
        </w:rPr>
        <w:t>D</w:t>
      </w:r>
      <w:r w:rsidRPr="00972FBD">
        <w:rPr>
          <w:lang w:val="fr-FR"/>
        </w:rPr>
        <w:t xml:space="preserve">ocument </w:t>
      </w:r>
      <w:hyperlink r:id="rId30" w:history="1">
        <w:r w:rsidRPr="00972FBD">
          <w:rPr>
            <w:rStyle w:val="Hyperlink"/>
            <w:lang w:val="fr-FR"/>
          </w:rPr>
          <w:t>ISCG/24-1/05</w:t>
        </w:r>
      </w:hyperlink>
      <w:r w:rsidRPr="00972FBD">
        <w:rPr>
          <w:lang w:val="fr-FR"/>
        </w:rPr>
        <w:t xml:space="preserve"> qui a également été présenté au GTC-FHR et dans lequel il est indiqué que le Comité de coordination (CoCo) a approuvé la refonte du site web de l'UIT pour le rendre plus convivial, consultable et navigable, afin de répondre aux demandes des membres. Le processus a été défini et une feuille de route sera présentée sous peu.</w:t>
      </w:r>
    </w:p>
    <w:p w14:paraId="5F4E5AFB" w14:textId="2D139E3F" w:rsidR="002034B3" w:rsidRPr="00972FBD" w:rsidRDefault="002034B3" w:rsidP="002034B3">
      <w:pPr>
        <w:rPr>
          <w:lang w:val="fr-FR"/>
        </w:rPr>
      </w:pPr>
      <w:r w:rsidRPr="00972FBD">
        <w:rPr>
          <w:lang w:val="fr-FR"/>
        </w:rPr>
        <w:t>Les membres du Groupe ISCG ont demandé à être informés de toutes les étapes du processus afin de pouvoir formuler des retours d'information, étant donné que le site web de l'UIT revêt une grande importance pour ce qui est de promouvoir l'accessibilité, d'assurer l'utilisation égale des six</w:t>
      </w:r>
      <w:r w:rsidR="00443C72" w:rsidRPr="00972FBD">
        <w:rPr>
          <w:lang w:val="fr-FR"/>
        </w:rPr>
        <w:t> </w:t>
      </w:r>
      <w:r w:rsidRPr="00972FBD">
        <w:rPr>
          <w:lang w:val="fr-FR"/>
        </w:rPr>
        <w:t>langues, d'harmoniser la présentation du contenu et de faciliter la recherche d'éléments.</w:t>
      </w:r>
    </w:p>
    <w:p w14:paraId="5C05427F" w14:textId="77777777" w:rsidR="002034B3" w:rsidRPr="00972FBD" w:rsidRDefault="002034B3" w:rsidP="00531565">
      <w:pPr>
        <w:pStyle w:val="Headingb"/>
        <w:rPr>
          <w:lang w:val="fr-FR"/>
        </w:rPr>
      </w:pPr>
      <w:r w:rsidRPr="00972FBD">
        <w:rPr>
          <w:lang w:val="fr-FR"/>
        </w:rPr>
        <w:lastRenderedPageBreak/>
        <w:t>Tableaux de mise en correspondance</w:t>
      </w:r>
    </w:p>
    <w:p w14:paraId="50D4F0E1" w14:textId="62F52C30" w:rsidR="002034B3" w:rsidRPr="00972FBD" w:rsidRDefault="002034B3" w:rsidP="002034B3">
      <w:pPr>
        <w:rPr>
          <w:lang w:val="fr-FR"/>
        </w:rPr>
      </w:pPr>
      <w:r w:rsidRPr="00972FBD">
        <w:rPr>
          <w:lang w:val="fr-FR"/>
        </w:rPr>
        <w:t xml:space="preserve">Le Secrétariat de l'UIT a fait savoir que les </w:t>
      </w:r>
      <w:hyperlink r:id="rId31" w:history="1">
        <w:r w:rsidRPr="00972FBD">
          <w:rPr>
            <w:rStyle w:val="Hyperlink"/>
            <w:lang w:val="fr-FR"/>
          </w:rPr>
          <w:t>Tableaux de mise en correspondance des Résolutions</w:t>
        </w:r>
      </w:hyperlink>
      <w:r w:rsidRPr="00972FBD">
        <w:rPr>
          <w:lang w:val="fr-FR"/>
        </w:rPr>
        <w:t xml:space="preserve"> et tous les autres tableaux de mise en correspondance sont mis à jour et peuvent être consultés sur le site web du Groupe ISCG.</w:t>
      </w:r>
    </w:p>
    <w:p w14:paraId="1429D36A" w14:textId="1637A9C4" w:rsidR="002034B3" w:rsidRPr="00972FBD" w:rsidRDefault="002034B3" w:rsidP="002034B3">
      <w:pPr>
        <w:rPr>
          <w:lang w:val="fr-FR"/>
        </w:rPr>
      </w:pPr>
      <w:r w:rsidRPr="00972FBD">
        <w:rPr>
          <w:lang w:val="fr-FR"/>
        </w:rPr>
        <w:t xml:space="preserve">Le Coordonnateur de l'UIT-D pour cette question a présenté le </w:t>
      </w:r>
      <w:hyperlink r:id="rId32" w:history="1">
        <w:r w:rsidRPr="00972FBD">
          <w:rPr>
            <w:rStyle w:val="Hyperlink"/>
            <w:lang w:val="fr-FR"/>
          </w:rPr>
          <w:t>Tableau 3</w:t>
        </w:r>
      </w:hyperlink>
      <w:r w:rsidRPr="00972FBD">
        <w:rPr>
          <w:lang w:val="fr-FR"/>
        </w:rPr>
        <w:t xml:space="preserve"> (mise en correspondance de l'UIT-T et de l'UIT-D) en vue d'une approbation officielle, dans la mesure où les discussions au sein des deux Secteurs se sont poursuivies après la dernière réunion du Groupe ISCG tenue en</w:t>
      </w:r>
      <w:r w:rsidR="00531565" w:rsidRPr="00972FBD">
        <w:rPr>
          <w:lang w:val="fr-FR"/>
        </w:rPr>
        <w:t> </w:t>
      </w:r>
      <w:r w:rsidRPr="00972FBD">
        <w:rPr>
          <w:lang w:val="fr-FR"/>
        </w:rPr>
        <w:t>2023.</w:t>
      </w:r>
    </w:p>
    <w:p w14:paraId="23A03DA9" w14:textId="77777777" w:rsidR="002034B3" w:rsidRPr="00972FBD" w:rsidRDefault="002034B3" w:rsidP="002034B3">
      <w:pPr>
        <w:rPr>
          <w:lang w:val="fr-FR"/>
        </w:rPr>
      </w:pPr>
      <w:r w:rsidRPr="00972FBD">
        <w:rPr>
          <w:lang w:val="fr-FR"/>
        </w:rPr>
        <w:t>Ce tableau présente quelques améliorations car il fournit des informations détaillées sur les sujets précis pour lesquels il existe un intérêt commun entre les Secteurs.</w:t>
      </w:r>
    </w:p>
    <w:p w14:paraId="556A400E" w14:textId="77777777" w:rsidR="002034B3" w:rsidRPr="00972FBD" w:rsidRDefault="002034B3" w:rsidP="002034B3">
      <w:pPr>
        <w:rPr>
          <w:lang w:val="fr-FR"/>
        </w:rPr>
      </w:pPr>
      <w:r w:rsidRPr="00972FBD">
        <w:rPr>
          <w:lang w:val="fr-FR"/>
        </w:rPr>
        <w:t>Ce tableau a été présenté au GCDT au moyen d'une note de liaison pour suite à donner afin de suivre ce même format lors de l'examen du Tableau 1, compte tenu des résultats de l'Assemblée des radiocommunications (AR-23).</w:t>
      </w:r>
    </w:p>
    <w:p w14:paraId="682833BF" w14:textId="77777777" w:rsidR="002034B3" w:rsidRPr="00972FBD" w:rsidRDefault="002034B3" w:rsidP="003E17D5">
      <w:pPr>
        <w:pStyle w:val="Headingb"/>
        <w:rPr>
          <w:lang w:val="fr-FR"/>
        </w:rPr>
      </w:pPr>
      <w:r w:rsidRPr="00972FBD">
        <w:rPr>
          <w:lang w:val="fr-FR"/>
        </w:rPr>
        <w:t>Questions diverses</w:t>
      </w:r>
    </w:p>
    <w:p w14:paraId="69561E58" w14:textId="77777777" w:rsidR="002034B3" w:rsidRPr="00972FBD" w:rsidRDefault="002034B3" w:rsidP="002034B3">
      <w:pPr>
        <w:rPr>
          <w:lang w:val="fr-FR"/>
        </w:rPr>
      </w:pPr>
      <w:r w:rsidRPr="00972FBD">
        <w:rPr>
          <w:lang w:val="fr-FR"/>
        </w:rPr>
        <w:t>Le Président du Groupe ISCG a rappelé la nécessité de réviser le mandat du groupe et a encouragé l'équipe de direction du Groupe ISCG à mener des travaux dans le cadre d'un groupe de rédaction virtuel et à soumettre une proposition à la prochaine réunion.</w:t>
      </w:r>
    </w:p>
    <w:p w14:paraId="27D70EC1" w14:textId="77777777" w:rsidR="002034B3" w:rsidRPr="00972FBD" w:rsidRDefault="002034B3" w:rsidP="003E17D5">
      <w:pPr>
        <w:pStyle w:val="Headingb"/>
        <w:rPr>
          <w:lang w:val="fr-FR"/>
        </w:rPr>
      </w:pPr>
      <w:r w:rsidRPr="00972FBD">
        <w:rPr>
          <w:lang w:val="fr-FR"/>
        </w:rPr>
        <w:t>Conclusion</w:t>
      </w:r>
    </w:p>
    <w:p w14:paraId="005DD477" w14:textId="2FBAB919" w:rsidR="002034B3" w:rsidRPr="00972FBD" w:rsidRDefault="002034B3" w:rsidP="002034B3">
      <w:pPr>
        <w:rPr>
          <w:lang w:val="fr-FR"/>
        </w:rPr>
      </w:pPr>
      <w:r w:rsidRPr="00972FBD">
        <w:rPr>
          <w:lang w:val="fr-FR"/>
        </w:rPr>
        <w:t xml:space="preserve">Le GCDT a été invité à examiner le présent </w:t>
      </w:r>
      <w:r w:rsidR="006211E8" w:rsidRPr="00972FBD">
        <w:rPr>
          <w:lang w:val="fr-FR"/>
        </w:rPr>
        <w:t>d</w:t>
      </w:r>
      <w:r w:rsidRPr="00972FBD">
        <w:rPr>
          <w:lang w:val="fr-FR"/>
        </w:rPr>
        <w:t>ocument et à présenter des observations et des propositions au Groupe ISCG sur les thèmes qui ont été présentés et toute autre activité conjointe éventuelle ou tout autre mécanisme propre à renforcer la coopération.</w:t>
      </w:r>
    </w:p>
    <w:p w14:paraId="69B70EE0" w14:textId="52ACA523" w:rsidR="00EC6FED" w:rsidRPr="00972FBD" w:rsidRDefault="002034B3" w:rsidP="002034B3">
      <w:pPr>
        <w:rPr>
          <w:lang w:val="fr-FR"/>
        </w:rPr>
      </w:pPr>
      <w:r w:rsidRPr="00972FBD">
        <w:rPr>
          <w:lang w:val="fr-FR"/>
        </w:rPr>
        <w:t xml:space="preserve">Les membres du GCDT sont invités à suivre toutes les activités menées par le Groupe ISCG sur le site web prévu à cet effet (accessible </w:t>
      </w:r>
      <w:hyperlink r:id="rId33" w:history="1">
        <w:r w:rsidRPr="00972FBD">
          <w:rPr>
            <w:rStyle w:val="Hyperlink"/>
            <w:lang w:val="fr-FR"/>
          </w:rPr>
          <w:t>i</w:t>
        </w:r>
        <w:r w:rsidRPr="00972FBD">
          <w:rPr>
            <w:rStyle w:val="Hyperlink"/>
            <w:lang w:val="fr-FR"/>
          </w:rPr>
          <w:t>c</w:t>
        </w:r>
        <w:r w:rsidRPr="00972FBD">
          <w:rPr>
            <w:rStyle w:val="Hyperlink"/>
            <w:lang w:val="fr-FR"/>
          </w:rPr>
          <w:t>i</w:t>
        </w:r>
      </w:hyperlink>
      <w:r w:rsidRPr="00972FBD">
        <w:rPr>
          <w:lang w:val="fr-FR"/>
        </w:rPr>
        <w:t>).</w:t>
      </w:r>
    </w:p>
    <w:p w14:paraId="759B88F2" w14:textId="5E0F9299" w:rsidR="002034B3" w:rsidRPr="00972FBD" w:rsidRDefault="002034B3" w:rsidP="002034B3">
      <w:pPr>
        <w:rPr>
          <w:lang w:val="fr-FR"/>
        </w:rPr>
      </w:pPr>
      <w:r w:rsidRPr="00972FBD">
        <w:rPr>
          <w:lang w:val="fr-FR"/>
        </w:rPr>
        <w:t>Le Président du Groupe ISCG tient à remercier le GCDT de lui donner l'occasion de présenter ce rapport et d'organiser la réunion du Groupe ISCG parallèlement à cette réunion.</w:t>
      </w:r>
    </w:p>
    <w:p w14:paraId="2EC2844A" w14:textId="77777777" w:rsidR="00821996" w:rsidRPr="00972FBD" w:rsidRDefault="003C58BF" w:rsidP="00A50CA0">
      <w:pPr>
        <w:tabs>
          <w:tab w:val="clear" w:pos="794"/>
          <w:tab w:val="clear" w:pos="1191"/>
          <w:tab w:val="clear" w:pos="1588"/>
          <w:tab w:val="clear" w:pos="1985"/>
        </w:tabs>
        <w:spacing w:after="120"/>
        <w:jc w:val="center"/>
        <w:rPr>
          <w:lang w:val="fr-FR"/>
        </w:rPr>
      </w:pPr>
      <w:bookmarkStart w:id="6" w:name="Proposal"/>
      <w:bookmarkEnd w:id="6"/>
      <w:r w:rsidRPr="00972FBD">
        <w:rPr>
          <w:lang w:val="fr-FR"/>
        </w:rPr>
        <w:t>_____________</w:t>
      </w:r>
      <w:r w:rsidR="004122C5" w:rsidRPr="00972FBD">
        <w:rPr>
          <w:lang w:val="fr-FR"/>
        </w:rPr>
        <w:t>_</w:t>
      </w:r>
      <w:r w:rsidR="00922EC1" w:rsidRPr="00972FBD">
        <w:rPr>
          <w:lang w:val="fr-FR"/>
        </w:rPr>
        <w:t>_</w:t>
      </w:r>
    </w:p>
    <w:sectPr w:rsidR="00821996" w:rsidRPr="00972FBD" w:rsidSect="00473791">
      <w:headerReference w:type="default" r:id="rId34"/>
      <w:footerReference w:type="first" r:id="rId3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E7328"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67FA05E7" w:rsidR="0059420B" w:rsidRPr="001011EB" w:rsidRDefault="002034B3" w:rsidP="0059420B">
          <w:pPr>
            <w:pStyle w:val="FirstFooter"/>
            <w:tabs>
              <w:tab w:val="left" w:pos="2302"/>
            </w:tabs>
            <w:rPr>
              <w:sz w:val="18"/>
              <w:szCs w:val="18"/>
              <w:lang w:val="fr-CH"/>
            </w:rPr>
          </w:pPr>
          <w:r w:rsidRPr="002034B3">
            <w:rPr>
              <w:sz w:val="18"/>
              <w:szCs w:val="18"/>
              <w:lang w:val="fr-CH"/>
            </w:rPr>
            <w:t>M. Fabio Bigi, Président du Groupe de coordination intersectorielle</w:t>
          </w:r>
        </w:p>
      </w:tc>
      <w:bookmarkStart w:id="7" w:name="OrgName"/>
      <w:bookmarkEnd w:id="7"/>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444AAE06" w:rsidR="0059420B" w:rsidRPr="001011EB" w:rsidRDefault="002034B3" w:rsidP="0059420B">
          <w:pPr>
            <w:pStyle w:val="FirstFooter"/>
            <w:tabs>
              <w:tab w:val="left" w:pos="2302"/>
            </w:tabs>
            <w:rPr>
              <w:sz w:val="18"/>
              <w:szCs w:val="18"/>
              <w:lang w:val="fr-CH"/>
            </w:rPr>
          </w:pPr>
          <w:r>
            <w:rPr>
              <w:sz w:val="18"/>
              <w:szCs w:val="18"/>
              <w:lang w:val="fr-CH"/>
            </w:rPr>
            <w:t>Sans objet</w:t>
          </w:r>
        </w:p>
      </w:tc>
      <w:bookmarkStart w:id="8" w:name="PhoneNo"/>
      <w:bookmarkEnd w:id="8"/>
    </w:tr>
    <w:tr w:rsidR="0059420B" w:rsidRPr="004E7328"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4AD1D773" w:rsidR="0059420B" w:rsidRPr="001011EB" w:rsidRDefault="00972FBD" w:rsidP="0059420B">
          <w:pPr>
            <w:pStyle w:val="FirstFooter"/>
            <w:tabs>
              <w:tab w:val="left" w:pos="2302"/>
            </w:tabs>
            <w:rPr>
              <w:sz w:val="18"/>
              <w:szCs w:val="18"/>
              <w:lang w:val="fr-CH"/>
            </w:rPr>
          </w:pPr>
          <w:hyperlink r:id="rId1" w:history="1">
            <w:r w:rsidR="002034B3" w:rsidRPr="002034B3">
              <w:rPr>
                <w:rStyle w:val="Hyperlink"/>
                <w:sz w:val="18"/>
                <w:szCs w:val="18"/>
                <w:lang w:val="fr-CH"/>
              </w:rPr>
              <w:t>fabio.big</w:t>
            </w:r>
            <w:r w:rsidR="002034B3" w:rsidRPr="002034B3">
              <w:rPr>
                <w:rStyle w:val="Hyperlink"/>
                <w:sz w:val="18"/>
                <w:szCs w:val="18"/>
                <w:lang w:val="fr-CH"/>
              </w:rPr>
              <w:t>i</w:t>
            </w:r>
            <w:r w:rsidR="002034B3" w:rsidRPr="002034B3">
              <w:rPr>
                <w:rStyle w:val="Hyperlink"/>
                <w:sz w:val="18"/>
                <w:szCs w:val="18"/>
                <w:lang w:val="fr-CH"/>
              </w:rPr>
              <w:t>@virgilio.it</w:t>
            </w:r>
          </w:hyperlink>
          <w:r w:rsidR="002034B3" w:rsidRPr="002034B3">
            <w:rPr>
              <w:sz w:val="18"/>
              <w:szCs w:val="18"/>
              <w:lang w:val="fr-CH"/>
            </w:rPr>
            <w:t xml:space="preserve">; </w:t>
          </w:r>
          <w:hyperlink r:id="rId2" w:history="1">
            <w:r w:rsidR="002034B3" w:rsidRPr="002034B3">
              <w:rPr>
                <w:rStyle w:val="Hyperlink"/>
                <w:sz w:val="18"/>
                <w:szCs w:val="18"/>
                <w:lang w:val="fr-CH"/>
              </w:rPr>
              <w:t>iscg@i</w:t>
            </w:r>
            <w:r w:rsidR="002034B3" w:rsidRPr="002034B3">
              <w:rPr>
                <w:rStyle w:val="Hyperlink"/>
                <w:sz w:val="18"/>
                <w:szCs w:val="18"/>
                <w:lang w:val="fr-CH"/>
              </w:rPr>
              <w:t>t</w:t>
            </w:r>
            <w:r w:rsidR="002034B3" w:rsidRPr="002034B3">
              <w:rPr>
                <w:rStyle w:val="Hyperlink"/>
                <w:sz w:val="18"/>
                <w:szCs w:val="18"/>
                <w:lang w:val="fr-CH"/>
              </w:rPr>
              <w:t>u.int</w:t>
            </w:r>
          </w:hyperlink>
        </w:p>
      </w:tc>
      <w:bookmarkStart w:id="9" w:name="Email"/>
      <w:bookmarkEnd w:id="9"/>
    </w:tr>
  </w:tbl>
  <w:p w14:paraId="40A321D0" w14:textId="50FEB05F" w:rsidR="00721657" w:rsidRPr="001011EB" w:rsidRDefault="00972FBD" w:rsidP="00B80157">
    <w:pPr>
      <w:pStyle w:val="Footer"/>
      <w:jc w:val="center"/>
      <w:rPr>
        <w:lang w:val="fr-CH"/>
      </w:rPr>
    </w:pPr>
    <w:hyperlink r:id="rId3" w:history="1">
      <w:r w:rsidR="008B47C7" w:rsidRPr="001011EB">
        <w:rPr>
          <w:rStyle w:val="Hyperlink"/>
          <w:caps w:val="0"/>
          <w:noProof w:val="0"/>
          <w:sz w:val="18"/>
          <w:szCs w:val="18"/>
          <w:lang w:val="fr-CH"/>
        </w:rPr>
        <w:t>T</w:t>
      </w:r>
      <w:r w:rsidR="008B47C7" w:rsidRPr="001011EB">
        <w:rPr>
          <w:rStyle w:val="Hyperlink"/>
          <w:caps w:val="0"/>
          <w:noProof w:val="0"/>
          <w:sz w:val="18"/>
          <w:szCs w:val="18"/>
          <w:lang w:val="fr-CH"/>
        </w:rPr>
        <w:t>D</w:t>
      </w:r>
      <w:r w:rsidR="008B47C7" w:rsidRPr="001011EB">
        <w:rPr>
          <w:rStyle w:val="Hyperlink"/>
          <w:caps w:val="0"/>
          <w:noProof w:val="0"/>
          <w:sz w:val="18"/>
          <w:szCs w:val="18"/>
          <w:lang w:val="fr-CH"/>
        </w:rPr>
        <w:t>AG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72AB2D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2034B3">
      <w:rPr>
        <w:sz w:val="22"/>
        <w:szCs w:val="22"/>
        <w:lang w:val="de-CH"/>
      </w:rPr>
      <w:t>9</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79170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23C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34B3"/>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9C5"/>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E17D5"/>
    <w:rsid w:val="003F2DD8"/>
    <w:rsid w:val="003F3F2D"/>
    <w:rsid w:val="003F50B2"/>
    <w:rsid w:val="00400CCF"/>
    <w:rsid w:val="00401BFF"/>
    <w:rsid w:val="00404424"/>
    <w:rsid w:val="0041156B"/>
    <w:rsid w:val="004122C5"/>
    <w:rsid w:val="00413B78"/>
    <w:rsid w:val="00416DDE"/>
    <w:rsid w:val="00443C72"/>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328"/>
    <w:rsid w:val="004E7828"/>
    <w:rsid w:val="004F46AA"/>
    <w:rsid w:val="004F6A70"/>
    <w:rsid w:val="00500AD7"/>
    <w:rsid w:val="00502ABF"/>
    <w:rsid w:val="00504DB0"/>
    <w:rsid w:val="00507C35"/>
    <w:rsid w:val="00510735"/>
    <w:rsid w:val="00514D2F"/>
    <w:rsid w:val="0053156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496C"/>
    <w:rsid w:val="005E67B0"/>
    <w:rsid w:val="005E7047"/>
    <w:rsid w:val="005E777F"/>
    <w:rsid w:val="005F1CA7"/>
    <w:rsid w:val="005F43DD"/>
    <w:rsid w:val="005F51A9"/>
    <w:rsid w:val="005F6BE1"/>
    <w:rsid w:val="005F7416"/>
    <w:rsid w:val="00600C11"/>
    <w:rsid w:val="00606B89"/>
    <w:rsid w:val="00611EAF"/>
    <w:rsid w:val="006211E8"/>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1FC7"/>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2FBD"/>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876"/>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超?级链?,Style?,S"/>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03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general-secretariat/ties/ISCGDocumentLibrary/1st%20Meeting%202024/ISCG-24-1-02-1st%20Meeting%202023-Final%20Report.docx" TargetMode="External"/><Relationship Id="rId18" Type="http://schemas.openxmlformats.org/officeDocument/2006/relationships/hyperlink" Target="https://www.itu.int/en/general-secretariat/ties/ISCGDocumentLibrary/1st%20Meeting%202024/TSAG-LS00020-Inclusive%20language.docx" TargetMode="External"/><Relationship Id="rId26" Type="http://schemas.openxmlformats.org/officeDocument/2006/relationships/hyperlink" Target="https://www.itu.int/en/general-secretariat/ties/ISCGDocumentLibrary/1st%20Meeting%202024/ISCG-24-1-08-ITU-R%20Focal%20Point-Contribution.docx" TargetMode="External"/><Relationship Id="rId21" Type="http://schemas.openxmlformats.org/officeDocument/2006/relationships/hyperlink" Target="https://www.itu.int/en/general-secretariat/ties/ISCGDocumentLibrary/1st%20Meeting%202024/TDAG-LS004-Governance%20and%20management%20of%20virtual%20meetings.docx"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en/general-secretariat/ties/ISCGDocumentLibrary/1st%20Meeting%202024/ISCG-24-1-01-E-R3-Agenda.docx" TargetMode="External"/><Relationship Id="rId17" Type="http://schemas.openxmlformats.org/officeDocument/2006/relationships/hyperlink" Target="https://www.itu.int/en/general-secretariat/Pages/ISCG/default.aspx" TargetMode="External"/><Relationship Id="rId25" Type="http://schemas.openxmlformats.org/officeDocument/2006/relationships/hyperlink" Target="https://www.itu.int/en/general-secretariat/ties/ISCGDocumentLibrary/1st%20Meeting%202024/ISCG-24-1-07-Report%20Climate%20change%20Coordinator.docx" TargetMode="External"/><Relationship Id="rId33" Type="http://schemas.openxmlformats.org/officeDocument/2006/relationships/hyperlink" Target="https://www.itu.int/en/general-secretariat/Pages/ISCG/default.aspx" TargetMode="External"/><Relationship Id="rId2" Type="http://schemas.openxmlformats.org/officeDocument/2006/relationships/customXml" Target="../customXml/item2.xml"/><Relationship Id="rId16" Type="http://schemas.openxmlformats.org/officeDocument/2006/relationships/hyperlink" Target="https://www.itu.int/en/general-secretariat/ties/ISCGDocumentLibrary/Liaisons%20Statements%20on%20Inter-Sectoral%20Coordination%20Activities/ISCM-List%20of%20Focal%20Points.pdf" TargetMode="External"/><Relationship Id="rId20" Type="http://schemas.openxmlformats.org/officeDocument/2006/relationships/hyperlink" Target="https://www.itu.int/en/general-secretariat/ties/ISCGDocumentLibrary/1st%20Meeting%202024/TDAG-LS002-Machine%20translation.docx" TargetMode="External"/><Relationship Id="rId29" Type="http://schemas.openxmlformats.org/officeDocument/2006/relationships/hyperlink" Target="https://www.itu.int/md/S24-CWGFHR17-INF-0004/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191-F.pdf" TargetMode="External"/><Relationship Id="rId24" Type="http://schemas.openxmlformats.org/officeDocument/2006/relationships/hyperlink" Target="https://www.itu.int/en/general-secretariat/ties/ISCGDocumentLibrary/1st%20Meeting%202024/Green%20Digital%20Action%20at%20COP%2028.pdf" TargetMode="External"/><Relationship Id="rId32" Type="http://schemas.openxmlformats.org/officeDocument/2006/relationships/hyperlink" Target="https://www.itu.int/en/general-secretariat/ties/ISCGDocumentLibrary/1st%20Meeting%202024/ISCG-24-1-04-Mapping%20Table%203.docx"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general-secretariat/ties/ISCGDocumentLibrary/1st%20Meeting%202024/ISCM-Res%20191-R1.pptx" TargetMode="External"/><Relationship Id="rId23" Type="http://schemas.openxmlformats.org/officeDocument/2006/relationships/hyperlink" Target="https://www.itu.int/dms_pub/itu-t/opb/tut/T-TUT-FSTP-2015-AM-PDF-E.pdf" TargetMode="External"/><Relationship Id="rId28" Type="http://schemas.openxmlformats.org/officeDocument/2006/relationships/hyperlink" Target="https://www.itu.int/pub/R-REP-BT/publications.aspx?lang=en&amp;parent=R-REP-BT.2524"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en/general-secretariat/ties/ISCGDocumentLibrary/1st%20Meeting%202024/TDAG-LS001-Access%20to%20documents%20on%20intersectoral%20activities.docx" TargetMode="External"/><Relationship Id="rId31" Type="http://schemas.openxmlformats.org/officeDocument/2006/relationships/hyperlink" Target="https://www.itu.int/en/general-secretariat/ties/ISCGDocumentLibrary/1st%20Meeting%202023/Mapping-of-resolutions-Updated%20Oct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general-secretariat/Pages/ISCG/default.aspx" TargetMode="External"/><Relationship Id="rId22" Type="http://schemas.openxmlformats.org/officeDocument/2006/relationships/hyperlink" Target="https://www.itu.int/dms_pub/itu-t/opb/tut/T-TUT-FSTP-2015-ACC-PDF-E.pdf" TargetMode="External"/><Relationship Id="rId27" Type="http://schemas.openxmlformats.org/officeDocument/2006/relationships/hyperlink" Target="https://www.itu.int/pub/R-REP-BT.2522" TargetMode="External"/><Relationship Id="rId30" Type="http://schemas.openxmlformats.org/officeDocument/2006/relationships/hyperlink" Target="https://www.itu.int/en/general-secretariat/ties/ISCGDocumentLibrary/1st%20Meeting%202024/ITUWebsite.docx"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s://www.itu.int/fr/ITU-D/Conferences/TDAG/Pages/default.aspx" TargetMode="External"/><Relationship Id="rId2" Type="http://schemas.openxmlformats.org/officeDocument/2006/relationships/hyperlink" Target="mailto:iscg@itu.int" TargetMode="External"/><Relationship Id="rId1" Type="http://schemas.openxmlformats.org/officeDocument/2006/relationships/hyperlink" Target="mailto:fabio.bigi@virgilio.it"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3.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3538</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10</cp:revision>
  <cp:lastPrinted>2014-11-04T09:22:00Z</cp:lastPrinted>
  <dcterms:created xsi:type="dcterms:W3CDTF">2024-03-26T14:50:00Z</dcterms:created>
  <dcterms:modified xsi:type="dcterms:W3CDTF">2024-03-27T07:56:00Z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